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7E59" w14:textId="77777777" w:rsidR="004161A0" w:rsidRPr="00CA1A4B" w:rsidRDefault="004161A0" w:rsidP="004161A0">
      <w:pPr>
        <w:pStyle w:val="Title"/>
        <w:jc w:val="center"/>
        <w:rPr>
          <w:sz w:val="32"/>
          <w:szCs w:val="32"/>
        </w:rPr>
      </w:pPr>
      <w:r>
        <w:rPr>
          <w:sz w:val="32"/>
          <w:szCs w:val="32"/>
        </w:rPr>
        <w:t xml:space="preserve">Review and Update of the World Bank Safeguard Policies </w:t>
      </w:r>
    </w:p>
    <w:p w14:paraId="761991A7" w14:textId="77B85192" w:rsidR="00A16602" w:rsidRPr="00A16602" w:rsidRDefault="00EA5534" w:rsidP="00A16602">
      <w:pPr>
        <w:jc w:val="center"/>
        <w:rPr>
          <w:b/>
          <w:u w:val="single"/>
        </w:rPr>
      </w:pPr>
      <w:r w:rsidRPr="00A16602">
        <w:rPr>
          <w:b/>
          <w:u w:val="single"/>
        </w:rPr>
        <w:t xml:space="preserve">Input </w:t>
      </w:r>
      <w:r w:rsidR="00A16602" w:rsidRPr="00A16602">
        <w:rPr>
          <w:b/>
          <w:u w:val="single"/>
        </w:rPr>
        <w:t xml:space="preserve">from Building </w:t>
      </w:r>
      <w:proofErr w:type="gramStart"/>
      <w:r w:rsidR="00A16602" w:rsidRPr="00A16602">
        <w:rPr>
          <w:b/>
          <w:u w:val="single"/>
        </w:rPr>
        <w:t>And</w:t>
      </w:r>
      <w:proofErr w:type="gramEnd"/>
      <w:r w:rsidR="00A16602" w:rsidRPr="00A16602">
        <w:rPr>
          <w:b/>
          <w:u w:val="single"/>
        </w:rPr>
        <w:t xml:space="preserve"> Woodworkers International</w:t>
      </w:r>
    </w:p>
    <w:p w14:paraId="593FCFA8" w14:textId="4DF598F8" w:rsidR="004161A0" w:rsidRPr="00A16602" w:rsidRDefault="00A16602" w:rsidP="00A16602">
      <w:pPr>
        <w:jc w:val="center"/>
        <w:rPr>
          <w:b/>
          <w:u w:val="single"/>
        </w:rPr>
      </w:pPr>
      <w:r w:rsidRPr="00A16602">
        <w:rPr>
          <w:b/>
          <w:u w:val="single"/>
        </w:rPr>
        <w:t xml:space="preserve">Sent by: Fiona </w:t>
      </w:r>
      <w:proofErr w:type="spellStart"/>
      <w:r w:rsidRPr="00A16602">
        <w:rPr>
          <w:b/>
          <w:u w:val="single"/>
        </w:rPr>
        <w:t>Murie</w:t>
      </w:r>
      <w:proofErr w:type="spellEnd"/>
      <w:r w:rsidRPr="00A16602">
        <w:rPr>
          <w:b/>
          <w:u w:val="single"/>
        </w:rPr>
        <w:t>, Global Director Health and Safety and Construction</w:t>
      </w:r>
    </w:p>
    <w:p w14:paraId="53156B0A" w14:textId="77777777" w:rsidR="00A16602" w:rsidRPr="004161A0" w:rsidRDefault="00A16602" w:rsidP="00A16602">
      <w:pPr>
        <w:pStyle w:val="Default"/>
        <w:jc w:val="center"/>
        <w:rPr>
          <w:rFonts w:asciiTheme="minorHAnsi" w:hAnsiTheme="minorHAnsi"/>
          <w:b/>
          <w:u w:val="single"/>
        </w:rPr>
      </w:pPr>
    </w:p>
    <w:p w14:paraId="499E1146" w14:textId="69620493" w:rsidR="004161A0" w:rsidRPr="004161A0" w:rsidRDefault="004161A0" w:rsidP="004161A0">
      <w:pPr>
        <w:pStyle w:val="ListParagraph"/>
        <w:numPr>
          <w:ilvl w:val="0"/>
          <w:numId w:val="3"/>
        </w:numPr>
        <w:jc w:val="both"/>
        <w:rPr>
          <w:rFonts w:asciiTheme="minorHAnsi" w:hAnsiTheme="minorHAnsi"/>
          <w:i/>
        </w:rPr>
      </w:pPr>
      <w:r w:rsidRPr="004161A0">
        <w:rPr>
          <w:rFonts w:asciiTheme="minorHAnsi" w:hAnsiTheme="minorHAnsi"/>
          <w:i/>
        </w:rPr>
        <w:t xml:space="preserve">I authorize the World Bank team to post my comments on the web (cross one): YES ( </w:t>
      </w:r>
      <w:r w:rsidR="005834A6">
        <w:rPr>
          <w:rFonts w:asciiTheme="minorHAnsi" w:hAnsiTheme="minorHAnsi"/>
          <w:i/>
        </w:rPr>
        <w:t>x</w:t>
      </w:r>
      <w:r w:rsidRPr="004161A0">
        <w:rPr>
          <w:rFonts w:asciiTheme="minorHAnsi" w:hAnsiTheme="minorHAnsi"/>
          <w:i/>
        </w:rPr>
        <w:t xml:space="preserve">  )  NO (   )</w:t>
      </w:r>
    </w:p>
    <w:p w14:paraId="500991FB" w14:textId="77777777" w:rsidR="004161A0" w:rsidRPr="004161A0" w:rsidRDefault="004161A0" w:rsidP="004161A0">
      <w:pPr>
        <w:pStyle w:val="ListParagraph"/>
        <w:jc w:val="both"/>
        <w:rPr>
          <w:rFonts w:asciiTheme="minorHAnsi" w:hAnsiTheme="minorHAnsi"/>
          <w:i/>
        </w:rPr>
      </w:pPr>
    </w:p>
    <w:p w14:paraId="1A322513" w14:textId="70567276" w:rsidR="004161A0" w:rsidRPr="004161A0" w:rsidRDefault="004161A0" w:rsidP="004161A0">
      <w:pPr>
        <w:pStyle w:val="ListParagraph"/>
        <w:numPr>
          <w:ilvl w:val="0"/>
          <w:numId w:val="3"/>
        </w:numPr>
        <w:jc w:val="both"/>
        <w:rPr>
          <w:rFonts w:asciiTheme="minorHAnsi" w:hAnsiTheme="minorHAnsi"/>
          <w:i/>
        </w:rPr>
      </w:pPr>
      <w:r w:rsidRPr="004161A0">
        <w:rPr>
          <w:rFonts w:asciiTheme="minorHAnsi" w:hAnsiTheme="minorHAnsi"/>
          <w:i/>
        </w:rPr>
        <w:t>I authorize the World Bank team to disclose my name on the web (cross one): YES (</w:t>
      </w:r>
      <w:r w:rsidR="005834A6">
        <w:rPr>
          <w:rFonts w:asciiTheme="minorHAnsi" w:hAnsiTheme="minorHAnsi"/>
          <w:i/>
        </w:rPr>
        <w:t>x</w:t>
      </w:r>
      <w:r w:rsidRPr="004161A0">
        <w:rPr>
          <w:rFonts w:asciiTheme="minorHAnsi" w:hAnsiTheme="minorHAnsi"/>
          <w:i/>
        </w:rPr>
        <w:t xml:space="preserve">   )   NO (   )</w:t>
      </w:r>
    </w:p>
    <w:p w14:paraId="10C50A0B" w14:textId="77777777" w:rsidR="004161A0" w:rsidRPr="004161A0" w:rsidRDefault="004161A0" w:rsidP="004161A0">
      <w:pPr>
        <w:jc w:val="both"/>
        <w:rPr>
          <w:rFonts w:asciiTheme="minorHAnsi" w:hAnsiTheme="minorHAnsi"/>
          <w:b/>
          <w:u w:val="single"/>
        </w:rPr>
      </w:pPr>
      <w:r w:rsidRPr="004161A0">
        <w:rPr>
          <w:rFonts w:asciiTheme="minorHAnsi" w:hAnsiTheme="minorHAnsi"/>
          <w:b/>
          <w:u w:val="single"/>
        </w:rPr>
        <w:t xml:space="preserve">Guiding Questions: </w:t>
      </w:r>
    </w:p>
    <w:p w14:paraId="721F0E0D" w14:textId="77777777" w:rsidR="004161A0" w:rsidRPr="004161A0" w:rsidRDefault="00C3625F" w:rsidP="004161A0">
      <w:pPr>
        <w:pStyle w:val="ListParagraph"/>
        <w:numPr>
          <w:ilvl w:val="0"/>
          <w:numId w:val="1"/>
        </w:numPr>
        <w:rPr>
          <w:rFonts w:asciiTheme="minorHAnsi" w:hAnsiTheme="minorHAnsi"/>
        </w:rPr>
      </w:pPr>
      <w:r w:rsidRPr="004161A0">
        <w:rPr>
          <w:rFonts w:asciiTheme="minorHAnsi" w:hAnsiTheme="minorHAnsi"/>
        </w:rPr>
        <w:t>Which aspects of the eight current environmental and social safeguards policies can the Bank improve to ensure that these policies most effectively help achieve sustainable development and results on the ground?</w:t>
      </w:r>
    </w:p>
    <w:tbl>
      <w:tblPr>
        <w:tblStyle w:val="TableGrid"/>
        <w:tblW w:w="0" w:type="auto"/>
        <w:tblLook w:val="04A0" w:firstRow="1" w:lastRow="0" w:firstColumn="1" w:lastColumn="0" w:noHBand="0" w:noVBand="1"/>
      </w:tblPr>
      <w:tblGrid>
        <w:gridCol w:w="9576"/>
      </w:tblGrid>
      <w:tr w:rsidR="004161A0" w:rsidRPr="004161A0" w14:paraId="2B913013" w14:textId="77777777">
        <w:tc>
          <w:tcPr>
            <w:tcW w:w="9576" w:type="dxa"/>
          </w:tcPr>
          <w:p w14:paraId="42F906EE" w14:textId="77777777" w:rsidR="00E07E86" w:rsidRDefault="0093730E" w:rsidP="0093730E">
            <w:r>
              <w:rPr>
                <w:rFonts w:asciiTheme="minorHAnsi" w:hAnsiTheme="minorHAnsi"/>
              </w:rPr>
              <w:t xml:space="preserve">On behalf of the Building and Woodworkers International, representing workers and Trade Unions in the construction, building materials, wood and forestry sectors, it is our view that </w:t>
            </w:r>
            <w:r>
              <w:t>c</w:t>
            </w:r>
            <w:r w:rsidR="004B0472" w:rsidRPr="004B0472">
              <w:t>urrent Bank social safeguards do not provide adequate coverage of community impacts; labor and working conditions; and health, saf</w:t>
            </w:r>
            <w:r w:rsidR="004B0472">
              <w:t>e</w:t>
            </w:r>
            <w:r>
              <w:t xml:space="preserve">ty </w:t>
            </w:r>
            <w:r w:rsidR="00E07E86">
              <w:t xml:space="preserve">and welfare </w:t>
            </w:r>
            <w:r>
              <w:t xml:space="preserve">issues at the project level. </w:t>
            </w:r>
          </w:p>
          <w:p w14:paraId="1738B1AD" w14:textId="77777777" w:rsidR="00E07E86" w:rsidRDefault="00E07E86" w:rsidP="0093730E"/>
          <w:p w14:paraId="6E47312A" w14:textId="58F1BC3F" w:rsidR="00D10111" w:rsidRPr="00E07E86" w:rsidRDefault="0093730E" w:rsidP="0093730E">
            <w:r>
              <w:t>These important</w:t>
            </w:r>
            <w:r w:rsidR="004B0472" w:rsidRPr="004B0472">
              <w:t xml:space="preserve"> provisions are integral to IFC and MIGA performance standards.</w:t>
            </w:r>
            <w:r w:rsidR="00E07E86">
              <w:t xml:space="preserve"> </w:t>
            </w:r>
            <w:r w:rsidR="00D10111" w:rsidRPr="00D10111">
              <w:rPr>
                <w:rFonts w:asciiTheme="minorHAnsi" w:hAnsiTheme="minorHAnsi"/>
              </w:rPr>
              <w:t xml:space="preserve">The World Bank Group should use the current social and environmental safeguards policy review to establish a consistent and comprehensive practice of respecting fundamental workers’ rights in all </w:t>
            </w:r>
            <w:r w:rsidR="0054004B">
              <w:rPr>
                <w:rFonts w:asciiTheme="minorHAnsi" w:hAnsiTheme="minorHAnsi"/>
              </w:rPr>
              <w:t xml:space="preserve">the Bank’s </w:t>
            </w:r>
            <w:r w:rsidR="00D10111" w:rsidRPr="00D10111">
              <w:rPr>
                <w:rFonts w:asciiTheme="minorHAnsi" w:hAnsiTheme="minorHAnsi"/>
              </w:rPr>
              <w:t>operations.</w:t>
            </w:r>
          </w:p>
          <w:p w14:paraId="67ED1EFD" w14:textId="77777777" w:rsidR="004161A0" w:rsidRPr="004161A0" w:rsidRDefault="004161A0" w:rsidP="004161A0">
            <w:pPr>
              <w:rPr>
                <w:rFonts w:asciiTheme="minorHAnsi" w:hAnsiTheme="minorHAnsi"/>
              </w:rPr>
            </w:pPr>
          </w:p>
          <w:p w14:paraId="69629178" w14:textId="77777777" w:rsidR="0093730E" w:rsidRDefault="004B0472" w:rsidP="00AF4D4F">
            <w:r w:rsidRPr="004B0472">
              <w:t xml:space="preserve">The </w:t>
            </w:r>
            <w:r w:rsidR="0093730E">
              <w:t xml:space="preserve">current </w:t>
            </w:r>
            <w:r w:rsidRPr="004B0472">
              <w:t>social safeguards at the Bank are restricted to two policies: involuntary resettlement and indigenous peoples. This limited thematic coverage is problematic. It</w:t>
            </w:r>
            <w:r>
              <w:t xml:space="preserve"> focuses</w:t>
            </w:r>
            <w:r w:rsidRPr="004B0472">
              <w:t xml:space="preserve"> attention on these two </w:t>
            </w:r>
            <w:r w:rsidR="00AF4D4F">
              <w:t xml:space="preserve">important </w:t>
            </w:r>
            <w:r>
              <w:t>area</w:t>
            </w:r>
            <w:r w:rsidR="00AF4D4F">
              <w:t>s</w:t>
            </w:r>
            <w:r>
              <w:t xml:space="preserve"> </w:t>
            </w:r>
            <w:r w:rsidRPr="004B0472">
              <w:t xml:space="preserve">but </w:t>
            </w:r>
            <w:r w:rsidR="00AF4D4F">
              <w:t xml:space="preserve">thereby </w:t>
            </w:r>
            <w:r w:rsidR="0093730E">
              <w:t>narrows</w:t>
            </w:r>
            <w:r w:rsidRPr="004B0472">
              <w:t xml:space="preserve"> the relevance of social safeguards to only a </w:t>
            </w:r>
            <w:r>
              <w:t xml:space="preserve">small </w:t>
            </w:r>
            <w:r w:rsidRPr="004B0472">
              <w:t xml:space="preserve">segment of the </w:t>
            </w:r>
            <w:r w:rsidR="00AF4D4F">
              <w:t xml:space="preserve">Bank’s </w:t>
            </w:r>
            <w:r w:rsidRPr="004B0472">
              <w:t>portfolio. It’s a prescriptive framework for existing social policies and a restrictive framework</w:t>
            </w:r>
            <w:r>
              <w:t>, which excludes</w:t>
            </w:r>
            <w:r w:rsidR="00AF4D4F">
              <w:t xml:space="preserve"> consideration of other, more widespread and relevant, </w:t>
            </w:r>
            <w:r w:rsidRPr="004B0472">
              <w:t>social risks that are routinely assessed by other members of the World Bank Group.</w:t>
            </w:r>
            <w:r>
              <w:t xml:space="preserve"> </w:t>
            </w:r>
          </w:p>
          <w:p w14:paraId="3EF1C4DF" w14:textId="77777777" w:rsidR="0093730E" w:rsidRDefault="0093730E" w:rsidP="00AF4D4F"/>
          <w:p w14:paraId="27E8B557" w14:textId="1BF9846E" w:rsidR="004161A0" w:rsidRDefault="0093730E" w:rsidP="00AF4D4F">
            <w:r>
              <w:t xml:space="preserve">Key </w:t>
            </w:r>
            <w:r w:rsidR="004B0472">
              <w:t>social risks, such as occupational health and safety, workers’ rights to a fair wage and working conditions, hours of work</w:t>
            </w:r>
            <w:r w:rsidR="00AF4D4F">
              <w:t xml:space="preserve"> and rest periods, social security, child labor, forced labor, non discrimination, gender equality and equal treatment for migrant workers </w:t>
            </w:r>
            <w:r w:rsidR="004B0472">
              <w:t>do not</w:t>
            </w:r>
            <w:r w:rsidR="004B0472">
              <w:rPr>
                <w:b/>
              </w:rPr>
              <w:t xml:space="preserve"> </w:t>
            </w:r>
            <w:r w:rsidR="004B0472" w:rsidRPr="004B0472">
              <w:t>receive adequate attention in projects where these risks are highly relevant</w:t>
            </w:r>
            <w:r w:rsidR="004B0472">
              <w:t xml:space="preserve">. This is because </w:t>
            </w:r>
            <w:r w:rsidR="004B0472" w:rsidRPr="004B0472">
              <w:t xml:space="preserve">they are not defined as safeguard risks. The narrow coverage of social safeguards in Bank projects, compared to IFC and MIGA, leads to an underestimation of </w:t>
            </w:r>
            <w:r w:rsidR="004B0472">
              <w:t xml:space="preserve">the most relevant, serious and widespread </w:t>
            </w:r>
            <w:r w:rsidR="004B0472" w:rsidRPr="004B0472">
              <w:t>risks.</w:t>
            </w:r>
            <w:r w:rsidR="0054004B">
              <w:t xml:space="preserve"> </w:t>
            </w:r>
            <w:r w:rsidR="00BC25D9">
              <w:t>In construction and</w:t>
            </w:r>
            <w:r w:rsidR="00E07E86">
              <w:t xml:space="preserve"> in</w:t>
            </w:r>
            <w:r w:rsidR="00BC25D9">
              <w:t xml:space="preserve"> forestry operations</w:t>
            </w:r>
            <w:r w:rsidR="00493D26">
              <w:t xml:space="preserve"> and supply chains</w:t>
            </w:r>
            <w:r w:rsidR="00BC25D9">
              <w:t xml:space="preserve">, </w:t>
            </w:r>
            <w:r w:rsidR="00493D26">
              <w:t xml:space="preserve">including </w:t>
            </w:r>
            <w:r w:rsidR="00BC25D9">
              <w:t xml:space="preserve">the building materials sector (in particular brick making and quarrying), </w:t>
            </w:r>
            <w:r w:rsidR="0054004B">
              <w:t>the sectors represented by the</w:t>
            </w:r>
            <w:r w:rsidR="00BC25D9">
              <w:t xml:space="preserve"> Building Workers International, </w:t>
            </w:r>
            <w:r w:rsidR="0054004B">
              <w:t>these</w:t>
            </w:r>
            <w:r w:rsidR="00E07E86">
              <w:t xml:space="preserve"> labo</w:t>
            </w:r>
            <w:r w:rsidR="00BC25D9">
              <w:t>r</w:t>
            </w:r>
            <w:r w:rsidR="0054004B">
              <w:t xml:space="preserve"> risks are so widespread as to be almost routine in many countries. </w:t>
            </w:r>
          </w:p>
          <w:p w14:paraId="740993D5" w14:textId="77777777" w:rsidR="00AF4D4F" w:rsidRDefault="00AF4D4F" w:rsidP="00AF4D4F"/>
          <w:p w14:paraId="5385723F" w14:textId="751E404D" w:rsidR="0054004B" w:rsidRDefault="00AF4D4F" w:rsidP="00AF4D4F">
            <w:r>
              <w:t xml:space="preserve">There is a need </w:t>
            </w:r>
            <w:r w:rsidR="00E0284E">
              <w:t xml:space="preserve">for the Bank </w:t>
            </w:r>
            <w:r>
              <w:t xml:space="preserve">to join up procurement and sustainability functions, and to focus on sustainability outcomes. The fact that the Bank’s Safeguards Policies review is running almost in parallel with the Bank’s Procurement Policy review presents the opportunity to achieve greater </w:t>
            </w:r>
            <w:r w:rsidR="0093730E">
              <w:t xml:space="preserve">policy </w:t>
            </w:r>
            <w:r>
              <w:t>coherence</w:t>
            </w:r>
            <w:r w:rsidR="00E0284E">
              <w:t xml:space="preserve"> and improved sustainability performance.</w:t>
            </w:r>
            <w:r w:rsidR="0054004B">
              <w:t xml:space="preserve"> </w:t>
            </w:r>
          </w:p>
          <w:p w14:paraId="5864BC1B" w14:textId="146954D9" w:rsidR="00AF4D4F" w:rsidRPr="004B0472" w:rsidRDefault="00AF4D4F" w:rsidP="00AF4D4F">
            <w:pPr>
              <w:rPr>
                <w:b/>
              </w:rPr>
            </w:pPr>
          </w:p>
        </w:tc>
      </w:tr>
    </w:tbl>
    <w:p w14:paraId="7BEE21B0" w14:textId="77777777" w:rsidR="004161A0" w:rsidRPr="004161A0" w:rsidRDefault="00C3625F" w:rsidP="004161A0">
      <w:pPr>
        <w:pStyle w:val="ListParagraph"/>
        <w:numPr>
          <w:ilvl w:val="0"/>
          <w:numId w:val="1"/>
        </w:numPr>
        <w:rPr>
          <w:rFonts w:asciiTheme="minorHAnsi" w:hAnsiTheme="minorHAnsi"/>
        </w:rPr>
      </w:pPr>
      <w:r w:rsidRPr="002B1839">
        <w:rPr>
          <w:rFonts w:asciiTheme="minorHAnsi" w:hAnsiTheme="minorHAnsi"/>
        </w:rPr>
        <w:t>Please share examples of challenges you</w:t>
      </w:r>
      <w:r>
        <w:rPr>
          <w:rFonts w:asciiTheme="minorHAnsi" w:hAnsiTheme="minorHAnsi"/>
        </w:rPr>
        <w:t xml:space="preserve"> have</w:t>
      </w:r>
      <w:r w:rsidRPr="002B1839">
        <w:rPr>
          <w:rFonts w:asciiTheme="minorHAnsi" w:hAnsiTheme="minorHAnsi"/>
        </w:rPr>
        <w:t xml:space="preserve"> encountered </w:t>
      </w:r>
      <w:r>
        <w:rPr>
          <w:rFonts w:asciiTheme="minorHAnsi" w:hAnsiTheme="minorHAnsi"/>
        </w:rPr>
        <w:t xml:space="preserve">in applying the </w:t>
      </w:r>
      <w:r w:rsidRPr="00B61700">
        <w:rPr>
          <w:rFonts w:asciiTheme="minorHAnsi" w:hAnsiTheme="minorHAnsi"/>
        </w:rPr>
        <w:t>safeguard policies.</w:t>
      </w:r>
    </w:p>
    <w:tbl>
      <w:tblPr>
        <w:tblStyle w:val="TableGrid"/>
        <w:tblW w:w="0" w:type="auto"/>
        <w:tblLook w:val="04A0" w:firstRow="1" w:lastRow="0" w:firstColumn="1" w:lastColumn="0" w:noHBand="0" w:noVBand="1"/>
      </w:tblPr>
      <w:tblGrid>
        <w:gridCol w:w="9576"/>
      </w:tblGrid>
      <w:tr w:rsidR="004161A0" w:rsidRPr="004161A0" w14:paraId="39F70B70" w14:textId="77777777">
        <w:tc>
          <w:tcPr>
            <w:tcW w:w="9576" w:type="dxa"/>
          </w:tcPr>
          <w:p w14:paraId="798F6681" w14:textId="77777777" w:rsidR="004161A0" w:rsidRPr="004161A0" w:rsidRDefault="004161A0" w:rsidP="004161A0">
            <w:pPr>
              <w:rPr>
                <w:rFonts w:asciiTheme="minorHAnsi" w:hAnsiTheme="minorHAnsi"/>
              </w:rPr>
            </w:pPr>
            <w:bookmarkStart w:id="0" w:name="_GoBack"/>
            <w:bookmarkEnd w:id="0"/>
          </w:p>
          <w:p w14:paraId="64E67B96" w14:textId="63A45418" w:rsidR="002F5EB7" w:rsidRDefault="00E0284E" w:rsidP="00126802">
            <w:pPr>
              <w:rPr>
                <w:rFonts w:asciiTheme="minorHAnsi" w:hAnsiTheme="minorHAnsi"/>
              </w:rPr>
            </w:pPr>
            <w:r>
              <w:rPr>
                <w:rFonts w:asciiTheme="minorHAnsi" w:hAnsiTheme="minorHAnsi"/>
              </w:rPr>
              <w:t>The safeguard p</w:t>
            </w:r>
            <w:r w:rsidR="00E96205">
              <w:rPr>
                <w:rFonts w:asciiTheme="minorHAnsi" w:hAnsiTheme="minorHAnsi"/>
              </w:rPr>
              <w:t xml:space="preserve">olicies are too narrow in focus to be applicable to many projects funded by the Bank. For </w:t>
            </w:r>
            <w:r w:rsidR="00E96205">
              <w:rPr>
                <w:rFonts w:asciiTheme="minorHAnsi" w:hAnsiTheme="minorHAnsi"/>
              </w:rPr>
              <w:lastRenderedPageBreak/>
              <w:t xml:space="preserve">projects funded by the IFC, it has been estimated by IEG that more than </w:t>
            </w:r>
            <w:r>
              <w:rPr>
                <w:rFonts w:asciiTheme="minorHAnsi" w:hAnsiTheme="minorHAnsi"/>
              </w:rPr>
              <w:t>90% of real sector projects benefit from Performance Standards to improve management of the most relevant social risks of communi</w:t>
            </w:r>
            <w:r w:rsidR="001E750E">
              <w:rPr>
                <w:rFonts w:asciiTheme="minorHAnsi" w:hAnsiTheme="minorHAnsi"/>
              </w:rPr>
              <w:t>ty and labor impacts, particula</w:t>
            </w:r>
            <w:r>
              <w:rPr>
                <w:rFonts w:asciiTheme="minorHAnsi" w:hAnsiTheme="minorHAnsi"/>
              </w:rPr>
              <w:t xml:space="preserve">rly </w:t>
            </w:r>
            <w:r w:rsidR="00E96205">
              <w:rPr>
                <w:rFonts w:asciiTheme="minorHAnsi" w:hAnsiTheme="minorHAnsi"/>
              </w:rPr>
              <w:t xml:space="preserve">those concerned with </w:t>
            </w:r>
            <w:r>
              <w:rPr>
                <w:rFonts w:asciiTheme="minorHAnsi" w:hAnsiTheme="minorHAnsi"/>
              </w:rPr>
              <w:t>health and safety and working conditions.</w:t>
            </w:r>
            <w:r w:rsidR="00196684">
              <w:rPr>
                <w:rFonts w:asciiTheme="minorHAnsi" w:hAnsiTheme="minorHAnsi"/>
              </w:rPr>
              <w:t xml:space="preserve"> </w:t>
            </w:r>
            <w:r w:rsidR="00E96205">
              <w:rPr>
                <w:rFonts w:asciiTheme="minorHAnsi" w:hAnsiTheme="minorHAnsi"/>
              </w:rPr>
              <w:t>There is every reason to assume that the same is true for World Bank funded projects.</w:t>
            </w:r>
          </w:p>
          <w:p w14:paraId="5C85C18A" w14:textId="77777777" w:rsidR="002F5EB7" w:rsidRDefault="002F5EB7" w:rsidP="00126802">
            <w:pPr>
              <w:rPr>
                <w:rFonts w:asciiTheme="minorHAnsi" w:hAnsiTheme="minorHAnsi"/>
              </w:rPr>
            </w:pPr>
          </w:p>
          <w:p w14:paraId="64AACBD1" w14:textId="323B173A" w:rsidR="00196684" w:rsidRPr="00126802" w:rsidRDefault="00196684" w:rsidP="00126802">
            <w:pPr>
              <w:rPr>
                <w:rFonts w:asciiTheme="minorHAnsi" w:hAnsiTheme="minorHAnsi"/>
              </w:rPr>
            </w:pPr>
            <w:proofErr w:type="spellStart"/>
            <w:r>
              <w:rPr>
                <w:rFonts w:asciiTheme="minorHAnsi" w:hAnsiTheme="minorHAnsi"/>
              </w:rPr>
              <w:t>Labour</w:t>
            </w:r>
            <w:proofErr w:type="spellEnd"/>
            <w:r>
              <w:rPr>
                <w:rFonts w:asciiTheme="minorHAnsi" w:hAnsiTheme="minorHAnsi"/>
              </w:rPr>
              <w:t xml:space="preserve"> risks</w:t>
            </w:r>
            <w:r w:rsidR="00E96205">
              <w:rPr>
                <w:rFonts w:asciiTheme="minorHAnsi" w:hAnsiTheme="minorHAnsi"/>
              </w:rPr>
              <w:t>,</w:t>
            </w:r>
            <w:r>
              <w:rPr>
                <w:rFonts w:asciiTheme="minorHAnsi" w:hAnsiTheme="minorHAnsi"/>
              </w:rPr>
              <w:t xml:space="preserve"> if not addressed</w:t>
            </w:r>
            <w:r w:rsidR="00E96205">
              <w:rPr>
                <w:rFonts w:asciiTheme="minorHAnsi" w:hAnsiTheme="minorHAnsi"/>
              </w:rPr>
              <w:t>,</w:t>
            </w:r>
            <w:r>
              <w:rPr>
                <w:rFonts w:asciiTheme="minorHAnsi" w:hAnsiTheme="minorHAnsi"/>
              </w:rPr>
              <w:t xml:space="preserve"> can and do become project risks, resulting in</w:t>
            </w:r>
            <w:r w:rsidR="00126802">
              <w:rPr>
                <w:rFonts w:asciiTheme="minorHAnsi" w:hAnsiTheme="minorHAnsi"/>
              </w:rPr>
              <w:t>:</w:t>
            </w:r>
            <w:r>
              <w:rPr>
                <w:rFonts w:asciiTheme="minorHAnsi" w:hAnsiTheme="minorHAnsi"/>
              </w:rPr>
              <w:t xml:space="preserve"> </w:t>
            </w:r>
            <w:r w:rsidRPr="00A05D60">
              <w:t>delays in project implementation</w:t>
            </w:r>
            <w:r>
              <w:t>;</w:t>
            </w:r>
            <w:r>
              <w:rPr>
                <w:rFonts w:asciiTheme="minorHAnsi" w:hAnsiTheme="minorHAnsi"/>
              </w:rPr>
              <w:t xml:space="preserve"> </w:t>
            </w:r>
            <w:r w:rsidRPr="00A05D60">
              <w:t>project</w:t>
            </w:r>
            <w:r>
              <w:t xml:space="preserve"> /construction cost increase; </w:t>
            </w:r>
            <w:r w:rsidRPr="00A05D60">
              <w:t>penalties and compensatory payments</w:t>
            </w:r>
            <w:r>
              <w:rPr>
                <w:rFonts w:asciiTheme="minorHAnsi" w:hAnsiTheme="minorHAnsi"/>
              </w:rPr>
              <w:t xml:space="preserve">; </w:t>
            </w:r>
            <w:r w:rsidRPr="00A05D60">
              <w:t xml:space="preserve">increased </w:t>
            </w:r>
            <w:proofErr w:type="spellStart"/>
            <w:r w:rsidRPr="00A05D60">
              <w:t>labour</w:t>
            </w:r>
            <w:proofErr w:type="spellEnd"/>
            <w:r w:rsidRPr="00A05D60">
              <w:t xml:space="preserve"> costs</w:t>
            </w:r>
            <w:r>
              <w:rPr>
                <w:rFonts w:asciiTheme="minorHAnsi" w:hAnsiTheme="minorHAnsi"/>
              </w:rPr>
              <w:t xml:space="preserve">; </w:t>
            </w:r>
            <w:r w:rsidR="00126802">
              <w:rPr>
                <w:rFonts w:asciiTheme="minorHAnsi" w:hAnsiTheme="minorHAnsi"/>
              </w:rPr>
              <w:t xml:space="preserve">deaths, injuries and ill health; </w:t>
            </w:r>
            <w:r w:rsidRPr="00A05D60">
              <w:t>damage</w:t>
            </w:r>
            <w:r>
              <w:t>s</w:t>
            </w:r>
            <w:r w:rsidRPr="00A05D60">
              <w:t xml:space="preserve"> claims by workers</w:t>
            </w:r>
            <w:r>
              <w:rPr>
                <w:rFonts w:asciiTheme="minorHAnsi" w:hAnsiTheme="minorHAnsi"/>
              </w:rPr>
              <w:t xml:space="preserve">; </w:t>
            </w:r>
            <w:r w:rsidRPr="00A05D60">
              <w:t xml:space="preserve">disruptions due to workforce </w:t>
            </w:r>
            <w:r w:rsidR="00126802">
              <w:t xml:space="preserve">accidents, </w:t>
            </w:r>
            <w:r w:rsidRPr="00A05D60">
              <w:t>disputes and strikes</w:t>
            </w:r>
            <w:r>
              <w:rPr>
                <w:rFonts w:asciiTheme="minorHAnsi" w:hAnsiTheme="minorHAnsi"/>
              </w:rPr>
              <w:t xml:space="preserve">; </w:t>
            </w:r>
            <w:r w:rsidRPr="00A05D60">
              <w:t>forced suspension, shutdown or limitation of operations</w:t>
            </w:r>
            <w:r w:rsidR="00126802">
              <w:rPr>
                <w:rFonts w:asciiTheme="minorHAnsi" w:hAnsiTheme="minorHAnsi"/>
              </w:rPr>
              <w:t xml:space="preserve">; </w:t>
            </w:r>
            <w:r w:rsidR="002F5EB7">
              <w:rPr>
                <w:rFonts w:asciiTheme="minorHAnsi" w:hAnsiTheme="minorHAnsi"/>
              </w:rPr>
              <w:t xml:space="preserve">corruption, including exploitative employment and </w:t>
            </w:r>
            <w:proofErr w:type="spellStart"/>
            <w:r w:rsidR="002F5EB7">
              <w:rPr>
                <w:rFonts w:asciiTheme="minorHAnsi" w:hAnsiTheme="minorHAnsi"/>
              </w:rPr>
              <w:t>labour</w:t>
            </w:r>
            <w:proofErr w:type="spellEnd"/>
            <w:r w:rsidR="002F5EB7">
              <w:rPr>
                <w:rFonts w:asciiTheme="minorHAnsi" w:hAnsiTheme="minorHAnsi"/>
              </w:rPr>
              <w:t xml:space="preserve"> practices and evasion of statutory fiscal and social security obligations; </w:t>
            </w:r>
            <w:r w:rsidR="00E96205">
              <w:rPr>
                <w:rFonts w:asciiTheme="minorHAnsi" w:hAnsiTheme="minorHAnsi"/>
              </w:rPr>
              <w:t xml:space="preserve">and </w:t>
            </w:r>
            <w:r w:rsidRPr="00A05D60">
              <w:t>damage to public image and reputation</w:t>
            </w:r>
            <w:r w:rsidR="00126802">
              <w:t>.</w:t>
            </w:r>
            <w:r w:rsidR="00E96205">
              <w:t xml:space="preserve"> Assessing these risks and managing them from an early stage in the project cycle will bring important social benefits and positive development outcomes.</w:t>
            </w:r>
          </w:p>
          <w:p w14:paraId="47B03685" w14:textId="77777777" w:rsidR="004161A0" w:rsidRPr="004161A0" w:rsidRDefault="004161A0" w:rsidP="004161A0">
            <w:pPr>
              <w:rPr>
                <w:rFonts w:asciiTheme="minorHAnsi" w:hAnsiTheme="minorHAnsi"/>
              </w:rPr>
            </w:pPr>
          </w:p>
          <w:p w14:paraId="4E28681A" w14:textId="77777777" w:rsidR="004161A0" w:rsidRPr="004161A0" w:rsidRDefault="004161A0" w:rsidP="004161A0">
            <w:pPr>
              <w:rPr>
                <w:rFonts w:asciiTheme="minorHAnsi" w:hAnsiTheme="minorHAnsi"/>
              </w:rPr>
            </w:pPr>
          </w:p>
          <w:p w14:paraId="7F2E9AD6" w14:textId="77777777" w:rsidR="004161A0" w:rsidRPr="004161A0" w:rsidRDefault="004161A0" w:rsidP="004161A0">
            <w:pPr>
              <w:rPr>
                <w:rFonts w:asciiTheme="minorHAnsi" w:hAnsiTheme="minorHAnsi"/>
              </w:rPr>
            </w:pPr>
          </w:p>
        </w:tc>
      </w:tr>
    </w:tbl>
    <w:p w14:paraId="557E9FBA" w14:textId="77777777" w:rsidR="004161A0" w:rsidRPr="004161A0" w:rsidRDefault="004161A0" w:rsidP="004161A0">
      <w:pPr>
        <w:rPr>
          <w:rFonts w:asciiTheme="minorHAnsi" w:hAnsiTheme="minorHAnsi"/>
        </w:rPr>
      </w:pPr>
    </w:p>
    <w:p w14:paraId="75C28CD1" w14:textId="77777777" w:rsidR="004161A0" w:rsidRPr="00CE1671" w:rsidRDefault="00C3625F" w:rsidP="004161A0">
      <w:pPr>
        <w:pStyle w:val="ListParagraph"/>
        <w:numPr>
          <w:ilvl w:val="0"/>
          <w:numId w:val="1"/>
        </w:numPr>
        <w:spacing w:after="0"/>
        <w:contextualSpacing w:val="0"/>
        <w:rPr>
          <w:rFonts w:asciiTheme="minorHAnsi" w:hAnsiTheme="minorHAnsi"/>
        </w:rPr>
      </w:pPr>
      <w:r w:rsidRPr="00CE1671">
        <w:rPr>
          <w:rFonts w:asciiTheme="minorHAnsi" w:hAnsiTheme="minorHAnsi"/>
        </w:rPr>
        <w:t xml:space="preserve"> Please share examples of what has worked well in applying the safeguard policies.</w:t>
      </w:r>
    </w:p>
    <w:tbl>
      <w:tblPr>
        <w:tblStyle w:val="TableGrid"/>
        <w:tblW w:w="0" w:type="auto"/>
        <w:tblLook w:val="04A0" w:firstRow="1" w:lastRow="0" w:firstColumn="1" w:lastColumn="0" w:noHBand="0" w:noVBand="1"/>
      </w:tblPr>
      <w:tblGrid>
        <w:gridCol w:w="9576"/>
      </w:tblGrid>
      <w:tr w:rsidR="004161A0" w:rsidRPr="004161A0" w14:paraId="0B97FA17" w14:textId="77777777">
        <w:tc>
          <w:tcPr>
            <w:tcW w:w="9576" w:type="dxa"/>
          </w:tcPr>
          <w:p w14:paraId="43A11D7E" w14:textId="77777777" w:rsidR="004161A0" w:rsidRPr="004161A0" w:rsidRDefault="004161A0" w:rsidP="004161A0">
            <w:pPr>
              <w:rPr>
                <w:rFonts w:asciiTheme="minorHAnsi" w:hAnsiTheme="minorHAnsi"/>
              </w:rPr>
            </w:pPr>
          </w:p>
          <w:p w14:paraId="60EBCAEC" w14:textId="427D48A6" w:rsidR="004161A0" w:rsidRDefault="0054004B" w:rsidP="004161A0">
            <w:pPr>
              <w:rPr>
                <w:rStyle w:val="Hyperlink"/>
                <w:rFonts w:asciiTheme="minorHAnsi" w:hAnsiTheme="minorHAnsi"/>
                <w:bCs/>
                <w:color w:val="auto"/>
                <w:u w:val="none"/>
              </w:rPr>
            </w:pPr>
            <w:r>
              <w:rPr>
                <w:rFonts w:asciiTheme="minorHAnsi" w:hAnsiTheme="minorHAnsi"/>
              </w:rPr>
              <w:t>With regard to the</w:t>
            </w:r>
            <w:r w:rsidRPr="004161A0">
              <w:rPr>
                <w:rFonts w:asciiTheme="minorHAnsi" w:hAnsiTheme="minorHAnsi"/>
              </w:rPr>
              <w:t xml:space="preserve"> eight </w:t>
            </w:r>
            <w:r>
              <w:rPr>
                <w:rFonts w:asciiTheme="minorHAnsi" w:hAnsiTheme="minorHAnsi"/>
              </w:rPr>
              <w:t xml:space="preserve">existing </w:t>
            </w:r>
            <w:r w:rsidRPr="004161A0">
              <w:rPr>
                <w:rFonts w:asciiTheme="minorHAnsi" w:hAnsiTheme="minorHAnsi"/>
              </w:rPr>
              <w:t>environmental and social safeguard policies –</w:t>
            </w:r>
            <w:r w:rsidRPr="004161A0">
              <w:rPr>
                <w:rFonts w:asciiTheme="minorHAnsi" w:hAnsiTheme="minorHAnsi"/>
                <w:bCs/>
              </w:rPr>
              <w:t xml:space="preserve"> OP 4.01 </w:t>
            </w:r>
            <w:hyperlink r:id="rId10" w:history="1">
              <w:r w:rsidRPr="004161A0">
                <w:rPr>
                  <w:rStyle w:val="Hyperlink"/>
                  <w:rFonts w:asciiTheme="minorHAnsi" w:hAnsiTheme="minorHAnsi"/>
                  <w:b/>
                  <w:bCs/>
                </w:rPr>
                <w:t>Environmental Assessment</w:t>
              </w:r>
            </w:hyperlink>
            <w:r w:rsidRPr="004161A0">
              <w:rPr>
                <w:rFonts w:asciiTheme="minorHAnsi" w:hAnsiTheme="minorHAnsi"/>
                <w:bCs/>
              </w:rPr>
              <w:t xml:space="preserve">, OP 4.04 </w:t>
            </w:r>
            <w:hyperlink r:id="rId11" w:history="1">
              <w:r w:rsidRPr="004161A0">
                <w:rPr>
                  <w:rStyle w:val="Hyperlink"/>
                  <w:rFonts w:asciiTheme="minorHAnsi" w:hAnsiTheme="minorHAnsi"/>
                  <w:b/>
                  <w:bCs/>
                </w:rPr>
                <w:t>Natural Habitats</w:t>
              </w:r>
            </w:hyperlink>
            <w:r w:rsidRPr="004161A0">
              <w:rPr>
                <w:rFonts w:asciiTheme="minorHAnsi" w:hAnsiTheme="minorHAnsi"/>
                <w:bCs/>
              </w:rPr>
              <w:t xml:space="preserve">, OP </w:t>
            </w:r>
            <w:r w:rsidRPr="004161A0">
              <w:rPr>
                <w:rFonts w:asciiTheme="minorHAnsi" w:hAnsiTheme="minorHAnsi"/>
              </w:rPr>
              <w:t xml:space="preserve">4.09 </w:t>
            </w:r>
            <w:hyperlink r:id="rId12" w:history="1">
              <w:r w:rsidRPr="004161A0">
                <w:rPr>
                  <w:rStyle w:val="Hyperlink"/>
                  <w:rFonts w:asciiTheme="minorHAnsi" w:hAnsiTheme="minorHAnsi"/>
                  <w:b/>
                </w:rPr>
                <w:t>Pest Management</w:t>
              </w:r>
            </w:hyperlink>
            <w:r w:rsidRPr="004161A0">
              <w:rPr>
                <w:rFonts w:asciiTheme="minorHAnsi" w:hAnsiTheme="minorHAnsi"/>
              </w:rPr>
              <w:t>,</w:t>
            </w:r>
            <w:r w:rsidRPr="004161A0">
              <w:rPr>
                <w:rFonts w:asciiTheme="minorHAnsi" w:hAnsiTheme="minorHAnsi"/>
                <w:bCs/>
              </w:rPr>
              <w:t xml:space="preserve"> OP 4.10 </w:t>
            </w:r>
            <w:hyperlink r:id="rId13" w:history="1">
              <w:r w:rsidRPr="004161A0">
                <w:rPr>
                  <w:rStyle w:val="Hyperlink"/>
                  <w:rFonts w:asciiTheme="minorHAnsi" w:hAnsiTheme="minorHAnsi"/>
                  <w:b/>
                  <w:bCs/>
                </w:rPr>
                <w:t>Indigenous Peoples</w:t>
              </w:r>
            </w:hyperlink>
            <w:r w:rsidRPr="004161A0">
              <w:rPr>
                <w:rFonts w:asciiTheme="minorHAnsi" w:hAnsiTheme="minorHAnsi"/>
              </w:rPr>
              <w:t>,</w:t>
            </w:r>
            <w:r w:rsidRPr="004161A0">
              <w:rPr>
                <w:rFonts w:asciiTheme="minorHAnsi" w:hAnsiTheme="minorHAnsi"/>
                <w:bCs/>
              </w:rPr>
              <w:t xml:space="preserve"> OP 4.11 </w:t>
            </w:r>
            <w:hyperlink r:id="rId14" w:history="1">
              <w:r w:rsidRPr="004161A0">
                <w:rPr>
                  <w:rStyle w:val="Hyperlink"/>
                  <w:rFonts w:asciiTheme="minorHAnsi" w:hAnsiTheme="minorHAnsi"/>
                  <w:b/>
                  <w:bCs/>
                </w:rPr>
                <w:t>Physical Cultural Resources</w:t>
              </w:r>
            </w:hyperlink>
            <w:r w:rsidRPr="004161A0">
              <w:rPr>
                <w:rFonts w:asciiTheme="minorHAnsi" w:hAnsiTheme="minorHAnsi"/>
                <w:bCs/>
              </w:rPr>
              <w:t xml:space="preserve">, OP 4.12 </w:t>
            </w:r>
            <w:hyperlink r:id="rId15" w:history="1">
              <w:r w:rsidRPr="004161A0">
                <w:rPr>
                  <w:rStyle w:val="Hyperlink"/>
                  <w:rFonts w:asciiTheme="minorHAnsi" w:hAnsiTheme="minorHAnsi"/>
                  <w:b/>
                  <w:bCs/>
                </w:rPr>
                <w:t>Involuntary Resettlement</w:t>
              </w:r>
            </w:hyperlink>
            <w:r w:rsidRPr="004161A0">
              <w:rPr>
                <w:rFonts w:asciiTheme="minorHAnsi" w:hAnsiTheme="minorHAnsi"/>
                <w:bCs/>
              </w:rPr>
              <w:t xml:space="preserve">, </w:t>
            </w:r>
            <w:r w:rsidRPr="004161A0">
              <w:rPr>
                <w:rFonts w:asciiTheme="minorHAnsi" w:hAnsiTheme="minorHAnsi"/>
              </w:rPr>
              <w:t xml:space="preserve">OP 4.36 </w:t>
            </w:r>
            <w:hyperlink r:id="rId16" w:history="1">
              <w:r w:rsidRPr="004161A0">
                <w:rPr>
                  <w:rStyle w:val="Hyperlink"/>
                  <w:rFonts w:asciiTheme="minorHAnsi" w:hAnsiTheme="minorHAnsi"/>
                  <w:b/>
                </w:rPr>
                <w:t>Forests</w:t>
              </w:r>
            </w:hyperlink>
            <w:r w:rsidRPr="004161A0">
              <w:rPr>
                <w:rFonts w:asciiTheme="minorHAnsi" w:hAnsiTheme="minorHAnsi"/>
              </w:rPr>
              <w:t>,</w:t>
            </w:r>
            <w:r w:rsidRPr="004161A0">
              <w:rPr>
                <w:rFonts w:asciiTheme="minorHAnsi" w:hAnsiTheme="minorHAnsi"/>
                <w:bCs/>
              </w:rPr>
              <w:t xml:space="preserve"> OP 4.37 </w:t>
            </w:r>
            <w:hyperlink r:id="rId17" w:history="1">
              <w:r w:rsidRPr="004161A0">
                <w:rPr>
                  <w:rStyle w:val="Hyperlink"/>
                  <w:rFonts w:asciiTheme="minorHAnsi" w:hAnsiTheme="minorHAnsi"/>
                  <w:b/>
                  <w:bCs/>
                </w:rPr>
                <w:t>Safety of Dams</w:t>
              </w:r>
            </w:hyperlink>
            <w:r>
              <w:rPr>
                <w:rStyle w:val="Hyperlink"/>
                <w:rFonts w:asciiTheme="minorHAnsi" w:hAnsiTheme="minorHAnsi"/>
                <w:b/>
                <w:bCs/>
              </w:rPr>
              <w:t xml:space="preserve"> – </w:t>
            </w:r>
            <w:r w:rsidRPr="0054004B">
              <w:rPr>
                <w:rStyle w:val="Hyperlink"/>
                <w:rFonts w:asciiTheme="minorHAnsi" w:hAnsiTheme="minorHAnsi"/>
                <w:bCs/>
                <w:color w:val="auto"/>
                <w:u w:val="none"/>
              </w:rPr>
              <w:t>Consultations with colleagues</w:t>
            </w:r>
            <w:r>
              <w:rPr>
                <w:rStyle w:val="Hyperlink"/>
                <w:rFonts w:asciiTheme="minorHAnsi" w:hAnsiTheme="minorHAnsi"/>
                <w:bCs/>
                <w:color w:val="auto"/>
                <w:u w:val="none"/>
              </w:rPr>
              <w:t xml:space="preserve"> indicate that environmental and indigenous peoples’ groups are satisfied with the application of environmental and indigenous peoples safeguards policy.</w:t>
            </w:r>
          </w:p>
          <w:p w14:paraId="2ADE61F9" w14:textId="2F6A1E39" w:rsidR="00CD2C53" w:rsidRPr="004161A0" w:rsidRDefault="00CD2C53" w:rsidP="004161A0">
            <w:pPr>
              <w:rPr>
                <w:rFonts w:asciiTheme="minorHAnsi" w:hAnsiTheme="minorHAnsi"/>
              </w:rPr>
            </w:pPr>
            <w:r>
              <w:rPr>
                <w:rStyle w:val="Hyperlink"/>
                <w:rFonts w:asciiTheme="minorHAnsi" w:hAnsiTheme="minorHAnsi"/>
                <w:bCs/>
                <w:color w:val="auto"/>
                <w:u w:val="none"/>
              </w:rPr>
              <w:t>What is missing is attention to labor risks and policies in Bank operations, in particular for the construction and forestry sectors and risks in the supply chain.</w:t>
            </w:r>
          </w:p>
          <w:p w14:paraId="50D4B7B2" w14:textId="77777777" w:rsidR="004161A0" w:rsidRPr="004161A0" w:rsidRDefault="004161A0" w:rsidP="004161A0">
            <w:pPr>
              <w:rPr>
                <w:rFonts w:asciiTheme="minorHAnsi" w:hAnsiTheme="minorHAnsi"/>
              </w:rPr>
            </w:pPr>
          </w:p>
        </w:tc>
      </w:tr>
    </w:tbl>
    <w:p w14:paraId="6061F056" w14:textId="77777777" w:rsidR="004161A0" w:rsidRPr="004161A0" w:rsidRDefault="004161A0" w:rsidP="004161A0">
      <w:pPr>
        <w:spacing w:after="0"/>
        <w:rPr>
          <w:rFonts w:asciiTheme="minorHAnsi" w:hAnsiTheme="minorHAnsi"/>
        </w:rPr>
      </w:pPr>
    </w:p>
    <w:p w14:paraId="284E04FC" w14:textId="77777777" w:rsidR="004161A0" w:rsidRPr="004161A0" w:rsidRDefault="00C3625F" w:rsidP="004161A0">
      <w:pPr>
        <w:pStyle w:val="ListParagraph"/>
        <w:numPr>
          <w:ilvl w:val="0"/>
          <w:numId w:val="1"/>
        </w:numPr>
        <w:spacing w:after="0"/>
        <w:contextualSpacing w:val="0"/>
        <w:rPr>
          <w:rFonts w:asciiTheme="minorHAnsi" w:hAnsiTheme="minorHAnsi"/>
        </w:rPr>
      </w:pPr>
      <w:r w:rsidRPr="00B61700">
        <w:rPr>
          <w:rFonts w:asciiTheme="minorHAnsi" w:hAnsiTheme="minorHAnsi"/>
        </w:rPr>
        <w:t>In your view, what aspects of the 2010 Independent Evaluation Group’s study of the Safeguard Policies and accompanying recommendations are particularly important for the Bank to consider in the Safeguards Review and Update?</w:t>
      </w:r>
    </w:p>
    <w:tbl>
      <w:tblPr>
        <w:tblStyle w:val="TableGrid"/>
        <w:tblW w:w="0" w:type="auto"/>
        <w:tblLook w:val="04A0" w:firstRow="1" w:lastRow="0" w:firstColumn="1" w:lastColumn="0" w:noHBand="0" w:noVBand="1"/>
      </w:tblPr>
      <w:tblGrid>
        <w:gridCol w:w="9576"/>
      </w:tblGrid>
      <w:tr w:rsidR="004161A0" w:rsidRPr="004161A0" w14:paraId="263E61D0" w14:textId="77777777">
        <w:tc>
          <w:tcPr>
            <w:tcW w:w="9576" w:type="dxa"/>
          </w:tcPr>
          <w:p w14:paraId="5422070B" w14:textId="77777777" w:rsidR="004161A0" w:rsidRPr="004161A0" w:rsidRDefault="004161A0" w:rsidP="004161A0">
            <w:pPr>
              <w:rPr>
                <w:rFonts w:asciiTheme="minorHAnsi" w:hAnsiTheme="minorHAnsi"/>
              </w:rPr>
            </w:pPr>
          </w:p>
          <w:p w14:paraId="3875267C" w14:textId="70EF1A2C" w:rsidR="004161A0" w:rsidRDefault="00DF0EFB" w:rsidP="004161A0">
            <w:pPr>
              <w:rPr>
                <w:rFonts w:asciiTheme="majorHAnsi" w:hAnsiTheme="majorHAnsi"/>
              </w:rPr>
            </w:pPr>
            <w:r>
              <w:rPr>
                <w:rFonts w:asciiTheme="majorHAnsi" w:hAnsiTheme="majorHAnsi"/>
              </w:rPr>
              <w:t>To transform</w:t>
            </w:r>
            <w:r w:rsidRPr="0063594D">
              <w:rPr>
                <w:rFonts w:asciiTheme="majorHAnsi" w:hAnsiTheme="majorHAnsi"/>
              </w:rPr>
              <w:t xml:space="preserve"> Safeguards Policies into Performance Standards, shifting the emphasis from prescriptive measures to an explicit focus on the client’s environmental and social risk management systems.</w:t>
            </w:r>
            <w:r>
              <w:rPr>
                <w:rFonts w:asciiTheme="majorHAnsi" w:hAnsiTheme="majorHAnsi"/>
              </w:rPr>
              <w:t xml:space="preserve"> </w:t>
            </w:r>
          </w:p>
          <w:p w14:paraId="5D5F2EAC" w14:textId="77777777" w:rsidR="00C826F9" w:rsidRPr="004161A0" w:rsidRDefault="00C826F9" w:rsidP="004161A0">
            <w:pPr>
              <w:rPr>
                <w:rFonts w:asciiTheme="minorHAnsi" w:hAnsiTheme="minorHAnsi"/>
              </w:rPr>
            </w:pPr>
          </w:p>
          <w:p w14:paraId="71D223A1" w14:textId="77777777" w:rsidR="00DF0EFB" w:rsidRDefault="00473E48" w:rsidP="004161A0">
            <w:pPr>
              <w:rPr>
                <w:rFonts w:asciiTheme="majorHAnsi" w:hAnsiTheme="majorHAnsi"/>
              </w:rPr>
            </w:pPr>
            <w:r>
              <w:rPr>
                <w:rFonts w:asciiTheme="majorHAnsi" w:hAnsiTheme="majorHAnsi"/>
              </w:rPr>
              <w:t>T</w:t>
            </w:r>
            <w:r w:rsidRPr="0063594D">
              <w:rPr>
                <w:rFonts w:asciiTheme="majorHAnsi" w:hAnsiTheme="majorHAnsi"/>
              </w:rPr>
              <w:t xml:space="preserve">o align the Bank’s approach to environmental and social sustainability with the IFC </w:t>
            </w:r>
            <w:r>
              <w:rPr>
                <w:rFonts w:asciiTheme="majorHAnsi" w:hAnsiTheme="majorHAnsi"/>
              </w:rPr>
              <w:t>Performance Standards</w:t>
            </w:r>
            <w:r w:rsidRPr="0063594D">
              <w:rPr>
                <w:rFonts w:asciiTheme="majorHAnsi" w:hAnsiTheme="majorHAnsi"/>
              </w:rPr>
              <w:t xml:space="preserve"> and Guidance.</w:t>
            </w:r>
            <w:r w:rsidR="00E92A92" w:rsidRPr="0063594D">
              <w:rPr>
                <w:rFonts w:asciiTheme="majorHAnsi" w:hAnsiTheme="majorHAnsi"/>
              </w:rPr>
              <w:t xml:space="preserve"> IFC in its Performance Standards included several new areas of coverage. </w:t>
            </w:r>
          </w:p>
          <w:p w14:paraId="49E2AE8D" w14:textId="25ADD31F" w:rsidR="004161A0" w:rsidRPr="004161A0" w:rsidRDefault="00E92A92" w:rsidP="004161A0">
            <w:pPr>
              <w:rPr>
                <w:rFonts w:asciiTheme="minorHAnsi" w:hAnsiTheme="minorHAnsi"/>
              </w:rPr>
            </w:pPr>
            <w:r w:rsidRPr="0063594D">
              <w:rPr>
                <w:rFonts w:asciiTheme="majorHAnsi" w:hAnsiTheme="majorHAnsi"/>
              </w:rPr>
              <w:t>These are areas of risk that IFC identified as commonly recurring in international projects, and hence require review in IFC’s process of project appraisal and supervision. These include human rights, labor and occupational health and safety, gender, disability, natural resources, and climate change.</w:t>
            </w:r>
          </w:p>
          <w:p w14:paraId="4E5A22E9" w14:textId="77777777" w:rsidR="00493D26" w:rsidRDefault="00E70B3E" w:rsidP="004161A0">
            <w:pPr>
              <w:rPr>
                <w:rFonts w:asciiTheme="minorHAnsi" w:hAnsiTheme="minorHAnsi"/>
              </w:rPr>
            </w:pPr>
            <w:r>
              <w:rPr>
                <w:rFonts w:asciiTheme="minorHAnsi" w:hAnsiTheme="minorHAnsi"/>
              </w:rPr>
              <w:t xml:space="preserve">The </w:t>
            </w:r>
            <w:r w:rsidRPr="00203850">
              <w:rPr>
                <w:rFonts w:asciiTheme="minorHAnsi" w:hAnsiTheme="minorHAnsi"/>
              </w:rPr>
              <w:t xml:space="preserve">Independent Evaluation Group underlined the inconsistency of practices across the World Bank Group (WBG) as regards </w:t>
            </w:r>
            <w:proofErr w:type="spellStart"/>
            <w:r w:rsidRPr="00203850">
              <w:rPr>
                <w:rFonts w:asciiTheme="minorHAnsi" w:hAnsiTheme="minorHAnsi"/>
              </w:rPr>
              <w:t>labour</w:t>
            </w:r>
            <w:proofErr w:type="spellEnd"/>
            <w:r w:rsidRPr="00203850">
              <w:rPr>
                <w:rFonts w:asciiTheme="minorHAnsi" w:hAnsiTheme="minorHAnsi"/>
              </w:rPr>
              <w:t xml:space="preserve"> standards: “The thematic coverage of the [IFC] Performance Standards is more relevant to the WBG’s investment project portfolio than the policies in the current safeguards suite, due to the addition of explicit provisions on labor impacts, community impacts, and pollution prevention and abatement… There is no obvious reason to presume that community and labor impacts are not relevant to the Bank’s portfolio</w:t>
            </w:r>
            <w:r w:rsidRPr="009F7134">
              <w:rPr>
                <w:rFonts w:asciiTheme="minorHAnsi" w:hAnsiTheme="minorHAnsi"/>
              </w:rPr>
              <w:t>”.</w:t>
            </w:r>
          </w:p>
          <w:p w14:paraId="03672A95" w14:textId="77777777" w:rsidR="00493D26" w:rsidRDefault="00493D26" w:rsidP="004161A0">
            <w:pPr>
              <w:rPr>
                <w:rFonts w:asciiTheme="minorHAnsi" w:hAnsiTheme="minorHAnsi"/>
              </w:rPr>
            </w:pPr>
          </w:p>
          <w:p w14:paraId="184F3C9B" w14:textId="72FA3243" w:rsidR="004161A0" w:rsidRPr="004161A0" w:rsidRDefault="00E70B3E" w:rsidP="004161A0">
            <w:pPr>
              <w:rPr>
                <w:rFonts w:asciiTheme="minorHAnsi" w:hAnsiTheme="minorHAnsi"/>
              </w:rPr>
            </w:pPr>
            <w:r w:rsidRPr="009F7134">
              <w:rPr>
                <w:rFonts w:asciiTheme="minorHAnsi" w:hAnsiTheme="minorHAnsi"/>
              </w:rPr>
              <w:t xml:space="preserve"> </w:t>
            </w:r>
            <w:r w:rsidRPr="009F7134">
              <w:rPr>
                <w:rFonts w:asciiTheme="minorHAnsi" w:hAnsiTheme="minorHAnsi"/>
                <w:bCs/>
              </w:rPr>
              <w:t>In order to resolve the ambiguities and inconsistencies i</w:t>
            </w:r>
            <w:r>
              <w:rPr>
                <w:rFonts w:asciiTheme="minorHAnsi" w:hAnsiTheme="minorHAnsi"/>
                <w:bCs/>
              </w:rPr>
              <w:t xml:space="preserve">n the requirements regarding International </w:t>
            </w:r>
            <w:proofErr w:type="spellStart"/>
            <w:r>
              <w:rPr>
                <w:rFonts w:asciiTheme="minorHAnsi" w:hAnsiTheme="minorHAnsi"/>
                <w:bCs/>
              </w:rPr>
              <w:t>Labour</w:t>
            </w:r>
            <w:proofErr w:type="spellEnd"/>
            <w:r>
              <w:rPr>
                <w:rFonts w:asciiTheme="minorHAnsi" w:hAnsiTheme="minorHAnsi"/>
                <w:bCs/>
              </w:rPr>
              <w:t xml:space="preserve"> Standards</w:t>
            </w:r>
            <w:r w:rsidRPr="009F7134">
              <w:rPr>
                <w:rFonts w:asciiTheme="minorHAnsi" w:hAnsiTheme="minorHAnsi"/>
                <w:bCs/>
              </w:rPr>
              <w:t xml:space="preserve"> and their </w:t>
            </w:r>
            <w:r>
              <w:rPr>
                <w:rFonts w:asciiTheme="minorHAnsi" w:hAnsiTheme="minorHAnsi"/>
                <w:bCs/>
              </w:rPr>
              <w:t>application, the World Bank should</w:t>
            </w:r>
            <w:r w:rsidRPr="009F7134">
              <w:rPr>
                <w:rFonts w:asciiTheme="minorHAnsi" w:hAnsiTheme="minorHAnsi"/>
                <w:bCs/>
              </w:rPr>
              <w:t xml:space="preserve"> update its social and environmental safeguards to ensure that all its divisions respect internationally agreed rights of workers.</w:t>
            </w:r>
          </w:p>
          <w:p w14:paraId="32D4BC09" w14:textId="77777777" w:rsidR="004161A0" w:rsidRPr="004161A0" w:rsidRDefault="004161A0" w:rsidP="004161A0">
            <w:pPr>
              <w:rPr>
                <w:rFonts w:asciiTheme="minorHAnsi" w:hAnsiTheme="minorHAnsi"/>
              </w:rPr>
            </w:pPr>
          </w:p>
        </w:tc>
      </w:tr>
    </w:tbl>
    <w:p w14:paraId="423B3969" w14:textId="77777777" w:rsidR="004161A0" w:rsidRPr="004161A0" w:rsidRDefault="004161A0" w:rsidP="004161A0">
      <w:pPr>
        <w:spacing w:after="0"/>
        <w:rPr>
          <w:rFonts w:asciiTheme="minorHAnsi" w:hAnsiTheme="minorHAnsi"/>
        </w:rPr>
      </w:pPr>
    </w:p>
    <w:p w14:paraId="75164A9B" w14:textId="77777777" w:rsidR="004161A0" w:rsidRPr="004161A0" w:rsidRDefault="00506D72" w:rsidP="004161A0">
      <w:pPr>
        <w:pStyle w:val="ListParagraph"/>
        <w:numPr>
          <w:ilvl w:val="0"/>
          <w:numId w:val="1"/>
        </w:numPr>
        <w:spacing w:after="0"/>
        <w:contextualSpacing w:val="0"/>
        <w:rPr>
          <w:rFonts w:asciiTheme="minorHAnsi" w:hAnsiTheme="minorHAnsi"/>
        </w:rPr>
      </w:pPr>
      <w:r>
        <w:rPr>
          <w:rFonts w:asciiTheme="minorHAnsi" w:hAnsiTheme="minorHAnsi"/>
        </w:rPr>
        <w:t xml:space="preserve">What core </w:t>
      </w:r>
      <w:r w:rsidR="00C3625F" w:rsidRPr="004E1052">
        <w:rPr>
          <w:rFonts w:asciiTheme="minorHAnsi" w:hAnsiTheme="minorHAnsi"/>
        </w:rPr>
        <w:t>principles</w:t>
      </w:r>
      <w:r>
        <w:rPr>
          <w:rFonts w:asciiTheme="minorHAnsi" w:hAnsiTheme="minorHAnsi"/>
        </w:rPr>
        <w:t xml:space="preserve"> that promote </w:t>
      </w:r>
      <w:r w:rsidR="00C3625F" w:rsidRPr="002B1839">
        <w:rPr>
          <w:rFonts w:asciiTheme="minorHAnsi" w:hAnsiTheme="minorHAnsi"/>
        </w:rPr>
        <w:t>sustainable develo</w:t>
      </w:r>
      <w:r w:rsidR="00CE1671">
        <w:rPr>
          <w:rFonts w:asciiTheme="minorHAnsi" w:hAnsiTheme="minorHAnsi"/>
        </w:rPr>
        <w:t>pment</w:t>
      </w:r>
      <w:r>
        <w:rPr>
          <w:rFonts w:asciiTheme="minorHAnsi" w:hAnsiTheme="minorHAnsi"/>
        </w:rPr>
        <w:t xml:space="preserve"> should the Bank consider in the review, </w:t>
      </w:r>
      <w:r w:rsidR="006E007E">
        <w:rPr>
          <w:szCs w:val="24"/>
        </w:rPr>
        <w:t>including</w:t>
      </w:r>
      <w:r w:rsidRPr="007B5C1C">
        <w:rPr>
          <w:szCs w:val="24"/>
        </w:rPr>
        <w:t xml:space="preserve"> those already reflected in the current safeguard policies</w:t>
      </w:r>
      <w:r w:rsidR="00C3625F" w:rsidRPr="002B1839">
        <w:rPr>
          <w:rFonts w:asciiTheme="minorHAnsi" w:hAnsiTheme="minorHAnsi"/>
        </w:rPr>
        <w:t>?</w:t>
      </w:r>
    </w:p>
    <w:tbl>
      <w:tblPr>
        <w:tblStyle w:val="TableGrid"/>
        <w:tblW w:w="0" w:type="auto"/>
        <w:tblLook w:val="04A0" w:firstRow="1" w:lastRow="0" w:firstColumn="1" w:lastColumn="0" w:noHBand="0" w:noVBand="1"/>
      </w:tblPr>
      <w:tblGrid>
        <w:gridCol w:w="9576"/>
      </w:tblGrid>
      <w:tr w:rsidR="004161A0" w:rsidRPr="004161A0" w14:paraId="0AED21F2" w14:textId="77777777">
        <w:tc>
          <w:tcPr>
            <w:tcW w:w="9576" w:type="dxa"/>
          </w:tcPr>
          <w:p w14:paraId="6C3A6416" w14:textId="77777777" w:rsidR="00BA5B54" w:rsidRPr="00BA5B54" w:rsidRDefault="00BA5B54" w:rsidP="00BA5B54">
            <w:pPr>
              <w:rPr>
                <w:rFonts w:asciiTheme="minorHAnsi" w:hAnsiTheme="minorHAnsi"/>
              </w:rPr>
            </w:pPr>
            <w:r w:rsidRPr="00BA5B54">
              <w:rPr>
                <w:rFonts w:asciiTheme="minorHAnsi" w:hAnsiTheme="minorHAnsi"/>
              </w:rPr>
              <w:t xml:space="preserve">The Human rights, </w:t>
            </w:r>
            <w:proofErr w:type="spellStart"/>
            <w:r w:rsidRPr="00BA5B54">
              <w:rPr>
                <w:rFonts w:asciiTheme="minorHAnsi" w:hAnsiTheme="minorHAnsi"/>
              </w:rPr>
              <w:t>Labour</w:t>
            </w:r>
            <w:proofErr w:type="spellEnd"/>
            <w:r w:rsidRPr="00BA5B54">
              <w:rPr>
                <w:rFonts w:asciiTheme="minorHAnsi" w:hAnsiTheme="minorHAnsi"/>
              </w:rPr>
              <w:t xml:space="preserve"> standards, Environment and anti corruption principles of the UN Global Compact.</w:t>
            </w:r>
          </w:p>
          <w:p w14:paraId="176AE175" w14:textId="32782C1C" w:rsidR="004161A0" w:rsidRPr="00BA5B54" w:rsidRDefault="00622AAB" w:rsidP="00BA5B54">
            <w:pPr>
              <w:rPr>
                <w:rFonts w:asciiTheme="minorHAnsi" w:hAnsiTheme="minorHAnsi"/>
              </w:rPr>
            </w:pPr>
            <w:r w:rsidRPr="00BA5B54">
              <w:rPr>
                <w:rFonts w:asciiTheme="minorHAnsi" w:hAnsiTheme="minorHAnsi"/>
              </w:rPr>
              <w:t>Integrity, transparency and anti corruption measures</w:t>
            </w:r>
          </w:p>
          <w:p w14:paraId="189E0213" w14:textId="34F83E3B" w:rsidR="00622AAB" w:rsidRPr="00BA5B54" w:rsidRDefault="00622AAB" w:rsidP="00BA5B54">
            <w:pPr>
              <w:rPr>
                <w:rFonts w:asciiTheme="minorHAnsi" w:hAnsiTheme="minorHAnsi"/>
              </w:rPr>
            </w:pPr>
            <w:r w:rsidRPr="00BA5B54">
              <w:rPr>
                <w:rFonts w:asciiTheme="minorHAnsi" w:hAnsiTheme="minorHAnsi"/>
              </w:rPr>
              <w:t>Resource efficiency and climate change mitigation</w:t>
            </w:r>
          </w:p>
          <w:p w14:paraId="33442875" w14:textId="44C89680" w:rsidR="00622AAB" w:rsidRPr="00BA5B54" w:rsidRDefault="00622AAB" w:rsidP="00BA5B54">
            <w:pPr>
              <w:rPr>
                <w:rFonts w:asciiTheme="minorHAnsi" w:hAnsiTheme="minorHAnsi"/>
              </w:rPr>
            </w:pPr>
            <w:r w:rsidRPr="00BA5B54">
              <w:rPr>
                <w:rFonts w:asciiTheme="minorHAnsi" w:hAnsiTheme="minorHAnsi"/>
              </w:rPr>
              <w:t>Responsible manage</w:t>
            </w:r>
            <w:r w:rsidR="00B15DAF" w:rsidRPr="00BA5B54">
              <w:rPr>
                <w:rFonts w:asciiTheme="minorHAnsi" w:hAnsiTheme="minorHAnsi"/>
              </w:rPr>
              <w:t xml:space="preserve">ment of </w:t>
            </w:r>
            <w:r w:rsidRPr="00BA5B54">
              <w:rPr>
                <w:rFonts w:asciiTheme="minorHAnsi" w:hAnsiTheme="minorHAnsi"/>
              </w:rPr>
              <w:t>environmental, social and Governance issues.</w:t>
            </w:r>
          </w:p>
          <w:p w14:paraId="79E1C2B2" w14:textId="47AF1C52" w:rsidR="00BA5B54" w:rsidRPr="00BA5B54" w:rsidRDefault="00622AAB" w:rsidP="00BA5B54">
            <w:pPr>
              <w:rPr>
                <w:rFonts w:asciiTheme="minorHAnsi" w:hAnsiTheme="minorHAnsi"/>
              </w:rPr>
            </w:pPr>
            <w:r w:rsidRPr="00BA5B54">
              <w:rPr>
                <w:rFonts w:asciiTheme="minorHAnsi" w:hAnsiTheme="minorHAnsi"/>
              </w:rPr>
              <w:t>Stakeholder engagement and protecting the rights and interests of stakeholders.</w:t>
            </w:r>
          </w:p>
          <w:p w14:paraId="3CF4D009" w14:textId="16DDC4E9" w:rsidR="00606C19" w:rsidRPr="00BA5B54" w:rsidRDefault="00606C19" w:rsidP="00BA5B54">
            <w:pPr>
              <w:rPr>
                <w:rFonts w:asciiTheme="minorHAnsi" w:hAnsiTheme="minorHAnsi"/>
              </w:rPr>
            </w:pPr>
            <w:r w:rsidRPr="00BA5B54">
              <w:rPr>
                <w:rFonts w:asciiTheme="minorHAnsi" w:hAnsiTheme="minorHAnsi"/>
              </w:rPr>
              <w:t>The Equator Principles</w:t>
            </w:r>
          </w:p>
          <w:p w14:paraId="54D7D7BD" w14:textId="66906BC1" w:rsidR="00606C19" w:rsidRPr="00BA5B54" w:rsidRDefault="00606C19" w:rsidP="00BA5B54">
            <w:pPr>
              <w:rPr>
                <w:rFonts w:asciiTheme="minorHAnsi" w:hAnsiTheme="minorHAnsi"/>
              </w:rPr>
            </w:pPr>
            <w:r w:rsidRPr="00BA5B54">
              <w:rPr>
                <w:rFonts w:asciiTheme="minorHAnsi" w:hAnsiTheme="minorHAnsi"/>
              </w:rPr>
              <w:t xml:space="preserve">The </w:t>
            </w:r>
            <w:proofErr w:type="spellStart"/>
            <w:r w:rsidRPr="00BA5B54">
              <w:rPr>
                <w:rFonts w:asciiTheme="minorHAnsi" w:hAnsiTheme="minorHAnsi"/>
              </w:rPr>
              <w:t>Sustainabilty</w:t>
            </w:r>
            <w:proofErr w:type="spellEnd"/>
            <w:r w:rsidRPr="00BA5B54">
              <w:rPr>
                <w:rFonts w:asciiTheme="minorHAnsi" w:hAnsiTheme="minorHAnsi"/>
              </w:rPr>
              <w:t xml:space="preserve"> Reporting Principles and Guidelines of the Global Reporting Initiative.</w:t>
            </w:r>
          </w:p>
          <w:p w14:paraId="277D7F2B" w14:textId="77777777" w:rsidR="00BA5B54" w:rsidRPr="00BA5B54" w:rsidRDefault="00BA5B54" w:rsidP="00BA5B54">
            <w:pPr>
              <w:rPr>
                <w:rFonts w:asciiTheme="minorHAnsi" w:hAnsiTheme="minorHAnsi"/>
              </w:rPr>
            </w:pPr>
            <w:r w:rsidRPr="00BA5B54">
              <w:rPr>
                <w:rFonts w:asciiTheme="minorHAnsi" w:hAnsiTheme="minorHAnsi"/>
              </w:rPr>
              <w:t>The Universal Declaration of Human Rights.</w:t>
            </w:r>
          </w:p>
          <w:p w14:paraId="33BD2283" w14:textId="77777777" w:rsidR="00BA5B54" w:rsidRPr="00BA5B54" w:rsidRDefault="00BA5B54" w:rsidP="00BA5B54">
            <w:pPr>
              <w:rPr>
                <w:rFonts w:asciiTheme="minorHAnsi" w:hAnsiTheme="minorHAnsi"/>
              </w:rPr>
            </w:pPr>
            <w:proofErr w:type="spellStart"/>
            <w:r w:rsidRPr="00BA5B54">
              <w:rPr>
                <w:rFonts w:asciiTheme="minorHAnsi" w:hAnsiTheme="minorHAnsi"/>
              </w:rPr>
              <w:t>Millenium</w:t>
            </w:r>
            <w:proofErr w:type="spellEnd"/>
            <w:r w:rsidRPr="00BA5B54">
              <w:rPr>
                <w:rFonts w:asciiTheme="minorHAnsi" w:hAnsiTheme="minorHAnsi"/>
              </w:rPr>
              <w:t xml:space="preserve"> Development Goals.</w:t>
            </w:r>
          </w:p>
          <w:p w14:paraId="1CEEBBBC" w14:textId="77777777" w:rsidR="004161A0" w:rsidRPr="00BA5B54" w:rsidRDefault="004161A0" w:rsidP="00BA5B54">
            <w:pPr>
              <w:rPr>
                <w:rFonts w:asciiTheme="minorHAnsi" w:hAnsiTheme="minorHAnsi"/>
              </w:rPr>
            </w:pPr>
          </w:p>
          <w:p w14:paraId="0DA4EB8C" w14:textId="77777777" w:rsidR="004161A0" w:rsidRPr="00BA5B54" w:rsidRDefault="004161A0" w:rsidP="00BA5B54">
            <w:pPr>
              <w:pStyle w:val="ListParagraph"/>
              <w:ind w:left="360"/>
              <w:rPr>
                <w:rFonts w:asciiTheme="minorHAnsi" w:hAnsiTheme="minorHAnsi"/>
              </w:rPr>
            </w:pPr>
          </w:p>
        </w:tc>
      </w:tr>
    </w:tbl>
    <w:p w14:paraId="463BEA59" w14:textId="77777777" w:rsidR="004161A0" w:rsidRPr="004161A0" w:rsidRDefault="004161A0" w:rsidP="004161A0">
      <w:pPr>
        <w:spacing w:after="0"/>
        <w:rPr>
          <w:rFonts w:asciiTheme="minorHAnsi" w:hAnsiTheme="minorHAnsi"/>
        </w:rPr>
      </w:pPr>
    </w:p>
    <w:p w14:paraId="039A4355" w14:textId="77777777" w:rsidR="004161A0" w:rsidRPr="004161A0" w:rsidRDefault="00C3625F" w:rsidP="004161A0">
      <w:pPr>
        <w:pStyle w:val="ListParagraph"/>
        <w:numPr>
          <w:ilvl w:val="0"/>
          <w:numId w:val="1"/>
        </w:numPr>
        <w:spacing w:after="0"/>
        <w:rPr>
          <w:rFonts w:asciiTheme="minorHAnsi" w:hAnsiTheme="minorHAnsi"/>
        </w:rPr>
      </w:pPr>
      <w:r w:rsidRPr="002B1839">
        <w:rPr>
          <w:rFonts w:asciiTheme="minorHAnsi" w:hAnsiTheme="minorHAnsi"/>
        </w:rPr>
        <w:t xml:space="preserve">Are there any additional factors - beyond the internal and external drivers described in the paper </w:t>
      </w:r>
      <w:r w:rsidR="00616C8B">
        <w:rPr>
          <w:rFonts w:asciiTheme="minorHAnsi" w:hAnsiTheme="minorHAnsi"/>
        </w:rPr>
        <w:t>(</w:t>
      </w:r>
      <w:r w:rsidRPr="00616C8B">
        <w:rPr>
          <w:rFonts w:asciiTheme="minorHAnsi" w:hAnsiTheme="minorHAnsi"/>
        </w:rPr>
        <w:t>section II of the Approach Paper, page 4</w:t>
      </w:r>
      <w:r w:rsidR="00616C8B">
        <w:rPr>
          <w:rFonts w:asciiTheme="minorHAnsi" w:hAnsiTheme="minorHAnsi"/>
        </w:rPr>
        <w:t>)</w:t>
      </w:r>
      <w:r w:rsidRPr="002B1839">
        <w:rPr>
          <w:rFonts w:asciiTheme="minorHAnsi" w:hAnsiTheme="minorHAnsi"/>
        </w:rPr>
        <w:t xml:space="preserve"> - that the Bank should consider in the course of the review?</w:t>
      </w:r>
    </w:p>
    <w:tbl>
      <w:tblPr>
        <w:tblStyle w:val="TableGrid"/>
        <w:tblW w:w="0" w:type="auto"/>
        <w:tblLook w:val="04A0" w:firstRow="1" w:lastRow="0" w:firstColumn="1" w:lastColumn="0" w:noHBand="0" w:noVBand="1"/>
      </w:tblPr>
      <w:tblGrid>
        <w:gridCol w:w="9576"/>
      </w:tblGrid>
      <w:tr w:rsidR="004161A0" w:rsidRPr="004161A0" w14:paraId="0563DEB0" w14:textId="77777777">
        <w:tc>
          <w:tcPr>
            <w:tcW w:w="9576" w:type="dxa"/>
          </w:tcPr>
          <w:p w14:paraId="5015D60A" w14:textId="77777777" w:rsidR="004161A0" w:rsidRPr="004161A0" w:rsidRDefault="004161A0" w:rsidP="004161A0">
            <w:pPr>
              <w:rPr>
                <w:rFonts w:asciiTheme="minorHAnsi" w:hAnsiTheme="minorHAnsi"/>
              </w:rPr>
            </w:pPr>
          </w:p>
          <w:p w14:paraId="3CEA54E5" w14:textId="68BB06F9" w:rsidR="004161A0" w:rsidRDefault="00EE41E3" w:rsidP="004161A0">
            <w:pPr>
              <w:rPr>
                <w:rFonts w:asciiTheme="minorHAnsi" w:hAnsiTheme="minorHAnsi"/>
              </w:rPr>
            </w:pPr>
            <w:r>
              <w:rPr>
                <w:rFonts w:asciiTheme="minorHAnsi" w:hAnsiTheme="minorHAnsi"/>
              </w:rPr>
              <w:t>Governance and capacity building</w:t>
            </w:r>
            <w:r w:rsidR="004E3B23">
              <w:rPr>
                <w:rFonts w:asciiTheme="minorHAnsi" w:hAnsiTheme="minorHAnsi"/>
              </w:rPr>
              <w:t xml:space="preserve"> at country and project level</w:t>
            </w:r>
            <w:r>
              <w:rPr>
                <w:rFonts w:asciiTheme="minorHAnsi" w:hAnsiTheme="minorHAnsi"/>
              </w:rPr>
              <w:t>.</w:t>
            </w:r>
          </w:p>
          <w:p w14:paraId="06296923" w14:textId="0D8B5A1D" w:rsidR="00AC5286" w:rsidRPr="004161A0" w:rsidRDefault="00AC5286" w:rsidP="004161A0">
            <w:pPr>
              <w:rPr>
                <w:rFonts w:asciiTheme="minorHAnsi" w:hAnsiTheme="minorHAnsi"/>
              </w:rPr>
            </w:pPr>
            <w:r>
              <w:rPr>
                <w:rFonts w:asciiTheme="minorHAnsi" w:hAnsiTheme="minorHAnsi"/>
              </w:rPr>
              <w:t>Create synergies with wider economic, emp</w:t>
            </w:r>
            <w:r w:rsidR="00596AB0">
              <w:rPr>
                <w:rFonts w:asciiTheme="minorHAnsi" w:hAnsiTheme="minorHAnsi"/>
              </w:rPr>
              <w:t>loyment and industrial policies and development goals.</w:t>
            </w:r>
          </w:p>
          <w:p w14:paraId="04C7A033" w14:textId="77777777" w:rsidR="004161A0" w:rsidRPr="004161A0" w:rsidRDefault="004161A0" w:rsidP="004161A0">
            <w:pPr>
              <w:rPr>
                <w:rFonts w:asciiTheme="minorHAnsi" w:hAnsiTheme="minorHAnsi"/>
              </w:rPr>
            </w:pPr>
          </w:p>
          <w:p w14:paraId="7959712E" w14:textId="77777777" w:rsidR="004161A0" w:rsidRPr="004161A0" w:rsidRDefault="004161A0" w:rsidP="004161A0">
            <w:pPr>
              <w:rPr>
                <w:rFonts w:asciiTheme="minorHAnsi" w:hAnsiTheme="minorHAnsi"/>
              </w:rPr>
            </w:pPr>
          </w:p>
          <w:p w14:paraId="7757FBCD" w14:textId="77777777" w:rsidR="004161A0" w:rsidRPr="004161A0" w:rsidRDefault="004161A0" w:rsidP="004161A0">
            <w:pPr>
              <w:rPr>
                <w:rFonts w:asciiTheme="minorHAnsi" w:hAnsiTheme="minorHAnsi"/>
              </w:rPr>
            </w:pPr>
          </w:p>
        </w:tc>
      </w:tr>
    </w:tbl>
    <w:p w14:paraId="6362B91D" w14:textId="77777777" w:rsidR="004161A0" w:rsidRPr="004161A0" w:rsidRDefault="004161A0" w:rsidP="004161A0">
      <w:pPr>
        <w:spacing w:after="0"/>
        <w:rPr>
          <w:rFonts w:asciiTheme="minorHAnsi" w:hAnsiTheme="minorHAnsi"/>
        </w:rPr>
      </w:pPr>
    </w:p>
    <w:p w14:paraId="5D6469B2" w14:textId="77777777" w:rsidR="004161A0" w:rsidRPr="004161A0" w:rsidRDefault="00C3625F" w:rsidP="004161A0">
      <w:pPr>
        <w:pStyle w:val="ListParagraph"/>
        <w:numPr>
          <w:ilvl w:val="0"/>
          <w:numId w:val="1"/>
        </w:numPr>
        <w:spacing w:after="0"/>
        <w:rPr>
          <w:rFonts w:asciiTheme="minorHAnsi" w:hAnsiTheme="minorHAnsi"/>
        </w:rPr>
      </w:pPr>
      <w:r w:rsidRPr="002B1839">
        <w:rPr>
          <w:rFonts w:asciiTheme="minorHAnsi" w:hAnsiTheme="minorHAnsi"/>
        </w:rPr>
        <w:t xml:space="preserve">The paper notes that over the next decades countries will need to contend with a growing number of environmental and social risks and challenges </w:t>
      </w:r>
      <w:r w:rsidRPr="00616C8B">
        <w:rPr>
          <w:rFonts w:asciiTheme="minorHAnsi" w:hAnsiTheme="minorHAnsi"/>
        </w:rPr>
        <w:t>(</w:t>
      </w:r>
      <w:proofErr w:type="spellStart"/>
      <w:r w:rsidRPr="00616C8B">
        <w:rPr>
          <w:rFonts w:asciiTheme="minorHAnsi" w:hAnsiTheme="minorHAnsi"/>
        </w:rPr>
        <w:t>para</w:t>
      </w:r>
      <w:proofErr w:type="spellEnd"/>
      <w:r w:rsidRPr="00616C8B">
        <w:rPr>
          <w:rFonts w:asciiTheme="minorHAnsi" w:hAnsiTheme="minorHAnsi"/>
        </w:rPr>
        <w:t xml:space="preserve"> 19</w:t>
      </w:r>
      <w:r w:rsidR="00616C8B">
        <w:rPr>
          <w:rFonts w:asciiTheme="minorHAnsi" w:hAnsiTheme="minorHAnsi"/>
        </w:rPr>
        <w:t xml:space="preserve"> </w:t>
      </w:r>
      <w:r w:rsidR="00616C8B" w:rsidRPr="00616C8B">
        <w:rPr>
          <w:rFonts w:asciiTheme="minorHAnsi" w:hAnsiTheme="minorHAnsi"/>
        </w:rPr>
        <w:t>of the Approach Paper</w:t>
      </w:r>
      <w:r w:rsidRPr="00616C8B">
        <w:rPr>
          <w:rFonts w:asciiTheme="minorHAnsi" w:hAnsiTheme="minorHAnsi"/>
        </w:rPr>
        <w:t>).</w:t>
      </w:r>
      <w:r w:rsidRPr="002B1839">
        <w:rPr>
          <w:rFonts w:asciiTheme="minorHAnsi" w:hAnsiTheme="minorHAnsi"/>
        </w:rPr>
        <w:t xml:space="preserve"> These include: climate change, biodiversity loss, ocean acidification, economic and forced migration, and public health epidemics. The next generation of safeguard policies will need to help borrowers address these risks. Please describe any environmental and social </w:t>
      </w:r>
      <w:r w:rsidRPr="00616C8B">
        <w:rPr>
          <w:rFonts w:asciiTheme="minorHAnsi" w:hAnsiTheme="minorHAnsi"/>
        </w:rPr>
        <w:t>sustainability frameworks</w:t>
      </w:r>
      <w:r w:rsidRPr="002B1839">
        <w:rPr>
          <w:rFonts w:asciiTheme="minorHAnsi" w:hAnsiTheme="minorHAnsi"/>
        </w:rPr>
        <w:t xml:space="preserve"> used by other public or private institutions that you believe effectively address these risks, which the Bank should consider in the course of this review.</w:t>
      </w:r>
      <w:r w:rsidRPr="002B1839">
        <w:rPr>
          <w:rFonts w:asciiTheme="minorHAnsi" w:hAnsiTheme="minorHAnsi"/>
          <w:noProof/>
        </w:rPr>
        <w:t xml:space="preserve"> </w:t>
      </w:r>
    </w:p>
    <w:tbl>
      <w:tblPr>
        <w:tblStyle w:val="TableGrid"/>
        <w:tblW w:w="0" w:type="auto"/>
        <w:tblLook w:val="04A0" w:firstRow="1" w:lastRow="0" w:firstColumn="1" w:lastColumn="0" w:noHBand="0" w:noVBand="1"/>
      </w:tblPr>
      <w:tblGrid>
        <w:gridCol w:w="9576"/>
      </w:tblGrid>
      <w:tr w:rsidR="004161A0" w:rsidRPr="004161A0" w14:paraId="25F938E6" w14:textId="77777777">
        <w:tc>
          <w:tcPr>
            <w:tcW w:w="9576" w:type="dxa"/>
          </w:tcPr>
          <w:p w14:paraId="2E621DCB" w14:textId="1379C8D4" w:rsidR="00EB668B" w:rsidRPr="004161A0" w:rsidRDefault="004714A2" w:rsidP="004161A0">
            <w:pPr>
              <w:rPr>
                <w:rFonts w:asciiTheme="minorHAnsi" w:hAnsiTheme="minorHAnsi"/>
              </w:rPr>
            </w:pPr>
            <w:r>
              <w:rPr>
                <w:rFonts w:asciiTheme="minorHAnsi" w:hAnsiTheme="minorHAnsi"/>
              </w:rPr>
              <w:t xml:space="preserve">Continuing challenges include protection of Migrant workers’ rights, prevention of </w:t>
            </w:r>
            <w:r w:rsidR="00EB668B">
              <w:rPr>
                <w:rFonts w:asciiTheme="minorHAnsi" w:hAnsiTheme="minorHAnsi"/>
              </w:rPr>
              <w:t>HIV and AIDS</w:t>
            </w:r>
            <w:r>
              <w:rPr>
                <w:rFonts w:asciiTheme="minorHAnsi" w:hAnsiTheme="minorHAnsi"/>
              </w:rPr>
              <w:t xml:space="preserve">, tuberculosis and malaria, </w:t>
            </w:r>
            <w:r w:rsidR="00EB668B">
              <w:rPr>
                <w:rFonts w:asciiTheme="minorHAnsi" w:hAnsiTheme="minorHAnsi"/>
              </w:rPr>
              <w:t xml:space="preserve">Climate change </w:t>
            </w:r>
            <w:r>
              <w:rPr>
                <w:rFonts w:asciiTheme="minorHAnsi" w:hAnsiTheme="minorHAnsi"/>
              </w:rPr>
              <w:t>and disaster risk mitigation and adaptation.</w:t>
            </w:r>
          </w:p>
          <w:p w14:paraId="2E5E6883" w14:textId="77777777" w:rsidR="004161A0" w:rsidRPr="004161A0" w:rsidRDefault="004161A0" w:rsidP="004161A0">
            <w:pPr>
              <w:rPr>
                <w:rFonts w:asciiTheme="minorHAnsi" w:hAnsiTheme="minorHAnsi"/>
              </w:rPr>
            </w:pPr>
          </w:p>
          <w:p w14:paraId="76DC42FA" w14:textId="77777777" w:rsidR="004161A0" w:rsidRPr="004161A0" w:rsidRDefault="004161A0" w:rsidP="004161A0">
            <w:pPr>
              <w:rPr>
                <w:rFonts w:asciiTheme="minorHAnsi" w:hAnsiTheme="minorHAnsi"/>
              </w:rPr>
            </w:pPr>
          </w:p>
          <w:p w14:paraId="7B026568" w14:textId="77777777" w:rsidR="004161A0" w:rsidRPr="004161A0" w:rsidRDefault="004161A0" w:rsidP="004161A0">
            <w:pPr>
              <w:rPr>
                <w:rFonts w:asciiTheme="minorHAnsi" w:hAnsiTheme="minorHAnsi"/>
              </w:rPr>
            </w:pPr>
          </w:p>
        </w:tc>
      </w:tr>
    </w:tbl>
    <w:p w14:paraId="65089B9B" w14:textId="77777777" w:rsidR="004161A0" w:rsidRPr="004161A0" w:rsidRDefault="004161A0" w:rsidP="004161A0">
      <w:pPr>
        <w:spacing w:after="0"/>
        <w:rPr>
          <w:rFonts w:asciiTheme="minorHAnsi" w:hAnsiTheme="minorHAnsi"/>
        </w:rPr>
      </w:pPr>
    </w:p>
    <w:p w14:paraId="16467129" w14:textId="77777777" w:rsidR="004161A0" w:rsidRPr="004161A0" w:rsidRDefault="00C3625F" w:rsidP="004161A0">
      <w:pPr>
        <w:pStyle w:val="ListParagraph"/>
        <w:numPr>
          <w:ilvl w:val="0"/>
          <w:numId w:val="1"/>
        </w:numPr>
        <w:rPr>
          <w:rFonts w:asciiTheme="minorHAnsi" w:hAnsiTheme="minorHAnsi"/>
        </w:rPr>
      </w:pPr>
      <w:r w:rsidRPr="007C6337">
        <w:rPr>
          <w:rFonts w:asciiTheme="minorHAnsi" w:hAnsiTheme="minorHAnsi"/>
        </w:rPr>
        <w:t xml:space="preserve">Please share examples of </w:t>
      </w:r>
      <w:r w:rsidRPr="00616C8B">
        <w:rPr>
          <w:rFonts w:asciiTheme="minorHAnsi" w:hAnsiTheme="minorHAnsi"/>
        </w:rPr>
        <w:t xml:space="preserve">environmental and social assessment and risk management approaches </w:t>
      </w:r>
      <w:r w:rsidRPr="007C6337">
        <w:rPr>
          <w:rFonts w:asciiTheme="minorHAnsi" w:hAnsiTheme="minorHAnsi"/>
        </w:rPr>
        <w:t>(used by either public or private institutions) that are internationally recognized as good practice, which are not reflected in the current safeguard policies, but should be considered in the course of the review.</w:t>
      </w:r>
    </w:p>
    <w:tbl>
      <w:tblPr>
        <w:tblStyle w:val="TableGrid"/>
        <w:tblW w:w="0" w:type="auto"/>
        <w:tblLook w:val="04A0" w:firstRow="1" w:lastRow="0" w:firstColumn="1" w:lastColumn="0" w:noHBand="0" w:noVBand="1"/>
      </w:tblPr>
      <w:tblGrid>
        <w:gridCol w:w="9576"/>
      </w:tblGrid>
      <w:tr w:rsidR="004161A0" w:rsidRPr="004161A0" w14:paraId="63C265A5" w14:textId="77777777">
        <w:tc>
          <w:tcPr>
            <w:tcW w:w="9576" w:type="dxa"/>
          </w:tcPr>
          <w:p w14:paraId="7BBAFE27" w14:textId="22FDF3E8" w:rsidR="00593D23" w:rsidRPr="00593D23" w:rsidRDefault="00593D23" w:rsidP="00593D23">
            <w:pPr>
              <w:rPr>
                <w:rFonts w:asciiTheme="minorHAnsi" w:hAnsiTheme="minorHAnsi"/>
              </w:rPr>
            </w:pPr>
            <w:r w:rsidRPr="00593D23">
              <w:rPr>
                <w:rFonts w:asciiTheme="minorHAnsi" w:hAnsiTheme="minorHAnsi"/>
                <w:b/>
              </w:rPr>
              <w:t xml:space="preserve">The International </w:t>
            </w:r>
            <w:proofErr w:type="spellStart"/>
            <w:r w:rsidRPr="00593D23">
              <w:rPr>
                <w:rFonts w:asciiTheme="minorHAnsi" w:hAnsiTheme="minorHAnsi"/>
                <w:b/>
              </w:rPr>
              <w:t>Labour</w:t>
            </w:r>
            <w:proofErr w:type="spellEnd"/>
            <w:r w:rsidRPr="00593D23">
              <w:rPr>
                <w:rFonts w:asciiTheme="minorHAnsi" w:hAnsiTheme="minorHAnsi"/>
                <w:b/>
              </w:rPr>
              <w:t xml:space="preserve"> </w:t>
            </w:r>
            <w:proofErr w:type="spellStart"/>
            <w:r w:rsidRPr="00593D23">
              <w:rPr>
                <w:rFonts w:asciiTheme="minorHAnsi" w:hAnsiTheme="minorHAnsi"/>
                <w:b/>
              </w:rPr>
              <w:t>Organisation</w:t>
            </w:r>
            <w:proofErr w:type="spellEnd"/>
            <w:r>
              <w:t xml:space="preserve"> Tripartite Declaration </w:t>
            </w:r>
            <w:r w:rsidRPr="00593D23">
              <w:rPr>
                <w:rFonts w:asciiTheme="minorHAnsi" w:hAnsiTheme="minorHAnsi"/>
              </w:rPr>
              <w:t>on Fundamental Principles and Rights at Work</w:t>
            </w:r>
            <w:r>
              <w:rPr>
                <w:rFonts w:asciiTheme="minorHAnsi" w:hAnsiTheme="minorHAnsi"/>
              </w:rPr>
              <w:t>,</w:t>
            </w:r>
            <w:r>
              <w:t xml:space="preserve"> and </w:t>
            </w:r>
            <w:r w:rsidRPr="00593D23">
              <w:rPr>
                <w:rFonts w:asciiTheme="minorHAnsi" w:hAnsiTheme="minorHAnsi"/>
              </w:rPr>
              <w:t xml:space="preserve">Internationally recognized </w:t>
            </w:r>
            <w:proofErr w:type="spellStart"/>
            <w:r w:rsidRPr="00593D23">
              <w:rPr>
                <w:rFonts w:asciiTheme="minorHAnsi" w:hAnsiTheme="minorHAnsi"/>
              </w:rPr>
              <w:t>Labour</w:t>
            </w:r>
            <w:proofErr w:type="spellEnd"/>
            <w:r w:rsidRPr="00593D23">
              <w:rPr>
                <w:rFonts w:asciiTheme="minorHAnsi" w:hAnsiTheme="minorHAnsi"/>
              </w:rPr>
              <w:t xml:space="preserve"> Standards of the ILO</w:t>
            </w:r>
            <w:r w:rsidR="004F5C14">
              <w:rPr>
                <w:rFonts w:asciiTheme="minorHAnsi" w:hAnsiTheme="minorHAnsi"/>
              </w:rPr>
              <w:t>.</w:t>
            </w:r>
          </w:p>
          <w:p w14:paraId="4FB51933" w14:textId="77777777" w:rsidR="00593D23" w:rsidRPr="00F73D1D" w:rsidRDefault="00593D23" w:rsidP="00593D23">
            <w:pPr>
              <w:tabs>
                <w:tab w:val="left" w:pos="5240"/>
              </w:tabs>
            </w:pPr>
            <w:r>
              <w:t xml:space="preserve">The ILO Tripartite Declaration is a voluntary global framework for responsible business conduct. It was developed and endorsed by government, business and workers organizations, and is based on agreed ILO conventions and recommendations. It has a strong emphasis on employment and human rights and </w:t>
            </w:r>
            <w:r>
              <w:lastRenderedPageBreak/>
              <w:t>applies universally, regardless of ratification. It involves regular monitoring through periodic surveys.</w:t>
            </w:r>
          </w:p>
          <w:p w14:paraId="73C0C7DB" w14:textId="4B70CCAF" w:rsidR="00593D23" w:rsidRPr="00593D23" w:rsidRDefault="00593D23" w:rsidP="00593D23">
            <w:pPr>
              <w:rPr>
                <w:rFonts w:asciiTheme="minorHAnsi" w:hAnsiTheme="minorHAnsi"/>
                <w:b/>
              </w:rPr>
            </w:pPr>
            <w:r w:rsidRPr="00593D23">
              <w:rPr>
                <w:b/>
              </w:rPr>
              <w:t>OECD Guidelines for Multinational Enterprises (MNEs)</w:t>
            </w:r>
            <w:r>
              <w:rPr>
                <w:b/>
              </w:rPr>
              <w:t>, and</w:t>
            </w:r>
            <w:r w:rsidRPr="00593D23">
              <w:rPr>
                <w:b/>
              </w:rPr>
              <w:t xml:space="preserve"> </w:t>
            </w:r>
            <w:r>
              <w:rPr>
                <w:rFonts w:asciiTheme="minorHAnsi" w:hAnsiTheme="minorHAnsi"/>
                <w:b/>
              </w:rPr>
              <w:t>t</w:t>
            </w:r>
            <w:r w:rsidRPr="00593D23">
              <w:rPr>
                <w:rFonts w:asciiTheme="minorHAnsi" w:hAnsiTheme="minorHAnsi"/>
                <w:b/>
              </w:rPr>
              <w:t>he OECD principles, OECD Policy Framework for Investment.</w:t>
            </w:r>
          </w:p>
          <w:p w14:paraId="2C4617DE" w14:textId="77777777" w:rsidR="00593D23" w:rsidRPr="00F73D1D" w:rsidRDefault="00593D23" w:rsidP="00593D23">
            <w:r>
              <w:t xml:space="preserve">The OECD Guidelines for Multinational Enterprises are recommendations addressed by governments to multinational enterprises operating in or from adhering countries. They were revised in 2011 in consultation with adhering countries and emerging economies. They embrace a set of widely </w:t>
            </w:r>
            <w:proofErr w:type="spellStart"/>
            <w:r>
              <w:t>recognised</w:t>
            </w:r>
            <w:proofErr w:type="spellEnd"/>
            <w:r>
              <w:t xml:space="preserve"> principles and standards for responsible </w:t>
            </w:r>
            <w:r w:rsidRPr="00593D23">
              <w:rPr>
                <w:b/>
              </w:rPr>
              <w:t>business</w:t>
            </w:r>
            <w:r>
              <w:t xml:space="preserve"> conduct including employment and industrial relations, human rights, environment, information disclosure, combating bribery, consumer interests, science and technology, competition and taxation, together with procedures for mediation and conciliation as part of the implementation of the Guidelines</w:t>
            </w:r>
          </w:p>
          <w:p w14:paraId="2E1AC395" w14:textId="7DF328A8" w:rsidR="00593D23" w:rsidRPr="00593D23" w:rsidRDefault="00593D23" w:rsidP="00593D23">
            <w:pPr>
              <w:rPr>
                <w:rFonts w:asciiTheme="minorHAnsi" w:hAnsiTheme="minorHAnsi"/>
              </w:rPr>
            </w:pPr>
            <w:r w:rsidRPr="00593D23">
              <w:rPr>
                <w:b/>
              </w:rPr>
              <w:t>United Nations Global Compact</w:t>
            </w:r>
            <w:r>
              <w:t xml:space="preserve">: </w:t>
            </w:r>
            <w:r w:rsidRPr="00593D23">
              <w:rPr>
                <w:rFonts w:asciiTheme="minorHAnsi" w:hAnsiTheme="minorHAnsi"/>
              </w:rPr>
              <w:t xml:space="preserve">The Human rights, </w:t>
            </w:r>
            <w:proofErr w:type="spellStart"/>
            <w:r w:rsidRPr="00593D23">
              <w:rPr>
                <w:rFonts w:asciiTheme="minorHAnsi" w:hAnsiTheme="minorHAnsi"/>
              </w:rPr>
              <w:t>Labour</w:t>
            </w:r>
            <w:proofErr w:type="spellEnd"/>
            <w:r w:rsidRPr="00593D23">
              <w:rPr>
                <w:rFonts w:asciiTheme="minorHAnsi" w:hAnsiTheme="minorHAnsi"/>
              </w:rPr>
              <w:t xml:space="preserve"> standards, Environment and anti corruption principles of the UN Global Compact. </w:t>
            </w:r>
            <w:r>
              <w:t xml:space="preserve">The UN Global Compact is a voluntary initiative for businesses committed to aligning their operations with ten universally accepted principles in the areas of human rights, </w:t>
            </w:r>
            <w:proofErr w:type="spellStart"/>
            <w:r>
              <w:t>labour</w:t>
            </w:r>
            <w:proofErr w:type="spellEnd"/>
            <w:r>
              <w:t>, environment and anti-corruption. Its objectives are (</w:t>
            </w:r>
            <w:proofErr w:type="spellStart"/>
            <w:r>
              <w:t>i</w:t>
            </w:r>
            <w:proofErr w:type="spellEnd"/>
            <w:r>
              <w:t xml:space="preserve">) to mainstream the ten principles in business activities around the world; (ii) to </w:t>
            </w:r>
            <w:proofErr w:type="spellStart"/>
            <w:r>
              <w:t>catalyse</w:t>
            </w:r>
            <w:proofErr w:type="spellEnd"/>
            <w:r>
              <w:t xml:space="preserve"> actions in support of broader UN goals, including the MDGs. Business participants make a commitment to make the Global Compact’s ten principles part of their business strategies and their day-to-day operations. </w:t>
            </w:r>
          </w:p>
          <w:p w14:paraId="0EBAD66B" w14:textId="77777777" w:rsidR="00593D23" w:rsidRPr="00D17B28" w:rsidRDefault="00593D23" w:rsidP="00593D23">
            <w:pPr>
              <w:rPr>
                <w:rFonts w:asciiTheme="minorHAnsi" w:hAnsiTheme="minorHAnsi"/>
                <w:b/>
              </w:rPr>
            </w:pPr>
            <w:r w:rsidRPr="00D17B28">
              <w:rPr>
                <w:rFonts w:asciiTheme="minorHAnsi" w:hAnsiTheme="minorHAnsi"/>
                <w:b/>
              </w:rPr>
              <w:t>The Universal Declaration of Human Rights.</w:t>
            </w:r>
          </w:p>
          <w:p w14:paraId="30C06E23" w14:textId="0864A825" w:rsidR="00593D23" w:rsidRPr="00593D23" w:rsidRDefault="00D17B28" w:rsidP="00593D23">
            <w:pPr>
              <w:rPr>
                <w:rFonts w:asciiTheme="minorHAnsi" w:hAnsiTheme="minorHAnsi"/>
                <w:b/>
              </w:rPr>
            </w:pPr>
            <w:r>
              <w:rPr>
                <w:rFonts w:asciiTheme="minorHAnsi" w:hAnsiTheme="minorHAnsi"/>
                <w:b/>
              </w:rPr>
              <w:t xml:space="preserve">The </w:t>
            </w:r>
            <w:proofErr w:type="spellStart"/>
            <w:r w:rsidR="00593D23" w:rsidRPr="00593D23">
              <w:rPr>
                <w:rFonts w:asciiTheme="minorHAnsi" w:hAnsiTheme="minorHAnsi"/>
                <w:b/>
              </w:rPr>
              <w:t>Millenium</w:t>
            </w:r>
            <w:proofErr w:type="spellEnd"/>
            <w:r w:rsidR="00593D23" w:rsidRPr="00593D23">
              <w:rPr>
                <w:rFonts w:asciiTheme="minorHAnsi" w:hAnsiTheme="minorHAnsi"/>
                <w:b/>
              </w:rPr>
              <w:t xml:space="preserve"> Development Goals.</w:t>
            </w:r>
          </w:p>
          <w:p w14:paraId="614DEF15" w14:textId="77777777" w:rsidR="00593D23" w:rsidRPr="00593D23" w:rsidRDefault="00593D23" w:rsidP="00593D23">
            <w:pPr>
              <w:rPr>
                <w:rFonts w:asciiTheme="minorHAnsi" w:hAnsiTheme="minorHAnsi"/>
                <w:b/>
              </w:rPr>
            </w:pPr>
            <w:r w:rsidRPr="00593D23">
              <w:rPr>
                <w:rFonts w:asciiTheme="minorHAnsi" w:hAnsiTheme="minorHAnsi"/>
                <w:b/>
              </w:rPr>
              <w:t>The Equator Principles</w:t>
            </w:r>
          </w:p>
          <w:p w14:paraId="05D9E594" w14:textId="77777777" w:rsidR="00593D23" w:rsidRPr="00593D23" w:rsidRDefault="00593D23" w:rsidP="00593D23">
            <w:pPr>
              <w:rPr>
                <w:rFonts w:asciiTheme="minorHAnsi" w:hAnsiTheme="minorHAnsi"/>
                <w:b/>
              </w:rPr>
            </w:pPr>
            <w:r w:rsidRPr="00593D23">
              <w:rPr>
                <w:rFonts w:asciiTheme="minorHAnsi" w:hAnsiTheme="minorHAnsi"/>
                <w:b/>
              </w:rPr>
              <w:t xml:space="preserve">The </w:t>
            </w:r>
            <w:proofErr w:type="spellStart"/>
            <w:r w:rsidRPr="00593D23">
              <w:rPr>
                <w:rFonts w:asciiTheme="minorHAnsi" w:hAnsiTheme="minorHAnsi"/>
                <w:b/>
              </w:rPr>
              <w:t>Sustainabilty</w:t>
            </w:r>
            <w:proofErr w:type="spellEnd"/>
            <w:r w:rsidRPr="00593D23">
              <w:rPr>
                <w:rFonts w:asciiTheme="minorHAnsi" w:hAnsiTheme="minorHAnsi"/>
                <w:b/>
              </w:rPr>
              <w:t xml:space="preserve"> Reporting Principles and Guidelines of the Global Reporting Initiative.</w:t>
            </w:r>
          </w:p>
          <w:p w14:paraId="1349164A" w14:textId="77777777" w:rsidR="00593D23" w:rsidRPr="00593D23" w:rsidRDefault="00593D23" w:rsidP="00593D23">
            <w:pPr>
              <w:rPr>
                <w:rFonts w:asciiTheme="minorHAnsi" w:hAnsiTheme="minorHAnsi"/>
                <w:b/>
              </w:rPr>
            </w:pPr>
            <w:r w:rsidRPr="00593D23">
              <w:rPr>
                <w:rFonts w:asciiTheme="minorHAnsi" w:hAnsiTheme="minorHAnsi"/>
                <w:b/>
              </w:rPr>
              <w:t>International Framework Agreements and Codes of conduct of Multi National Companies.</w:t>
            </w:r>
          </w:p>
          <w:p w14:paraId="53CE07F7" w14:textId="77777777" w:rsidR="00593D23" w:rsidRDefault="00593D23" w:rsidP="00593D23">
            <w:pPr>
              <w:pStyle w:val="Default"/>
              <w:rPr>
                <w:sz w:val="22"/>
                <w:szCs w:val="22"/>
              </w:rPr>
            </w:pPr>
          </w:p>
          <w:p w14:paraId="19DC86B1" w14:textId="77777777" w:rsidR="004161A0" w:rsidRPr="00593D23" w:rsidRDefault="004161A0" w:rsidP="00593D23">
            <w:pPr>
              <w:rPr>
                <w:rFonts w:asciiTheme="minorHAnsi" w:hAnsiTheme="minorHAnsi"/>
              </w:rPr>
            </w:pPr>
          </w:p>
          <w:p w14:paraId="3C27F3D7" w14:textId="77777777" w:rsidR="004161A0" w:rsidRPr="00593D23" w:rsidRDefault="004161A0" w:rsidP="00593D23">
            <w:pPr>
              <w:rPr>
                <w:rFonts w:asciiTheme="minorHAnsi" w:hAnsiTheme="minorHAnsi"/>
              </w:rPr>
            </w:pPr>
          </w:p>
        </w:tc>
      </w:tr>
    </w:tbl>
    <w:p w14:paraId="33C247B4" w14:textId="77777777" w:rsidR="00C3625F" w:rsidRPr="004161A0" w:rsidRDefault="00C3625F" w:rsidP="00593D23">
      <w:pPr>
        <w:jc w:val="both"/>
        <w:rPr>
          <w:rFonts w:asciiTheme="minorHAnsi" w:hAnsiTheme="minorHAnsi"/>
        </w:rPr>
      </w:pPr>
    </w:p>
    <w:p w14:paraId="3F459949" w14:textId="77777777" w:rsidR="00C3625F" w:rsidRPr="00EC25CD" w:rsidRDefault="00C3625F" w:rsidP="00C3625F">
      <w:pPr>
        <w:pStyle w:val="ListParagraph"/>
        <w:numPr>
          <w:ilvl w:val="0"/>
          <w:numId w:val="1"/>
        </w:numPr>
        <w:jc w:val="both"/>
        <w:rPr>
          <w:rFonts w:asciiTheme="minorHAnsi" w:hAnsiTheme="minorHAnsi"/>
        </w:rPr>
      </w:pPr>
      <w:r w:rsidRPr="002B1839">
        <w:rPr>
          <w:rFonts w:asciiTheme="minorHAnsi" w:hAnsiTheme="minorHAnsi"/>
        </w:rPr>
        <w:t xml:space="preserve">As part of the review process, the Bank will also consider whether and how it could potentially address a number of emerging areas </w:t>
      </w:r>
      <w:r w:rsidRPr="00616C8B">
        <w:rPr>
          <w:rFonts w:asciiTheme="minorHAnsi" w:hAnsiTheme="minorHAnsi"/>
        </w:rPr>
        <w:t>(</w:t>
      </w:r>
      <w:proofErr w:type="spellStart"/>
      <w:r w:rsidRPr="00616C8B">
        <w:rPr>
          <w:rFonts w:asciiTheme="minorHAnsi" w:hAnsiTheme="minorHAnsi"/>
        </w:rPr>
        <w:t>para</w:t>
      </w:r>
      <w:proofErr w:type="spellEnd"/>
      <w:r w:rsidRPr="00616C8B">
        <w:rPr>
          <w:rFonts w:asciiTheme="minorHAnsi" w:hAnsiTheme="minorHAnsi"/>
        </w:rPr>
        <w:t xml:space="preserve"> 35</w:t>
      </w:r>
      <w:r w:rsidR="00616C8B">
        <w:rPr>
          <w:rFonts w:asciiTheme="minorHAnsi" w:hAnsiTheme="minorHAnsi"/>
        </w:rPr>
        <w:t xml:space="preserve"> </w:t>
      </w:r>
      <w:r w:rsidR="00616C8B" w:rsidRPr="00616C8B">
        <w:rPr>
          <w:rFonts w:asciiTheme="minorHAnsi" w:hAnsiTheme="minorHAnsi"/>
        </w:rPr>
        <w:t>of the Approach Paper</w:t>
      </w:r>
      <w:r w:rsidRPr="00616C8B">
        <w:rPr>
          <w:rFonts w:asciiTheme="minorHAnsi" w:hAnsiTheme="minorHAnsi"/>
        </w:rPr>
        <w:t>)</w:t>
      </w:r>
      <w:r w:rsidRPr="002B1839">
        <w:rPr>
          <w:rFonts w:asciiTheme="minorHAnsi" w:hAnsiTheme="minorHAnsi"/>
        </w:rPr>
        <w:t xml:space="preserve"> </w:t>
      </w:r>
      <w:r w:rsidR="004B1C9A">
        <w:rPr>
          <w:rFonts w:asciiTheme="minorHAnsi" w:hAnsiTheme="minorHAnsi"/>
        </w:rPr>
        <w:t>stakeholders have asked to</w:t>
      </w:r>
      <w:r w:rsidR="00B95645">
        <w:rPr>
          <w:rFonts w:asciiTheme="minorHAnsi" w:hAnsiTheme="minorHAnsi"/>
        </w:rPr>
        <w:t xml:space="preserve"> be</w:t>
      </w:r>
      <w:r w:rsidR="004B1C9A">
        <w:rPr>
          <w:rFonts w:asciiTheme="minorHAnsi" w:hAnsiTheme="minorHAnsi"/>
        </w:rPr>
        <w:t xml:space="preserve"> consider</w:t>
      </w:r>
      <w:r w:rsidR="00B95645">
        <w:rPr>
          <w:rFonts w:asciiTheme="minorHAnsi" w:hAnsiTheme="minorHAnsi"/>
        </w:rPr>
        <w:t>ed</w:t>
      </w:r>
      <w:r w:rsidRPr="002B1839">
        <w:rPr>
          <w:rFonts w:asciiTheme="minorHAnsi" w:hAnsiTheme="minorHAnsi"/>
        </w:rPr>
        <w:t>. These include human rights; labor and occupational health and safety; gender; disability; the free, prior, and informed consent of Indigenous Peoples; land tenure and natural resources; and climate change.  Do you have recommendations with respect to any of these areas</w:t>
      </w:r>
      <w:r w:rsidRPr="002B1839">
        <w:rPr>
          <w:rFonts w:asciiTheme="minorHAnsi" w:hAnsiTheme="minorHAnsi" w:cs="Arial"/>
          <w:color w:val="000000"/>
        </w:rPr>
        <w:t>?</w:t>
      </w:r>
      <w:r w:rsidRPr="002B1839">
        <w:rPr>
          <w:rFonts w:asciiTheme="minorHAnsi" w:hAnsiTheme="minorHAnsi"/>
        </w:rPr>
        <w:t xml:space="preserve">   </w:t>
      </w:r>
    </w:p>
    <w:tbl>
      <w:tblPr>
        <w:tblStyle w:val="TableGrid"/>
        <w:tblW w:w="0" w:type="auto"/>
        <w:tblLook w:val="04A0" w:firstRow="1" w:lastRow="0" w:firstColumn="1" w:lastColumn="0" w:noHBand="0" w:noVBand="1"/>
      </w:tblPr>
      <w:tblGrid>
        <w:gridCol w:w="9576"/>
      </w:tblGrid>
      <w:tr w:rsidR="00C3625F" w14:paraId="4390B6B1" w14:textId="77777777" w:rsidTr="00D142E3">
        <w:tc>
          <w:tcPr>
            <w:tcW w:w="9576" w:type="dxa"/>
          </w:tcPr>
          <w:p w14:paraId="6C1657A3" w14:textId="4733CB3C" w:rsidR="00C3625F" w:rsidRDefault="00C3625F" w:rsidP="00D142E3">
            <w:pPr>
              <w:jc w:val="both"/>
              <w:rPr>
                <w:rFonts w:asciiTheme="minorHAnsi" w:hAnsiTheme="minorHAnsi"/>
              </w:rPr>
            </w:pPr>
          </w:p>
          <w:p w14:paraId="5F8F63E6" w14:textId="62C8DE7B" w:rsidR="003D24C5" w:rsidRPr="00E70B3E" w:rsidRDefault="00EB668B" w:rsidP="0011627F">
            <w:pPr>
              <w:jc w:val="both"/>
              <w:rPr>
                <w:rFonts w:asciiTheme="minorHAnsi" w:hAnsiTheme="minorHAnsi"/>
              </w:rPr>
            </w:pPr>
            <w:r w:rsidRPr="00E70B3E">
              <w:rPr>
                <w:rFonts w:asciiTheme="minorHAnsi" w:hAnsiTheme="minorHAnsi"/>
              </w:rPr>
              <w:t xml:space="preserve">Trade </w:t>
            </w:r>
            <w:r w:rsidR="003D24C5" w:rsidRPr="00E70B3E">
              <w:rPr>
                <w:rFonts w:asciiTheme="minorHAnsi" w:hAnsiTheme="minorHAnsi"/>
              </w:rPr>
              <w:t>Union Rights are considered to be Human Rights</w:t>
            </w:r>
            <w:r w:rsidRPr="00E70B3E">
              <w:rPr>
                <w:rFonts w:asciiTheme="minorHAnsi" w:hAnsiTheme="minorHAnsi"/>
              </w:rPr>
              <w:t xml:space="preserve"> </w:t>
            </w:r>
            <w:r w:rsidR="003D24C5" w:rsidRPr="00E70B3E">
              <w:rPr>
                <w:rFonts w:asciiTheme="minorHAnsi" w:hAnsiTheme="minorHAnsi"/>
              </w:rPr>
              <w:t xml:space="preserve">under the </w:t>
            </w:r>
            <w:r w:rsidR="00DD216D">
              <w:rPr>
                <w:rFonts w:asciiTheme="minorHAnsi" w:hAnsiTheme="minorHAnsi"/>
              </w:rPr>
              <w:t xml:space="preserve">UN </w:t>
            </w:r>
            <w:r w:rsidR="003D24C5" w:rsidRPr="00E70B3E">
              <w:rPr>
                <w:rFonts w:asciiTheme="minorHAnsi" w:hAnsiTheme="minorHAnsi"/>
              </w:rPr>
              <w:t>Universal Declaration</w:t>
            </w:r>
            <w:r w:rsidR="00DD216D">
              <w:rPr>
                <w:rFonts w:asciiTheme="minorHAnsi" w:hAnsiTheme="minorHAnsi"/>
              </w:rPr>
              <w:t xml:space="preserve"> of Human Rights</w:t>
            </w:r>
            <w:r w:rsidR="003D24C5" w:rsidRPr="00E70B3E">
              <w:rPr>
                <w:rFonts w:asciiTheme="minorHAnsi" w:hAnsiTheme="minorHAnsi"/>
              </w:rPr>
              <w:t>.</w:t>
            </w:r>
            <w:r w:rsidR="0011627F">
              <w:rPr>
                <w:rFonts w:asciiTheme="minorHAnsi" w:hAnsiTheme="minorHAnsi"/>
              </w:rPr>
              <w:t xml:space="preserve"> </w:t>
            </w:r>
            <w:r w:rsidR="003D24C5" w:rsidRPr="00E70B3E">
              <w:rPr>
                <w:rFonts w:asciiTheme="minorHAnsi" w:hAnsiTheme="minorHAnsi"/>
              </w:rPr>
              <w:t xml:space="preserve">Of the Internationally recognized </w:t>
            </w:r>
            <w:proofErr w:type="spellStart"/>
            <w:r w:rsidR="003D24C5" w:rsidRPr="00E70B3E">
              <w:rPr>
                <w:rFonts w:asciiTheme="minorHAnsi" w:hAnsiTheme="minorHAnsi"/>
              </w:rPr>
              <w:t>Labour</w:t>
            </w:r>
            <w:proofErr w:type="spellEnd"/>
            <w:r w:rsidR="003D24C5" w:rsidRPr="00E70B3E">
              <w:rPr>
                <w:rFonts w:asciiTheme="minorHAnsi" w:hAnsiTheme="minorHAnsi"/>
              </w:rPr>
              <w:t xml:space="preserve"> Standards of the International </w:t>
            </w:r>
            <w:proofErr w:type="spellStart"/>
            <w:r w:rsidR="003D24C5" w:rsidRPr="00E70B3E">
              <w:rPr>
                <w:rFonts w:asciiTheme="minorHAnsi" w:hAnsiTheme="minorHAnsi"/>
              </w:rPr>
              <w:t>Labour</w:t>
            </w:r>
            <w:proofErr w:type="spellEnd"/>
            <w:r w:rsidR="003D24C5" w:rsidRPr="00E70B3E">
              <w:rPr>
                <w:rFonts w:asciiTheme="minorHAnsi" w:hAnsiTheme="minorHAnsi"/>
              </w:rPr>
              <w:t xml:space="preserve"> </w:t>
            </w:r>
            <w:proofErr w:type="spellStart"/>
            <w:r w:rsidR="003D24C5" w:rsidRPr="00E70B3E">
              <w:rPr>
                <w:rFonts w:asciiTheme="minorHAnsi" w:hAnsiTheme="minorHAnsi"/>
              </w:rPr>
              <w:t>Organisation</w:t>
            </w:r>
            <w:proofErr w:type="spellEnd"/>
            <w:r w:rsidR="003D24C5" w:rsidRPr="00E70B3E">
              <w:rPr>
                <w:rFonts w:asciiTheme="minorHAnsi" w:hAnsiTheme="minorHAnsi"/>
              </w:rPr>
              <w:t>, eight are c</w:t>
            </w:r>
            <w:r w:rsidR="00E70B3E">
              <w:rPr>
                <w:rFonts w:asciiTheme="minorHAnsi" w:hAnsiTheme="minorHAnsi"/>
              </w:rPr>
              <w:t xml:space="preserve">onsidered to be Core </w:t>
            </w:r>
            <w:proofErr w:type="spellStart"/>
            <w:r w:rsidR="00E70B3E">
              <w:rPr>
                <w:rFonts w:asciiTheme="minorHAnsi" w:hAnsiTheme="minorHAnsi"/>
              </w:rPr>
              <w:t>Labour</w:t>
            </w:r>
            <w:proofErr w:type="spellEnd"/>
            <w:r w:rsidR="00E70B3E">
              <w:rPr>
                <w:rFonts w:asciiTheme="minorHAnsi" w:hAnsiTheme="minorHAnsi"/>
              </w:rPr>
              <w:t xml:space="preserve"> Standards</w:t>
            </w:r>
            <w:r w:rsidR="003D24C5" w:rsidRPr="00E70B3E">
              <w:rPr>
                <w:rFonts w:asciiTheme="minorHAnsi" w:hAnsiTheme="minorHAnsi"/>
              </w:rPr>
              <w:t>:</w:t>
            </w:r>
          </w:p>
          <w:p w14:paraId="50F5F259" w14:textId="02A87572" w:rsidR="00422879" w:rsidRPr="00E70B3E" w:rsidRDefault="00422879" w:rsidP="00422879">
            <w:pPr>
              <w:jc w:val="both"/>
              <w:rPr>
                <w:rFonts w:asciiTheme="minorHAnsi" w:hAnsiTheme="minorHAnsi"/>
              </w:rPr>
            </w:pPr>
            <w:r w:rsidRPr="00E70B3E">
              <w:rPr>
                <w:rFonts w:asciiTheme="minorHAnsi" w:hAnsiTheme="minorHAnsi"/>
                <w:b/>
                <w:bCs/>
              </w:rPr>
              <w:t xml:space="preserve">Elimination of forced and compulsory </w:t>
            </w:r>
            <w:proofErr w:type="spellStart"/>
            <w:r w:rsidRPr="00E70B3E">
              <w:rPr>
                <w:rFonts w:asciiTheme="minorHAnsi" w:hAnsiTheme="minorHAnsi"/>
                <w:b/>
                <w:bCs/>
              </w:rPr>
              <w:t>labour</w:t>
            </w:r>
            <w:proofErr w:type="spellEnd"/>
          </w:p>
          <w:p w14:paraId="0B814462" w14:textId="6C702B48" w:rsidR="00422879" w:rsidRPr="00E70B3E" w:rsidRDefault="00422879" w:rsidP="00422879">
            <w:pPr>
              <w:jc w:val="both"/>
              <w:rPr>
                <w:rFonts w:asciiTheme="minorHAnsi" w:hAnsiTheme="minorHAnsi"/>
              </w:rPr>
            </w:pPr>
            <w:r w:rsidRPr="00E70B3E">
              <w:rPr>
                <w:rFonts w:asciiTheme="minorHAnsi" w:hAnsiTheme="minorHAnsi"/>
              </w:rPr>
              <w:t xml:space="preserve">(Conventions 29 and 105) where forced </w:t>
            </w:r>
            <w:proofErr w:type="spellStart"/>
            <w:r w:rsidRPr="00E70B3E">
              <w:rPr>
                <w:rFonts w:asciiTheme="minorHAnsi" w:hAnsiTheme="minorHAnsi"/>
              </w:rPr>
              <w:t>labour</w:t>
            </w:r>
            <w:proofErr w:type="spellEnd"/>
            <w:r w:rsidRPr="00E70B3E">
              <w:rPr>
                <w:rFonts w:asciiTheme="minorHAnsi" w:hAnsiTheme="minorHAnsi"/>
              </w:rPr>
              <w:t xml:space="preserve"> is “all work or service which is exacted from any person under the menace of any penalty and for which the said person has not offered himself voluntarily.” </w:t>
            </w:r>
          </w:p>
          <w:p w14:paraId="792909BD" w14:textId="77777777" w:rsidR="00422879" w:rsidRPr="00E70B3E" w:rsidRDefault="00422879" w:rsidP="00422879">
            <w:pPr>
              <w:jc w:val="both"/>
              <w:rPr>
                <w:rFonts w:asciiTheme="minorHAnsi" w:hAnsiTheme="minorHAnsi"/>
              </w:rPr>
            </w:pPr>
            <w:r w:rsidRPr="00E70B3E">
              <w:rPr>
                <w:rFonts w:asciiTheme="minorHAnsi" w:hAnsiTheme="minorHAnsi"/>
                <w:b/>
                <w:bCs/>
              </w:rPr>
              <w:t xml:space="preserve">Abolition of child </w:t>
            </w:r>
            <w:proofErr w:type="spellStart"/>
            <w:r w:rsidRPr="00E70B3E">
              <w:rPr>
                <w:rFonts w:asciiTheme="minorHAnsi" w:hAnsiTheme="minorHAnsi"/>
                <w:b/>
                <w:bCs/>
              </w:rPr>
              <w:t>labour</w:t>
            </w:r>
            <w:proofErr w:type="spellEnd"/>
          </w:p>
          <w:p w14:paraId="3C17CF0A" w14:textId="704521E1" w:rsidR="00422879" w:rsidRPr="00E70B3E" w:rsidRDefault="00422879" w:rsidP="00422879">
            <w:pPr>
              <w:jc w:val="both"/>
              <w:rPr>
                <w:rFonts w:asciiTheme="minorHAnsi" w:hAnsiTheme="minorHAnsi"/>
              </w:rPr>
            </w:pPr>
            <w:r w:rsidRPr="00E70B3E">
              <w:rPr>
                <w:rFonts w:asciiTheme="minorHAnsi" w:hAnsiTheme="minorHAnsi"/>
              </w:rPr>
              <w:t>(Conventions 138 and 182). Aside from violating children’s basic human rights, sending children to work rather than to school perpetuates poverty and compromises economic growth. Each signatory, regardless of level of economic development, agrees to design and implement a course of action, effectively monitor implementation and apply appropriate sanctions. </w:t>
            </w:r>
          </w:p>
          <w:p w14:paraId="786E8AE5" w14:textId="77777777" w:rsidR="00422879" w:rsidRPr="00E70B3E" w:rsidRDefault="00422879" w:rsidP="00422879">
            <w:pPr>
              <w:jc w:val="both"/>
              <w:rPr>
                <w:rFonts w:asciiTheme="minorHAnsi" w:hAnsiTheme="minorHAnsi"/>
                <w:b/>
                <w:bCs/>
              </w:rPr>
            </w:pPr>
            <w:r w:rsidRPr="00E70B3E">
              <w:rPr>
                <w:rFonts w:asciiTheme="minorHAnsi" w:hAnsiTheme="minorHAnsi"/>
                <w:b/>
                <w:bCs/>
              </w:rPr>
              <w:t>Elimination of discrimination in respect of employment and occupation</w:t>
            </w:r>
          </w:p>
          <w:p w14:paraId="43D37258" w14:textId="77777777" w:rsidR="00422879" w:rsidRPr="00E70B3E" w:rsidRDefault="00422879" w:rsidP="00422879">
            <w:pPr>
              <w:jc w:val="both"/>
              <w:rPr>
                <w:rFonts w:asciiTheme="minorHAnsi" w:hAnsiTheme="minorHAnsi"/>
              </w:rPr>
            </w:pPr>
            <w:r w:rsidRPr="00E70B3E">
              <w:rPr>
                <w:rFonts w:asciiTheme="minorHAnsi" w:hAnsiTheme="minorHAnsi"/>
              </w:rPr>
              <w:t xml:space="preserve">(Conventions 100 and 111) is central to achieving greater social justice while also promoting development through a more efficient allocation of resources. Discrimination includes “any distinction, exclusion or preference” made “on the basis of race, </w:t>
            </w:r>
            <w:proofErr w:type="spellStart"/>
            <w:r w:rsidRPr="00E70B3E">
              <w:rPr>
                <w:rFonts w:asciiTheme="minorHAnsi" w:hAnsiTheme="minorHAnsi"/>
              </w:rPr>
              <w:t>colour</w:t>
            </w:r>
            <w:proofErr w:type="spellEnd"/>
            <w:r w:rsidRPr="00E70B3E">
              <w:rPr>
                <w:rFonts w:asciiTheme="minorHAnsi" w:hAnsiTheme="minorHAnsi"/>
              </w:rPr>
              <w:t>, sex, religion, political opinion, national extraction or social origin, which has the effect of nullifying or impairing equality of opportunity or treatment in employment or occupation...</w:t>
            </w:r>
            <w:proofErr w:type="gramStart"/>
            <w:r w:rsidRPr="00E70B3E">
              <w:rPr>
                <w:rFonts w:asciiTheme="minorHAnsi" w:hAnsiTheme="minorHAnsi"/>
              </w:rPr>
              <w:t>”.</w:t>
            </w:r>
            <w:proofErr w:type="gramEnd"/>
          </w:p>
          <w:p w14:paraId="3C8FCD94" w14:textId="35D53DC4" w:rsidR="00422879" w:rsidRPr="00E70B3E" w:rsidRDefault="00422879" w:rsidP="00422879">
            <w:pPr>
              <w:jc w:val="both"/>
              <w:rPr>
                <w:rFonts w:asciiTheme="minorHAnsi" w:hAnsiTheme="minorHAnsi"/>
              </w:rPr>
            </w:pPr>
            <w:r w:rsidRPr="00E70B3E">
              <w:rPr>
                <w:rFonts w:asciiTheme="minorHAnsi" w:hAnsiTheme="minorHAnsi"/>
                <w:b/>
                <w:bCs/>
              </w:rPr>
              <w:t>Freedom of association and collective bargaining</w:t>
            </w:r>
          </w:p>
          <w:p w14:paraId="11310CEB" w14:textId="77777777" w:rsidR="00E70B3E" w:rsidRPr="00E70B3E" w:rsidRDefault="00422879" w:rsidP="00E70B3E">
            <w:pPr>
              <w:pStyle w:val="Default"/>
              <w:rPr>
                <w:rFonts w:asciiTheme="minorHAnsi" w:hAnsiTheme="minorHAnsi"/>
                <w:sz w:val="22"/>
                <w:szCs w:val="22"/>
              </w:rPr>
            </w:pPr>
            <w:r w:rsidRPr="00E70B3E">
              <w:rPr>
                <w:rFonts w:asciiTheme="minorHAnsi" w:hAnsiTheme="minorHAnsi"/>
                <w:sz w:val="22"/>
                <w:szCs w:val="22"/>
              </w:rPr>
              <w:t xml:space="preserve">(Conventions 87 and 98). The right for workers and employers to freely create and participate in </w:t>
            </w:r>
            <w:proofErr w:type="spellStart"/>
            <w:r w:rsidRPr="00E70B3E">
              <w:rPr>
                <w:rFonts w:asciiTheme="minorHAnsi" w:hAnsiTheme="minorHAnsi"/>
                <w:sz w:val="22"/>
                <w:szCs w:val="22"/>
              </w:rPr>
              <w:lastRenderedPageBreak/>
              <w:t>organisations</w:t>
            </w:r>
            <w:proofErr w:type="spellEnd"/>
            <w:r w:rsidRPr="00E70B3E">
              <w:rPr>
                <w:rFonts w:asciiTheme="minorHAnsi" w:hAnsiTheme="minorHAnsi"/>
                <w:sz w:val="22"/>
                <w:szCs w:val="22"/>
              </w:rPr>
              <w:t xml:space="preserve"> to promote and protect their interests is a fundamental principle behind the ILO’s work.  Signatories must give workers and employees the right freely to establish and join </w:t>
            </w:r>
            <w:proofErr w:type="spellStart"/>
            <w:r w:rsidRPr="00E70B3E">
              <w:rPr>
                <w:rFonts w:asciiTheme="minorHAnsi" w:hAnsiTheme="minorHAnsi"/>
                <w:sz w:val="22"/>
                <w:szCs w:val="22"/>
              </w:rPr>
              <w:t>organisations</w:t>
            </w:r>
            <w:proofErr w:type="spellEnd"/>
            <w:r w:rsidRPr="00E70B3E">
              <w:rPr>
                <w:rFonts w:asciiTheme="minorHAnsi" w:hAnsiTheme="minorHAnsi"/>
                <w:sz w:val="22"/>
                <w:szCs w:val="22"/>
              </w:rPr>
              <w:t xml:space="preserve"> of their choice, without any type of prior </w:t>
            </w:r>
            <w:proofErr w:type="spellStart"/>
            <w:r w:rsidRPr="00E70B3E">
              <w:rPr>
                <w:rFonts w:asciiTheme="minorHAnsi" w:hAnsiTheme="minorHAnsi"/>
                <w:sz w:val="22"/>
                <w:szCs w:val="22"/>
              </w:rPr>
              <w:t>authorisation</w:t>
            </w:r>
            <w:proofErr w:type="spellEnd"/>
            <w:r w:rsidRPr="00E70B3E">
              <w:rPr>
                <w:rFonts w:asciiTheme="minorHAnsi" w:hAnsiTheme="minorHAnsi"/>
                <w:sz w:val="22"/>
                <w:szCs w:val="22"/>
              </w:rPr>
              <w:t xml:space="preserve">. Signatories further agree to establish mechanisms to ensure the right to </w:t>
            </w:r>
            <w:proofErr w:type="spellStart"/>
            <w:r w:rsidRPr="00E70B3E">
              <w:rPr>
                <w:rFonts w:asciiTheme="minorHAnsi" w:hAnsiTheme="minorHAnsi"/>
                <w:sz w:val="22"/>
                <w:szCs w:val="22"/>
              </w:rPr>
              <w:t>organise</w:t>
            </w:r>
            <w:proofErr w:type="spellEnd"/>
            <w:r w:rsidRPr="00E70B3E">
              <w:rPr>
                <w:rFonts w:asciiTheme="minorHAnsi" w:hAnsiTheme="minorHAnsi"/>
                <w:sz w:val="22"/>
                <w:szCs w:val="22"/>
              </w:rPr>
              <w:t xml:space="preserve"> and to encourage the practice of negotiating between employers and workers’ </w:t>
            </w:r>
            <w:proofErr w:type="spellStart"/>
            <w:r w:rsidRPr="00E70B3E">
              <w:rPr>
                <w:rFonts w:asciiTheme="minorHAnsi" w:hAnsiTheme="minorHAnsi"/>
                <w:sz w:val="22"/>
                <w:szCs w:val="22"/>
              </w:rPr>
              <w:t>organisations</w:t>
            </w:r>
            <w:proofErr w:type="spellEnd"/>
            <w:r w:rsidRPr="00E70B3E">
              <w:rPr>
                <w:rFonts w:asciiTheme="minorHAnsi" w:hAnsiTheme="minorHAnsi"/>
                <w:sz w:val="22"/>
                <w:szCs w:val="22"/>
              </w:rPr>
              <w:t>.</w:t>
            </w:r>
          </w:p>
          <w:p w14:paraId="41764717" w14:textId="77777777" w:rsidR="00E70B3E" w:rsidRDefault="00E70B3E" w:rsidP="00E70B3E">
            <w:pPr>
              <w:pStyle w:val="Default"/>
            </w:pPr>
          </w:p>
          <w:p w14:paraId="39F750C1" w14:textId="71921C70" w:rsidR="00E70B3E" w:rsidRPr="00E70B3E" w:rsidRDefault="00E70B3E" w:rsidP="00E70B3E">
            <w:pPr>
              <w:pStyle w:val="Default"/>
              <w:rPr>
                <w:rFonts w:asciiTheme="minorHAnsi" w:hAnsiTheme="minorHAnsi" w:cs="Times New Roman"/>
                <w:b/>
                <w:color w:val="auto"/>
                <w:sz w:val="22"/>
                <w:szCs w:val="22"/>
              </w:rPr>
            </w:pPr>
            <w:r w:rsidRPr="00E70B3E">
              <w:rPr>
                <w:rFonts w:asciiTheme="minorHAnsi" w:hAnsiTheme="minorHAnsi" w:cs="Times New Roman"/>
                <w:b/>
                <w:bCs/>
                <w:iCs/>
                <w:color w:val="auto"/>
                <w:sz w:val="22"/>
                <w:szCs w:val="22"/>
              </w:rPr>
              <w:t xml:space="preserve">Protecting fundamental workers’ rights in all World Bank operations </w:t>
            </w:r>
          </w:p>
          <w:p w14:paraId="5FE1C89D" w14:textId="77777777" w:rsidR="00E70B3E" w:rsidRPr="00E70B3E" w:rsidRDefault="00E70B3E" w:rsidP="00E70B3E">
            <w:pPr>
              <w:pStyle w:val="Default"/>
              <w:rPr>
                <w:rFonts w:asciiTheme="minorHAnsi" w:hAnsiTheme="minorHAnsi"/>
                <w:color w:val="auto"/>
                <w:sz w:val="22"/>
                <w:szCs w:val="22"/>
              </w:rPr>
            </w:pPr>
            <w:r w:rsidRPr="00E70B3E">
              <w:rPr>
                <w:rFonts w:asciiTheme="minorHAnsi" w:hAnsiTheme="minorHAnsi"/>
                <w:color w:val="auto"/>
                <w:sz w:val="22"/>
                <w:szCs w:val="22"/>
              </w:rPr>
              <w:t xml:space="preserve">The recognition of the importance of Core </w:t>
            </w:r>
            <w:proofErr w:type="spellStart"/>
            <w:r w:rsidRPr="00E70B3E">
              <w:rPr>
                <w:rFonts w:asciiTheme="minorHAnsi" w:hAnsiTheme="minorHAnsi"/>
                <w:color w:val="auto"/>
                <w:sz w:val="22"/>
                <w:szCs w:val="22"/>
              </w:rPr>
              <w:t>Labour</w:t>
            </w:r>
            <w:proofErr w:type="spellEnd"/>
            <w:r w:rsidRPr="00E70B3E">
              <w:rPr>
                <w:rFonts w:asciiTheme="minorHAnsi" w:hAnsiTheme="minorHAnsi"/>
                <w:color w:val="auto"/>
                <w:sz w:val="22"/>
                <w:szCs w:val="22"/>
              </w:rPr>
              <w:t xml:space="preserve"> Standards is included in the World Bank’s new Social Protection and </w:t>
            </w:r>
            <w:proofErr w:type="spellStart"/>
            <w:r w:rsidRPr="00E70B3E">
              <w:rPr>
                <w:rFonts w:asciiTheme="minorHAnsi" w:hAnsiTheme="minorHAnsi"/>
                <w:color w:val="auto"/>
                <w:sz w:val="22"/>
                <w:szCs w:val="22"/>
              </w:rPr>
              <w:t>Labour</w:t>
            </w:r>
            <w:proofErr w:type="spellEnd"/>
            <w:r w:rsidRPr="00E70B3E">
              <w:rPr>
                <w:rFonts w:asciiTheme="minorHAnsi" w:hAnsiTheme="minorHAnsi"/>
                <w:color w:val="auto"/>
                <w:sz w:val="22"/>
                <w:szCs w:val="22"/>
              </w:rPr>
              <w:t xml:space="preserve"> Strategy. CLS are the underpinning of well-functioning </w:t>
            </w:r>
            <w:proofErr w:type="spellStart"/>
            <w:r w:rsidRPr="00E70B3E">
              <w:rPr>
                <w:rFonts w:asciiTheme="minorHAnsi" w:hAnsiTheme="minorHAnsi"/>
                <w:color w:val="auto"/>
                <w:sz w:val="22"/>
                <w:szCs w:val="22"/>
              </w:rPr>
              <w:t>labour</w:t>
            </w:r>
            <w:proofErr w:type="spellEnd"/>
            <w:r w:rsidRPr="00E70B3E">
              <w:rPr>
                <w:rFonts w:asciiTheme="minorHAnsi" w:hAnsiTheme="minorHAnsi"/>
                <w:color w:val="auto"/>
                <w:sz w:val="22"/>
                <w:szCs w:val="22"/>
              </w:rPr>
              <w:t xml:space="preserve"> markets and effective industrial relations systems that promote productive work and fair wages. They are central to equitable distribution of income and the World Bank’s mission of poverty reduction. </w:t>
            </w:r>
            <w:r w:rsidRPr="00E70B3E">
              <w:rPr>
                <w:rFonts w:asciiTheme="minorHAnsi" w:hAnsiTheme="minorHAnsi"/>
                <w:bCs/>
                <w:color w:val="auto"/>
                <w:sz w:val="22"/>
                <w:szCs w:val="22"/>
              </w:rPr>
              <w:t xml:space="preserve">Beyond the important role the World Bank can play in the promotion of core </w:t>
            </w:r>
            <w:proofErr w:type="spellStart"/>
            <w:r w:rsidRPr="00E70B3E">
              <w:rPr>
                <w:rFonts w:asciiTheme="minorHAnsi" w:hAnsiTheme="minorHAnsi"/>
                <w:bCs/>
                <w:color w:val="auto"/>
                <w:sz w:val="22"/>
                <w:szCs w:val="22"/>
              </w:rPr>
              <w:t>labour</w:t>
            </w:r>
            <w:proofErr w:type="spellEnd"/>
            <w:r w:rsidRPr="00E70B3E">
              <w:rPr>
                <w:rFonts w:asciiTheme="minorHAnsi" w:hAnsiTheme="minorHAnsi"/>
                <w:bCs/>
                <w:color w:val="auto"/>
                <w:sz w:val="22"/>
                <w:szCs w:val="22"/>
              </w:rPr>
              <w:t xml:space="preserve"> standards, the Bank’s most effective contribution is to make certain that its own operations comply with them.</w:t>
            </w:r>
            <w:r w:rsidRPr="00E70B3E">
              <w:rPr>
                <w:rFonts w:asciiTheme="minorHAnsi" w:hAnsiTheme="minorHAnsi"/>
                <w:b/>
                <w:bCs/>
                <w:color w:val="auto"/>
                <w:sz w:val="22"/>
                <w:szCs w:val="22"/>
              </w:rPr>
              <w:t xml:space="preserve"> </w:t>
            </w:r>
          </w:p>
          <w:p w14:paraId="0FE9348C" w14:textId="73CE6B9F" w:rsidR="00422879" w:rsidRDefault="00422879" w:rsidP="00422879">
            <w:pPr>
              <w:jc w:val="both"/>
            </w:pPr>
          </w:p>
          <w:p w14:paraId="27464D77" w14:textId="6057A5D5" w:rsidR="005E6CB0" w:rsidRDefault="005E6CB0" w:rsidP="00422879">
            <w:pPr>
              <w:jc w:val="both"/>
            </w:pPr>
            <w:r>
              <w:t xml:space="preserve">There are several other key International </w:t>
            </w:r>
            <w:proofErr w:type="spellStart"/>
            <w:r>
              <w:t>Labour</w:t>
            </w:r>
            <w:proofErr w:type="spellEnd"/>
            <w:r>
              <w:t xml:space="preserve"> Standards relevant to the Bank’s portfolio</w:t>
            </w:r>
            <w:r w:rsidR="0011627F">
              <w:t xml:space="preserve">, </w:t>
            </w:r>
            <w:r w:rsidR="00493D26">
              <w:t xml:space="preserve">which are also addressed by </w:t>
            </w:r>
            <w:r w:rsidR="00493D26" w:rsidRPr="004F5C14">
              <w:rPr>
                <w:b/>
              </w:rPr>
              <w:t xml:space="preserve">the International </w:t>
            </w:r>
            <w:proofErr w:type="spellStart"/>
            <w:r w:rsidR="00493D26" w:rsidRPr="004F5C14">
              <w:rPr>
                <w:b/>
              </w:rPr>
              <w:t>Labour</w:t>
            </w:r>
            <w:proofErr w:type="spellEnd"/>
            <w:r w:rsidR="00493D26" w:rsidRPr="004F5C14">
              <w:rPr>
                <w:b/>
              </w:rPr>
              <w:t xml:space="preserve"> </w:t>
            </w:r>
            <w:proofErr w:type="spellStart"/>
            <w:r w:rsidR="00493D26" w:rsidRPr="004F5C14">
              <w:rPr>
                <w:b/>
              </w:rPr>
              <w:t>Organisation’s</w:t>
            </w:r>
            <w:proofErr w:type="spellEnd"/>
            <w:r w:rsidR="00493D26" w:rsidRPr="004F5C14">
              <w:rPr>
                <w:b/>
              </w:rPr>
              <w:t xml:space="preserve"> Decent Work Agenda.</w:t>
            </w:r>
            <w:r w:rsidR="00493D26">
              <w:t xml:space="preserve"> T</w:t>
            </w:r>
            <w:r w:rsidR="0011627F">
              <w:t>hese include</w:t>
            </w:r>
            <w:r>
              <w:t>:</w:t>
            </w:r>
          </w:p>
          <w:p w14:paraId="4E1E73AC" w14:textId="7D74BD49" w:rsidR="00EB668B" w:rsidRDefault="00C43E0D" w:rsidP="00D142E3">
            <w:pPr>
              <w:jc w:val="both"/>
              <w:rPr>
                <w:rFonts w:asciiTheme="minorHAnsi" w:hAnsiTheme="minorHAnsi"/>
              </w:rPr>
            </w:pPr>
            <w:r w:rsidRPr="0011627F">
              <w:rPr>
                <w:rFonts w:asciiTheme="minorHAnsi" w:hAnsiTheme="minorHAnsi"/>
                <w:b/>
              </w:rPr>
              <w:t>Occupational Health and Safety</w:t>
            </w:r>
            <w:r>
              <w:rPr>
                <w:rFonts w:asciiTheme="minorHAnsi" w:hAnsiTheme="minorHAnsi"/>
              </w:rPr>
              <w:t xml:space="preserve">, including provisions for </w:t>
            </w:r>
            <w:r w:rsidR="00EB668B">
              <w:rPr>
                <w:rFonts w:asciiTheme="minorHAnsi" w:hAnsiTheme="minorHAnsi"/>
              </w:rPr>
              <w:t>Health and Safety Representatives Joint Health and Safety Committees – insurance, social security, working hours and rest periods</w:t>
            </w:r>
            <w:r w:rsidR="0011627F">
              <w:rPr>
                <w:rFonts w:asciiTheme="minorHAnsi" w:hAnsiTheme="minorHAnsi"/>
              </w:rPr>
              <w:t>. The ILO Conventions, Recommendations, Codes of Practice and Guidance on Occupational Safety and Health are highly relevant to the Bank’s portfolio, including sector specific Conventions, such as 167 on Safety and Health in Construction.</w:t>
            </w:r>
          </w:p>
          <w:p w14:paraId="520CA8AF" w14:textId="39218B7C" w:rsidR="00EB668B" w:rsidRDefault="00EB668B" w:rsidP="00D142E3">
            <w:pPr>
              <w:jc w:val="both"/>
              <w:rPr>
                <w:rFonts w:asciiTheme="minorHAnsi" w:hAnsiTheme="minorHAnsi"/>
              </w:rPr>
            </w:pPr>
            <w:r w:rsidRPr="0011627F">
              <w:rPr>
                <w:rFonts w:asciiTheme="minorHAnsi" w:hAnsiTheme="minorHAnsi"/>
                <w:b/>
              </w:rPr>
              <w:t>Welfare arrangements</w:t>
            </w:r>
            <w:r>
              <w:rPr>
                <w:rFonts w:asciiTheme="minorHAnsi" w:hAnsiTheme="minorHAnsi"/>
              </w:rPr>
              <w:t xml:space="preserve"> – accommodation, transport, water, canteen facilities and food, shelter, toilets, washing and storage facilities</w:t>
            </w:r>
            <w:r w:rsidR="0011627F">
              <w:rPr>
                <w:rFonts w:asciiTheme="minorHAnsi" w:hAnsiTheme="minorHAnsi"/>
              </w:rPr>
              <w:t>. Good guidance on workers’ accommodation in construction/ infrastructure has been published by the ILO and by the IFC and EBRD.</w:t>
            </w:r>
          </w:p>
          <w:p w14:paraId="05B1249E" w14:textId="7C59F3CA" w:rsidR="005E6CB0" w:rsidRPr="0011627F" w:rsidRDefault="005E6CB0" w:rsidP="00D142E3">
            <w:pPr>
              <w:jc w:val="both"/>
              <w:rPr>
                <w:rFonts w:asciiTheme="minorHAnsi" w:hAnsiTheme="minorHAnsi"/>
                <w:b/>
              </w:rPr>
            </w:pPr>
            <w:r w:rsidRPr="0011627F">
              <w:rPr>
                <w:rFonts w:asciiTheme="minorHAnsi" w:hAnsiTheme="minorHAnsi"/>
                <w:b/>
              </w:rPr>
              <w:t>Workers’ representation</w:t>
            </w:r>
          </w:p>
          <w:p w14:paraId="3C2EDEB0" w14:textId="77777777" w:rsidR="005E6CB0" w:rsidRPr="0011627F" w:rsidRDefault="005E6CB0" w:rsidP="00D142E3">
            <w:pPr>
              <w:jc w:val="both"/>
              <w:rPr>
                <w:rFonts w:asciiTheme="minorHAnsi" w:hAnsiTheme="minorHAnsi"/>
                <w:b/>
              </w:rPr>
            </w:pPr>
            <w:r w:rsidRPr="0011627F">
              <w:rPr>
                <w:rFonts w:asciiTheme="minorHAnsi" w:hAnsiTheme="minorHAnsi"/>
                <w:b/>
              </w:rPr>
              <w:t>Wages</w:t>
            </w:r>
          </w:p>
          <w:p w14:paraId="6D21DD4D" w14:textId="290884CE" w:rsidR="005E6CB0" w:rsidRPr="0011627F" w:rsidRDefault="005E6CB0" w:rsidP="00D142E3">
            <w:pPr>
              <w:jc w:val="both"/>
              <w:rPr>
                <w:rFonts w:asciiTheme="minorHAnsi" w:hAnsiTheme="minorHAnsi"/>
                <w:b/>
              </w:rPr>
            </w:pPr>
            <w:r w:rsidRPr="0011627F">
              <w:rPr>
                <w:rFonts w:asciiTheme="minorHAnsi" w:hAnsiTheme="minorHAnsi"/>
                <w:b/>
              </w:rPr>
              <w:t>Working hours</w:t>
            </w:r>
          </w:p>
          <w:p w14:paraId="0D80F511" w14:textId="1FACA9EB" w:rsidR="005E6CB0" w:rsidRDefault="005E6CB0" w:rsidP="005E6CB0">
            <w:pPr>
              <w:jc w:val="both"/>
              <w:rPr>
                <w:rFonts w:asciiTheme="minorHAnsi" w:hAnsiTheme="minorHAnsi"/>
                <w:b/>
              </w:rPr>
            </w:pPr>
            <w:r w:rsidRPr="0011627F">
              <w:rPr>
                <w:rFonts w:asciiTheme="minorHAnsi" w:hAnsiTheme="minorHAnsi"/>
                <w:b/>
              </w:rPr>
              <w:t xml:space="preserve">Equal rights for Migrant Workers </w:t>
            </w:r>
          </w:p>
          <w:p w14:paraId="27D93B85" w14:textId="53CD294B" w:rsidR="00493D26" w:rsidRPr="0011627F" w:rsidRDefault="00493D26" w:rsidP="005E6CB0">
            <w:pPr>
              <w:jc w:val="both"/>
              <w:rPr>
                <w:rFonts w:asciiTheme="minorHAnsi" w:hAnsiTheme="minorHAnsi"/>
                <w:b/>
              </w:rPr>
            </w:pPr>
            <w:r>
              <w:rPr>
                <w:rFonts w:asciiTheme="minorHAnsi" w:hAnsiTheme="minorHAnsi"/>
                <w:b/>
              </w:rPr>
              <w:t>Social Security</w:t>
            </w:r>
          </w:p>
          <w:p w14:paraId="7431B344" w14:textId="77777777" w:rsidR="00E70B3E" w:rsidRDefault="00E70B3E" w:rsidP="005E6CB0">
            <w:pPr>
              <w:jc w:val="both"/>
              <w:rPr>
                <w:rFonts w:asciiTheme="minorHAnsi" w:hAnsiTheme="minorHAnsi"/>
              </w:rPr>
            </w:pPr>
          </w:p>
          <w:p w14:paraId="029676F2" w14:textId="5CC01312" w:rsidR="00E70B3E" w:rsidRPr="00E70B3E" w:rsidRDefault="00E70B3E" w:rsidP="00E70B3E">
            <w:pPr>
              <w:pStyle w:val="Default"/>
              <w:rPr>
                <w:rFonts w:asciiTheme="minorHAnsi" w:hAnsiTheme="minorHAnsi"/>
                <w:color w:val="auto"/>
                <w:sz w:val="22"/>
                <w:szCs w:val="22"/>
              </w:rPr>
            </w:pPr>
            <w:r w:rsidRPr="00E70B3E">
              <w:rPr>
                <w:rFonts w:asciiTheme="minorHAnsi" w:hAnsiTheme="minorHAnsi"/>
                <w:color w:val="auto"/>
                <w:sz w:val="22"/>
                <w:szCs w:val="22"/>
              </w:rPr>
              <w:t xml:space="preserve">The International Finance Corporation has required since 2006 that client companies comply with CLS and other </w:t>
            </w:r>
            <w:r w:rsidRPr="00E70B3E">
              <w:rPr>
                <w:rFonts w:asciiTheme="minorHAnsi" w:hAnsiTheme="minorHAnsi"/>
                <w:b/>
                <w:color w:val="auto"/>
                <w:sz w:val="22"/>
                <w:szCs w:val="22"/>
              </w:rPr>
              <w:t xml:space="preserve">International </w:t>
            </w:r>
            <w:proofErr w:type="spellStart"/>
            <w:r w:rsidRPr="00E70B3E">
              <w:rPr>
                <w:rFonts w:asciiTheme="minorHAnsi" w:hAnsiTheme="minorHAnsi"/>
                <w:b/>
                <w:color w:val="auto"/>
                <w:sz w:val="22"/>
                <w:szCs w:val="22"/>
              </w:rPr>
              <w:t>Labour</w:t>
            </w:r>
            <w:proofErr w:type="spellEnd"/>
            <w:r w:rsidRPr="00E70B3E">
              <w:rPr>
                <w:rFonts w:asciiTheme="minorHAnsi" w:hAnsiTheme="minorHAnsi"/>
                <w:b/>
                <w:color w:val="auto"/>
                <w:sz w:val="22"/>
                <w:szCs w:val="22"/>
              </w:rPr>
              <w:t xml:space="preserve"> Standards (ILS)</w:t>
            </w:r>
            <w:r w:rsidRPr="00E70B3E">
              <w:rPr>
                <w:rFonts w:asciiTheme="minorHAnsi" w:hAnsiTheme="minorHAnsi"/>
                <w:color w:val="auto"/>
                <w:sz w:val="22"/>
                <w:szCs w:val="22"/>
              </w:rPr>
              <w:t xml:space="preserve"> as part of its Social and Environmental Performance Standards. They have also been applied by the Bank’s Multilateral Investment Guarantee Agency (MIGA). IFC’s revised performance standards, which went into effect in January 2012, reaffirm the importance for borrowing companies to respect ILS and expand on some other basic working condition requirements, such as occupational health and safety and workers’ right to information. A strong majority of large private banks engaged in development project lending, known as the Equator Banks, have adopted the same standards. </w:t>
            </w:r>
          </w:p>
          <w:p w14:paraId="615DCB1F" w14:textId="77777777" w:rsidR="00E70B3E" w:rsidRPr="00E70B3E" w:rsidRDefault="00E70B3E" w:rsidP="00E70B3E">
            <w:pPr>
              <w:pStyle w:val="Default"/>
              <w:rPr>
                <w:rFonts w:asciiTheme="minorHAnsi" w:hAnsiTheme="minorHAnsi"/>
                <w:color w:val="auto"/>
                <w:sz w:val="22"/>
                <w:szCs w:val="22"/>
              </w:rPr>
            </w:pPr>
          </w:p>
          <w:p w14:paraId="664660B8" w14:textId="2334DFBE" w:rsidR="00E70B3E" w:rsidRPr="00E70B3E" w:rsidRDefault="00E70B3E" w:rsidP="00E70B3E">
            <w:pPr>
              <w:pStyle w:val="Default"/>
              <w:rPr>
                <w:rFonts w:asciiTheme="minorHAnsi" w:hAnsiTheme="minorHAnsi"/>
                <w:color w:val="auto"/>
                <w:sz w:val="22"/>
                <w:szCs w:val="22"/>
              </w:rPr>
            </w:pPr>
            <w:r w:rsidRPr="00E70B3E">
              <w:rPr>
                <w:rFonts w:asciiTheme="minorHAnsi" w:hAnsiTheme="minorHAnsi"/>
                <w:color w:val="auto"/>
                <w:sz w:val="22"/>
                <w:szCs w:val="22"/>
              </w:rPr>
              <w:t>Additionally, in 2010 the World Bank and the regional development banks jointly incorporated I</w:t>
            </w:r>
            <w:r w:rsidR="0037402D">
              <w:rPr>
                <w:rFonts w:asciiTheme="minorHAnsi" w:hAnsiTheme="minorHAnsi"/>
                <w:color w:val="auto"/>
                <w:sz w:val="22"/>
                <w:szCs w:val="22"/>
              </w:rPr>
              <w:t xml:space="preserve">nternational </w:t>
            </w:r>
            <w:proofErr w:type="spellStart"/>
            <w:r w:rsidRPr="00E70B3E">
              <w:rPr>
                <w:rFonts w:asciiTheme="minorHAnsi" w:hAnsiTheme="minorHAnsi"/>
                <w:color w:val="auto"/>
                <w:sz w:val="22"/>
                <w:szCs w:val="22"/>
              </w:rPr>
              <w:t>L</w:t>
            </w:r>
            <w:r w:rsidR="0037402D">
              <w:rPr>
                <w:rFonts w:asciiTheme="minorHAnsi" w:hAnsiTheme="minorHAnsi"/>
                <w:color w:val="auto"/>
                <w:sz w:val="22"/>
                <w:szCs w:val="22"/>
              </w:rPr>
              <w:t>abour</w:t>
            </w:r>
            <w:proofErr w:type="spellEnd"/>
            <w:r w:rsidR="0037402D">
              <w:rPr>
                <w:rFonts w:asciiTheme="minorHAnsi" w:hAnsiTheme="minorHAnsi"/>
                <w:color w:val="auto"/>
                <w:sz w:val="22"/>
                <w:szCs w:val="22"/>
              </w:rPr>
              <w:t xml:space="preserve"> </w:t>
            </w:r>
            <w:r w:rsidRPr="00E70B3E">
              <w:rPr>
                <w:rFonts w:asciiTheme="minorHAnsi" w:hAnsiTheme="minorHAnsi"/>
                <w:color w:val="auto"/>
                <w:sz w:val="22"/>
                <w:szCs w:val="22"/>
              </w:rPr>
              <w:t>S</w:t>
            </w:r>
            <w:r w:rsidR="0037402D">
              <w:rPr>
                <w:rFonts w:asciiTheme="minorHAnsi" w:hAnsiTheme="minorHAnsi"/>
                <w:color w:val="auto"/>
                <w:sz w:val="22"/>
                <w:szCs w:val="22"/>
              </w:rPr>
              <w:t>tandards</w:t>
            </w:r>
            <w:r w:rsidRPr="00E70B3E">
              <w:rPr>
                <w:rFonts w:asciiTheme="minorHAnsi" w:hAnsiTheme="minorHAnsi"/>
                <w:color w:val="auto"/>
                <w:sz w:val="22"/>
                <w:szCs w:val="22"/>
              </w:rPr>
              <w:t xml:space="preserve"> clauses into their harmonized procurement of works documents, applicable to lending for major construction projects. However, the World Bank has taken no measures to ensure implementation of these clauses and they still have not implemented their commitment to apply the ILS to small construction works. </w:t>
            </w:r>
          </w:p>
          <w:p w14:paraId="023F9363" w14:textId="77777777" w:rsidR="00C3625F" w:rsidRPr="008229C0" w:rsidRDefault="00C3625F" w:rsidP="00D142E3">
            <w:pPr>
              <w:jc w:val="both"/>
              <w:rPr>
                <w:rFonts w:asciiTheme="minorHAnsi" w:hAnsiTheme="minorHAnsi"/>
              </w:rPr>
            </w:pPr>
          </w:p>
          <w:p w14:paraId="1153F1BD" w14:textId="7C7657B3" w:rsidR="008229C0" w:rsidRPr="00F676EB" w:rsidRDefault="008229C0" w:rsidP="008229C0">
            <w:pPr>
              <w:pStyle w:val="Default"/>
              <w:rPr>
                <w:rFonts w:asciiTheme="minorHAnsi" w:hAnsiTheme="minorHAnsi"/>
                <w:color w:val="auto"/>
                <w:sz w:val="22"/>
                <w:szCs w:val="22"/>
              </w:rPr>
            </w:pPr>
            <w:r w:rsidRPr="00F676EB">
              <w:rPr>
                <w:rFonts w:asciiTheme="minorHAnsi" w:hAnsiTheme="minorHAnsi"/>
                <w:bCs/>
                <w:color w:val="auto"/>
                <w:sz w:val="22"/>
                <w:szCs w:val="22"/>
              </w:rPr>
              <w:t xml:space="preserve">The revision of the World Bank’s safeguard policies should include safeguards on </w:t>
            </w:r>
            <w:proofErr w:type="spellStart"/>
            <w:r w:rsidRPr="00F676EB">
              <w:rPr>
                <w:rFonts w:asciiTheme="minorHAnsi" w:hAnsiTheme="minorHAnsi"/>
                <w:bCs/>
                <w:color w:val="auto"/>
                <w:sz w:val="22"/>
                <w:szCs w:val="22"/>
              </w:rPr>
              <w:t>labour</w:t>
            </w:r>
            <w:proofErr w:type="spellEnd"/>
            <w:r w:rsidRPr="00F676EB">
              <w:rPr>
                <w:rFonts w:asciiTheme="minorHAnsi" w:hAnsiTheme="minorHAnsi"/>
                <w:bCs/>
                <w:color w:val="auto"/>
                <w:sz w:val="22"/>
                <w:szCs w:val="22"/>
              </w:rPr>
              <w:t xml:space="preserve"> standards.</w:t>
            </w:r>
            <w:r w:rsidRPr="00F676EB">
              <w:rPr>
                <w:rFonts w:asciiTheme="minorHAnsi" w:hAnsiTheme="minorHAnsi"/>
                <w:b/>
                <w:bCs/>
                <w:color w:val="auto"/>
                <w:sz w:val="22"/>
                <w:szCs w:val="22"/>
              </w:rPr>
              <w:t xml:space="preserve"> </w:t>
            </w:r>
            <w:r w:rsidRPr="00F676EB">
              <w:rPr>
                <w:rFonts w:asciiTheme="minorHAnsi" w:hAnsiTheme="minorHAnsi"/>
                <w:color w:val="auto"/>
                <w:sz w:val="22"/>
                <w:szCs w:val="22"/>
              </w:rPr>
              <w:t xml:space="preserve">The policy should require compliance with all four of the core </w:t>
            </w:r>
            <w:proofErr w:type="spellStart"/>
            <w:r w:rsidRPr="00F676EB">
              <w:rPr>
                <w:rFonts w:asciiTheme="minorHAnsi" w:hAnsiTheme="minorHAnsi"/>
                <w:color w:val="auto"/>
                <w:sz w:val="22"/>
                <w:szCs w:val="22"/>
              </w:rPr>
              <w:t>labour</w:t>
            </w:r>
            <w:proofErr w:type="spellEnd"/>
            <w:r w:rsidRPr="00F676EB">
              <w:rPr>
                <w:rFonts w:asciiTheme="minorHAnsi" w:hAnsiTheme="minorHAnsi"/>
                <w:color w:val="auto"/>
                <w:sz w:val="22"/>
                <w:szCs w:val="22"/>
              </w:rPr>
              <w:t xml:space="preserve"> standards and properly adapted requirements such as those found in IFC’s Performance Standards for other basic working conditions, namely the provision of information to workers on conditions of employment, retrenchment procedures, grievance mechanisms, occupational health and safety standards and supply chain standards.</w:t>
            </w:r>
          </w:p>
          <w:p w14:paraId="5C05EFB1" w14:textId="77777777" w:rsidR="00C3625F" w:rsidRDefault="00C3625F" w:rsidP="00D142E3">
            <w:pPr>
              <w:jc w:val="both"/>
              <w:rPr>
                <w:rFonts w:asciiTheme="minorHAnsi" w:hAnsiTheme="minorHAnsi"/>
              </w:rPr>
            </w:pPr>
          </w:p>
          <w:p w14:paraId="6AC93204" w14:textId="77777777" w:rsidR="00C3625F" w:rsidRDefault="00C3625F" w:rsidP="00D142E3">
            <w:pPr>
              <w:jc w:val="both"/>
              <w:rPr>
                <w:rFonts w:asciiTheme="minorHAnsi" w:hAnsiTheme="minorHAnsi"/>
              </w:rPr>
            </w:pPr>
          </w:p>
        </w:tc>
      </w:tr>
    </w:tbl>
    <w:p w14:paraId="21BD8C3A" w14:textId="77777777" w:rsidR="00C3625F" w:rsidRPr="004161A0" w:rsidRDefault="00C3625F" w:rsidP="00C3625F">
      <w:pPr>
        <w:jc w:val="both"/>
        <w:rPr>
          <w:rFonts w:asciiTheme="minorHAnsi" w:hAnsiTheme="minorHAnsi"/>
        </w:rPr>
      </w:pPr>
    </w:p>
    <w:p w14:paraId="7FB9646F" w14:textId="77777777" w:rsidR="00C3625F" w:rsidRPr="00EC25CD" w:rsidRDefault="00C3625F" w:rsidP="00C3625F">
      <w:pPr>
        <w:pStyle w:val="ListParagraph"/>
        <w:numPr>
          <w:ilvl w:val="0"/>
          <w:numId w:val="1"/>
        </w:numPr>
        <w:jc w:val="both"/>
        <w:rPr>
          <w:rFonts w:asciiTheme="minorHAnsi" w:hAnsiTheme="minorHAnsi"/>
        </w:rPr>
      </w:pPr>
      <w:r w:rsidRPr="004161A0">
        <w:rPr>
          <w:rFonts w:asciiTheme="minorHAnsi" w:hAnsiTheme="minorHAnsi"/>
        </w:rPr>
        <w:t xml:space="preserve"> </w:t>
      </w:r>
      <w:r w:rsidRPr="002B1839">
        <w:rPr>
          <w:rFonts w:asciiTheme="minorHAnsi" w:hAnsiTheme="minorHAnsi"/>
        </w:rPr>
        <w:t xml:space="preserve">An objective of this review is to evolve the safeguards policies into an integrated framework that would serve as the basis of a </w:t>
      </w:r>
      <w:r>
        <w:rPr>
          <w:rFonts w:asciiTheme="minorHAnsi" w:hAnsiTheme="minorHAnsi"/>
        </w:rPr>
        <w:t xml:space="preserve">shared </w:t>
      </w:r>
      <w:r w:rsidRPr="002B1839">
        <w:rPr>
          <w:rFonts w:asciiTheme="minorHAnsi" w:hAnsiTheme="minorHAnsi"/>
        </w:rPr>
        <w:t>commitment between the Bank and its borrowers to environmentally and socially sustainable outcomes.  Do you have any recommendations to guide the Bank in this effort?</w:t>
      </w:r>
    </w:p>
    <w:tbl>
      <w:tblPr>
        <w:tblStyle w:val="TableGrid"/>
        <w:tblW w:w="0" w:type="auto"/>
        <w:tblLook w:val="04A0" w:firstRow="1" w:lastRow="0" w:firstColumn="1" w:lastColumn="0" w:noHBand="0" w:noVBand="1"/>
      </w:tblPr>
      <w:tblGrid>
        <w:gridCol w:w="9576"/>
      </w:tblGrid>
      <w:tr w:rsidR="00C3625F" w14:paraId="5A0EE7DA" w14:textId="77777777" w:rsidTr="00D142E3">
        <w:tc>
          <w:tcPr>
            <w:tcW w:w="9576" w:type="dxa"/>
          </w:tcPr>
          <w:p w14:paraId="064EEE97" w14:textId="77777777" w:rsidR="00C3625F" w:rsidRDefault="00C3625F" w:rsidP="00D142E3">
            <w:pPr>
              <w:jc w:val="both"/>
              <w:rPr>
                <w:rFonts w:asciiTheme="minorHAnsi" w:hAnsiTheme="minorHAnsi"/>
              </w:rPr>
            </w:pPr>
          </w:p>
          <w:p w14:paraId="3C43B8A3" w14:textId="5034F3CE" w:rsidR="00C3625F" w:rsidRDefault="00C84B86" w:rsidP="00D142E3">
            <w:pPr>
              <w:jc w:val="both"/>
              <w:rPr>
                <w:rFonts w:asciiTheme="minorHAnsi" w:hAnsiTheme="minorHAnsi"/>
              </w:rPr>
            </w:pPr>
            <w:r>
              <w:rPr>
                <w:rFonts w:asciiTheme="minorHAnsi" w:hAnsiTheme="minorHAnsi"/>
              </w:rPr>
              <w:t xml:space="preserve">Align policies with the Performance Standards of the </w:t>
            </w:r>
            <w:r w:rsidR="00EB668B">
              <w:rPr>
                <w:rFonts w:asciiTheme="minorHAnsi" w:hAnsiTheme="minorHAnsi"/>
              </w:rPr>
              <w:t>IFC and</w:t>
            </w:r>
            <w:r>
              <w:rPr>
                <w:rFonts w:asciiTheme="minorHAnsi" w:hAnsiTheme="minorHAnsi"/>
              </w:rPr>
              <w:t xml:space="preserve"> the Performance Requirements of the</w:t>
            </w:r>
            <w:r w:rsidR="00EB668B">
              <w:rPr>
                <w:rFonts w:asciiTheme="minorHAnsi" w:hAnsiTheme="minorHAnsi"/>
              </w:rPr>
              <w:t xml:space="preserve"> EBRD</w:t>
            </w:r>
            <w:r>
              <w:rPr>
                <w:rFonts w:asciiTheme="minorHAnsi" w:hAnsiTheme="minorHAnsi"/>
              </w:rPr>
              <w:t>. Ensure policy coherence with the Bank’s Procurement Policy.</w:t>
            </w:r>
          </w:p>
          <w:p w14:paraId="0D0F0715" w14:textId="77777777" w:rsidR="00C3625F" w:rsidRDefault="00C3625F" w:rsidP="00D142E3">
            <w:pPr>
              <w:jc w:val="both"/>
              <w:rPr>
                <w:rFonts w:asciiTheme="minorHAnsi" w:hAnsiTheme="minorHAnsi"/>
              </w:rPr>
            </w:pPr>
          </w:p>
          <w:p w14:paraId="148F5725" w14:textId="77777777" w:rsidR="00C3625F" w:rsidRDefault="00C3625F" w:rsidP="00D142E3">
            <w:pPr>
              <w:jc w:val="both"/>
              <w:rPr>
                <w:rFonts w:asciiTheme="minorHAnsi" w:hAnsiTheme="minorHAnsi"/>
              </w:rPr>
            </w:pPr>
          </w:p>
        </w:tc>
      </w:tr>
    </w:tbl>
    <w:p w14:paraId="08E185FE" w14:textId="77777777" w:rsidR="00C3625F" w:rsidRPr="004161A0" w:rsidRDefault="00C3625F" w:rsidP="00C3625F">
      <w:pPr>
        <w:jc w:val="both"/>
        <w:rPr>
          <w:rFonts w:asciiTheme="minorHAnsi" w:hAnsiTheme="minorHAnsi"/>
        </w:rPr>
      </w:pPr>
    </w:p>
    <w:p w14:paraId="4EDE150C" w14:textId="77777777" w:rsidR="00C3625F" w:rsidRPr="00EC25CD" w:rsidRDefault="00C3625F" w:rsidP="00C3625F">
      <w:pPr>
        <w:pStyle w:val="ListParagraph"/>
        <w:numPr>
          <w:ilvl w:val="0"/>
          <w:numId w:val="1"/>
        </w:numPr>
        <w:jc w:val="both"/>
        <w:rPr>
          <w:rFonts w:asciiTheme="minorHAnsi" w:hAnsiTheme="minorHAnsi"/>
        </w:rPr>
      </w:pPr>
      <w:r w:rsidRPr="004161A0">
        <w:rPr>
          <w:rFonts w:asciiTheme="minorHAnsi" w:hAnsiTheme="minorHAnsi"/>
        </w:rPr>
        <w:t xml:space="preserve"> </w:t>
      </w:r>
      <w:r w:rsidRPr="00B61700">
        <w:rPr>
          <w:rFonts w:asciiTheme="minorHAnsi" w:hAnsiTheme="minorHAnsi"/>
        </w:rPr>
        <w:t>How can the Bank better support borrowers in their efforts to strengthen their systems and institutions with respect to environmental and social safeguards practices to yield more sustainable results on the ground</w:t>
      </w:r>
      <w:r w:rsidRPr="00B61700">
        <w:rPr>
          <w:rFonts w:asciiTheme="minorHAnsi" w:hAnsiTheme="minorHAnsi" w:cs="Arial"/>
        </w:rPr>
        <w:t>?</w:t>
      </w:r>
    </w:p>
    <w:tbl>
      <w:tblPr>
        <w:tblStyle w:val="TableGrid"/>
        <w:tblW w:w="0" w:type="auto"/>
        <w:tblLook w:val="04A0" w:firstRow="1" w:lastRow="0" w:firstColumn="1" w:lastColumn="0" w:noHBand="0" w:noVBand="1"/>
      </w:tblPr>
      <w:tblGrid>
        <w:gridCol w:w="9576"/>
      </w:tblGrid>
      <w:tr w:rsidR="00C3625F" w14:paraId="26D394AB" w14:textId="77777777" w:rsidTr="00D142E3">
        <w:tc>
          <w:tcPr>
            <w:tcW w:w="9576" w:type="dxa"/>
          </w:tcPr>
          <w:p w14:paraId="38DA5AE8" w14:textId="2E3F0935" w:rsidR="00C3625F" w:rsidRDefault="005E6CB0" w:rsidP="00D142E3">
            <w:pPr>
              <w:jc w:val="both"/>
              <w:rPr>
                <w:rFonts w:asciiTheme="minorHAnsi" w:hAnsiTheme="minorHAnsi"/>
              </w:rPr>
            </w:pPr>
            <w:r>
              <w:rPr>
                <w:rFonts w:asciiTheme="minorHAnsi" w:hAnsiTheme="minorHAnsi"/>
              </w:rPr>
              <w:t>Provide c</w:t>
            </w:r>
            <w:r w:rsidR="00D142E3">
              <w:rPr>
                <w:rFonts w:asciiTheme="minorHAnsi" w:hAnsiTheme="minorHAnsi"/>
              </w:rPr>
              <w:t>lear Guidance</w:t>
            </w:r>
            <w:r w:rsidR="00DF1B7C">
              <w:rPr>
                <w:rFonts w:asciiTheme="minorHAnsi" w:hAnsiTheme="minorHAnsi"/>
              </w:rPr>
              <w:t xml:space="preserve"> and training on implementing environmental and social safeguards for Bank Staff, borrowers / clients, procurement entities, contractors, workers and trade unions. This should include pricing and bidding.</w:t>
            </w:r>
          </w:p>
          <w:p w14:paraId="3DD054EA" w14:textId="28C18A7F" w:rsidR="00D142E3" w:rsidRDefault="00DF1B7C" w:rsidP="00D142E3">
            <w:pPr>
              <w:jc w:val="both"/>
              <w:rPr>
                <w:rFonts w:asciiTheme="minorHAnsi" w:hAnsiTheme="minorHAnsi"/>
              </w:rPr>
            </w:pPr>
            <w:r>
              <w:rPr>
                <w:rFonts w:asciiTheme="minorHAnsi" w:hAnsiTheme="minorHAnsi"/>
              </w:rPr>
              <w:t xml:space="preserve">Capacity building through </w:t>
            </w:r>
            <w:r w:rsidR="00D142E3">
              <w:rPr>
                <w:rFonts w:asciiTheme="minorHAnsi" w:hAnsiTheme="minorHAnsi"/>
              </w:rPr>
              <w:t>Industry forums</w:t>
            </w:r>
            <w:r w:rsidR="002E2C04">
              <w:rPr>
                <w:rFonts w:asciiTheme="minorHAnsi" w:hAnsiTheme="minorHAnsi"/>
              </w:rPr>
              <w:t xml:space="preserve"> in construction and in forestry.</w:t>
            </w:r>
          </w:p>
          <w:p w14:paraId="7E64F207" w14:textId="23EAE1CF" w:rsidR="00F325FC" w:rsidRDefault="00F325FC" w:rsidP="00D142E3">
            <w:pPr>
              <w:jc w:val="both"/>
              <w:rPr>
                <w:rFonts w:asciiTheme="minorHAnsi" w:hAnsiTheme="minorHAnsi"/>
              </w:rPr>
            </w:pPr>
            <w:r>
              <w:rPr>
                <w:rFonts w:asciiTheme="minorHAnsi" w:hAnsiTheme="minorHAnsi"/>
              </w:rPr>
              <w:t>Coherence with Procurement Policy and with the Bank’s Standard Bidding Documents</w:t>
            </w:r>
            <w:r w:rsidR="002E2C04">
              <w:rPr>
                <w:rFonts w:asciiTheme="minorHAnsi" w:hAnsiTheme="minorHAnsi"/>
              </w:rPr>
              <w:t xml:space="preserve"> for procurement of Works.</w:t>
            </w:r>
          </w:p>
          <w:p w14:paraId="707FDCEC" w14:textId="77777777" w:rsidR="00C3625F" w:rsidRDefault="00C3625F" w:rsidP="00D142E3">
            <w:pPr>
              <w:jc w:val="both"/>
              <w:rPr>
                <w:rFonts w:asciiTheme="minorHAnsi" w:hAnsiTheme="minorHAnsi"/>
              </w:rPr>
            </w:pPr>
          </w:p>
          <w:p w14:paraId="744B3661" w14:textId="77777777" w:rsidR="00C3625F" w:rsidRDefault="00C3625F" w:rsidP="00D142E3">
            <w:pPr>
              <w:jc w:val="both"/>
              <w:rPr>
                <w:rFonts w:asciiTheme="minorHAnsi" w:hAnsiTheme="minorHAnsi"/>
              </w:rPr>
            </w:pPr>
          </w:p>
          <w:p w14:paraId="04720FC4" w14:textId="77777777" w:rsidR="00C3625F" w:rsidRDefault="00C3625F" w:rsidP="00D142E3">
            <w:pPr>
              <w:jc w:val="both"/>
              <w:rPr>
                <w:rFonts w:asciiTheme="minorHAnsi" w:hAnsiTheme="minorHAnsi"/>
              </w:rPr>
            </w:pPr>
          </w:p>
        </w:tc>
      </w:tr>
    </w:tbl>
    <w:p w14:paraId="1DFB1C05" w14:textId="77777777" w:rsidR="00C3625F" w:rsidRPr="00C3625F" w:rsidRDefault="00C3625F" w:rsidP="004161A0">
      <w:pPr>
        <w:jc w:val="both"/>
        <w:rPr>
          <w:rFonts w:asciiTheme="minorHAnsi" w:hAnsiTheme="minorHAnsi"/>
        </w:rPr>
      </w:pPr>
    </w:p>
    <w:p w14:paraId="456EB2A0" w14:textId="77777777" w:rsidR="004161A0" w:rsidRPr="00EC25CD" w:rsidRDefault="004161A0" w:rsidP="004161A0">
      <w:pPr>
        <w:pStyle w:val="ListParagraph"/>
        <w:numPr>
          <w:ilvl w:val="0"/>
          <w:numId w:val="1"/>
        </w:numPr>
        <w:jc w:val="both"/>
        <w:rPr>
          <w:rFonts w:asciiTheme="minorHAnsi" w:hAnsiTheme="minorHAnsi"/>
        </w:rPr>
      </w:pPr>
      <w:r w:rsidRPr="004161A0">
        <w:rPr>
          <w:rFonts w:asciiTheme="minorHAnsi" w:hAnsiTheme="minorHAnsi"/>
        </w:rPr>
        <w:t xml:space="preserve"> </w:t>
      </w:r>
      <w:r w:rsidRPr="004161A0">
        <w:rPr>
          <w:rFonts w:asciiTheme="minorHAnsi" w:hAnsiTheme="minorHAnsi" w:cs="Helv"/>
          <w:color w:val="000000"/>
        </w:rPr>
        <w:t>Do you have any additional comments or suggestions?</w:t>
      </w:r>
    </w:p>
    <w:tbl>
      <w:tblPr>
        <w:tblStyle w:val="TableGrid"/>
        <w:tblW w:w="0" w:type="auto"/>
        <w:tblLook w:val="04A0" w:firstRow="1" w:lastRow="0" w:firstColumn="1" w:lastColumn="0" w:noHBand="0" w:noVBand="1"/>
      </w:tblPr>
      <w:tblGrid>
        <w:gridCol w:w="9576"/>
      </w:tblGrid>
      <w:tr w:rsidR="00EC25CD" w14:paraId="04104A21" w14:textId="77777777" w:rsidTr="00EC25CD">
        <w:tc>
          <w:tcPr>
            <w:tcW w:w="9576" w:type="dxa"/>
          </w:tcPr>
          <w:p w14:paraId="42C7708D" w14:textId="77777777" w:rsidR="00EC25CD" w:rsidRDefault="00EC25CD" w:rsidP="00EC25CD">
            <w:pPr>
              <w:jc w:val="both"/>
              <w:rPr>
                <w:rFonts w:asciiTheme="minorHAnsi" w:hAnsiTheme="minorHAnsi"/>
              </w:rPr>
            </w:pPr>
          </w:p>
          <w:p w14:paraId="536D40EA" w14:textId="77777777" w:rsidR="00D10111" w:rsidRPr="00D10111" w:rsidRDefault="00D10111" w:rsidP="00D10111">
            <w:pPr>
              <w:pStyle w:val="Default"/>
              <w:rPr>
                <w:rFonts w:asciiTheme="minorHAnsi" w:hAnsiTheme="minorHAnsi"/>
                <w:color w:val="auto"/>
                <w:sz w:val="22"/>
                <w:szCs w:val="22"/>
              </w:rPr>
            </w:pPr>
            <w:r w:rsidRPr="00D10111">
              <w:rPr>
                <w:rFonts w:asciiTheme="minorHAnsi" w:hAnsiTheme="minorHAnsi"/>
                <w:b/>
                <w:bCs/>
                <w:i/>
                <w:iCs/>
                <w:color w:val="auto"/>
                <w:sz w:val="22"/>
                <w:szCs w:val="22"/>
              </w:rPr>
              <w:t xml:space="preserve">Jobs must be central in development strategies </w:t>
            </w:r>
            <w:r w:rsidRPr="00D10111">
              <w:rPr>
                <w:rFonts w:asciiTheme="minorHAnsi" w:hAnsiTheme="minorHAnsi"/>
                <w:color w:val="auto"/>
                <w:sz w:val="22"/>
                <w:szCs w:val="22"/>
              </w:rPr>
              <w:t xml:space="preserve"> </w:t>
            </w:r>
          </w:p>
          <w:p w14:paraId="216022D5" w14:textId="77777777" w:rsidR="00D10111" w:rsidRPr="00D10111" w:rsidRDefault="00D10111" w:rsidP="00D10111">
            <w:pPr>
              <w:pStyle w:val="Default"/>
              <w:rPr>
                <w:rFonts w:asciiTheme="minorHAnsi" w:hAnsiTheme="minorHAnsi"/>
                <w:color w:val="auto"/>
                <w:sz w:val="22"/>
                <w:szCs w:val="22"/>
              </w:rPr>
            </w:pPr>
            <w:r w:rsidRPr="00D10111">
              <w:rPr>
                <w:rFonts w:asciiTheme="minorHAnsi" w:hAnsiTheme="minorHAnsi"/>
                <w:color w:val="auto"/>
                <w:sz w:val="22"/>
                <w:szCs w:val="22"/>
              </w:rPr>
              <w:t xml:space="preserve">Problems of high unemployment and underemployment predate the last global recession and subsequent period of slow recovery. As the ILO’s </w:t>
            </w:r>
            <w:r w:rsidRPr="00D10111">
              <w:rPr>
                <w:rFonts w:asciiTheme="minorHAnsi" w:hAnsiTheme="minorHAnsi"/>
                <w:i/>
                <w:iCs/>
                <w:color w:val="auto"/>
                <w:sz w:val="22"/>
                <w:szCs w:val="22"/>
              </w:rPr>
              <w:t xml:space="preserve">World of Work Report 2012 </w:t>
            </w:r>
            <w:r w:rsidRPr="00D10111">
              <w:rPr>
                <w:rFonts w:asciiTheme="minorHAnsi" w:hAnsiTheme="minorHAnsi"/>
                <w:color w:val="auto"/>
                <w:sz w:val="22"/>
                <w:szCs w:val="22"/>
              </w:rPr>
              <w:t xml:space="preserve">has shown, there remains a jobs deficit of 50 million relative to the pre-crisis situation. Young people have been particularly affected, with youth unemployment since 2008 having increased by 80 per cent in advanced and two-thirds in developing economies. Poverty rates and inequality have increased in most countries. The ILO also found that the incidence of precarious employment – jobs that are involuntary part-time or temporary – increased in most countries. </w:t>
            </w:r>
          </w:p>
          <w:p w14:paraId="00250659" w14:textId="77777777" w:rsidR="00D10111" w:rsidRPr="00D10111" w:rsidRDefault="00D10111" w:rsidP="00D10111">
            <w:pPr>
              <w:pStyle w:val="Default"/>
              <w:rPr>
                <w:rFonts w:asciiTheme="minorHAnsi" w:hAnsiTheme="minorHAnsi"/>
                <w:color w:val="auto"/>
                <w:sz w:val="22"/>
                <w:szCs w:val="22"/>
              </w:rPr>
            </w:pPr>
            <w:r w:rsidRPr="00D10111">
              <w:rPr>
                <w:rFonts w:asciiTheme="minorHAnsi" w:hAnsiTheme="minorHAnsi"/>
                <w:bCs/>
                <w:color w:val="auto"/>
                <w:sz w:val="22"/>
                <w:szCs w:val="22"/>
              </w:rPr>
              <w:t xml:space="preserve">The World Bank’s decision to focus its </w:t>
            </w:r>
            <w:r w:rsidRPr="00D10111">
              <w:rPr>
                <w:rFonts w:asciiTheme="minorHAnsi" w:hAnsiTheme="minorHAnsi"/>
                <w:bCs/>
                <w:i/>
                <w:iCs/>
                <w:color w:val="auto"/>
                <w:sz w:val="22"/>
                <w:szCs w:val="22"/>
              </w:rPr>
              <w:t xml:space="preserve">World Development Report 2013 </w:t>
            </w:r>
            <w:r w:rsidRPr="00D10111">
              <w:rPr>
                <w:rFonts w:asciiTheme="minorHAnsi" w:hAnsiTheme="minorHAnsi"/>
                <w:bCs/>
                <w:color w:val="auto"/>
                <w:sz w:val="22"/>
                <w:szCs w:val="22"/>
              </w:rPr>
              <w:t xml:space="preserve">on jobs is welcome. The Bank should use the opportunity of the publication of the WDR 2013 to promote the understanding that creation of decent work must be at the </w:t>
            </w:r>
            <w:proofErr w:type="spellStart"/>
            <w:r w:rsidRPr="00D10111">
              <w:rPr>
                <w:rFonts w:asciiTheme="minorHAnsi" w:hAnsiTheme="minorHAnsi"/>
                <w:bCs/>
                <w:color w:val="auto"/>
                <w:sz w:val="22"/>
                <w:szCs w:val="22"/>
              </w:rPr>
              <w:t>centre</w:t>
            </w:r>
            <w:proofErr w:type="spellEnd"/>
            <w:r w:rsidRPr="00D10111">
              <w:rPr>
                <w:rFonts w:asciiTheme="minorHAnsi" w:hAnsiTheme="minorHAnsi"/>
                <w:bCs/>
                <w:color w:val="auto"/>
                <w:sz w:val="22"/>
                <w:szCs w:val="22"/>
              </w:rPr>
              <w:t xml:space="preserve"> of the development process if economic growth is to be broadly shared. </w:t>
            </w:r>
          </w:p>
          <w:p w14:paraId="3F82C461" w14:textId="77777777" w:rsidR="00EC25CD" w:rsidRDefault="00EC25CD" w:rsidP="00EC25CD">
            <w:pPr>
              <w:jc w:val="both"/>
              <w:rPr>
                <w:rFonts w:asciiTheme="minorHAnsi" w:hAnsiTheme="minorHAnsi"/>
              </w:rPr>
            </w:pPr>
          </w:p>
          <w:p w14:paraId="16B49548" w14:textId="77777777" w:rsidR="00EC25CD" w:rsidRDefault="00EC25CD" w:rsidP="00EC25CD">
            <w:pPr>
              <w:jc w:val="both"/>
              <w:rPr>
                <w:rFonts w:asciiTheme="minorHAnsi" w:hAnsiTheme="minorHAnsi"/>
              </w:rPr>
            </w:pPr>
          </w:p>
          <w:p w14:paraId="28CFAF0B" w14:textId="77777777" w:rsidR="00EC25CD" w:rsidRDefault="00EC25CD" w:rsidP="00EC25CD">
            <w:pPr>
              <w:jc w:val="both"/>
              <w:rPr>
                <w:rFonts w:asciiTheme="minorHAnsi" w:hAnsiTheme="minorHAnsi"/>
              </w:rPr>
            </w:pPr>
          </w:p>
          <w:p w14:paraId="427B0234" w14:textId="77777777" w:rsidR="00EC25CD" w:rsidRDefault="00EC25CD" w:rsidP="00EC25CD">
            <w:pPr>
              <w:jc w:val="both"/>
              <w:rPr>
                <w:rFonts w:asciiTheme="minorHAnsi" w:hAnsiTheme="minorHAnsi"/>
              </w:rPr>
            </w:pPr>
          </w:p>
        </w:tc>
      </w:tr>
    </w:tbl>
    <w:p w14:paraId="7FF8812B" w14:textId="77777777" w:rsidR="00EC25CD" w:rsidRPr="00EC25CD" w:rsidRDefault="00EC25CD" w:rsidP="00EC25CD">
      <w:pPr>
        <w:jc w:val="both"/>
        <w:rPr>
          <w:rFonts w:asciiTheme="minorHAnsi" w:hAnsiTheme="minorHAnsi"/>
        </w:rPr>
      </w:pPr>
    </w:p>
    <w:p w14:paraId="7B803CC3" w14:textId="77777777" w:rsidR="004161A0" w:rsidRPr="004161A0" w:rsidRDefault="004161A0" w:rsidP="004161A0">
      <w:pPr>
        <w:pStyle w:val="Default"/>
        <w:spacing w:line="276" w:lineRule="auto"/>
        <w:jc w:val="center"/>
        <w:rPr>
          <w:rFonts w:asciiTheme="minorHAnsi" w:hAnsiTheme="minorHAnsi"/>
          <w:bCs/>
          <w:sz w:val="22"/>
          <w:szCs w:val="22"/>
        </w:rPr>
      </w:pPr>
      <w:r w:rsidRPr="004161A0">
        <w:rPr>
          <w:rFonts w:asciiTheme="minorHAnsi" w:hAnsiTheme="minorHAnsi"/>
          <w:sz w:val="22"/>
          <w:szCs w:val="22"/>
        </w:rPr>
        <w:t xml:space="preserve">Submit your feedback to </w:t>
      </w:r>
      <w:hyperlink r:id="rId18" w:history="1">
        <w:r w:rsidRPr="004161A0">
          <w:rPr>
            <w:rStyle w:val="Hyperlink"/>
            <w:rFonts w:asciiTheme="minorHAnsi" w:hAnsiTheme="minorHAnsi" w:cs="Times New Roman"/>
            <w:sz w:val="22"/>
            <w:szCs w:val="22"/>
          </w:rPr>
          <w:t>safeguardconsult@worldbank.org</w:t>
        </w:r>
      </w:hyperlink>
      <w:r w:rsidRPr="004161A0">
        <w:rPr>
          <w:rFonts w:asciiTheme="minorHAnsi" w:hAnsiTheme="minorHAnsi" w:cs="Times New Roman"/>
          <w:sz w:val="22"/>
          <w:szCs w:val="22"/>
        </w:rPr>
        <w:t xml:space="preserve"> </w:t>
      </w:r>
    </w:p>
    <w:p w14:paraId="01A805A5" w14:textId="77777777" w:rsidR="004161A0" w:rsidRPr="004161A0" w:rsidRDefault="004161A0" w:rsidP="004161A0">
      <w:pPr>
        <w:ind w:left="360"/>
        <w:rPr>
          <w:rFonts w:asciiTheme="minorHAnsi" w:hAnsiTheme="minorHAnsi"/>
        </w:rPr>
      </w:pPr>
    </w:p>
    <w:p w14:paraId="25ED47B6" w14:textId="77777777" w:rsidR="00A70734" w:rsidRPr="004161A0" w:rsidRDefault="00A70734">
      <w:pPr>
        <w:rPr>
          <w:rFonts w:asciiTheme="minorHAnsi" w:hAnsiTheme="minorHAnsi"/>
        </w:rPr>
      </w:pPr>
    </w:p>
    <w:sectPr w:rsidR="00A70734" w:rsidRPr="004161A0" w:rsidSect="00D142E3">
      <w:type w:val="continuous"/>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231C67"/>
    <w:multiLevelType w:val="hybridMultilevel"/>
    <w:tmpl w:val="81F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071C5"/>
    <w:multiLevelType w:val="hybridMultilevel"/>
    <w:tmpl w:val="E614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B5ED3"/>
    <w:multiLevelType w:val="hybridMultilevel"/>
    <w:tmpl w:val="B3A8A8BA"/>
    <w:lvl w:ilvl="0" w:tplc="EF4CBD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4500B"/>
    <w:multiLevelType w:val="hybridMultilevel"/>
    <w:tmpl w:val="CCC63D78"/>
    <w:lvl w:ilvl="0" w:tplc="EADA60B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A0"/>
    <w:rsid w:val="00001496"/>
    <w:rsid w:val="0000481E"/>
    <w:rsid w:val="000061A7"/>
    <w:rsid w:val="00010C5E"/>
    <w:rsid w:val="00012198"/>
    <w:rsid w:val="00014401"/>
    <w:rsid w:val="00024396"/>
    <w:rsid w:val="0003042A"/>
    <w:rsid w:val="000315AD"/>
    <w:rsid w:val="0003312D"/>
    <w:rsid w:val="000455C2"/>
    <w:rsid w:val="00050FBE"/>
    <w:rsid w:val="0005300E"/>
    <w:rsid w:val="00062276"/>
    <w:rsid w:val="0006531E"/>
    <w:rsid w:val="00072480"/>
    <w:rsid w:val="00075911"/>
    <w:rsid w:val="00091150"/>
    <w:rsid w:val="000923FA"/>
    <w:rsid w:val="00093CF9"/>
    <w:rsid w:val="000A623C"/>
    <w:rsid w:val="000A6C92"/>
    <w:rsid w:val="000B0F05"/>
    <w:rsid w:val="000B6CF6"/>
    <w:rsid w:val="000C71BC"/>
    <w:rsid w:val="000D1319"/>
    <w:rsid w:val="000D40E3"/>
    <w:rsid w:val="000E597F"/>
    <w:rsid w:val="000F0B09"/>
    <w:rsid w:val="00103D0C"/>
    <w:rsid w:val="00114B29"/>
    <w:rsid w:val="0011627F"/>
    <w:rsid w:val="00126802"/>
    <w:rsid w:val="00135793"/>
    <w:rsid w:val="0013665E"/>
    <w:rsid w:val="001411D0"/>
    <w:rsid w:val="00146E60"/>
    <w:rsid w:val="001516B1"/>
    <w:rsid w:val="00156FAF"/>
    <w:rsid w:val="001616AD"/>
    <w:rsid w:val="00164712"/>
    <w:rsid w:val="00183865"/>
    <w:rsid w:val="001866E7"/>
    <w:rsid w:val="00187BDD"/>
    <w:rsid w:val="00194775"/>
    <w:rsid w:val="00195CAA"/>
    <w:rsid w:val="00195F2F"/>
    <w:rsid w:val="00196684"/>
    <w:rsid w:val="001B7894"/>
    <w:rsid w:val="001D457E"/>
    <w:rsid w:val="001D485B"/>
    <w:rsid w:val="001E750E"/>
    <w:rsid w:val="001E76CD"/>
    <w:rsid w:val="001F55E5"/>
    <w:rsid w:val="00215FC0"/>
    <w:rsid w:val="00224B05"/>
    <w:rsid w:val="00241B61"/>
    <w:rsid w:val="0024242A"/>
    <w:rsid w:val="0024519D"/>
    <w:rsid w:val="00247D95"/>
    <w:rsid w:val="00255783"/>
    <w:rsid w:val="00260C1C"/>
    <w:rsid w:val="002709E0"/>
    <w:rsid w:val="00291B6A"/>
    <w:rsid w:val="00295164"/>
    <w:rsid w:val="002A15F6"/>
    <w:rsid w:val="002A5708"/>
    <w:rsid w:val="002A6DC5"/>
    <w:rsid w:val="002B4D2D"/>
    <w:rsid w:val="002C1AD6"/>
    <w:rsid w:val="002D4521"/>
    <w:rsid w:val="002D7BBA"/>
    <w:rsid w:val="002E2C04"/>
    <w:rsid w:val="002E2F14"/>
    <w:rsid w:val="002F21BE"/>
    <w:rsid w:val="002F5EB7"/>
    <w:rsid w:val="002F616A"/>
    <w:rsid w:val="002F62AF"/>
    <w:rsid w:val="00302C99"/>
    <w:rsid w:val="00304D92"/>
    <w:rsid w:val="00313763"/>
    <w:rsid w:val="0032285B"/>
    <w:rsid w:val="00342143"/>
    <w:rsid w:val="00350EA1"/>
    <w:rsid w:val="00350FA4"/>
    <w:rsid w:val="00351740"/>
    <w:rsid w:val="00361C91"/>
    <w:rsid w:val="00362340"/>
    <w:rsid w:val="00362E31"/>
    <w:rsid w:val="00364B68"/>
    <w:rsid w:val="003735F8"/>
    <w:rsid w:val="0037402D"/>
    <w:rsid w:val="00374381"/>
    <w:rsid w:val="00384824"/>
    <w:rsid w:val="00384CF4"/>
    <w:rsid w:val="003862A2"/>
    <w:rsid w:val="00387364"/>
    <w:rsid w:val="003B5F0A"/>
    <w:rsid w:val="003C2936"/>
    <w:rsid w:val="003C5C9A"/>
    <w:rsid w:val="003D24C5"/>
    <w:rsid w:val="003D6185"/>
    <w:rsid w:val="003E47F6"/>
    <w:rsid w:val="003F3769"/>
    <w:rsid w:val="00411DEF"/>
    <w:rsid w:val="00414151"/>
    <w:rsid w:val="004161A0"/>
    <w:rsid w:val="004172F6"/>
    <w:rsid w:val="00420401"/>
    <w:rsid w:val="00422879"/>
    <w:rsid w:val="00423317"/>
    <w:rsid w:val="004277BF"/>
    <w:rsid w:val="004405A8"/>
    <w:rsid w:val="004417CE"/>
    <w:rsid w:val="00443A12"/>
    <w:rsid w:val="004503C0"/>
    <w:rsid w:val="00451D5D"/>
    <w:rsid w:val="0045428A"/>
    <w:rsid w:val="00460B35"/>
    <w:rsid w:val="00461376"/>
    <w:rsid w:val="004707CB"/>
    <w:rsid w:val="004714A2"/>
    <w:rsid w:val="00473E48"/>
    <w:rsid w:val="004773EB"/>
    <w:rsid w:val="004812BC"/>
    <w:rsid w:val="004829A6"/>
    <w:rsid w:val="004915B7"/>
    <w:rsid w:val="00493D26"/>
    <w:rsid w:val="004A28C2"/>
    <w:rsid w:val="004A2ED3"/>
    <w:rsid w:val="004A46C9"/>
    <w:rsid w:val="004B0472"/>
    <w:rsid w:val="004B1C9A"/>
    <w:rsid w:val="004B2C78"/>
    <w:rsid w:val="004B4DC8"/>
    <w:rsid w:val="004C1082"/>
    <w:rsid w:val="004D1638"/>
    <w:rsid w:val="004E055B"/>
    <w:rsid w:val="004E1052"/>
    <w:rsid w:val="004E3B23"/>
    <w:rsid w:val="004F1837"/>
    <w:rsid w:val="004F3937"/>
    <w:rsid w:val="004F5C14"/>
    <w:rsid w:val="004F61DA"/>
    <w:rsid w:val="004F7C94"/>
    <w:rsid w:val="00506D72"/>
    <w:rsid w:val="005163BF"/>
    <w:rsid w:val="00533241"/>
    <w:rsid w:val="00535A13"/>
    <w:rsid w:val="00536A0A"/>
    <w:rsid w:val="0054004B"/>
    <w:rsid w:val="00542928"/>
    <w:rsid w:val="005459D0"/>
    <w:rsid w:val="005553F9"/>
    <w:rsid w:val="005702DB"/>
    <w:rsid w:val="005765CD"/>
    <w:rsid w:val="005834A6"/>
    <w:rsid w:val="00585A69"/>
    <w:rsid w:val="00593D23"/>
    <w:rsid w:val="0059425B"/>
    <w:rsid w:val="00596AB0"/>
    <w:rsid w:val="005A1660"/>
    <w:rsid w:val="005A3283"/>
    <w:rsid w:val="005A61F1"/>
    <w:rsid w:val="005B1BF4"/>
    <w:rsid w:val="005B30DA"/>
    <w:rsid w:val="005D1240"/>
    <w:rsid w:val="005E6CB0"/>
    <w:rsid w:val="005F74A0"/>
    <w:rsid w:val="00600A36"/>
    <w:rsid w:val="00602EFD"/>
    <w:rsid w:val="00606C19"/>
    <w:rsid w:val="00610159"/>
    <w:rsid w:val="00613BA2"/>
    <w:rsid w:val="00616C8B"/>
    <w:rsid w:val="00622AAB"/>
    <w:rsid w:val="00634F42"/>
    <w:rsid w:val="00637BFD"/>
    <w:rsid w:val="0064046A"/>
    <w:rsid w:val="0064066B"/>
    <w:rsid w:val="00640BEF"/>
    <w:rsid w:val="00641E31"/>
    <w:rsid w:val="00642591"/>
    <w:rsid w:val="00642D6B"/>
    <w:rsid w:val="00645281"/>
    <w:rsid w:val="0064647C"/>
    <w:rsid w:val="00653746"/>
    <w:rsid w:val="0066759A"/>
    <w:rsid w:val="006804CE"/>
    <w:rsid w:val="00686035"/>
    <w:rsid w:val="006A6ED5"/>
    <w:rsid w:val="006D7A89"/>
    <w:rsid w:val="006E007E"/>
    <w:rsid w:val="006E6118"/>
    <w:rsid w:val="006E6B0E"/>
    <w:rsid w:val="006F5149"/>
    <w:rsid w:val="006F778A"/>
    <w:rsid w:val="00702BE6"/>
    <w:rsid w:val="00725D87"/>
    <w:rsid w:val="00727E92"/>
    <w:rsid w:val="007320BE"/>
    <w:rsid w:val="0073358D"/>
    <w:rsid w:val="00737215"/>
    <w:rsid w:val="007375A8"/>
    <w:rsid w:val="00737A3C"/>
    <w:rsid w:val="00745C1D"/>
    <w:rsid w:val="00745C77"/>
    <w:rsid w:val="00746B25"/>
    <w:rsid w:val="00750B51"/>
    <w:rsid w:val="0075391C"/>
    <w:rsid w:val="00754F05"/>
    <w:rsid w:val="00755259"/>
    <w:rsid w:val="00760873"/>
    <w:rsid w:val="00767161"/>
    <w:rsid w:val="00770A8E"/>
    <w:rsid w:val="00774283"/>
    <w:rsid w:val="0077726D"/>
    <w:rsid w:val="007A2683"/>
    <w:rsid w:val="007A5DB2"/>
    <w:rsid w:val="007B0CBD"/>
    <w:rsid w:val="007B14FE"/>
    <w:rsid w:val="007B3095"/>
    <w:rsid w:val="007C17DC"/>
    <w:rsid w:val="007D38C5"/>
    <w:rsid w:val="007D54D4"/>
    <w:rsid w:val="007E053E"/>
    <w:rsid w:val="007F4951"/>
    <w:rsid w:val="00800551"/>
    <w:rsid w:val="00802D6F"/>
    <w:rsid w:val="008145CA"/>
    <w:rsid w:val="00815E0D"/>
    <w:rsid w:val="008229C0"/>
    <w:rsid w:val="00825FFC"/>
    <w:rsid w:val="008267EA"/>
    <w:rsid w:val="008308AC"/>
    <w:rsid w:val="00832A6B"/>
    <w:rsid w:val="0083457C"/>
    <w:rsid w:val="008349E1"/>
    <w:rsid w:val="008353B6"/>
    <w:rsid w:val="008374B6"/>
    <w:rsid w:val="008376A4"/>
    <w:rsid w:val="00842537"/>
    <w:rsid w:val="0084568C"/>
    <w:rsid w:val="00845D99"/>
    <w:rsid w:val="00845E47"/>
    <w:rsid w:val="0084749B"/>
    <w:rsid w:val="00851B4C"/>
    <w:rsid w:val="008635BA"/>
    <w:rsid w:val="00870B2D"/>
    <w:rsid w:val="00881945"/>
    <w:rsid w:val="00881B94"/>
    <w:rsid w:val="00894F51"/>
    <w:rsid w:val="00894F8C"/>
    <w:rsid w:val="008C0ABD"/>
    <w:rsid w:val="008D1556"/>
    <w:rsid w:val="008D6169"/>
    <w:rsid w:val="008E4BF9"/>
    <w:rsid w:val="008F390D"/>
    <w:rsid w:val="008F7CBA"/>
    <w:rsid w:val="009026A1"/>
    <w:rsid w:val="00912685"/>
    <w:rsid w:val="00927127"/>
    <w:rsid w:val="0093647B"/>
    <w:rsid w:val="0093730E"/>
    <w:rsid w:val="009479FD"/>
    <w:rsid w:val="0095115B"/>
    <w:rsid w:val="009577C8"/>
    <w:rsid w:val="00960FF9"/>
    <w:rsid w:val="0098098A"/>
    <w:rsid w:val="00983B54"/>
    <w:rsid w:val="00983FD4"/>
    <w:rsid w:val="00984438"/>
    <w:rsid w:val="0098447D"/>
    <w:rsid w:val="009A1D4E"/>
    <w:rsid w:val="009A1FF4"/>
    <w:rsid w:val="009A2B20"/>
    <w:rsid w:val="009B0AAF"/>
    <w:rsid w:val="009B76DC"/>
    <w:rsid w:val="009C57BA"/>
    <w:rsid w:val="009C681E"/>
    <w:rsid w:val="00A04B0C"/>
    <w:rsid w:val="00A06C9A"/>
    <w:rsid w:val="00A16602"/>
    <w:rsid w:val="00A1678C"/>
    <w:rsid w:val="00A26FDA"/>
    <w:rsid w:val="00A3093B"/>
    <w:rsid w:val="00A34042"/>
    <w:rsid w:val="00A36A5C"/>
    <w:rsid w:val="00A37DB3"/>
    <w:rsid w:val="00A41A70"/>
    <w:rsid w:val="00A630D7"/>
    <w:rsid w:val="00A6787A"/>
    <w:rsid w:val="00A70734"/>
    <w:rsid w:val="00A71983"/>
    <w:rsid w:val="00A73486"/>
    <w:rsid w:val="00A741E4"/>
    <w:rsid w:val="00A81B36"/>
    <w:rsid w:val="00A85D84"/>
    <w:rsid w:val="00A90918"/>
    <w:rsid w:val="00A94B14"/>
    <w:rsid w:val="00AA205C"/>
    <w:rsid w:val="00AA4B5E"/>
    <w:rsid w:val="00AA4EEA"/>
    <w:rsid w:val="00AC2A79"/>
    <w:rsid w:val="00AC5286"/>
    <w:rsid w:val="00AC7037"/>
    <w:rsid w:val="00AD4E90"/>
    <w:rsid w:val="00AD743A"/>
    <w:rsid w:val="00AE22D8"/>
    <w:rsid w:val="00AE3581"/>
    <w:rsid w:val="00AF4D4F"/>
    <w:rsid w:val="00AF6AE0"/>
    <w:rsid w:val="00B03A94"/>
    <w:rsid w:val="00B0791E"/>
    <w:rsid w:val="00B150A7"/>
    <w:rsid w:val="00B15DAF"/>
    <w:rsid w:val="00B2347D"/>
    <w:rsid w:val="00B27D43"/>
    <w:rsid w:val="00B4681C"/>
    <w:rsid w:val="00B503D2"/>
    <w:rsid w:val="00B617B3"/>
    <w:rsid w:val="00B63B93"/>
    <w:rsid w:val="00B76D64"/>
    <w:rsid w:val="00B82D36"/>
    <w:rsid w:val="00B95645"/>
    <w:rsid w:val="00BA5B54"/>
    <w:rsid w:val="00BC25D9"/>
    <w:rsid w:val="00BC6C42"/>
    <w:rsid w:val="00BC7C06"/>
    <w:rsid w:val="00BD2112"/>
    <w:rsid w:val="00BD4706"/>
    <w:rsid w:val="00BD74A2"/>
    <w:rsid w:val="00BE1D2C"/>
    <w:rsid w:val="00BE6C66"/>
    <w:rsid w:val="00BF0FC1"/>
    <w:rsid w:val="00C00650"/>
    <w:rsid w:val="00C0093E"/>
    <w:rsid w:val="00C0297E"/>
    <w:rsid w:val="00C13340"/>
    <w:rsid w:val="00C13DEB"/>
    <w:rsid w:val="00C227F8"/>
    <w:rsid w:val="00C26814"/>
    <w:rsid w:val="00C35621"/>
    <w:rsid w:val="00C3625F"/>
    <w:rsid w:val="00C43E0D"/>
    <w:rsid w:val="00C4497D"/>
    <w:rsid w:val="00C4795B"/>
    <w:rsid w:val="00C51773"/>
    <w:rsid w:val="00C53195"/>
    <w:rsid w:val="00C565DF"/>
    <w:rsid w:val="00C57D50"/>
    <w:rsid w:val="00C71D43"/>
    <w:rsid w:val="00C7679B"/>
    <w:rsid w:val="00C826F9"/>
    <w:rsid w:val="00C843E5"/>
    <w:rsid w:val="00C84B86"/>
    <w:rsid w:val="00C95DA3"/>
    <w:rsid w:val="00CA0A73"/>
    <w:rsid w:val="00CA1FD8"/>
    <w:rsid w:val="00CB0F8E"/>
    <w:rsid w:val="00CB1059"/>
    <w:rsid w:val="00CB2B21"/>
    <w:rsid w:val="00CB396F"/>
    <w:rsid w:val="00CC1710"/>
    <w:rsid w:val="00CD2C53"/>
    <w:rsid w:val="00CE1376"/>
    <w:rsid w:val="00CE1671"/>
    <w:rsid w:val="00CE1ED4"/>
    <w:rsid w:val="00CF0EDF"/>
    <w:rsid w:val="00D10111"/>
    <w:rsid w:val="00D142E3"/>
    <w:rsid w:val="00D1479A"/>
    <w:rsid w:val="00D17B28"/>
    <w:rsid w:val="00D22505"/>
    <w:rsid w:val="00D25DCE"/>
    <w:rsid w:val="00D27DFF"/>
    <w:rsid w:val="00D3532A"/>
    <w:rsid w:val="00D62908"/>
    <w:rsid w:val="00D629F7"/>
    <w:rsid w:val="00D81DE9"/>
    <w:rsid w:val="00D826EE"/>
    <w:rsid w:val="00D835C5"/>
    <w:rsid w:val="00DA0211"/>
    <w:rsid w:val="00DA13BB"/>
    <w:rsid w:val="00DB4742"/>
    <w:rsid w:val="00DC0A34"/>
    <w:rsid w:val="00DD216D"/>
    <w:rsid w:val="00DD4EBC"/>
    <w:rsid w:val="00DE2603"/>
    <w:rsid w:val="00DE3592"/>
    <w:rsid w:val="00DE5B09"/>
    <w:rsid w:val="00DE6FA8"/>
    <w:rsid w:val="00DF0EFB"/>
    <w:rsid w:val="00DF15B6"/>
    <w:rsid w:val="00DF1B7C"/>
    <w:rsid w:val="00DF7990"/>
    <w:rsid w:val="00E0284E"/>
    <w:rsid w:val="00E04BD6"/>
    <w:rsid w:val="00E06D49"/>
    <w:rsid w:val="00E073C6"/>
    <w:rsid w:val="00E07E86"/>
    <w:rsid w:val="00E10567"/>
    <w:rsid w:val="00E16C5F"/>
    <w:rsid w:val="00E175C9"/>
    <w:rsid w:val="00E36B40"/>
    <w:rsid w:val="00E476A3"/>
    <w:rsid w:val="00E47874"/>
    <w:rsid w:val="00E5320E"/>
    <w:rsid w:val="00E53228"/>
    <w:rsid w:val="00E62FDE"/>
    <w:rsid w:val="00E641D1"/>
    <w:rsid w:val="00E658C3"/>
    <w:rsid w:val="00E70B3E"/>
    <w:rsid w:val="00E82B68"/>
    <w:rsid w:val="00E84287"/>
    <w:rsid w:val="00E87ACE"/>
    <w:rsid w:val="00E92A92"/>
    <w:rsid w:val="00E953F2"/>
    <w:rsid w:val="00E96205"/>
    <w:rsid w:val="00EA5534"/>
    <w:rsid w:val="00EB1D63"/>
    <w:rsid w:val="00EB4C72"/>
    <w:rsid w:val="00EB668B"/>
    <w:rsid w:val="00EC0C05"/>
    <w:rsid w:val="00EC25CD"/>
    <w:rsid w:val="00EC5D8E"/>
    <w:rsid w:val="00EE106F"/>
    <w:rsid w:val="00EE251D"/>
    <w:rsid w:val="00EE286F"/>
    <w:rsid w:val="00EE41E3"/>
    <w:rsid w:val="00EE45ED"/>
    <w:rsid w:val="00EE50BA"/>
    <w:rsid w:val="00EE6742"/>
    <w:rsid w:val="00EF6486"/>
    <w:rsid w:val="00F0266E"/>
    <w:rsid w:val="00F116F4"/>
    <w:rsid w:val="00F12ACA"/>
    <w:rsid w:val="00F12F23"/>
    <w:rsid w:val="00F26ACA"/>
    <w:rsid w:val="00F30954"/>
    <w:rsid w:val="00F325FC"/>
    <w:rsid w:val="00F411EA"/>
    <w:rsid w:val="00F43187"/>
    <w:rsid w:val="00F4727A"/>
    <w:rsid w:val="00F64A4C"/>
    <w:rsid w:val="00F676EB"/>
    <w:rsid w:val="00F83666"/>
    <w:rsid w:val="00F837EC"/>
    <w:rsid w:val="00F856AB"/>
    <w:rsid w:val="00F8675E"/>
    <w:rsid w:val="00F92450"/>
    <w:rsid w:val="00F979D2"/>
    <w:rsid w:val="00FA7690"/>
    <w:rsid w:val="00FB47EC"/>
    <w:rsid w:val="00FB6CE7"/>
    <w:rsid w:val="00FC1CA5"/>
    <w:rsid w:val="00FC4B47"/>
    <w:rsid w:val="00FE2186"/>
    <w:rsid w:val="00FE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A0"/>
    <w:pPr>
      <w:ind w:left="720"/>
      <w:contextualSpacing/>
    </w:pPr>
  </w:style>
  <w:style w:type="character" w:styleId="Hyperlink">
    <w:name w:val="Hyperlink"/>
    <w:basedOn w:val="DefaultParagraphFont"/>
    <w:uiPriority w:val="99"/>
    <w:unhideWhenUsed/>
    <w:rsid w:val="004161A0"/>
    <w:rPr>
      <w:color w:val="0000FF"/>
      <w:u w:val="single"/>
    </w:rPr>
  </w:style>
  <w:style w:type="paragraph" w:styleId="Title">
    <w:name w:val="Title"/>
    <w:basedOn w:val="Normal"/>
    <w:next w:val="Normal"/>
    <w:link w:val="TitleChar"/>
    <w:uiPriority w:val="10"/>
    <w:qFormat/>
    <w:rsid w:val="004161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161A0"/>
    <w:rPr>
      <w:rFonts w:ascii="Cambria" w:eastAsia="Times New Roman" w:hAnsi="Cambria" w:cs="Times New Roman"/>
      <w:color w:val="17365D"/>
      <w:spacing w:val="5"/>
      <w:kern w:val="28"/>
      <w:sz w:val="52"/>
      <w:szCs w:val="52"/>
    </w:rPr>
  </w:style>
  <w:style w:type="paragraph" w:customStyle="1" w:styleId="Default">
    <w:name w:val="Default"/>
    <w:rsid w:val="004161A0"/>
    <w:pPr>
      <w:autoSpaceDE w:val="0"/>
      <w:autoSpaceDN w:val="0"/>
      <w:adjustRightInd w:val="0"/>
      <w:spacing w:after="0" w:line="240" w:lineRule="auto"/>
    </w:pPr>
    <w:rPr>
      <w:rFonts w:ascii="Cambria" w:eastAsia="Calibri" w:hAnsi="Cambria" w:cs="Cambria"/>
      <w:color w:val="000000"/>
      <w:sz w:val="24"/>
      <w:szCs w:val="24"/>
    </w:rPr>
  </w:style>
  <w:style w:type="table" w:styleId="TableGrid">
    <w:name w:val="Table Grid"/>
    <w:basedOn w:val="TableNormal"/>
    <w:uiPriority w:val="59"/>
    <w:rsid w:val="0041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7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773"/>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CE1671"/>
    <w:rPr>
      <w:sz w:val="16"/>
      <w:szCs w:val="16"/>
    </w:rPr>
  </w:style>
  <w:style w:type="paragraph" w:styleId="CommentText">
    <w:name w:val="annotation text"/>
    <w:basedOn w:val="Normal"/>
    <w:link w:val="CommentTextChar"/>
    <w:uiPriority w:val="99"/>
    <w:semiHidden/>
    <w:unhideWhenUsed/>
    <w:rsid w:val="00CE1671"/>
    <w:pPr>
      <w:spacing w:line="240" w:lineRule="auto"/>
    </w:pPr>
    <w:rPr>
      <w:sz w:val="20"/>
      <w:szCs w:val="20"/>
    </w:rPr>
  </w:style>
  <w:style w:type="character" w:customStyle="1" w:styleId="CommentTextChar">
    <w:name w:val="Comment Text Char"/>
    <w:basedOn w:val="DefaultParagraphFont"/>
    <w:link w:val="CommentText"/>
    <w:uiPriority w:val="99"/>
    <w:semiHidden/>
    <w:rsid w:val="00CE16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671"/>
    <w:rPr>
      <w:b/>
      <w:bCs/>
    </w:rPr>
  </w:style>
  <w:style w:type="character" w:customStyle="1" w:styleId="CommentSubjectChar">
    <w:name w:val="Comment Subject Char"/>
    <w:basedOn w:val="CommentTextChar"/>
    <w:link w:val="CommentSubject"/>
    <w:uiPriority w:val="99"/>
    <w:semiHidden/>
    <w:rsid w:val="00CE167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86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A0"/>
    <w:pPr>
      <w:ind w:left="720"/>
      <w:contextualSpacing/>
    </w:pPr>
  </w:style>
  <w:style w:type="character" w:styleId="Hyperlink">
    <w:name w:val="Hyperlink"/>
    <w:basedOn w:val="DefaultParagraphFont"/>
    <w:uiPriority w:val="99"/>
    <w:unhideWhenUsed/>
    <w:rsid w:val="004161A0"/>
    <w:rPr>
      <w:color w:val="0000FF"/>
      <w:u w:val="single"/>
    </w:rPr>
  </w:style>
  <w:style w:type="paragraph" w:styleId="Title">
    <w:name w:val="Title"/>
    <w:basedOn w:val="Normal"/>
    <w:next w:val="Normal"/>
    <w:link w:val="TitleChar"/>
    <w:uiPriority w:val="10"/>
    <w:qFormat/>
    <w:rsid w:val="004161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161A0"/>
    <w:rPr>
      <w:rFonts w:ascii="Cambria" w:eastAsia="Times New Roman" w:hAnsi="Cambria" w:cs="Times New Roman"/>
      <w:color w:val="17365D"/>
      <w:spacing w:val="5"/>
      <w:kern w:val="28"/>
      <w:sz w:val="52"/>
      <w:szCs w:val="52"/>
    </w:rPr>
  </w:style>
  <w:style w:type="paragraph" w:customStyle="1" w:styleId="Default">
    <w:name w:val="Default"/>
    <w:rsid w:val="004161A0"/>
    <w:pPr>
      <w:autoSpaceDE w:val="0"/>
      <w:autoSpaceDN w:val="0"/>
      <w:adjustRightInd w:val="0"/>
      <w:spacing w:after="0" w:line="240" w:lineRule="auto"/>
    </w:pPr>
    <w:rPr>
      <w:rFonts w:ascii="Cambria" w:eastAsia="Calibri" w:hAnsi="Cambria" w:cs="Cambria"/>
      <w:color w:val="000000"/>
      <w:sz w:val="24"/>
      <w:szCs w:val="24"/>
    </w:rPr>
  </w:style>
  <w:style w:type="table" w:styleId="TableGrid">
    <w:name w:val="Table Grid"/>
    <w:basedOn w:val="TableNormal"/>
    <w:uiPriority w:val="59"/>
    <w:rsid w:val="0041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7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773"/>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CE1671"/>
    <w:rPr>
      <w:sz w:val="16"/>
      <w:szCs w:val="16"/>
    </w:rPr>
  </w:style>
  <w:style w:type="paragraph" w:styleId="CommentText">
    <w:name w:val="annotation text"/>
    <w:basedOn w:val="Normal"/>
    <w:link w:val="CommentTextChar"/>
    <w:uiPriority w:val="99"/>
    <w:semiHidden/>
    <w:unhideWhenUsed/>
    <w:rsid w:val="00CE1671"/>
    <w:pPr>
      <w:spacing w:line="240" w:lineRule="auto"/>
    </w:pPr>
    <w:rPr>
      <w:sz w:val="20"/>
      <w:szCs w:val="20"/>
    </w:rPr>
  </w:style>
  <w:style w:type="character" w:customStyle="1" w:styleId="CommentTextChar">
    <w:name w:val="Comment Text Char"/>
    <w:basedOn w:val="DefaultParagraphFont"/>
    <w:link w:val="CommentText"/>
    <w:uiPriority w:val="99"/>
    <w:semiHidden/>
    <w:rsid w:val="00CE16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671"/>
    <w:rPr>
      <w:b/>
      <w:bCs/>
    </w:rPr>
  </w:style>
  <w:style w:type="character" w:customStyle="1" w:styleId="CommentSubjectChar">
    <w:name w:val="Comment Subject Char"/>
    <w:basedOn w:val="CommentTextChar"/>
    <w:link w:val="CommentSubject"/>
    <w:uiPriority w:val="99"/>
    <w:semiHidden/>
    <w:rsid w:val="00CE167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86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0543990~menuPK:1286666~pagePK:64168445~piPK:64168309~theSitePK:584435,00.html" TargetMode="External"/><Relationship Id="rId18" Type="http://schemas.openxmlformats.org/officeDocument/2006/relationships/hyperlink" Target="mailto:safeguardconsult@worldbank.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eb.worldbank.org/WBSITE/EXTERNAL/PROJECTS/EXTPOLICIES/EXTSAFEPOL/0,,contentMDK:20543953~menuPK:1286620~pagePK:64168445~piPK:64168309~theSitePK:584435,00.html" TargetMode="External"/><Relationship Id="rId17" Type="http://schemas.openxmlformats.org/officeDocument/2006/relationships/hyperlink" Target="http://web.worldbank.org/WBSITE/EXTERNAL/PROJECTS/EXTPOLICIES/EXTSAFEPOL/0,,contentMDK:20543999~menuPK:1286674~pagePK:64168445~piPK:64168309~theSitePK:584435,00.html" TargetMode="External"/><Relationship Id="rId2" Type="http://schemas.openxmlformats.org/officeDocument/2006/relationships/customXml" Target="../customXml/item2.xml"/><Relationship Id="rId16" Type="http://schemas.openxmlformats.org/officeDocument/2006/relationships/hyperlink" Target="http://web.worldbank.org/WBSITE/EXTERNAL/PROJECTS/EXTPOLICIES/EXTSAFEPOL/0,,contentMDK:20543943~menuPK:1286597~pagePK:64168445~piPK:64168309~theSitePK:584435,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worldbank.org/WBSITE/EXTERNAL/PROJECTS/EXTPOLICIES/EXTSAFEPOL/0,,contentMDK:20543920~menuPK:1286576~pagePK:64168445~piPK:64168309~theSitePK:584435,00.html" TargetMode="External"/><Relationship Id="rId5" Type="http://schemas.openxmlformats.org/officeDocument/2006/relationships/numbering" Target="numbering.xml"/><Relationship Id="rId15" Type="http://schemas.openxmlformats.org/officeDocument/2006/relationships/hyperlink" Target="http://web.worldbank.org/WBSITE/EXTERNAL/PROJECTS/EXTPOLICIES/EXTSAFEPOL/0,,contentMDK:20543978~menuPK:1286647~pagePK:64168445~piPK:64168309~theSitePK:584435,00.html" TargetMode="External"/><Relationship Id="rId10" Type="http://schemas.openxmlformats.org/officeDocument/2006/relationships/hyperlink" Target="http://web.worldbank.org/WBSITE/EXTERNAL/PROJECTS/EXTPOLICIES/EXTSAFEPOL/0,,contentMDK:20543912~menuPK:1286357~pagePK:64168445~piPK:64168309~theSitePK:584435,00.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worldbank.org/WBSITE/EXTERNAL/PROJECTS/EXTPOLICIES/EXTSAFEPOL/0,,contentMDK:20543961~menuPK:1286639~pagePK:64168445~piPK:64168309~theSitePK:58443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7159-2DAB-4552-B3BC-49719356915A}">
  <ds:schemaRefs>
    <ds:schemaRef ds:uri="http://schemas.microsoft.com/sharepoint/v3/contenttype/forms"/>
  </ds:schemaRefs>
</ds:datastoreItem>
</file>

<file path=customXml/itemProps2.xml><?xml version="1.0" encoding="utf-8"?>
<ds:datastoreItem xmlns:ds="http://schemas.openxmlformats.org/officeDocument/2006/customXml" ds:itemID="{CC782CC0-E16F-4EB6-824E-F7B94564B735}">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A5C7C06-C039-4902-B7EE-EEF68EB05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AD7068-BA48-4FDC-A7FB-01F64A44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wb95965</dc:creator>
  <cp:lastModifiedBy>Anne-Katrin Arnold</cp:lastModifiedBy>
  <cp:revision>3</cp:revision>
  <cp:lastPrinted>2012-10-11T00:50:00Z</cp:lastPrinted>
  <dcterms:created xsi:type="dcterms:W3CDTF">2013-02-28T19:23:00Z</dcterms:created>
  <dcterms:modified xsi:type="dcterms:W3CDTF">2013-02-28T19:24:00Z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