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B43" w:rsidRDefault="00BF5B43" w:rsidP="00BF5B43">
      <w:pPr>
        <w:jc w:val="center"/>
        <w:rPr>
          <w:rFonts w:cstheme="minorHAnsi"/>
          <w:b/>
          <w:color w:val="365F91" w:themeColor="accent1" w:themeShade="BF"/>
          <w:spacing w:val="5"/>
          <w:kern w:val="28"/>
          <w:sz w:val="28"/>
          <w:szCs w:val="28"/>
        </w:rPr>
      </w:pPr>
      <w:r w:rsidRPr="00BF5B43">
        <w:rPr>
          <w:rFonts w:cstheme="minorHAnsi"/>
          <w:b/>
          <w:noProof/>
          <w:color w:val="365F91" w:themeColor="accent1" w:themeShade="BF"/>
          <w:spacing w:val="5"/>
          <w:kern w:val="28"/>
          <w:sz w:val="28"/>
          <w:szCs w:val="28"/>
        </w:rPr>
        <w:drawing>
          <wp:inline distT="0" distB="0" distL="0" distR="0">
            <wp:extent cx="3448050" cy="1021152"/>
            <wp:effectExtent l="0" t="0" r="0" b="0"/>
            <wp:docPr id="2"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785" cy="1026997"/>
                    </a:xfrm>
                    <a:prstGeom prst="rect">
                      <a:avLst/>
                    </a:prstGeom>
                    <a:noFill/>
                    <a:ln>
                      <a:noFill/>
                    </a:ln>
                  </pic:spPr>
                </pic:pic>
              </a:graphicData>
            </a:graphic>
          </wp:inline>
        </w:drawing>
      </w:r>
    </w:p>
    <w:p w:rsidR="00BF5B43" w:rsidRPr="00907DC5" w:rsidRDefault="00BF5B43" w:rsidP="00BF5B43">
      <w:pPr>
        <w:jc w:val="center"/>
        <w:rPr>
          <w:rFonts w:cstheme="minorHAnsi"/>
          <w:b/>
          <w:color w:val="365F91" w:themeColor="accent1" w:themeShade="BF"/>
          <w:spacing w:val="5"/>
          <w:kern w:val="28"/>
          <w:sz w:val="28"/>
          <w:szCs w:val="28"/>
        </w:rPr>
      </w:pPr>
      <w:r w:rsidRPr="00907DC5">
        <w:rPr>
          <w:rFonts w:cstheme="minorHAnsi"/>
          <w:b/>
          <w:color w:val="365F91" w:themeColor="accent1" w:themeShade="BF"/>
          <w:spacing w:val="5"/>
          <w:kern w:val="28"/>
          <w:sz w:val="28"/>
          <w:szCs w:val="28"/>
        </w:rPr>
        <w:t xml:space="preserve">The World Bank </w:t>
      </w:r>
    </w:p>
    <w:p w:rsidR="00BF5B43" w:rsidRPr="00907DC5" w:rsidRDefault="00BF5B43" w:rsidP="00BF5B43">
      <w:pPr>
        <w:jc w:val="center"/>
        <w:rPr>
          <w:rFonts w:cstheme="minorHAnsi"/>
          <w:b/>
          <w:color w:val="365F91" w:themeColor="accent1" w:themeShade="BF"/>
          <w:sz w:val="28"/>
          <w:szCs w:val="28"/>
        </w:rPr>
      </w:pPr>
      <w:r w:rsidRPr="00907DC5">
        <w:rPr>
          <w:rFonts w:cstheme="minorHAnsi"/>
          <w:b/>
          <w:color w:val="365F91" w:themeColor="accent1" w:themeShade="BF"/>
          <w:sz w:val="28"/>
          <w:szCs w:val="28"/>
        </w:rPr>
        <w:t>Review and Update of the</w:t>
      </w:r>
      <w:r w:rsidR="000773FF">
        <w:rPr>
          <w:rFonts w:cstheme="minorHAnsi"/>
          <w:b/>
          <w:color w:val="365F91" w:themeColor="accent1" w:themeShade="BF"/>
          <w:sz w:val="28"/>
          <w:szCs w:val="28"/>
        </w:rPr>
        <w:t xml:space="preserve"> </w:t>
      </w:r>
      <w:r w:rsidRPr="00907DC5">
        <w:rPr>
          <w:rFonts w:cstheme="minorHAnsi"/>
          <w:b/>
          <w:color w:val="365F91" w:themeColor="accent1" w:themeShade="BF"/>
          <w:sz w:val="28"/>
          <w:szCs w:val="28"/>
        </w:rPr>
        <w:t>World</w:t>
      </w:r>
      <w:r>
        <w:rPr>
          <w:rFonts w:cstheme="minorHAnsi"/>
          <w:b/>
          <w:color w:val="365F91" w:themeColor="accent1" w:themeShade="BF"/>
          <w:sz w:val="28"/>
          <w:szCs w:val="28"/>
        </w:rPr>
        <w:t xml:space="preserve"> </w:t>
      </w:r>
      <w:r w:rsidRPr="00907DC5">
        <w:rPr>
          <w:rFonts w:cstheme="minorHAnsi"/>
          <w:b/>
          <w:color w:val="365F91" w:themeColor="accent1" w:themeShade="BF"/>
          <w:sz w:val="28"/>
          <w:szCs w:val="28"/>
        </w:rPr>
        <w:t>Bank’s</w:t>
      </w:r>
      <w:r>
        <w:rPr>
          <w:rFonts w:cstheme="minorHAnsi"/>
          <w:b/>
          <w:color w:val="365F91" w:themeColor="accent1" w:themeShade="BF"/>
          <w:sz w:val="28"/>
          <w:szCs w:val="28"/>
        </w:rPr>
        <w:t xml:space="preserve"> </w:t>
      </w:r>
      <w:r w:rsidRPr="00907DC5">
        <w:rPr>
          <w:rFonts w:cstheme="minorHAnsi"/>
          <w:b/>
          <w:color w:val="365F91" w:themeColor="accent1" w:themeShade="BF"/>
          <w:sz w:val="28"/>
          <w:szCs w:val="28"/>
        </w:rPr>
        <w:t xml:space="preserve">Environmental and Social </w:t>
      </w:r>
      <w:r>
        <w:rPr>
          <w:rFonts w:cstheme="minorHAnsi"/>
          <w:b/>
          <w:color w:val="365F91" w:themeColor="accent1" w:themeShade="BF"/>
          <w:sz w:val="28"/>
          <w:szCs w:val="28"/>
        </w:rPr>
        <w:br/>
      </w:r>
      <w:r w:rsidRPr="00907DC5">
        <w:rPr>
          <w:rFonts w:cstheme="minorHAnsi"/>
          <w:b/>
          <w:color w:val="365F91" w:themeColor="accent1" w:themeShade="BF"/>
          <w:sz w:val="28"/>
          <w:szCs w:val="28"/>
        </w:rPr>
        <w:t>Safeguard</w:t>
      </w:r>
      <w:r>
        <w:rPr>
          <w:rFonts w:cstheme="minorHAnsi"/>
          <w:b/>
          <w:color w:val="365F91" w:themeColor="accent1" w:themeShade="BF"/>
          <w:sz w:val="28"/>
          <w:szCs w:val="28"/>
        </w:rPr>
        <w:t xml:space="preserve"> </w:t>
      </w:r>
      <w:r w:rsidRPr="00907DC5">
        <w:rPr>
          <w:rFonts w:cstheme="minorHAnsi"/>
          <w:b/>
          <w:color w:val="365F91" w:themeColor="accent1" w:themeShade="BF"/>
          <w:sz w:val="28"/>
          <w:szCs w:val="28"/>
        </w:rPr>
        <w:t>Policies</w:t>
      </w:r>
    </w:p>
    <w:p w:rsidR="00BF5B43" w:rsidRPr="00907DC5" w:rsidRDefault="00BF5B43" w:rsidP="00BF5B43">
      <w:pPr>
        <w:pStyle w:val="Title"/>
        <w:jc w:val="center"/>
        <w:rPr>
          <w:rFonts w:asciiTheme="minorHAnsi" w:hAnsiTheme="minorHAnsi" w:cstheme="minorHAnsi"/>
          <w:b/>
          <w:color w:val="365F91" w:themeColor="accent1" w:themeShade="BF"/>
          <w:sz w:val="28"/>
          <w:szCs w:val="28"/>
        </w:rPr>
      </w:pPr>
      <w:r>
        <w:rPr>
          <w:rFonts w:asciiTheme="minorHAnsi" w:hAnsiTheme="minorHAnsi" w:cstheme="minorHAnsi"/>
          <w:b/>
          <w:color w:val="365F91" w:themeColor="accent1" w:themeShade="BF"/>
          <w:sz w:val="28"/>
          <w:szCs w:val="28"/>
        </w:rPr>
        <w:t xml:space="preserve">Consultation Meeting </w:t>
      </w:r>
      <w:r w:rsidR="00556BF9">
        <w:rPr>
          <w:rFonts w:asciiTheme="minorHAnsi" w:hAnsiTheme="minorHAnsi" w:cstheme="minorHAnsi"/>
          <w:b/>
          <w:color w:val="365F91" w:themeColor="accent1" w:themeShade="BF"/>
          <w:sz w:val="28"/>
          <w:szCs w:val="28"/>
        </w:rPr>
        <w:t>with</w:t>
      </w:r>
      <w:r>
        <w:rPr>
          <w:rFonts w:asciiTheme="minorHAnsi" w:hAnsiTheme="minorHAnsi" w:cstheme="minorHAnsi"/>
          <w:b/>
          <w:color w:val="365F91" w:themeColor="accent1" w:themeShade="BF"/>
          <w:sz w:val="28"/>
          <w:szCs w:val="28"/>
        </w:rPr>
        <w:t xml:space="preserve"> Government</w:t>
      </w:r>
      <w:r w:rsidR="00556BF9">
        <w:rPr>
          <w:rFonts w:asciiTheme="minorHAnsi" w:hAnsiTheme="minorHAnsi" w:cstheme="minorHAnsi"/>
          <w:b/>
          <w:color w:val="365F91" w:themeColor="accent1" w:themeShade="BF"/>
          <w:sz w:val="28"/>
          <w:szCs w:val="28"/>
        </w:rPr>
        <w:t xml:space="preserve"> Representatives, 25 March 2013</w:t>
      </w:r>
    </w:p>
    <w:p w:rsidR="00BF5B43" w:rsidRDefault="00263EFD" w:rsidP="00263EFD">
      <w:pPr>
        <w:jc w:val="both"/>
      </w:pPr>
      <w:r>
        <w:t xml:space="preserve">The </w:t>
      </w:r>
      <w:r w:rsidR="00BF5B43">
        <w:t xml:space="preserve">Bank held a consultation meeting on </w:t>
      </w:r>
      <w:r>
        <w:t xml:space="preserve">the </w:t>
      </w:r>
      <w:r w:rsidR="00BF5B43">
        <w:t xml:space="preserve">Safeguard </w:t>
      </w:r>
      <w:r>
        <w:t>Policies Review and Update on 25</w:t>
      </w:r>
      <w:r w:rsidR="00BF5B43">
        <w:t xml:space="preserve"> March 2013 in </w:t>
      </w:r>
      <w:r>
        <w:t>Ankara</w:t>
      </w:r>
      <w:r w:rsidR="00BF5B43">
        <w:t>, with the participation of representatives from the public sector</w:t>
      </w:r>
      <w:r w:rsidR="00BF5B43" w:rsidRPr="000C3269">
        <w:t xml:space="preserve">. </w:t>
      </w:r>
      <w:r>
        <w:t>The following are the comments and suggestions from the participants.</w:t>
      </w:r>
    </w:p>
    <w:p w:rsidR="000C3269" w:rsidRPr="000C3269" w:rsidRDefault="00C1248C" w:rsidP="000C3269">
      <w:pPr>
        <w:jc w:val="both"/>
        <w:rPr>
          <w:b/>
        </w:rPr>
      </w:pPr>
      <w:r>
        <w:rPr>
          <w:b/>
        </w:rPr>
        <w:t>What works well in the existing safeguard policies</w:t>
      </w:r>
      <w:r w:rsidR="000C3269" w:rsidRPr="000C3269">
        <w:rPr>
          <w:b/>
        </w:rPr>
        <w:t xml:space="preserve">? </w:t>
      </w:r>
    </w:p>
    <w:p w:rsidR="00E00AE3" w:rsidRDefault="00263EFD">
      <w:pPr>
        <w:pStyle w:val="ListParagraph"/>
        <w:numPr>
          <w:ilvl w:val="0"/>
          <w:numId w:val="1"/>
        </w:numPr>
        <w:jc w:val="both"/>
      </w:pPr>
      <w:r>
        <w:t xml:space="preserve">The </w:t>
      </w:r>
      <w:r w:rsidR="00C1248C">
        <w:t xml:space="preserve">Bank continues </w:t>
      </w:r>
      <w:r>
        <w:t xml:space="preserve">to </w:t>
      </w:r>
      <w:r w:rsidR="00C1248C">
        <w:t xml:space="preserve">hold a leading position as regards </w:t>
      </w:r>
      <w:r>
        <w:t>s</w:t>
      </w:r>
      <w:r w:rsidR="00C1248C">
        <w:t xml:space="preserve">afeguard </w:t>
      </w:r>
      <w:r>
        <w:t>p</w:t>
      </w:r>
      <w:r w:rsidR="00C1248C">
        <w:t>olicies</w:t>
      </w:r>
      <w:r w:rsidR="000C3269">
        <w:t xml:space="preserve">. </w:t>
      </w:r>
      <w:r w:rsidR="00C1248C">
        <w:t>Turkey is in the process of gradually learning in terms of both country legislation and the implementing agencies</w:t>
      </w:r>
      <w:r w:rsidR="000C3269">
        <w:t xml:space="preserve">.  </w:t>
      </w:r>
    </w:p>
    <w:p w:rsidR="00E00AE3" w:rsidRDefault="00263EFD">
      <w:pPr>
        <w:pStyle w:val="ListParagraph"/>
        <w:numPr>
          <w:ilvl w:val="0"/>
          <w:numId w:val="1"/>
        </w:numPr>
        <w:jc w:val="both"/>
      </w:pPr>
      <w:r>
        <w:t xml:space="preserve">The </w:t>
      </w:r>
      <w:r w:rsidR="00C1248C">
        <w:t>Bank holds meetings with all parties before starting a project</w:t>
      </w:r>
      <w:r w:rsidR="000C3269">
        <w:t xml:space="preserve">. </w:t>
      </w:r>
      <w:r w:rsidR="00C1248C">
        <w:t xml:space="preserve">Even if this work is performed on a project basis, it has been observed that positive results are obtained from dialogue with Bank officials regarding specific issues </w:t>
      </w:r>
      <w:r w:rsidR="000C3269">
        <w:t>(</w:t>
      </w:r>
      <w:r w:rsidR="00C1248C">
        <w:t>e.g.</w:t>
      </w:r>
      <w:r>
        <w:t>,</w:t>
      </w:r>
      <w:r w:rsidR="00C1248C">
        <w:t xml:space="preserve"> urgent expropriation</w:t>
      </w:r>
      <w:r w:rsidR="000C3269">
        <w:t xml:space="preserve">). </w:t>
      </w:r>
      <w:r>
        <w:t>T</w:t>
      </w:r>
      <w:r w:rsidR="00C1248C">
        <w:t>his could be scaled up to involve other areas as well.</w:t>
      </w:r>
      <w:r w:rsidR="000C3269">
        <w:t xml:space="preserve"> </w:t>
      </w:r>
    </w:p>
    <w:p w:rsidR="00103B0E" w:rsidRPr="00103B0E" w:rsidRDefault="00C1248C" w:rsidP="00103B0E">
      <w:pPr>
        <w:jc w:val="both"/>
        <w:rPr>
          <w:b/>
        </w:rPr>
      </w:pPr>
      <w:r>
        <w:rPr>
          <w:b/>
        </w:rPr>
        <w:t>What are the problems and challenges encountered in the implementation of safeguard policies</w:t>
      </w:r>
      <w:r w:rsidR="00103B0E" w:rsidRPr="00103B0E">
        <w:rPr>
          <w:b/>
        </w:rPr>
        <w:t xml:space="preserve">? </w:t>
      </w:r>
    </w:p>
    <w:p w:rsidR="00E00AE3" w:rsidRDefault="00C1248C">
      <w:pPr>
        <w:pStyle w:val="ListParagraph"/>
        <w:numPr>
          <w:ilvl w:val="0"/>
          <w:numId w:val="3"/>
        </w:numPr>
        <w:jc w:val="both"/>
      </w:pPr>
      <w:r>
        <w:t>The fact that Turkish environmental legislation and Bank environmental policies do not fully overlap leads to ambiguities</w:t>
      </w:r>
      <w:r w:rsidR="00103B0E">
        <w:t xml:space="preserve">, </w:t>
      </w:r>
      <w:r>
        <w:t>delays and problems in projects</w:t>
      </w:r>
      <w:r w:rsidR="00103B0E">
        <w:t xml:space="preserve">. </w:t>
      </w:r>
    </w:p>
    <w:p w:rsidR="00E00AE3" w:rsidRDefault="00C1248C">
      <w:pPr>
        <w:pStyle w:val="ListParagraph"/>
        <w:numPr>
          <w:ilvl w:val="0"/>
          <w:numId w:val="3"/>
        </w:numPr>
        <w:jc w:val="both"/>
      </w:pPr>
      <w:r>
        <w:t>The requirement to apply OP 4.12 in cases where the Bank’s OP 4.12 Involuntary Resettlement policy and the national legislation are inconsistent</w:t>
      </w:r>
      <w:r w:rsidR="00103B0E">
        <w:t xml:space="preserve">, </w:t>
      </w:r>
      <w:r>
        <w:t xml:space="preserve">leads to difficulties in terms of both implementation and </w:t>
      </w:r>
      <w:r w:rsidR="00263EFD">
        <w:t xml:space="preserve">the </w:t>
      </w:r>
      <w:r>
        <w:t>national legal system</w:t>
      </w:r>
      <w:r w:rsidR="003A4717">
        <w:t>,</w:t>
      </w:r>
      <w:r>
        <w:t xml:space="preserve"> particularly when compensation </w:t>
      </w:r>
      <w:r w:rsidR="00263EFD">
        <w:t xml:space="preserve">is </w:t>
      </w:r>
      <w:r w:rsidR="003A4717">
        <w:t>in question</w:t>
      </w:r>
      <w:r w:rsidR="00103B0E">
        <w:t xml:space="preserve">. </w:t>
      </w:r>
      <w:r w:rsidR="003A4717">
        <w:t>Furthermore, it is not always possible to obtain the require</w:t>
      </w:r>
      <w:r w:rsidR="00263EFD">
        <w:t>d</w:t>
      </w:r>
      <w:r w:rsidR="003A4717">
        <w:t xml:space="preserve"> personal information such as the income of citizens, their disability status</w:t>
      </w:r>
      <w:r w:rsidR="00103B0E">
        <w:t xml:space="preserve">, </w:t>
      </w:r>
      <w:r w:rsidR="003A4717">
        <w:t>wages</w:t>
      </w:r>
      <w:r w:rsidR="00103B0E">
        <w:t xml:space="preserve">, </w:t>
      </w:r>
      <w:r w:rsidR="003A4717">
        <w:t xml:space="preserve">ethnic origins, wealth, etc. Because there are too many owners particularly in respect of land registry -cadaster practices in Turkey, it may sometimes be practically impossible to </w:t>
      </w:r>
      <w:r w:rsidR="00263EFD">
        <w:t xml:space="preserve">discover who is affected, </w:t>
      </w:r>
      <w:r w:rsidR="003A4717">
        <w:t>and this may pose risks for project</w:t>
      </w:r>
      <w:r w:rsidR="00263EFD">
        <w:t xml:space="preserve"> implementation</w:t>
      </w:r>
      <w:r w:rsidR="003A4717">
        <w:t>.</w:t>
      </w:r>
    </w:p>
    <w:p w:rsidR="00E00AE3" w:rsidRDefault="00B01B47">
      <w:pPr>
        <w:pStyle w:val="ListParagraph"/>
        <w:numPr>
          <w:ilvl w:val="0"/>
          <w:numId w:val="3"/>
        </w:numPr>
        <w:jc w:val="both"/>
      </w:pPr>
      <w:r>
        <w:t xml:space="preserve">Practical problems are caused by the </w:t>
      </w:r>
      <w:r w:rsidR="0022505B">
        <w:t xml:space="preserve">fact that </w:t>
      </w:r>
      <w:r w:rsidR="00103B0E">
        <w:t xml:space="preserve">OP 4.12 </w:t>
      </w:r>
      <w:r w:rsidR="00263EFD">
        <w:t xml:space="preserve">on </w:t>
      </w:r>
      <w:r w:rsidR="0022505B">
        <w:t>Involuntary Resettlement recognizes all types of expropriation as “involuntary resettlement” regardless of size and nature.</w:t>
      </w:r>
      <w:r w:rsidR="00103B0E">
        <w:t xml:space="preserve"> </w:t>
      </w:r>
      <w:r w:rsidR="0022505B">
        <w:t xml:space="preserve">Problems are caused by </w:t>
      </w:r>
      <w:r w:rsidR="00784CB9">
        <w:t xml:space="preserve">including </w:t>
      </w:r>
      <w:r w:rsidR="0022505B">
        <w:t xml:space="preserve">under the same </w:t>
      </w:r>
      <w:r w:rsidR="00A122AC">
        <w:t>heading</w:t>
      </w:r>
      <w:r w:rsidR="00784CB9">
        <w:t xml:space="preserve"> both </w:t>
      </w:r>
      <w:r w:rsidR="00A122AC">
        <w:t xml:space="preserve">large projects and small projects with </w:t>
      </w:r>
      <w:r w:rsidR="00784CB9">
        <w:t xml:space="preserve">negligible </w:t>
      </w:r>
      <w:r w:rsidR="00A122AC">
        <w:t>social impact.</w:t>
      </w:r>
    </w:p>
    <w:p w:rsidR="00103B0E" w:rsidRDefault="00103B0E" w:rsidP="00103B0E">
      <w:pPr>
        <w:pStyle w:val="ListParagraph"/>
        <w:numPr>
          <w:ilvl w:val="0"/>
          <w:numId w:val="3"/>
        </w:numPr>
        <w:jc w:val="both"/>
      </w:pPr>
      <w:r>
        <w:t xml:space="preserve">OP 4.12 </w:t>
      </w:r>
      <w:r w:rsidR="00651262">
        <w:t>Involuntary Resettlement is based on ownership</w:t>
      </w:r>
      <w:r>
        <w:t xml:space="preserve">. </w:t>
      </w:r>
      <w:r w:rsidR="00651262">
        <w:t>However, not every public agency expropriates properties with ownership; there are also agencies expropriating properties with easement rights.</w:t>
      </w:r>
      <w:r>
        <w:t xml:space="preserve"> </w:t>
      </w:r>
      <w:r w:rsidR="00651262">
        <w:t>There is a gap in this regard.</w:t>
      </w:r>
      <w:r>
        <w:t xml:space="preserve"> </w:t>
      </w:r>
    </w:p>
    <w:p w:rsidR="00103B0E" w:rsidRDefault="00651262" w:rsidP="00103B0E">
      <w:pPr>
        <w:pStyle w:val="ListParagraph"/>
        <w:numPr>
          <w:ilvl w:val="0"/>
          <w:numId w:val="3"/>
        </w:numPr>
        <w:jc w:val="both"/>
      </w:pPr>
      <w:r>
        <w:lastRenderedPageBreak/>
        <w:t>The requirement to prepare Environmental Management Plan</w:t>
      </w:r>
      <w:r w:rsidR="00784CB9">
        <w:t>s</w:t>
      </w:r>
      <w:r>
        <w:t xml:space="preserve"> (EMP) even for rehabilitation works with positive environmental impacts or with minimal negative environmental impact prolongs the implementation process of projects</w:t>
      </w:r>
      <w:r w:rsidR="00103B0E">
        <w:t xml:space="preserve">. </w:t>
      </w:r>
    </w:p>
    <w:p w:rsidR="00E00AE3" w:rsidRDefault="00651262">
      <w:pPr>
        <w:pStyle w:val="ListParagraph"/>
        <w:numPr>
          <w:ilvl w:val="0"/>
          <w:numId w:val="3"/>
        </w:numPr>
        <w:jc w:val="both"/>
      </w:pPr>
      <w:r>
        <w:t xml:space="preserve">From the perspective of public agencies, waiting for the </w:t>
      </w:r>
      <w:r w:rsidR="00784CB9">
        <w:t xml:space="preserve">detailed review and </w:t>
      </w:r>
      <w:r>
        <w:t xml:space="preserve">no objection of </w:t>
      </w:r>
      <w:r w:rsidR="00784CB9">
        <w:t xml:space="preserve">the </w:t>
      </w:r>
      <w:r>
        <w:t>Bank for all projects lead</w:t>
      </w:r>
      <w:r w:rsidR="00784CB9">
        <w:t>s</w:t>
      </w:r>
      <w:r>
        <w:t xml:space="preserve"> to loss of time and effort</w:t>
      </w:r>
      <w:r w:rsidR="00103B0E">
        <w:t xml:space="preserve">. </w:t>
      </w:r>
    </w:p>
    <w:p w:rsidR="00E00AE3" w:rsidRDefault="00651262">
      <w:pPr>
        <w:pStyle w:val="ListParagraph"/>
        <w:numPr>
          <w:ilvl w:val="0"/>
          <w:numId w:val="3"/>
        </w:numPr>
        <w:jc w:val="both"/>
      </w:pPr>
      <w:r>
        <w:t xml:space="preserve">In the </w:t>
      </w:r>
      <w:r w:rsidR="00F65BCA">
        <w:t xml:space="preserve">projects of some public agencies, there is a requirement </w:t>
      </w:r>
      <w:r w:rsidR="00784CB9">
        <w:t xml:space="preserve">to prepare an </w:t>
      </w:r>
      <w:r w:rsidR="00F65BCA">
        <w:t xml:space="preserve">EMP even for components that are exempt from </w:t>
      </w:r>
      <w:r w:rsidR="00784CB9">
        <w:t xml:space="preserve">the </w:t>
      </w:r>
      <w:r w:rsidR="00F65BCA">
        <w:t xml:space="preserve">Environmental Impact Assessment </w:t>
      </w:r>
      <w:r w:rsidR="00103B0E">
        <w:t>(</w:t>
      </w:r>
      <w:r w:rsidR="00F65BCA">
        <w:t>EIA</w:t>
      </w:r>
      <w:r w:rsidR="00103B0E">
        <w:t xml:space="preserve">) </w:t>
      </w:r>
      <w:r w:rsidR="00F65BCA">
        <w:t>Regulation</w:t>
      </w:r>
      <w:r w:rsidR="00103B0E">
        <w:t xml:space="preserve">. </w:t>
      </w:r>
      <w:r w:rsidR="00F65BCA">
        <w:t xml:space="preserve">This causes problems particularly </w:t>
      </w:r>
      <w:r w:rsidR="00C40BDF">
        <w:t>for urgent projects</w:t>
      </w:r>
      <w:r w:rsidR="00103B0E">
        <w:t xml:space="preserve">. </w:t>
      </w:r>
    </w:p>
    <w:p w:rsidR="00E00AE3" w:rsidRDefault="00162CBF">
      <w:pPr>
        <w:pStyle w:val="ListParagraph"/>
        <w:numPr>
          <w:ilvl w:val="0"/>
          <w:numId w:val="3"/>
        </w:numPr>
        <w:jc w:val="both"/>
      </w:pPr>
      <w:r>
        <w:t xml:space="preserve">When Bank specialists implementing safeguard policies are replaced, the format of reporting </w:t>
      </w:r>
      <w:r w:rsidR="00784CB9">
        <w:t xml:space="preserve">changes </w:t>
      </w:r>
      <w:r>
        <w:t>and it is difficult to adapt</w:t>
      </w:r>
      <w:r w:rsidR="00103B0E">
        <w:t xml:space="preserve">. </w:t>
      </w:r>
      <w:r>
        <w:t>Sufficient standardization must be ensured in Bank procedures</w:t>
      </w:r>
      <w:r w:rsidR="00103B0E">
        <w:t xml:space="preserve">. </w:t>
      </w:r>
      <w:r>
        <w:t>Having to repeat the same work due to differing interpretation of specialists leads to loss of time.</w:t>
      </w:r>
    </w:p>
    <w:p w:rsidR="00E00AE3" w:rsidRDefault="00001402" w:rsidP="00556BF9">
      <w:pPr>
        <w:jc w:val="both"/>
        <w:rPr>
          <w:b/>
        </w:rPr>
      </w:pPr>
      <w:r w:rsidRPr="00001402">
        <w:rPr>
          <w:b/>
        </w:rPr>
        <w:t>Aspects of the environmental and social safeguards policies that the Bank can improve to ensure that these policies continue to be an effective and efficient tool to achieve sustainable development and results on the ground</w:t>
      </w:r>
      <w:r w:rsidR="00103B0E" w:rsidRPr="00FB2E08">
        <w:rPr>
          <w:b/>
        </w:rPr>
        <w:t xml:space="preserve">. </w:t>
      </w:r>
    </w:p>
    <w:p w:rsidR="00E00AE3" w:rsidRDefault="00001402" w:rsidP="00556BF9">
      <w:pPr>
        <w:pStyle w:val="ListParagraph"/>
        <w:numPr>
          <w:ilvl w:val="0"/>
          <w:numId w:val="3"/>
        </w:numPr>
        <w:jc w:val="both"/>
      </w:pPr>
      <w:r>
        <w:t>As far as expropriation is concerned, the Bank should be interested more in social aspects such as the status of grievances</w:t>
      </w:r>
      <w:r w:rsidR="00784CB9">
        <w:t xml:space="preserve"> and the</w:t>
      </w:r>
      <w:r>
        <w:t xml:space="preserve"> information </w:t>
      </w:r>
      <w:r w:rsidR="00784CB9">
        <w:t xml:space="preserve">provided to </w:t>
      </w:r>
      <w:r>
        <w:t>the public by companies regarding the elimination of grievances and/or provision of</w:t>
      </w:r>
      <w:r w:rsidR="00784CB9">
        <w:t xml:space="preserve"> </w:t>
      </w:r>
      <w:r>
        <w:t>assurance</w:t>
      </w:r>
      <w:r w:rsidR="00784CB9">
        <w:t>s</w:t>
      </w:r>
      <w:r>
        <w:t xml:space="preserve"> to the public, </w:t>
      </w:r>
      <w:r w:rsidR="00784CB9">
        <w:t xml:space="preserve">rather than </w:t>
      </w:r>
      <w:r>
        <w:t>detailed information about the names of affected people, size of the land expropriated</w:t>
      </w:r>
      <w:r w:rsidR="00103B0E">
        <w:t xml:space="preserve">, </w:t>
      </w:r>
      <w:r>
        <w:t>and structures on the lands expropriated</w:t>
      </w:r>
      <w:r w:rsidR="00103B0E">
        <w:t xml:space="preserve">. </w:t>
      </w:r>
      <w:r w:rsidR="00784CB9">
        <w:t>In this way, it</w:t>
      </w:r>
      <w:r>
        <w:t xml:space="preserve"> will be possible to complete investments </w:t>
      </w:r>
      <w:r w:rsidR="00784CB9">
        <w:t xml:space="preserve">more thoroughly </w:t>
      </w:r>
      <w:r>
        <w:t xml:space="preserve">and </w:t>
      </w:r>
      <w:r w:rsidR="00784CB9">
        <w:t xml:space="preserve">establish a </w:t>
      </w:r>
      <w:r>
        <w:t>closer dialogue with people</w:t>
      </w:r>
      <w:r w:rsidR="00103B0E">
        <w:t xml:space="preserve">. </w:t>
      </w:r>
    </w:p>
    <w:p w:rsidR="00E00AE3" w:rsidRDefault="00001402" w:rsidP="00556BF9">
      <w:pPr>
        <w:pStyle w:val="ListParagraph"/>
        <w:numPr>
          <w:ilvl w:val="0"/>
          <w:numId w:val="3"/>
        </w:numPr>
        <w:jc w:val="both"/>
      </w:pPr>
      <w:r>
        <w:t xml:space="preserve">The “grievance on paper” which </w:t>
      </w:r>
      <w:r w:rsidR="00297B7E">
        <w:t xml:space="preserve">the Bank </w:t>
      </w:r>
      <w:r w:rsidR="009404B4">
        <w:t xml:space="preserve">requires to be mentioned does not always reflect </w:t>
      </w:r>
      <w:r w:rsidR="00103B0E">
        <w:t>“</w:t>
      </w:r>
      <w:r w:rsidR="009404B4">
        <w:t>actual grievances”</w:t>
      </w:r>
      <w:r w:rsidR="00103B0E">
        <w:t xml:space="preserve">. </w:t>
      </w:r>
      <w:r w:rsidR="009404B4">
        <w:t xml:space="preserve">Furthermore, the time lost in identifying grievances on paper constitutes an obstacle </w:t>
      </w:r>
      <w:r w:rsidR="00784CB9">
        <w:t xml:space="preserve">to </w:t>
      </w:r>
      <w:r w:rsidR="009404B4">
        <w:t>timely completion of projects</w:t>
      </w:r>
      <w:r w:rsidR="00103B0E">
        <w:t xml:space="preserve">. </w:t>
      </w:r>
      <w:r w:rsidR="007F4D82">
        <w:t>When easement</w:t>
      </w:r>
      <w:r w:rsidR="00784CB9">
        <w:t>s</w:t>
      </w:r>
      <w:r w:rsidR="007F4D82">
        <w:t xml:space="preserve"> </w:t>
      </w:r>
      <w:r w:rsidR="00784CB9">
        <w:t xml:space="preserve">are </w:t>
      </w:r>
      <w:r w:rsidR="007F4D82">
        <w:t>involved in expropriation, for instance, different types of studies need to be conducted to identify actual grievances</w:t>
      </w:r>
      <w:r w:rsidR="00103B0E">
        <w:t>.</w:t>
      </w:r>
    </w:p>
    <w:p w:rsidR="00E00AE3" w:rsidRDefault="007F4D82" w:rsidP="00556BF9">
      <w:pPr>
        <w:jc w:val="both"/>
        <w:rPr>
          <w:b/>
        </w:rPr>
      </w:pPr>
      <w:r w:rsidRPr="007F4D82">
        <w:rPr>
          <w:b/>
        </w:rPr>
        <w:t xml:space="preserve">How </w:t>
      </w:r>
      <w:r>
        <w:rPr>
          <w:b/>
        </w:rPr>
        <w:t xml:space="preserve">can </w:t>
      </w:r>
      <w:r w:rsidRPr="007F4D82">
        <w:rPr>
          <w:b/>
        </w:rPr>
        <w:t>the Bank better support borrowers in their efforts to strengthen their systems and institutions with respect to environmental and social safeguards practices to yield more sustainable results on the ground</w:t>
      </w:r>
      <w:r w:rsidR="00103B0E" w:rsidRPr="00103B0E">
        <w:rPr>
          <w:b/>
        </w:rPr>
        <w:t xml:space="preserve">? </w:t>
      </w:r>
    </w:p>
    <w:p w:rsidR="00E00AE3" w:rsidRDefault="00317A0F" w:rsidP="00556BF9">
      <w:pPr>
        <w:pStyle w:val="ListParagraph"/>
        <w:numPr>
          <w:ilvl w:val="0"/>
          <w:numId w:val="3"/>
        </w:numPr>
        <w:jc w:val="both"/>
      </w:pPr>
      <w:r>
        <w:t xml:space="preserve">Safeguard </w:t>
      </w:r>
      <w:r w:rsidR="00E62B06">
        <w:t>p</w:t>
      </w:r>
      <w:r>
        <w:t xml:space="preserve">olicies </w:t>
      </w:r>
      <w:r w:rsidR="00E62B06">
        <w:t xml:space="preserve">should take into account </w:t>
      </w:r>
      <w:r>
        <w:t>the social conditions, practices and realities of each country</w:t>
      </w:r>
      <w:r w:rsidR="00103B0E">
        <w:t xml:space="preserve">. </w:t>
      </w:r>
      <w:r>
        <w:t xml:space="preserve">It is always easier to manage the process with specialists </w:t>
      </w:r>
      <w:r w:rsidR="00E62B06">
        <w:t xml:space="preserve">who have </w:t>
      </w:r>
      <w:r>
        <w:t>knowledge about Turkey</w:t>
      </w:r>
      <w:r w:rsidR="00103B0E">
        <w:t xml:space="preserve">. </w:t>
      </w:r>
    </w:p>
    <w:p w:rsidR="00E00AE3" w:rsidRDefault="00E62B06" w:rsidP="00556BF9">
      <w:pPr>
        <w:pStyle w:val="ListParagraph"/>
        <w:numPr>
          <w:ilvl w:val="0"/>
          <w:numId w:val="3"/>
        </w:numPr>
        <w:jc w:val="both"/>
      </w:pPr>
      <w:r>
        <w:t xml:space="preserve">The </w:t>
      </w:r>
      <w:r w:rsidR="000801A1">
        <w:t xml:space="preserve">Bank should reduce the procedures </w:t>
      </w:r>
      <w:r>
        <w:t xml:space="preserve">that </w:t>
      </w:r>
      <w:r w:rsidR="000801A1">
        <w:t>slow down the process, by demonstrating confidence in the agencies with which it works, and should address country practices with a more flexible approach after reviewing country legislation.</w:t>
      </w:r>
    </w:p>
    <w:p w:rsidR="00E00AE3" w:rsidRDefault="00E62B06" w:rsidP="00556BF9">
      <w:pPr>
        <w:pStyle w:val="ListParagraph"/>
        <w:numPr>
          <w:ilvl w:val="0"/>
          <w:numId w:val="3"/>
        </w:numPr>
        <w:jc w:val="both"/>
      </w:pPr>
      <w:r>
        <w:t xml:space="preserve">The </w:t>
      </w:r>
      <w:r w:rsidR="000801A1">
        <w:t xml:space="preserve">Bank may review whether the arrangements made in areas covered by Turkey’s long-lasting efforts to align </w:t>
      </w:r>
      <w:r>
        <w:t xml:space="preserve">its </w:t>
      </w:r>
      <w:r w:rsidR="000801A1">
        <w:t xml:space="preserve">national legislation with European Union (EU) legislation </w:t>
      </w:r>
      <w:r w:rsidR="00103B0E">
        <w:t>(</w:t>
      </w:r>
      <w:r w:rsidR="000801A1">
        <w:t>e.g.</w:t>
      </w:r>
      <w:r>
        <w:t>,</w:t>
      </w:r>
      <w:r w:rsidR="000801A1">
        <w:t xml:space="preserve"> EIA legislation)</w:t>
      </w:r>
      <w:r w:rsidR="00103B0E">
        <w:t xml:space="preserve"> </w:t>
      </w:r>
      <w:r w:rsidR="000801A1">
        <w:t>are compliant with its procedures</w:t>
      </w:r>
      <w:r w:rsidR="00103B0E">
        <w:t xml:space="preserve">, </w:t>
      </w:r>
      <w:r>
        <w:t xml:space="preserve">and </w:t>
      </w:r>
      <w:r w:rsidR="000801A1">
        <w:t>focus on how these efforts could be further improved and contribute to Turkey’s joint efforts with the EU.</w:t>
      </w:r>
      <w:r w:rsidR="00103B0E">
        <w:t xml:space="preserve"> </w:t>
      </w:r>
      <w:r>
        <w:t>T</w:t>
      </w:r>
      <w:r w:rsidR="004D6E80">
        <w:t xml:space="preserve">he Bank </w:t>
      </w:r>
      <w:r>
        <w:t xml:space="preserve">could also consider whether it </w:t>
      </w:r>
      <w:r w:rsidR="004D6E80">
        <w:t>should adopt the EU policies in countries having relations with the EU</w:t>
      </w:r>
      <w:r w:rsidR="00103B0E">
        <w:t xml:space="preserve">. </w:t>
      </w:r>
    </w:p>
    <w:p w:rsidR="00E00AE3" w:rsidRDefault="004D6E80" w:rsidP="00556BF9">
      <w:pPr>
        <w:pStyle w:val="ListParagraph"/>
        <w:numPr>
          <w:ilvl w:val="0"/>
          <w:numId w:val="3"/>
        </w:numPr>
        <w:jc w:val="both"/>
      </w:pPr>
      <w:r>
        <w:t>EIA</w:t>
      </w:r>
      <w:r w:rsidR="00E62B06">
        <w:t>s</w:t>
      </w:r>
      <w:r>
        <w:t xml:space="preserve"> </w:t>
      </w:r>
      <w:r w:rsidR="00E62B06">
        <w:t xml:space="preserve">and </w:t>
      </w:r>
      <w:r>
        <w:t>EMP</w:t>
      </w:r>
      <w:r w:rsidR="00E62B06">
        <w:t>s</w:t>
      </w:r>
      <w:r>
        <w:t xml:space="preserve"> should be prepared in Turkish and approved by the World Bank Turkey Office.</w:t>
      </w:r>
      <w:r w:rsidR="00103B0E">
        <w:t xml:space="preserve"> </w:t>
      </w:r>
      <w:r>
        <w:t>Their translation into English after finaliz</w:t>
      </w:r>
      <w:r w:rsidR="00E62B06">
        <w:t>ation</w:t>
      </w:r>
      <w:r>
        <w:t xml:space="preserve"> with comments could shorten the process</w:t>
      </w:r>
      <w:r w:rsidR="00103B0E">
        <w:t xml:space="preserve">. </w:t>
      </w:r>
      <w:r w:rsidR="006A4F2A">
        <w:t>By agreeing with a translation office that provide</w:t>
      </w:r>
      <w:r w:rsidR="00E62B06">
        <w:t>s</w:t>
      </w:r>
      <w:r w:rsidR="006A4F2A">
        <w:t xml:space="preserve"> </w:t>
      </w:r>
      <w:r w:rsidR="00E62B06">
        <w:t xml:space="preserve">acceptable </w:t>
      </w:r>
      <w:r w:rsidR="006A4F2A">
        <w:t>translations</w:t>
      </w:r>
      <w:r w:rsidR="00103B0E">
        <w:t xml:space="preserve">, </w:t>
      </w:r>
      <w:r w:rsidR="006A4F2A">
        <w:t xml:space="preserve">the Bank could </w:t>
      </w:r>
      <w:r w:rsidR="006A4F2A">
        <w:lastRenderedPageBreak/>
        <w:t xml:space="preserve">ensure that the language of countries with </w:t>
      </w:r>
      <w:r w:rsidR="00E62B06">
        <w:t xml:space="preserve">which it </w:t>
      </w:r>
      <w:r w:rsidR="006A4F2A">
        <w:t xml:space="preserve">works </w:t>
      </w:r>
      <w:r w:rsidR="00E62B06">
        <w:t xml:space="preserve">is </w:t>
      </w:r>
      <w:r w:rsidR="006A4F2A">
        <w:t xml:space="preserve">translated into English at </w:t>
      </w:r>
      <w:r w:rsidR="00E62B06">
        <w:t xml:space="preserve">an appropriate </w:t>
      </w:r>
      <w:r w:rsidR="006A4F2A">
        <w:t>standard.</w:t>
      </w:r>
      <w:r w:rsidR="00103B0E">
        <w:t xml:space="preserve"> </w:t>
      </w:r>
    </w:p>
    <w:p w:rsidR="00E00AE3" w:rsidRDefault="00787899" w:rsidP="00556BF9">
      <w:pPr>
        <w:pStyle w:val="ListParagraph"/>
        <w:numPr>
          <w:ilvl w:val="0"/>
          <w:numId w:val="3"/>
        </w:numPr>
        <w:jc w:val="both"/>
      </w:pPr>
      <w:r>
        <w:t xml:space="preserve">The environmental procedures </w:t>
      </w:r>
      <w:r w:rsidR="009576DA">
        <w:t xml:space="preserve">required of </w:t>
      </w:r>
      <w:r>
        <w:t xml:space="preserve">sub-borrowers </w:t>
      </w:r>
      <w:r w:rsidR="009576DA">
        <w:t xml:space="preserve">by the Bank </w:t>
      </w:r>
      <w:r>
        <w:t xml:space="preserve">are more demanding than the existing national environmental legislation in Turkey. </w:t>
      </w:r>
      <w:r w:rsidR="009576DA">
        <w:t xml:space="preserve">Loans that have the </w:t>
      </w:r>
      <w:r>
        <w:t xml:space="preserve">same conditions </w:t>
      </w:r>
      <w:r w:rsidR="009576DA">
        <w:t xml:space="preserve">as those of the market </w:t>
      </w:r>
      <w:r>
        <w:t xml:space="preserve">but higher </w:t>
      </w:r>
      <w:r w:rsidR="009576DA">
        <w:t xml:space="preserve">requirements </w:t>
      </w:r>
      <w:r>
        <w:t xml:space="preserve">often cause problems </w:t>
      </w:r>
      <w:r w:rsidR="009576DA">
        <w:t xml:space="preserve">for </w:t>
      </w:r>
      <w:r>
        <w:t>sub-borrower SMEs.</w:t>
      </w:r>
      <w:r w:rsidR="00103B0E">
        <w:t xml:space="preserve"> </w:t>
      </w:r>
      <w:r>
        <w:t xml:space="preserve">In terms of fulfilling environmental obligations, </w:t>
      </w:r>
      <w:r w:rsidR="009576DA">
        <w:t xml:space="preserve">the Bank should consider </w:t>
      </w:r>
      <w:r>
        <w:t xml:space="preserve">recognition of </w:t>
      </w:r>
      <w:r w:rsidR="009576DA">
        <w:t xml:space="preserve">country </w:t>
      </w:r>
      <w:r>
        <w:t>legislation as a sufficient condition</w:t>
      </w:r>
      <w:r w:rsidR="00103B0E">
        <w:t xml:space="preserve">. </w:t>
      </w:r>
    </w:p>
    <w:p w:rsidR="00E00AE3" w:rsidRDefault="009576DA" w:rsidP="00556BF9">
      <w:pPr>
        <w:pStyle w:val="ListParagraph"/>
        <w:numPr>
          <w:ilvl w:val="0"/>
          <w:numId w:val="3"/>
        </w:numPr>
        <w:jc w:val="both"/>
      </w:pPr>
      <w:r>
        <w:t>T</w:t>
      </w:r>
      <w:r w:rsidR="00787899">
        <w:t xml:space="preserve">he Bank should adopt the core principles of settlement law in Turkey </w:t>
      </w:r>
      <w:r>
        <w:t xml:space="preserve">for its loans, </w:t>
      </w:r>
      <w:r w:rsidR="00787899">
        <w:t>as far as expropriation is concerned</w:t>
      </w:r>
      <w:r>
        <w:t>,</w:t>
      </w:r>
      <w:r w:rsidR="00787899">
        <w:t xml:space="preserve"> and should base its practices on this law</w:t>
      </w:r>
      <w:r w:rsidR="00103B0E">
        <w:t xml:space="preserve">. </w:t>
      </w:r>
    </w:p>
    <w:p w:rsidR="00E00AE3" w:rsidRDefault="00F74033" w:rsidP="00556BF9">
      <w:pPr>
        <w:pStyle w:val="ListParagraph"/>
        <w:numPr>
          <w:ilvl w:val="0"/>
          <w:numId w:val="3"/>
        </w:numPr>
        <w:jc w:val="both"/>
      </w:pPr>
      <w:r>
        <w:t xml:space="preserve">Instead of expropriation clauses such as </w:t>
      </w:r>
      <w:r w:rsidR="00103B0E">
        <w:t>“</w:t>
      </w:r>
      <w:r>
        <w:t>depreciation shall not be deducted for relevant houses</w:t>
      </w:r>
      <w:r w:rsidR="00103B0E">
        <w:t xml:space="preserve">”, </w:t>
      </w:r>
      <w:r>
        <w:t xml:space="preserve">and “land for land”, provisions such as </w:t>
      </w:r>
      <w:r w:rsidR="00103B0E">
        <w:t>“</w:t>
      </w:r>
      <w:r>
        <w:t>establishment of an efficient compensation mechanism</w:t>
      </w:r>
      <w:r w:rsidR="00103B0E">
        <w:t xml:space="preserve">” </w:t>
      </w:r>
      <w:r>
        <w:t xml:space="preserve">and </w:t>
      </w:r>
      <w:r w:rsidR="00103B0E">
        <w:t>“</w:t>
      </w:r>
      <w:r>
        <w:t>new land elsewhere based on the net income from the land” could be useful in the implementation of investment projects.</w:t>
      </w:r>
      <w:r w:rsidR="00103B0E">
        <w:t xml:space="preserve"> </w:t>
      </w:r>
      <w:r w:rsidR="009576DA">
        <w:t xml:space="preserve">The </w:t>
      </w:r>
      <w:r>
        <w:t>Bank should develop a</w:t>
      </w:r>
      <w:r w:rsidR="009576DA">
        <w:t>n</w:t>
      </w:r>
      <w:r>
        <w:t xml:space="preserve"> involuntary resettlement policy </w:t>
      </w:r>
      <w:r w:rsidR="009576DA">
        <w:t xml:space="preserve">specific to </w:t>
      </w:r>
      <w:r>
        <w:t>Turkey’s circumstances.</w:t>
      </w:r>
      <w:r w:rsidR="00103B0E">
        <w:t xml:space="preserve"> </w:t>
      </w:r>
    </w:p>
    <w:p w:rsidR="00E00AE3" w:rsidRDefault="00F74033" w:rsidP="00556BF9">
      <w:pPr>
        <w:pStyle w:val="ListParagraph"/>
        <w:numPr>
          <w:ilvl w:val="0"/>
          <w:numId w:val="3"/>
        </w:numPr>
        <w:jc w:val="both"/>
      </w:pPr>
      <w:r>
        <w:t xml:space="preserve">The use of “forced resettlement” or “resettlement for public good” instead of the concept of </w:t>
      </w:r>
      <w:r w:rsidR="00103B0E">
        <w:t>“</w:t>
      </w:r>
      <w:r>
        <w:t>involuntary resettlement</w:t>
      </w:r>
      <w:r w:rsidR="00103B0E">
        <w:t xml:space="preserve">” </w:t>
      </w:r>
      <w:r>
        <w:t>could facilitate the realization of certain investments for national interests.</w:t>
      </w:r>
    </w:p>
    <w:p w:rsidR="00E00AE3" w:rsidRDefault="00103B0E" w:rsidP="00556BF9">
      <w:pPr>
        <w:pStyle w:val="ListParagraph"/>
        <w:numPr>
          <w:ilvl w:val="0"/>
          <w:numId w:val="3"/>
        </w:numPr>
        <w:jc w:val="both"/>
      </w:pPr>
      <w:r>
        <w:t xml:space="preserve">OP 4.12 </w:t>
      </w:r>
      <w:r w:rsidR="00F74033">
        <w:t xml:space="preserve">Involuntary Resettlement policy does not always overlap with expropriation activities carried out for projects involving </w:t>
      </w:r>
      <w:r w:rsidR="006623C7">
        <w:t xml:space="preserve">particular </w:t>
      </w:r>
      <w:r w:rsidR="00F74033">
        <w:t>agencies</w:t>
      </w:r>
      <w:r>
        <w:t xml:space="preserve">. </w:t>
      </w:r>
      <w:r w:rsidR="00F74033">
        <w:t xml:space="preserve">In this context, while considering </w:t>
      </w:r>
      <w:r w:rsidR="006623C7">
        <w:t xml:space="preserve">review of the policy for the </w:t>
      </w:r>
      <w:r w:rsidR="00F74033">
        <w:t xml:space="preserve">resettlement status </w:t>
      </w:r>
      <w:r w:rsidR="006623C7">
        <w:t xml:space="preserve">of </w:t>
      </w:r>
      <w:r w:rsidR="00F74033">
        <w:t xml:space="preserve">large projects, </w:t>
      </w:r>
      <w:r w:rsidR="0073717E">
        <w:t xml:space="preserve">sub-clauses </w:t>
      </w:r>
      <w:r w:rsidR="006623C7">
        <w:t xml:space="preserve">that take into account </w:t>
      </w:r>
      <w:r w:rsidR="00671BB5">
        <w:t xml:space="preserve">smaller projects and/or projects for different purposes, such as small land acquisitions or expropriation for public good, could be introduced into </w:t>
      </w:r>
      <w:r>
        <w:t xml:space="preserve">OP 4.12. </w:t>
      </w:r>
      <w:r w:rsidR="006623C7">
        <w:t>R</w:t>
      </w:r>
      <w:r w:rsidR="00671BB5">
        <w:t xml:space="preserve">eporting </w:t>
      </w:r>
      <w:r w:rsidR="006623C7">
        <w:t xml:space="preserve">for these </w:t>
      </w:r>
      <w:r w:rsidR="00671BB5">
        <w:t xml:space="preserve">could be </w:t>
      </w:r>
      <w:r w:rsidR="006623C7">
        <w:t xml:space="preserve">made </w:t>
      </w:r>
      <w:r w:rsidR="00671BB5">
        <w:t>simpler and more to-the-point</w:t>
      </w:r>
      <w:r>
        <w:t xml:space="preserve">. </w:t>
      </w:r>
      <w:r w:rsidR="006623C7">
        <w:t xml:space="preserve">The </w:t>
      </w:r>
      <w:r w:rsidR="00671BB5">
        <w:t>Bank could accelerate the process by requiring less information and reporting in this process.</w:t>
      </w:r>
    </w:p>
    <w:p w:rsidR="00E00AE3" w:rsidRDefault="00671BB5" w:rsidP="00556BF9">
      <w:pPr>
        <w:jc w:val="both"/>
        <w:rPr>
          <w:b/>
        </w:rPr>
      </w:pPr>
      <w:r w:rsidRPr="00671BB5">
        <w:rPr>
          <w:b/>
        </w:rPr>
        <w:t>Examples of environmental and social assessment and risk management approaches (used by either public or private institutions) that the review should take into consideration</w:t>
      </w:r>
      <w:r w:rsidR="00103B0E" w:rsidRPr="00103B0E">
        <w:rPr>
          <w:b/>
        </w:rPr>
        <w:t xml:space="preserve">. </w:t>
      </w:r>
    </w:p>
    <w:p w:rsidR="00E00AE3" w:rsidRDefault="00EB1A81" w:rsidP="00556BF9">
      <w:pPr>
        <w:pStyle w:val="ListParagraph"/>
        <w:numPr>
          <w:ilvl w:val="0"/>
          <w:numId w:val="3"/>
        </w:numPr>
        <w:jc w:val="both"/>
      </w:pPr>
      <w:r>
        <w:t xml:space="preserve">Particularly in DSI </w:t>
      </w:r>
      <w:r w:rsidR="006623C7">
        <w:t xml:space="preserve">(government water works) </w:t>
      </w:r>
      <w:r>
        <w:t>projects, it is already preferred to follow a social approach that minimize</w:t>
      </w:r>
      <w:r w:rsidR="006623C7">
        <w:t>s</w:t>
      </w:r>
      <w:r>
        <w:t xml:space="preserve"> negative environmental impacts, and projects are implemented with this understanding</w:t>
      </w:r>
      <w:r w:rsidR="00103B0E">
        <w:t>.</w:t>
      </w:r>
    </w:p>
    <w:p w:rsidR="00E535D0" w:rsidRPr="00E535D0" w:rsidRDefault="00EB1A81" w:rsidP="00E535D0">
      <w:pPr>
        <w:jc w:val="both"/>
        <w:rPr>
          <w:b/>
        </w:rPr>
      </w:pPr>
      <w:r w:rsidRPr="00EB1A81">
        <w:rPr>
          <w:b/>
        </w:rPr>
        <w:t>Recommendations with respect of any of the emerging areas described in the paper (i.e., disabilities; labor and occupational health and safety; human rights, land tenure and natural resources; free, prior and informed consent of Indigenous Peoples; gender; and climate change)</w:t>
      </w:r>
      <w:r w:rsidR="00E535D0" w:rsidRPr="00E535D0">
        <w:rPr>
          <w:b/>
        </w:rPr>
        <w:t>.</w:t>
      </w:r>
    </w:p>
    <w:p w:rsidR="00E00AE3" w:rsidRDefault="00EB1A81" w:rsidP="00556BF9">
      <w:pPr>
        <w:pStyle w:val="ListParagraph"/>
        <w:numPr>
          <w:ilvl w:val="0"/>
          <w:numId w:val="3"/>
        </w:numPr>
        <w:jc w:val="both"/>
      </w:pPr>
      <w:r>
        <w:t>Labor and occupational health and safety is a very critical issue.</w:t>
      </w:r>
      <w:r w:rsidR="00E535D0">
        <w:t xml:space="preserve"> </w:t>
      </w:r>
      <w:r>
        <w:t xml:space="preserve">Because Turkey </w:t>
      </w:r>
      <w:r w:rsidR="006623C7">
        <w:t>h</w:t>
      </w:r>
      <w:r>
        <w:t>as taken sufficient measures regarding the subject matter particularly in bidding documents for construction projects</w:t>
      </w:r>
      <w:r w:rsidR="00E535D0">
        <w:t xml:space="preserve">, </w:t>
      </w:r>
      <w:r>
        <w:t xml:space="preserve">labor and occupational health and safety would not pose much difficulty for Turkey in the context of its existing legislation even if it is included in the scope of </w:t>
      </w:r>
      <w:r w:rsidR="0045421B">
        <w:t>the revised p</w:t>
      </w:r>
      <w:r>
        <w:t>olicies</w:t>
      </w:r>
      <w:r w:rsidR="00E535D0">
        <w:t xml:space="preserve">. </w:t>
      </w:r>
    </w:p>
    <w:p w:rsidR="00E00AE3" w:rsidRDefault="007B1AF9" w:rsidP="00556BF9">
      <w:pPr>
        <w:pStyle w:val="ListParagraph"/>
        <w:numPr>
          <w:ilvl w:val="0"/>
          <w:numId w:val="3"/>
        </w:numPr>
        <w:jc w:val="both"/>
      </w:pPr>
      <w:r>
        <w:t>A negative situation has not been observed to date as regards gender equality</w:t>
      </w:r>
      <w:r w:rsidR="00E535D0">
        <w:t xml:space="preserve">. </w:t>
      </w:r>
      <w:r>
        <w:t>However, it is necessary to be sufficiently informed about the arrangements considered to be introduced as regards gender equality</w:t>
      </w:r>
      <w:r w:rsidR="00E535D0">
        <w:t xml:space="preserve">. </w:t>
      </w:r>
      <w:r>
        <w:t>It has been stated that it is early to take up this issue in Turkey</w:t>
      </w:r>
      <w:r w:rsidR="00E535D0">
        <w:t>.</w:t>
      </w:r>
    </w:p>
    <w:p w:rsidR="00E00AE3" w:rsidRDefault="007B1AF9" w:rsidP="00556BF9">
      <w:pPr>
        <w:pStyle w:val="ListParagraph"/>
        <w:numPr>
          <w:ilvl w:val="0"/>
          <w:numId w:val="3"/>
        </w:numPr>
        <w:jc w:val="both"/>
      </w:pPr>
      <w:r>
        <w:t xml:space="preserve">As regards climate change, </w:t>
      </w:r>
      <w:r w:rsidR="0045421B">
        <w:t xml:space="preserve">the </w:t>
      </w:r>
      <w:r>
        <w:t>Ministry of Environment has a Climate Change Action Plan</w:t>
      </w:r>
      <w:r w:rsidR="00E535D0">
        <w:t xml:space="preserve">. </w:t>
      </w:r>
      <w:r>
        <w:t>Bank could support this action plan instead of producing a separate strategy</w:t>
      </w:r>
      <w:r w:rsidR="00E535D0">
        <w:t xml:space="preserve">. </w:t>
      </w:r>
    </w:p>
    <w:p w:rsidR="00E00AE3" w:rsidRDefault="007B1AF9" w:rsidP="00556BF9">
      <w:pPr>
        <w:pStyle w:val="ListParagraph"/>
        <w:numPr>
          <w:ilvl w:val="0"/>
          <w:numId w:val="3"/>
        </w:numPr>
        <w:jc w:val="both"/>
      </w:pPr>
      <w:r>
        <w:lastRenderedPageBreak/>
        <w:t>While much emphasis is put on issues like conservation of natural resources in Turkey</w:t>
      </w:r>
      <w:r w:rsidR="00E535D0">
        <w:t xml:space="preserve">, </w:t>
      </w:r>
      <w:r>
        <w:t>issues like gender equality, disability and climate change draw less attention</w:t>
      </w:r>
      <w:r w:rsidR="00E535D0">
        <w:t xml:space="preserve">. </w:t>
      </w:r>
      <w:r>
        <w:t xml:space="preserve">Therefore, </w:t>
      </w:r>
      <w:r w:rsidR="000226E7">
        <w:t xml:space="preserve">as part of the studies that have been recently started in Turkey on these matters, municipalities </w:t>
      </w:r>
      <w:r w:rsidR="0045421B">
        <w:t xml:space="preserve">in particular </w:t>
      </w:r>
      <w:r w:rsidR="000226E7">
        <w:t>are in search of resources.</w:t>
      </w:r>
      <w:r w:rsidR="00E535D0">
        <w:t xml:space="preserve"> </w:t>
      </w:r>
      <w:r w:rsidR="000226E7">
        <w:t xml:space="preserve">Instead of incorporating these matters into safeguard policies, </w:t>
      </w:r>
      <w:r w:rsidR="0045421B">
        <w:t xml:space="preserve">the </w:t>
      </w:r>
      <w:r w:rsidR="000226E7">
        <w:t xml:space="preserve">Bank could </w:t>
      </w:r>
      <w:r w:rsidR="0045421B">
        <w:t xml:space="preserve">better </w:t>
      </w:r>
      <w:r w:rsidR="000226E7">
        <w:t>work with related governments or ministries on such critical matters</w:t>
      </w:r>
      <w:r w:rsidR="00E535D0">
        <w:t xml:space="preserve">. </w:t>
      </w:r>
      <w:r w:rsidR="000226E7">
        <w:t>Thus, it would also be possible for the Bank to contribute to the relevant legislation of Turkey</w:t>
      </w:r>
      <w:r w:rsidR="00E535D0">
        <w:t>.</w:t>
      </w:r>
    </w:p>
    <w:p w:rsidR="00E535D0" w:rsidRPr="00E535D0" w:rsidRDefault="000226E7" w:rsidP="00E535D0">
      <w:pPr>
        <w:jc w:val="both"/>
        <w:rPr>
          <w:b/>
        </w:rPr>
      </w:pPr>
      <w:r>
        <w:rPr>
          <w:b/>
        </w:rPr>
        <w:t>Additional comments or suggestions</w:t>
      </w:r>
      <w:bookmarkStart w:id="0" w:name="_GoBack"/>
      <w:bookmarkEnd w:id="0"/>
      <w:r w:rsidR="00E535D0" w:rsidRPr="00E535D0">
        <w:rPr>
          <w:b/>
        </w:rPr>
        <w:t xml:space="preserve"> </w:t>
      </w:r>
    </w:p>
    <w:p w:rsidR="00E00AE3" w:rsidRDefault="000226E7" w:rsidP="00556BF9">
      <w:pPr>
        <w:pStyle w:val="ListParagraph"/>
        <w:numPr>
          <w:ilvl w:val="0"/>
          <w:numId w:val="3"/>
        </w:numPr>
        <w:jc w:val="both"/>
      </w:pPr>
      <w:r>
        <w:t xml:space="preserve">Even if they are not included in the </w:t>
      </w:r>
      <w:r w:rsidR="0045421B">
        <w:t>Bank’s p</w:t>
      </w:r>
      <w:r>
        <w:t>olicies, sustainable production and</w:t>
      </w:r>
      <w:r w:rsidR="00E535D0">
        <w:t xml:space="preserve"> </w:t>
      </w:r>
      <w:r>
        <w:t>clean production cover all these matters</w:t>
      </w:r>
      <w:r w:rsidR="00E535D0">
        <w:t xml:space="preserve">. </w:t>
      </w:r>
      <w:r>
        <w:t xml:space="preserve">It would be useful for the Bank to focus on sustainable production and clean production either through integration into </w:t>
      </w:r>
      <w:r w:rsidR="0045421B">
        <w:t>the p</w:t>
      </w:r>
      <w:r>
        <w:t>olicies or separately</w:t>
      </w:r>
      <w:r w:rsidR="00E535D0">
        <w:t xml:space="preserve">. </w:t>
      </w:r>
    </w:p>
    <w:p w:rsidR="00E00AE3" w:rsidRDefault="001271BF" w:rsidP="00556BF9">
      <w:pPr>
        <w:pStyle w:val="ListParagraph"/>
        <w:numPr>
          <w:ilvl w:val="0"/>
          <w:numId w:val="3"/>
        </w:numPr>
        <w:jc w:val="both"/>
      </w:pPr>
      <w:r>
        <w:t xml:space="preserve">There is a need to </w:t>
      </w:r>
      <w:r w:rsidR="0045421B">
        <w:t xml:space="preserve">for training on </w:t>
      </w:r>
      <w:r>
        <w:t xml:space="preserve">reporting, in terms of language and content of Bank </w:t>
      </w:r>
      <w:r w:rsidR="0045421B">
        <w:t>requirements</w:t>
      </w:r>
      <w:r w:rsidR="00E535D0">
        <w:t xml:space="preserve">. </w:t>
      </w:r>
      <w:r>
        <w:t xml:space="preserve">During the reporting process, writing reports in Turkish until </w:t>
      </w:r>
      <w:r w:rsidR="0045421B">
        <w:t xml:space="preserve">the </w:t>
      </w:r>
      <w:r>
        <w:t xml:space="preserve">“no objection” is received, and then translating them into English under the guidance of the Bank after obtaining </w:t>
      </w:r>
      <w:r w:rsidR="0045421B">
        <w:t xml:space="preserve">the </w:t>
      </w:r>
      <w:r>
        <w:t>“no objection” could be a solution.</w:t>
      </w:r>
      <w:r w:rsidR="00E535D0">
        <w:t xml:space="preserve"> </w:t>
      </w:r>
    </w:p>
    <w:p w:rsidR="00E00AE3" w:rsidRDefault="001271BF" w:rsidP="00556BF9">
      <w:pPr>
        <w:pStyle w:val="ListParagraph"/>
        <w:numPr>
          <w:ilvl w:val="0"/>
          <w:numId w:val="3"/>
        </w:numPr>
        <w:jc w:val="both"/>
      </w:pPr>
      <w:r>
        <w:t xml:space="preserve">It could be useful to simplify the format of reports submitted to the Bank </w:t>
      </w:r>
      <w:r w:rsidR="00E535D0">
        <w:t>(</w:t>
      </w:r>
      <w:r>
        <w:t>e.g.</w:t>
      </w:r>
      <w:r w:rsidR="0045421B">
        <w:t>,</w:t>
      </w:r>
      <w:r>
        <w:t xml:space="preserve"> EIA reports</w:t>
      </w:r>
      <w:r w:rsidR="00E535D0">
        <w:t xml:space="preserve">). </w:t>
      </w:r>
      <w:r>
        <w:t xml:space="preserve">It </w:t>
      </w:r>
      <w:r w:rsidR="00027920">
        <w:t>w</w:t>
      </w:r>
      <w:r>
        <w:t xml:space="preserve">ould be preferable </w:t>
      </w:r>
      <w:r w:rsidR="0045421B">
        <w:t xml:space="preserve">for </w:t>
      </w:r>
      <w:r>
        <w:t xml:space="preserve">Turkey </w:t>
      </w:r>
      <w:r w:rsidR="0045421B">
        <w:t xml:space="preserve">to </w:t>
      </w:r>
      <w:r>
        <w:t>revise Annex</w:t>
      </w:r>
      <w:r w:rsidR="00E535D0">
        <w:t xml:space="preserve">-1 </w:t>
      </w:r>
      <w:r>
        <w:t>and Annex</w:t>
      </w:r>
      <w:r w:rsidR="00E535D0">
        <w:t xml:space="preserve">-2 </w:t>
      </w:r>
      <w:r>
        <w:t xml:space="preserve">reports to ensure compliance with Bank categories and that reports are made more </w:t>
      </w:r>
      <w:r w:rsidR="00027920">
        <w:t>available to the Bank in general.</w:t>
      </w:r>
      <w:r w:rsidR="00E535D0">
        <w:t xml:space="preserve"> </w:t>
      </w:r>
    </w:p>
    <w:p w:rsidR="00E00AE3" w:rsidRDefault="00027920" w:rsidP="00556BF9">
      <w:pPr>
        <w:pStyle w:val="ListParagraph"/>
        <w:numPr>
          <w:ilvl w:val="0"/>
          <w:numId w:val="3"/>
        </w:numPr>
        <w:jc w:val="both"/>
      </w:pPr>
      <w:r>
        <w:t xml:space="preserve">Expropriation does not always have negative impacts; in some cases, </w:t>
      </w:r>
      <w:r w:rsidR="0045421B">
        <w:t>i</w:t>
      </w:r>
      <w:r>
        <w:t>t could also offer advantages to the owner of investment lands expropriated in rural areas</w:t>
      </w:r>
      <w:r w:rsidR="00E535D0">
        <w:t xml:space="preserve">. </w:t>
      </w:r>
      <w:r>
        <w:t>This fact should also be taken into consideration.</w:t>
      </w:r>
    </w:p>
    <w:p w:rsidR="00E00AE3" w:rsidRDefault="00027920" w:rsidP="00556BF9">
      <w:pPr>
        <w:pStyle w:val="ListParagraph"/>
        <w:numPr>
          <w:ilvl w:val="0"/>
          <w:numId w:val="3"/>
        </w:numPr>
        <w:jc w:val="both"/>
      </w:pPr>
      <w:r>
        <w:t>In the reporting under expropriation, it would be useful to include the activities of investors in favor of public good and facilities offered to local people in the context of corporate-social responsibility, instead of personal information</w:t>
      </w:r>
      <w:r w:rsidR="00E535D0">
        <w:t xml:space="preserve">. </w:t>
      </w:r>
    </w:p>
    <w:p w:rsidR="00994FF5" w:rsidRDefault="00027920" w:rsidP="00556BF9">
      <w:pPr>
        <w:pStyle w:val="ListParagraph"/>
        <w:numPr>
          <w:ilvl w:val="0"/>
          <w:numId w:val="6"/>
        </w:numPr>
        <w:jc w:val="both"/>
      </w:pPr>
      <w:r>
        <w:t>In order to resolve the problems experienced in relation to expropriation, it could be a solution to offer shares to land owners from the benefits to be reaped from the land, instead of paying compensation for the expropriated land.</w:t>
      </w:r>
      <w:r w:rsidR="00E535D0">
        <w:t xml:space="preserve"> </w:t>
      </w:r>
      <w:r w:rsidR="00FF3838">
        <w:t xml:space="preserve">It could be possible to make a legal arrangement through conducting a study on </w:t>
      </w:r>
      <w:r w:rsidR="0045421B">
        <w:t xml:space="preserve">a </w:t>
      </w:r>
      <w:r w:rsidR="00FF3838">
        <w:t>financing model among the related ministries. However, the applicability of this suggestion to every project is controversial.</w:t>
      </w:r>
      <w:r w:rsidR="00E535D0">
        <w:t xml:space="preserve"> </w:t>
      </w:r>
    </w:p>
    <w:sectPr w:rsidR="00994FF5" w:rsidSect="00B97A0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FF5" w:rsidRDefault="00994FF5" w:rsidP="00FD24E1">
      <w:pPr>
        <w:spacing w:after="0" w:line="240" w:lineRule="auto"/>
      </w:pPr>
      <w:r>
        <w:separator/>
      </w:r>
    </w:p>
  </w:endnote>
  <w:endnote w:type="continuationSeparator" w:id="0">
    <w:p w:rsidR="00994FF5" w:rsidRDefault="00994FF5" w:rsidP="00FD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25202"/>
      <w:docPartObj>
        <w:docPartGallery w:val="Page Numbers (Bottom of Page)"/>
        <w:docPartUnique/>
      </w:docPartObj>
    </w:sdtPr>
    <w:sdtEndPr/>
    <w:sdtContent>
      <w:p w:rsidR="006623C7" w:rsidRDefault="00556BF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623C7" w:rsidRDefault="00662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FF5" w:rsidRDefault="00994FF5" w:rsidP="00FD24E1">
      <w:pPr>
        <w:spacing w:after="0" w:line="240" w:lineRule="auto"/>
      </w:pPr>
      <w:r>
        <w:separator/>
      </w:r>
    </w:p>
  </w:footnote>
  <w:footnote w:type="continuationSeparator" w:id="0">
    <w:p w:rsidR="00994FF5" w:rsidRDefault="00994FF5" w:rsidP="00FD24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F08"/>
    <w:multiLevelType w:val="hybridMultilevel"/>
    <w:tmpl w:val="6FE06A64"/>
    <w:lvl w:ilvl="0" w:tplc="0409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8794312"/>
    <w:multiLevelType w:val="hybridMultilevel"/>
    <w:tmpl w:val="9D4E391E"/>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B8303C"/>
    <w:multiLevelType w:val="hybridMultilevel"/>
    <w:tmpl w:val="73FAD784"/>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64918C2"/>
    <w:multiLevelType w:val="hybridMultilevel"/>
    <w:tmpl w:val="FAA40A96"/>
    <w:lvl w:ilvl="0" w:tplc="0409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46BC6599"/>
    <w:multiLevelType w:val="hybridMultilevel"/>
    <w:tmpl w:val="F56CB816"/>
    <w:lvl w:ilvl="0" w:tplc="0409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4AF55105"/>
    <w:multiLevelType w:val="hybridMultilevel"/>
    <w:tmpl w:val="DBE0C9D8"/>
    <w:lvl w:ilvl="0" w:tplc="04090001">
      <w:start w:val="1"/>
      <w:numFmt w:val="bullet"/>
      <w:lvlText w:val=""/>
      <w:lvlJc w:val="left"/>
      <w:pPr>
        <w:ind w:left="720" w:hanging="360"/>
      </w:pPr>
      <w:rPr>
        <w:rFonts w:ascii="Symbol" w:hAnsi="Symbol" w:hint="default"/>
      </w:rPr>
    </w:lvl>
    <w:lvl w:ilvl="1" w:tplc="FC04E1E0">
      <w:numFmt w:val="bullet"/>
      <w:lvlText w:val="•"/>
      <w:lvlJc w:val="left"/>
      <w:pPr>
        <w:ind w:left="1440" w:hanging="360"/>
      </w:pPr>
      <w:rPr>
        <w:rFonts w:ascii="Calibri" w:eastAsiaTheme="minorEastAsia"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3269"/>
    <w:rsid w:val="00001402"/>
    <w:rsid w:val="000226E7"/>
    <w:rsid w:val="00027920"/>
    <w:rsid w:val="00072F90"/>
    <w:rsid w:val="000773FF"/>
    <w:rsid w:val="000801A1"/>
    <w:rsid w:val="000C3269"/>
    <w:rsid w:val="00103B0E"/>
    <w:rsid w:val="001271BF"/>
    <w:rsid w:val="00162CBF"/>
    <w:rsid w:val="0022505B"/>
    <w:rsid w:val="00263EFD"/>
    <w:rsid w:val="00297B7E"/>
    <w:rsid w:val="00317A0F"/>
    <w:rsid w:val="00367BDA"/>
    <w:rsid w:val="003A4717"/>
    <w:rsid w:val="003B4F24"/>
    <w:rsid w:val="003C0BDE"/>
    <w:rsid w:val="00405DD9"/>
    <w:rsid w:val="00437415"/>
    <w:rsid w:val="0045421B"/>
    <w:rsid w:val="00471EE7"/>
    <w:rsid w:val="004A1CA5"/>
    <w:rsid w:val="004D6E80"/>
    <w:rsid w:val="00556BF9"/>
    <w:rsid w:val="00594BD8"/>
    <w:rsid w:val="005A1401"/>
    <w:rsid w:val="00647239"/>
    <w:rsid w:val="00651262"/>
    <w:rsid w:val="006623C7"/>
    <w:rsid w:val="00671BB5"/>
    <w:rsid w:val="006854AE"/>
    <w:rsid w:val="006A4F2A"/>
    <w:rsid w:val="006E6CEC"/>
    <w:rsid w:val="0073717E"/>
    <w:rsid w:val="00784CB9"/>
    <w:rsid w:val="00787899"/>
    <w:rsid w:val="007B1AF9"/>
    <w:rsid w:val="007D7E83"/>
    <w:rsid w:val="007F4D82"/>
    <w:rsid w:val="008268BB"/>
    <w:rsid w:val="009404B4"/>
    <w:rsid w:val="009576DA"/>
    <w:rsid w:val="00961980"/>
    <w:rsid w:val="00994FF5"/>
    <w:rsid w:val="00A122AC"/>
    <w:rsid w:val="00A63D39"/>
    <w:rsid w:val="00AA1B66"/>
    <w:rsid w:val="00B01B47"/>
    <w:rsid w:val="00B97A01"/>
    <w:rsid w:val="00BB230C"/>
    <w:rsid w:val="00BC4CA2"/>
    <w:rsid w:val="00BF50B3"/>
    <w:rsid w:val="00BF5B43"/>
    <w:rsid w:val="00C1248C"/>
    <w:rsid w:val="00C40BDF"/>
    <w:rsid w:val="00C5660D"/>
    <w:rsid w:val="00C73C1E"/>
    <w:rsid w:val="00CB64BD"/>
    <w:rsid w:val="00E00AE3"/>
    <w:rsid w:val="00E535D0"/>
    <w:rsid w:val="00E62B06"/>
    <w:rsid w:val="00EB1A81"/>
    <w:rsid w:val="00F65BCA"/>
    <w:rsid w:val="00F71575"/>
    <w:rsid w:val="00F74033"/>
    <w:rsid w:val="00FB2E08"/>
    <w:rsid w:val="00FD24E1"/>
    <w:rsid w:val="00FF38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269"/>
    <w:pPr>
      <w:ind w:left="720"/>
      <w:contextualSpacing/>
    </w:pPr>
  </w:style>
  <w:style w:type="character" w:styleId="CommentReference">
    <w:name w:val="annotation reference"/>
    <w:basedOn w:val="DefaultParagraphFont"/>
    <w:uiPriority w:val="99"/>
    <w:semiHidden/>
    <w:unhideWhenUsed/>
    <w:rsid w:val="00367BDA"/>
    <w:rPr>
      <w:sz w:val="16"/>
      <w:szCs w:val="16"/>
    </w:rPr>
  </w:style>
  <w:style w:type="paragraph" w:styleId="CommentText">
    <w:name w:val="annotation text"/>
    <w:basedOn w:val="Normal"/>
    <w:link w:val="CommentTextChar"/>
    <w:uiPriority w:val="99"/>
    <w:semiHidden/>
    <w:unhideWhenUsed/>
    <w:rsid w:val="00367BDA"/>
    <w:pPr>
      <w:spacing w:line="240" w:lineRule="auto"/>
    </w:pPr>
    <w:rPr>
      <w:sz w:val="20"/>
      <w:szCs w:val="20"/>
    </w:rPr>
  </w:style>
  <w:style w:type="character" w:customStyle="1" w:styleId="CommentTextChar">
    <w:name w:val="Comment Text Char"/>
    <w:basedOn w:val="DefaultParagraphFont"/>
    <w:link w:val="CommentText"/>
    <w:uiPriority w:val="99"/>
    <w:semiHidden/>
    <w:rsid w:val="00367BDA"/>
    <w:rPr>
      <w:sz w:val="20"/>
      <w:szCs w:val="20"/>
    </w:rPr>
  </w:style>
  <w:style w:type="paragraph" w:styleId="CommentSubject">
    <w:name w:val="annotation subject"/>
    <w:basedOn w:val="CommentText"/>
    <w:next w:val="CommentText"/>
    <w:link w:val="CommentSubjectChar"/>
    <w:uiPriority w:val="99"/>
    <w:semiHidden/>
    <w:unhideWhenUsed/>
    <w:rsid w:val="00367BDA"/>
    <w:rPr>
      <w:b/>
      <w:bCs/>
    </w:rPr>
  </w:style>
  <w:style w:type="character" w:customStyle="1" w:styleId="CommentSubjectChar">
    <w:name w:val="Comment Subject Char"/>
    <w:basedOn w:val="CommentTextChar"/>
    <w:link w:val="CommentSubject"/>
    <w:uiPriority w:val="99"/>
    <w:semiHidden/>
    <w:rsid w:val="00367BDA"/>
    <w:rPr>
      <w:b/>
      <w:bCs/>
      <w:sz w:val="20"/>
      <w:szCs w:val="20"/>
    </w:rPr>
  </w:style>
  <w:style w:type="paragraph" w:styleId="BalloonText">
    <w:name w:val="Balloon Text"/>
    <w:basedOn w:val="Normal"/>
    <w:link w:val="BalloonTextChar"/>
    <w:uiPriority w:val="99"/>
    <w:semiHidden/>
    <w:unhideWhenUsed/>
    <w:rsid w:val="00367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BDA"/>
    <w:rPr>
      <w:rFonts w:ascii="Tahoma" w:hAnsi="Tahoma" w:cs="Tahoma"/>
      <w:sz w:val="16"/>
      <w:szCs w:val="16"/>
    </w:rPr>
  </w:style>
  <w:style w:type="paragraph" w:styleId="Header">
    <w:name w:val="header"/>
    <w:basedOn w:val="Normal"/>
    <w:link w:val="HeaderChar"/>
    <w:uiPriority w:val="99"/>
    <w:semiHidden/>
    <w:unhideWhenUsed/>
    <w:rsid w:val="00FD24E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D24E1"/>
  </w:style>
  <w:style w:type="paragraph" w:styleId="Footer">
    <w:name w:val="footer"/>
    <w:basedOn w:val="Normal"/>
    <w:link w:val="FooterChar"/>
    <w:uiPriority w:val="99"/>
    <w:unhideWhenUsed/>
    <w:rsid w:val="00FD24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24E1"/>
  </w:style>
  <w:style w:type="paragraph" w:styleId="Title">
    <w:name w:val="Title"/>
    <w:basedOn w:val="Normal"/>
    <w:next w:val="Normal"/>
    <w:link w:val="TitleChar"/>
    <w:uiPriority w:val="10"/>
    <w:qFormat/>
    <w:rsid w:val="00BF5B4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BF5B43"/>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269"/>
    <w:pPr>
      <w:ind w:left="720"/>
      <w:contextualSpacing/>
    </w:pPr>
  </w:style>
  <w:style w:type="character" w:styleId="CommentReference">
    <w:name w:val="annotation reference"/>
    <w:basedOn w:val="DefaultParagraphFont"/>
    <w:uiPriority w:val="99"/>
    <w:semiHidden/>
    <w:unhideWhenUsed/>
    <w:rsid w:val="00367BDA"/>
    <w:rPr>
      <w:sz w:val="16"/>
      <w:szCs w:val="16"/>
    </w:rPr>
  </w:style>
  <w:style w:type="paragraph" w:styleId="CommentText">
    <w:name w:val="annotation text"/>
    <w:basedOn w:val="Normal"/>
    <w:link w:val="CommentTextChar"/>
    <w:uiPriority w:val="99"/>
    <w:semiHidden/>
    <w:unhideWhenUsed/>
    <w:rsid w:val="00367BDA"/>
    <w:pPr>
      <w:spacing w:line="240" w:lineRule="auto"/>
    </w:pPr>
    <w:rPr>
      <w:sz w:val="20"/>
      <w:szCs w:val="20"/>
    </w:rPr>
  </w:style>
  <w:style w:type="character" w:customStyle="1" w:styleId="CommentTextChar">
    <w:name w:val="Comment Text Char"/>
    <w:basedOn w:val="DefaultParagraphFont"/>
    <w:link w:val="CommentText"/>
    <w:uiPriority w:val="99"/>
    <w:semiHidden/>
    <w:rsid w:val="00367BDA"/>
    <w:rPr>
      <w:sz w:val="20"/>
      <w:szCs w:val="20"/>
    </w:rPr>
  </w:style>
  <w:style w:type="paragraph" w:styleId="CommentSubject">
    <w:name w:val="annotation subject"/>
    <w:basedOn w:val="CommentText"/>
    <w:next w:val="CommentText"/>
    <w:link w:val="CommentSubjectChar"/>
    <w:uiPriority w:val="99"/>
    <w:semiHidden/>
    <w:unhideWhenUsed/>
    <w:rsid w:val="00367BDA"/>
    <w:rPr>
      <w:b/>
      <w:bCs/>
    </w:rPr>
  </w:style>
  <w:style w:type="character" w:customStyle="1" w:styleId="CommentSubjectChar">
    <w:name w:val="Comment Subject Char"/>
    <w:basedOn w:val="CommentTextChar"/>
    <w:link w:val="CommentSubject"/>
    <w:uiPriority w:val="99"/>
    <w:semiHidden/>
    <w:rsid w:val="00367BDA"/>
    <w:rPr>
      <w:b/>
      <w:bCs/>
      <w:sz w:val="20"/>
      <w:szCs w:val="20"/>
    </w:rPr>
  </w:style>
  <w:style w:type="paragraph" w:styleId="BalloonText">
    <w:name w:val="Balloon Text"/>
    <w:basedOn w:val="Normal"/>
    <w:link w:val="BalloonTextChar"/>
    <w:uiPriority w:val="99"/>
    <w:semiHidden/>
    <w:unhideWhenUsed/>
    <w:rsid w:val="00367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BDA"/>
    <w:rPr>
      <w:rFonts w:ascii="Tahoma" w:hAnsi="Tahoma" w:cs="Tahoma"/>
      <w:sz w:val="16"/>
      <w:szCs w:val="16"/>
    </w:rPr>
  </w:style>
  <w:style w:type="paragraph" w:styleId="Header">
    <w:name w:val="header"/>
    <w:basedOn w:val="Normal"/>
    <w:link w:val="HeaderChar"/>
    <w:uiPriority w:val="99"/>
    <w:semiHidden/>
    <w:unhideWhenUsed/>
    <w:rsid w:val="00FD24E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D24E1"/>
  </w:style>
  <w:style w:type="paragraph" w:styleId="Footer">
    <w:name w:val="footer"/>
    <w:basedOn w:val="Normal"/>
    <w:link w:val="FooterChar"/>
    <w:uiPriority w:val="99"/>
    <w:unhideWhenUsed/>
    <w:rsid w:val="00FD24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2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4</Pages>
  <Words>1740</Words>
  <Characters>9924</Characters>
  <Application>Microsoft Office Word</Application>
  <DocSecurity>0</DocSecurity>
  <Lines>82</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The World Bank Group</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dc:creator>
  <cp:lastModifiedBy>Ida Mori</cp:lastModifiedBy>
  <cp:revision>61</cp:revision>
  <dcterms:created xsi:type="dcterms:W3CDTF">2013-03-29T14:43:00Z</dcterms:created>
  <dcterms:modified xsi:type="dcterms:W3CDTF">2013-05-29T21:40:00Z</dcterms:modified>
</cp:coreProperties>
</file>