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92455" w:rsidRDefault="00CD71B7" w:rsidP="003E2779">
      <w:pPr>
        <w:pStyle w:val="Title"/>
        <w:jc w:val="center"/>
        <w:rPr>
          <w:rFonts w:ascii="Calibri" w:hAnsi="Calibri" w:cs="Calibri"/>
          <w:b/>
          <w:color w:val="000000"/>
          <w:sz w:val="32"/>
          <w:szCs w:val="32"/>
        </w:rPr>
      </w:pPr>
      <w:r>
        <w:rPr>
          <w:rFonts w:ascii="Calibri" w:hAnsi="Calibri" w:cs="Calibri"/>
          <w:noProof/>
          <w:color w:val="000000"/>
          <w:sz w:val="18"/>
          <w:szCs w:val="18"/>
        </w:rPr>
        <w:drawing>
          <wp:inline distT="0" distB="0" distL="0" distR="0">
            <wp:extent cx="2981325" cy="885825"/>
            <wp:effectExtent l="19050" t="0" r="9525" b="0"/>
            <wp:docPr id="1" name="Picture 1" descr="This image shows different scenes such as green fields, water, and 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s image shows different scenes such as green fields, water, and people."/>
                    <pic:cNvPicPr>
                      <a:picLocks noChangeAspect="1" noChangeArrowheads="1"/>
                    </pic:cNvPicPr>
                  </pic:nvPicPr>
                  <pic:blipFill>
                    <a:blip r:embed="rId9"/>
                    <a:srcRect/>
                    <a:stretch>
                      <a:fillRect/>
                    </a:stretch>
                  </pic:blipFill>
                  <pic:spPr bwMode="auto">
                    <a:xfrm>
                      <a:off x="0" y="0"/>
                      <a:ext cx="2981325" cy="885825"/>
                    </a:xfrm>
                    <a:prstGeom prst="rect">
                      <a:avLst/>
                    </a:prstGeom>
                    <a:noFill/>
                    <a:ln w="9525">
                      <a:noFill/>
                      <a:miter lim="800000"/>
                      <a:headEnd/>
                      <a:tailEnd/>
                    </a:ln>
                  </pic:spPr>
                </pic:pic>
              </a:graphicData>
            </a:graphic>
          </wp:inline>
        </w:drawing>
      </w:r>
    </w:p>
    <w:p w:rsidR="00A92455" w:rsidRPr="00281E02" w:rsidRDefault="00A92455" w:rsidP="003E2779">
      <w:pPr>
        <w:pStyle w:val="Title"/>
        <w:jc w:val="center"/>
        <w:rPr>
          <w:rFonts w:ascii="Calibri" w:hAnsi="Calibri" w:cs="Calibri"/>
          <w:b/>
          <w:color w:val="4F81BD" w:themeColor="accent1"/>
          <w:sz w:val="32"/>
          <w:szCs w:val="32"/>
        </w:rPr>
      </w:pPr>
      <w:r w:rsidRPr="00281E02">
        <w:rPr>
          <w:rFonts w:ascii="Calibri" w:hAnsi="Calibri" w:cs="Calibri"/>
          <w:b/>
          <w:color w:val="4F81BD" w:themeColor="accent1"/>
          <w:sz w:val="32"/>
          <w:szCs w:val="32"/>
        </w:rPr>
        <w:t>Review and Update of the World Bank’s Safeguard Policies</w:t>
      </w:r>
    </w:p>
    <w:p w:rsidR="00EF16DA" w:rsidRPr="00EF16DA" w:rsidRDefault="00EF16DA" w:rsidP="00EF16DA">
      <w:pPr>
        <w:pStyle w:val="Title"/>
        <w:jc w:val="center"/>
        <w:rPr>
          <w:rFonts w:ascii="Calibri" w:hAnsi="Calibri" w:cs="Calibri"/>
          <w:b/>
          <w:color w:val="4F81BD" w:themeColor="accent1"/>
          <w:sz w:val="32"/>
          <w:szCs w:val="32"/>
        </w:rPr>
      </w:pPr>
      <w:r w:rsidRPr="00281E02">
        <w:rPr>
          <w:rFonts w:ascii="Calibri" w:hAnsi="Calibri" w:cs="Calibri"/>
          <w:b/>
          <w:color w:val="4F81BD" w:themeColor="accent1"/>
          <w:sz w:val="32"/>
          <w:szCs w:val="32"/>
        </w:rPr>
        <w:t>Consultation</w:t>
      </w:r>
      <w:r>
        <w:rPr>
          <w:rFonts w:ascii="Calibri" w:hAnsi="Calibri" w:cs="Calibri"/>
          <w:b/>
          <w:color w:val="4F81BD" w:themeColor="accent1"/>
          <w:sz w:val="32"/>
          <w:szCs w:val="32"/>
        </w:rPr>
        <w:t xml:space="preserve"> with NGO R</w:t>
      </w:r>
      <w:r w:rsidRPr="00EF16DA">
        <w:rPr>
          <w:rFonts w:ascii="Calibri" w:hAnsi="Calibri" w:cs="Calibri"/>
          <w:b/>
          <w:color w:val="4F81BD" w:themeColor="accent1"/>
          <w:sz w:val="32"/>
          <w:szCs w:val="32"/>
        </w:rPr>
        <w:t>epresentatives</w:t>
      </w:r>
    </w:p>
    <w:p w:rsidR="00A92455" w:rsidRPr="00281E02" w:rsidRDefault="00A92455" w:rsidP="00EF16DA">
      <w:pPr>
        <w:pStyle w:val="Title"/>
        <w:jc w:val="center"/>
        <w:rPr>
          <w:rFonts w:ascii="Calibri" w:hAnsi="Calibri" w:cs="Calibri"/>
          <w:color w:val="4F81BD" w:themeColor="accent1"/>
        </w:rPr>
      </w:pPr>
      <w:r w:rsidRPr="00281E02">
        <w:rPr>
          <w:rFonts w:ascii="Calibri" w:hAnsi="Calibri" w:cs="Calibri"/>
          <w:b/>
          <w:color w:val="4F81BD" w:themeColor="accent1"/>
          <w:sz w:val="32"/>
          <w:szCs w:val="32"/>
        </w:rPr>
        <w:t>Feedback Summary</w:t>
      </w:r>
    </w:p>
    <w:p w:rsidR="00A92455" w:rsidRPr="006E0806" w:rsidRDefault="00A92455" w:rsidP="00EB3E1A">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Calibri" w:hAnsi="Calibri" w:cs="Calibri"/>
          <w:b/>
          <w:szCs w:val="24"/>
          <w:lang w:val="en-US"/>
        </w:rPr>
      </w:pPr>
      <w:r w:rsidRPr="006E0806">
        <w:rPr>
          <w:rFonts w:ascii="Calibri" w:hAnsi="Calibri" w:cs="Calibri"/>
          <w:b/>
          <w:bCs/>
          <w:szCs w:val="24"/>
          <w:lang w:val="en-US"/>
        </w:rPr>
        <w:t xml:space="preserve">Date: </w:t>
      </w:r>
      <w:r>
        <w:rPr>
          <w:rFonts w:ascii="Calibri" w:hAnsi="Calibri" w:cs="Calibri"/>
          <w:bCs/>
          <w:szCs w:val="24"/>
          <w:lang w:val="en-US"/>
        </w:rPr>
        <w:t>March 22, 2013</w:t>
      </w:r>
    </w:p>
    <w:p w:rsidR="00A92455" w:rsidRPr="006E0806" w:rsidRDefault="00A92455" w:rsidP="00EB3E1A">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Calibri" w:hAnsi="Calibri" w:cs="Calibri"/>
          <w:b/>
          <w:szCs w:val="24"/>
          <w:lang w:val="en-US"/>
        </w:rPr>
      </w:pPr>
    </w:p>
    <w:p w:rsidR="00A92455" w:rsidRPr="006E0806" w:rsidRDefault="005B773C" w:rsidP="00EB3E1A">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Calibri" w:hAnsi="Calibri" w:cs="Calibri"/>
          <w:bCs/>
          <w:szCs w:val="24"/>
          <w:lang w:val="en-US"/>
        </w:rPr>
      </w:pPr>
      <w:r>
        <w:rPr>
          <w:rFonts w:ascii="Calibri" w:hAnsi="Calibri" w:cs="Calibri"/>
          <w:b/>
          <w:bCs/>
          <w:szCs w:val="24"/>
          <w:lang w:val="en-US"/>
        </w:rPr>
        <w:t>Location</w:t>
      </w:r>
      <w:bookmarkStart w:id="0" w:name="_GoBack"/>
      <w:bookmarkEnd w:id="0"/>
      <w:r w:rsidR="00A92455" w:rsidRPr="006E0806">
        <w:rPr>
          <w:rFonts w:ascii="Calibri" w:hAnsi="Calibri" w:cs="Calibri"/>
          <w:b/>
          <w:bCs/>
          <w:szCs w:val="24"/>
          <w:lang w:val="en-US"/>
        </w:rPr>
        <w:t xml:space="preserve">: </w:t>
      </w:r>
      <w:r w:rsidR="00A92455">
        <w:rPr>
          <w:rFonts w:ascii="Calibri" w:hAnsi="Calibri" w:cs="Calibri"/>
          <w:bCs/>
          <w:szCs w:val="24"/>
          <w:lang w:val="en-US"/>
        </w:rPr>
        <w:t>Bucharest, Romania</w:t>
      </w:r>
    </w:p>
    <w:p w:rsidR="00A92455" w:rsidRPr="006E0806" w:rsidRDefault="00A92455" w:rsidP="00EB3E1A">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Calibri" w:hAnsi="Calibri" w:cs="Calibri"/>
          <w:b/>
          <w:bCs/>
          <w:szCs w:val="24"/>
          <w:lang w:val="en-US"/>
        </w:rPr>
      </w:pPr>
    </w:p>
    <w:p w:rsidR="00A92455" w:rsidRPr="006E0806" w:rsidRDefault="00A92455" w:rsidP="00EB3E1A">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Calibri" w:hAnsi="Calibri" w:cs="Calibri"/>
          <w:b/>
          <w:szCs w:val="24"/>
          <w:lang w:val="en-US"/>
        </w:rPr>
      </w:pPr>
      <w:r w:rsidRPr="006E0806">
        <w:rPr>
          <w:rFonts w:ascii="Calibri" w:hAnsi="Calibri" w:cs="Calibri"/>
          <w:b/>
          <w:bCs/>
          <w:szCs w:val="24"/>
          <w:lang w:val="en-US"/>
        </w:rPr>
        <w:t>Country/</w:t>
      </w:r>
      <w:proofErr w:type="spellStart"/>
      <w:r>
        <w:rPr>
          <w:rFonts w:ascii="Calibri" w:hAnsi="Calibri" w:cs="Calibri"/>
          <w:b/>
          <w:bCs/>
          <w:szCs w:val="24"/>
          <w:lang w:val="en-US"/>
        </w:rPr>
        <w:t>i</w:t>
      </w:r>
      <w:r w:rsidRPr="006E0806">
        <w:rPr>
          <w:rFonts w:ascii="Calibri" w:hAnsi="Calibri" w:cs="Calibri"/>
          <w:b/>
          <w:bCs/>
          <w:szCs w:val="24"/>
          <w:lang w:val="en-US"/>
        </w:rPr>
        <w:t>es</w:t>
      </w:r>
      <w:proofErr w:type="spellEnd"/>
      <w:r w:rsidRPr="006E0806">
        <w:rPr>
          <w:rFonts w:ascii="Calibri" w:hAnsi="Calibri" w:cs="Calibri"/>
          <w:b/>
          <w:bCs/>
          <w:szCs w:val="24"/>
          <w:lang w:val="en-US"/>
        </w:rPr>
        <w:t xml:space="preserve"> connected by video conference: </w:t>
      </w:r>
      <w:r>
        <w:rPr>
          <w:rFonts w:ascii="Calibri" w:hAnsi="Calibri" w:cs="Calibri"/>
          <w:bCs/>
          <w:szCs w:val="24"/>
          <w:lang w:val="en-US"/>
        </w:rPr>
        <w:t>Romania, Moldova</w:t>
      </w:r>
    </w:p>
    <w:p w:rsidR="00A92455" w:rsidRPr="006E0806" w:rsidRDefault="00A92455" w:rsidP="00EB3E1A">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Calibri" w:hAnsi="Calibri" w:cs="Calibri"/>
          <w:b/>
          <w:szCs w:val="24"/>
          <w:lang w:val="en-US"/>
        </w:rPr>
      </w:pPr>
    </w:p>
    <w:tbl>
      <w:tblPr>
        <w:tblW w:w="14400" w:type="dxa"/>
        <w:tblInd w:w="2" w:type="dxa"/>
        <w:tblLayout w:type="fixed"/>
        <w:tblCellMar>
          <w:top w:w="29" w:type="dxa"/>
          <w:left w:w="29" w:type="dxa"/>
          <w:bottom w:w="29" w:type="dxa"/>
          <w:right w:w="29" w:type="dxa"/>
        </w:tblCellMar>
        <w:tblLook w:val="0000" w:firstRow="0" w:lastRow="0" w:firstColumn="0" w:lastColumn="0" w:noHBand="0" w:noVBand="0"/>
      </w:tblPr>
      <w:tblGrid>
        <w:gridCol w:w="14400"/>
      </w:tblGrid>
      <w:tr w:rsidR="00A92455" w:rsidRPr="00FA4FDA" w:rsidTr="00231648">
        <w:tc>
          <w:tcPr>
            <w:tcW w:w="14400" w:type="dxa"/>
            <w:tcBorders>
              <w:top w:val="single" w:sz="4" w:space="0" w:color="auto"/>
              <w:left w:val="single" w:sz="4" w:space="0" w:color="auto"/>
              <w:bottom w:val="single" w:sz="4" w:space="0" w:color="auto"/>
              <w:right w:val="single" w:sz="4" w:space="0" w:color="auto"/>
            </w:tcBorders>
            <w:shd w:val="clear" w:color="auto" w:fill="DBE5F1"/>
          </w:tcPr>
          <w:p w:rsidR="00A92455" w:rsidRPr="00FA4FDA" w:rsidRDefault="00A92455" w:rsidP="00EF16DA">
            <w:pPr>
              <w:snapToGrid w:val="0"/>
              <w:spacing w:after="0" w:line="240" w:lineRule="auto"/>
              <w:ind w:left="360" w:hanging="360"/>
              <w:rPr>
                <w:rFonts w:ascii="Calibri" w:eastAsia="Batang" w:hAnsi="Calibri" w:cs="Calibri"/>
                <w:b/>
                <w:color w:val="17365D"/>
                <w:lang w:val="en-US"/>
              </w:rPr>
            </w:pPr>
            <w:r w:rsidRPr="00FA4FDA">
              <w:rPr>
                <w:rFonts w:ascii="Calibri" w:eastAsia="Batang" w:hAnsi="Calibri" w:cs="Calibri"/>
                <w:b/>
                <w:color w:val="17365D"/>
                <w:lang w:val="en-US"/>
              </w:rPr>
              <w:t>Feedback from Stakeholders</w:t>
            </w:r>
          </w:p>
        </w:tc>
      </w:tr>
      <w:tr w:rsidR="00A92455" w:rsidRPr="00FA4FDA" w:rsidTr="00231648">
        <w:tc>
          <w:tcPr>
            <w:tcW w:w="14400" w:type="dxa"/>
            <w:tcBorders>
              <w:top w:val="single" w:sz="4" w:space="0" w:color="auto"/>
              <w:left w:val="single" w:sz="4" w:space="0" w:color="auto"/>
              <w:bottom w:val="single" w:sz="4" w:space="0" w:color="auto"/>
              <w:right w:val="single" w:sz="4" w:space="0" w:color="auto"/>
            </w:tcBorders>
            <w:shd w:val="clear" w:color="auto" w:fill="DBE5F1"/>
          </w:tcPr>
          <w:p w:rsidR="00A92455" w:rsidRPr="00EF16DA" w:rsidRDefault="00A92455" w:rsidP="00231648">
            <w:pPr>
              <w:numPr>
                <w:ilvl w:val="0"/>
                <w:numId w:val="33"/>
              </w:numPr>
              <w:snapToGrid w:val="0"/>
              <w:spacing w:after="0" w:line="240" w:lineRule="auto"/>
              <w:ind w:left="360"/>
              <w:jc w:val="left"/>
              <w:rPr>
                <w:rFonts w:ascii="Calibri" w:hAnsi="Calibri" w:cs="Calibri"/>
                <w:b/>
                <w:color w:val="1F497D"/>
                <w:lang w:val="en-US"/>
              </w:rPr>
            </w:pPr>
            <w:r w:rsidRPr="00FA4FDA">
              <w:rPr>
                <w:rFonts w:ascii="Calibri" w:hAnsi="Calibri" w:cs="Calibri"/>
                <w:b/>
                <w:color w:val="17365D"/>
                <w:lang w:val="en-US"/>
              </w:rPr>
              <w:t xml:space="preserve">What has worked well in the current safeguard </w:t>
            </w:r>
            <w:proofErr w:type="gramStart"/>
            <w:r w:rsidRPr="00FA4FDA">
              <w:rPr>
                <w:rFonts w:ascii="Calibri" w:hAnsi="Calibri" w:cs="Calibri"/>
                <w:b/>
                <w:color w:val="17365D"/>
                <w:lang w:val="en-US"/>
              </w:rPr>
              <w:t>policies</w:t>
            </w:r>
            <w:r w:rsidRPr="00FA4FDA">
              <w:rPr>
                <w:rFonts w:ascii="Calibri" w:hAnsi="Calibri" w:cs="Calibri"/>
                <w:b/>
                <w:color w:val="1F497D"/>
                <w:lang w:val="en-US"/>
              </w:rPr>
              <w:t>.</w:t>
            </w:r>
            <w:proofErr w:type="gramEnd"/>
          </w:p>
        </w:tc>
      </w:tr>
      <w:tr w:rsidR="00A92455" w:rsidRPr="00FA4FDA" w:rsidTr="00231648">
        <w:tc>
          <w:tcPr>
            <w:tcW w:w="14400" w:type="dxa"/>
            <w:tcBorders>
              <w:top w:val="single" w:sz="4" w:space="0" w:color="auto"/>
              <w:left w:val="single" w:sz="4" w:space="0" w:color="auto"/>
              <w:bottom w:val="single" w:sz="4" w:space="0" w:color="auto"/>
              <w:right w:val="single" w:sz="4" w:space="0" w:color="auto"/>
            </w:tcBorders>
          </w:tcPr>
          <w:p w:rsidR="00A92455" w:rsidRPr="00EF16DA" w:rsidRDefault="00A92455" w:rsidP="00231648">
            <w:pPr>
              <w:pStyle w:val="ListParagraph"/>
              <w:numPr>
                <w:ilvl w:val="0"/>
                <w:numId w:val="35"/>
              </w:numPr>
              <w:spacing w:after="0" w:line="240" w:lineRule="auto"/>
              <w:ind w:left="360"/>
              <w:jc w:val="left"/>
              <w:rPr>
                <w:rFonts w:ascii="Calibri" w:eastAsia="Batang" w:hAnsi="Calibri" w:cs="Calibri"/>
                <w:bCs/>
                <w:color w:val="17365D"/>
                <w:szCs w:val="24"/>
                <w:lang w:val="en-US"/>
              </w:rPr>
            </w:pPr>
            <w:r w:rsidRPr="00231648">
              <w:rPr>
                <w:rFonts w:ascii="Calibri" w:hAnsi="Calibri" w:cs="Calibri"/>
                <w:color w:val="333333"/>
                <w:szCs w:val="22"/>
                <w:lang w:val="en-US"/>
              </w:rPr>
              <w:t>The</w:t>
            </w:r>
            <w:r w:rsidRPr="00FA4FDA">
              <w:rPr>
                <w:rFonts w:ascii="Calibri" w:eastAsia="Batang" w:hAnsi="Calibri" w:cs="Calibri"/>
                <w:color w:val="17365D"/>
                <w:szCs w:val="24"/>
                <w:lang w:val="en-US"/>
              </w:rPr>
              <w:t xml:space="preserve"> European community </w:t>
            </w:r>
            <w:proofErr w:type="spellStart"/>
            <w:r w:rsidRPr="00CD71B7">
              <w:rPr>
                <w:rFonts w:ascii="Calibri" w:eastAsia="Batang" w:hAnsi="Calibri" w:cs="Calibri"/>
                <w:i/>
                <w:color w:val="17365D"/>
                <w:szCs w:val="24"/>
                <w:lang w:val="en-US"/>
              </w:rPr>
              <w:t>acquis</w:t>
            </w:r>
            <w:proofErr w:type="spellEnd"/>
            <w:r w:rsidRPr="00FA4FDA">
              <w:rPr>
                <w:rFonts w:ascii="Calibri" w:eastAsia="Batang" w:hAnsi="Calibri" w:cs="Calibri"/>
                <w:color w:val="17365D"/>
                <w:szCs w:val="24"/>
                <w:lang w:val="en-US"/>
              </w:rPr>
              <w:t xml:space="preserve"> </w:t>
            </w:r>
            <w:r>
              <w:rPr>
                <w:rFonts w:ascii="Calibri" w:eastAsia="Batang" w:hAnsi="Calibri" w:cs="Calibri"/>
                <w:color w:val="17365D"/>
                <w:szCs w:val="24"/>
                <w:lang w:val="en-US"/>
              </w:rPr>
              <w:t>h</w:t>
            </w:r>
            <w:r w:rsidRPr="00FA4FDA">
              <w:rPr>
                <w:rFonts w:ascii="Calibri" w:eastAsia="Batang" w:hAnsi="Calibri" w:cs="Calibri"/>
                <w:color w:val="17365D"/>
                <w:szCs w:val="24"/>
                <w:lang w:val="en-US"/>
              </w:rPr>
              <w:t>as</w:t>
            </w:r>
            <w:r>
              <w:rPr>
                <w:rFonts w:ascii="Calibri" w:eastAsia="Batang" w:hAnsi="Calibri" w:cs="Calibri"/>
                <w:color w:val="17365D"/>
                <w:szCs w:val="24"/>
                <w:lang w:val="en-US"/>
              </w:rPr>
              <w:t xml:space="preserve"> been</w:t>
            </w:r>
            <w:r w:rsidRPr="00FA4FDA">
              <w:rPr>
                <w:rFonts w:ascii="Calibri" w:eastAsia="Batang" w:hAnsi="Calibri" w:cs="Calibri"/>
                <w:color w:val="17365D"/>
                <w:szCs w:val="24"/>
                <w:lang w:val="en-US"/>
              </w:rPr>
              <w:t xml:space="preserve"> successfully integrated in the legal framework</w:t>
            </w:r>
            <w:r>
              <w:rPr>
                <w:rFonts w:ascii="Calibri" w:eastAsia="Batang" w:hAnsi="Calibri" w:cs="Calibri"/>
                <w:color w:val="17365D"/>
                <w:szCs w:val="24"/>
                <w:lang w:val="en-US"/>
              </w:rPr>
              <w:t>; however,</w:t>
            </w:r>
            <w:r w:rsidRPr="00FA4FDA">
              <w:rPr>
                <w:rFonts w:ascii="Calibri" w:eastAsia="Batang" w:hAnsi="Calibri" w:cs="Calibri"/>
                <w:color w:val="17365D"/>
                <w:szCs w:val="24"/>
                <w:lang w:val="en-US"/>
              </w:rPr>
              <w:t xml:space="preserve"> </w:t>
            </w:r>
            <w:r>
              <w:rPr>
                <w:rFonts w:ascii="Calibri" w:eastAsia="Batang" w:hAnsi="Calibri" w:cs="Calibri"/>
                <w:color w:val="17365D"/>
                <w:szCs w:val="24"/>
                <w:lang w:val="en-US"/>
              </w:rPr>
              <w:t>the</w:t>
            </w:r>
            <w:r w:rsidRPr="00FA4FDA">
              <w:rPr>
                <w:rFonts w:ascii="Calibri" w:eastAsia="Batang" w:hAnsi="Calibri" w:cs="Calibri"/>
                <w:color w:val="17365D"/>
                <w:szCs w:val="24"/>
                <w:lang w:val="en-US"/>
              </w:rPr>
              <w:t xml:space="preserve"> enforcement of the requirements of the </w:t>
            </w:r>
            <w:proofErr w:type="spellStart"/>
            <w:r w:rsidRPr="00CD71B7">
              <w:rPr>
                <w:rFonts w:ascii="Calibri" w:eastAsia="Batang" w:hAnsi="Calibri" w:cs="Calibri"/>
                <w:i/>
                <w:color w:val="17365D"/>
                <w:szCs w:val="24"/>
                <w:lang w:val="en-US"/>
              </w:rPr>
              <w:t>acquis</w:t>
            </w:r>
            <w:proofErr w:type="spellEnd"/>
            <w:r w:rsidRPr="00CD71B7">
              <w:rPr>
                <w:rFonts w:ascii="Calibri" w:eastAsia="Batang" w:hAnsi="Calibri" w:cs="Calibri"/>
                <w:i/>
                <w:color w:val="17365D"/>
                <w:szCs w:val="24"/>
                <w:lang w:val="en-US"/>
              </w:rPr>
              <w:t xml:space="preserve"> </w:t>
            </w:r>
            <w:r>
              <w:rPr>
                <w:rFonts w:ascii="Calibri" w:eastAsia="Batang" w:hAnsi="Calibri" w:cs="Calibri"/>
                <w:color w:val="17365D"/>
                <w:szCs w:val="24"/>
                <w:lang w:val="en-US"/>
              </w:rPr>
              <w:t>is inconsistent</w:t>
            </w:r>
            <w:r w:rsidRPr="00FA4FDA">
              <w:rPr>
                <w:rFonts w:ascii="Calibri" w:eastAsia="Batang" w:hAnsi="Calibri" w:cs="Calibri"/>
                <w:bCs/>
                <w:color w:val="17365D"/>
                <w:szCs w:val="24"/>
                <w:lang w:val="en-US"/>
              </w:rPr>
              <w:t>.</w:t>
            </w:r>
          </w:p>
        </w:tc>
      </w:tr>
      <w:tr w:rsidR="00A92455" w:rsidRPr="00FA4FDA" w:rsidTr="00231648">
        <w:tc>
          <w:tcPr>
            <w:tcW w:w="14400" w:type="dxa"/>
            <w:tcBorders>
              <w:top w:val="single" w:sz="4" w:space="0" w:color="auto"/>
              <w:left w:val="single" w:sz="4" w:space="0" w:color="auto"/>
              <w:bottom w:val="single" w:sz="4" w:space="0" w:color="auto"/>
              <w:right w:val="single" w:sz="4" w:space="0" w:color="auto"/>
            </w:tcBorders>
            <w:shd w:val="clear" w:color="auto" w:fill="DBE5F1"/>
          </w:tcPr>
          <w:p w:rsidR="00A92455" w:rsidRPr="00EF16DA" w:rsidRDefault="00A92455" w:rsidP="00EF16DA">
            <w:pPr>
              <w:pStyle w:val="ListParagraph"/>
              <w:suppressAutoHyphens w:val="0"/>
              <w:spacing w:after="0" w:line="240" w:lineRule="auto"/>
              <w:ind w:left="360" w:hanging="360"/>
              <w:jc w:val="left"/>
              <w:rPr>
                <w:rFonts w:ascii="Calibri" w:hAnsi="Calibri"/>
                <w:lang w:val="en-US"/>
              </w:rPr>
            </w:pPr>
            <w:r w:rsidRPr="00FA4FDA">
              <w:rPr>
                <w:rFonts w:ascii="Calibri" w:eastAsia="Batang" w:hAnsi="Calibri"/>
                <w:b/>
                <w:lang w:val="en-US"/>
              </w:rPr>
              <w:t>2. Issues and c</w:t>
            </w:r>
            <w:r w:rsidRPr="00FA4FDA">
              <w:rPr>
                <w:rFonts w:ascii="Calibri" w:hAnsi="Calibri"/>
                <w:b/>
                <w:lang w:val="en-US"/>
              </w:rPr>
              <w:t>hallenges encountered in the application of the safeguard policies</w:t>
            </w:r>
            <w:r w:rsidRPr="00FA4FDA">
              <w:rPr>
                <w:rFonts w:ascii="Calibri" w:hAnsi="Calibri"/>
                <w:lang w:val="en-US"/>
              </w:rPr>
              <w:t>.</w:t>
            </w:r>
          </w:p>
        </w:tc>
      </w:tr>
      <w:tr w:rsidR="00A92455" w:rsidRPr="00FA4FDA" w:rsidTr="00231648">
        <w:tc>
          <w:tcPr>
            <w:tcW w:w="14400" w:type="dxa"/>
            <w:tcBorders>
              <w:top w:val="single" w:sz="4" w:space="0" w:color="auto"/>
              <w:left w:val="single" w:sz="4" w:space="0" w:color="auto"/>
              <w:bottom w:val="single" w:sz="4" w:space="0" w:color="auto"/>
              <w:right w:val="single" w:sz="4" w:space="0" w:color="auto"/>
            </w:tcBorders>
          </w:tcPr>
          <w:p w:rsidR="00A92455" w:rsidRPr="00231648" w:rsidRDefault="00A92455" w:rsidP="00EF16DA">
            <w:pPr>
              <w:pStyle w:val="ListParagraph"/>
              <w:numPr>
                <w:ilvl w:val="0"/>
                <w:numId w:val="35"/>
              </w:numPr>
              <w:spacing w:after="0" w:line="240" w:lineRule="auto"/>
              <w:ind w:left="360"/>
              <w:jc w:val="left"/>
              <w:rPr>
                <w:rFonts w:ascii="Calibri" w:hAnsi="Calibri" w:cs="Calibri"/>
                <w:sz w:val="22"/>
                <w:szCs w:val="22"/>
                <w:lang w:val="en-US"/>
              </w:rPr>
            </w:pPr>
            <w:r w:rsidRPr="00231648">
              <w:rPr>
                <w:rFonts w:ascii="Calibri" w:hAnsi="Calibri" w:cs="Calibri"/>
                <w:b/>
                <w:bCs/>
                <w:i/>
                <w:szCs w:val="22"/>
                <w:lang w:val="en-US"/>
              </w:rPr>
              <w:t>There is a contradiction between the philosophy of safeguard policies and the Bank’s economic interests</w:t>
            </w:r>
            <w:r w:rsidR="00EF16DA" w:rsidRPr="00231648">
              <w:rPr>
                <w:rFonts w:ascii="Calibri" w:hAnsi="Calibri" w:cs="Calibri"/>
                <w:b/>
                <w:bCs/>
                <w:i/>
                <w:szCs w:val="22"/>
                <w:lang w:val="en-US"/>
              </w:rPr>
              <w:t>.</w:t>
            </w:r>
            <w:r w:rsidRPr="00231648">
              <w:rPr>
                <w:rStyle w:val="FootnoteReference"/>
                <w:rFonts w:ascii="Calibri" w:hAnsi="Calibri" w:cs="Calibri"/>
                <w:b/>
                <w:bCs/>
                <w:i/>
                <w:szCs w:val="22"/>
                <w:lang w:val="en-US"/>
              </w:rPr>
              <w:footnoteReference w:id="1"/>
            </w:r>
            <w:r w:rsidRPr="00231648">
              <w:rPr>
                <w:rFonts w:ascii="Calibri" w:hAnsi="Calibri" w:cs="Calibri"/>
                <w:szCs w:val="22"/>
                <w:lang w:val="en-US"/>
              </w:rPr>
              <w:t xml:space="preserve"> The problem is that banks seek profit and there are fields and cases where banks are not interested in applying safeguard policies. One example is the exploitation of shale gas – it has been estimated that 5% of the Romanian territory will be either lost or severely damaged as a consequence of applying and using </w:t>
            </w:r>
            <w:r w:rsidRPr="00231648">
              <w:rPr>
                <w:rFonts w:ascii="Calibri" w:hAnsi="Calibri" w:cs="Calibri"/>
                <w:szCs w:val="22"/>
                <w:lang w:val="en-US"/>
              </w:rPr>
              <w:lastRenderedPageBreak/>
              <w:t xml:space="preserve">exploitation mechanisms. </w:t>
            </w:r>
          </w:p>
          <w:p w:rsidR="00A92455" w:rsidRPr="00231648" w:rsidRDefault="00A92455" w:rsidP="003C5D9E">
            <w:pPr>
              <w:pStyle w:val="ListParagraph"/>
              <w:numPr>
                <w:ilvl w:val="0"/>
                <w:numId w:val="35"/>
              </w:numPr>
              <w:spacing w:after="0" w:line="240" w:lineRule="auto"/>
              <w:ind w:left="360"/>
              <w:jc w:val="left"/>
              <w:rPr>
                <w:rFonts w:ascii="Calibri" w:hAnsi="Calibri" w:cs="Calibri"/>
                <w:sz w:val="22"/>
                <w:szCs w:val="22"/>
                <w:lang w:val="en-US"/>
              </w:rPr>
            </w:pPr>
            <w:r w:rsidRPr="00231648">
              <w:rPr>
                <w:rFonts w:ascii="Calibri" w:hAnsi="Calibri" w:cs="Calibri"/>
                <w:b/>
                <w:bCs/>
                <w:i/>
                <w:szCs w:val="22"/>
                <w:lang w:val="en-US"/>
              </w:rPr>
              <w:t xml:space="preserve">The Bank is unable to provide funding </w:t>
            </w:r>
            <w:r w:rsidR="003C5D9E" w:rsidRPr="00231648">
              <w:rPr>
                <w:rFonts w:ascii="Calibri" w:hAnsi="Calibri" w:cs="Calibri"/>
                <w:b/>
                <w:bCs/>
                <w:i/>
                <w:szCs w:val="22"/>
                <w:lang w:val="en-US"/>
              </w:rPr>
              <w:t xml:space="preserve">for or </w:t>
            </w:r>
            <w:r w:rsidRPr="00231648">
              <w:rPr>
                <w:rFonts w:ascii="Calibri" w:hAnsi="Calibri" w:cs="Calibri"/>
                <w:b/>
                <w:bCs/>
                <w:i/>
                <w:szCs w:val="22"/>
                <w:lang w:val="en-US"/>
              </w:rPr>
              <w:t>to become involved in the process of solving certain issues without a request letter from the Government of Romania.</w:t>
            </w:r>
            <w:r w:rsidRPr="00231648">
              <w:rPr>
                <w:rFonts w:ascii="Calibri" w:hAnsi="Calibri" w:cs="Calibri"/>
                <w:b/>
                <w:bCs/>
                <w:szCs w:val="22"/>
                <w:lang w:val="en-US"/>
              </w:rPr>
              <w:t xml:space="preserve"> </w:t>
            </w:r>
            <w:r w:rsidRPr="00231648">
              <w:rPr>
                <w:rFonts w:ascii="Calibri" w:hAnsi="Calibri" w:cs="Calibri"/>
                <w:szCs w:val="22"/>
                <w:lang w:val="en-US"/>
              </w:rPr>
              <w:t>In addition, the Bank is not involved in the efforts to solve the issue of air pollution in Bucharest. Furthermore, the Bank should cooperate closely with environmental NGOs.</w:t>
            </w:r>
          </w:p>
          <w:p w:rsidR="00A92455" w:rsidRPr="00231648" w:rsidRDefault="00A92455" w:rsidP="00EF16DA">
            <w:pPr>
              <w:pStyle w:val="ListParagraph"/>
              <w:widowControl w:val="0"/>
              <w:numPr>
                <w:ilvl w:val="0"/>
                <w:numId w:val="35"/>
              </w:numPr>
              <w:autoSpaceDE w:val="0"/>
              <w:autoSpaceDN w:val="0"/>
              <w:adjustRightInd w:val="0"/>
              <w:spacing w:after="0" w:line="240" w:lineRule="auto"/>
              <w:ind w:left="360"/>
              <w:jc w:val="left"/>
              <w:rPr>
                <w:rFonts w:ascii="Calibri" w:hAnsi="Calibri" w:cs="Calibri"/>
                <w:bCs/>
                <w:sz w:val="22"/>
                <w:szCs w:val="22"/>
                <w:lang w:val="en-US"/>
              </w:rPr>
            </w:pPr>
            <w:r w:rsidRPr="00231648">
              <w:rPr>
                <w:rFonts w:ascii="Calibri" w:hAnsi="Calibri" w:cs="Calibri"/>
                <w:b/>
                <w:i/>
                <w:szCs w:val="22"/>
                <w:lang w:val="en-US"/>
              </w:rPr>
              <w:t>There is a lack of institutional capacity.</w:t>
            </w:r>
            <w:r w:rsidRPr="00231648">
              <w:rPr>
                <w:rFonts w:ascii="Calibri" w:hAnsi="Calibri" w:cs="Calibri"/>
                <w:bCs/>
                <w:i/>
                <w:szCs w:val="22"/>
                <w:lang w:val="en-US"/>
              </w:rPr>
              <w:t xml:space="preserve"> </w:t>
            </w:r>
            <w:r w:rsidRPr="00231648">
              <w:rPr>
                <w:rFonts w:ascii="Calibri" w:hAnsi="Calibri" w:cs="Calibri"/>
                <w:bCs/>
                <w:szCs w:val="22"/>
                <w:lang w:val="en-US"/>
              </w:rPr>
              <w:t xml:space="preserve">The National Environmental Guard, for instance, does not have the institutional capacity needed to manage and control certain aspects that are tied to the enforcement of the current environmental protection regulations. Another government entity, the National Regulatory Agency for Monitoring Public Procurement, lacks the institutional capacity that would allow it to check whether each public procurement project is in compliance with the current environmental protection regulations. </w:t>
            </w:r>
          </w:p>
          <w:p w:rsidR="00A92455" w:rsidRPr="00231648" w:rsidRDefault="00A92455" w:rsidP="00EF16DA">
            <w:pPr>
              <w:pStyle w:val="ListParagraph"/>
              <w:numPr>
                <w:ilvl w:val="0"/>
                <w:numId w:val="35"/>
              </w:numPr>
              <w:spacing w:after="0" w:line="240" w:lineRule="auto"/>
              <w:ind w:left="360"/>
              <w:jc w:val="left"/>
              <w:rPr>
                <w:rFonts w:ascii="Calibri" w:hAnsi="Calibri" w:cs="Calibri"/>
                <w:bCs/>
                <w:sz w:val="22"/>
                <w:szCs w:val="22"/>
                <w:lang w:val="en-US"/>
              </w:rPr>
            </w:pPr>
            <w:r w:rsidRPr="00231648">
              <w:rPr>
                <w:rFonts w:ascii="Calibri" w:hAnsi="Calibri" w:cs="Calibri"/>
                <w:b/>
                <w:bCs/>
                <w:i/>
                <w:szCs w:val="22"/>
                <w:lang w:val="en-US"/>
              </w:rPr>
              <w:t>Cross-sectoral issues are not clearly defined so that the safeguard policies may take effect on a horizontal level.</w:t>
            </w:r>
            <w:r w:rsidRPr="00231648">
              <w:rPr>
                <w:rFonts w:ascii="Calibri" w:hAnsi="Calibri" w:cs="Calibri"/>
                <w:bCs/>
                <w:szCs w:val="22"/>
                <w:lang w:val="en-US"/>
              </w:rPr>
              <w:t xml:space="preserve"> It is mandatory to include an Environmental Impact Analysis (EIA) in each project and such analyses reflect environmental safeguard policies. However, this is far from being enough, as it is necessary to also monitor the actual implementation of such safeguard policies. </w:t>
            </w:r>
          </w:p>
          <w:p w:rsidR="00A92455" w:rsidRPr="00231648" w:rsidRDefault="00A92455" w:rsidP="003C5D9E">
            <w:pPr>
              <w:pStyle w:val="ListParagraph"/>
              <w:numPr>
                <w:ilvl w:val="0"/>
                <w:numId w:val="35"/>
              </w:numPr>
              <w:spacing w:after="0" w:line="240" w:lineRule="auto"/>
              <w:ind w:left="360"/>
              <w:jc w:val="left"/>
              <w:rPr>
                <w:rFonts w:ascii="Calibri" w:hAnsi="Calibri" w:cs="Calibri"/>
                <w:bCs/>
                <w:sz w:val="22"/>
                <w:szCs w:val="22"/>
                <w:lang w:val="en-US"/>
              </w:rPr>
            </w:pPr>
            <w:r w:rsidRPr="00231648">
              <w:rPr>
                <w:rFonts w:ascii="Calibri" w:hAnsi="Calibri" w:cs="Calibri"/>
                <w:b/>
                <w:i/>
                <w:szCs w:val="22"/>
                <w:lang w:val="en-US"/>
              </w:rPr>
              <w:t>There is no partnership between the public authorities and environmental NGOs.</w:t>
            </w:r>
            <w:r w:rsidRPr="00231648">
              <w:rPr>
                <w:rFonts w:ascii="Calibri" w:hAnsi="Calibri" w:cs="Calibri"/>
                <w:bCs/>
                <w:szCs w:val="22"/>
                <w:lang w:val="en-US"/>
              </w:rPr>
              <w:t xml:space="preserve"> The National Agency for Environmental Protection in Romania makes contradictory decisions and does not seek dialogue with Romanian civil society. </w:t>
            </w:r>
          </w:p>
          <w:p w:rsidR="00A92455" w:rsidRPr="00231648" w:rsidRDefault="00A92455" w:rsidP="00EF16DA">
            <w:pPr>
              <w:pStyle w:val="ListParagraph"/>
              <w:numPr>
                <w:ilvl w:val="0"/>
                <w:numId w:val="35"/>
              </w:numPr>
              <w:spacing w:after="0" w:line="240" w:lineRule="auto"/>
              <w:ind w:left="360"/>
              <w:jc w:val="left"/>
              <w:rPr>
                <w:rFonts w:ascii="Calibri" w:hAnsi="Calibri" w:cs="Calibri"/>
                <w:bCs/>
                <w:sz w:val="22"/>
                <w:szCs w:val="22"/>
                <w:lang w:val="en-US"/>
              </w:rPr>
            </w:pPr>
            <w:r w:rsidRPr="00231648">
              <w:rPr>
                <w:rFonts w:ascii="Calibri" w:hAnsi="Calibri" w:cs="Calibri"/>
                <w:b/>
                <w:i/>
                <w:szCs w:val="22"/>
                <w:lang w:val="en-US"/>
              </w:rPr>
              <w:t>There is a high degree of generalization.</w:t>
            </w:r>
            <w:r w:rsidRPr="00231648">
              <w:rPr>
                <w:rFonts w:ascii="Calibri" w:hAnsi="Calibri" w:cs="Calibri"/>
                <w:bCs/>
                <w:i/>
                <w:szCs w:val="22"/>
                <w:lang w:val="en-US"/>
              </w:rPr>
              <w:t xml:space="preserve"> </w:t>
            </w:r>
            <w:r w:rsidRPr="00231648">
              <w:rPr>
                <w:rFonts w:ascii="Calibri" w:hAnsi="Calibri" w:cs="Calibri"/>
                <w:bCs/>
                <w:szCs w:val="22"/>
                <w:lang w:val="en-US"/>
              </w:rPr>
              <w:t xml:space="preserve">Safeguard policies are too general, and the country’s implementation and enforcement norms are weak. </w:t>
            </w:r>
          </w:p>
          <w:p w:rsidR="00A92455" w:rsidRPr="00231648" w:rsidRDefault="00A92455" w:rsidP="00EF16DA">
            <w:pPr>
              <w:pStyle w:val="ListParagraph"/>
              <w:numPr>
                <w:ilvl w:val="0"/>
                <w:numId w:val="35"/>
              </w:numPr>
              <w:spacing w:after="0" w:line="240" w:lineRule="auto"/>
              <w:ind w:left="360"/>
              <w:jc w:val="left"/>
              <w:rPr>
                <w:rFonts w:ascii="Calibri" w:hAnsi="Calibri" w:cs="Calibri"/>
                <w:sz w:val="22"/>
                <w:szCs w:val="22"/>
                <w:lang w:val="en-US"/>
              </w:rPr>
            </w:pPr>
            <w:r w:rsidRPr="00231648">
              <w:rPr>
                <w:rFonts w:ascii="Calibri" w:hAnsi="Calibri" w:cs="Calibri"/>
                <w:b/>
                <w:i/>
                <w:szCs w:val="22"/>
                <w:lang w:val="en-US"/>
              </w:rPr>
              <w:t>There is either a different outlook on safeguard policies or a lack of vision altogether on the part of the authorities.</w:t>
            </w:r>
            <w:r w:rsidRPr="00231648">
              <w:rPr>
                <w:rFonts w:ascii="Calibri" w:hAnsi="Calibri" w:cs="Calibri"/>
                <w:bCs/>
                <w:i/>
                <w:szCs w:val="22"/>
                <w:lang w:val="en-US"/>
              </w:rPr>
              <w:t xml:space="preserve"> </w:t>
            </w:r>
            <w:r w:rsidRPr="00231648">
              <w:rPr>
                <w:rFonts w:ascii="Calibri" w:hAnsi="Calibri" w:cs="Calibri"/>
                <w:bCs/>
                <w:szCs w:val="22"/>
                <w:lang w:val="en-US"/>
              </w:rPr>
              <w:t xml:space="preserve">The territorial authorities that are in charge of monitoring and enforcing the implementation of safeguard policies have a different outlook on the current state of affairs. They are also inconsistent in their outlook and their practice, which means that it is impossible to consider sustainability issues. </w:t>
            </w:r>
          </w:p>
          <w:p w:rsidR="00A92455" w:rsidRPr="00231648" w:rsidRDefault="00A92455" w:rsidP="00EF16DA">
            <w:pPr>
              <w:pStyle w:val="ListParagraph"/>
              <w:numPr>
                <w:ilvl w:val="0"/>
                <w:numId w:val="35"/>
              </w:numPr>
              <w:spacing w:after="0" w:line="240" w:lineRule="auto"/>
              <w:ind w:left="360"/>
              <w:jc w:val="left"/>
              <w:rPr>
                <w:rFonts w:ascii="Calibri" w:hAnsi="Calibri" w:cs="Calibri"/>
                <w:sz w:val="22"/>
                <w:szCs w:val="22"/>
                <w:lang w:val="en-US"/>
              </w:rPr>
            </w:pPr>
            <w:r w:rsidRPr="00231648">
              <w:rPr>
                <w:rFonts w:ascii="Calibri" w:hAnsi="Calibri" w:cs="Calibri"/>
                <w:b/>
                <w:i/>
                <w:szCs w:val="22"/>
                <w:lang w:val="en-US"/>
              </w:rPr>
              <w:t xml:space="preserve">Integrating vs. translating the EU </w:t>
            </w:r>
            <w:proofErr w:type="spellStart"/>
            <w:r w:rsidRPr="00231648">
              <w:rPr>
                <w:rFonts w:ascii="Calibri" w:hAnsi="Calibri" w:cs="Calibri"/>
                <w:b/>
                <w:i/>
                <w:szCs w:val="22"/>
                <w:lang w:val="en-US"/>
              </w:rPr>
              <w:t>acquis</w:t>
            </w:r>
            <w:proofErr w:type="spellEnd"/>
            <w:r w:rsidRPr="00231648">
              <w:rPr>
                <w:rFonts w:ascii="Calibri" w:hAnsi="Calibri" w:cs="Calibri"/>
                <w:b/>
                <w:i/>
                <w:szCs w:val="22"/>
                <w:lang w:val="en-US"/>
              </w:rPr>
              <w:t>.</w:t>
            </w:r>
            <w:r w:rsidRPr="00231648">
              <w:rPr>
                <w:rFonts w:ascii="Calibri" w:hAnsi="Calibri" w:cs="Calibri"/>
                <w:bCs/>
                <w:szCs w:val="22"/>
                <w:lang w:val="en-US"/>
              </w:rPr>
              <w:t xml:space="preserve"> The EU provides a legal framework, but it is the EU members’ responsibility to identify adequate enforcement mechanisms. </w:t>
            </w:r>
          </w:p>
          <w:p w:rsidR="00A92455" w:rsidRPr="00231648" w:rsidRDefault="00A92455" w:rsidP="00231648">
            <w:pPr>
              <w:pStyle w:val="ListParagraph"/>
              <w:numPr>
                <w:ilvl w:val="0"/>
                <w:numId w:val="35"/>
              </w:numPr>
              <w:spacing w:after="0" w:line="240" w:lineRule="auto"/>
              <w:ind w:left="360"/>
              <w:jc w:val="left"/>
              <w:rPr>
                <w:rFonts w:ascii="Calibri" w:hAnsi="Calibri" w:cs="Calibri"/>
                <w:sz w:val="22"/>
                <w:szCs w:val="22"/>
                <w:lang w:val="en-US"/>
              </w:rPr>
            </w:pPr>
            <w:r w:rsidRPr="00231648">
              <w:rPr>
                <w:rFonts w:ascii="Calibri" w:hAnsi="Calibri" w:cs="Calibri"/>
                <w:b/>
                <w:i/>
                <w:szCs w:val="22"/>
                <w:lang w:val="en-US"/>
              </w:rPr>
              <w:t>There is no integrated approach</w:t>
            </w:r>
            <w:r w:rsidRPr="00231648">
              <w:rPr>
                <w:rFonts w:ascii="Calibri" w:hAnsi="Calibri" w:cs="Calibri"/>
                <w:bCs/>
                <w:i/>
                <w:szCs w:val="22"/>
                <w:lang w:val="en-US"/>
              </w:rPr>
              <w:t>.</w:t>
            </w:r>
            <w:r w:rsidRPr="00231648">
              <w:rPr>
                <w:rFonts w:ascii="Calibri" w:hAnsi="Calibri" w:cs="Calibri"/>
                <w:bCs/>
                <w:szCs w:val="22"/>
                <w:lang w:val="en-US"/>
              </w:rPr>
              <w:t xml:space="preserve"> There is no correlation between the biodiversity conservation strategy, the energy efficiency strategy, the promotion of mechanisms to produce energy based on renewable sources and the tourism promotion and development strategy, for instance</w:t>
            </w:r>
            <w:proofErr w:type="gramStart"/>
            <w:r w:rsidRPr="00231648">
              <w:rPr>
                <w:rFonts w:ascii="Calibri" w:hAnsi="Calibri" w:cs="Calibri"/>
                <w:bCs/>
                <w:szCs w:val="22"/>
                <w:lang w:val="en-US"/>
              </w:rPr>
              <w:t>..</w:t>
            </w:r>
            <w:proofErr w:type="gramEnd"/>
            <w:r w:rsidRPr="00231648">
              <w:rPr>
                <w:rFonts w:ascii="Calibri" w:hAnsi="Calibri" w:cs="Calibri"/>
                <w:bCs/>
                <w:szCs w:val="22"/>
                <w:lang w:val="en-US"/>
              </w:rPr>
              <w:t xml:space="preserve"> </w:t>
            </w:r>
          </w:p>
        </w:tc>
      </w:tr>
      <w:tr w:rsidR="00A92455" w:rsidRPr="00FA4FDA" w:rsidTr="00231648">
        <w:tc>
          <w:tcPr>
            <w:tcW w:w="14400" w:type="dxa"/>
            <w:tcBorders>
              <w:top w:val="single" w:sz="4" w:space="0" w:color="auto"/>
              <w:left w:val="single" w:sz="4" w:space="0" w:color="auto"/>
              <w:bottom w:val="single" w:sz="4" w:space="0" w:color="auto"/>
              <w:right w:val="single" w:sz="4" w:space="0" w:color="auto"/>
            </w:tcBorders>
            <w:shd w:val="clear" w:color="auto" w:fill="DBE5F1"/>
          </w:tcPr>
          <w:p w:rsidR="00A92455" w:rsidRPr="00EF16DA" w:rsidRDefault="00A92455" w:rsidP="00EF16DA">
            <w:pPr>
              <w:spacing w:after="0" w:line="240" w:lineRule="auto"/>
              <w:ind w:left="360" w:hanging="360"/>
              <w:jc w:val="left"/>
              <w:rPr>
                <w:rFonts w:ascii="Calibri" w:hAnsi="Calibri" w:cs="Calibri"/>
                <w:b/>
                <w:color w:val="17365D"/>
                <w:lang w:val="en-US"/>
              </w:rPr>
            </w:pPr>
            <w:r w:rsidRPr="00FA4FDA">
              <w:rPr>
                <w:rFonts w:ascii="Calibri" w:eastAsia="Batang" w:hAnsi="Calibri"/>
                <w:bCs/>
                <w:lang w:val="en-US"/>
              </w:rPr>
              <w:lastRenderedPageBreak/>
              <w:t xml:space="preserve">3. </w:t>
            </w:r>
            <w:r w:rsidRPr="00FA4FDA">
              <w:rPr>
                <w:rFonts w:ascii="Calibri" w:eastAsia="Batang" w:hAnsi="Calibri"/>
                <w:b/>
                <w:lang w:val="en-US"/>
              </w:rPr>
              <w:t>A</w:t>
            </w:r>
            <w:r w:rsidRPr="00FA4FDA">
              <w:rPr>
                <w:rFonts w:ascii="Calibri" w:hAnsi="Calibri"/>
                <w:b/>
                <w:lang w:val="en-US"/>
              </w:rPr>
              <w:t>spects of the environmental and social safeguards policies that the Bank can improve to ensure that these policies continue to be an effective and efficient tool to achieve sustainable development and results on the ground.</w:t>
            </w:r>
          </w:p>
        </w:tc>
      </w:tr>
      <w:tr w:rsidR="00A92455" w:rsidRPr="003C5D9E" w:rsidTr="00231648">
        <w:tc>
          <w:tcPr>
            <w:tcW w:w="14400" w:type="dxa"/>
            <w:tcBorders>
              <w:top w:val="single" w:sz="4" w:space="0" w:color="auto"/>
              <w:left w:val="single" w:sz="4" w:space="0" w:color="auto"/>
              <w:bottom w:val="single" w:sz="4" w:space="0" w:color="auto"/>
              <w:right w:val="single" w:sz="4" w:space="0" w:color="auto"/>
            </w:tcBorders>
            <w:shd w:val="clear" w:color="auto" w:fill="FFFFFF"/>
          </w:tcPr>
          <w:p w:rsidR="00A92455" w:rsidRPr="00231648" w:rsidRDefault="00A92455" w:rsidP="00262D18">
            <w:pPr>
              <w:pStyle w:val="ListParagraph"/>
              <w:numPr>
                <w:ilvl w:val="0"/>
                <w:numId w:val="35"/>
              </w:numPr>
              <w:spacing w:after="0" w:line="240" w:lineRule="auto"/>
              <w:ind w:left="360"/>
              <w:jc w:val="left"/>
              <w:rPr>
                <w:rFonts w:ascii="Calibri" w:eastAsia="Batang" w:hAnsi="Calibri" w:cs="Calibri"/>
                <w:sz w:val="22"/>
                <w:lang w:val="en-US"/>
              </w:rPr>
            </w:pPr>
            <w:r w:rsidRPr="00231648">
              <w:rPr>
                <w:rFonts w:ascii="Calibri" w:eastAsia="Batang" w:hAnsi="Calibri" w:cs="Calibri"/>
                <w:b/>
                <w:bCs/>
                <w:i/>
                <w:lang w:val="en-US"/>
              </w:rPr>
              <w:t>Introducing a certification mechanism for agents that perform EIA and identifying ways to ensure their neutrality</w:t>
            </w:r>
            <w:r w:rsidR="003C5D9E">
              <w:rPr>
                <w:rFonts w:ascii="Calibri" w:eastAsia="Batang" w:hAnsi="Calibri" w:cs="Calibri"/>
                <w:b/>
                <w:bCs/>
                <w:i/>
                <w:lang w:val="en-US"/>
              </w:rPr>
              <w:t>.</w:t>
            </w:r>
            <w:r w:rsidR="003C5D9E">
              <w:rPr>
                <w:rFonts w:ascii="Calibri" w:eastAsia="Batang" w:hAnsi="Calibri" w:cs="Calibri"/>
                <w:bCs/>
                <w:lang w:val="en-US"/>
              </w:rPr>
              <w:t xml:space="preserve"> A</w:t>
            </w:r>
            <w:r w:rsidRPr="00231648">
              <w:rPr>
                <w:rFonts w:ascii="Calibri" w:eastAsia="Batang" w:hAnsi="Calibri" w:cs="Calibri"/>
                <w:bCs/>
                <w:lang w:val="en-US"/>
              </w:rPr>
              <w:t>t present, such agents cannot be neutral because they are paid by the project investors/owners/beneficiaries, etc.</w:t>
            </w:r>
            <w:r w:rsidRPr="00231648">
              <w:rPr>
                <w:rFonts w:ascii="Calibri" w:eastAsia="Batang" w:hAnsi="Calibri" w:cs="Calibri"/>
                <w:b/>
                <w:bCs/>
                <w:lang w:val="en-US"/>
              </w:rPr>
              <w:t xml:space="preserve"> </w:t>
            </w:r>
            <w:r w:rsidRPr="00231648">
              <w:rPr>
                <w:rFonts w:ascii="Calibri" w:eastAsia="Batang" w:hAnsi="Calibri" w:cs="Calibri"/>
                <w:lang w:val="en-US"/>
              </w:rPr>
              <w:t xml:space="preserve">All investment projects are required to include an EIA but the quality and content of such analyses depend on their authors. According to the current legal framework, </w:t>
            </w:r>
            <w:r w:rsidR="00262D18">
              <w:rPr>
                <w:rFonts w:ascii="Calibri" w:eastAsia="Batang" w:hAnsi="Calibri" w:cs="Calibri"/>
                <w:lang w:val="en-US"/>
              </w:rPr>
              <w:t xml:space="preserve">EIA </w:t>
            </w:r>
            <w:r w:rsidRPr="00231648">
              <w:rPr>
                <w:rFonts w:ascii="Calibri" w:eastAsia="Batang" w:hAnsi="Calibri" w:cs="Calibri"/>
                <w:lang w:val="en-US"/>
              </w:rPr>
              <w:t xml:space="preserve">requirements focus on hydroelectric plants and micro-hydroelectric plants, but there are no studies or analyses that focus on their cumulative impact on the environment. </w:t>
            </w:r>
          </w:p>
          <w:p w:rsidR="00A92455" w:rsidRPr="00231648" w:rsidRDefault="00A92455" w:rsidP="00231648">
            <w:pPr>
              <w:pStyle w:val="ListParagraph"/>
              <w:numPr>
                <w:ilvl w:val="0"/>
                <w:numId w:val="35"/>
              </w:numPr>
              <w:spacing w:after="0" w:line="240" w:lineRule="auto"/>
              <w:ind w:left="360"/>
              <w:jc w:val="left"/>
              <w:rPr>
                <w:rFonts w:ascii="Calibri" w:eastAsia="Batang" w:hAnsi="Calibri" w:cs="Calibri"/>
                <w:sz w:val="22"/>
                <w:lang w:val="en-US"/>
              </w:rPr>
            </w:pPr>
            <w:r w:rsidRPr="00231648">
              <w:rPr>
                <w:rFonts w:ascii="Calibri" w:eastAsia="Batang" w:hAnsi="Calibri" w:cs="Calibri"/>
                <w:lang w:val="en-US"/>
              </w:rPr>
              <w:t>The promotion of green energy is often claimed to be of national interest, which intimidates the environmental authorities whenever authorization permits need to be issued for such projects and for the subsequent operation of green energy-producing facilities. The World Bank - and any commercial bank</w:t>
            </w:r>
            <w:r w:rsidR="00262D18">
              <w:rPr>
                <w:rFonts w:ascii="Calibri" w:eastAsia="Batang" w:hAnsi="Calibri" w:cs="Calibri"/>
                <w:lang w:val="en-US"/>
              </w:rPr>
              <w:t xml:space="preserve"> that </w:t>
            </w:r>
            <w:r w:rsidRPr="00231648">
              <w:rPr>
                <w:rFonts w:ascii="Calibri" w:eastAsia="Batang" w:hAnsi="Calibri" w:cs="Calibri"/>
                <w:lang w:val="en-US"/>
              </w:rPr>
              <w:t xml:space="preserve">acts as financier of such projects in general - should have a global perspective on these issues. There are </w:t>
            </w:r>
            <w:r w:rsidRPr="00231648">
              <w:rPr>
                <w:rFonts w:ascii="Calibri" w:eastAsia="Batang" w:hAnsi="Calibri" w:cs="Calibri"/>
                <w:lang w:val="en-US"/>
              </w:rPr>
              <w:lastRenderedPageBreak/>
              <w:t xml:space="preserve">similar problems in other fields and cases, as well, </w:t>
            </w:r>
            <w:r w:rsidR="00262D18">
              <w:rPr>
                <w:rFonts w:ascii="Calibri" w:eastAsia="Batang" w:hAnsi="Calibri" w:cs="Calibri"/>
                <w:lang w:val="en-US"/>
              </w:rPr>
              <w:t xml:space="preserve">such as </w:t>
            </w:r>
            <w:r w:rsidRPr="00231648">
              <w:rPr>
                <w:rFonts w:ascii="Calibri" w:eastAsia="Batang" w:hAnsi="Calibri" w:cs="Calibri"/>
                <w:lang w:val="en-US"/>
              </w:rPr>
              <w:t>when the negative impact of investments on the environment is being assessed (</w:t>
            </w:r>
            <w:r w:rsidR="00262D18">
              <w:rPr>
                <w:rFonts w:ascii="Calibri" w:eastAsia="Batang" w:hAnsi="Calibri" w:cs="Calibri"/>
                <w:lang w:val="en-US"/>
              </w:rPr>
              <w:t xml:space="preserve">for example, </w:t>
            </w:r>
            <w:r w:rsidRPr="00231648">
              <w:rPr>
                <w:rFonts w:ascii="Calibri" w:eastAsia="Batang" w:hAnsi="Calibri" w:cs="Calibri"/>
                <w:lang w:val="en-US"/>
              </w:rPr>
              <w:t xml:space="preserve">in the </w:t>
            </w:r>
            <w:proofErr w:type="spellStart"/>
            <w:r w:rsidRPr="00231648">
              <w:rPr>
                <w:rFonts w:ascii="Calibri" w:eastAsia="Batang" w:hAnsi="Calibri" w:cs="Calibri"/>
                <w:lang w:val="en-US"/>
              </w:rPr>
              <w:t>Fagaras</w:t>
            </w:r>
            <w:proofErr w:type="spellEnd"/>
            <w:r w:rsidRPr="00231648">
              <w:rPr>
                <w:rFonts w:ascii="Calibri" w:eastAsia="Batang" w:hAnsi="Calibri" w:cs="Calibri"/>
                <w:lang w:val="en-US"/>
              </w:rPr>
              <w:t xml:space="preserve"> Mountains, in the area of Capra) or when a housing/residential condominium is being buil</w:t>
            </w:r>
            <w:r w:rsidR="00262D18">
              <w:rPr>
                <w:rFonts w:ascii="Calibri" w:eastAsia="Batang" w:hAnsi="Calibri" w:cs="Calibri"/>
                <w:lang w:val="en-US"/>
              </w:rPr>
              <w:t>t</w:t>
            </w:r>
            <w:r w:rsidRPr="00231648">
              <w:rPr>
                <w:rFonts w:ascii="Calibri" w:eastAsia="Batang" w:hAnsi="Calibri" w:cs="Calibri"/>
                <w:lang w:val="en-US"/>
              </w:rPr>
              <w:t xml:space="preserve"> within a protected natural area, etc. </w:t>
            </w:r>
          </w:p>
          <w:p w:rsidR="00A92455" w:rsidRPr="00231648" w:rsidRDefault="00A92455" w:rsidP="00262D18">
            <w:pPr>
              <w:pStyle w:val="ListParagraph"/>
              <w:numPr>
                <w:ilvl w:val="0"/>
                <w:numId w:val="35"/>
              </w:numPr>
              <w:spacing w:after="0" w:line="240" w:lineRule="auto"/>
              <w:ind w:left="360"/>
              <w:jc w:val="left"/>
              <w:rPr>
                <w:rFonts w:ascii="Calibri" w:eastAsia="Batang" w:hAnsi="Calibri" w:cs="Calibri"/>
                <w:sz w:val="22"/>
                <w:lang w:val="en-US"/>
              </w:rPr>
            </w:pPr>
            <w:r w:rsidRPr="00231648">
              <w:rPr>
                <w:rFonts w:ascii="Calibri" w:eastAsia="Batang" w:hAnsi="Calibri" w:cs="Calibri"/>
                <w:lang w:val="en-US"/>
              </w:rPr>
              <w:t xml:space="preserve">The legal framework in the Republic of Moldova does not contain sufficient restrictions regarding forest management and landscaping. In the beginning, the Republic of Moldova “borrowed” (as source of inspiration) legislative practices and public policies from Romania but such practices and policies are not always the right/adequate solution to certain issues. In addition, the Republic of Moldova did not adjust </w:t>
            </w:r>
            <w:r w:rsidR="00262D18">
              <w:rPr>
                <w:rFonts w:ascii="Calibri" w:eastAsia="Batang" w:hAnsi="Calibri" w:cs="Calibri"/>
                <w:lang w:val="en-US"/>
              </w:rPr>
              <w:t xml:space="preserve">these </w:t>
            </w:r>
            <w:r w:rsidRPr="00231648">
              <w:rPr>
                <w:rFonts w:ascii="Calibri" w:eastAsia="Batang" w:hAnsi="Calibri" w:cs="Calibri"/>
                <w:lang w:val="en-US"/>
              </w:rPr>
              <w:t xml:space="preserve">practices and policies to the specifics of its own environment, so that the species </w:t>
            </w:r>
            <w:r w:rsidR="00262D18">
              <w:rPr>
                <w:rFonts w:ascii="Calibri" w:eastAsia="Batang" w:hAnsi="Calibri" w:cs="Calibri"/>
                <w:lang w:val="en-US"/>
              </w:rPr>
              <w:t xml:space="preserve">that are endemic to its national territory </w:t>
            </w:r>
            <w:r w:rsidRPr="00231648">
              <w:rPr>
                <w:rFonts w:ascii="Calibri" w:eastAsia="Batang" w:hAnsi="Calibri" w:cs="Calibri"/>
                <w:lang w:val="en-US"/>
              </w:rPr>
              <w:t>have</w:t>
            </w:r>
            <w:r w:rsidR="00262D18">
              <w:rPr>
                <w:rFonts w:ascii="Calibri" w:eastAsia="Batang" w:hAnsi="Calibri" w:cs="Calibri"/>
                <w:lang w:val="en-US"/>
              </w:rPr>
              <w:t xml:space="preserve"> not</w:t>
            </w:r>
            <w:r w:rsidRPr="00231648">
              <w:rPr>
                <w:rFonts w:ascii="Calibri" w:eastAsia="Batang" w:hAnsi="Calibri" w:cs="Calibri"/>
                <w:lang w:val="en-US"/>
              </w:rPr>
              <w:t xml:space="preserve"> been accounted for. There are no adequate investments to </w:t>
            </w:r>
            <w:r w:rsidR="00262D18">
              <w:rPr>
                <w:rFonts w:ascii="Calibri" w:eastAsia="Batang" w:hAnsi="Calibri" w:cs="Calibri"/>
                <w:lang w:val="en-US"/>
              </w:rPr>
              <w:t xml:space="preserve">protect </w:t>
            </w:r>
            <w:r w:rsidRPr="00231648">
              <w:rPr>
                <w:rFonts w:ascii="Calibri" w:eastAsia="Batang" w:hAnsi="Calibri" w:cs="Calibri"/>
                <w:lang w:val="en-US"/>
              </w:rPr>
              <w:t>such species and to preserve indigenous tree species. Inadequate measures have a very strong and long-lasting multiplication effect.</w:t>
            </w:r>
          </w:p>
          <w:p w:rsidR="00A92455" w:rsidRPr="00231648" w:rsidRDefault="00A92455" w:rsidP="00EF16DA">
            <w:pPr>
              <w:pStyle w:val="ListParagraph"/>
              <w:numPr>
                <w:ilvl w:val="0"/>
                <w:numId w:val="35"/>
              </w:numPr>
              <w:spacing w:after="0" w:line="240" w:lineRule="auto"/>
              <w:ind w:left="360"/>
              <w:jc w:val="left"/>
              <w:rPr>
                <w:rFonts w:ascii="Calibri" w:eastAsia="Batang" w:hAnsi="Calibri" w:cs="Calibri"/>
                <w:sz w:val="22"/>
                <w:lang w:val="en-US"/>
              </w:rPr>
            </w:pPr>
            <w:r w:rsidRPr="00231648">
              <w:rPr>
                <w:rFonts w:ascii="Calibri" w:eastAsia="Batang" w:hAnsi="Calibri" w:cs="Calibri"/>
                <w:lang w:val="en-US"/>
              </w:rPr>
              <w:t xml:space="preserve">Research and engineering have differing approaches to environmental issues. Social issues are also worth taking into consideration. </w:t>
            </w:r>
          </w:p>
          <w:p w:rsidR="00A92455" w:rsidRPr="00231648" w:rsidRDefault="00A92455" w:rsidP="00EF16DA">
            <w:pPr>
              <w:pStyle w:val="ListParagraph"/>
              <w:numPr>
                <w:ilvl w:val="0"/>
                <w:numId w:val="35"/>
              </w:numPr>
              <w:spacing w:after="0" w:line="240" w:lineRule="auto"/>
              <w:ind w:left="360"/>
              <w:jc w:val="left"/>
              <w:rPr>
                <w:rFonts w:ascii="Calibri" w:eastAsia="Batang" w:hAnsi="Calibri" w:cs="Calibri"/>
                <w:sz w:val="22"/>
                <w:lang w:val="en-US"/>
              </w:rPr>
            </w:pPr>
            <w:r w:rsidRPr="00231648">
              <w:rPr>
                <w:rFonts w:ascii="Calibri" w:eastAsia="Batang" w:hAnsi="Calibri" w:cs="Calibri"/>
                <w:lang w:val="en-US"/>
              </w:rPr>
              <w:t xml:space="preserve">Safeguards referring to dams are not applicable in the Republic of Moldova as there is no hydrographic network. </w:t>
            </w:r>
          </w:p>
        </w:tc>
      </w:tr>
      <w:tr w:rsidR="00A92455" w:rsidRPr="00FA4FDA" w:rsidTr="00231648">
        <w:tc>
          <w:tcPr>
            <w:tcW w:w="14400" w:type="dxa"/>
            <w:tcBorders>
              <w:top w:val="single" w:sz="4" w:space="0" w:color="auto"/>
              <w:left w:val="single" w:sz="4" w:space="0" w:color="auto"/>
              <w:bottom w:val="single" w:sz="4" w:space="0" w:color="auto"/>
              <w:right w:val="single" w:sz="4" w:space="0" w:color="auto"/>
            </w:tcBorders>
            <w:shd w:val="clear" w:color="auto" w:fill="DBE5F1"/>
          </w:tcPr>
          <w:p w:rsidR="00A92455" w:rsidRPr="00EF16DA" w:rsidRDefault="00A92455" w:rsidP="00EF16DA">
            <w:pPr>
              <w:spacing w:after="0" w:line="240" w:lineRule="auto"/>
              <w:ind w:left="360" w:hanging="360"/>
              <w:jc w:val="left"/>
              <w:rPr>
                <w:rFonts w:ascii="Calibri" w:hAnsi="Calibri" w:cs="Calibri"/>
                <w:b/>
                <w:color w:val="17365D"/>
                <w:lang w:val="en-US"/>
              </w:rPr>
            </w:pPr>
            <w:r w:rsidRPr="00FA4FDA">
              <w:rPr>
                <w:rFonts w:ascii="Calibri" w:hAnsi="Calibri" w:cs="Calibri"/>
                <w:b/>
                <w:color w:val="17365D"/>
                <w:lang w:val="en-US"/>
              </w:rPr>
              <w:lastRenderedPageBreak/>
              <w:t>4. How can the Bank better support borrowers in their efforts to strengthen their systems and institutions with respect to environmental and social safeguard practices to yield more sustainable results on the ground?</w:t>
            </w:r>
          </w:p>
        </w:tc>
      </w:tr>
      <w:tr w:rsidR="00A92455" w:rsidRPr="00FA4FDA" w:rsidTr="00231648">
        <w:tc>
          <w:tcPr>
            <w:tcW w:w="14400" w:type="dxa"/>
            <w:tcBorders>
              <w:top w:val="single" w:sz="4" w:space="0" w:color="auto"/>
              <w:left w:val="single" w:sz="4" w:space="0" w:color="auto"/>
              <w:bottom w:val="single" w:sz="4" w:space="0" w:color="auto"/>
              <w:right w:val="single" w:sz="4" w:space="0" w:color="auto"/>
            </w:tcBorders>
          </w:tcPr>
          <w:p w:rsidR="00A92455" w:rsidRPr="00FA4FDA" w:rsidRDefault="00A92455" w:rsidP="00EF16DA">
            <w:pPr>
              <w:pStyle w:val="ListParagraph"/>
              <w:widowControl w:val="0"/>
              <w:numPr>
                <w:ilvl w:val="0"/>
                <w:numId w:val="35"/>
              </w:numPr>
              <w:autoSpaceDE w:val="0"/>
              <w:autoSpaceDN w:val="0"/>
              <w:adjustRightInd w:val="0"/>
              <w:spacing w:after="0" w:line="240" w:lineRule="auto"/>
              <w:ind w:left="360"/>
              <w:jc w:val="left"/>
              <w:rPr>
                <w:rFonts w:ascii="Calibri" w:hAnsi="Calibri" w:cs="Calibri"/>
                <w:bCs/>
                <w:color w:val="17365D"/>
                <w:szCs w:val="22"/>
                <w:lang w:val="en-US"/>
              </w:rPr>
            </w:pPr>
            <w:r w:rsidRPr="00FA4FDA">
              <w:rPr>
                <w:rFonts w:ascii="Calibri" w:hAnsi="Calibri" w:cs="Calibri"/>
                <w:bCs/>
                <w:color w:val="17365D"/>
                <w:szCs w:val="22"/>
                <w:lang w:val="en-US"/>
              </w:rPr>
              <w:t xml:space="preserve">The Bank can assist the national system in order to gain the capacity </w:t>
            </w:r>
            <w:r>
              <w:rPr>
                <w:rFonts w:ascii="Calibri" w:hAnsi="Calibri" w:cs="Calibri"/>
                <w:bCs/>
                <w:color w:val="17365D"/>
                <w:szCs w:val="22"/>
                <w:lang w:val="en-US"/>
              </w:rPr>
              <w:t xml:space="preserve">which is </w:t>
            </w:r>
            <w:r w:rsidRPr="00FA4FDA">
              <w:rPr>
                <w:rFonts w:ascii="Calibri" w:hAnsi="Calibri" w:cs="Calibri"/>
                <w:bCs/>
                <w:color w:val="17365D"/>
                <w:szCs w:val="22"/>
                <w:lang w:val="en-US"/>
              </w:rPr>
              <w:t xml:space="preserve">necessary to properly assess the impact of various investment projects on the environment. Although there is a certain capacity in place, </w:t>
            </w:r>
            <w:r>
              <w:rPr>
                <w:rFonts w:ascii="Calibri" w:hAnsi="Calibri" w:cs="Calibri"/>
                <w:bCs/>
                <w:color w:val="17365D"/>
                <w:szCs w:val="22"/>
                <w:lang w:val="en-US"/>
              </w:rPr>
              <w:t>it</w:t>
            </w:r>
            <w:r w:rsidRPr="00FA4FDA">
              <w:rPr>
                <w:rFonts w:ascii="Calibri" w:hAnsi="Calibri" w:cs="Calibri"/>
                <w:bCs/>
                <w:color w:val="17365D"/>
                <w:szCs w:val="22"/>
                <w:lang w:val="en-US"/>
              </w:rPr>
              <w:t xml:space="preserve"> is neither specific, nor strong enough, especially </w:t>
            </w:r>
            <w:r>
              <w:rPr>
                <w:rFonts w:ascii="Calibri" w:hAnsi="Calibri" w:cs="Calibri"/>
                <w:bCs/>
                <w:color w:val="17365D"/>
                <w:szCs w:val="22"/>
                <w:lang w:val="en-US"/>
              </w:rPr>
              <w:t>when</w:t>
            </w:r>
            <w:r w:rsidRPr="00FA4FDA">
              <w:rPr>
                <w:rFonts w:ascii="Calibri" w:hAnsi="Calibri" w:cs="Calibri"/>
                <w:bCs/>
                <w:color w:val="17365D"/>
                <w:szCs w:val="22"/>
                <w:lang w:val="en-US"/>
              </w:rPr>
              <w:t xml:space="preserve"> cross-sectoral issues</w:t>
            </w:r>
            <w:r>
              <w:rPr>
                <w:rFonts w:ascii="Calibri" w:hAnsi="Calibri" w:cs="Calibri"/>
                <w:bCs/>
                <w:color w:val="17365D"/>
                <w:szCs w:val="22"/>
                <w:lang w:val="en-US"/>
              </w:rPr>
              <w:t xml:space="preserve"> are taken into account</w:t>
            </w:r>
            <w:r w:rsidRPr="00FA4FDA">
              <w:rPr>
                <w:rFonts w:ascii="Calibri" w:hAnsi="Calibri" w:cs="Calibri"/>
                <w:bCs/>
                <w:color w:val="17365D"/>
                <w:szCs w:val="22"/>
                <w:lang w:val="en-US"/>
              </w:rPr>
              <w:t xml:space="preserve">. </w:t>
            </w:r>
            <w:r>
              <w:rPr>
                <w:rFonts w:ascii="Calibri" w:hAnsi="Calibri" w:cs="Calibri"/>
                <w:bCs/>
                <w:color w:val="17365D"/>
                <w:szCs w:val="22"/>
                <w:lang w:val="en-US"/>
              </w:rPr>
              <w:t>As underlined above, t</w:t>
            </w:r>
            <w:r w:rsidRPr="00FA4FDA">
              <w:rPr>
                <w:rFonts w:ascii="Calibri" w:hAnsi="Calibri" w:cs="Calibri"/>
                <w:bCs/>
                <w:color w:val="17365D"/>
                <w:szCs w:val="22"/>
                <w:lang w:val="en-US"/>
              </w:rPr>
              <w:t>he National Environmental Guard, for instance, does not have the institutional capacity needed to manage and control</w:t>
            </w:r>
            <w:r>
              <w:rPr>
                <w:rFonts w:ascii="Calibri" w:hAnsi="Calibri" w:cs="Calibri"/>
                <w:bCs/>
                <w:color w:val="17365D"/>
                <w:szCs w:val="22"/>
                <w:lang w:val="en-US"/>
              </w:rPr>
              <w:t xml:space="preserve"> certain</w:t>
            </w:r>
            <w:r w:rsidRPr="00FA4FDA">
              <w:rPr>
                <w:rFonts w:ascii="Calibri" w:hAnsi="Calibri" w:cs="Calibri"/>
                <w:bCs/>
                <w:color w:val="17365D"/>
                <w:szCs w:val="22"/>
                <w:lang w:val="en-US"/>
              </w:rPr>
              <w:t xml:space="preserve"> aspects tied to the enforcement of </w:t>
            </w:r>
            <w:r>
              <w:rPr>
                <w:rFonts w:ascii="Calibri" w:hAnsi="Calibri" w:cs="Calibri"/>
                <w:bCs/>
                <w:color w:val="17365D"/>
                <w:szCs w:val="22"/>
                <w:lang w:val="en-US"/>
              </w:rPr>
              <w:t xml:space="preserve">the current </w:t>
            </w:r>
            <w:r w:rsidRPr="00FA4FDA">
              <w:rPr>
                <w:rFonts w:ascii="Calibri" w:hAnsi="Calibri" w:cs="Calibri"/>
                <w:bCs/>
                <w:color w:val="17365D"/>
                <w:szCs w:val="22"/>
                <w:lang w:val="en-US"/>
              </w:rPr>
              <w:t>environmental protection regulations. Another government entity, the</w:t>
            </w:r>
            <w:r>
              <w:rPr>
                <w:rFonts w:ascii="Calibri" w:hAnsi="Calibri" w:cs="Calibri"/>
                <w:bCs/>
                <w:color w:val="17365D"/>
                <w:szCs w:val="22"/>
                <w:lang w:val="en-US"/>
              </w:rPr>
              <w:t xml:space="preserve"> National Regulatory Authority for</w:t>
            </w:r>
            <w:r w:rsidRPr="00FA4FDA">
              <w:rPr>
                <w:rFonts w:ascii="Calibri" w:hAnsi="Calibri" w:cs="Calibri"/>
                <w:bCs/>
                <w:color w:val="17365D"/>
                <w:szCs w:val="22"/>
                <w:lang w:val="en-US"/>
              </w:rPr>
              <w:t xml:space="preserve"> Monitoring Public Procurement, lacks the institutional capacity that would allow it to check whether each public procurement project complies with the </w:t>
            </w:r>
            <w:r>
              <w:rPr>
                <w:rFonts w:ascii="Calibri" w:hAnsi="Calibri" w:cs="Calibri"/>
                <w:bCs/>
                <w:color w:val="17365D"/>
                <w:szCs w:val="22"/>
                <w:lang w:val="en-US"/>
              </w:rPr>
              <w:t xml:space="preserve">current </w:t>
            </w:r>
            <w:r w:rsidRPr="00FA4FDA">
              <w:rPr>
                <w:rFonts w:ascii="Calibri" w:hAnsi="Calibri" w:cs="Calibri"/>
                <w:bCs/>
                <w:color w:val="17365D"/>
                <w:szCs w:val="22"/>
                <w:lang w:val="en-US"/>
              </w:rPr>
              <w:t xml:space="preserve">environmental protection regulations. </w:t>
            </w:r>
          </w:p>
          <w:p w:rsidR="00A92455" w:rsidRPr="00EF16DA" w:rsidRDefault="00F11FCF" w:rsidP="00EF16DA">
            <w:pPr>
              <w:pStyle w:val="ListParagraph"/>
              <w:widowControl w:val="0"/>
              <w:numPr>
                <w:ilvl w:val="0"/>
                <w:numId w:val="35"/>
              </w:numPr>
              <w:autoSpaceDE w:val="0"/>
              <w:autoSpaceDN w:val="0"/>
              <w:adjustRightInd w:val="0"/>
              <w:spacing w:after="0" w:line="240" w:lineRule="auto"/>
              <w:ind w:left="360"/>
              <w:rPr>
                <w:rFonts w:ascii="Calibri" w:hAnsi="Calibri" w:cs="Calibri"/>
                <w:bCs/>
                <w:color w:val="17365D"/>
                <w:szCs w:val="22"/>
                <w:lang w:val="en-US"/>
              </w:rPr>
            </w:pPr>
            <w:r>
              <w:rPr>
                <w:rFonts w:ascii="Calibri" w:hAnsi="Calibri" w:cs="Calibri"/>
                <w:bCs/>
                <w:color w:val="17365D"/>
                <w:szCs w:val="22"/>
                <w:lang w:val="en-US"/>
              </w:rPr>
              <w:t xml:space="preserve">The Bank can support borrowers by </w:t>
            </w:r>
            <w:r w:rsidR="00A92455" w:rsidRPr="00FA4FDA">
              <w:rPr>
                <w:rFonts w:ascii="Calibri" w:hAnsi="Calibri" w:cs="Calibri"/>
                <w:bCs/>
                <w:color w:val="17365D"/>
                <w:szCs w:val="22"/>
                <w:lang w:val="en-US"/>
              </w:rPr>
              <w:t xml:space="preserve">understanding and harmonizing requirements and regulations. </w:t>
            </w:r>
          </w:p>
        </w:tc>
      </w:tr>
      <w:tr w:rsidR="00A92455" w:rsidRPr="00FA4FDA" w:rsidTr="00231648">
        <w:tc>
          <w:tcPr>
            <w:tcW w:w="14400" w:type="dxa"/>
            <w:tcBorders>
              <w:top w:val="single" w:sz="4" w:space="0" w:color="auto"/>
              <w:left w:val="single" w:sz="4" w:space="0" w:color="auto"/>
              <w:bottom w:val="single" w:sz="4" w:space="0" w:color="auto"/>
              <w:right w:val="single" w:sz="4" w:space="0" w:color="auto"/>
            </w:tcBorders>
            <w:shd w:val="clear" w:color="auto" w:fill="DBE5F1"/>
          </w:tcPr>
          <w:p w:rsidR="00A92455" w:rsidRPr="00EF16DA" w:rsidRDefault="00A92455" w:rsidP="00EF16DA">
            <w:pPr>
              <w:numPr>
                <w:ilvl w:val="0"/>
                <w:numId w:val="34"/>
              </w:numPr>
              <w:snapToGrid w:val="0"/>
              <w:spacing w:after="0" w:line="240" w:lineRule="auto"/>
              <w:ind w:left="360"/>
              <w:jc w:val="left"/>
              <w:rPr>
                <w:rFonts w:ascii="Calibri" w:hAnsi="Calibri" w:cs="Calibri"/>
                <w:b/>
                <w:color w:val="17365D"/>
                <w:lang w:val="en-US"/>
              </w:rPr>
            </w:pPr>
            <w:r w:rsidRPr="00FA4FDA">
              <w:rPr>
                <w:rFonts w:ascii="Calibri" w:eastAsia="Batang" w:hAnsi="Calibri" w:cs="Calibri"/>
                <w:b/>
                <w:color w:val="17365D"/>
                <w:lang w:val="en-US"/>
              </w:rPr>
              <w:t>E</w:t>
            </w:r>
            <w:r w:rsidRPr="00FA4FDA">
              <w:rPr>
                <w:rFonts w:ascii="Calibri" w:hAnsi="Calibri" w:cs="Calibri"/>
                <w:b/>
                <w:color w:val="17365D"/>
                <w:lang w:val="en-US"/>
              </w:rPr>
              <w:t>xamples of environmental and social assessment and risk management approaches (used by either public or private institutions) that the review should take into consideration.</w:t>
            </w:r>
          </w:p>
        </w:tc>
      </w:tr>
      <w:tr w:rsidR="00A92455" w:rsidRPr="00FA4FDA" w:rsidTr="00231648">
        <w:tc>
          <w:tcPr>
            <w:tcW w:w="14400" w:type="dxa"/>
            <w:tcBorders>
              <w:top w:val="single" w:sz="4" w:space="0" w:color="auto"/>
              <w:left w:val="single" w:sz="4" w:space="0" w:color="auto"/>
              <w:bottom w:val="single" w:sz="4" w:space="0" w:color="auto"/>
              <w:right w:val="single" w:sz="4" w:space="0" w:color="auto"/>
            </w:tcBorders>
          </w:tcPr>
          <w:p w:rsidR="00A92455" w:rsidRPr="00231648" w:rsidRDefault="00F11FCF" w:rsidP="00EF16DA">
            <w:pPr>
              <w:pStyle w:val="ListParagraph"/>
              <w:numPr>
                <w:ilvl w:val="0"/>
                <w:numId w:val="35"/>
              </w:numPr>
              <w:spacing w:after="0" w:line="240" w:lineRule="auto"/>
              <w:ind w:left="360"/>
              <w:jc w:val="left"/>
              <w:rPr>
                <w:rFonts w:ascii="Calibri" w:hAnsi="Calibri" w:cs="Calibri"/>
                <w:bCs/>
                <w:sz w:val="22"/>
                <w:szCs w:val="22"/>
                <w:lang w:val="en-US"/>
              </w:rPr>
            </w:pPr>
            <w:r w:rsidRPr="00231648">
              <w:rPr>
                <w:rFonts w:ascii="Calibri" w:hAnsi="Calibri" w:cs="Calibri"/>
                <w:bCs/>
                <w:szCs w:val="22"/>
                <w:lang w:val="en-US"/>
              </w:rPr>
              <w:t>T</w:t>
            </w:r>
            <w:r w:rsidR="00A92455" w:rsidRPr="00231648">
              <w:rPr>
                <w:rFonts w:ascii="Calibri" w:hAnsi="Calibri" w:cs="Calibri"/>
                <w:bCs/>
                <w:szCs w:val="22"/>
                <w:lang w:val="en-US"/>
              </w:rPr>
              <w:t xml:space="preserve">he first law on environmental protection that was created in Romania drew on World Bank </w:t>
            </w:r>
            <w:r w:rsidRPr="00231648">
              <w:rPr>
                <w:rFonts w:ascii="Calibri" w:hAnsi="Calibri" w:cs="Calibri"/>
                <w:bCs/>
                <w:szCs w:val="22"/>
                <w:lang w:val="en-US"/>
              </w:rPr>
              <w:t>g</w:t>
            </w:r>
            <w:r w:rsidR="00A92455" w:rsidRPr="00231648">
              <w:rPr>
                <w:rFonts w:ascii="Calibri" w:hAnsi="Calibri" w:cs="Calibri"/>
                <w:bCs/>
                <w:szCs w:val="22"/>
                <w:lang w:val="en-US"/>
              </w:rPr>
              <w:t>uid</w:t>
            </w:r>
            <w:r w:rsidRPr="00231648">
              <w:rPr>
                <w:rFonts w:ascii="Calibri" w:hAnsi="Calibri" w:cs="Calibri"/>
                <w:bCs/>
                <w:szCs w:val="22"/>
                <w:lang w:val="en-US"/>
              </w:rPr>
              <w:t>ance</w:t>
            </w:r>
            <w:r w:rsidR="00A92455" w:rsidRPr="00231648">
              <w:rPr>
                <w:rFonts w:ascii="Calibri" w:hAnsi="Calibri" w:cs="Calibri"/>
                <w:bCs/>
                <w:szCs w:val="22"/>
                <w:lang w:val="en-US"/>
              </w:rPr>
              <w:t xml:space="preserve">, whereas the most recently revised version of the law has integrated the principles that are in effect in the European Union. </w:t>
            </w:r>
          </w:p>
          <w:p w:rsidR="00A92455" w:rsidRPr="00231648" w:rsidRDefault="00A92455" w:rsidP="00EF16DA">
            <w:pPr>
              <w:pStyle w:val="ListParagraph"/>
              <w:numPr>
                <w:ilvl w:val="0"/>
                <w:numId w:val="35"/>
              </w:numPr>
              <w:spacing w:after="0" w:line="240" w:lineRule="auto"/>
              <w:ind w:left="360"/>
              <w:jc w:val="left"/>
              <w:rPr>
                <w:rFonts w:ascii="Calibri" w:hAnsi="Calibri" w:cs="Calibri"/>
                <w:b/>
                <w:sz w:val="22"/>
                <w:szCs w:val="22"/>
                <w:lang w:val="en-US"/>
              </w:rPr>
            </w:pPr>
            <w:r w:rsidRPr="00231648">
              <w:rPr>
                <w:rFonts w:ascii="Calibri" w:hAnsi="Calibri" w:cs="Calibri"/>
                <w:bCs/>
                <w:szCs w:val="22"/>
                <w:lang w:val="en-US"/>
              </w:rPr>
              <w:t>Another example is law no. 304/2009, which has strict provisions regarding environmental aggression; however, these provisions are not enforced and breaches are not sanctioned. Under these circumstances, it is up to NGOs to create awareness about these issues on an international level but not even this initiative would help in the long run.</w:t>
            </w:r>
          </w:p>
          <w:p w:rsidR="00A92455" w:rsidRPr="00231648" w:rsidRDefault="00A92455" w:rsidP="00F11FCF">
            <w:pPr>
              <w:pStyle w:val="ListParagraph"/>
              <w:widowControl w:val="0"/>
              <w:numPr>
                <w:ilvl w:val="0"/>
                <w:numId w:val="35"/>
              </w:numPr>
              <w:suppressAutoHyphens w:val="0"/>
              <w:autoSpaceDE w:val="0"/>
              <w:autoSpaceDN w:val="0"/>
              <w:adjustRightInd w:val="0"/>
              <w:spacing w:after="0" w:line="240" w:lineRule="auto"/>
              <w:ind w:left="360"/>
              <w:jc w:val="left"/>
              <w:rPr>
                <w:rFonts w:ascii="Calibri" w:hAnsi="Calibri" w:cs="Calibri"/>
                <w:bCs/>
                <w:sz w:val="22"/>
                <w:szCs w:val="22"/>
                <w:lang w:val="en-US"/>
              </w:rPr>
            </w:pPr>
            <w:r w:rsidRPr="00231648">
              <w:rPr>
                <w:rFonts w:ascii="Calibri" w:hAnsi="Calibri" w:cs="Calibri"/>
                <w:b/>
                <w:szCs w:val="22"/>
                <w:lang w:val="en-US"/>
              </w:rPr>
              <w:t xml:space="preserve">Safeguards should be included in the strategic framework. </w:t>
            </w:r>
            <w:r w:rsidRPr="00231648">
              <w:rPr>
                <w:rFonts w:ascii="Calibri" w:hAnsi="Calibri" w:cs="Calibri"/>
                <w:bCs/>
                <w:szCs w:val="22"/>
                <w:lang w:val="en-US"/>
              </w:rPr>
              <w:t xml:space="preserve">Romania’s energy efficiency strategy (which is currently undergoing revision) in the energy production field should be subject to a thorough environmental impact analysis in the case of energy that is based on renewable sources –green energy. </w:t>
            </w:r>
          </w:p>
          <w:p w:rsidR="00A92455" w:rsidRPr="00231648" w:rsidRDefault="00A92455" w:rsidP="00F11FCF">
            <w:pPr>
              <w:pStyle w:val="ListParagraph"/>
              <w:widowControl w:val="0"/>
              <w:numPr>
                <w:ilvl w:val="0"/>
                <w:numId w:val="35"/>
              </w:numPr>
              <w:suppressAutoHyphens w:val="0"/>
              <w:autoSpaceDE w:val="0"/>
              <w:autoSpaceDN w:val="0"/>
              <w:adjustRightInd w:val="0"/>
              <w:spacing w:after="0" w:line="240" w:lineRule="auto"/>
              <w:ind w:left="360"/>
              <w:jc w:val="left"/>
              <w:rPr>
                <w:rFonts w:ascii="Calibri" w:hAnsi="Calibri" w:cs="Calibri"/>
                <w:bCs/>
                <w:sz w:val="22"/>
                <w:szCs w:val="22"/>
                <w:lang w:val="en-US"/>
              </w:rPr>
            </w:pPr>
            <w:r w:rsidRPr="00231648">
              <w:rPr>
                <w:rFonts w:ascii="Calibri" w:hAnsi="Calibri" w:cs="Calibri"/>
                <w:b/>
                <w:szCs w:val="22"/>
                <w:lang w:val="en-US"/>
              </w:rPr>
              <w:t>Green energy seems innocent at first sight</w:t>
            </w:r>
            <w:r w:rsidRPr="00231648">
              <w:rPr>
                <w:rFonts w:ascii="Calibri" w:hAnsi="Calibri" w:cs="Calibri"/>
                <w:bCs/>
                <w:szCs w:val="22"/>
                <w:lang w:val="en-US"/>
              </w:rPr>
              <w:t xml:space="preserve"> and the projects welcome but it may have a significant negative effect on the environment (e.g., micro-hydroelectric plants and other sources).</w:t>
            </w:r>
          </w:p>
          <w:p w:rsidR="00A92455" w:rsidRPr="00231648" w:rsidRDefault="00A92455" w:rsidP="00EF16DA">
            <w:pPr>
              <w:pStyle w:val="ListParagraph"/>
              <w:widowControl w:val="0"/>
              <w:numPr>
                <w:ilvl w:val="0"/>
                <w:numId w:val="35"/>
              </w:numPr>
              <w:suppressAutoHyphens w:val="0"/>
              <w:autoSpaceDE w:val="0"/>
              <w:autoSpaceDN w:val="0"/>
              <w:adjustRightInd w:val="0"/>
              <w:spacing w:after="0" w:line="240" w:lineRule="auto"/>
              <w:ind w:left="360"/>
              <w:jc w:val="left"/>
              <w:rPr>
                <w:rFonts w:ascii="Calibri" w:hAnsi="Calibri" w:cs="Calibri"/>
                <w:b/>
                <w:sz w:val="22"/>
                <w:szCs w:val="22"/>
                <w:lang w:val="en-US"/>
              </w:rPr>
            </w:pPr>
            <w:r w:rsidRPr="00231648">
              <w:rPr>
                <w:rFonts w:ascii="Calibri" w:hAnsi="Calibri" w:cs="Calibri"/>
                <w:b/>
                <w:szCs w:val="22"/>
                <w:lang w:val="en-US"/>
              </w:rPr>
              <w:lastRenderedPageBreak/>
              <w:t xml:space="preserve">There are contradictory reactions to environmental impact analyses and the request for environmental authorization. </w:t>
            </w:r>
            <w:r w:rsidRPr="00231648">
              <w:rPr>
                <w:rFonts w:ascii="Calibri" w:hAnsi="Calibri" w:cs="Calibri"/>
                <w:bCs/>
                <w:szCs w:val="22"/>
                <w:lang w:val="en-US"/>
              </w:rPr>
              <w:t>At present, authorization depends on where the EIA has been carried out</w:t>
            </w:r>
            <w:r w:rsidR="00F11FCF" w:rsidRPr="00231648">
              <w:rPr>
                <w:rFonts w:ascii="Calibri" w:hAnsi="Calibri" w:cs="Calibri"/>
                <w:bCs/>
                <w:szCs w:val="22"/>
                <w:lang w:val="en-US"/>
              </w:rPr>
              <w:t xml:space="preserve"> </w:t>
            </w:r>
            <w:r w:rsidR="00F11FCF" w:rsidRPr="00231648">
              <w:rPr>
                <w:rFonts w:ascii="Calibri" w:hAnsi="Calibri" w:cs="Calibri"/>
                <w:bCs/>
                <w:szCs w:val="22"/>
                <w:lang w:val="en-US"/>
              </w:rPr>
              <w:sym w:font="Symbol" w:char="F02D"/>
            </w:r>
            <w:r w:rsidRPr="00231648">
              <w:rPr>
                <w:rFonts w:ascii="Calibri" w:hAnsi="Calibri" w:cs="Calibri"/>
                <w:bCs/>
                <w:szCs w:val="22"/>
                <w:lang w:val="en-US"/>
              </w:rPr>
              <w:t xml:space="preserve"> </w:t>
            </w:r>
            <w:proofErr w:type="gramStart"/>
            <w:r w:rsidR="00F11FCF" w:rsidRPr="00231648">
              <w:rPr>
                <w:rFonts w:ascii="Calibri" w:hAnsi="Calibri" w:cs="Calibri"/>
                <w:bCs/>
                <w:szCs w:val="22"/>
                <w:lang w:val="en-US"/>
              </w:rPr>
              <w:t>I</w:t>
            </w:r>
            <w:r w:rsidRPr="00231648">
              <w:rPr>
                <w:rFonts w:ascii="Calibri" w:hAnsi="Calibri" w:cs="Calibri"/>
                <w:bCs/>
                <w:szCs w:val="22"/>
                <w:lang w:val="en-US"/>
              </w:rPr>
              <w:t>f</w:t>
            </w:r>
            <w:proofErr w:type="gramEnd"/>
            <w:r w:rsidRPr="00231648">
              <w:rPr>
                <w:rFonts w:ascii="Calibri" w:hAnsi="Calibri" w:cs="Calibri"/>
                <w:bCs/>
                <w:szCs w:val="22"/>
                <w:lang w:val="en-US"/>
              </w:rPr>
              <w:t xml:space="preserve"> the analysis is submitted to the Ministry of the Economy, the authorization document is issued, whereas if the analysis is submitted to the Ministry of the Environment, the request for authorization is denied. </w:t>
            </w:r>
          </w:p>
          <w:p w:rsidR="00A92455" w:rsidRPr="00231648" w:rsidRDefault="00A92455" w:rsidP="00231648">
            <w:pPr>
              <w:pStyle w:val="ListParagraph"/>
              <w:widowControl w:val="0"/>
              <w:numPr>
                <w:ilvl w:val="0"/>
                <w:numId w:val="35"/>
              </w:numPr>
              <w:suppressAutoHyphens w:val="0"/>
              <w:autoSpaceDE w:val="0"/>
              <w:autoSpaceDN w:val="0"/>
              <w:adjustRightInd w:val="0"/>
              <w:spacing w:after="0" w:line="240" w:lineRule="auto"/>
              <w:ind w:left="360"/>
              <w:jc w:val="left"/>
              <w:rPr>
                <w:rFonts w:ascii="Calibri" w:hAnsi="Calibri" w:cs="Calibri"/>
                <w:b/>
                <w:sz w:val="22"/>
                <w:szCs w:val="22"/>
                <w:lang w:val="en-US"/>
              </w:rPr>
            </w:pPr>
            <w:r w:rsidRPr="00231648">
              <w:rPr>
                <w:rFonts w:ascii="Calibri" w:hAnsi="Calibri" w:cs="Calibri"/>
                <w:b/>
                <w:szCs w:val="22"/>
                <w:lang w:val="en-US"/>
              </w:rPr>
              <w:t>A change in approach is needed.</w:t>
            </w:r>
            <w:r w:rsidRPr="00231648">
              <w:rPr>
                <w:rFonts w:ascii="Calibri" w:hAnsi="Calibri" w:cs="Calibri"/>
                <w:bCs/>
                <w:szCs w:val="22"/>
                <w:lang w:val="en-US"/>
              </w:rPr>
              <w:t xml:space="preserve"> </w:t>
            </w:r>
            <w:r w:rsidR="00C377ED">
              <w:rPr>
                <w:rFonts w:ascii="Calibri" w:hAnsi="Calibri" w:cs="Calibri"/>
                <w:bCs/>
                <w:szCs w:val="22"/>
                <w:lang w:val="en-US"/>
              </w:rPr>
              <w:t>P</w:t>
            </w:r>
            <w:r w:rsidRPr="00231648">
              <w:rPr>
                <w:rFonts w:ascii="Calibri" w:hAnsi="Calibri" w:cs="Calibri"/>
                <w:bCs/>
                <w:szCs w:val="22"/>
                <w:lang w:val="en-US"/>
              </w:rPr>
              <w:t xml:space="preserve">rinciples of inclusion </w:t>
            </w:r>
            <w:r w:rsidR="00C377ED">
              <w:rPr>
                <w:rFonts w:ascii="Calibri" w:hAnsi="Calibri" w:cs="Calibri"/>
                <w:bCs/>
                <w:szCs w:val="22"/>
                <w:lang w:val="en-US"/>
              </w:rPr>
              <w:t xml:space="preserve">should be promoted </w:t>
            </w:r>
            <w:r w:rsidRPr="00231648">
              <w:rPr>
                <w:rFonts w:ascii="Calibri" w:hAnsi="Calibri" w:cs="Calibri"/>
                <w:bCs/>
                <w:szCs w:val="22"/>
                <w:lang w:val="en-US"/>
              </w:rPr>
              <w:t xml:space="preserve">by means of social safeguard policies. Safeguard policies regarding disabled people should focus on family and social integration, which implies a more diverse and widespread infrastructure and, of course, different costs than those entailed by an institutionalized infrastructure that has only led to the isolation of the disabled from their families, the community and society, in general. </w:t>
            </w:r>
          </w:p>
        </w:tc>
      </w:tr>
      <w:tr w:rsidR="00A92455" w:rsidRPr="00FA4FDA" w:rsidTr="00231648">
        <w:tc>
          <w:tcPr>
            <w:tcW w:w="14400" w:type="dxa"/>
            <w:tcBorders>
              <w:top w:val="single" w:sz="4" w:space="0" w:color="auto"/>
              <w:left w:val="single" w:sz="4" w:space="0" w:color="auto"/>
              <w:bottom w:val="single" w:sz="4" w:space="0" w:color="auto"/>
              <w:right w:val="single" w:sz="4" w:space="0" w:color="auto"/>
            </w:tcBorders>
            <w:shd w:val="clear" w:color="auto" w:fill="DBE5F1"/>
          </w:tcPr>
          <w:p w:rsidR="00A92455" w:rsidRPr="00EF16DA" w:rsidRDefault="00A92455" w:rsidP="00EF16DA">
            <w:pPr>
              <w:pStyle w:val="ListParagraph"/>
              <w:numPr>
                <w:ilvl w:val="0"/>
                <w:numId w:val="34"/>
              </w:numPr>
              <w:suppressAutoHyphens w:val="0"/>
              <w:spacing w:after="0" w:line="240" w:lineRule="auto"/>
              <w:ind w:left="360"/>
              <w:jc w:val="left"/>
              <w:rPr>
                <w:rFonts w:ascii="Calibri" w:hAnsi="Calibri"/>
                <w:lang w:val="en-US"/>
              </w:rPr>
            </w:pPr>
            <w:r w:rsidRPr="00F643E5">
              <w:rPr>
                <w:rFonts w:ascii="Calibri" w:hAnsi="Calibri" w:cs="Calibri"/>
                <w:b/>
                <w:color w:val="17365D"/>
                <w:lang w:val="en-US"/>
              </w:rPr>
              <w:lastRenderedPageBreak/>
              <w:t>Recommendations with respect to any of the emerging areas described in the paper (i.e., disabilities; labor and occupational health and safety; human rights, land tenure and natural resources; free, prior and informed consent of indigenous peoples; gender; and climate change).</w:t>
            </w:r>
            <w:r w:rsidRPr="00F643E5">
              <w:rPr>
                <w:rFonts w:ascii="Calibri" w:hAnsi="Calibri"/>
                <w:sz w:val="22"/>
                <w:lang w:val="en-US"/>
              </w:rPr>
              <w:t xml:space="preserve"> </w:t>
            </w:r>
          </w:p>
        </w:tc>
      </w:tr>
      <w:tr w:rsidR="00A92455" w:rsidRPr="00FA4FDA" w:rsidTr="00231648">
        <w:tc>
          <w:tcPr>
            <w:tcW w:w="14400" w:type="dxa"/>
            <w:tcBorders>
              <w:top w:val="single" w:sz="4" w:space="0" w:color="auto"/>
              <w:left w:val="single" w:sz="4" w:space="0" w:color="auto"/>
              <w:bottom w:val="single" w:sz="4" w:space="0" w:color="auto"/>
              <w:right w:val="single" w:sz="4" w:space="0" w:color="auto"/>
            </w:tcBorders>
          </w:tcPr>
          <w:p w:rsidR="00A92455" w:rsidRPr="00231648" w:rsidRDefault="00C377ED" w:rsidP="00EF16DA">
            <w:pPr>
              <w:pStyle w:val="ListParagraph"/>
              <w:widowControl w:val="0"/>
              <w:numPr>
                <w:ilvl w:val="0"/>
                <w:numId w:val="35"/>
              </w:numPr>
              <w:suppressAutoHyphens w:val="0"/>
              <w:autoSpaceDE w:val="0"/>
              <w:autoSpaceDN w:val="0"/>
              <w:adjustRightInd w:val="0"/>
              <w:spacing w:after="0" w:line="240" w:lineRule="auto"/>
              <w:ind w:left="360"/>
              <w:jc w:val="left"/>
              <w:rPr>
                <w:rFonts w:ascii="Calibri" w:hAnsi="Calibri" w:cs="Calibri"/>
                <w:bCs/>
                <w:sz w:val="22"/>
                <w:szCs w:val="22"/>
                <w:lang w:val="en-US"/>
              </w:rPr>
            </w:pPr>
            <w:r>
              <w:rPr>
                <w:rFonts w:ascii="Calibri" w:hAnsi="Calibri" w:cs="Calibri"/>
                <w:bCs/>
                <w:szCs w:val="22"/>
                <w:lang w:val="en-US"/>
              </w:rPr>
              <w:t>S</w:t>
            </w:r>
            <w:r w:rsidR="00A92455" w:rsidRPr="00231648">
              <w:rPr>
                <w:rFonts w:ascii="Calibri" w:hAnsi="Calibri" w:cs="Calibri"/>
                <w:bCs/>
                <w:szCs w:val="22"/>
                <w:lang w:val="en-US"/>
              </w:rPr>
              <w:t xml:space="preserve">ustainability of safeguard policies </w:t>
            </w:r>
            <w:r>
              <w:rPr>
                <w:rFonts w:ascii="Calibri" w:hAnsi="Calibri" w:cs="Calibri"/>
                <w:bCs/>
                <w:szCs w:val="22"/>
                <w:lang w:val="en-US"/>
              </w:rPr>
              <w:t xml:space="preserve">should be followed up on </w:t>
            </w:r>
            <w:r w:rsidR="00A92455" w:rsidRPr="00231648">
              <w:rPr>
                <w:rFonts w:ascii="Calibri" w:hAnsi="Calibri" w:cs="Calibri"/>
                <w:bCs/>
                <w:szCs w:val="22"/>
                <w:lang w:val="en-US"/>
              </w:rPr>
              <w:t xml:space="preserve">once the project has been carried out and also during the public procurement process for works contracts, etc. due to the fact that sustainability is affected by the creation of new institutions or new management teams which may share a different vision or have no vision at all. </w:t>
            </w:r>
          </w:p>
          <w:p w:rsidR="00A92455" w:rsidRPr="00231648" w:rsidRDefault="00C377ED" w:rsidP="00C377ED">
            <w:pPr>
              <w:pStyle w:val="ListParagraph"/>
              <w:widowControl w:val="0"/>
              <w:numPr>
                <w:ilvl w:val="0"/>
                <w:numId w:val="35"/>
              </w:numPr>
              <w:suppressAutoHyphens w:val="0"/>
              <w:autoSpaceDE w:val="0"/>
              <w:autoSpaceDN w:val="0"/>
              <w:adjustRightInd w:val="0"/>
              <w:spacing w:after="0" w:line="240" w:lineRule="auto"/>
              <w:ind w:left="360"/>
              <w:jc w:val="left"/>
              <w:rPr>
                <w:rFonts w:ascii="Calibri" w:hAnsi="Calibri" w:cs="Calibri"/>
                <w:bCs/>
                <w:sz w:val="22"/>
                <w:szCs w:val="22"/>
                <w:lang w:val="en-US"/>
              </w:rPr>
            </w:pPr>
            <w:r>
              <w:rPr>
                <w:rFonts w:ascii="Calibri" w:hAnsi="Calibri" w:cs="Calibri"/>
                <w:bCs/>
                <w:szCs w:val="22"/>
                <w:lang w:val="en-US"/>
              </w:rPr>
              <w:t>T</w:t>
            </w:r>
            <w:r w:rsidR="00A92455" w:rsidRPr="00231648">
              <w:rPr>
                <w:rFonts w:ascii="Calibri" w:hAnsi="Calibri" w:cs="Calibri"/>
                <w:bCs/>
                <w:szCs w:val="22"/>
                <w:lang w:val="en-US"/>
              </w:rPr>
              <w:t xml:space="preserve">he </w:t>
            </w:r>
            <w:r>
              <w:rPr>
                <w:rFonts w:ascii="Calibri" w:hAnsi="Calibri" w:cs="Calibri"/>
                <w:bCs/>
                <w:szCs w:val="22"/>
                <w:lang w:val="en-US"/>
              </w:rPr>
              <w:t xml:space="preserve">safeguard policy </w:t>
            </w:r>
            <w:r w:rsidR="00A92455" w:rsidRPr="00231648">
              <w:rPr>
                <w:rFonts w:ascii="Calibri" w:hAnsi="Calibri" w:cs="Calibri"/>
                <w:bCs/>
                <w:szCs w:val="22"/>
                <w:lang w:val="en-US"/>
              </w:rPr>
              <w:t xml:space="preserve">requirements </w:t>
            </w:r>
            <w:r>
              <w:rPr>
                <w:rFonts w:ascii="Calibri" w:hAnsi="Calibri" w:cs="Calibri"/>
                <w:bCs/>
                <w:szCs w:val="22"/>
                <w:lang w:val="en-US"/>
              </w:rPr>
              <w:t xml:space="preserve">should be matched </w:t>
            </w:r>
            <w:r w:rsidR="00A92455" w:rsidRPr="00231648">
              <w:rPr>
                <w:rFonts w:ascii="Calibri" w:hAnsi="Calibri" w:cs="Calibri"/>
                <w:bCs/>
                <w:szCs w:val="22"/>
                <w:lang w:val="en-US"/>
              </w:rPr>
              <w:t xml:space="preserve">with the indicators that are used to assess the performance achieved during </w:t>
            </w:r>
            <w:r>
              <w:rPr>
                <w:rFonts w:ascii="Calibri" w:hAnsi="Calibri" w:cs="Calibri"/>
                <w:bCs/>
                <w:szCs w:val="22"/>
                <w:lang w:val="en-US"/>
              </w:rPr>
              <w:t xml:space="preserve">safeguard </w:t>
            </w:r>
            <w:r w:rsidR="00A92455" w:rsidRPr="00231648">
              <w:rPr>
                <w:rFonts w:ascii="Calibri" w:hAnsi="Calibri" w:cs="Calibri"/>
                <w:bCs/>
                <w:szCs w:val="22"/>
                <w:lang w:val="en-US"/>
              </w:rPr>
              <w:t xml:space="preserve">implementation and also later, during the stages </w:t>
            </w:r>
            <w:r>
              <w:rPr>
                <w:rFonts w:ascii="Calibri" w:hAnsi="Calibri" w:cs="Calibri"/>
                <w:bCs/>
                <w:szCs w:val="22"/>
                <w:lang w:val="en-US"/>
              </w:rPr>
              <w:t xml:space="preserve">when </w:t>
            </w:r>
            <w:r w:rsidR="00A92455" w:rsidRPr="00231648">
              <w:rPr>
                <w:rFonts w:ascii="Calibri" w:hAnsi="Calibri" w:cs="Calibri"/>
                <w:bCs/>
                <w:szCs w:val="22"/>
                <w:lang w:val="en-US"/>
              </w:rPr>
              <w:t xml:space="preserve">operations </w:t>
            </w:r>
            <w:r>
              <w:rPr>
                <w:rFonts w:ascii="Calibri" w:hAnsi="Calibri" w:cs="Calibri"/>
                <w:bCs/>
                <w:szCs w:val="22"/>
                <w:lang w:val="en-US"/>
              </w:rPr>
              <w:t xml:space="preserve">and project results </w:t>
            </w:r>
            <w:r w:rsidR="00A92455" w:rsidRPr="00231648">
              <w:rPr>
                <w:rFonts w:ascii="Calibri" w:hAnsi="Calibri" w:cs="Calibri"/>
                <w:bCs/>
                <w:szCs w:val="22"/>
                <w:lang w:val="en-US"/>
              </w:rPr>
              <w:t xml:space="preserve">are monitored. </w:t>
            </w:r>
          </w:p>
          <w:p w:rsidR="00A92455" w:rsidRPr="00231648" w:rsidRDefault="00A92455" w:rsidP="00EF16DA">
            <w:pPr>
              <w:pStyle w:val="ListParagraph"/>
              <w:widowControl w:val="0"/>
              <w:numPr>
                <w:ilvl w:val="0"/>
                <w:numId w:val="35"/>
              </w:numPr>
              <w:suppressAutoHyphens w:val="0"/>
              <w:autoSpaceDE w:val="0"/>
              <w:autoSpaceDN w:val="0"/>
              <w:adjustRightInd w:val="0"/>
              <w:spacing w:after="0" w:line="240" w:lineRule="auto"/>
              <w:ind w:left="360"/>
              <w:jc w:val="left"/>
              <w:rPr>
                <w:rFonts w:ascii="Calibri" w:hAnsi="Calibri" w:cs="Calibri"/>
                <w:bCs/>
                <w:sz w:val="22"/>
                <w:szCs w:val="22"/>
                <w:lang w:val="en-US"/>
              </w:rPr>
            </w:pPr>
            <w:r w:rsidRPr="00231648">
              <w:rPr>
                <w:rFonts w:ascii="Calibri" w:hAnsi="Calibri" w:cs="Calibri"/>
                <w:bCs/>
                <w:szCs w:val="22"/>
                <w:lang w:val="en-US"/>
              </w:rPr>
              <w:t xml:space="preserve">With respect to introducing safeguard policies in the field of climate change, it must be known that this is obviously a horizontal theme that cuts across all existing safeguard policies. </w:t>
            </w:r>
          </w:p>
          <w:p w:rsidR="00A92455" w:rsidRPr="00231648" w:rsidRDefault="00A92455" w:rsidP="007F641E">
            <w:pPr>
              <w:pStyle w:val="ListParagraph"/>
              <w:widowControl w:val="0"/>
              <w:numPr>
                <w:ilvl w:val="0"/>
                <w:numId w:val="35"/>
              </w:numPr>
              <w:suppressAutoHyphens w:val="0"/>
              <w:autoSpaceDE w:val="0"/>
              <w:autoSpaceDN w:val="0"/>
              <w:adjustRightInd w:val="0"/>
              <w:spacing w:after="0" w:line="240" w:lineRule="auto"/>
              <w:ind w:left="360"/>
              <w:jc w:val="left"/>
              <w:rPr>
                <w:rFonts w:ascii="Calibri" w:hAnsi="Calibri" w:cs="Calibri"/>
                <w:bCs/>
                <w:sz w:val="22"/>
                <w:szCs w:val="22"/>
                <w:lang w:val="en-US"/>
              </w:rPr>
            </w:pPr>
            <w:r w:rsidRPr="00231648">
              <w:rPr>
                <w:rFonts w:ascii="Calibri" w:hAnsi="Calibri" w:cs="Calibri"/>
                <w:bCs/>
                <w:szCs w:val="22"/>
                <w:lang w:val="en-US"/>
              </w:rPr>
              <w:t xml:space="preserve">The Bank should maintain interest in ecological education and the training of shareholders and stakeholders regarding safeguard policies, as such policies are often known to stakeholders only on a rhetorical level or in a general sense and </w:t>
            </w:r>
            <w:r w:rsidR="007F641E">
              <w:rPr>
                <w:rFonts w:ascii="Calibri" w:hAnsi="Calibri" w:cs="Calibri"/>
                <w:bCs/>
                <w:szCs w:val="22"/>
                <w:lang w:val="en-US"/>
              </w:rPr>
              <w:t xml:space="preserve">the </w:t>
            </w:r>
            <w:r w:rsidRPr="00231648">
              <w:rPr>
                <w:rFonts w:ascii="Calibri" w:hAnsi="Calibri" w:cs="Calibri"/>
                <w:bCs/>
                <w:szCs w:val="22"/>
                <w:lang w:val="en-US"/>
              </w:rPr>
              <w:t xml:space="preserve">interest </w:t>
            </w:r>
            <w:r w:rsidR="007F641E">
              <w:rPr>
                <w:rFonts w:ascii="Calibri" w:hAnsi="Calibri" w:cs="Calibri"/>
                <w:bCs/>
                <w:szCs w:val="22"/>
                <w:lang w:val="en-US"/>
              </w:rPr>
              <w:t xml:space="preserve">that </w:t>
            </w:r>
            <w:r w:rsidRPr="00231648">
              <w:rPr>
                <w:rFonts w:ascii="Calibri" w:hAnsi="Calibri" w:cs="Calibri"/>
                <w:bCs/>
                <w:szCs w:val="22"/>
                <w:lang w:val="en-US"/>
              </w:rPr>
              <w:t>shareholders express with respect to such policies is often inauthentic</w:t>
            </w:r>
            <w:r w:rsidR="007F641E">
              <w:rPr>
                <w:rFonts w:ascii="Calibri" w:hAnsi="Calibri" w:cs="Calibri"/>
                <w:bCs/>
                <w:szCs w:val="22"/>
                <w:lang w:val="en-US"/>
              </w:rPr>
              <w:t>.</w:t>
            </w:r>
          </w:p>
          <w:p w:rsidR="00A92455" w:rsidRPr="00231648" w:rsidRDefault="00A92455" w:rsidP="00EF16DA">
            <w:pPr>
              <w:pStyle w:val="ListParagraph"/>
              <w:widowControl w:val="0"/>
              <w:numPr>
                <w:ilvl w:val="0"/>
                <w:numId w:val="35"/>
              </w:numPr>
              <w:suppressAutoHyphens w:val="0"/>
              <w:autoSpaceDE w:val="0"/>
              <w:autoSpaceDN w:val="0"/>
              <w:adjustRightInd w:val="0"/>
              <w:spacing w:after="0" w:line="240" w:lineRule="auto"/>
              <w:ind w:left="360"/>
              <w:jc w:val="left"/>
              <w:rPr>
                <w:rFonts w:ascii="Calibri" w:hAnsi="Calibri" w:cs="Calibri"/>
                <w:bCs/>
                <w:sz w:val="22"/>
                <w:szCs w:val="22"/>
                <w:lang w:val="en-US"/>
              </w:rPr>
            </w:pPr>
            <w:r w:rsidRPr="00231648">
              <w:rPr>
                <w:rFonts w:ascii="Calibri" w:hAnsi="Calibri" w:cs="Calibri"/>
                <w:bCs/>
                <w:szCs w:val="22"/>
                <w:lang w:val="en-US"/>
              </w:rPr>
              <w:t xml:space="preserve">Resource exhaustion should be a new field that safeguard policies should be developed for, especially where the issue of waste is concerned. </w:t>
            </w:r>
          </w:p>
          <w:p w:rsidR="00A92455" w:rsidRPr="00231648" w:rsidRDefault="00A92455" w:rsidP="007F641E">
            <w:pPr>
              <w:pStyle w:val="ListParagraph"/>
              <w:widowControl w:val="0"/>
              <w:numPr>
                <w:ilvl w:val="0"/>
                <w:numId w:val="35"/>
              </w:numPr>
              <w:suppressAutoHyphens w:val="0"/>
              <w:autoSpaceDE w:val="0"/>
              <w:autoSpaceDN w:val="0"/>
              <w:adjustRightInd w:val="0"/>
              <w:spacing w:after="0" w:line="240" w:lineRule="auto"/>
              <w:ind w:left="360"/>
              <w:jc w:val="left"/>
              <w:rPr>
                <w:rFonts w:ascii="Calibri" w:hAnsi="Calibri" w:cs="Calibri"/>
                <w:bCs/>
                <w:sz w:val="22"/>
                <w:szCs w:val="22"/>
                <w:lang w:val="en-US"/>
              </w:rPr>
            </w:pPr>
            <w:r w:rsidRPr="00231648">
              <w:rPr>
                <w:rFonts w:ascii="Calibri" w:hAnsi="Calibri" w:cs="Calibri"/>
                <w:bCs/>
                <w:szCs w:val="22"/>
                <w:lang w:val="en-US"/>
              </w:rPr>
              <w:t>The Bank should constrain the government to educat</w:t>
            </w:r>
            <w:r w:rsidR="007F641E">
              <w:rPr>
                <w:rFonts w:ascii="Calibri" w:hAnsi="Calibri" w:cs="Calibri"/>
                <w:bCs/>
                <w:szCs w:val="22"/>
                <w:lang w:val="en-US"/>
              </w:rPr>
              <w:t>e</w:t>
            </w:r>
            <w:r w:rsidRPr="00231648">
              <w:rPr>
                <w:rFonts w:ascii="Calibri" w:hAnsi="Calibri" w:cs="Calibri"/>
                <w:bCs/>
                <w:szCs w:val="22"/>
                <w:lang w:val="en-US"/>
              </w:rPr>
              <w:t xml:space="preserve"> the population that is </w:t>
            </w:r>
            <w:r w:rsidR="007F641E">
              <w:rPr>
                <w:rFonts w:ascii="Calibri" w:hAnsi="Calibri" w:cs="Calibri"/>
                <w:bCs/>
                <w:szCs w:val="22"/>
                <w:lang w:val="en-US"/>
              </w:rPr>
              <w:t>“</w:t>
            </w:r>
            <w:r w:rsidRPr="00231648">
              <w:rPr>
                <w:rFonts w:ascii="Calibri" w:hAnsi="Calibri" w:cs="Calibri"/>
                <w:bCs/>
                <w:szCs w:val="22"/>
                <w:lang w:val="en-US"/>
              </w:rPr>
              <w:t>not interested”, i.e., ordinary citizens who damage the environment the most (cutting trees, domestic waste in rural areas, etc.).</w:t>
            </w:r>
          </w:p>
          <w:p w:rsidR="00A92455" w:rsidRPr="00231648" w:rsidRDefault="00A92455" w:rsidP="00EF16DA">
            <w:pPr>
              <w:pStyle w:val="ListParagraph"/>
              <w:widowControl w:val="0"/>
              <w:numPr>
                <w:ilvl w:val="0"/>
                <w:numId w:val="35"/>
              </w:numPr>
              <w:suppressAutoHyphens w:val="0"/>
              <w:autoSpaceDE w:val="0"/>
              <w:autoSpaceDN w:val="0"/>
              <w:adjustRightInd w:val="0"/>
              <w:spacing w:after="0" w:line="240" w:lineRule="auto"/>
              <w:ind w:left="360"/>
              <w:jc w:val="left"/>
              <w:rPr>
                <w:rFonts w:ascii="Calibri" w:hAnsi="Calibri" w:cs="Calibri"/>
                <w:bCs/>
                <w:sz w:val="22"/>
                <w:szCs w:val="22"/>
                <w:lang w:val="en-US"/>
              </w:rPr>
            </w:pPr>
            <w:r w:rsidRPr="00231648">
              <w:rPr>
                <w:rFonts w:ascii="Calibri" w:hAnsi="Calibri" w:cs="Calibri"/>
                <w:bCs/>
                <w:szCs w:val="22"/>
                <w:lang w:val="en-US"/>
              </w:rPr>
              <w:t xml:space="preserve">The sustainability of safeguard policies is jeopardized in cases of natural disasters, which makes it necessary to take appropriate measures in order to prevent such disasters. </w:t>
            </w:r>
          </w:p>
          <w:p w:rsidR="00A92455" w:rsidRPr="00231648" w:rsidRDefault="00A92455" w:rsidP="00EF16DA">
            <w:pPr>
              <w:pStyle w:val="ListParagraph"/>
              <w:widowControl w:val="0"/>
              <w:numPr>
                <w:ilvl w:val="0"/>
                <w:numId w:val="35"/>
              </w:numPr>
              <w:suppressAutoHyphens w:val="0"/>
              <w:autoSpaceDE w:val="0"/>
              <w:autoSpaceDN w:val="0"/>
              <w:adjustRightInd w:val="0"/>
              <w:spacing w:after="0" w:line="240" w:lineRule="auto"/>
              <w:ind w:left="360"/>
              <w:jc w:val="left"/>
              <w:rPr>
                <w:rFonts w:ascii="Calibri" w:hAnsi="Calibri" w:cs="Calibri"/>
                <w:bCs/>
                <w:sz w:val="22"/>
                <w:szCs w:val="22"/>
                <w:lang w:val="en-US"/>
              </w:rPr>
            </w:pPr>
            <w:r w:rsidRPr="00231648">
              <w:rPr>
                <w:rFonts w:ascii="Calibri" w:hAnsi="Calibri" w:cs="Calibri"/>
                <w:bCs/>
                <w:szCs w:val="22"/>
                <w:lang w:val="en-US"/>
              </w:rPr>
              <w:t xml:space="preserve">Safeguard policies should continue to be applied and enforced, and their results should be maintained. When management teams in public institutions and communities (local public authorities) change, continuity and sustainability come under question. </w:t>
            </w:r>
          </w:p>
          <w:p w:rsidR="00A92455" w:rsidRPr="00231648" w:rsidRDefault="00A92455" w:rsidP="007F641E">
            <w:pPr>
              <w:pStyle w:val="ListParagraph"/>
              <w:widowControl w:val="0"/>
              <w:numPr>
                <w:ilvl w:val="0"/>
                <w:numId w:val="35"/>
              </w:numPr>
              <w:suppressAutoHyphens w:val="0"/>
              <w:autoSpaceDE w:val="0"/>
              <w:autoSpaceDN w:val="0"/>
              <w:adjustRightInd w:val="0"/>
              <w:spacing w:after="0" w:line="240" w:lineRule="auto"/>
              <w:ind w:left="360"/>
              <w:jc w:val="left"/>
              <w:rPr>
                <w:rFonts w:ascii="Calibri" w:hAnsi="Calibri" w:cs="Calibri"/>
                <w:bCs/>
                <w:sz w:val="22"/>
                <w:szCs w:val="22"/>
                <w:lang w:val="en-US"/>
              </w:rPr>
            </w:pPr>
            <w:r w:rsidRPr="00231648">
              <w:rPr>
                <w:rFonts w:ascii="Calibri" w:hAnsi="Calibri" w:cs="Calibri"/>
                <w:bCs/>
                <w:szCs w:val="22"/>
                <w:lang w:val="en-US"/>
              </w:rPr>
              <w:t xml:space="preserve">The revised strategy </w:t>
            </w:r>
            <w:r w:rsidR="007F641E">
              <w:rPr>
                <w:rFonts w:ascii="Calibri" w:hAnsi="Calibri" w:cs="Calibri"/>
                <w:bCs/>
                <w:szCs w:val="22"/>
                <w:lang w:val="en-US"/>
              </w:rPr>
              <w:t xml:space="preserve">for </w:t>
            </w:r>
            <w:r w:rsidRPr="00231648">
              <w:rPr>
                <w:rFonts w:ascii="Calibri" w:hAnsi="Calibri" w:cs="Calibri"/>
                <w:bCs/>
                <w:szCs w:val="22"/>
                <w:lang w:val="en-US"/>
              </w:rPr>
              <w:t>energy production should be subjected to a thorough EIA where energy based on renewable re/sources is concerned, as it may have a significant negative effect on the environment (e.g., micro-hydroelectric plants, wind farmers etc.).</w:t>
            </w:r>
          </w:p>
          <w:p w:rsidR="00A92455" w:rsidRPr="00231648" w:rsidRDefault="00A92455" w:rsidP="008F3F17">
            <w:pPr>
              <w:pStyle w:val="ListParagraph"/>
              <w:widowControl w:val="0"/>
              <w:numPr>
                <w:ilvl w:val="0"/>
                <w:numId w:val="35"/>
              </w:numPr>
              <w:suppressAutoHyphens w:val="0"/>
              <w:autoSpaceDE w:val="0"/>
              <w:autoSpaceDN w:val="0"/>
              <w:adjustRightInd w:val="0"/>
              <w:spacing w:after="0" w:line="240" w:lineRule="auto"/>
              <w:ind w:left="360"/>
              <w:jc w:val="left"/>
              <w:rPr>
                <w:rFonts w:ascii="Calibri" w:hAnsi="Calibri" w:cs="Calibri"/>
                <w:bCs/>
                <w:sz w:val="22"/>
                <w:szCs w:val="22"/>
                <w:lang w:val="en-US"/>
              </w:rPr>
            </w:pPr>
            <w:r w:rsidRPr="00231648">
              <w:rPr>
                <w:rFonts w:ascii="Calibri" w:hAnsi="Calibri" w:cs="Calibri"/>
                <w:bCs/>
                <w:szCs w:val="22"/>
                <w:lang w:val="en-US"/>
              </w:rPr>
              <w:t xml:space="preserve">In-depth enforcement of safeguard </w:t>
            </w:r>
            <w:r w:rsidR="007F641E">
              <w:rPr>
                <w:rFonts w:ascii="Calibri" w:hAnsi="Calibri" w:cs="Calibri"/>
                <w:bCs/>
                <w:szCs w:val="22"/>
                <w:lang w:val="en-US"/>
              </w:rPr>
              <w:t>policy principles</w:t>
            </w:r>
            <w:r w:rsidRPr="00231648">
              <w:rPr>
                <w:rFonts w:ascii="Calibri" w:hAnsi="Calibri" w:cs="Calibri"/>
                <w:bCs/>
                <w:szCs w:val="22"/>
                <w:lang w:val="en-US"/>
              </w:rPr>
              <w:t xml:space="preserve"> </w:t>
            </w:r>
            <w:r w:rsidR="007F641E">
              <w:rPr>
                <w:rFonts w:ascii="Calibri" w:hAnsi="Calibri" w:cs="Calibri"/>
                <w:bCs/>
                <w:szCs w:val="22"/>
                <w:lang w:val="en-US"/>
              </w:rPr>
              <w:t xml:space="preserve">is needed, through </w:t>
            </w:r>
            <w:r w:rsidRPr="00231648">
              <w:rPr>
                <w:rFonts w:ascii="Calibri" w:hAnsi="Calibri" w:cs="Calibri"/>
                <w:bCs/>
                <w:szCs w:val="22"/>
                <w:lang w:val="en-US"/>
              </w:rPr>
              <w:t>develop</w:t>
            </w:r>
            <w:r w:rsidR="007F641E">
              <w:rPr>
                <w:rFonts w:ascii="Calibri" w:hAnsi="Calibri" w:cs="Calibri"/>
                <w:bCs/>
                <w:szCs w:val="22"/>
                <w:lang w:val="en-US"/>
              </w:rPr>
              <w:t>ment of</w:t>
            </w:r>
            <w:r w:rsidRPr="00231648">
              <w:rPr>
                <w:rFonts w:ascii="Calibri" w:hAnsi="Calibri" w:cs="Calibri"/>
                <w:bCs/>
                <w:szCs w:val="22"/>
                <w:lang w:val="en-US"/>
              </w:rPr>
              <w:t xml:space="preserve"> </w:t>
            </w:r>
            <w:r w:rsidR="007F641E">
              <w:rPr>
                <w:rFonts w:ascii="Calibri" w:hAnsi="Calibri" w:cs="Calibri"/>
                <w:bCs/>
                <w:szCs w:val="22"/>
                <w:lang w:val="en-US"/>
              </w:rPr>
              <w:t>t</w:t>
            </w:r>
            <w:r w:rsidRPr="00231648">
              <w:rPr>
                <w:rFonts w:ascii="Calibri" w:hAnsi="Calibri" w:cs="Calibri"/>
                <w:bCs/>
                <w:szCs w:val="22"/>
                <w:lang w:val="en-US"/>
              </w:rPr>
              <w:t xml:space="preserve">echnical </w:t>
            </w:r>
            <w:r w:rsidR="007F641E">
              <w:rPr>
                <w:rFonts w:ascii="Calibri" w:hAnsi="Calibri" w:cs="Calibri"/>
                <w:bCs/>
                <w:szCs w:val="22"/>
                <w:lang w:val="en-US"/>
              </w:rPr>
              <w:t>g</w:t>
            </w:r>
            <w:r w:rsidRPr="00231648">
              <w:rPr>
                <w:rFonts w:ascii="Calibri" w:hAnsi="Calibri" w:cs="Calibri"/>
                <w:bCs/>
                <w:szCs w:val="22"/>
                <w:lang w:val="en-US"/>
              </w:rPr>
              <w:t xml:space="preserve">uidelines </w:t>
            </w:r>
            <w:r w:rsidR="008F3F17">
              <w:rPr>
                <w:rFonts w:ascii="Calibri" w:hAnsi="Calibri" w:cs="Calibri"/>
                <w:bCs/>
                <w:szCs w:val="22"/>
                <w:lang w:val="en-US"/>
              </w:rPr>
              <w:t xml:space="preserve">to achieve </w:t>
            </w:r>
            <w:r w:rsidRPr="00231648">
              <w:rPr>
                <w:rFonts w:ascii="Calibri" w:hAnsi="Calibri" w:cs="Calibri"/>
                <w:bCs/>
                <w:szCs w:val="22"/>
                <w:lang w:val="en-US"/>
              </w:rPr>
              <w:t xml:space="preserve">consistent practice. </w:t>
            </w:r>
          </w:p>
          <w:p w:rsidR="00A92455" w:rsidRPr="00231648" w:rsidRDefault="00A92455" w:rsidP="00EF16DA">
            <w:pPr>
              <w:pStyle w:val="ListParagraph"/>
              <w:widowControl w:val="0"/>
              <w:numPr>
                <w:ilvl w:val="0"/>
                <w:numId w:val="35"/>
              </w:numPr>
              <w:suppressAutoHyphens w:val="0"/>
              <w:autoSpaceDE w:val="0"/>
              <w:autoSpaceDN w:val="0"/>
              <w:adjustRightInd w:val="0"/>
              <w:spacing w:after="0" w:line="240" w:lineRule="auto"/>
              <w:ind w:left="360"/>
              <w:jc w:val="left"/>
              <w:rPr>
                <w:rFonts w:ascii="Calibri" w:hAnsi="Calibri" w:cs="Calibri"/>
                <w:bCs/>
                <w:sz w:val="22"/>
                <w:szCs w:val="22"/>
                <w:lang w:val="en-US"/>
              </w:rPr>
            </w:pPr>
            <w:r w:rsidRPr="00231648">
              <w:rPr>
                <w:rFonts w:ascii="Calibri" w:hAnsi="Calibri" w:cs="Calibri"/>
                <w:bCs/>
                <w:szCs w:val="22"/>
                <w:lang w:val="en-US"/>
              </w:rPr>
              <w:t>Safeguard policies referring to disabled people should be based on the principle of community and family integration, not on the principle of institutionalization for such social categories (disabled children, disabled students, disabled adults, disabled seniors, etc.).</w:t>
            </w:r>
          </w:p>
          <w:p w:rsidR="00A92455" w:rsidRPr="00231648" w:rsidRDefault="007F641E" w:rsidP="007F641E">
            <w:pPr>
              <w:pStyle w:val="ListParagraph"/>
              <w:widowControl w:val="0"/>
              <w:numPr>
                <w:ilvl w:val="0"/>
                <w:numId w:val="35"/>
              </w:numPr>
              <w:suppressAutoHyphens w:val="0"/>
              <w:autoSpaceDE w:val="0"/>
              <w:autoSpaceDN w:val="0"/>
              <w:adjustRightInd w:val="0"/>
              <w:spacing w:after="0" w:line="240" w:lineRule="auto"/>
              <w:ind w:left="360"/>
              <w:jc w:val="left"/>
              <w:rPr>
                <w:rFonts w:ascii="Calibri" w:hAnsi="Calibri" w:cs="Calibri"/>
                <w:bCs/>
                <w:sz w:val="22"/>
                <w:szCs w:val="22"/>
                <w:lang w:val="en-US"/>
              </w:rPr>
            </w:pPr>
            <w:r>
              <w:rPr>
                <w:rFonts w:ascii="Calibri" w:hAnsi="Calibri" w:cs="Calibri"/>
                <w:bCs/>
                <w:szCs w:val="22"/>
                <w:lang w:val="en-US"/>
              </w:rPr>
              <w:lastRenderedPageBreak/>
              <w:t>A</w:t>
            </w:r>
            <w:r w:rsidR="00A92455" w:rsidRPr="00231648">
              <w:rPr>
                <w:rFonts w:ascii="Calibri" w:hAnsi="Calibri" w:cs="Calibri"/>
                <w:bCs/>
                <w:szCs w:val="22"/>
                <w:lang w:val="en-US"/>
              </w:rPr>
              <w:t xml:space="preserve"> participatory approach to development, implementation, monitoring and evaluation of social safeguard policies</w:t>
            </w:r>
            <w:r>
              <w:rPr>
                <w:rFonts w:ascii="Calibri" w:hAnsi="Calibri" w:cs="Calibri"/>
                <w:bCs/>
                <w:szCs w:val="22"/>
                <w:lang w:val="en-US"/>
              </w:rPr>
              <w:t xml:space="preserve"> should be promoted</w:t>
            </w:r>
            <w:r w:rsidR="00A92455" w:rsidRPr="00231648">
              <w:rPr>
                <w:rFonts w:ascii="Calibri" w:hAnsi="Calibri" w:cs="Calibri"/>
                <w:bCs/>
                <w:szCs w:val="22"/>
                <w:lang w:val="en-US"/>
              </w:rPr>
              <w:t>.</w:t>
            </w:r>
          </w:p>
          <w:p w:rsidR="00A92455" w:rsidRPr="00231648" w:rsidRDefault="00A92455" w:rsidP="00EF16DA">
            <w:pPr>
              <w:pStyle w:val="ListParagraph"/>
              <w:widowControl w:val="0"/>
              <w:numPr>
                <w:ilvl w:val="0"/>
                <w:numId w:val="35"/>
              </w:numPr>
              <w:suppressAutoHyphens w:val="0"/>
              <w:autoSpaceDE w:val="0"/>
              <w:autoSpaceDN w:val="0"/>
              <w:adjustRightInd w:val="0"/>
              <w:spacing w:after="0" w:line="240" w:lineRule="auto"/>
              <w:ind w:left="360"/>
              <w:jc w:val="left"/>
              <w:rPr>
                <w:rFonts w:ascii="Calibri" w:hAnsi="Calibri" w:cs="Calibri"/>
                <w:bCs/>
                <w:sz w:val="22"/>
                <w:szCs w:val="22"/>
                <w:lang w:val="en-US"/>
              </w:rPr>
            </w:pPr>
            <w:r w:rsidRPr="00231648">
              <w:rPr>
                <w:rFonts w:ascii="Calibri" w:hAnsi="Calibri" w:cs="Calibri"/>
                <w:bCs/>
                <w:szCs w:val="22"/>
                <w:lang w:val="en-US"/>
              </w:rPr>
              <w:t>Safeguard policies in the field of occupational/labor safety and health should also take into consideration the issue of integrating disabled people into the labor market and the workplace. Such policies should promote best practices with respect to the professional integration of such social categories.</w:t>
            </w:r>
          </w:p>
        </w:tc>
      </w:tr>
    </w:tbl>
    <w:p w:rsidR="00A92455" w:rsidRPr="00FA4FDA" w:rsidRDefault="00A92455" w:rsidP="00E83950">
      <w:pPr>
        <w:rPr>
          <w:rFonts w:ascii="Calibri" w:hAnsi="Calibri"/>
          <w:b/>
          <w:color w:val="17365D"/>
          <w:lang w:val="en-US"/>
        </w:rPr>
      </w:pPr>
    </w:p>
    <w:sectPr w:rsidR="00A92455" w:rsidRPr="00FA4FDA" w:rsidSect="00E62F90">
      <w:headerReference w:type="default" r:id="rId10"/>
      <w:footerReference w:type="default" r:id="rId11"/>
      <w:pgSz w:w="15840" w:h="12240" w:orient="landscape"/>
      <w:pgMar w:top="90" w:right="1418" w:bottom="540" w:left="1134" w:header="720" w:footer="720" w:gutter="0"/>
      <w:cols w:space="720"/>
      <w:docGrid w:linePitch="326"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0285" w:rsidRDefault="002C0285">
      <w:pPr>
        <w:spacing w:after="0" w:line="240" w:lineRule="auto"/>
      </w:pPr>
      <w:r>
        <w:separator/>
      </w:r>
    </w:p>
  </w:endnote>
  <w:endnote w:type="continuationSeparator" w:id="0">
    <w:p w:rsidR="002C0285" w:rsidRDefault="002C02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4867541"/>
      <w:docPartObj>
        <w:docPartGallery w:val="Page Numbers (Bottom of Page)"/>
        <w:docPartUnique/>
      </w:docPartObj>
    </w:sdtPr>
    <w:sdtEndPr>
      <w:rPr>
        <w:noProof/>
      </w:rPr>
    </w:sdtEndPr>
    <w:sdtContent>
      <w:p w:rsidR="000142A4" w:rsidRDefault="000142A4">
        <w:pPr>
          <w:pStyle w:val="Footer"/>
          <w:jc w:val="right"/>
        </w:pPr>
        <w:r>
          <w:fldChar w:fldCharType="begin"/>
        </w:r>
        <w:r>
          <w:instrText xml:space="preserve"> PAGE   \* MERGEFORMAT </w:instrText>
        </w:r>
        <w:r>
          <w:fldChar w:fldCharType="separate"/>
        </w:r>
        <w:r w:rsidR="005B773C">
          <w:rPr>
            <w:noProof/>
          </w:rPr>
          <w:t>1</w:t>
        </w:r>
        <w:r>
          <w:rPr>
            <w:noProof/>
          </w:rPr>
          <w:fldChar w:fldCharType="end"/>
        </w:r>
      </w:p>
    </w:sdtContent>
  </w:sdt>
  <w:p w:rsidR="00A92455" w:rsidRDefault="00A9245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0285" w:rsidRDefault="002C0285">
      <w:pPr>
        <w:spacing w:after="0" w:line="240" w:lineRule="auto"/>
      </w:pPr>
      <w:r>
        <w:separator/>
      </w:r>
    </w:p>
  </w:footnote>
  <w:footnote w:type="continuationSeparator" w:id="0">
    <w:p w:rsidR="002C0285" w:rsidRDefault="002C0285">
      <w:pPr>
        <w:spacing w:after="0" w:line="240" w:lineRule="auto"/>
      </w:pPr>
      <w:r>
        <w:continuationSeparator/>
      </w:r>
    </w:p>
  </w:footnote>
  <w:footnote w:id="1">
    <w:p w:rsidR="00A92455" w:rsidRPr="00231648" w:rsidRDefault="00A92455" w:rsidP="00231648">
      <w:pPr>
        <w:pStyle w:val="FootnoteText"/>
        <w:jc w:val="left"/>
        <w:rPr>
          <w:lang w:val="en-US"/>
        </w:rPr>
      </w:pPr>
      <w:r w:rsidRPr="00231648">
        <w:rPr>
          <w:rStyle w:val="FootnoteReference"/>
          <w:lang w:val="en-US"/>
        </w:rPr>
        <w:footnoteRef/>
      </w:r>
      <w:r w:rsidRPr="00231648">
        <w:rPr>
          <w:lang w:val="en-US"/>
        </w:rPr>
        <w:t xml:space="preserve"> During the meeting there was a discussion of the differences between a regular commercial bank’s approaches to and interests in environme</w:t>
      </w:r>
      <w:r w:rsidR="00EF16DA" w:rsidRPr="00231648">
        <w:rPr>
          <w:lang w:val="en-US"/>
        </w:rPr>
        <w:t>n</w:t>
      </w:r>
      <w:r w:rsidRPr="00231648">
        <w:rPr>
          <w:lang w:val="en-US"/>
        </w:rPr>
        <w:t xml:space="preserve">tal issues and the specifics of the World Bank, which is a development bank that invests both upfront and on a continuous basis in the technical assistance </w:t>
      </w:r>
      <w:r w:rsidR="003C5D9E">
        <w:rPr>
          <w:lang w:val="en-US"/>
        </w:rPr>
        <w:t xml:space="preserve">which </w:t>
      </w:r>
      <w:r w:rsidRPr="00231648">
        <w:rPr>
          <w:lang w:val="en-US"/>
        </w:rPr>
        <w:t xml:space="preserve">it provides </w:t>
      </w:r>
      <w:r w:rsidR="003C5D9E">
        <w:rPr>
          <w:lang w:val="en-US"/>
        </w:rPr>
        <w:t xml:space="preserve">to </w:t>
      </w:r>
      <w:r w:rsidRPr="00231648">
        <w:rPr>
          <w:lang w:val="en-US"/>
        </w:rPr>
        <w:t xml:space="preserve">borrowers. The discussion also touched on the interest policy of the Bank, which offers more advantageous terms to borrowers in countries that are shareholders of the Bank.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455" w:rsidRDefault="00A92455">
    <w:pPr>
      <w:pStyle w:val="Header"/>
      <w:rPr>
        <w:sz w:val="18"/>
        <w:szCs w:val="18"/>
      </w:rPr>
    </w:pPr>
  </w:p>
  <w:p w:rsidR="00A92455" w:rsidRPr="00ED2123" w:rsidRDefault="00A92455">
    <w:pPr>
      <w:pStyle w:val="Header"/>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93A1F8F"/>
    <w:multiLevelType w:val="hybridMultilevel"/>
    <w:tmpl w:val="1A80F2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A6207D9"/>
    <w:multiLevelType w:val="hybridMultilevel"/>
    <w:tmpl w:val="BF3AC1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C8B7031"/>
    <w:multiLevelType w:val="hybridMultilevel"/>
    <w:tmpl w:val="FEF49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1242206D"/>
    <w:multiLevelType w:val="hybridMultilevel"/>
    <w:tmpl w:val="346C88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13816BE3"/>
    <w:multiLevelType w:val="hybridMultilevel"/>
    <w:tmpl w:val="4628C684"/>
    <w:lvl w:ilvl="0" w:tplc="D7F8D7A4">
      <w:numFmt w:val="bullet"/>
      <w:lvlText w:val="-"/>
      <w:lvlJc w:val="left"/>
      <w:pPr>
        <w:tabs>
          <w:tab w:val="num" w:pos="1080"/>
        </w:tabs>
        <w:ind w:left="1080" w:hanging="360"/>
      </w:pPr>
      <w:rPr>
        <w:rFonts w:ascii="Calibri" w:eastAsia="Times New Roman" w:hAnsi="Calibri"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6">
    <w:nsid w:val="169A3BA0"/>
    <w:multiLevelType w:val="hybridMultilevel"/>
    <w:tmpl w:val="563A4B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16CD6B21"/>
    <w:multiLevelType w:val="hybridMultilevel"/>
    <w:tmpl w:val="7646FF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19172FF5"/>
    <w:multiLevelType w:val="hybridMultilevel"/>
    <w:tmpl w:val="2472AB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A2E7D15"/>
    <w:multiLevelType w:val="hybridMultilevel"/>
    <w:tmpl w:val="CCC410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1C203A71"/>
    <w:multiLevelType w:val="hybridMultilevel"/>
    <w:tmpl w:val="7A5EFC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211E46A3"/>
    <w:multiLevelType w:val="hybridMultilevel"/>
    <w:tmpl w:val="975C2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233A1334"/>
    <w:multiLevelType w:val="hybridMultilevel"/>
    <w:tmpl w:val="D81A200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3">
    <w:nsid w:val="23731F64"/>
    <w:multiLevelType w:val="hybridMultilevel"/>
    <w:tmpl w:val="8C68D6BC"/>
    <w:lvl w:ilvl="0" w:tplc="74C875E0">
      <w:start w:val="5"/>
      <w:numFmt w:val="decimal"/>
      <w:lvlText w:val="%1."/>
      <w:lvlJc w:val="left"/>
      <w:pPr>
        <w:tabs>
          <w:tab w:val="num" w:pos="720"/>
        </w:tabs>
        <w:ind w:left="720" w:hanging="360"/>
      </w:pPr>
      <w:rPr>
        <w:rFonts w:eastAsia="Batang"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nsid w:val="28EF0698"/>
    <w:multiLevelType w:val="hybridMultilevel"/>
    <w:tmpl w:val="BC606070"/>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start w:val="1"/>
      <w:numFmt w:val="bullet"/>
      <w:lvlText w:val="o"/>
      <w:lvlJc w:val="left"/>
      <w:pPr>
        <w:ind w:left="3780" w:hanging="360"/>
      </w:pPr>
      <w:rPr>
        <w:rFonts w:ascii="Courier New" w:hAnsi="Courier New" w:hint="default"/>
      </w:rPr>
    </w:lvl>
    <w:lvl w:ilvl="5" w:tplc="04090005">
      <w:start w:val="1"/>
      <w:numFmt w:val="bullet"/>
      <w:lvlText w:val=""/>
      <w:lvlJc w:val="left"/>
      <w:pPr>
        <w:ind w:left="4500" w:hanging="360"/>
      </w:pPr>
      <w:rPr>
        <w:rFonts w:ascii="Wingdings" w:hAnsi="Wingdings" w:hint="default"/>
      </w:rPr>
    </w:lvl>
    <w:lvl w:ilvl="6" w:tplc="04090001">
      <w:start w:val="1"/>
      <w:numFmt w:val="bullet"/>
      <w:lvlText w:val=""/>
      <w:lvlJc w:val="left"/>
      <w:pPr>
        <w:ind w:left="5220" w:hanging="360"/>
      </w:pPr>
      <w:rPr>
        <w:rFonts w:ascii="Symbol" w:hAnsi="Symbol" w:hint="default"/>
      </w:rPr>
    </w:lvl>
    <w:lvl w:ilvl="7" w:tplc="04090003">
      <w:start w:val="1"/>
      <w:numFmt w:val="bullet"/>
      <w:lvlText w:val="o"/>
      <w:lvlJc w:val="left"/>
      <w:pPr>
        <w:ind w:left="5940" w:hanging="360"/>
      </w:pPr>
      <w:rPr>
        <w:rFonts w:ascii="Courier New" w:hAnsi="Courier New" w:hint="default"/>
      </w:rPr>
    </w:lvl>
    <w:lvl w:ilvl="8" w:tplc="04090005">
      <w:start w:val="1"/>
      <w:numFmt w:val="bullet"/>
      <w:lvlText w:val=""/>
      <w:lvlJc w:val="left"/>
      <w:pPr>
        <w:ind w:left="6660" w:hanging="360"/>
      </w:pPr>
      <w:rPr>
        <w:rFonts w:ascii="Wingdings" w:hAnsi="Wingdings" w:hint="default"/>
      </w:rPr>
    </w:lvl>
  </w:abstractNum>
  <w:abstractNum w:abstractNumId="15">
    <w:nsid w:val="3033584E"/>
    <w:multiLevelType w:val="hybridMultilevel"/>
    <w:tmpl w:val="B72ECCE6"/>
    <w:lvl w:ilvl="0" w:tplc="0409000F">
      <w:start w:val="3"/>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nsid w:val="30597506"/>
    <w:multiLevelType w:val="hybridMultilevel"/>
    <w:tmpl w:val="8A00BAE2"/>
    <w:lvl w:ilvl="0" w:tplc="50BEE638">
      <w:start w:val="1"/>
      <w:numFmt w:val="decimal"/>
      <w:lvlText w:val="%1."/>
      <w:lvlJc w:val="left"/>
      <w:pPr>
        <w:tabs>
          <w:tab w:val="num" w:pos="540"/>
        </w:tabs>
        <w:ind w:left="540" w:hanging="360"/>
      </w:pPr>
      <w:rPr>
        <w:rFonts w:eastAsia="Batang" w:cs="Times New Roman" w:hint="default"/>
        <w:color w:val="17365D"/>
      </w:rPr>
    </w:lvl>
    <w:lvl w:ilvl="1" w:tplc="04090019">
      <w:start w:val="1"/>
      <w:numFmt w:val="lowerLetter"/>
      <w:lvlText w:val="%2."/>
      <w:lvlJc w:val="left"/>
      <w:pPr>
        <w:tabs>
          <w:tab w:val="num" w:pos="1260"/>
        </w:tabs>
        <w:ind w:left="1260" w:hanging="360"/>
      </w:pPr>
      <w:rPr>
        <w:rFonts w:cs="Times New Roman"/>
      </w:rPr>
    </w:lvl>
    <w:lvl w:ilvl="2" w:tplc="0409001B">
      <w:start w:val="1"/>
      <w:numFmt w:val="lowerRoman"/>
      <w:lvlText w:val="%3."/>
      <w:lvlJc w:val="right"/>
      <w:pPr>
        <w:tabs>
          <w:tab w:val="num" w:pos="1980"/>
        </w:tabs>
        <w:ind w:left="1980" w:hanging="180"/>
      </w:pPr>
      <w:rPr>
        <w:rFonts w:cs="Times New Roman"/>
      </w:rPr>
    </w:lvl>
    <w:lvl w:ilvl="3" w:tplc="0409000F">
      <w:start w:val="1"/>
      <w:numFmt w:val="decimal"/>
      <w:lvlText w:val="%4."/>
      <w:lvlJc w:val="left"/>
      <w:pPr>
        <w:tabs>
          <w:tab w:val="num" w:pos="2700"/>
        </w:tabs>
        <w:ind w:left="2700" w:hanging="360"/>
      </w:pPr>
      <w:rPr>
        <w:rFonts w:cs="Times New Roman"/>
      </w:rPr>
    </w:lvl>
    <w:lvl w:ilvl="4" w:tplc="04090019">
      <w:start w:val="1"/>
      <w:numFmt w:val="lowerLetter"/>
      <w:lvlText w:val="%5."/>
      <w:lvlJc w:val="left"/>
      <w:pPr>
        <w:tabs>
          <w:tab w:val="num" w:pos="3420"/>
        </w:tabs>
        <w:ind w:left="3420" w:hanging="360"/>
      </w:pPr>
      <w:rPr>
        <w:rFonts w:cs="Times New Roman"/>
      </w:rPr>
    </w:lvl>
    <w:lvl w:ilvl="5" w:tplc="0409001B">
      <w:start w:val="1"/>
      <w:numFmt w:val="lowerRoman"/>
      <w:lvlText w:val="%6."/>
      <w:lvlJc w:val="right"/>
      <w:pPr>
        <w:tabs>
          <w:tab w:val="num" w:pos="4140"/>
        </w:tabs>
        <w:ind w:left="4140" w:hanging="180"/>
      </w:pPr>
      <w:rPr>
        <w:rFonts w:cs="Times New Roman"/>
      </w:rPr>
    </w:lvl>
    <w:lvl w:ilvl="6" w:tplc="0409000F">
      <w:start w:val="1"/>
      <w:numFmt w:val="decimal"/>
      <w:lvlText w:val="%7."/>
      <w:lvlJc w:val="left"/>
      <w:pPr>
        <w:tabs>
          <w:tab w:val="num" w:pos="4860"/>
        </w:tabs>
        <w:ind w:left="4860" w:hanging="360"/>
      </w:pPr>
      <w:rPr>
        <w:rFonts w:cs="Times New Roman"/>
      </w:rPr>
    </w:lvl>
    <w:lvl w:ilvl="7" w:tplc="04090019">
      <w:start w:val="1"/>
      <w:numFmt w:val="lowerLetter"/>
      <w:lvlText w:val="%8."/>
      <w:lvlJc w:val="left"/>
      <w:pPr>
        <w:tabs>
          <w:tab w:val="num" w:pos="5580"/>
        </w:tabs>
        <w:ind w:left="5580" w:hanging="360"/>
      </w:pPr>
      <w:rPr>
        <w:rFonts w:cs="Times New Roman"/>
      </w:rPr>
    </w:lvl>
    <w:lvl w:ilvl="8" w:tplc="0409001B">
      <w:start w:val="1"/>
      <w:numFmt w:val="lowerRoman"/>
      <w:lvlText w:val="%9."/>
      <w:lvlJc w:val="right"/>
      <w:pPr>
        <w:tabs>
          <w:tab w:val="num" w:pos="6300"/>
        </w:tabs>
        <w:ind w:left="6300" w:hanging="180"/>
      </w:pPr>
      <w:rPr>
        <w:rFonts w:cs="Times New Roman"/>
      </w:rPr>
    </w:lvl>
  </w:abstractNum>
  <w:abstractNum w:abstractNumId="17">
    <w:nsid w:val="31356BDB"/>
    <w:multiLevelType w:val="hybridMultilevel"/>
    <w:tmpl w:val="37C607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34D512AE"/>
    <w:multiLevelType w:val="hybridMultilevel"/>
    <w:tmpl w:val="B58A07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36720085"/>
    <w:multiLevelType w:val="hybridMultilevel"/>
    <w:tmpl w:val="D0C6CEC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20">
    <w:nsid w:val="3A2B5161"/>
    <w:multiLevelType w:val="hybridMultilevel"/>
    <w:tmpl w:val="92623B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41CC5FAA"/>
    <w:multiLevelType w:val="hybridMultilevel"/>
    <w:tmpl w:val="2A2C5722"/>
    <w:lvl w:ilvl="0" w:tplc="83C226F6">
      <w:start w:val="1"/>
      <w:numFmt w:val="bullet"/>
      <w:lvlText w:val=""/>
      <w:lvlJc w:val="left"/>
      <w:pPr>
        <w:tabs>
          <w:tab w:val="num" w:pos="397"/>
        </w:tabs>
        <w:ind w:left="494" w:hanging="94"/>
      </w:pPr>
      <w:rPr>
        <w:rFonts w:ascii="Symbol" w:hAnsi="Symbol" w:hint="default"/>
      </w:rPr>
    </w:lvl>
    <w:lvl w:ilvl="1" w:tplc="04090003">
      <w:start w:val="1"/>
      <w:numFmt w:val="bullet"/>
      <w:lvlText w:val="o"/>
      <w:lvlJc w:val="left"/>
      <w:pPr>
        <w:ind w:left="1480" w:hanging="360"/>
      </w:pPr>
      <w:rPr>
        <w:rFonts w:ascii="Courier New" w:hAnsi="Courier New" w:hint="default"/>
      </w:rPr>
    </w:lvl>
    <w:lvl w:ilvl="2" w:tplc="04090005">
      <w:start w:val="1"/>
      <w:numFmt w:val="bullet"/>
      <w:lvlText w:val=""/>
      <w:lvlJc w:val="left"/>
      <w:pPr>
        <w:ind w:left="2200" w:hanging="360"/>
      </w:pPr>
      <w:rPr>
        <w:rFonts w:ascii="Wingdings" w:hAnsi="Wingdings" w:hint="default"/>
      </w:rPr>
    </w:lvl>
    <w:lvl w:ilvl="3" w:tplc="04090001">
      <w:start w:val="1"/>
      <w:numFmt w:val="bullet"/>
      <w:lvlText w:val=""/>
      <w:lvlJc w:val="left"/>
      <w:pPr>
        <w:ind w:left="2920" w:hanging="360"/>
      </w:pPr>
      <w:rPr>
        <w:rFonts w:ascii="Symbol" w:hAnsi="Symbol" w:hint="default"/>
      </w:rPr>
    </w:lvl>
    <w:lvl w:ilvl="4" w:tplc="04090003">
      <w:start w:val="1"/>
      <w:numFmt w:val="bullet"/>
      <w:lvlText w:val="o"/>
      <w:lvlJc w:val="left"/>
      <w:pPr>
        <w:ind w:left="3640" w:hanging="360"/>
      </w:pPr>
      <w:rPr>
        <w:rFonts w:ascii="Courier New" w:hAnsi="Courier New" w:hint="default"/>
      </w:rPr>
    </w:lvl>
    <w:lvl w:ilvl="5" w:tplc="04090005">
      <w:start w:val="1"/>
      <w:numFmt w:val="bullet"/>
      <w:lvlText w:val=""/>
      <w:lvlJc w:val="left"/>
      <w:pPr>
        <w:ind w:left="4360" w:hanging="360"/>
      </w:pPr>
      <w:rPr>
        <w:rFonts w:ascii="Wingdings" w:hAnsi="Wingdings" w:hint="default"/>
      </w:rPr>
    </w:lvl>
    <w:lvl w:ilvl="6" w:tplc="04090001">
      <w:start w:val="1"/>
      <w:numFmt w:val="bullet"/>
      <w:lvlText w:val=""/>
      <w:lvlJc w:val="left"/>
      <w:pPr>
        <w:ind w:left="5080" w:hanging="360"/>
      </w:pPr>
      <w:rPr>
        <w:rFonts w:ascii="Symbol" w:hAnsi="Symbol" w:hint="default"/>
      </w:rPr>
    </w:lvl>
    <w:lvl w:ilvl="7" w:tplc="04090003">
      <w:start w:val="1"/>
      <w:numFmt w:val="bullet"/>
      <w:lvlText w:val="o"/>
      <w:lvlJc w:val="left"/>
      <w:pPr>
        <w:ind w:left="5800" w:hanging="360"/>
      </w:pPr>
      <w:rPr>
        <w:rFonts w:ascii="Courier New" w:hAnsi="Courier New" w:hint="default"/>
      </w:rPr>
    </w:lvl>
    <w:lvl w:ilvl="8" w:tplc="04090005">
      <w:start w:val="1"/>
      <w:numFmt w:val="bullet"/>
      <w:lvlText w:val=""/>
      <w:lvlJc w:val="left"/>
      <w:pPr>
        <w:ind w:left="6520" w:hanging="360"/>
      </w:pPr>
      <w:rPr>
        <w:rFonts w:ascii="Wingdings" w:hAnsi="Wingdings" w:hint="default"/>
      </w:rPr>
    </w:lvl>
  </w:abstractNum>
  <w:abstractNum w:abstractNumId="22">
    <w:nsid w:val="4E6E2120"/>
    <w:multiLevelType w:val="hybridMultilevel"/>
    <w:tmpl w:val="7DE663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4F3022B9"/>
    <w:multiLevelType w:val="hybridMultilevel"/>
    <w:tmpl w:val="FD10FFF2"/>
    <w:lvl w:ilvl="0" w:tplc="83C226F6">
      <w:start w:val="1"/>
      <w:numFmt w:val="bullet"/>
      <w:lvlText w:val=""/>
      <w:lvlJc w:val="left"/>
      <w:pPr>
        <w:tabs>
          <w:tab w:val="num" w:pos="397"/>
        </w:tabs>
        <w:ind w:left="494" w:hanging="94"/>
      </w:pPr>
      <w:rPr>
        <w:rFonts w:ascii="Symbol" w:hAnsi="Symbol" w:hint="default"/>
      </w:rPr>
    </w:lvl>
    <w:lvl w:ilvl="1" w:tplc="16EA5720">
      <w:start w:val="1"/>
      <w:numFmt w:val="bullet"/>
      <w:lvlText w:val="-"/>
      <w:lvlJc w:val="left"/>
      <w:pPr>
        <w:ind w:left="1480" w:hanging="360"/>
      </w:pPr>
      <w:rPr>
        <w:rFonts w:ascii="Arial" w:eastAsia="Times New Roman" w:hAnsi="Arial" w:hint="default"/>
      </w:rPr>
    </w:lvl>
    <w:lvl w:ilvl="2" w:tplc="04090005">
      <w:start w:val="1"/>
      <w:numFmt w:val="bullet"/>
      <w:lvlText w:val=""/>
      <w:lvlJc w:val="left"/>
      <w:pPr>
        <w:ind w:left="2200" w:hanging="360"/>
      </w:pPr>
      <w:rPr>
        <w:rFonts w:ascii="Wingdings" w:hAnsi="Wingdings" w:hint="default"/>
      </w:rPr>
    </w:lvl>
    <w:lvl w:ilvl="3" w:tplc="04090001">
      <w:start w:val="1"/>
      <w:numFmt w:val="bullet"/>
      <w:lvlText w:val=""/>
      <w:lvlJc w:val="left"/>
      <w:pPr>
        <w:ind w:left="2920" w:hanging="360"/>
      </w:pPr>
      <w:rPr>
        <w:rFonts w:ascii="Symbol" w:hAnsi="Symbol" w:hint="default"/>
      </w:rPr>
    </w:lvl>
    <w:lvl w:ilvl="4" w:tplc="04090003">
      <w:start w:val="1"/>
      <w:numFmt w:val="bullet"/>
      <w:lvlText w:val="o"/>
      <w:lvlJc w:val="left"/>
      <w:pPr>
        <w:ind w:left="3640" w:hanging="360"/>
      </w:pPr>
      <w:rPr>
        <w:rFonts w:ascii="Courier New" w:hAnsi="Courier New" w:hint="default"/>
      </w:rPr>
    </w:lvl>
    <w:lvl w:ilvl="5" w:tplc="04090005">
      <w:start w:val="1"/>
      <w:numFmt w:val="bullet"/>
      <w:lvlText w:val=""/>
      <w:lvlJc w:val="left"/>
      <w:pPr>
        <w:ind w:left="4360" w:hanging="360"/>
      </w:pPr>
      <w:rPr>
        <w:rFonts w:ascii="Wingdings" w:hAnsi="Wingdings" w:hint="default"/>
      </w:rPr>
    </w:lvl>
    <w:lvl w:ilvl="6" w:tplc="04090001">
      <w:start w:val="1"/>
      <w:numFmt w:val="bullet"/>
      <w:lvlText w:val=""/>
      <w:lvlJc w:val="left"/>
      <w:pPr>
        <w:ind w:left="5080" w:hanging="360"/>
      </w:pPr>
      <w:rPr>
        <w:rFonts w:ascii="Symbol" w:hAnsi="Symbol" w:hint="default"/>
      </w:rPr>
    </w:lvl>
    <w:lvl w:ilvl="7" w:tplc="04090003">
      <w:start w:val="1"/>
      <w:numFmt w:val="bullet"/>
      <w:lvlText w:val="o"/>
      <w:lvlJc w:val="left"/>
      <w:pPr>
        <w:ind w:left="5800" w:hanging="360"/>
      </w:pPr>
      <w:rPr>
        <w:rFonts w:ascii="Courier New" w:hAnsi="Courier New" w:hint="default"/>
      </w:rPr>
    </w:lvl>
    <w:lvl w:ilvl="8" w:tplc="04090005">
      <w:start w:val="1"/>
      <w:numFmt w:val="bullet"/>
      <w:lvlText w:val=""/>
      <w:lvlJc w:val="left"/>
      <w:pPr>
        <w:ind w:left="6520" w:hanging="360"/>
      </w:pPr>
      <w:rPr>
        <w:rFonts w:ascii="Wingdings" w:hAnsi="Wingdings" w:hint="default"/>
      </w:rPr>
    </w:lvl>
  </w:abstractNum>
  <w:abstractNum w:abstractNumId="24">
    <w:nsid w:val="529A2FB8"/>
    <w:multiLevelType w:val="hybridMultilevel"/>
    <w:tmpl w:val="1F38F56E"/>
    <w:lvl w:ilvl="0" w:tplc="83C226F6">
      <w:start w:val="1"/>
      <w:numFmt w:val="bullet"/>
      <w:lvlText w:val=""/>
      <w:lvlJc w:val="left"/>
      <w:pPr>
        <w:tabs>
          <w:tab w:val="num" w:pos="397"/>
        </w:tabs>
        <w:ind w:left="494" w:hanging="94"/>
      </w:pPr>
      <w:rPr>
        <w:rFonts w:ascii="Symbol" w:hAnsi="Symbol" w:hint="default"/>
      </w:rPr>
    </w:lvl>
    <w:lvl w:ilvl="1" w:tplc="04090003">
      <w:start w:val="1"/>
      <w:numFmt w:val="bullet"/>
      <w:lvlText w:val="o"/>
      <w:lvlJc w:val="left"/>
      <w:pPr>
        <w:ind w:left="1480" w:hanging="360"/>
      </w:pPr>
      <w:rPr>
        <w:rFonts w:ascii="Courier New" w:hAnsi="Courier New" w:hint="default"/>
      </w:rPr>
    </w:lvl>
    <w:lvl w:ilvl="2" w:tplc="04090005">
      <w:start w:val="1"/>
      <w:numFmt w:val="bullet"/>
      <w:lvlText w:val=""/>
      <w:lvlJc w:val="left"/>
      <w:pPr>
        <w:ind w:left="2200" w:hanging="360"/>
      </w:pPr>
      <w:rPr>
        <w:rFonts w:ascii="Wingdings" w:hAnsi="Wingdings" w:hint="default"/>
      </w:rPr>
    </w:lvl>
    <w:lvl w:ilvl="3" w:tplc="04090001">
      <w:start w:val="1"/>
      <w:numFmt w:val="bullet"/>
      <w:lvlText w:val=""/>
      <w:lvlJc w:val="left"/>
      <w:pPr>
        <w:ind w:left="2920" w:hanging="360"/>
      </w:pPr>
      <w:rPr>
        <w:rFonts w:ascii="Symbol" w:hAnsi="Symbol" w:hint="default"/>
      </w:rPr>
    </w:lvl>
    <w:lvl w:ilvl="4" w:tplc="04090003">
      <w:start w:val="1"/>
      <w:numFmt w:val="bullet"/>
      <w:lvlText w:val="o"/>
      <w:lvlJc w:val="left"/>
      <w:pPr>
        <w:ind w:left="3640" w:hanging="360"/>
      </w:pPr>
      <w:rPr>
        <w:rFonts w:ascii="Courier New" w:hAnsi="Courier New" w:hint="default"/>
      </w:rPr>
    </w:lvl>
    <w:lvl w:ilvl="5" w:tplc="04090005">
      <w:start w:val="1"/>
      <w:numFmt w:val="bullet"/>
      <w:lvlText w:val=""/>
      <w:lvlJc w:val="left"/>
      <w:pPr>
        <w:ind w:left="4360" w:hanging="360"/>
      </w:pPr>
      <w:rPr>
        <w:rFonts w:ascii="Wingdings" w:hAnsi="Wingdings" w:hint="default"/>
      </w:rPr>
    </w:lvl>
    <w:lvl w:ilvl="6" w:tplc="04090001">
      <w:start w:val="1"/>
      <w:numFmt w:val="bullet"/>
      <w:lvlText w:val=""/>
      <w:lvlJc w:val="left"/>
      <w:pPr>
        <w:ind w:left="5080" w:hanging="360"/>
      </w:pPr>
      <w:rPr>
        <w:rFonts w:ascii="Symbol" w:hAnsi="Symbol" w:hint="default"/>
      </w:rPr>
    </w:lvl>
    <w:lvl w:ilvl="7" w:tplc="04090003">
      <w:start w:val="1"/>
      <w:numFmt w:val="bullet"/>
      <w:lvlText w:val="o"/>
      <w:lvlJc w:val="left"/>
      <w:pPr>
        <w:ind w:left="5800" w:hanging="360"/>
      </w:pPr>
      <w:rPr>
        <w:rFonts w:ascii="Courier New" w:hAnsi="Courier New" w:hint="default"/>
      </w:rPr>
    </w:lvl>
    <w:lvl w:ilvl="8" w:tplc="04090005">
      <w:start w:val="1"/>
      <w:numFmt w:val="bullet"/>
      <w:lvlText w:val=""/>
      <w:lvlJc w:val="left"/>
      <w:pPr>
        <w:ind w:left="6520" w:hanging="360"/>
      </w:pPr>
      <w:rPr>
        <w:rFonts w:ascii="Wingdings" w:hAnsi="Wingdings" w:hint="default"/>
      </w:rPr>
    </w:lvl>
  </w:abstractNum>
  <w:abstractNum w:abstractNumId="25">
    <w:nsid w:val="60A61761"/>
    <w:multiLevelType w:val="hybridMultilevel"/>
    <w:tmpl w:val="C85E79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62E71210"/>
    <w:multiLevelType w:val="hybridMultilevel"/>
    <w:tmpl w:val="77543F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69B51018"/>
    <w:multiLevelType w:val="hybridMultilevel"/>
    <w:tmpl w:val="439876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6AD4065E"/>
    <w:multiLevelType w:val="hybridMultilevel"/>
    <w:tmpl w:val="C10C93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6C50753E"/>
    <w:multiLevelType w:val="hybridMultilevel"/>
    <w:tmpl w:val="E090B5A6"/>
    <w:lvl w:ilvl="0" w:tplc="83C226F6">
      <w:start w:val="1"/>
      <w:numFmt w:val="bullet"/>
      <w:lvlText w:val=""/>
      <w:lvlJc w:val="left"/>
      <w:pPr>
        <w:tabs>
          <w:tab w:val="num" w:pos="397"/>
        </w:tabs>
        <w:ind w:left="494" w:hanging="94"/>
      </w:pPr>
      <w:rPr>
        <w:rFonts w:ascii="Symbol" w:hAnsi="Symbol" w:hint="default"/>
      </w:rPr>
    </w:lvl>
    <w:lvl w:ilvl="1" w:tplc="04090003">
      <w:start w:val="1"/>
      <w:numFmt w:val="bullet"/>
      <w:lvlText w:val="o"/>
      <w:lvlJc w:val="left"/>
      <w:pPr>
        <w:ind w:left="1480" w:hanging="360"/>
      </w:pPr>
      <w:rPr>
        <w:rFonts w:ascii="Courier New" w:hAnsi="Courier New" w:hint="default"/>
      </w:rPr>
    </w:lvl>
    <w:lvl w:ilvl="2" w:tplc="04090005">
      <w:start w:val="1"/>
      <w:numFmt w:val="bullet"/>
      <w:lvlText w:val=""/>
      <w:lvlJc w:val="left"/>
      <w:pPr>
        <w:ind w:left="2200" w:hanging="360"/>
      </w:pPr>
      <w:rPr>
        <w:rFonts w:ascii="Wingdings" w:hAnsi="Wingdings" w:hint="default"/>
      </w:rPr>
    </w:lvl>
    <w:lvl w:ilvl="3" w:tplc="04090001">
      <w:start w:val="1"/>
      <w:numFmt w:val="bullet"/>
      <w:lvlText w:val=""/>
      <w:lvlJc w:val="left"/>
      <w:pPr>
        <w:ind w:left="2920" w:hanging="360"/>
      </w:pPr>
      <w:rPr>
        <w:rFonts w:ascii="Symbol" w:hAnsi="Symbol" w:hint="default"/>
      </w:rPr>
    </w:lvl>
    <w:lvl w:ilvl="4" w:tplc="04090003">
      <w:start w:val="1"/>
      <w:numFmt w:val="bullet"/>
      <w:lvlText w:val="o"/>
      <w:lvlJc w:val="left"/>
      <w:pPr>
        <w:ind w:left="3640" w:hanging="360"/>
      </w:pPr>
      <w:rPr>
        <w:rFonts w:ascii="Courier New" w:hAnsi="Courier New" w:hint="default"/>
      </w:rPr>
    </w:lvl>
    <w:lvl w:ilvl="5" w:tplc="04090005">
      <w:start w:val="1"/>
      <w:numFmt w:val="bullet"/>
      <w:lvlText w:val=""/>
      <w:lvlJc w:val="left"/>
      <w:pPr>
        <w:ind w:left="4360" w:hanging="360"/>
      </w:pPr>
      <w:rPr>
        <w:rFonts w:ascii="Wingdings" w:hAnsi="Wingdings" w:hint="default"/>
      </w:rPr>
    </w:lvl>
    <w:lvl w:ilvl="6" w:tplc="04090001">
      <w:start w:val="1"/>
      <w:numFmt w:val="bullet"/>
      <w:lvlText w:val=""/>
      <w:lvlJc w:val="left"/>
      <w:pPr>
        <w:ind w:left="5080" w:hanging="360"/>
      </w:pPr>
      <w:rPr>
        <w:rFonts w:ascii="Symbol" w:hAnsi="Symbol" w:hint="default"/>
      </w:rPr>
    </w:lvl>
    <w:lvl w:ilvl="7" w:tplc="04090003">
      <w:start w:val="1"/>
      <w:numFmt w:val="bullet"/>
      <w:lvlText w:val="o"/>
      <w:lvlJc w:val="left"/>
      <w:pPr>
        <w:ind w:left="5800" w:hanging="360"/>
      </w:pPr>
      <w:rPr>
        <w:rFonts w:ascii="Courier New" w:hAnsi="Courier New" w:hint="default"/>
      </w:rPr>
    </w:lvl>
    <w:lvl w:ilvl="8" w:tplc="04090005">
      <w:start w:val="1"/>
      <w:numFmt w:val="bullet"/>
      <w:lvlText w:val=""/>
      <w:lvlJc w:val="left"/>
      <w:pPr>
        <w:ind w:left="6520" w:hanging="360"/>
      </w:pPr>
      <w:rPr>
        <w:rFonts w:ascii="Wingdings" w:hAnsi="Wingdings" w:hint="default"/>
      </w:rPr>
    </w:lvl>
  </w:abstractNum>
  <w:abstractNum w:abstractNumId="30">
    <w:nsid w:val="6F9A2835"/>
    <w:multiLevelType w:val="hybridMultilevel"/>
    <w:tmpl w:val="6ADAAB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1">
    <w:nsid w:val="706F2BC8"/>
    <w:multiLevelType w:val="hybridMultilevel"/>
    <w:tmpl w:val="989E81E6"/>
    <w:lvl w:ilvl="0" w:tplc="04090001">
      <w:start w:val="1"/>
      <w:numFmt w:val="bullet"/>
      <w:lvlText w:val=""/>
      <w:lvlJc w:val="left"/>
      <w:pPr>
        <w:ind w:left="750" w:hanging="360"/>
      </w:pPr>
      <w:rPr>
        <w:rFonts w:ascii="Symbol" w:hAnsi="Symbol" w:hint="default"/>
      </w:rPr>
    </w:lvl>
    <w:lvl w:ilvl="1" w:tplc="04090005">
      <w:start w:val="1"/>
      <w:numFmt w:val="bullet"/>
      <w:lvlText w:val=""/>
      <w:lvlJc w:val="left"/>
      <w:pPr>
        <w:ind w:left="1470" w:hanging="360"/>
      </w:pPr>
      <w:rPr>
        <w:rFonts w:ascii="Wingdings" w:hAnsi="Wingdings" w:hint="default"/>
      </w:rPr>
    </w:lvl>
    <w:lvl w:ilvl="2" w:tplc="04090005">
      <w:start w:val="1"/>
      <w:numFmt w:val="bullet"/>
      <w:lvlText w:val=""/>
      <w:lvlJc w:val="left"/>
      <w:pPr>
        <w:ind w:left="2190" w:hanging="360"/>
      </w:pPr>
      <w:rPr>
        <w:rFonts w:ascii="Wingdings" w:hAnsi="Wingdings" w:hint="default"/>
      </w:rPr>
    </w:lvl>
    <w:lvl w:ilvl="3" w:tplc="04090001">
      <w:start w:val="1"/>
      <w:numFmt w:val="bullet"/>
      <w:lvlText w:val=""/>
      <w:lvlJc w:val="left"/>
      <w:pPr>
        <w:ind w:left="2910" w:hanging="360"/>
      </w:pPr>
      <w:rPr>
        <w:rFonts w:ascii="Symbol" w:hAnsi="Symbol" w:hint="default"/>
      </w:rPr>
    </w:lvl>
    <w:lvl w:ilvl="4" w:tplc="04090003">
      <w:start w:val="1"/>
      <w:numFmt w:val="bullet"/>
      <w:lvlText w:val="o"/>
      <w:lvlJc w:val="left"/>
      <w:pPr>
        <w:ind w:left="3630" w:hanging="360"/>
      </w:pPr>
      <w:rPr>
        <w:rFonts w:ascii="Courier New" w:hAnsi="Courier New" w:hint="default"/>
      </w:rPr>
    </w:lvl>
    <w:lvl w:ilvl="5" w:tplc="04090005">
      <w:start w:val="1"/>
      <w:numFmt w:val="bullet"/>
      <w:lvlText w:val=""/>
      <w:lvlJc w:val="left"/>
      <w:pPr>
        <w:ind w:left="4350" w:hanging="360"/>
      </w:pPr>
      <w:rPr>
        <w:rFonts w:ascii="Wingdings" w:hAnsi="Wingdings" w:hint="default"/>
      </w:rPr>
    </w:lvl>
    <w:lvl w:ilvl="6" w:tplc="04090001">
      <w:start w:val="1"/>
      <w:numFmt w:val="bullet"/>
      <w:lvlText w:val=""/>
      <w:lvlJc w:val="left"/>
      <w:pPr>
        <w:ind w:left="5070" w:hanging="360"/>
      </w:pPr>
      <w:rPr>
        <w:rFonts w:ascii="Symbol" w:hAnsi="Symbol" w:hint="default"/>
      </w:rPr>
    </w:lvl>
    <w:lvl w:ilvl="7" w:tplc="04090003">
      <w:start w:val="1"/>
      <w:numFmt w:val="bullet"/>
      <w:lvlText w:val="o"/>
      <w:lvlJc w:val="left"/>
      <w:pPr>
        <w:ind w:left="5790" w:hanging="360"/>
      </w:pPr>
      <w:rPr>
        <w:rFonts w:ascii="Courier New" w:hAnsi="Courier New" w:hint="default"/>
      </w:rPr>
    </w:lvl>
    <w:lvl w:ilvl="8" w:tplc="04090005">
      <w:start w:val="1"/>
      <w:numFmt w:val="bullet"/>
      <w:lvlText w:val=""/>
      <w:lvlJc w:val="left"/>
      <w:pPr>
        <w:ind w:left="6510" w:hanging="360"/>
      </w:pPr>
      <w:rPr>
        <w:rFonts w:ascii="Wingdings" w:hAnsi="Wingdings" w:hint="default"/>
      </w:rPr>
    </w:lvl>
  </w:abstractNum>
  <w:abstractNum w:abstractNumId="32">
    <w:nsid w:val="71481A15"/>
    <w:multiLevelType w:val="hybridMultilevel"/>
    <w:tmpl w:val="11068E2A"/>
    <w:lvl w:ilvl="0" w:tplc="83C226F6">
      <w:start w:val="1"/>
      <w:numFmt w:val="bullet"/>
      <w:lvlText w:val=""/>
      <w:lvlJc w:val="left"/>
      <w:pPr>
        <w:tabs>
          <w:tab w:val="num" w:pos="397"/>
        </w:tabs>
        <w:ind w:left="494" w:hanging="94"/>
      </w:pPr>
      <w:rPr>
        <w:rFonts w:ascii="Symbol" w:hAnsi="Symbol" w:hint="default"/>
      </w:rPr>
    </w:lvl>
    <w:lvl w:ilvl="1" w:tplc="04090003">
      <w:start w:val="1"/>
      <w:numFmt w:val="bullet"/>
      <w:lvlText w:val="o"/>
      <w:lvlJc w:val="left"/>
      <w:pPr>
        <w:ind w:left="1480" w:hanging="360"/>
      </w:pPr>
      <w:rPr>
        <w:rFonts w:ascii="Courier New" w:hAnsi="Courier New" w:hint="default"/>
      </w:rPr>
    </w:lvl>
    <w:lvl w:ilvl="2" w:tplc="04090005">
      <w:start w:val="1"/>
      <w:numFmt w:val="bullet"/>
      <w:lvlText w:val=""/>
      <w:lvlJc w:val="left"/>
      <w:pPr>
        <w:ind w:left="2200" w:hanging="360"/>
      </w:pPr>
      <w:rPr>
        <w:rFonts w:ascii="Wingdings" w:hAnsi="Wingdings" w:hint="default"/>
      </w:rPr>
    </w:lvl>
    <w:lvl w:ilvl="3" w:tplc="04090001">
      <w:start w:val="1"/>
      <w:numFmt w:val="bullet"/>
      <w:lvlText w:val=""/>
      <w:lvlJc w:val="left"/>
      <w:pPr>
        <w:ind w:left="2920" w:hanging="360"/>
      </w:pPr>
      <w:rPr>
        <w:rFonts w:ascii="Symbol" w:hAnsi="Symbol" w:hint="default"/>
      </w:rPr>
    </w:lvl>
    <w:lvl w:ilvl="4" w:tplc="04090003">
      <w:start w:val="1"/>
      <w:numFmt w:val="bullet"/>
      <w:lvlText w:val="o"/>
      <w:lvlJc w:val="left"/>
      <w:pPr>
        <w:ind w:left="3640" w:hanging="360"/>
      </w:pPr>
      <w:rPr>
        <w:rFonts w:ascii="Courier New" w:hAnsi="Courier New" w:hint="default"/>
      </w:rPr>
    </w:lvl>
    <w:lvl w:ilvl="5" w:tplc="04090005">
      <w:start w:val="1"/>
      <w:numFmt w:val="bullet"/>
      <w:lvlText w:val=""/>
      <w:lvlJc w:val="left"/>
      <w:pPr>
        <w:ind w:left="4360" w:hanging="360"/>
      </w:pPr>
      <w:rPr>
        <w:rFonts w:ascii="Wingdings" w:hAnsi="Wingdings" w:hint="default"/>
      </w:rPr>
    </w:lvl>
    <w:lvl w:ilvl="6" w:tplc="04090001">
      <w:start w:val="1"/>
      <w:numFmt w:val="bullet"/>
      <w:lvlText w:val=""/>
      <w:lvlJc w:val="left"/>
      <w:pPr>
        <w:ind w:left="5080" w:hanging="360"/>
      </w:pPr>
      <w:rPr>
        <w:rFonts w:ascii="Symbol" w:hAnsi="Symbol" w:hint="default"/>
      </w:rPr>
    </w:lvl>
    <w:lvl w:ilvl="7" w:tplc="04090003">
      <w:start w:val="1"/>
      <w:numFmt w:val="bullet"/>
      <w:lvlText w:val="o"/>
      <w:lvlJc w:val="left"/>
      <w:pPr>
        <w:ind w:left="5800" w:hanging="360"/>
      </w:pPr>
      <w:rPr>
        <w:rFonts w:ascii="Courier New" w:hAnsi="Courier New" w:hint="default"/>
      </w:rPr>
    </w:lvl>
    <w:lvl w:ilvl="8" w:tplc="04090005">
      <w:start w:val="1"/>
      <w:numFmt w:val="bullet"/>
      <w:lvlText w:val=""/>
      <w:lvlJc w:val="left"/>
      <w:pPr>
        <w:ind w:left="6520" w:hanging="360"/>
      </w:pPr>
      <w:rPr>
        <w:rFonts w:ascii="Wingdings" w:hAnsi="Wingdings" w:hint="default"/>
      </w:rPr>
    </w:lvl>
  </w:abstractNum>
  <w:abstractNum w:abstractNumId="33">
    <w:nsid w:val="746056BF"/>
    <w:multiLevelType w:val="hybridMultilevel"/>
    <w:tmpl w:val="57886D06"/>
    <w:lvl w:ilvl="0" w:tplc="83C226F6">
      <w:start w:val="1"/>
      <w:numFmt w:val="bullet"/>
      <w:lvlText w:val=""/>
      <w:lvlJc w:val="left"/>
      <w:pPr>
        <w:tabs>
          <w:tab w:val="num" w:pos="397"/>
        </w:tabs>
        <w:ind w:left="494" w:hanging="94"/>
      </w:pPr>
      <w:rPr>
        <w:rFonts w:ascii="Symbol" w:hAnsi="Symbol" w:hint="default"/>
      </w:rPr>
    </w:lvl>
    <w:lvl w:ilvl="1" w:tplc="04090003">
      <w:start w:val="1"/>
      <w:numFmt w:val="bullet"/>
      <w:lvlText w:val="o"/>
      <w:lvlJc w:val="left"/>
      <w:pPr>
        <w:ind w:left="1480" w:hanging="360"/>
      </w:pPr>
      <w:rPr>
        <w:rFonts w:ascii="Courier New" w:hAnsi="Courier New" w:hint="default"/>
      </w:rPr>
    </w:lvl>
    <w:lvl w:ilvl="2" w:tplc="04090005">
      <w:start w:val="1"/>
      <w:numFmt w:val="bullet"/>
      <w:lvlText w:val=""/>
      <w:lvlJc w:val="left"/>
      <w:pPr>
        <w:ind w:left="2200" w:hanging="360"/>
      </w:pPr>
      <w:rPr>
        <w:rFonts w:ascii="Wingdings" w:hAnsi="Wingdings" w:hint="default"/>
      </w:rPr>
    </w:lvl>
    <w:lvl w:ilvl="3" w:tplc="04090001">
      <w:start w:val="1"/>
      <w:numFmt w:val="bullet"/>
      <w:lvlText w:val=""/>
      <w:lvlJc w:val="left"/>
      <w:pPr>
        <w:ind w:left="2920" w:hanging="360"/>
      </w:pPr>
      <w:rPr>
        <w:rFonts w:ascii="Symbol" w:hAnsi="Symbol" w:hint="default"/>
      </w:rPr>
    </w:lvl>
    <w:lvl w:ilvl="4" w:tplc="04090003">
      <w:start w:val="1"/>
      <w:numFmt w:val="bullet"/>
      <w:lvlText w:val="o"/>
      <w:lvlJc w:val="left"/>
      <w:pPr>
        <w:ind w:left="3640" w:hanging="360"/>
      </w:pPr>
      <w:rPr>
        <w:rFonts w:ascii="Courier New" w:hAnsi="Courier New" w:hint="default"/>
      </w:rPr>
    </w:lvl>
    <w:lvl w:ilvl="5" w:tplc="04090005">
      <w:start w:val="1"/>
      <w:numFmt w:val="bullet"/>
      <w:lvlText w:val=""/>
      <w:lvlJc w:val="left"/>
      <w:pPr>
        <w:ind w:left="4360" w:hanging="360"/>
      </w:pPr>
      <w:rPr>
        <w:rFonts w:ascii="Wingdings" w:hAnsi="Wingdings" w:hint="default"/>
      </w:rPr>
    </w:lvl>
    <w:lvl w:ilvl="6" w:tplc="04090001">
      <w:start w:val="1"/>
      <w:numFmt w:val="bullet"/>
      <w:lvlText w:val=""/>
      <w:lvlJc w:val="left"/>
      <w:pPr>
        <w:ind w:left="5080" w:hanging="360"/>
      </w:pPr>
      <w:rPr>
        <w:rFonts w:ascii="Symbol" w:hAnsi="Symbol" w:hint="default"/>
      </w:rPr>
    </w:lvl>
    <w:lvl w:ilvl="7" w:tplc="04090003">
      <w:start w:val="1"/>
      <w:numFmt w:val="bullet"/>
      <w:lvlText w:val="o"/>
      <w:lvlJc w:val="left"/>
      <w:pPr>
        <w:ind w:left="5800" w:hanging="360"/>
      </w:pPr>
      <w:rPr>
        <w:rFonts w:ascii="Courier New" w:hAnsi="Courier New" w:hint="default"/>
      </w:rPr>
    </w:lvl>
    <w:lvl w:ilvl="8" w:tplc="04090005">
      <w:start w:val="1"/>
      <w:numFmt w:val="bullet"/>
      <w:lvlText w:val=""/>
      <w:lvlJc w:val="left"/>
      <w:pPr>
        <w:ind w:left="6520" w:hanging="360"/>
      </w:pPr>
      <w:rPr>
        <w:rFonts w:ascii="Wingdings" w:hAnsi="Wingdings" w:hint="default"/>
      </w:rPr>
    </w:lvl>
  </w:abstractNum>
  <w:abstractNum w:abstractNumId="34">
    <w:nsid w:val="7B8E397F"/>
    <w:multiLevelType w:val="hybridMultilevel"/>
    <w:tmpl w:val="B8A29B16"/>
    <w:lvl w:ilvl="0" w:tplc="83C226F6">
      <w:start w:val="1"/>
      <w:numFmt w:val="bullet"/>
      <w:lvlText w:val=""/>
      <w:lvlJc w:val="left"/>
      <w:pPr>
        <w:tabs>
          <w:tab w:val="num" w:pos="397"/>
        </w:tabs>
        <w:ind w:left="494" w:hanging="94"/>
      </w:pPr>
      <w:rPr>
        <w:rFonts w:ascii="Symbol" w:hAnsi="Symbol" w:hint="default"/>
      </w:rPr>
    </w:lvl>
    <w:lvl w:ilvl="1" w:tplc="04090003">
      <w:start w:val="1"/>
      <w:numFmt w:val="bullet"/>
      <w:lvlText w:val="o"/>
      <w:lvlJc w:val="left"/>
      <w:pPr>
        <w:ind w:left="1480" w:hanging="360"/>
      </w:pPr>
      <w:rPr>
        <w:rFonts w:ascii="Courier New" w:hAnsi="Courier New" w:hint="default"/>
      </w:rPr>
    </w:lvl>
    <w:lvl w:ilvl="2" w:tplc="04090005">
      <w:start w:val="1"/>
      <w:numFmt w:val="bullet"/>
      <w:lvlText w:val=""/>
      <w:lvlJc w:val="left"/>
      <w:pPr>
        <w:ind w:left="2200" w:hanging="360"/>
      </w:pPr>
      <w:rPr>
        <w:rFonts w:ascii="Wingdings" w:hAnsi="Wingdings" w:hint="default"/>
      </w:rPr>
    </w:lvl>
    <w:lvl w:ilvl="3" w:tplc="04090001">
      <w:start w:val="1"/>
      <w:numFmt w:val="bullet"/>
      <w:lvlText w:val=""/>
      <w:lvlJc w:val="left"/>
      <w:pPr>
        <w:ind w:left="2920" w:hanging="360"/>
      </w:pPr>
      <w:rPr>
        <w:rFonts w:ascii="Symbol" w:hAnsi="Symbol" w:hint="default"/>
      </w:rPr>
    </w:lvl>
    <w:lvl w:ilvl="4" w:tplc="04090003">
      <w:start w:val="1"/>
      <w:numFmt w:val="bullet"/>
      <w:lvlText w:val="o"/>
      <w:lvlJc w:val="left"/>
      <w:pPr>
        <w:ind w:left="3640" w:hanging="360"/>
      </w:pPr>
      <w:rPr>
        <w:rFonts w:ascii="Courier New" w:hAnsi="Courier New" w:hint="default"/>
      </w:rPr>
    </w:lvl>
    <w:lvl w:ilvl="5" w:tplc="04090005">
      <w:start w:val="1"/>
      <w:numFmt w:val="bullet"/>
      <w:lvlText w:val=""/>
      <w:lvlJc w:val="left"/>
      <w:pPr>
        <w:ind w:left="4360" w:hanging="360"/>
      </w:pPr>
      <w:rPr>
        <w:rFonts w:ascii="Wingdings" w:hAnsi="Wingdings" w:hint="default"/>
      </w:rPr>
    </w:lvl>
    <w:lvl w:ilvl="6" w:tplc="04090001">
      <w:start w:val="1"/>
      <w:numFmt w:val="bullet"/>
      <w:lvlText w:val=""/>
      <w:lvlJc w:val="left"/>
      <w:pPr>
        <w:ind w:left="5080" w:hanging="360"/>
      </w:pPr>
      <w:rPr>
        <w:rFonts w:ascii="Symbol" w:hAnsi="Symbol" w:hint="default"/>
      </w:rPr>
    </w:lvl>
    <w:lvl w:ilvl="7" w:tplc="04090003">
      <w:start w:val="1"/>
      <w:numFmt w:val="bullet"/>
      <w:lvlText w:val="o"/>
      <w:lvlJc w:val="left"/>
      <w:pPr>
        <w:ind w:left="5800" w:hanging="360"/>
      </w:pPr>
      <w:rPr>
        <w:rFonts w:ascii="Courier New" w:hAnsi="Courier New" w:hint="default"/>
      </w:rPr>
    </w:lvl>
    <w:lvl w:ilvl="8" w:tplc="04090005">
      <w:start w:val="1"/>
      <w:numFmt w:val="bullet"/>
      <w:lvlText w:val=""/>
      <w:lvlJc w:val="left"/>
      <w:pPr>
        <w:ind w:left="6520" w:hanging="360"/>
      </w:pPr>
      <w:rPr>
        <w:rFonts w:ascii="Wingdings" w:hAnsi="Wingdings" w:hint="default"/>
      </w:rPr>
    </w:lvl>
  </w:abstractNum>
  <w:abstractNum w:abstractNumId="35">
    <w:nsid w:val="7ED4637E"/>
    <w:multiLevelType w:val="hybridMultilevel"/>
    <w:tmpl w:val="05D2C876"/>
    <w:lvl w:ilvl="0" w:tplc="83C226F6">
      <w:start w:val="1"/>
      <w:numFmt w:val="bullet"/>
      <w:lvlText w:val=""/>
      <w:lvlJc w:val="left"/>
      <w:pPr>
        <w:tabs>
          <w:tab w:val="num" w:pos="397"/>
        </w:tabs>
        <w:ind w:left="494" w:hanging="94"/>
      </w:pPr>
      <w:rPr>
        <w:rFonts w:ascii="Symbol" w:hAnsi="Symbol" w:hint="default"/>
      </w:rPr>
    </w:lvl>
    <w:lvl w:ilvl="1" w:tplc="04090003">
      <w:start w:val="1"/>
      <w:numFmt w:val="bullet"/>
      <w:lvlText w:val="o"/>
      <w:lvlJc w:val="left"/>
      <w:pPr>
        <w:ind w:left="1480" w:hanging="360"/>
      </w:pPr>
      <w:rPr>
        <w:rFonts w:ascii="Courier New" w:hAnsi="Courier New" w:hint="default"/>
      </w:rPr>
    </w:lvl>
    <w:lvl w:ilvl="2" w:tplc="04090005">
      <w:start w:val="1"/>
      <w:numFmt w:val="bullet"/>
      <w:lvlText w:val=""/>
      <w:lvlJc w:val="left"/>
      <w:pPr>
        <w:ind w:left="2200" w:hanging="360"/>
      </w:pPr>
      <w:rPr>
        <w:rFonts w:ascii="Wingdings" w:hAnsi="Wingdings" w:hint="default"/>
      </w:rPr>
    </w:lvl>
    <w:lvl w:ilvl="3" w:tplc="04090001">
      <w:start w:val="1"/>
      <w:numFmt w:val="bullet"/>
      <w:lvlText w:val=""/>
      <w:lvlJc w:val="left"/>
      <w:pPr>
        <w:ind w:left="2920" w:hanging="360"/>
      </w:pPr>
      <w:rPr>
        <w:rFonts w:ascii="Symbol" w:hAnsi="Symbol" w:hint="default"/>
      </w:rPr>
    </w:lvl>
    <w:lvl w:ilvl="4" w:tplc="04090003">
      <w:start w:val="1"/>
      <w:numFmt w:val="bullet"/>
      <w:lvlText w:val="o"/>
      <w:lvlJc w:val="left"/>
      <w:pPr>
        <w:ind w:left="3640" w:hanging="360"/>
      </w:pPr>
      <w:rPr>
        <w:rFonts w:ascii="Courier New" w:hAnsi="Courier New" w:hint="default"/>
      </w:rPr>
    </w:lvl>
    <w:lvl w:ilvl="5" w:tplc="04090005">
      <w:start w:val="1"/>
      <w:numFmt w:val="bullet"/>
      <w:lvlText w:val=""/>
      <w:lvlJc w:val="left"/>
      <w:pPr>
        <w:ind w:left="4360" w:hanging="360"/>
      </w:pPr>
      <w:rPr>
        <w:rFonts w:ascii="Wingdings" w:hAnsi="Wingdings" w:hint="default"/>
      </w:rPr>
    </w:lvl>
    <w:lvl w:ilvl="6" w:tplc="04090001">
      <w:start w:val="1"/>
      <w:numFmt w:val="bullet"/>
      <w:lvlText w:val=""/>
      <w:lvlJc w:val="left"/>
      <w:pPr>
        <w:ind w:left="5080" w:hanging="360"/>
      </w:pPr>
      <w:rPr>
        <w:rFonts w:ascii="Symbol" w:hAnsi="Symbol" w:hint="default"/>
      </w:rPr>
    </w:lvl>
    <w:lvl w:ilvl="7" w:tplc="04090003">
      <w:start w:val="1"/>
      <w:numFmt w:val="bullet"/>
      <w:lvlText w:val="o"/>
      <w:lvlJc w:val="left"/>
      <w:pPr>
        <w:ind w:left="5800" w:hanging="360"/>
      </w:pPr>
      <w:rPr>
        <w:rFonts w:ascii="Courier New" w:hAnsi="Courier New" w:hint="default"/>
      </w:rPr>
    </w:lvl>
    <w:lvl w:ilvl="8" w:tplc="04090005">
      <w:start w:val="1"/>
      <w:numFmt w:val="bullet"/>
      <w:lvlText w:val=""/>
      <w:lvlJc w:val="left"/>
      <w:pPr>
        <w:ind w:left="6520" w:hanging="360"/>
      </w:pPr>
      <w:rPr>
        <w:rFonts w:ascii="Wingdings" w:hAnsi="Wingdings" w:hint="default"/>
      </w:rPr>
    </w:lvl>
  </w:abstractNum>
  <w:num w:numId="1">
    <w:abstractNumId w:val="25"/>
  </w:num>
  <w:num w:numId="2">
    <w:abstractNumId w:val="23"/>
  </w:num>
  <w:num w:numId="3">
    <w:abstractNumId w:val="33"/>
  </w:num>
  <w:num w:numId="4">
    <w:abstractNumId w:val="24"/>
  </w:num>
  <w:num w:numId="5">
    <w:abstractNumId w:val="21"/>
  </w:num>
  <w:num w:numId="6">
    <w:abstractNumId w:val="29"/>
  </w:num>
  <w:num w:numId="7">
    <w:abstractNumId w:val="34"/>
  </w:num>
  <w:num w:numId="8">
    <w:abstractNumId w:val="35"/>
  </w:num>
  <w:num w:numId="9">
    <w:abstractNumId w:val="32"/>
  </w:num>
  <w:num w:numId="10">
    <w:abstractNumId w:val="10"/>
  </w:num>
  <w:num w:numId="11">
    <w:abstractNumId w:val="1"/>
  </w:num>
  <w:num w:numId="12">
    <w:abstractNumId w:val="8"/>
  </w:num>
  <w:num w:numId="13">
    <w:abstractNumId w:val="6"/>
  </w:num>
  <w:num w:numId="14">
    <w:abstractNumId w:val="3"/>
  </w:num>
  <w:num w:numId="15">
    <w:abstractNumId w:val="27"/>
  </w:num>
  <w:num w:numId="16">
    <w:abstractNumId w:val="2"/>
  </w:num>
  <w:num w:numId="17">
    <w:abstractNumId w:val="28"/>
  </w:num>
  <w:num w:numId="18">
    <w:abstractNumId w:val="7"/>
  </w:num>
  <w:num w:numId="19">
    <w:abstractNumId w:val="17"/>
  </w:num>
  <w:num w:numId="20">
    <w:abstractNumId w:val="4"/>
  </w:num>
  <w:num w:numId="21">
    <w:abstractNumId w:val="9"/>
  </w:num>
  <w:num w:numId="22">
    <w:abstractNumId w:val="20"/>
  </w:num>
  <w:num w:numId="23">
    <w:abstractNumId w:val="30"/>
  </w:num>
  <w:num w:numId="24">
    <w:abstractNumId w:val="26"/>
  </w:num>
  <w:num w:numId="25">
    <w:abstractNumId w:val="11"/>
  </w:num>
  <w:num w:numId="26">
    <w:abstractNumId w:val="22"/>
  </w:num>
  <w:num w:numId="27">
    <w:abstractNumId w:val="12"/>
  </w:num>
  <w:num w:numId="28">
    <w:abstractNumId w:val="18"/>
  </w:num>
  <w:num w:numId="29">
    <w:abstractNumId w:val="14"/>
  </w:num>
  <w:num w:numId="30">
    <w:abstractNumId w:val="19"/>
  </w:num>
  <w:num w:numId="31">
    <w:abstractNumId w:val="31"/>
  </w:num>
  <w:num w:numId="32">
    <w:abstractNumId w:val="15"/>
  </w:num>
  <w:num w:numId="33">
    <w:abstractNumId w:val="16"/>
  </w:num>
  <w:num w:numId="34">
    <w:abstractNumId w:val="13"/>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1"/>
  <w:displayBackgroundShape/>
  <w:embedSystemFonts/>
  <w:proofState w:spelling="clean" w:grammar="clean"/>
  <w:defaultTabStop w:val="720"/>
  <w:hyphenationZone w:val="425"/>
  <w:doNotHyphenateCaps/>
  <w:drawingGridHorizontalSpacing w:val="200"/>
  <w:drawingGridVerticalSpacing w:val="0"/>
  <w:displayHorizontalDrawingGridEvery w:val="0"/>
  <w:displayVerticalDrawingGridEvery w:val="0"/>
  <w:noPunctuationKerning/>
  <w:characterSpacingControl w:val="doNotCompress"/>
  <w:strictFirstAndLastChar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123"/>
    <w:rsid w:val="0000255A"/>
    <w:rsid w:val="00007DA4"/>
    <w:rsid w:val="000142A4"/>
    <w:rsid w:val="00014E36"/>
    <w:rsid w:val="000225BA"/>
    <w:rsid w:val="0002336F"/>
    <w:rsid w:val="00024DD6"/>
    <w:rsid w:val="0002551A"/>
    <w:rsid w:val="00026C80"/>
    <w:rsid w:val="00030C2C"/>
    <w:rsid w:val="00032054"/>
    <w:rsid w:val="000328E3"/>
    <w:rsid w:val="0003575B"/>
    <w:rsid w:val="0003735C"/>
    <w:rsid w:val="00037CDC"/>
    <w:rsid w:val="00037D98"/>
    <w:rsid w:val="00042252"/>
    <w:rsid w:val="000423C3"/>
    <w:rsid w:val="00050278"/>
    <w:rsid w:val="00052126"/>
    <w:rsid w:val="00052A60"/>
    <w:rsid w:val="000561B2"/>
    <w:rsid w:val="000568E5"/>
    <w:rsid w:val="000615B0"/>
    <w:rsid w:val="000701AB"/>
    <w:rsid w:val="00071222"/>
    <w:rsid w:val="00073B7F"/>
    <w:rsid w:val="000744EF"/>
    <w:rsid w:val="0008026B"/>
    <w:rsid w:val="00081270"/>
    <w:rsid w:val="00081AF6"/>
    <w:rsid w:val="0008267F"/>
    <w:rsid w:val="00083CB4"/>
    <w:rsid w:val="00092809"/>
    <w:rsid w:val="00093B2C"/>
    <w:rsid w:val="00097805"/>
    <w:rsid w:val="000A1804"/>
    <w:rsid w:val="000A4D37"/>
    <w:rsid w:val="000A5AE1"/>
    <w:rsid w:val="000A6D16"/>
    <w:rsid w:val="000A7F3E"/>
    <w:rsid w:val="000B2DE8"/>
    <w:rsid w:val="000B3270"/>
    <w:rsid w:val="000B3468"/>
    <w:rsid w:val="000C05A5"/>
    <w:rsid w:val="000C228B"/>
    <w:rsid w:val="000C51A0"/>
    <w:rsid w:val="000C60DE"/>
    <w:rsid w:val="000D0B99"/>
    <w:rsid w:val="000D1AEB"/>
    <w:rsid w:val="000D2C0A"/>
    <w:rsid w:val="000D65F8"/>
    <w:rsid w:val="000D742B"/>
    <w:rsid w:val="000E487D"/>
    <w:rsid w:val="000E4A9F"/>
    <w:rsid w:val="000E5A24"/>
    <w:rsid w:val="000E5F00"/>
    <w:rsid w:val="000E6B6A"/>
    <w:rsid w:val="000F248E"/>
    <w:rsid w:val="000F3983"/>
    <w:rsid w:val="000F3E02"/>
    <w:rsid w:val="000F42AD"/>
    <w:rsid w:val="000F70D2"/>
    <w:rsid w:val="00101AD6"/>
    <w:rsid w:val="00112D59"/>
    <w:rsid w:val="00116045"/>
    <w:rsid w:val="0011666B"/>
    <w:rsid w:val="0012738A"/>
    <w:rsid w:val="0013530E"/>
    <w:rsid w:val="0014341F"/>
    <w:rsid w:val="00143686"/>
    <w:rsid w:val="00144343"/>
    <w:rsid w:val="001453DE"/>
    <w:rsid w:val="001467E0"/>
    <w:rsid w:val="0015696B"/>
    <w:rsid w:val="00156FC4"/>
    <w:rsid w:val="001603D5"/>
    <w:rsid w:val="00165F5F"/>
    <w:rsid w:val="00166F32"/>
    <w:rsid w:val="00170112"/>
    <w:rsid w:val="0017095E"/>
    <w:rsid w:val="001737D3"/>
    <w:rsid w:val="00173A55"/>
    <w:rsid w:val="00173E2F"/>
    <w:rsid w:val="0017439C"/>
    <w:rsid w:val="00174746"/>
    <w:rsid w:val="001753ED"/>
    <w:rsid w:val="00180399"/>
    <w:rsid w:val="00180E57"/>
    <w:rsid w:val="001815C4"/>
    <w:rsid w:val="00181855"/>
    <w:rsid w:val="00185589"/>
    <w:rsid w:val="0018566C"/>
    <w:rsid w:val="0018640F"/>
    <w:rsid w:val="00186CFB"/>
    <w:rsid w:val="001958FD"/>
    <w:rsid w:val="00195AA9"/>
    <w:rsid w:val="00196734"/>
    <w:rsid w:val="001969FB"/>
    <w:rsid w:val="00197401"/>
    <w:rsid w:val="001A131C"/>
    <w:rsid w:val="001A7BD2"/>
    <w:rsid w:val="001B3819"/>
    <w:rsid w:val="001B3D64"/>
    <w:rsid w:val="001B5FD2"/>
    <w:rsid w:val="001B6254"/>
    <w:rsid w:val="001C0DF8"/>
    <w:rsid w:val="001C4A97"/>
    <w:rsid w:val="001C58E9"/>
    <w:rsid w:val="001D02F0"/>
    <w:rsid w:val="001D0A26"/>
    <w:rsid w:val="001D3762"/>
    <w:rsid w:val="001D4E40"/>
    <w:rsid w:val="001D76AD"/>
    <w:rsid w:val="001E1CA7"/>
    <w:rsid w:val="001E22F3"/>
    <w:rsid w:val="001E2A55"/>
    <w:rsid w:val="001E74A3"/>
    <w:rsid w:val="001F4168"/>
    <w:rsid w:val="001F4B0A"/>
    <w:rsid w:val="00200A65"/>
    <w:rsid w:val="002017A9"/>
    <w:rsid w:val="002032D3"/>
    <w:rsid w:val="00203AB7"/>
    <w:rsid w:val="0020463D"/>
    <w:rsid w:val="00205109"/>
    <w:rsid w:val="00206906"/>
    <w:rsid w:val="002078E0"/>
    <w:rsid w:val="00210F39"/>
    <w:rsid w:val="00211152"/>
    <w:rsid w:val="002248F1"/>
    <w:rsid w:val="002253F7"/>
    <w:rsid w:val="00227180"/>
    <w:rsid w:val="00231648"/>
    <w:rsid w:val="00232712"/>
    <w:rsid w:val="0023392A"/>
    <w:rsid w:val="00236099"/>
    <w:rsid w:val="0023669B"/>
    <w:rsid w:val="0024205F"/>
    <w:rsid w:val="00242BD5"/>
    <w:rsid w:val="00252211"/>
    <w:rsid w:val="00255132"/>
    <w:rsid w:val="00256BB3"/>
    <w:rsid w:val="00262D18"/>
    <w:rsid w:val="002648AA"/>
    <w:rsid w:val="002659D6"/>
    <w:rsid w:val="002705F9"/>
    <w:rsid w:val="002717AA"/>
    <w:rsid w:val="0027488F"/>
    <w:rsid w:val="002801FD"/>
    <w:rsid w:val="00281E02"/>
    <w:rsid w:val="00283919"/>
    <w:rsid w:val="002850FE"/>
    <w:rsid w:val="00292E6E"/>
    <w:rsid w:val="00295A21"/>
    <w:rsid w:val="00297FA3"/>
    <w:rsid w:val="002A53A4"/>
    <w:rsid w:val="002A5680"/>
    <w:rsid w:val="002A673A"/>
    <w:rsid w:val="002A6B80"/>
    <w:rsid w:val="002A7906"/>
    <w:rsid w:val="002B67F6"/>
    <w:rsid w:val="002C0285"/>
    <w:rsid w:val="002C02C4"/>
    <w:rsid w:val="002C1A68"/>
    <w:rsid w:val="002C26F1"/>
    <w:rsid w:val="002C3B19"/>
    <w:rsid w:val="002D2792"/>
    <w:rsid w:val="002D786E"/>
    <w:rsid w:val="002E1692"/>
    <w:rsid w:val="002E3DC8"/>
    <w:rsid w:val="002E70D4"/>
    <w:rsid w:val="002E7551"/>
    <w:rsid w:val="002E7FA4"/>
    <w:rsid w:val="002F017A"/>
    <w:rsid w:val="002F0F6D"/>
    <w:rsid w:val="002F156A"/>
    <w:rsid w:val="002F367A"/>
    <w:rsid w:val="002F5B95"/>
    <w:rsid w:val="0030042C"/>
    <w:rsid w:val="003025DE"/>
    <w:rsid w:val="00306114"/>
    <w:rsid w:val="00306208"/>
    <w:rsid w:val="00307B5D"/>
    <w:rsid w:val="00311CAC"/>
    <w:rsid w:val="0031223D"/>
    <w:rsid w:val="00312459"/>
    <w:rsid w:val="00312956"/>
    <w:rsid w:val="0031379B"/>
    <w:rsid w:val="00314A09"/>
    <w:rsid w:val="0031691C"/>
    <w:rsid w:val="00320395"/>
    <w:rsid w:val="00320F96"/>
    <w:rsid w:val="00323CE8"/>
    <w:rsid w:val="00324C94"/>
    <w:rsid w:val="00327933"/>
    <w:rsid w:val="00337BD2"/>
    <w:rsid w:val="003402AA"/>
    <w:rsid w:val="00340FB0"/>
    <w:rsid w:val="00344222"/>
    <w:rsid w:val="00345D6C"/>
    <w:rsid w:val="003507ED"/>
    <w:rsid w:val="00353D85"/>
    <w:rsid w:val="00353E83"/>
    <w:rsid w:val="00354731"/>
    <w:rsid w:val="003559C0"/>
    <w:rsid w:val="0035744E"/>
    <w:rsid w:val="00361A5B"/>
    <w:rsid w:val="00367E63"/>
    <w:rsid w:val="00367EEB"/>
    <w:rsid w:val="00372BAA"/>
    <w:rsid w:val="003739E9"/>
    <w:rsid w:val="00374FDF"/>
    <w:rsid w:val="003811B9"/>
    <w:rsid w:val="00386344"/>
    <w:rsid w:val="00387008"/>
    <w:rsid w:val="0039156C"/>
    <w:rsid w:val="003918B3"/>
    <w:rsid w:val="00391E63"/>
    <w:rsid w:val="003942AC"/>
    <w:rsid w:val="00394329"/>
    <w:rsid w:val="00394346"/>
    <w:rsid w:val="003A366A"/>
    <w:rsid w:val="003B013D"/>
    <w:rsid w:val="003B06D5"/>
    <w:rsid w:val="003B14C5"/>
    <w:rsid w:val="003B34CF"/>
    <w:rsid w:val="003C5D9E"/>
    <w:rsid w:val="003C798A"/>
    <w:rsid w:val="003D1475"/>
    <w:rsid w:val="003D1587"/>
    <w:rsid w:val="003D251A"/>
    <w:rsid w:val="003D408C"/>
    <w:rsid w:val="003D4776"/>
    <w:rsid w:val="003D5011"/>
    <w:rsid w:val="003D686C"/>
    <w:rsid w:val="003E1AAE"/>
    <w:rsid w:val="003E2779"/>
    <w:rsid w:val="003E32AF"/>
    <w:rsid w:val="003F2F60"/>
    <w:rsid w:val="003F309E"/>
    <w:rsid w:val="0040761E"/>
    <w:rsid w:val="0041268A"/>
    <w:rsid w:val="00416EDE"/>
    <w:rsid w:val="00424C82"/>
    <w:rsid w:val="00426B51"/>
    <w:rsid w:val="00431D5F"/>
    <w:rsid w:val="00435157"/>
    <w:rsid w:val="00436033"/>
    <w:rsid w:val="00442D97"/>
    <w:rsid w:val="00443EEF"/>
    <w:rsid w:val="00446D15"/>
    <w:rsid w:val="004475A7"/>
    <w:rsid w:val="00457F6D"/>
    <w:rsid w:val="0046032B"/>
    <w:rsid w:val="004604F5"/>
    <w:rsid w:val="00466CE3"/>
    <w:rsid w:val="00473315"/>
    <w:rsid w:val="00473F99"/>
    <w:rsid w:val="00474F9B"/>
    <w:rsid w:val="0047503A"/>
    <w:rsid w:val="00481ACF"/>
    <w:rsid w:val="00491A35"/>
    <w:rsid w:val="00491D90"/>
    <w:rsid w:val="0049389F"/>
    <w:rsid w:val="00496A48"/>
    <w:rsid w:val="00497432"/>
    <w:rsid w:val="004A35AD"/>
    <w:rsid w:val="004B0E26"/>
    <w:rsid w:val="004B2020"/>
    <w:rsid w:val="004B2825"/>
    <w:rsid w:val="004B30F6"/>
    <w:rsid w:val="004B69B8"/>
    <w:rsid w:val="004C2A58"/>
    <w:rsid w:val="004C34CD"/>
    <w:rsid w:val="004C3573"/>
    <w:rsid w:val="004C37E8"/>
    <w:rsid w:val="004C4524"/>
    <w:rsid w:val="004C6BA6"/>
    <w:rsid w:val="004C7FCA"/>
    <w:rsid w:val="004D059D"/>
    <w:rsid w:val="004D4CBA"/>
    <w:rsid w:val="004D668A"/>
    <w:rsid w:val="004D6875"/>
    <w:rsid w:val="004D68F9"/>
    <w:rsid w:val="004E5CC9"/>
    <w:rsid w:val="004E61B9"/>
    <w:rsid w:val="004F214C"/>
    <w:rsid w:val="004F2672"/>
    <w:rsid w:val="004F3586"/>
    <w:rsid w:val="004F4615"/>
    <w:rsid w:val="004F551D"/>
    <w:rsid w:val="004F5D6B"/>
    <w:rsid w:val="004F78BE"/>
    <w:rsid w:val="00500BF0"/>
    <w:rsid w:val="00502532"/>
    <w:rsid w:val="00503AC3"/>
    <w:rsid w:val="005065C7"/>
    <w:rsid w:val="00507646"/>
    <w:rsid w:val="00516374"/>
    <w:rsid w:val="00517A78"/>
    <w:rsid w:val="00521046"/>
    <w:rsid w:val="005214D1"/>
    <w:rsid w:val="00526CE9"/>
    <w:rsid w:val="00536D9D"/>
    <w:rsid w:val="005409E3"/>
    <w:rsid w:val="005420E0"/>
    <w:rsid w:val="00542D82"/>
    <w:rsid w:val="00551E85"/>
    <w:rsid w:val="00555A56"/>
    <w:rsid w:val="00560F42"/>
    <w:rsid w:val="00561582"/>
    <w:rsid w:val="00562369"/>
    <w:rsid w:val="00566924"/>
    <w:rsid w:val="00567698"/>
    <w:rsid w:val="005703C8"/>
    <w:rsid w:val="005715CE"/>
    <w:rsid w:val="0057243A"/>
    <w:rsid w:val="00574316"/>
    <w:rsid w:val="0057765C"/>
    <w:rsid w:val="00580742"/>
    <w:rsid w:val="00581F5B"/>
    <w:rsid w:val="00582C42"/>
    <w:rsid w:val="00590F1D"/>
    <w:rsid w:val="005926E0"/>
    <w:rsid w:val="00592B56"/>
    <w:rsid w:val="005941F6"/>
    <w:rsid w:val="00594744"/>
    <w:rsid w:val="00594D12"/>
    <w:rsid w:val="00595239"/>
    <w:rsid w:val="00595C5C"/>
    <w:rsid w:val="005A323D"/>
    <w:rsid w:val="005B5868"/>
    <w:rsid w:val="005B773C"/>
    <w:rsid w:val="005C2BD1"/>
    <w:rsid w:val="005C3028"/>
    <w:rsid w:val="005C478A"/>
    <w:rsid w:val="005C4C50"/>
    <w:rsid w:val="005C786C"/>
    <w:rsid w:val="005D07F3"/>
    <w:rsid w:val="005D0D38"/>
    <w:rsid w:val="005D0EF7"/>
    <w:rsid w:val="005D1984"/>
    <w:rsid w:val="005E5D62"/>
    <w:rsid w:val="005E6733"/>
    <w:rsid w:val="005F0290"/>
    <w:rsid w:val="005F4373"/>
    <w:rsid w:val="006020DB"/>
    <w:rsid w:val="00602C11"/>
    <w:rsid w:val="00604794"/>
    <w:rsid w:val="00612154"/>
    <w:rsid w:val="00612903"/>
    <w:rsid w:val="00614E58"/>
    <w:rsid w:val="006211B9"/>
    <w:rsid w:val="00622177"/>
    <w:rsid w:val="0062765B"/>
    <w:rsid w:val="00627EC8"/>
    <w:rsid w:val="00630A25"/>
    <w:rsid w:val="00633799"/>
    <w:rsid w:val="0064715C"/>
    <w:rsid w:val="006522E7"/>
    <w:rsid w:val="00654679"/>
    <w:rsid w:val="006657CD"/>
    <w:rsid w:val="00665A65"/>
    <w:rsid w:val="00665F7F"/>
    <w:rsid w:val="006702ED"/>
    <w:rsid w:val="0067308A"/>
    <w:rsid w:val="00674EEA"/>
    <w:rsid w:val="00676077"/>
    <w:rsid w:val="00676792"/>
    <w:rsid w:val="00677147"/>
    <w:rsid w:val="006778A2"/>
    <w:rsid w:val="006810E8"/>
    <w:rsid w:val="006846AC"/>
    <w:rsid w:val="006872F1"/>
    <w:rsid w:val="00694CBC"/>
    <w:rsid w:val="00695C15"/>
    <w:rsid w:val="00696B3E"/>
    <w:rsid w:val="00697FED"/>
    <w:rsid w:val="006A1A6E"/>
    <w:rsid w:val="006A26A0"/>
    <w:rsid w:val="006B1A71"/>
    <w:rsid w:val="006B1E56"/>
    <w:rsid w:val="006B1F5D"/>
    <w:rsid w:val="006B3516"/>
    <w:rsid w:val="006B36BF"/>
    <w:rsid w:val="006B4543"/>
    <w:rsid w:val="006B4F12"/>
    <w:rsid w:val="006B640E"/>
    <w:rsid w:val="006B7CB0"/>
    <w:rsid w:val="006C292F"/>
    <w:rsid w:val="006C2934"/>
    <w:rsid w:val="006C50F0"/>
    <w:rsid w:val="006C6F24"/>
    <w:rsid w:val="006D4EB1"/>
    <w:rsid w:val="006D5D8B"/>
    <w:rsid w:val="006D7F10"/>
    <w:rsid w:val="006E0806"/>
    <w:rsid w:val="006E4401"/>
    <w:rsid w:val="006E68C8"/>
    <w:rsid w:val="006E698B"/>
    <w:rsid w:val="006F5B2A"/>
    <w:rsid w:val="006F7CE9"/>
    <w:rsid w:val="00703DDF"/>
    <w:rsid w:val="00706D64"/>
    <w:rsid w:val="00712242"/>
    <w:rsid w:val="0071367A"/>
    <w:rsid w:val="00721455"/>
    <w:rsid w:val="00740A43"/>
    <w:rsid w:val="00742CBF"/>
    <w:rsid w:val="007455FD"/>
    <w:rsid w:val="00745D52"/>
    <w:rsid w:val="00746FCA"/>
    <w:rsid w:val="00751874"/>
    <w:rsid w:val="0075193E"/>
    <w:rsid w:val="0075214B"/>
    <w:rsid w:val="007522AA"/>
    <w:rsid w:val="00752E65"/>
    <w:rsid w:val="00755F88"/>
    <w:rsid w:val="0075679B"/>
    <w:rsid w:val="007640F3"/>
    <w:rsid w:val="007641B0"/>
    <w:rsid w:val="0076500E"/>
    <w:rsid w:val="00765BAF"/>
    <w:rsid w:val="0077436C"/>
    <w:rsid w:val="00775647"/>
    <w:rsid w:val="00780523"/>
    <w:rsid w:val="00780E7C"/>
    <w:rsid w:val="007815E8"/>
    <w:rsid w:val="007826D8"/>
    <w:rsid w:val="00785020"/>
    <w:rsid w:val="007A025C"/>
    <w:rsid w:val="007A3B58"/>
    <w:rsid w:val="007A4F6E"/>
    <w:rsid w:val="007A53B1"/>
    <w:rsid w:val="007A79F4"/>
    <w:rsid w:val="007B1E0E"/>
    <w:rsid w:val="007B3BFE"/>
    <w:rsid w:val="007C4A25"/>
    <w:rsid w:val="007C6340"/>
    <w:rsid w:val="007D5F89"/>
    <w:rsid w:val="007E0DC5"/>
    <w:rsid w:val="007E20C5"/>
    <w:rsid w:val="007E2AEC"/>
    <w:rsid w:val="007E3BB0"/>
    <w:rsid w:val="007E6044"/>
    <w:rsid w:val="007E67F9"/>
    <w:rsid w:val="007F3629"/>
    <w:rsid w:val="007F5E14"/>
    <w:rsid w:val="007F641E"/>
    <w:rsid w:val="008007BC"/>
    <w:rsid w:val="00801272"/>
    <w:rsid w:val="00801D0B"/>
    <w:rsid w:val="00801FDA"/>
    <w:rsid w:val="00803A6B"/>
    <w:rsid w:val="00804A16"/>
    <w:rsid w:val="008052F1"/>
    <w:rsid w:val="008064A6"/>
    <w:rsid w:val="00812542"/>
    <w:rsid w:val="00815AF9"/>
    <w:rsid w:val="0082090B"/>
    <w:rsid w:val="008240DE"/>
    <w:rsid w:val="00826F47"/>
    <w:rsid w:val="008308F0"/>
    <w:rsid w:val="00831DE1"/>
    <w:rsid w:val="00832B88"/>
    <w:rsid w:val="00837F2B"/>
    <w:rsid w:val="00840B42"/>
    <w:rsid w:val="00841DF7"/>
    <w:rsid w:val="00846BE5"/>
    <w:rsid w:val="008564C4"/>
    <w:rsid w:val="00867C07"/>
    <w:rsid w:val="00873220"/>
    <w:rsid w:val="00875B03"/>
    <w:rsid w:val="00877B95"/>
    <w:rsid w:val="00877C0B"/>
    <w:rsid w:val="00883EDE"/>
    <w:rsid w:val="00885E07"/>
    <w:rsid w:val="0088722B"/>
    <w:rsid w:val="008878D2"/>
    <w:rsid w:val="00891421"/>
    <w:rsid w:val="008937A6"/>
    <w:rsid w:val="00895C16"/>
    <w:rsid w:val="008967BD"/>
    <w:rsid w:val="008A0F2A"/>
    <w:rsid w:val="008A21D0"/>
    <w:rsid w:val="008B0531"/>
    <w:rsid w:val="008B4648"/>
    <w:rsid w:val="008B5CEC"/>
    <w:rsid w:val="008B7469"/>
    <w:rsid w:val="008C061A"/>
    <w:rsid w:val="008C180A"/>
    <w:rsid w:val="008C35AB"/>
    <w:rsid w:val="008C5FCF"/>
    <w:rsid w:val="008C648D"/>
    <w:rsid w:val="008D5294"/>
    <w:rsid w:val="008D6E46"/>
    <w:rsid w:val="008E6553"/>
    <w:rsid w:val="008E663F"/>
    <w:rsid w:val="008E6961"/>
    <w:rsid w:val="008F2BC1"/>
    <w:rsid w:val="008F3F17"/>
    <w:rsid w:val="008F4648"/>
    <w:rsid w:val="008F514A"/>
    <w:rsid w:val="00901980"/>
    <w:rsid w:val="0090611C"/>
    <w:rsid w:val="00906582"/>
    <w:rsid w:val="0091180A"/>
    <w:rsid w:val="00912D3B"/>
    <w:rsid w:val="00914556"/>
    <w:rsid w:val="009202D6"/>
    <w:rsid w:val="009215AE"/>
    <w:rsid w:val="00921B7D"/>
    <w:rsid w:val="009235E9"/>
    <w:rsid w:val="00925A98"/>
    <w:rsid w:val="00926CD8"/>
    <w:rsid w:val="009307FA"/>
    <w:rsid w:val="00930D74"/>
    <w:rsid w:val="009335C8"/>
    <w:rsid w:val="0093422E"/>
    <w:rsid w:val="00936818"/>
    <w:rsid w:val="00940764"/>
    <w:rsid w:val="00941C03"/>
    <w:rsid w:val="00943A1C"/>
    <w:rsid w:val="009511DD"/>
    <w:rsid w:val="00951AC1"/>
    <w:rsid w:val="0095294E"/>
    <w:rsid w:val="00953A10"/>
    <w:rsid w:val="00954B0D"/>
    <w:rsid w:val="009571C1"/>
    <w:rsid w:val="0096419A"/>
    <w:rsid w:val="009724B0"/>
    <w:rsid w:val="00972C54"/>
    <w:rsid w:val="00980635"/>
    <w:rsid w:val="00981BE5"/>
    <w:rsid w:val="00990B5E"/>
    <w:rsid w:val="00993EAB"/>
    <w:rsid w:val="00994D19"/>
    <w:rsid w:val="009A343C"/>
    <w:rsid w:val="009A5EFA"/>
    <w:rsid w:val="009B0C46"/>
    <w:rsid w:val="009B2BF4"/>
    <w:rsid w:val="009B36E2"/>
    <w:rsid w:val="009B3D11"/>
    <w:rsid w:val="009C0FFD"/>
    <w:rsid w:val="009C16BB"/>
    <w:rsid w:val="009C27DD"/>
    <w:rsid w:val="009C509A"/>
    <w:rsid w:val="009C5FBD"/>
    <w:rsid w:val="009D2044"/>
    <w:rsid w:val="009D4938"/>
    <w:rsid w:val="009D782E"/>
    <w:rsid w:val="009D7BF5"/>
    <w:rsid w:val="009E1BB6"/>
    <w:rsid w:val="009E411D"/>
    <w:rsid w:val="009E4E07"/>
    <w:rsid w:val="009E5FD0"/>
    <w:rsid w:val="009E60A4"/>
    <w:rsid w:val="009E6AC5"/>
    <w:rsid w:val="009E7AF7"/>
    <w:rsid w:val="009F14D6"/>
    <w:rsid w:val="009F279E"/>
    <w:rsid w:val="00A02DCB"/>
    <w:rsid w:val="00A02FEB"/>
    <w:rsid w:val="00A03042"/>
    <w:rsid w:val="00A03EE1"/>
    <w:rsid w:val="00A06B4E"/>
    <w:rsid w:val="00A07F50"/>
    <w:rsid w:val="00A10665"/>
    <w:rsid w:val="00A135FF"/>
    <w:rsid w:val="00A138A1"/>
    <w:rsid w:val="00A1539F"/>
    <w:rsid w:val="00A20AB9"/>
    <w:rsid w:val="00A21FB6"/>
    <w:rsid w:val="00A22FD0"/>
    <w:rsid w:val="00A23C5C"/>
    <w:rsid w:val="00A262BD"/>
    <w:rsid w:val="00A26E3B"/>
    <w:rsid w:val="00A271D6"/>
    <w:rsid w:val="00A32E2B"/>
    <w:rsid w:val="00A34312"/>
    <w:rsid w:val="00A37BF2"/>
    <w:rsid w:val="00A44601"/>
    <w:rsid w:val="00A51AC5"/>
    <w:rsid w:val="00A51B0F"/>
    <w:rsid w:val="00A54647"/>
    <w:rsid w:val="00A55954"/>
    <w:rsid w:val="00A6050C"/>
    <w:rsid w:val="00A75762"/>
    <w:rsid w:val="00A760E0"/>
    <w:rsid w:val="00A772A8"/>
    <w:rsid w:val="00A778A2"/>
    <w:rsid w:val="00A83E2A"/>
    <w:rsid w:val="00A840E8"/>
    <w:rsid w:val="00A85F40"/>
    <w:rsid w:val="00A87FE8"/>
    <w:rsid w:val="00A900BA"/>
    <w:rsid w:val="00A91A3A"/>
    <w:rsid w:val="00A92455"/>
    <w:rsid w:val="00A9542C"/>
    <w:rsid w:val="00A9590E"/>
    <w:rsid w:val="00A965AF"/>
    <w:rsid w:val="00A9794C"/>
    <w:rsid w:val="00AA044A"/>
    <w:rsid w:val="00AA23E1"/>
    <w:rsid w:val="00AA7CA7"/>
    <w:rsid w:val="00AA7FC7"/>
    <w:rsid w:val="00AB0A31"/>
    <w:rsid w:val="00AB1550"/>
    <w:rsid w:val="00AB1D59"/>
    <w:rsid w:val="00AB26C6"/>
    <w:rsid w:val="00AB2C51"/>
    <w:rsid w:val="00AB3901"/>
    <w:rsid w:val="00AB4AF5"/>
    <w:rsid w:val="00AB6BC2"/>
    <w:rsid w:val="00AC35E9"/>
    <w:rsid w:val="00AC6935"/>
    <w:rsid w:val="00AC71AD"/>
    <w:rsid w:val="00AC78CB"/>
    <w:rsid w:val="00AD288F"/>
    <w:rsid w:val="00AD3704"/>
    <w:rsid w:val="00AD6110"/>
    <w:rsid w:val="00AE30D9"/>
    <w:rsid w:val="00AE5083"/>
    <w:rsid w:val="00AF0A93"/>
    <w:rsid w:val="00AF1D2F"/>
    <w:rsid w:val="00AF31AE"/>
    <w:rsid w:val="00AF52DA"/>
    <w:rsid w:val="00AF61A2"/>
    <w:rsid w:val="00AF6ED0"/>
    <w:rsid w:val="00B00B8D"/>
    <w:rsid w:val="00B046A5"/>
    <w:rsid w:val="00B06E1C"/>
    <w:rsid w:val="00B075C5"/>
    <w:rsid w:val="00B10593"/>
    <w:rsid w:val="00B12479"/>
    <w:rsid w:val="00B13307"/>
    <w:rsid w:val="00B166F0"/>
    <w:rsid w:val="00B210B9"/>
    <w:rsid w:val="00B24A84"/>
    <w:rsid w:val="00B25883"/>
    <w:rsid w:val="00B27630"/>
    <w:rsid w:val="00B30A0D"/>
    <w:rsid w:val="00B35BCE"/>
    <w:rsid w:val="00B41B0B"/>
    <w:rsid w:val="00B43AEA"/>
    <w:rsid w:val="00B44438"/>
    <w:rsid w:val="00B54895"/>
    <w:rsid w:val="00B6296F"/>
    <w:rsid w:val="00B6311E"/>
    <w:rsid w:val="00B652FE"/>
    <w:rsid w:val="00B659B4"/>
    <w:rsid w:val="00B65EEC"/>
    <w:rsid w:val="00B66553"/>
    <w:rsid w:val="00B671B9"/>
    <w:rsid w:val="00B71999"/>
    <w:rsid w:val="00B7278A"/>
    <w:rsid w:val="00B72FDA"/>
    <w:rsid w:val="00B731F0"/>
    <w:rsid w:val="00B74DBD"/>
    <w:rsid w:val="00B7551F"/>
    <w:rsid w:val="00B76A3A"/>
    <w:rsid w:val="00B7734C"/>
    <w:rsid w:val="00B87220"/>
    <w:rsid w:val="00B90D46"/>
    <w:rsid w:val="00B947D5"/>
    <w:rsid w:val="00BA494C"/>
    <w:rsid w:val="00BA52B0"/>
    <w:rsid w:val="00BB62D4"/>
    <w:rsid w:val="00BB683B"/>
    <w:rsid w:val="00BC0E42"/>
    <w:rsid w:val="00BC1A8B"/>
    <w:rsid w:val="00BC7BEA"/>
    <w:rsid w:val="00BD45B9"/>
    <w:rsid w:val="00BD4986"/>
    <w:rsid w:val="00BD7218"/>
    <w:rsid w:val="00BE2842"/>
    <w:rsid w:val="00BF18CB"/>
    <w:rsid w:val="00BF32BF"/>
    <w:rsid w:val="00BF360C"/>
    <w:rsid w:val="00BF3D87"/>
    <w:rsid w:val="00BF5DE3"/>
    <w:rsid w:val="00BF5F0F"/>
    <w:rsid w:val="00C10A79"/>
    <w:rsid w:val="00C11C68"/>
    <w:rsid w:val="00C1318A"/>
    <w:rsid w:val="00C1490D"/>
    <w:rsid w:val="00C14B81"/>
    <w:rsid w:val="00C23D76"/>
    <w:rsid w:val="00C2461A"/>
    <w:rsid w:val="00C25CD2"/>
    <w:rsid w:val="00C30E87"/>
    <w:rsid w:val="00C3227F"/>
    <w:rsid w:val="00C333B3"/>
    <w:rsid w:val="00C33550"/>
    <w:rsid w:val="00C33DD9"/>
    <w:rsid w:val="00C362F6"/>
    <w:rsid w:val="00C36B34"/>
    <w:rsid w:val="00C37185"/>
    <w:rsid w:val="00C3774B"/>
    <w:rsid w:val="00C377ED"/>
    <w:rsid w:val="00C40929"/>
    <w:rsid w:val="00C4631D"/>
    <w:rsid w:val="00C532C2"/>
    <w:rsid w:val="00C53915"/>
    <w:rsid w:val="00C56076"/>
    <w:rsid w:val="00C606C1"/>
    <w:rsid w:val="00C61A91"/>
    <w:rsid w:val="00C63B05"/>
    <w:rsid w:val="00C64909"/>
    <w:rsid w:val="00C70B3C"/>
    <w:rsid w:val="00C7278B"/>
    <w:rsid w:val="00C7347F"/>
    <w:rsid w:val="00C737A1"/>
    <w:rsid w:val="00C737FB"/>
    <w:rsid w:val="00C7465C"/>
    <w:rsid w:val="00C80361"/>
    <w:rsid w:val="00C83339"/>
    <w:rsid w:val="00C84887"/>
    <w:rsid w:val="00C86E31"/>
    <w:rsid w:val="00C87BDA"/>
    <w:rsid w:val="00C920B4"/>
    <w:rsid w:val="00C93F48"/>
    <w:rsid w:val="00C96854"/>
    <w:rsid w:val="00CA31EC"/>
    <w:rsid w:val="00CA53DF"/>
    <w:rsid w:val="00CA7E99"/>
    <w:rsid w:val="00CB1BC5"/>
    <w:rsid w:val="00CB7BBA"/>
    <w:rsid w:val="00CC0149"/>
    <w:rsid w:val="00CD05E9"/>
    <w:rsid w:val="00CD37EF"/>
    <w:rsid w:val="00CD481A"/>
    <w:rsid w:val="00CD64B8"/>
    <w:rsid w:val="00CD64F5"/>
    <w:rsid w:val="00CD6B8E"/>
    <w:rsid w:val="00CD71B7"/>
    <w:rsid w:val="00CE21B4"/>
    <w:rsid w:val="00CE24E4"/>
    <w:rsid w:val="00CE3AFE"/>
    <w:rsid w:val="00CE71B7"/>
    <w:rsid w:val="00CF05C7"/>
    <w:rsid w:val="00CF3100"/>
    <w:rsid w:val="00CF4060"/>
    <w:rsid w:val="00D0189C"/>
    <w:rsid w:val="00D04A80"/>
    <w:rsid w:val="00D06820"/>
    <w:rsid w:val="00D13458"/>
    <w:rsid w:val="00D15331"/>
    <w:rsid w:val="00D1654D"/>
    <w:rsid w:val="00D16AFB"/>
    <w:rsid w:val="00D23A7D"/>
    <w:rsid w:val="00D23E72"/>
    <w:rsid w:val="00D26D70"/>
    <w:rsid w:val="00D27B79"/>
    <w:rsid w:val="00D30DCF"/>
    <w:rsid w:val="00D31C38"/>
    <w:rsid w:val="00D35F45"/>
    <w:rsid w:val="00D363D5"/>
    <w:rsid w:val="00D4184B"/>
    <w:rsid w:val="00D43659"/>
    <w:rsid w:val="00D446EB"/>
    <w:rsid w:val="00D46E44"/>
    <w:rsid w:val="00D7462B"/>
    <w:rsid w:val="00D779D5"/>
    <w:rsid w:val="00D77CF6"/>
    <w:rsid w:val="00D87419"/>
    <w:rsid w:val="00D87D07"/>
    <w:rsid w:val="00D87DD1"/>
    <w:rsid w:val="00D91DB4"/>
    <w:rsid w:val="00D93EC4"/>
    <w:rsid w:val="00DA1005"/>
    <w:rsid w:val="00DA12D0"/>
    <w:rsid w:val="00DA4F42"/>
    <w:rsid w:val="00DA5337"/>
    <w:rsid w:val="00DB01C2"/>
    <w:rsid w:val="00DB111C"/>
    <w:rsid w:val="00DB2DD4"/>
    <w:rsid w:val="00DB2E90"/>
    <w:rsid w:val="00DB342D"/>
    <w:rsid w:val="00DB3A95"/>
    <w:rsid w:val="00DB59CB"/>
    <w:rsid w:val="00DC0EA5"/>
    <w:rsid w:val="00DC1A72"/>
    <w:rsid w:val="00DC2018"/>
    <w:rsid w:val="00DC24B0"/>
    <w:rsid w:val="00DC4998"/>
    <w:rsid w:val="00DC7363"/>
    <w:rsid w:val="00DD079D"/>
    <w:rsid w:val="00DD4053"/>
    <w:rsid w:val="00DD4CC3"/>
    <w:rsid w:val="00DD575B"/>
    <w:rsid w:val="00DD719B"/>
    <w:rsid w:val="00DE075F"/>
    <w:rsid w:val="00DE7249"/>
    <w:rsid w:val="00DE7778"/>
    <w:rsid w:val="00DF0515"/>
    <w:rsid w:val="00DF2005"/>
    <w:rsid w:val="00DF35D7"/>
    <w:rsid w:val="00DF5CC8"/>
    <w:rsid w:val="00E07CFD"/>
    <w:rsid w:val="00E108B1"/>
    <w:rsid w:val="00E11AD2"/>
    <w:rsid w:val="00E12E4D"/>
    <w:rsid w:val="00E148DA"/>
    <w:rsid w:val="00E16BFD"/>
    <w:rsid w:val="00E17702"/>
    <w:rsid w:val="00E17DBB"/>
    <w:rsid w:val="00E21B7A"/>
    <w:rsid w:val="00E22DC3"/>
    <w:rsid w:val="00E2597F"/>
    <w:rsid w:val="00E25A71"/>
    <w:rsid w:val="00E27FE0"/>
    <w:rsid w:val="00E31B10"/>
    <w:rsid w:val="00E35122"/>
    <w:rsid w:val="00E3579B"/>
    <w:rsid w:val="00E35894"/>
    <w:rsid w:val="00E3718A"/>
    <w:rsid w:val="00E42005"/>
    <w:rsid w:val="00E44704"/>
    <w:rsid w:val="00E44E0D"/>
    <w:rsid w:val="00E468E8"/>
    <w:rsid w:val="00E501D5"/>
    <w:rsid w:val="00E509BD"/>
    <w:rsid w:val="00E51C96"/>
    <w:rsid w:val="00E52769"/>
    <w:rsid w:val="00E52D71"/>
    <w:rsid w:val="00E5378A"/>
    <w:rsid w:val="00E55FE0"/>
    <w:rsid w:val="00E62F90"/>
    <w:rsid w:val="00E64D6C"/>
    <w:rsid w:val="00E664D1"/>
    <w:rsid w:val="00E714D4"/>
    <w:rsid w:val="00E72DFF"/>
    <w:rsid w:val="00E7417F"/>
    <w:rsid w:val="00E76D91"/>
    <w:rsid w:val="00E77D18"/>
    <w:rsid w:val="00E805E8"/>
    <w:rsid w:val="00E8252A"/>
    <w:rsid w:val="00E83950"/>
    <w:rsid w:val="00E83A0B"/>
    <w:rsid w:val="00E84A10"/>
    <w:rsid w:val="00E84C03"/>
    <w:rsid w:val="00E85331"/>
    <w:rsid w:val="00E94BCB"/>
    <w:rsid w:val="00E94F1D"/>
    <w:rsid w:val="00E94FCA"/>
    <w:rsid w:val="00EA0243"/>
    <w:rsid w:val="00EA1859"/>
    <w:rsid w:val="00EA526C"/>
    <w:rsid w:val="00EA6201"/>
    <w:rsid w:val="00EA671C"/>
    <w:rsid w:val="00EB25D9"/>
    <w:rsid w:val="00EB3830"/>
    <w:rsid w:val="00EB3E1A"/>
    <w:rsid w:val="00EB40D7"/>
    <w:rsid w:val="00EB6868"/>
    <w:rsid w:val="00EB6B46"/>
    <w:rsid w:val="00EB75B9"/>
    <w:rsid w:val="00EC2056"/>
    <w:rsid w:val="00EC26D9"/>
    <w:rsid w:val="00EC3855"/>
    <w:rsid w:val="00EC4F18"/>
    <w:rsid w:val="00EC524C"/>
    <w:rsid w:val="00ED1AA0"/>
    <w:rsid w:val="00ED2123"/>
    <w:rsid w:val="00ED316F"/>
    <w:rsid w:val="00EE0C22"/>
    <w:rsid w:val="00EE11EB"/>
    <w:rsid w:val="00EE1756"/>
    <w:rsid w:val="00EE5D78"/>
    <w:rsid w:val="00EE68BE"/>
    <w:rsid w:val="00EF16DA"/>
    <w:rsid w:val="00EF252F"/>
    <w:rsid w:val="00EF2849"/>
    <w:rsid w:val="00EF7C0B"/>
    <w:rsid w:val="00F00E8D"/>
    <w:rsid w:val="00F04F98"/>
    <w:rsid w:val="00F0583F"/>
    <w:rsid w:val="00F066E5"/>
    <w:rsid w:val="00F10288"/>
    <w:rsid w:val="00F11331"/>
    <w:rsid w:val="00F11FCF"/>
    <w:rsid w:val="00F14AC8"/>
    <w:rsid w:val="00F17E83"/>
    <w:rsid w:val="00F203A0"/>
    <w:rsid w:val="00F20726"/>
    <w:rsid w:val="00F2350E"/>
    <w:rsid w:val="00F25D92"/>
    <w:rsid w:val="00F32AD1"/>
    <w:rsid w:val="00F34040"/>
    <w:rsid w:val="00F37144"/>
    <w:rsid w:val="00F41F72"/>
    <w:rsid w:val="00F47482"/>
    <w:rsid w:val="00F47FAA"/>
    <w:rsid w:val="00F507C8"/>
    <w:rsid w:val="00F513F4"/>
    <w:rsid w:val="00F532D3"/>
    <w:rsid w:val="00F535CC"/>
    <w:rsid w:val="00F54A2A"/>
    <w:rsid w:val="00F56B67"/>
    <w:rsid w:val="00F62562"/>
    <w:rsid w:val="00F643E5"/>
    <w:rsid w:val="00F7045E"/>
    <w:rsid w:val="00F70C49"/>
    <w:rsid w:val="00F75151"/>
    <w:rsid w:val="00F762E5"/>
    <w:rsid w:val="00F805D4"/>
    <w:rsid w:val="00F81989"/>
    <w:rsid w:val="00F81BFF"/>
    <w:rsid w:val="00F910C3"/>
    <w:rsid w:val="00F923A8"/>
    <w:rsid w:val="00F92DFB"/>
    <w:rsid w:val="00F93709"/>
    <w:rsid w:val="00FA06BE"/>
    <w:rsid w:val="00FA0B42"/>
    <w:rsid w:val="00FA0FB8"/>
    <w:rsid w:val="00FA12F2"/>
    <w:rsid w:val="00FA4FDA"/>
    <w:rsid w:val="00FA619B"/>
    <w:rsid w:val="00FB3B45"/>
    <w:rsid w:val="00FC04F7"/>
    <w:rsid w:val="00FC3F39"/>
    <w:rsid w:val="00FC4058"/>
    <w:rsid w:val="00FC492B"/>
    <w:rsid w:val="00FC61C1"/>
    <w:rsid w:val="00FD0726"/>
    <w:rsid w:val="00FD292C"/>
    <w:rsid w:val="00FD2A81"/>
    <w:rsid w:val="00FD53F3"/>
    <w:rsid w:val="00FD731E"/>
    <w:rsid w:val="00FD73AE"/>
    <w:rsid w:val="00FE1957"/>
    <w:rsid w:val="00FE278A"/>
    <w:rsid w:val="00FE5546"/>
    <w:rsid w:val="00FE6120"/>
    <w:rsid w:val="00FE6123"/>
    <w:rsid w:val="00FE6B76"/>
    <w:rsid w:val="00FE7AFE"/>
    <w:rsid w:val="00FF2217"/>
    <w:rsid w:val="00FF4CF3"/>
    <w:rsid w:val="00FF6B4B"/>
    <w:rsid w:val="00FF6C9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BE5"/>
    <w:pPr>
      <w:suppressAutoHyphens/>
      <w:spacing w:after="120" w:line="100" w:lineRule="atLeast"/>
      <w:jc w:val="both"/>
    </w:pPr>
    <w:rPr>
      <w:kern w:val="1"/>
      <w:sz w:val="24"/>
      <w:szCs w:val="24"/>
      <w:lang w:val="es-CO" w:eastAsia="hi-IN" w:bidi="hi-IN"/>
    </w:rPr>
  </w:style>
  <w:style w:type="paragraph" w:styleId="Heading1">
    <w:name w:val="heading 1"/>
    <w:basedOn w:val="Normal"/>
    <w:next w:val="BodyText"/>
    <w:link w:val="Heading1Char"/>
    <w:uiPriority w:val="99"/>
    <w:qFormat/>
    <w:rsid w:val="00981BE5"/>
    <w:pPr>
      <w:keepNext/>
      <w:spacing w:after="0"/>
      <w:jc w:val="left"/>
      <w:outlineLvl w:val="0"/>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81BE5"/>
    <w:rPr>
      <w:rFonts w:ascii="Times New Roman" w:hAnsi="Times New Roman" w:cs="Times New Roman"/>
      <w:b/>
      <w:bCs/>
      <w:sz w:val="24"/>
      <w:szCs w:val="24"/>
    </w:rPr>
  </w:style>
  <w:style w:type="paragraph" w:styleId="BalloonText">
    <w:name w:val="Balloon Text"/>
    <w:basedOn w:val="Normal"/>
    <w:link w:val="BalloonTextChar1"/>
    <w:uiPriority w:val="99"/>
    <w:semiHidden/>
    <w:rsid w:val="00981BE5"/>
    <w:pPr>
      <w:spacing w:after="0"/>
    </w:pPr>
    <w:rPr>
      <w:rFonts w:ascii="Tahoma" w:hAnsi="Tahoma" w:cs="Tahoma"/>
      <w:sz w:val="16"/>
      <w:szCs w:val="16"/>
    </w:rPr>
  </w:style>
  <w:style w:type="character" w:customStyle="1" w:styleId="BalloonTextChar">
    <w:name w:val="Balloon Text Char"/>
    <w:basedOn w:val="DefaultParagraphFont"/>
    <w:uiPriority w:val="99"/>
    <w:locked/>
    <w:rsid w:val="00981BE5"/>
    <w:rPr>
      <w:rFonts w:ascii="Tahoma" w:hAnsi="Tahoma" w:cs="Tahoma"/>
      <w:sz w:val="16"/>
      <w:szCs w:val="16"/>
      <w:lang w:val="es-CO"/>
    </w:rPr>
  </w:style>
  <w:style w:type="character" w:customStyle="1" w:styleId="Absatz-Standardschriftart">
    <w:name w:val="Absatz-Standardschriftart"/>
    <w:uiPriority w:val="99"/>
    <w:rsid w:val="00981BE5"/>
  </w:style>
  <w:style w:type="character" w:customStyle="1" w:styleId="WW-Absatz-Standardschriftart">
    <w:name w:val="WW-Absatz-Standardschriftart"/>
    <w:uiPriority w:val="99"/>
    <w:rsid w:val="00981BE5"/>
  </w:style>
  <w:style w:type="character" w:customStyle="1" w:styleId="WW-Absatz-Standardschriftart1">
    <w:name w:val="WW-Absatz-Standardschriftart1"/>
    <w:uiPriority w:val="99"/>
    <w:rsid w:val="00981BE5"/>
  </w:style>
  <w:style w:type="character" w:customStyle="1" w:styleId="BodyText2Char">
    <w:name w:val="Body Text 2 Char"/>
    <w:basedOn w:val="DefaultParagraphFont"/>
    <w:uiPriority w:val="99"/>
    <w:rsid w:val="00981BE5"/>
    <w:rPr>
      <w:rFonts w:ascii="Arial" w:hAnsi="Arial" w:cs="Arial"/>
      <w:color w:val="000000"/>
      <w:sz w:val="20"/>
      <w:szCs w:val="20"/>
      <w:lang w:val="en-GB"/>
    </w:rPr>
  </w:style>
  <w:style w:type="character" w:customStyle="1" w:styleId="FooterChar">
    <w:name w:val="Footer Char"/>
    <w:basedOn w:val="DefaultParagraphFont"/>
    <w:uiPriority w:val="99"/>
    <w:rsid w:val="00981BE5"/>
    <w:rPr>
      <w:rFonts w:ascii="Times New Roman" w:hAnsi="Times New Roman" w:cs="Times New Roman"/>
      <w:sz w:val="24"/>
      <w:szCs w:val="24"/>
      <w:lang w:val="en-GB"/>
    </w:rPr>
  </w:style>
  <w:style w:type="character" w:customStyle="1" w:styleId="PageNumber1">
    <w:name w:val="Page Number1"/>
    <w:basedOn w:val="DefaultParagraphFont"/>
    <w:uiPriority w:val="99"/>
    <w:rsid w:val="00981BE5"/>
    <w:rPr>
      <w:rFonts w:cs="Times New Roman"/>
    </w:rPr>
  </w:style>
  <w:style w:type="character" w:styleId="Emphasis">
    <w:name w:val="Emphasis"/>
    <w:basedOn w:val="DefaultParagraphFont"/>
    <w:uiPriority w:val="99"/>
    <w:qFormat/>
    <w:rsid w:val="00981BE5"/>
    <w:rPr>
      <w:rFonts w:cs="Times New Roman"/>
      <w:i/>
      <w:iCs/>
    </w:rPr>
  </w:style>
  <w:style w:type="character" w:customStyle="1" w:styleId="HeaderChar">
    <w:name w:val="Header Char"/>
    <w:basedOn w:val="DefaultParagraphFont"/>
    <w:uiPriority w:val="99"/>
    <w:rsid w:val="00981BE5"/>
    <w:rPr>
      <w:rFonts w:ascii="Times New Roman" w:hAnsi="Times New Roman" w:cs="Times New Roman"/>
      <w:sz w:val="24"/>
      <w:szCs w:val="24"/>
      <w:lang w:val="es-CO"/>
    </w:rPr>
  </w:style>
  <w:style w:type="character" w:customStyle="1" w:styleId="ListLabel1">
    <w:name w:val="ListLabel 1"/>
    <w:uiPriority w:val="99"/>
    <w:rsid w:val="00981BE5"/>
    <w:rPr>
      <w:b/>
    </w:rPr>
  </w:style>
  <w:style w:type="character" w:customStyle="1" w:styleId="NumberingSymbols">
    <w:name w:val="Numbering Symbols"/>
    <w:uiPriority w:val="99"/>
    <w:rsid w:val="00981BE5"/>
  </w:style>
  <w:style w:type="paragraph" w:customStyle="1" w:styleId="Heading">
    <w:name w:val="Heading"/>
    <w:basedOn w:val="Normal"/>
    <w:next w:val="BodyText"/>
    <w:uiPriority w:val="99"/>
    <w:rsid w:val="00981BE5"/>
    <w:pPr>
      <w:keepNext/>
      <w:spacing w:before="240"/>
    </w:pPr>
    <w:rPr>
      <w:rFonts w:ascii="Arial" w:eastAsia="Microsoft YaHei" w:hAnsi="Arial" w:cs="Mangal"/>
      <w:sz w:val="28"/>
      <w:szCs w:val="28"/>
    </w:rPr>
  </w:style>
  <w:style w:type="paragraph" w:styleId="BodyText">
    <w:name w:val="Body Text"/>
    <w:basedOn w:val="Normal"/>
    <w:link w:val="BodyTextChar"/>
    <w:uiPriority w:val="99"/>
    <w:rsid w:val="00981BE5"/>
  </w:style>
  <w:style w:type="character" w:customStyle="1" w:styleId="BodyTextChar">
    <w:name w:val="Body Text Char"/>
    <w:basedOn w:val="DefaultParagraphFont"/>
    <w:link w:val="BodyText"/>
    <w:uiPriority w:val="99"/>
    <w:semiHidden/>
    <w:locked/>
    <w:rsid w:val="005C786C"/>
    <w:rPr>
      <w:rFonts w:cs="Mangal"/>
      <w:kern w:val="1"/>
      <w:sz w:val="21"/>
      <w:szCs w:val="21"/>
      <w:lang w:val="es-CO" w:eastAsia="hi-IN" w:bidi="hi-IN"/>
    </w:rPr>
  </w:style>
  <w:style w:type="paragraph" w:styleId="List">
    <w:name w:val="List"/>
    <w:basedOn w:val="BodyText"/>
    <w:uiPriority w:val="99"/>
    <w:rsid w:val="00981BE5"/>
    <w:rPr>
      <w:rFonts w:cs="Mangal"/>
    </w:rPr>
  </w:style>
  <w:style w:type="paragraph" w:styleId="Caption">
    <w:name w:val="caption"/>
    <w:basedOn w:val="Normal"/>
    <w:uiPriority w:val="99"/>
    <w:qFormat/>
    <w:rsid w:val="00981BE5"/>
    <w:pPr>
      <w:suppressLineNumbers/>
      <w:spacing w:before="120"/>
    </w:pPr>
    <w:rPr>
      <w:rFonts w:cs="Mangal"/>
      <w:i/>
      <w:iCs/>
    </w:rPr>
  </w:style>
  <w:style w:type="paragraph" w:customStyle="1" w:styleId="Index">
    <w:name w:val="Index"/>
    <w:basedOn w:val="Normal"/>
    <w:uiPriority w:val="99"/>
    <w:rsid w:val="00981BE5"/>
    <w:pPr>
      <w:suppressLineNumbers/>
    </w:pPr>
    <w:rPr>
      <w:rFonts w:cs="Mangal"/>
    </w:rPr>
  </w:style>
  <w:style w:type="paragraph" w:styleId="BodyText2">
    <w:name w:val="Body Text 2"/>
    <w:basedOn w:val="Normal"/>
    <w:link w:val="BodyText2Char1"/>
    <w:uiPriority w:val="99"/>
    <w:rsid w:val="00981BE5"/>
    <w:pPr>
      <w:spacing w:after="0" w:line="280" w:lineRule="atLeast"/>
      <w:ind w:right="-12"/>
    </w:pPr>
    <w:rPr>
      <w:rFonts w:ascii="Arial" w:hAnsi="Arial" w:cs="Arial"/>
      <w:color w:val="000000"/>
      <w:szCs w:val="20"/>
      <w:lang w:val="en-GB"/>
    </w:rPr>
  </w:style>
  <w:style w:type="character" w:customStyle="1" w:styleId="BodyText2Char1">
    <w:name w:val="Body Text 2 Char1"/>
    <w:basedOn w:val="DefaultParagraphFont"/>
    <w:link w:val="BodyText2"/>
    <w:uiPriority w:val="99"/>
    <w:semiHidden/>
    <w:locked/>
    <w:rsid w:val="005C786C"/>
    <w:rPr>
      <w:rFonts w:cs="Mangal"/>
      <w:kern w:val="1"/>
      <w:sz w:val="21"/>
      <w:szCs w:val="21"/>
      <w:lang w:val="es-CO" w:eastAsia="hi-IN" w:bidi="hi-IN"/>
    </w:rPr>
  </w:style>
  <w:style w:type="paragraph" w:styleId="Footer">
    <w:name w:val="footer"/>
    <w:basedOn w:val="Normal"/>
    <w:link w:val="FooterChar1"/>
    <w:uiPriority w:val="99"/>
    <w:rsid w:val="00981BE5"/>
    <w:pPr>
      <w:suppressLineNumbers/>
      <w:tabs>
        <w:tab w:val="center" w:pos="4153"/>
        <w:tab w:val="right" w:pos="8306"/>
      </w:tabs>
      <w:spacing w:after="0"/>
      <w:jc w:val="left"/>
    </w:pPr>
    <w:rPr>
      <w:lang w:val="en-GB"/>
    </w:rPr>
  </w:style>
  <w:style w:type="character" w:customStyle="1" w:styleId="FooterChar1">
    <w:name w:val="Footer Char1"/>
    <w:basedOn w:val="DefaultParagraphFont"/>
    <w:link w:val="Footer"/>
    <w:uiPriority w:val="99"/>
    <w:semiHidden/>
    <w:locked/>
    <w:rsid w:val="005C786C"/>
    <w:rPr>
      <w:rFonts w:cs="Mangal"/>
      <w:kern w:val="1"/>
      <w:sz w:val="21"/>
      <w:szCs w:val="21"/>
      <w:lang w:val="es-CO" w:eastAsia="hi-IN" w:bidi="hi-IN"/>
    </w:rPr>
  </w:style>
  <w:style w:type="character" w:customStyle="1" w:styleId="BalloonTextChar1">
    <w:name w:val="Balloon Text Char1"/>
    <w:basedOn w:val="DefaultParagraphFont"/>
    <w:link w:val="BalloonText"/>
    <w:uiPriority w:val="99"/>
    <w:semiHidden/>
    <w:locked/>
    <w:rsid w:val="005C786C"/>
    <w:rPr>
      <w:rFonts w:cs="Mangal"/>
      <w:kern w:val="1"/>
      <w:sz w:val="2"/>
      <w:lang w:val="es-CO" w:eastAsia="hi-IN" w:bidi="hi-IN"/>
    </w:rPr>
  </w:style>
  <w:style w:type="paragraph" w:styleId="Header">
    <w:name w:val="header"/>
    <w:basedOn w:val="Normal"/>
    <w:link w:val="HeaderChar1"/>
    <w:uiPriority w:val="99"/>
    <w:rsid w:val="00981BE5"/>
    <w:pPr>
      <w:suppressLineNumbers/>
      <w:tabs>
        <w:tab w:val="center" w:pos="4680"/>
        <w:tab w:val="right" w:pos="9360"/>
      </w:tabs>
      <w:spacing w:after="0"/>
    </w:pPr>
  </w:style>
  <w:style w:type="character" w:customStyle="1" w:styleId="HeaderChar1">
    <w:name w:val="Header Char1"/>
    <w:basedOn w:val="DefaultParagraphFont"/>
    <w:link w:val="Header"/>
    <w:uiPriority w:val="99"/>
    <w:semiHidden/>
    <w:locked/>
    <w:rsid w:val="005C786C"/>
    <w:rPr>
      <w:rFonts w:cs="Mangal"/>
      <w:kern w:val="1"/>
      <w:sz w:val="21"/>
      <w:szCs w:val="21"/>
      <w:lang w:val="es-CO" w:eastAsia="hi-IN" w:bidi="hi-IN"/>
    </w:rPr>
  </w:style>
  <w:style w:type="paragraph" w:customStyle="1" w:styleId="CharCharCharChar">
    <w:name w:val="Char Char Char Char"/>
    <w:basedOn w:val="Normal"/>
    <w:uiPriority w:val="99"/>
    <w:rsid w:val="00981BE5"/>
    <w:pPr>
      <w:spacing w:after="160" w:line="240" w:lineRule="exact"/>
      <w:jc w:val="left"/>
    </w:pPr>
    <w:rPr>
      <w:rFonts w:ascii="Tahoma" w:hAnsi="Tahoma"/>
      <w:szCs w:val="20"/>
      <w:lang w:val="en-US"/>
    </w:rPr>
  </w:style>
  <w:style w:type="paragraph" w:customStyle="1" w:styleId="Framecontents">
    <w:name w:val="Frame contents"/>
    <w:basedOn w:val="BodyText"/>
    <w:uiPriority w:val="99"/>
    <w:rsid w:val="00981BE5"/>
  </w:style>
  <w:style w:type="paragraph" w:customStyle="1" w:styleId="Enterinformationhere">
    <w:name w:val="Enter information here"/>
    <w:basedOn w:val="Normal"/>
    <w:uiPriority w:val="99"/>
    <w:rsid w:val="00981BE5"/>
    <w:pPr>
      <w:spacing w:after="0"/>
    </w:pPr>
  </w:style>
  <w:style w:type="paragraph" w:customStyle="1" w:styleId="TableContents">
    <w:name w:val="Table Contents"/>
    <w:basedOn w:val="Normal"/>
    <w:uiPriority w:val="99"/>
    <w:rsid w:val="00981BE5"/>
    <w:pPr>
      <w:suppressLineNumbers/>
    </w:pPr>
  </w:style>
  <w:style w:type="paragraph" w:customStyle="1" w:styleId="TableHeading">
    <w:name w:val="Table Heading"/>
    <w:basedOn w:val="TableContents"/>
    <w:uiPriority w:val="99"/>
    <w:rsid w:val="00981BE5"/>
    <w:pPr>
      <w:jc w:val="center"/>
    </w:pPr>
    <w:rPr>
      <w:b/>
      <w:bCs/>
    </w:rPr>
  </w:style>
  <w:style w:type="paragraph" w:styleId="NoSpacing">
    <w:name w:val="No Spacing"/>
    <w:uiPriority w:val="99"/>
    <w:qFormat/>
    <w:rsid w:val="00981BE5"/>
    <w:pPr>
      <w:suppressAutoHyphens/>
      <w:spacing w:line="100" w:lineRule="atLeast"/>
    </w:pPr>
    <w:rPr>
      <w:rFonts w:eastAsia="SimSun" w:cs="Mangal"/>
      <w:sz w:val="18"/>
      <w:szCs w:val="18"/>
      <w:lang w:val="en-PH" w:eastAsia="hi-IN" w:bidi="hi-IN"/>
    </w:rPr>
  </w:style>
  <w:style w:type="paragraph" w:styleId="ListParagraph">
    <w:name w:val="List Paragraph"/>
    <w:basedOn w:val="Normal"/>
    <w:uiPriority w:val="99"/>
    <w:qFormat/>
    <w:rsid w:val="00832B88"/>
    <w:pPr>
      <w:ind w:left="720"/>
    </w:pPr>
    <w:rPr>
      <w:rFonts w:cs="Mangal"/>
      <w:szCs w:val="21"/>
    </w:rPr>
  </w:style>
  <w:style w:type="character" w:styleId="Hyperlink">
    <w:name w:val="Hyperlink"/>
    <w:basedOn w:val="DefaultParagraphFont"/>
    <w:uiPriority w:val="99"/>
    <w:rsid w:val="0013530E"/>
    <w:rPr>
      <w:rFonts w:cs="Times New Roman"/>
      <w:color w:val="0000FF"/>
      <w:u w:val="single"/>
    </w:rPr>
  </w:style>
  <w:style w:type="character" w:styleId="FollowedHyperlink">
    <w:name w:val="FollowedHyperlink"/>
    <w:basedOn w:val="DefaultParagraphFont"/>
    <w:uiPriority w:val="99"/>
    <w:semiHidden/>
    <w:rsid w:val="00AC78CB"/>
    <w:rPr>
      <w:rFonts w:cs="Times New Roman"/>
      <w:color w:val="800080"/>
      <w:u w:val="single"/>
    </w:rPr>
  </w:style>
  <w:style w:type="character" w:customStyle="1" w:styleId="notranslate">
    <w:name w:val="notranslate"/>
    <w:basedOn w:val="DefaultParagraphFont"/>
    <w:uiPriority w:val="99"/>
    <w:rsid w:val="003B06D5"/>
    <w:rPr>
      <w:rFonts w:cs="Times New Roman"/>
    </w:rPr>
  </w:style>
  <w:style w:type="paragraph" w:styleId="Title">
    <w:name w:val="Title"/>
    <w:basedOn w:val="Normal"/>
    <w:next w:val="Normal"/>
    <w:link w:val="TitleChar"/>
    <w:uiPriority w:val="99"/>
    <w:qFormat/>
    <w:rsid w:val="003E2779"/>
    <w:pPr>
      <w:pBdr>
        <w:bottom w:val="single" w:sz="8" w:space="4" w:color="4F81BD"/>
      </w:pBdr>
      <w:suppressAutoHyphens w:val="0"/>
      <w:spacing w:after="300" w:line="240" w:lineRule="auto"/>
      <w:jc w:val="left"/>
    </w:pPr>
    <w:rPr>
      <w:rFonts w:ascii="Cambria" w:hAnsi="Cambria"/>
      <w:color w:val="17365D"/>
      <w:spacing w:val="5"/>
      <w:kern w:val="28"/>
      <w:sz w:val="52"/>
      <w:szCs w:val="52"/>
      <w:lang w:val="en-US" w:eastAsia="en-US" w:bidi="ar-SA"/>
    </w:rPr>
  </w:style>
  <w:style w:type="character" w:customStyle="1" w:styleId="TitleChar">
    <w:name w:val="Title Char"/>
    <w:basedOn w:val="DefaultParagraphFont"/>
    <w:link w:val="Title"/>
    <w:uiPriority w:val="99"/>
    <w:locked/>
    <w:rsid w:val="003E2779"/>
    <w:rPr>
      <w:rFonts w:ascii="Cambria" w:hAnsi="Cambria" w:cs="Times New Roman"/>
      <w:color w:val="17365D"/>
      <w:spacing w:val="5"/>
      <w:kern w:val="28"/>
      <w:sz w:val="52"/>
      <w:szCs w:val="52"/>
    </w:rPr>
  </w:style>
  <w:style w:type="table" w:styleId="TableGrid">
    <w:name w:val="Table Grid"/>
    <w:basedOn w:val="TableNormal"/>
    <w:uiPriority w:val="99"/>
    <w:rsid w:val="006D7F1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F04F98"/>
    <w:rPr>
      <w:sz w:val="20"/>
      <w:szCs w:val="20"/>
    </w:rPr>
  </w:style>
  <w:style w:type="character" w:customStyle="1" w:styleId="FootnoteTextChar">
    <w:name w:val="Footnote Text Char"/>
    <w:basedOn w:val="DefaultParagraphFont"/>
    <w:link w:val="FootnoteText"/>
    <w:uiPriority w:val="99"/>
    <w:semiHidden/>
    <w:locked/>
    <w:rsid w:val="00891421"/>
    <w:rPr>
      <w:rFonts w:cs="Mangal"/>
      <w:kern w:val="1"/>
      <w:sz w:val="18"/>
      <w:szCs w:val="18"/>
      <w:lang w:val="es-CO" w:eastAsia="hi-IN" w:bidi="hi-IN"/>
    </w:rPr>
  </w:style>
  <w:style w:type="character" w:styleId="FootnoteReference">
    <w:name w:val="footnote reference"/>
    <w:basedOn w:val="DefaultParagraphFont"/>
    <w:uiPriority w:val="99"/>
    <w:semiHidden/>
    <w:rsid w:val="00F04F98"/>
    <w:rPr>
      <w:rFonts w:cs="Times New Roman"/>
      <w:vertAlign w:val="superscript"/>
    </w:rPr>
  </w:style>
  <w:style w:type="character" w:styleId="CommentReference">
    <w:name w:val="annotation reference"/>
    <w:basedOn w:val="DefaultParagraphFont"/>
    <w:uiPriority w:val="99"/>
    <w:semiHidden/>
    <w:rsid w:val="00EB3E1A"/>
    <w:rPr>
      <w:rFonts w:cs="Times New Roman"/>
      <w:sz w:val="16"/>
      <w:szCs w:val="16"/>
    </w:rPr>
  </w:style>
  <w:style w:type="paragraph" w:styleId="CommentText">
    <w:name w:val="annotation text"/>
    <w:basedOn w:val="Normal"/>
    <w:link w:val="CommentTextChar"/>
    <w:uiPriority w:val="99"/>
    <w:semiHidden/>
    <w:rsid w:val="00EB3E1A"/>
    <w:rPr>
      <w:rFonts w:cs="Mangal"/>
      <w:sz w:val="20"/>
      <w:szCs w:val="18"/>
    </w:rPr>
  </w:style>
  <w:style w:type="character" w:customStyle="1" w:styleId="CommentTextChar">
    <w:name w:val="Comment Text Char"/>
    <w:basedOn w:val="DefaultParagraphFont"/>
    <w:link w:val="CommentText"/>
    <w:uiPriority w:val="99"/>
    <w:semiHidden/>
    <w:locked/>
    <w:rsid w:val="00EB3E1A"/>
    <w:rPr>
      <w:rFonts w:cs="Mangal"/>
      <w:kern w:val="1"/>
      <w:sz w:val="18"/>
      <w:szCs w:val="18"/>
      <w:lang w:val="es-CO" w:eastAsia="hi-IN" w:bidi="hi-IN"/>
    </w:rPr>
  </w:style>
  <w:style w:type="paragraph" w:styleId="CommentSubject">
    <w:name w:val="annotation subject"/>
    <w:basedOn w:val="CommentText"/>
    <w:next w:val="CommentText"/>
    <w:link w:val="CommentSubjectChar"/>
    <w:uiPriority w:val="99"/>
    <w:semiHidden/>
    <w:unhideWhenUsed/>
    <w:rsid w:val="00EF16DA"/>
    <w:pPr>
      <w:spacing w:line="240" w:lineRule="auto"/>
    </w:pPr>
    <w:rPr>
      <w:b/>
      <w:bCs/>
    </w:rPr>
  </w:style>
  <w:style w:type="character" w:customStyle="1" w:styleId="CommentSubjectChar">
    <w:name w:val="Comment Subject Char"/>
    <w:basedOn w:val="CommentTextChar"/>
    <w:link w:val="CommentSubject"/>
    <w:uiPriority w:val="99"/>
    <w:semiHidden/>
    <w:rsid w:val="00EF16DA"/>
    <w:rPr>
      <w:rFonts w:cs="Mangal"/>
      <w:b/>
      <w:bCs/>
      <w:kern w:val="1"/>
      <w:sz w:val="20"/>
      <w:szCs w:val="18"/>
      <w:lang w:val="es-CO" w:eastAsia="hi-IN" w:bidi="hi-IN"/>
    </w:rPr>
  </w:style>
  <w:style w:type="paragraph" w:styleId="Revision">
    <w:name w:val="Revision"/>
    <w:hidden/>
    <w:uiPriority w:val="99"/>
    <w:semiHidden/>
    <w:rsid w:val="00EF16DA"/>
    <w:rPr>
      <w:rFonts w:cs="Mangal"/>
      <w:kern w:val="1"/>
      <w:sz w:val="24"/>
      <w:szCs w:val="21"/>
      <w:lang w:val="es-CO"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BE5"/>
    <w:pPr>
      <w:suppressAutoHyphens/>
      <w:spacing w:after="120" w:line="100" w:lineRule="atLeast"/>
      <w:jc w:val="both"/>
    </w:pPr>
    <w:rPr>
      <w:kern w:val="1"/>
      <w:sz w:val="24"/>
      <w:szCs w:val="24"/>
      <w:lang w:val="es-CO" w:eastAsia="hi-IN" w:bidi="hi-IN"/>
    </w:rPr>
  </w:style>
  <w:style w:type="paragraph" w:styleId="Heading1">
    <w:name w:val="heading 1"/>
    <w:basedOn w:val="Normal"/>
    <w:next w:val="BodyText"/>
    <w:link w:val="Heading1Char"/>
    <w:uiPriority w:val="99"/>
    <w:qFormat/>
    <w:rsid w:val="00981BE5"/>
    <w:pPr>
      <w:keepNext/>
      <w:spacing w:after="0"/>
      <w:jc w:val="left"/>
      <w:outlineLvl w:val="0"/>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81BE5"/>
    <w:rPr>
      <w:rFonts w:ascii="Times New Roman" w:hAnsi="Times New Roman" w:cs="Times New Roman"/>
      <w:b/>
      <w:bCs/>
      <w:sz w:val="24"/>
      <w:szCs w:val="24"/>
    </w:rPr>
  </w:style>
  <w:style w:type="paragraph" w:styleId="BalloonText">
    <w:name w:val="Balloon Text"/>
    <w:basedOn w:val="Normal"/>
    <w:link w:val="BalloonTextChar1"/>
    <w:uiPriority w:val="99"/>
    <w:semiHidden/>
    <w:rsid w:val="00981BE5"/>
    <w:pPr>
      <w:spacing w:after="0"/>
    </w:pPr>
    <w:rPr>
      <w:rFonts w:ascii="Tahoma" w:hAnsi="Tahoma" w:cs="Tahoma"/>
      <w:sz w:val="16"/>
      <w:szCs w:val="16"/>
    </w:rPr>
  </w:style>
  <w:style w:type="character" w:customStyle="1" w:styleId="BalloonTextChar">
    <w:name w:val="Balloon Text Char"/>
    <w:basedOn w:val="DefaultParagraphFont"/>
    <w:uiPriority w:val="99"/>
    <w:locked/>
    <w:rsid w:val="00981BE5"/>
    <w:rPr>
      <w:rFonts w:ascii="Tahoma" w:hAnsi="Tahoma" w:cs="Tahoma"/>
      <w:sz w:val="16"/>
      <w:szCs w:val="16"/>
      <w:lang w:val="es-CO"/>
    </w:rPr>
  </w:style>
  <w:style w:type="character" w:customStyle="1" w:styleId="Absatz-Standardschriftart">
    <w:name w:val="Absatz-Standardschriftart"/>
    <w:uiPriority w:val="99"/>
    <w:rsid w:val="00981BE5"/>
  </w:style>
  <w:style w:type="character" w:customStyle="1" w:styleId="WW-Absatz-Standardschriftart">
    <w:name w:val="WW-Absatz-Standardschriftart"/>
    <w:uiPriority w:val="99"/>
    <w:rsid w:val="00981BE5"/>
  </w:style>
  <w:style w:type="character" w:customStyle="1" w:styleId="WW-Absatz-Standardschriftart1">
    <w:name w:val="WW-Absatz-Standardschriftart1"/>
    <w:uiPriority w:val="99"/>
    <w:rsid w:val="00981BE5"/>
  </w:style>
  <w:style w:type="character" w:customStyle="1" w:styleId="BodyText2Char">
    <w:name w:val="Body Text 2 Char"/>
    <w:basedOn w:val="DefaultParagraphFont"/>
    <w:uiPriority w:val="99"/>
    <w:rsid w:val="00981BE5"/>
    <w:rPr>
      <w:rFonts w:ascii="Arial" w:hAnsi="Arial" w:cs="Arial"/>
      <w:color w:val="000000"/>
      <w:sz w:val="20"/>
      <w:szCs w:val="20"/>
      <w:lang w:val="en-GB"/>
    </w:rPr>
  </w:style>
  <w:style w:type="character" w:customStyle="1" w:styleId="FooterChar">
    <w:name w:val="Footer Char"/>
    <w:basedOn w:val="DefaultParagraphFont"/>
    <w:uiPriority w:val="99"/>
    <w:rsid w:val="00981BE5"/>
    <w:rPr>
      <w:rFonts w:ascii="Times New Roman" w:hAnsi="Times New Roman" w:cs="Times New Roman"/>
      <w:sz w:val="24"/>
      <w:szCs w:val="24"/>
      <w:lang w:val="en-GB"/>
    </w:rPr>
  </w:style>
  <w:style w:type="character" w:customStyle="1" w:styleId="PageNumber1">
    <w:name w:val="Page Number1"/>
    <w:basedOn w:val="DefaultParagraphFont"/>
    <w:uiPriority w:val="99"/>
    <w:rsid w:val="00981BE5"/>
    <w:rPr>
      <w:rFonts w:cs="Times New Roman"/>
    </w:rPr>
  </w:style>
  <w:style w:type="character" w:styleId="Emphasis">
    <w:name w:val="Emphasis"/>
    <w:basedOn w:val="DefaultParagraphFont"/>
    <w:uiPriority w:val="99"/>
    <w:qFormat/>
    <w:rsid w:val="00981BE5"/>
    <w:rPr>
      <w:rFonts w:cs="Times New Roman"/>
      <w:i/>
      <w:iCs/>
    </w:rPr>
  </w:style>
  <w:style w:type="character" w:customStyle="1" w:styleId="HeaderChar">
    <w:name w:val="Header Char"/>
    <w:basedOn w:val="DefaultParagraphFont"/>
    <w:uiPriority w:val="99"/>
    <w:rsid w:val="00981BE5"/>
    <w:rPr>
      <w:rFonts w:ascii="Times New Roman" w:hAnsi="Times New Roman" w:cs="Times New Roman"/>
      <w:sz w:val="24"/>
      <w:szCs w:val="24"/>
      <w:lang w:val="es-CO"/>
    </w:rPr>
  </w:style>
  <w:style w:type="character" w:customStyle="1" w:styleId="ListLabel1">
    <w:name w:val="ListLabel 1"/>
    <w:uiPriority w:val="99"/>
    <w:rsid w:val="00981BE5"/>
    <w:rPr>
      <w:b/>
    </w:rPr>
  </w:style>
  <w:style w:type="character" w:customStyle="1" w:styleId="NumberingSymbols">
    <w:name w:val="Numbering Symbols"/>
    <w:uiPriority w:val="99"/>
    <w:rsid w:val="00981BE5"/>
  </w:style>
  <w:style w:type="paragraph" w:customStyle="1" w:styleId="Heading">
    <w:name w:val="Heading"/>
    <w:basedOn w:val="Normal"/>
    <w:next w:val="BodyText"/>
    <w:uiPriority w:val="99"/>
    <w:rsid w:val="00981BE5"/>
    <w:pPr>
      <w:keepNext/>
      <w:spacing w:before="240"/>
    </w:pPr>
    <w:rPr>
      <w:rFonts w:ascii="Arial" w:eastAsia="Microsoft YaHei" w:hAnsi="Arial" w:cs="Mangal"/>
      <w:sz w:val="28"/>
      <w:szCs w:val="28"/>
    </w:rPr>
  </w:style>
  <w:style w:type="paragraph" w:styleId="BodyText">
    <w:name w:val="Body Text"/>
    <w:basedOn w:val="Normal"/>
    <w:link w:val="BodyTextChar"/>
    <w:uiPriority w:val="99"/>
    <w:rsid w:val="00981BE5"/>
  </w:style>
  <w:style w:type="character" w:customStyle="1" w:styleId="BodyTextChar">
    <w:name w:val="Body Text Char"/>
    <w:basedOn w:val="DefaultParagraphFont"/>
    <w:link w:val="BodyText"/>
    <w:uiPriority w:val="99"/>
    <w:semiHidden/>
    <w:locked/>
    <w:rsid w:val="005C786C"/>
    <w:rPr>
      <w:rFonts w:cs="Mangal"/>
      <w:kern w:val="1"/>
      <w:sz w:val="21"/>
      <w:szCs w:val="21"/>
      <w:lang w:val="es-CO" w:eastAsia="hi-IN" w:bidi="hi-IN"/>
    </w:rPr>
  </w:style>
  <w:style w:type="paragraph" w:styleId="List">
    <w:name w:val="List"/>
    <w:basedOn w:val="BodyText"/>
    <w:uiPriority w:val="99"/>
    <w:rsid w:val="00981BE5"/>
    <w:rPr>
      <w:rFonts w:cs="Mangal"/>
    </w:rPr>
  </w:style>
  <w:style w:type="paragraph" w:styleId="Caption">
    <w:name w:val="caption"/>
    <w:basedOn w:val="Normal"/>
    <w:uiPriority w:val="99"/>
    <w:qFormat/>
    <w:rsid w:val="00981BE5"/>
    <w:pPr>
      <w:suppressLineNumbers/>
      <w:spacing w:before="120"/>
    </w:pPr>
    <w:rPr>
      <w:rFonts w:cs="Mangal"/>
      <w:i/>
      <w:iCs/>
    </w:rPr>
  </w:style>
  <w:style w:type="paragraph" w:customStyle="1" w:styleId="Index">
    <w:name w:val="Index"/>
    <w:basedOn w:val="Normal"/>
    <w:uiPriority w:val="99"/>
    <w:rsid w:val="00981BE5"/>
    <w:pPr>
      <w:suppressLineNumbers/>
    </w:pPr>
    <w:rPr>
      <w:rFonts w:cs="Mangal"/>
    </w:rPr>
  </w:style>
  <w:style w:type="paragraph" w:styleId="BodyText2">
    <w:name w:val="Body Text 2"/>
    <w:basedOn w:val="Normal"/>
    <w:link w:val="BodyText2Char1"/>
    <w:uiPriority w:val="99"/>
    <w:rsid w:val="00981BE5"/>
    <w:pPr>
      <w:spacing w:after="0" w:line="280" w:lineRule="atLeast"/>
      <w:ind w:right="-12"/>
    </w:pPr>
    <w:rPr>
      <w:rFonts w:ascii="Arial" w:hAnsi="Arial" w:cs="Arial"/>
      <w:color w:val="000000"/>
      <w:szCs w:val="20"/>
      <w:lang w:val="en-GB"/>
    </w:rPr>
  </w:style>
  <w:style w:type="character" w:customStyle="1" w:styleId="BodyText2Char1">
    <w:name w:val="Body Text 2 Char1"/>
    <w:basedOn w:val="DefaultParagraphFont"/>
    <w:link w:val="BodyText2"/>
    <w:uiPriority w:val="99"/>
    <w:semiHidden/>
    <w:locked/>
    <w:rsid w:val="005C786C"/>
    <w:rPr>
      <w:rFonts w:cs="Mangal"/>
      <w:kern w:val="1"/>
      <w:sz w:val="21"/>
      <w:szCs w:val="21"/>
      <w:lang w:val="es-CO" w:eastAsia="hi-IN" w:bidi="hi-IN"/>
    </w:rPr>
  </w:style>
  <w:style w:type="paragraph" w:styleId="Footer">
    <w:name w:val="footer"/>
    <w:basedOn w:val="Normal"/>
    <w:link w:val="FooterChar1"/>
    <w:uiPriority w:val="99"/>
    <w:rsid w:val="00981BE5"/>
    <w:pPr>
      <w:suppressLineNumbers/>
      <w:tabs>
        <w:tab w:val="center" w:pos="4153"/>
        <w:tab w:val="right" w:pos="8306"/>
      </w:tabs>
      <w:spacing w:after="0"/>
      <w:jc w:val="left"/>
    </w:pPr>
    <w:rPr>
      <w:lang w:val="en-GB"/>
    </w:rPr>
  </w:style>
  <w:style w:type="character" w:customStyle="1" w:styleId="FooterChar1">
    <w:name w:val="Footer Char1"/>
    <w:basedOn w:val="DefaultParagraphFont"/>
    <w:link w:val="Footer"/>
    <w:uiPriority w:val="99"/>
    <w:semiHidden/>
    <w:locked/>
    <w:rsid w:val="005C786C"/>
    <w:rPr>
      <w:rFonts w:cs="Mangal"/>
      <w:kern w:val="1"/>
      <w:sz w:val="21"/>
      <w:szCs w:val="21"/>
      <w:lang w:val="es-CO" w:eastAsia="hi-IN" w:bidi="hi-IN"/>
    </w:rPr>
  </w:style>
  <w:style w:type="character" w:customStyle="1" w:styleId="BalloonTextChar1">
    <w:name w:val="Balloon Text Char1"/>
    <w:basedOn w:val="DefaultParagraphFont"/>
    <w:link w:val="BalloonText"/>
    <w:uiPriority w:val="99"/>
    <w:semiHidden/>
    <w:locked/>
    <w:rsid w:val="005C786C"/>
    <w:rPr>
      <w:rFonts w:cs="Mangal"/>
      <w:kern w:val="1"/>
      <w:sz w:val="2"/>
      <w:lang w:val="es-CO" w:eastAsia="hi-IN" w:bidi="hi-IN"/>
    </w:rPr>
  </w:style>
  <w:style w:type="paragraph" w:styleId="Header">
    <w:name w:val="header"/>
    <w:basedOn w:val="Normal"/>
    <w:link w:val="HeaderChar1"/>
    <w:uiPriority w:val="99"/>
    <w:rsid w:val="00981BE5"/>
    <w:pPr>
      <w:suppressLineNumbers/>
      <w:tabs>
        <w:tab w:val="center" w:pos="4680"/>
        <w:tab w:val="right" w:pos="9360"/>
      </w:tabs>
      <w:spacing w:after="0"/>
    </w:pPr>
  </w:style>
  <w:style w:type="character" w:customStyle="1" w:styleId="HeaderChar1">
    <w:name w:val="Header Char1"/>
    <w:basedOn w:val="DefaultParagraphFont"/>
    <w:link w:val="Header"/>
    <w:uiPriority w:val="99"/>
    <w:semiHidden/>
    <w:locked/>
    <w:rsid w:val="005C786C"/>
    <w:rPr>
      <w:rFonts w:cs="Mangal"/>
      <w:kern w:val="1"/>
      <w:sz w:val="21"/>
      <w:szCs w:val="21"/>
      <w:lang w:val="es-CO" w:eastAsia="hi-IN" w:bidi="hi-IN"/>
    </w:rPr>
  </w:style>
  <w:style w:type="paragraph" w:customStyle="1" w:styleId="CharCharCharChar">
    <w:name w:val="Char Char Char Char"/>
    <w:basedOn w:val="Normal"/>
    <w:uiPriority w:val="99"/>
    <w:rsid w:val="00981BE5"/>
    <w:pPr>
      <w:spacing w:after="160" w:line="240" w:lineRule="exact"/>
      <w:jc w:val="left"/>
    </w:pPr>
    <w:rPr>
      <w:rFonts w:ascii="Tahoma" w:hAnsi="Tahoma"/>
      <w:szCs w:val="20"/>
      <w:lang w:val="en-US"/>
    </w:rPr>
  </w:style>
  <w:style w:type="paragraph" w:customStyle="1" w:styleId="Framecontents">
    <w:name w:val="Frame contents"/>
    <w:basedOn w:val="BodyText"/>
    <w:uiPriority w:val="99"/>
    <w:rsid w:val="00981BE5"/>
  </w:style>
  <w:style w:type="paragraph" w:customStyle="1" w:styleId="Enterinformationhere">
    <w:name w:val="Enter information here"/>
    <w:basedOn w:val="Normal"/>
    <w:uiPriority w:val="99"/>
    <w:rsid w:val="00981BE5"/>
    <w:pPr>
      <w:spacing w:after="0"/>
    </w:pPr>
  </w:style>
  <w:style w:type="paragraph" w:customStyle="1" w:styleId="TableContents">
    <w:name w:val="Table Contents"/>
    <w:basedOn w:val="Normal"/>
    <w:uiPriority w:val="99"/>
    <w:rsid w:val="00981BE5"/>
    <w:pPr>
      <w:suppressLineNumbers/>
    </w:pPr>
  </w:style>
  <w:style w:type="paragraph" w:customStyle="1" w:styleId="TableHeading">
    <w:name w:val="Table Heading"/>
    <w:basedOn w:val="TableContents"/>
    <w:uiPriority w:val="99"/>
    <w:rsid w:val="00981BE5"/>
    <w:pPr>
      <w:jc w:val="center"/>
    </w:pPr>
    <w:rPr>
      <w:b/>
      <w:bCs/>
    </w:rPr>
  </w:style>
  <w:style w:type="paragraph" w:styleId="NoSpacing">
    <w:name w:val="No Spacing"/>
    <w:uiPriority w:val="99"/>
    <w:qFormat/>
    <w:rsid w:val="00981BE5"/>
    <w:pPr>
      <w:suppressAutoHyphens/>
      <w:spacing w:line="100" w:lineRule="atLeast"/>
    </w:pPr>
    <w:rPr>
      <w:rFonts w:eastAsia="SimSun" w:cs="Mangal"/>
      <w:sz w:val="18"/>
      <w:szCs w:val="18"/>
      <w:lang w:val="en-PH" w:eastAsia="hi-IN" w:bidi="hi-IN"/>
    </w:rPr>
  </w:style>
  <w:style w:type="paragraph" w:styleId="ListParagraph">
    <w:name w:val="List Paragraph"/>
    <w:basedOn w:val="Normal"/>
    <w:uiPriority w:val="99"/>
    <w:qFormat/>
    <w:rsid w:val="00832B88"/>
    <w:pPr>
      <w:ind w:left="720"/>
    </w:pPr>
    <w:rPr>
      <w:rFonts w:cs="Mangal"/>
      <w:szCs w:val="21"/>
    </w:rPr>
  </w:style>
  <w:style w:type="character" w:styleId="Hyperlink">
    <w:name w:val="Hyperlink"/>
    <w:basedOn w:val="DefaultParagraphFont"/>
    <w:uiPriority w:val="99"/>
    <w:rsid w:val="0013530E"/>
    <w:rPr>
      <w:rFonts w:cs="Times New Roman"/>
      <w:color w:val="0000FF"/>
      <w:u w:val="single"/>
    </w:rPr>
  </w:style>
  <w:style w:type="character" w:styleId="FollowedHyperlink">
    <w:name w:val="FollowedHyperlink"/>
    <w:basedOn w:val="DefaultParagraphFont"/>
    <w:uiPriority w:val="99"/>
    <w:semiHidden/>
    <w:rsid w:val="00AC78CB"/>
    <w:rPr>
      <w:rFonts w:cs="Times New Roman"/>
      <w:color w:val="800080"/>
      <w:u w:val="single"/>
    </w:rPr>
  </w:style>
  <w:style w:type="character" w:customStyle="1" w:styleId="notranslate">
    <w:name w:val="notranslate"/>
    <w:basedOn w:val="DefaultParagraphFont"/>
    <w:uiPriority w:val="99"/>
    <w:rsid w:val="003B06D5"/>
    <w:rPr>
      <w:rFonts w:cs="Times New Roman"/>
    </w:rPr>
  </w:style>
  <w:style w:type="paragraph" w:styleId="Title">
    <w:name w:val="Title"/>
    <w:basedOn w:val="Normal"/>
    <w:next w:val="Normal"/>
    <w:link w:val="TitleChar"/>
    <w:uiPriority w:val="99"/>
    <w:qFormat/>
    <w:rsid w:val="003E2779"/>
    <w:pPr>
      <w:pBdr>
        <w:bottom w:val="single" w:sz="8" w:space="4" w:color="4F81BD"/>
      </w:pBdr>
      <w:suppressAutoHyphens w:val="0"/>
      <w:spacing w:after="300" w:line="240" w:lineRule="auto"/>
      <w:jc w:val="left"/>
    </w:pPr>
    <w:rPr>
      <w:rFonts w:ascii="Cambria" w:hAnsi="Cambria"/>
      <w:color w:val="17365D"/>
      <w:spacing w:val="5"/>
      <w:kern w:val="28"/>
      <w:sz w:val="52"/>
      <w:szCs w:val="52"/>
      <w:lang w:val="en-US" w:eastAsia="en-US" w:bidi="ar-SA"/>
    </w:rPr>
  </w:style>
  <w:style w:type="character" w:customStyle="1" w:styleId="TitleChar">
    <w:name w:val="Title Char"/>
    <w:basedOn w:val="DefaultParagraphFont"/>
    <w:link w:val="Title"/>
    <w:uiPriority w:val="99"/>
    <w:locked/>
    <w:rsid w:val="003E2779"/>
    <w:rPr>
      <w:rFonts w:ascii="Cambria" w:hAnsi="Cambria" w:cs="Times New Roman"/>
      <w:color w:val="17365D"/>
      <w:spacing w:val="5"/>
      <w:kern w:val="28"/>
      <w:sz w:val="52"/>
      <w:szCs w:val="52"/>
    </w:rPr>
  </w:style>
  <w:style w:type="table" w:styleId="TableGrid">
    <w:name w:val="Table Grid"/>
    <w:basedOn w:val="TableNormal"/>
    <w:uiPriority w:val="99"/>
    <w:rsid w:val="006D7F1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F04F98"/>
    <w:rPr>
      <w:sz w:val="20"/>
      <w:szCs w:val="20"/>
    </w:rPr>
  </w:style>
  <w:style w:type="character" w:customStyle="1" w:styleId="FootnoteTextChar">
    <w:name w:val="Footnote Text Char"/>
    <w:basedOn w:val="DefaultParagraphFont"/>
    <w:link w:val="FootnoteText"/>
    <w:uiPriority w:val="99"/>
    <w:semiHidden/>
    <w:locked/>
    <w:rsid w:val="00891421"/>
    <w:rPr>
      <w:rFonts w:cs="Mangal"/>
      <w:kern w:val="1"/>
      <w:sz w:val="18"/>
      <w:szCs w:val="18"/>
      <w:lang w:val="es-CO" w:eastAsia="hi-IN" w:bidi="hi-IN"/>
    </w:rPr>
  </w:style>
  <w:style w:type="character" w:styleId="FootnoteReference">
    <w:name w:val="footnote reference"/>
    <w:basedOn w:val="DefaultParagraphFont"/>
    <w:uiPriority w:val="99"/>
    <w:semiHidden/>
    <w:rsid w:val="00F04F98"/>
    <w:rPr>
      <w:rFonts w:cs="Times New Roman"/>
      <w:vertAlign w:val="superscript"/>
    </w:rPr>
  </w:style>
  <w:style w:type="character" w:styleId="CommentReference">
    <w:name w:val="annotation reference"/>
    <w:basedOn w:val="DefaultParagraphFont"/>
    <w:uiPriority w:val="99"/>
    <w:semiHidden/>
    <w:rsid w:val="00EB3E1A"/>
    <w:rPr>
      <w:rFonts w:cs="Times New Roman"/>
      <w:sz w:val="16"/>
      <w:szCs w:val="16"/>
    </w:rPr>
  </w:style>
  <w:style w:type="paragraph" w:styleId="CommentText">
    <w:name w:val="annotation text"/>
    <w:basedOn w:val="Normal"/>
    <w:link w:val="CommentTextChar"/>
    <w:uiPriority w:val="99"/>
    <w:semiHidden/>
    <w:rsid w:val="00EB3E1A"/>
    <w:rPr>
      <w:rFonts w:cs="Mangal"/>
      <w:sz w:val="20"/>
      <w:szCs w:val="18"/>
    </w:rPr>
  </w:style>
  <w:style w:type="character" w:customStyle="1" w:styleId="CommentTextChar">
    <w:name w:val="Comment Text Char"/>
    <w:basedOn w:val="DefaultParagraphFont"/>
    <w:link w:val="CommentText"/>
    <w:uiPriority w:val="99"/>
    <w:semiHidden/>
    <w:locked/>
    <w:rsid w:val="00EB3E1A"/>
    <w:rPr>
      <w:rFonts w:cs="Mangal"/>
      <w:kern w:val="1"/>
      <w:sz w:val="18"/>
      <w:szCs w:val="18"/>
      <w:lang w:val="es-CO" w:eastAsia="hi-IN" w:bidi="hi-IN"/>
    </w:rPr>
  </w:style>
  <w:style w:type="paragraph" w:styleId="CommentSubject">
    <w:name w:val="annotation subject"/>
    <w:basedOn w:val="CommentText"/>
    <w:next w:val="CommentText"/>
    <w:link w:val="CommentSubjectChar"/>
    <w:uiPriority w:val="99"/>
    <w:semiHidden/>
    <w:unhideWhenUsed/>
    <w:rsid w:val="00EF16DA"/>
    <w:pPr>
      <w:spacing w:line="240" w:lineRule="auto"/>
    </w:pPr>
    <w:rPr>
      <w:b/>
      <w:bCs/>
    </w:rPr>
  </w:style>
  <w:style w:type="character" w:customStyle="1" w:styleId="CommentSubjectChar">
    <w:name w:val="Comment Subject Char"/>
    <w:basedOn w:val="CommentTextChar"/>
    <w:link w:val="CommentSubject"/>
    <w:uiPriority w:val="99"/>
    <w:semiHidden/>
    <w:rsid w:val="00EF16DA"/>
    <w:rPr>
      <w:rFonts w:cs="Mangal"/>
      <w:b/>
      <w:bCs/>
      <w:kern w:val="1"/>
      <w:sz w:val="20"/>
      <w:szCs w:val="18"/>
      <w:lang w:val="es-CO" w:eastAsia="hi-IN" w:bidi="hi-IN"/>
    </w:rPr>
  </w:style>
  <w:style w:type="paragraph" w:styleId="Revision">
    <w:name w:val="Revision"/>
    <w:hidden/>
    <w:uiPriority w:val="99"/>
    <w:semiHidden/>
    <w:rsid w:val="00EF16DA"/>
    <w:rPr>
      <w:rFonts w:cs="Mangal"/>
      <w:kern w:val="1"/>
      <w:sz w:val="24"/>
      <w:szCs w:val="21"/>
      <w:lang w:val="es-CO"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9287430">
      <w:marLeft w:val="0"/>
      <w:marRight w:val="0"/>
      <w:marTop w:val="0"/>
      <w:marBottom w:val="0"/>
      <w:divBdr>
        <w:top w:val="none" w:sz="0" w:space="0" w:color="auto"/>
        <w:left w:val="none" w:sz="0" w:space="0" w:color="auto"/>
        <w:bottom w:val="none" w:sz="0" w:space="0" w:color="auto"/>
        <w:right w:val="none" w:sz="0" w:space="0" w:color="auto"/>
      </w:divBdr>
    </w:div>
    <w:div w:id="1739287431">
      <w:marLeft w:val="0"/>
      <w:marRight w:val="0"/>
      <w:marTop w:val="0"/>
      <w:marBottom w:val="0"/>
      <w:divBdr>
        <w:top w:val="none" w:sz="0" w:space="0" w:color="auto"/>
        <w:left w:val="none" w:sz="0" w:space="0" w:color="auto"/>
        <w:bottom w:val="none" w:sz="0" w:space="0" w:color="auto"/>
        <w:right w:val="none" w:sz="0" w:space="0" w:color="auto"/>
      </w:divBdr>
    </w:div>
    <w:div w:id="1739287433">
      <w:marLeft w:val="0"/>
      <w:marRight w:val="0"/>
      <w:marTop w:val="0"/>
      <w:marBottom w:val="0"/>
      <w:divBdr>
        <w:top w:val="none" w:sz="0" w:space="0" w:color="auto"/>
        <w:left w:val="none" w:sz="0" w:space="0" w:color="auto"/>
        <w:bottom w:val="none" w:sz="0" w:space="0" w:color="auto"/>
        <w:right w:val="none" w:sz="0" w:space="0" w:color="auto"/>
      </w:divBdr>
    </w:div>
    <w:div w:id="1739287436">
      <w:marLeft w:val="0"/>
      <w:marRight w:val="0"/>
      <w:marTop w:val="0"/>
      <w:marBottom w:val="0"/>
      <w:divBdr>
        <w:top w:val="none" w:sz="0" w:space="0" w:color="auto"/>
        <w:left w:val="none" w:sz="0" w:space="0" w:color="auto"/>
        <w:bottom w:val="none" w:sz="0" w:space="0" w:color="auto"/>
        <w:right w:val="none" w:sz="0" w:space="0" w:color="auto"/>
      </w:divBdr>
    </w:div>
    <w:div w:id="1739287438">
      <w:marLeft w:val="0"/>
      <w:marRight w:val="0"/>
      <w:marTop w:val="0"/>
      <w:marBottom w:val="0"/>
      <w:divBdr>
        <w:top w:val="none" w:sz="0" w:space="0" w:color="auto"/>
        <w:left w:val="none" w:sz="0" w:space="0" w:color="auto"/>
        <w:bottom w:val="none" w:sz="0" w:space="0" w:color="auto"/>
        <w:right w:val="none" w:sz="0" w:space="0" w:color="auto"/>
      </w:divBdr>
    </w:div>
    <w:div w:id="1739287439">
      <w:marLeft w:val="0"/>
      <w:marRight w:val="0"/>
      <w:marTop w:val="0"/>
      <w:marBottom w:val="0"/>
      <w:divBdr>
        <w:top w:val="none" w:sz="0" w:space="0" w:color="auto"/>
        <w:left w:val="none" w:sz="0" w:space="0" w:color="auto"/>
        <w:bottom w:val="none" w:sz="0" w:space="0" w:color="auto"/>
        <w:right w:val="none" w:sz="0" w:space="0" w:color="auto"/>
      </w:divBdr>
    </w:div>
    <w:div w:id="1739287440">
      <w:marLeft w:val="0"/>
      <w:marRight w:val="0"/>
      <w:marTop w:val="0"/>
      <w:marBottom w:val="0"/>
      <w:divBdr>
        <w:top w:val="none" w:sz="0" w:space="0" w:color="auto"/>
        <w:left w:val="none" w:sz="0" w:space="0" w:color="auto"/>
        <w:bottom w:val="none" w:sz="0" w:space="0" w:color="auto"/>
        <w:right w:val="none" w:sz="0" w:space="0" w:color="auto"/>
      </w:divBdr>
    </w:div>
    <w:div w:id="1739287441">
      <w:marLeft w:val="0"/>
      <w:marRight w:val="0"/>
      <w:marTop w:val="0"/>
      <w:marBottom w:val="0"/>
      <w:divBdr>
        <w:top w:val="none" w:sz="0" w:space="0" w:color="auto"/>
        <w:left w:val="none" w:sz="0" w:space="0" w:color="auto"/>
        <w:bottom w:val="none" w:sz="0" w:space="0" w:color="auto"/>
        <w:right w:val="none" w:sz="0" w:space="0" w:color="auto"/>
      </w:divBdr>
    </w:div>
    <w:div w:id="1739287442">
      <w:marLeft w:val="0"/>
      <w:marRight w:val="0"/>
      <w:marTop w:val="0"/>
      <w:marBottom w:val="0"/>
      <w:divBdr>
        <w:top w:val="none" w:sz="0" w:space="0" w:color="auto"/>
        <w:left w:val="none" w:sz="0" w:space="0" w:color="auto"/>
        <w:bottom w:val="none" w:sz="0" w:space="0" w:color="auto"/>
        <w:right w:val="none" w:sz="0" w:space="0" w:color="auto"/>
      </w:divBdr>
    </w:div>
    <w:div w:id="1739287443">
      <w:marLeft w:val="0"/>
      <w:marRight w:val="0"/>
      <w:marTop w:val="0"/>
      <w:marBottom w:val="0"/>
      <w:divBdr>
        <w:top w:val="none" w:sz="0" w:space="0" w:color="auto"/>
        <w:left w:val="none" w:sz="0" w:space="0" w:color="auto"/>
        <w:bottom w:val="none" w:sz="0" w:space="0" w:color="auto"/>
        <w:right w:val="none" w:sz="0" w:space="0" w:color="auto"/>
      </w:divBdr>
    </w:div>
    <w:div w:id="1739287444">
      <w:marLeft w:val="0"/>
      <w:marRight w:val="0"/>
      <w:marTop w:val="0"/>
      <w:marBottom w:val="0"/>
      <w:divBdr>
        <w:top w:val="none" w:sz="0" w:space="0" w:color="auto"/>
        <w:left w:val="none" w:sz="0" w:space="0" w:color="auto"/>
        <w:bottom w:val="none" w:sz="0" w:space="0" w:color="auto"/>
        <w:right w:val="none" w:sz="0" w:space="0" w:color="auto"/>
      </w:divBdr>
    </w:div>
    <w:div w:id="1739287445">
      <w:marLeft w:val="0"/>
      <w:marRight w:val="0"/>
      <w:marTop w:val="0"/>
      <w:marBottom w:val="0"/>
      <w:divBdr>
        <w:top w:val="none" w:sz="0" w:space="0" w:color="auto"/>
        <w:left w:val="none" w:sz="0" w:space="0" w:color="auto"/>
        <w:bottom w:val="none" w:sz="0" w:space="0" w:color="auto"/>
        <w:right w:val="none" w:sz="0" w:space="0" w:color="auto"/>
      </w:divBdr>
    </w:div>
    <w:div w:id="1739287446">
      <w:marLeft w:val="0"/>
      <w:marRight w:val="0"/>
      <w:marTop w:val="0"/>
      <w:marBottom w:val="0"/>
      <w:divBdr>
        <w:top w:val="none" w:sz="0" w:space="0" w:color="auto"/>
        <w:left w:val="none" w:sz="0" w:space="0" w:color="auto"/>
        <w:bottom w:val="none" w:sz="0" w:space="0" w:color="auto"/>
        <w:right w:val="none" w:sz="0" w:space="0" w:color="auto"/>
      </w:divBdr>
    </w:div>
    <w:div w:id="1739287448">
      <w:marLeft w:val="0"/>
      <w:marRight w:val="0"/>
      <w:marTop w:val="0"/>
      <w:marBottom w:val="0"/>
      <w:divBdr>
        <w:top w:val="none" w:sz="0" w:space="0" w:color="auto"/>
        <w:left w:val="none" w:sz="0" w:space="0" w:color="auto"/>
        <w:bottom w:val="none" w:sz="0" w:space="0" w:color="auto"/>
        <w:right w:val="none" w:sz="0" w:space="0" w:color="auto"/>
      </w:divBdr>
    </w:div>
    <w:div w:id="1739287449">
      <w:marLeft w:val="0"/>
      <w:marRight w:val="0"/>
      <w:marTop w:val="0"/>
      <w:marBottom w:val="0"/>
      <w:divBdr>
        <w:top w:val="none" w:sz="0" w:space="0" w:color="auto"/>
        <w:left w:val="none" w:sz="0" w:space="0" w:color="auto"/>
        <w:bottom w:val="none" w:sz="0" w:space="0" w:color="auto"/>
        <w:right w:val="none" w:sz="0" w:space="0" w:color="auto"/>
      </w:divBdr>
    </w:div>
    <w:div w:id="1739287452">
      <w:marLeft w:val="0"/>
      <w:marRight w:val="0"/>
      <w:marTop w:val="0"/>
      <w:marBottom w:val="0"/>
      <w:divBdr>
        <w:top w:val="none" w:sz="0" w:space="0" w:color="auto"/>
        <w:left w:val="none" w:sz="0" w:space="0" w:color="auto"/>
        <w:bottom w:val="none" w:sz="0" w:space="0" w:color="auto"/>
        <w:right w:val="none" w:sz="0" w:space="0" w:color="auto"/>
      </w:divBdr>
      <w:divsChild>
        <w:div w:id="1739287461">
          <w:marLeft w:val="0"/>
          <w:marRight w:val="0"/>
          <w:marTop w:val="0"/>
          <w:marBottom w:val="0"/>
          <w:divBdr>
            <w:top w:val="none" w:sz="0" w:space="0" w:color="auto"/>
            <w:left w:val="none" w:sz="0" w:space="0" w:color="auto"/>
            <w:bottom w:val="none" w:sz="0" w:space="0" w:color="auto"/>
            <w:right w:val="none" w:sz="0" w:space="0" w:color="auto"/>
          </w:divBdr>
          <w:divsChild>
            <w:div w:id="1739287480">
              <w:marLeft w:val="0"/>
              <w:marRight w:val="0"/>
              <w:marTop w:val="0"/>
              <w:marBottom w:val="0"/>
              <w:divBdr>
                <w:top w:val="none" w:sz="0" w:space="0" w:color="auto"/>
                <w:left w:val="none" w:sz="0" w:space="0" w:color="auto"/>
                <w:bottom w:val="none" w:sz="0" w:space="0" w:color="auto"/>
                <w:right w:val="none" w:sz="0" w:space="0" w:color="auto"/>
              </w:divBdr>
              <w:divsChild>
                <w:div w:id="1739287447">
                  <w:marLeft w:val="0"/>
                  <w:marRight w:val="0"/>
                  <w:marTop w:val="0"/>
                  <w:marBottom w:val="0"/>
                  <w:divBdr>
                    <w:top w:val="none" w:sz="0" w:space="0" w:color="auto"/>
                    <w:left w:val="none" w:sz="0" w:space="0" w:color="auto"/>
                    <w:bottom w:val="none" w:sz="0" w:space="0" w:color="auto"/>
                    <w:right w:val="none" w:sz="0" w:space="0" w:color="auto"/>
                  </w:divBdr>
                  <w:divsChild>
                    <w:div w:id="1739287429">
                      <w:marLeft w:val="0"/>
                      <w:marRight w:val="0"/>
                      <w:marTop w:val="0"/>
                      <w:marBottom w:val="0"/>
                      <w:divBdr>
                        <w:top w:val="none" w:sz="0" w:space="0" w:color="auto"/>
                        <w:left w:val="none" w:sz="0" w:space="0" w:color="auto"/>
                        <w:bottom w:val="none" w:sz="0" w:space="0" w:color="auto"/>
                        <w:right w:val="none" w:sz="0" w:space="0" w:color="auto"/>
                      </w:divBdr>
                      <w:divsChild>
                        <w:div w:id="1739287459">
                          <w:marLeft w:val="0"/>
                          <w:marRight w:val="0"/>
                          <w:marTop w:val="0"/>
                          <w:marBottom w:val="0"/>
                          <w:divBdr>
                            <w:top w:val="none" w:sz="0" w:space="0" w:color="auto"/>
                            <w:left w:val="none" w:sz="0" w:space="0" w:color="auto"/>
                            <w:bottom w:val="none" w:sz="0" w:space="0" w:color="auto"/>
                            <w:right w:val="none" w:sz="0" w:space="0" w:color="auto"/>
                          </w:divBdr>
                          <w:divsChild>
                            <w:div w:id="1739287456">
                              <w:marLeft w:val="0"/>
                              <w:marRight w:val="0"/>
                              <w:marTop w:val="0"/>
                              <w:marBottom w:val="0"/>
                              <w:divBdr>
                                <w:top w:val="none" w:sz="0" w:space="0" w:color="auto"/>
                                <w:left w:val="none" w:sz="0" w:space="0" w:color="auto"/>
                                <w:bottom w:val="none" w:sz="0" w:space="0" w:color="auto"/>
                                <w:right w:val="none" w:sz="0" w:space="0" w:color="auto"/>
                              </w:divBdr>
                              <w:divsChild>
                                <w:div w:id="1739287450">
                                  <w:marLeft w:val="0"/>
                                  <w:marRight w:val="0"/>
                                  <w:marTop w:val="0"/>
                                  <w:marBottom w:val="0"/>
                                  <w:divBdr>
                                    <w:top w:val="single" w:sz="6" w:space="0" w:color="F5F5F5"/>
                                    <w:left w:val="single" w:sz="6" w:space="0" w:color="F5F5F5"/>
                                    <w:bottom w:val="single" w:sz="6" w:space="0" w:color="F5F5F5"/>
                                    <w:right w:val="single" w:sz="6" w:space="0" w:color="F5F5F5"/>
                                  </w:divBdr>
                                  <w:divsChild>
                                    <w:div w:id="1739287432">
                                      <w:marLeft w:val="0"/>
                                      <w:marRight w:val="0"/>
                                      <w:marTop w:val="0"/>
                                      <w:marBottom w:val="0"/>
                                      <w:divBdr>
                                        <w:top w:val="none" w:sz="0" w:space="0" w:color="auto"/>
                                        <w:left w:val="none" w:sz="0" w:space="0" w:color="auto"/>
                                        <w:bottom w:val="none" w:sz="0" w:space="0" w:color="auto"/>
                                        <w:right w:val="none" w:sz="0" w:space="0" w:color="auto"/>
                                      </w:divBdr>
                                      <w:divsChild>
                                        <w:div w:id="173928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9287453">
      <w:marLeft w:val="0"/>
      <w:marRight w:val="0"/>
      <w:marTop w:val="0"/>
      <w:marBottom w:val="0"/>
      <w:divBdr>
        <w:top w:val="none" w:sz="0" w:space="0" w:color="auto"/>
        <w:left w:val="none" w:sz="0" w:space="0" w:color="auto"/>
        <w:bottom w:val="none" w:sz="0" w:space="0" w:color="auto"/>
        <w:right w:val="none" w:sz="0" w:space="0" w:color="auto"/>
      </w:divBdr>
    </w:div>
    <w:div w:id="1739287454">
      <w:marLeft w:val="0"/>
      <w:marRight w:val="0"/>
      <w:marTop w:val="0"/>
      <w:marBottom w:val="0"/>
      <w:divBdr>
        <w:top w:val="none" w:sz="0" w:space="0" w:color="auto"/>
        <w:left w:val="none" w:sz="0" w:space="0" w:color="auto"/>
        <w:bottom w:val="none" w:sz="0" w:space="0" w:color="auto"/>
        <w:right w:val="none" w:sz="0" w:space="0" w:color="auto"/>
      </w:divBdr>
    </w:div>
    <w:div w:id="1739287455">
      <w:marLeft w:val="0"/>
      <w:marRight w:val="0"/>
      <w:marTop w:val="0"/>
      <w:marBottom w:val="0"/>
      <w:divBdr>
        <w:top w:val="none" w:sz="0" w:space="0" w:color="auto"/>
        <w:left w:val="none" w:sz="0" w:space="0" w:color="auto"/>
        <w:bottom w:val="none" w:sz="0" w:space="0" w:color="auto"/>
        <w:right w:val="none" w:sz="0" w:space="0" w:color="auto"/>
      </w:divBdr>
      <w:divsChild>
        <w:div w:id="1739287479">
          <w:marLeft w:val="0"/>
          <w:marRight w:val="0"/>
          <w:marTop w:val="0"/>
          <w:marBottom w:val="0"/>
          <w:divBdr>
            <w:top w:val="none" w:sz="0" w:space="0" w:color="auto"/>
            <w:left w:val="none" w:sz="0" w:space="0" w:color="auto"/>
            <w:bottom w:val="none" w:sz="0" w:space="0" w:color="auto"/>
            <w:right w:val="none" w:sz="0" w:space="0" w:color="auto"/>
          </w:divBdr>
          <w:divsChild>
            <w:div w:id="1739287477">
              <w:marLeft w:val="0"/>
              <w:marRight w:val="0"/>
              <w:marTop w:val="0"/>
              <w:marBottom w:val="0"/>
              <w:divBdr>
                <w:top w:val="none" w:sz="0" w:space="0" w:color="auto"/>
                <w:left w:val="none" w:sz="0" w:space="0" w:color="auto"/>
                <w:bottom w:val="none" w:sz="0" w:space="0" w:color="auto"/>
                <w:right w:val="none" w:sz="0" w:space="0" w:color="auto"/>
              </w:divBdr>
              <w:divsChild>
                <w:div w:id="1739287481">
                  <w:marLeft w:val="0"/>
                  <w:marRight w:val="0"/>
                  <w:marTop w:val="0"/>
                  <w:marBottom w:val="0"/>
                  <w:divBdr>
                    <w:top w:val="none" w:sz="0" w:space="0" w:color="auto"/>
                    <w:left w:val="none" w:sz="0" w:space="0" w:color="auto"/>
                    <w:bottom w:val="none" w:sz="0" w:space="0" w:color="auto"/>
                    <w:right w:val="none" w:sz="0" w:space="0" w:color="auto"/>
                  </w:divBdr>
                  <w:divsChild>
                    <w:div w:id="1739287457">
                      <w:marLeft w:val="0"/>
                      <w:marRight w:val="0"/>
                      <w:marTop w:val="0"/>
                      <w:marBottom w:val="0"/>
                      <w:divBdr>
                        <w:top w:val="none" w:sz="0" w:space="0" w:color="auto"/>
                        <w:left w:val="none" w:sz="0" w:space="0" w:color="auto"/>
                        <w:bottom w:val="none" w:sz="0" w:space="0" w:color="auto"/>
                        <w:right w:val="none" w:sz="0" w:space="0" w:color="auto"/>
                      </w:divBdr>
                      <w:divsChild>
                        <w:div w:id="1739287435">
                          <w:marLeft w:val="0"/>
                          <w:marRight w:val="0"/>
                          <w:marTop w:val="0"/>
                          <w:marBottom w:val="0"/>
                          <w:divBdr>
                            <w:top w:val="none" w:sz="0" w:space="0" w:color="auto"/>
                            <w:left w:val="none" w:sz="0" w:space="0" w:color="auto"/>
                            <w:bottom w:val="none" w:sz="0" w:space="0" w:color="auto"/>
                            <w:right w:val="none" w:sz="0" w:space="0" w:color="auto"/>
                          </w:divBdr>
                          <w:divsChild>
                            <w:div w:id="1739287483">
                              <w:marLeft w:val="0"/>
                              <w:marRight w:val="0"/>
                              <w:marTop w:val="0"/>
                              <w:marBottom w:val="0"/>
                              <w:divBdr>
                                <w:top w:val="none" w:sz="0" w:space="0" w:color="auto"/>
                                <w:left w:val="none" w:sz="0" w:space="0" w:color="auto"/>
                                <w:bottom w:val="none" w:sz="0" w:space="0" w:color="auto"/>
                                <w:right w:val="none" w:sz="0" w:space="0" w:color="auto"/>
                              </w:divBdr>
                              <w:divsChild>
                                <w:div w:id="1739287463">
                                  <w:marLeft w:val="0"/>
                                  <w:marRight w:val="0"/>
                                  <w:marTop w:val="0"/>
                                  <w:marBottom w:val="0"/>
                                  <w:divBdr>
                                    <w:top w:val="single" w:sz="6" w:space="0" w:color="F5F5F5"/>
                                    <w:left w:val="single" w:sz="6" w:space="0" w:color="F5F5F5"/>
                                    <w:bottom w:val="single" w:sz="6" w:space="0" w:color="F5F5F5"/>
                                    <w:right w:val="single" w:sz="6" w:space="0" w:color="F5F5F5"/>
                                  </w:divBdr>
                                  <w:divsChild>
                                    <w:div w:id="1739287437">
                                      <w:marLeft w:val="0"/>
                                      <w:marRight w:val="0"/>
                                      <w:marTop w:val="0"/>
                                      <w:marBottom w:val="0"/>
                                      <w:divBdr>
                                        <w:top w:val="none" w:sz="0" w:space="0" w:color="auto"/>
                                        <w:left w:val="none" w:sz="0" w:space="0" w:color="auto"/>
                                        <w:bottom w:val="none" w:sz="0" w:space="0" w:color="auto"/>
                                        <w:right w:val="none" w:sz="0" w:space="0" w:color="auto"/>
                                      </w:divBdr>
                                      <w:divsChild>
                                        <w:div w:id="173928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9287458">
      <w:marLeft w:val="0"/>
      <w:marRight w:val="0"/>
      <w:marTop w:val="0"/>
      <w:marBottom w:val="0"/>
      <w:divBdr>
        <w:top w:val="none" w:sz="0" w:space="0" w:color="auto"/>
        <w:left w:val="none" w:sz="0" w:space="0" w:color="auto"/>
        <w:bottom w:val="none" w:sz="0" w:space="0" w:color="auto"/>
        <w:right w:val="none" w:sz="0" w:space="0" w:color="auto"/>
      </w:divBdr>
    </w:div>
    <w:div w:id="1739287460">
      <w:marLeft w:val="0"/>
      <w:marRight w:val="0"/>
      <w:marTop w:val="0"/>
      <w:marBottom w:val="0"/>
      <w:divBdr>
        <w:top w:val="none" w:sz="0" w:space="0" w:color="auto"/>
        <w:left w:val="none" w:sz="0" w:space="0" w:color="auto"/>
        <w:bottom w:val="none" w:sz="0" w:space="0" w:color="auto"/>
        <w:right w:val="none" w:sz="0" w:space="0" w:color="auto"/>
      </w:divBdr>
    </w:div>
    <w:div w:id="1739287462">
      <w:marLeft w:val="0"/>
      <w:marRight w:val="0"/>
      <w:marTop w:val="0"/>
      <w:marBottom w:val="0"/>
      <w:divBdr>
        <w:top w:val="none" w:sz="0" w:space="0" w:color="auto"/>
        <w:left w:val="none" w:sz="0" w:space="0" w:color="auto"/>
        <w:bottom w:val="none" w:sz="0" w:space="0" w:color="auto"/>
        <w:right w:val="none" w:sz="0" w:space="0" w:color="auto"/>
      </w:divBdr>
    </w:div>
    <w:div w:id="1739287464">
      <w:marLeft w:val="0"/>
      <w:marRight w:val="0"/>
      <w:marTop w:val="0"/>
      <w:marBottom w:val="0"/>
      <w:divBdr>
        <w:top w:val="none" w:sz="0" w:space="0" w:color="auto"/>
        <w:left w:val="none" w:sz="0" w:space="0" w:color="auto"/>
        <w:bottom w:val="none" w:sz="0" w:space="0" w:color="auto"/>
        <w:right w:val="none" w:sz="0" w:space="0" w:color="auto"/>
      </w:divBdr>
    </w:div>
    <w:div w:id="1739287465">
      <w:marLeft w:val="0"/>
      <w:marRight w:val="0"/>
      <w:marTop w:val="0"/>
      <w:marBottom w:val="0"/>
      <w:divBdr>
        <w:top w:val="none" w:sz="0" w:space="0" w:color="auto"/>
        <w:left w:val="none" w:sz="0" w:space="0" w:color="auto"/>
        <w:bottom w:val="none" w:sz="0" w:space="0" w:color="auto"/>
        <w:right w:val="none" w:sz="0" w:space="0" w:color="auto"/>
      </w:divBdr>
    </w:div>
    <w:div w:id="1739287466">
      <w:marLeft w:val="0"/>
      <w:marRight w:val="0"/>
      <w:marTop w:val="0"/>
      <w:marBottom w:val="0"/>
      <w:divBdr>
        <w:top w:val="none" w:sz="0" w:space="0" w:color="auto"/>
        <w:left w:val="none" w:sz="0" w:space="0" w:color="auto"/>
        <w:bottom w:val="none" w:sz="0" w:space="0" w:color="auto"/>
        <w:right w:val="none" w:sz="0" w:space="0" w:color="auto"/>
      </w:divBdr>
    </w:div>
    <w:div w:id="1739287467">
      <w:marLeft w:val="0"/>
      <w:marRight w:val="0"/>
      <w:marTop w:val="0"/>
      <w:marBottom w:val="0"/>
      <w:divBdr>
        <w:top w:val="none" w:sz="0" w:space="0" w:color="auto"/>
        <w:left w:val="none" w:sz="0" w:space="0" w:color="auto"/>
        <w:bottom w:val="none" w:sz="0" w:space="0" w:color="auto"/>
        <w:right w:val="none" w:sz="0" w:space="0" w:color="auto"/>
      </w:divBdr>
    </w:div>
    <w:div w:id="1739287468">
      <w:marLeft w:val="0"/>
      <w:marRight w:val="0"/>
      <w:marTop w:val="0"/>
      <w:marBottom w:val="0"/>
      <w:divBdr>
        <w:top w:val="none" w:sz="0" w:space="0" w:color="auto"/>
        <w:left w:val="none" w:sz="0" w:space="0" w:color="auto"/>
        <w:bottom w:val="none" w:sz="0" w:space="0" w:color="auto"/>
        <w:right w:val="none" w:sz="0" w:space="0" w:color="auto"/>
      </w:divBdr>
    </w:div>
    <w:div w:id="1739287469">
      <w:marLeft w:val="0"/>
      <w:marRight w:val="0"/>
      <w:marTop w:val="0"/>
      <w:marBottom w:val="0"/>
      <w:divBdr>
        <w:top w:val="none" w:sz="0" w:space="0" w:color="auto"/>
        <w:left w:val="none" w:sz="0" w:space="0" w:color="auto"/>
        <w:bottom w:val="none" w:sz="0" w:space="0" w:color="auto"/>
        <w:right w:val="none" w:sz="0" w:space="0" w:color="auto"/>
      </w:divBdr>
    </w:div>
    <w:div w:id="1739287470">
      <w:marLeft w:val="0"/>
      <w:marRight w:val="0"/>
      <w:marTop w:val="0"/>
      <w:marBottom w:val="0"/>
      <w:divBdr>
        <w:top w:val="none" w:sz="0" w:space="0" w:color="auto"/>
        <w:left w:val="none" w:sz="0" w:space="0" w:color="auto"/>
        <w:bottom w:val="none" w:sz="0" w:space="0" w:color="auto"/>
        <w:right w:val="none" w:sz="0" w:space="0" w:color="auto"/>
      </w:divBdr>
    </w:div>
    <w:div w:id="1739287471">
      <w:marLeft w:val="0"/>
      <w:marRight w:val="0"/>
      <w:marTop w:val="0"/>
      <w:marBottom w:val="0"/>
      <w:divBdr>
        <w:top w:val="none" w:sz="0" w:space="0" w:color="auto"/>
        <w:left w:val="none" w:sz="0" w:space="0" w:color="auto"/>
        <w:bottom w:val="none" w:sz="0" w:space="0" w:color="auto"/>
        <w:right w:val="none" w:sz="0" w:space="0" w:color="auto"/>
      </w:divBdr>
    </w:div>
    <w:div w:id="1739287472">
      <w:marLeft w:val="0"/>
      <w:marRight w:val="0"/>
      <w:marTop w:val="0"/>
      <w:marBottom w:val="0"/>
      <w:divBdr>
        <w:top w:val="none" w:sz="0" w:space="0" w:color="auto"/>
        <w:left w:val="none" w:sz="0" w:space="0" w:color="auto"/>
        <w:bottom w:val="none" w:sz="0" w:space="0" w:color="auto"/>
        <w:right w:val="none" w:sz="0" w:space="0" w:color="auto"/>
      </w:divBdr>
    </w:div>
    <w:div w:id="1739287473">
      <w:marLeft w:val="0"/>
      <w:marRight w:val="0"/>
      <w:marTop w:val="0"/>
      <w:marBottom w:val="0"/>
      <w:divBdr>
        <w:top w:val="none" w:sz="0" w:space="0" w:color="auto"/>
        <w:left w:val="none" w:sz="0" w:space="0" w:color="auto"/>
        <w:bottom w:val="none" w:sz="0" w:space="0" w:color="auto"/>
        <w:right w:val="none" w:sz="0" w:space="0" w:color="auto"/>
      </w:divBdr>
    </w:div>
    <w:div w:id="1739287474">
      <w:marLeft w:val="0"/>
      <w:marRight w:val="0"/>
      <w:marTop w:val="0"/>
      <w:marBottom w:val="0"/>
      <w:divBdr>
        <w:top w:val="none" w:sz="0" w:space="0" w:color="auto"/>
        <w:left w:val="none" w:sz="0" w:space="0" w:color="auto"/>
        <w:bottom w:val="none" w:sz="0" w:space="0" w:color="auto"/>
        <w:right w:val="none" w:sz="0" w:space="0" w:color="auto"/>
      </w:divBdr>
      <w:divsChild>
        <w:div w:id="1739287451">
          <w:marLeft w:val="0"/>
          <w:marRight w:val="0"/>
          <w:marTop w:val="450"/>
          <w:marBottom w:val="0"/>
          <w:divBdr>
            <w:top w:val="none" w:sz="0" w:space="0" w:color="auto"/>
            <w:left w:val="none" w:sz="0" w:space="0" w:color="auto"/>
            <w:bottom w:val="single" w:sz="6" w:space="0" w:color="999999"/>
            <w:right w:val="none" w:sz="0" w:space="0" w:color="auto"/>
          </w:divBdr>
        </w:div>
      </w:divsChild>
    </w:div>
    <w:div w:id="1739287475">
      <w:marLeft w:val="0"/>
      <w:marRight w:val="0"/>
      <w:marTop w:val="0"/>
      <w:marBottom w:val="0"/>
      <w:divBdr>
        <w:top w:val="none" w:sz="0" w:space="0" w:color="auto"/>
        <w:left w:val="none" w:sz="0" w:space="0" w:color="auto"/>
        <w:bottom w:val="none" w:sz="0" w:space="0" w:color="auto"/>
        <w:right w:val="none" w:sz="0" w:space="0" w:color="auto"/>
      </w:divBdr>
    </w:div>
    <w:div w:id="1739287476">
      <w:marLeft w:val="0"/>
      <w:marRight w:val="0"/>
      <w:marTop w:val="0"/>
      <w:marBottom w:val="0"/>
      <w:divBdr>
        <w:top w:val="none" w:sz="0" w:space="0" w:color="auto"/>
        <w:left w:val="none" w:sz="0" w:space="0" w:color="auto"/>
        <w:bottom w:val="none" w:sz="0" w:space="0" w:color="auto"/>
        <w:right w:val="none" w:sz="0" w:space="0" w:color="auto"/>
      </w:divBdr>
    </w:div>
    <w:div w:id="1739287478">
      <w:marLeft w:val="0"/>
      <w:marRight w:val="0"/>
      <w:marTop w:val="0"/>
      <w:marBottom w:val="0"/>
      <w:divBdr>
        <w:top w:val="none" w:sz="0" w:space="0" w:color="auto"/>
        <w:left w:val="none" w:sz="0" w:space="0" w:color="auto"/>
        <w:bottom w:val="none" w:sz="0" w:space="0" w:color="auto"/>
        <w:right w:val="none" w:sz="0" w:space="0" w:color="auto"/>
      </w:divBdr>
    </w:div>
    <w:div w:id="1739287482">
      <w:marLeft w:val="0"/>
      <w:marRight w:val="0"/>
      <w:marTop w:val="0"/>
      <w:marBottom w:val="0"/>
      <w:divBdr>
        <w:top w:val="none" w:sz="0" w:space="0" w:color="auto"/>
        <w:left w:val="none" w:sz="0" w:space="0" w:color="auto"/>
        <w:bottom w:val="none" w:sz="0" w:space="0" w:color="auto"/>
        <w:right w:val="none" w:sz="0" w:space="0" w:color="auto"/>
      </w:divBdr>
    </w:div>
    <w:div w:id="1739287484">
      <w:marLeft w:val="0"/>
      <w:marRight w:val="0"/>
      <w:marTop w:val="0"/>
      <w:marBottom w:val="0"/>
      <w:divBdr>
        <w:top w:val="none" w:sz="0" w:space="0" w:color="auto"/>
        <w:left w:val="none" w:sz="0" w:space="0" w:color="auto"/>
        <w:bottom w:val="none" w:sz="0" w:space="0" w:color="auto"/>
        <w:right w:val="none" w:sz="0" w:space="0" w:color="auto"/>
      </w:divBdr>
    </w:div>
    <w:div w:id="1739287485">
      <w:marLeft w:val="0"/>
      <w:marRight w:val="0"/>
      <w:marTop w:val="0"/>
      <w:marBottom w:val="0"/>
      <w:divBdr>
        <w:top w:val="none" w:sz="0" w:space="0" w:color="auto"/>
        <w:left w:val="none" w:sz="0" w:space="0" w:color="auto"/>
        <w:bottom w:val="none" w:sz="0" w:space="0" w:color="auto"/>
        <w:right w:val="none" w:sz="0" w:space="0" w:color="auto"/>
      </w:divBdr>
    </w:div>
    <w:div w:id="1739287486">
      <w:marLeft w:val="0"/>
      <w:marRight w:val="0"/>
      <w:marTop w:val="0"/>
      <w:marBottom w:val="0"/>
      <w:divBdr>
        <w:top w:val="none" w:sz="0" w:space="0" w:color="auto"/>
        <w:left w:val="none" w:sz="0" w:space="0" w:color="auto"/>
        <w:bottom w:val="none" w:sz="0" w:space="0" w:color="auto"/>
        <w:right w:val="none" w:sz="0" w:space="0" w:color="auto"/>
      </w:divBdr>
    </w:div>
    <w:div w:id="17392874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A7751B-D0B9-401A-8FDE-D80AFC539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1886</Words>
  <Characters>10638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Consultation Feedback Summary</vt:lpstr>
    </vt:vector>
  </TitlesOfParts>
  <Company>The World Bank Group</Company>
  <LinksUpToDate>false</LinksUpToDate>
  <CharactersWithSpaces>12500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Consultation Feedback Summary</dc:title>
  <dc:creator>wb216390</dc:creator>
  <cp:lastModifiedBy>Ida Mori</cp:lastModifiedBy>
  <cp:revision>4</cp:revision>
  <cp:lastPrinted>2013-03-21T19:06:00Z</cp:lastPrinted>
  <dcterms:created xsi:type="dcterms:W3CDTF">2013-06-04T22:45:00Z</dcterms:created>
  <dcterms:modified xsi:type="dcterms:W3CDTF">2013-06-06T21:18:00Z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The World Bank Group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0x010100709432D82A95904BB9AE2E383C32EFFA</vt:lpwstr>
  </property>
</Properties>
</file>