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Default="006E0806" w:rsidP="00EB75B9">
      <w:pPr>
        <w:jc w:val="center"/>
        <w:rPr>
          <w:rFonts w:asciiTheme="minorHAnsi" w:hAnsiTheme="minorHAnsi" w:cstheme="minorHAnsi"/>
        </w:rPr>
      </w:pPr>
      <w:r w:rsidRPr="006E0806">
        <w:rPr>
          <w:rFonts w:asciiTheme="minorHAnsi" w:hAnsiTheme="minorHAnsi" w:cstheme="minorHAnsi"/>
          <w:noProof/>
          <w:color w:val="000000"/>
          <w:sz w:val="18"/>
          <w:szCs w:val="18"/>
          <w:lang w:val="en-US" w:eastAsia="en-US" w:bidi="ar-SA"/>
        </w:rPr>
        <w:drawing>
          <wp:inline distT="0" distB="0" distL="0" distR="0" wp14:anchorId="1C2ADE2D" wp14:editId="339A2F34">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857770" w:rsidRPr="00B87E22" w:rsidRDefault="00F22B92" w:rsidP="00B87E22">
      <w:pPr>
        <w:spacing w:after="240" w:line="240" w:lineRule="auto"/>
        <w:jc w:val="center"/>
        <w:rPr>
          <w:rFonts w:asciiTheme="minorHAnsi" w:hAnsiTheme="minorHAnsi" w:cstheme="minorHAnsi"/>
          <w:b/>
          <w:color w:val="365F91" w:themeColor="accent1" w:themeShade="BF"/>
          <w:sz w:val="28"/>
        </w:rPr>
      </w:pPr>
      <w:r w:rsidRPr="00B87E22">
        <w:rPr>
          <w:rFonts w:asciiTheme="minorHAnsi" w:hAnsiTheme="minorHAnsi" w:cstheme="minorHAnsi"/>
          <w:b/>
          <w:color w:val="365F91" w:themeColor="accent1" w:themeShade="BF"/>
          <w:sz w:val="28"/>
        </w:rPr>
        <w:t xml:space="preserve">Review and Update of the World Bank’s Safeguard Policies </w:t>
      </w:r>
    </w:p>
    <w:p w:rsidR="00857770" w:rsidRPr="00B87E22" w:rsidRDefault="00F22B92" w:rsidP="00B87E22">
      <w:pPr>
        <w:spacing w:after="240" w:line="240" w:lineRule="auto"/>
        <w:jc w:val="center"/>
        <w:rPr>
          <w:rFonts w:asciiTheme="minorHAnsi" w:hAnsiTheme="minorHAnsi" w:cstheme="minorHAnsi"/>
          <w:b/>
          <w:color w:val="365F91" w:themeColor="accent1" w:themeShade="BF"/>
          <w:sz w:val="28"/>
        </w:rPr>
      </w:pPr>
      <w:r w:rsidRPr="00B87E22">
        <w:rPr>
          <w:rFonts w:asciiTheme="minorHAnsi" w:hAnsiTheme="minorHAnsi" w:cstheme="minorHAnsi"/>
          <w:b/>
          <w:color w:val="365F91" w:themeColor="accent1" w:themeShade="BF"/>
          <w:sz w:val="28"/>
        </w:rPr>
        <w:t>Consultation Feedback Summary</w:t>
      </w:r>
    </w:p>
    <w:p w:rsidR="00093B2C" w:rsidRPr="00104989"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szCs w:val="24"/>
          <w:lang w:val="en-US"/>
        </w:rPr>
      </w:pPr>
      <w:r w:rsidRPr="00104989">
        <w:rPr>
          <w:rFonts w:asciiTheme="minorHAnsi" w:hAnsiTheme="minorHAnsi" w:cstheme="minorHAnsi"/>
          <w:b/>
          <w:bCs/>
          <w:szCs w:val="24"/>
          <w:lang w:val="en-US"/>
        </w:rPr>
        <w:t xml:space="preserve">Date: </w:t>
      </w:r>
      <w:r w:rsidR="00C8265E" w:rsidRPr="00104989">
        <w:rPr>
          <w:rFonts w:asciiTheme="minorHAnsi" w:hAnsiTheme="minorHAnsi" w:cstheme="minorHAnsi"/>
          <w:bCs/>
          <w:szCs w:val="24"/>
          <w:lang w:val="en-US"/>
        </w:rPr>
        <w:t>March 5, 2013</w:t>
      </w:r>
    </w:p>
    <w:p w:rsidR="00093B2C" w:rsidRPr="00104989"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Cs/>
          <w:szCs w:val="24"/>
          <w:lang w:val="en-US"/>
        </w:rPr>
      </w:pPr>
      <w:r w:rsidRPr="00104989">
        <w:rPr>
          <w:rFonts w:asciiTheme="minorHAnsi" w:hAnsiTheme="minorHAnsi" w:cstheme="minorHAnsi"/>
          <w:b/>
          <w:bCs/>
          <w:szCs w:val="24"/>
          <w:lang w:val="en-US"/>
        </w:rPr>
        <w:t xml:space="preserve">Venue: </w:t>
      </w:r>
      <w:r w:rsidR="00C8265E" w:rsidRPr="00104989">
        <w:rPr>
          <w:rFonts w:asciiTheme="minorHAnsi" w:hAnsiTheme="minorHAnsi" w:cstheme="minorHAnsi"/>
          <w:bCs/>
          <w:szCs w:val="24"/>
          <w:lang w:val="en-US"/>
        </w:rPr>
        <w:t>Brussels, Belgium</w:t>
      </w:r>
    </w:p>
    <w:p w:rsidR="000D1AEB" w:rsidRPr="00104989" w:rsidRDefault="00093B2C" w:rsidP="000D1AE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bookmarkStart w:id="0" w:name="_GoBack"/>
      <w:bookmarkEnd w:id="0"/>
      <w:r w:rsidRPr="00104989">
        <w:rPr>
          <w:rFonts w:asciiTheme="minorHAnsi" w:hAnsiTheme="minorHAnsi" w:cstheme="minorHAnsi"/>
          <w:b/>
          <w:bCs/>
          <w:szCs w:val="24"/>
          <w:lang w:val="en-US"/>
        </w:rPr>
        <w:t>Total Number of Participants</w:t>
      </w:r>
      <w:r w:rsidRPr="00104989">
        <w:rPr>
          <w:rFonts w:asciiTheme="minorHAnsi" w:hAnsiTheme="minorHAnsi" w:cstheme="minorHAnsi"/>
          <w:b/>
          <w:szCs w:val="24"/>
          <w:lang w:val="en-US"/>
        </w:rPr>
        <w:t>:</w:t>
      </w:r>
      <w:r w:rsidR="000D1AEB" w:rsidRPr="00104989">
        <w:rPr>
          <w:rFonts w:asciiTheme="minorHAnsi" w:hAnsiTheme="minorHAnsi" w:cstheme="minorHAnsi"/>
          <w:b/>
          <w:szCs w:val="24"/>
          <w:lang w:val="en-US"/>
        </w:rPr>
        <w:t xml:space="preserve"> </w:t>
      </w:r>
      <w:r w:rsidR="00DA53BA" w:rsidRPr="00104989">
        <w:rPr>
          <w:rFonts w:asciiTheme="minorHAnsi" w:hAnsiTheme="minorHAnsi" w:cstheme="minorHAnsi"/>
          <w:b/>
          <w:szCs w:val="24"/>
          <w:lang w:val="en-US"/>
        </w:rPr>
        <w:t>35</w:t>
      </w:r>
    </w:p>
    <w:p w:rsidR="006D7F10" w:rsidRPr="00104989" w:rsidRDefault="006D7F10"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rPr>
      </w:pPr>
    </w:p>
    <w:tbl>
      <w:tblPr>
        <w:tblW w:w="0" w:type="auto"/>
        <w:jc w:val="center"/>
        <w:tblLayout w:type="fixed"/>
        <w:tblCellMar>
          <w:left w:w="0" w:type="dxa"/>
          <w:right w:w="0" w:type="dxa"/>
        </w:tblCellMar>
        <w:tblLook w:val="0000" w:firstRow="0" w:lastRow="0" w:firstColumn="0" w:lastColumn="0" w:noHBand="0" w:noVBand="0"/>
      </w:tblPr>
      <w:tblGrid>
        <w:gridCol w:w="10980"/>
      </w:tblGrid>
      <w:tr w:rsidR="002659D6" w:rsidRPr="00104989" w:rsidTr="00B87E22">
        <w:trPr>
          <w:trHeight w:val="70"/>
          <w:jc w:val="center"/>
        </w:trPr>
        <w:tc>
          <w:tcPr>
            <w:tcW w:w="10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59D6" w:rsidRPr="00104989" w:rsidRDefault="002659D6" w:rsidP="00E83950">
            <w:pPr>
              <w:snapToGrid w:val="0"/>
              <w:ind w:left="180" w:right="180"/>
              <w:rPr>
                <w:rFonts w:asciiTheme="minorHAnsi" w:eastAsia="Batang" w:hAnsiTheme="minorHAnsi" w:cstheme="minorHAnsi"/>
                <w:b/>
                <w:color w:val="17365D" w:themeColor="text2" w:themeShade="BF"/>
                <w:lang w:val="en-US"/>
              </w:rPr>
            </w:pPr>
            <w:r w:rsidRPr="00104989">
              <w:rPr>
                <w:rFonts w:asciiTheme="minorHAnsi" w:eastAsia="Batang" w:hAnsiTheme="minorHAnsi" w:cstheme="minorHAnsi"/>
                <w:b/>
                <w:color w:val="17365D" w:themeColor="text2" w:themeShade="BF"/>
                <w:lang w:val="en-US"/>
              </w:rPr>
              <w:t>Feedback from Stakeholders</w:t>
            </w:r>
          </w:p>
        </w:tc>
      </w:tr>
      <w:tr w:rsidR="0013530E" w:rsidRPr="00104989" w:rsidTr="00B87E22">
        <w:trPr>
          <w:trHeight w:val="70"/>
          <w:jc w:val="center"/>
        </w:trPr>
        <w:tc>
          <w:tcPr>
            <w:tcW w:w="10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530E" w:rsidRPr="00104989" w:rsidRDefault="0013530E" w:rsidP="00785020">
            <w:pPr>
              <w:snapToGrid w:val="0"/>
              <w:ind w:left="180" w:right="180"/>
              <w:jc w:val="left"/>
              <w:rPr>
                <w:rFonts w:asciiTheme="minorHAnsi" w:eastAsia="Batang" w:hAnsiTheme="minorHAnsi" w:cstheme="minorHAnsi"/>
                <w:b/>
                <w:color w:val="17365D" w:themeColor="text2" w:themeShade="BF"/>
              </w:rPr>
            </w:pPr>
            <w:r w:rsidRPr="00104989">
              <w:rPr>
                <w:rFonts w:asciiTheme="minorHAnsi" w:eastAsia="Batang" w:hAnsiTheme="minorHAnsi" w:cstheme="minorHAnsi"/>
                <w:b/>
                <w:color w:val="17365D" w:themeColor="text2" w:themeShade="BF"/>
                <w:lang w:val="en-US"/>
              </w:rPr>
              <w:t xml:space="preserve">1.  </w:t>
            </w:r>
            <w:proofErr w:type="spellStart"/>
            <w:r w:rsidR="004D059D" w:rsidRPr="00104989">
              <w:rPr>
                <w:rFonts w:asciiTheme="minorHAnsi" w:hAnsiTheme="minorHAnsi" w:cstheme="minorHAnsi"/>
                <w:b/>
                <w:color w:val="17365D" w:themeColor="text2" w:themeShade="BF"/>
              </w:rPr>
              <w:t>What</w:t>
            </w:r>
            <w:proofErr w:type="spellEnd"/>
            <w:r w:rsidR="004D059D" w:rsidRPr="00104989">
              <w:rPr>
                <w:rFonts w:asciiTheme="minorHAnsi" w:hAnsiTheme="minorHAnsi" w:cstheme="minorHAnsi"/>
                <w:b/>
                <w:color w:val="17365D" w:themeColor="text2" w:themeShade="BF"/>
              </w:rPr>
              <w:t xml:space="preserve"> has </w:t>
            </w:r>
            <w:proofErr w:type="spellStart"/>
            <w:r w:rsidR="004D059D" w:rsidRPr="00104989">
              <w:rPr>
                <w:rFonts w:asciiTheme="minorHAnsi" w:hAnsiTheme="minorHAnsi" w:cstheme="minorHAnsi"/>
                <w:b/>
                <w:color w:val="17365D" w:themeColor="text2" w:themeShade="BF"/>
              </w:rPr>
              <w:t>worked</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well</w:t>
            </w:r>
            <w:proofErr w:type="spellEnd"/>
            <w:r w:rsidR="004D059D" w:rsidRPr="00104989">
              <w:rPr>
                <w:rFonts w:asciiTheme="minorHAnsi" w:hAnsiTheme="minorHAnsi" w:cstheme="minorHAnsi"/>
                <w:b/>
                <w:color w:val="17365D" w:themeColor="text2" w:themeShade="BF"/>
              </w:rPr>
              <w:t xml:space="preserve"> in </w:t>
            </w:r>
            <w:proofErr w:type="spellStart"/>
            <w:r w:rsidR="004D059D" w:rsidRPr="00104989">
              <w:rPr>
                <w:rFonts w:asciiTheme="minorHAnsi" w:hAnsiTheme="minorHAnsi" w:cstheme="minorHAnsi"/>
                <w:b/>
                <w:color w:val="17365D" w:themeColor="text2" w:themeShade="BF"/>
              </w:rPr>
              <w:t>the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current</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safeguard</w:t>
            </w:r>
            <w:proofErr w:type="spellEnd"/>
            <w:r w:rsidR="004D059D" w:rsidRPr="00104989">
              <w:rPr>
                <w:rFonts w:asciiTheme="minorHAnsi" w:hAnsiTheme="minorHAnsi" w:cstheme="minorHAnsi"/>
                <w:b/>
                <w:color w:val="17365D" w:themeColor="text2" w:themeShade="BF"/>
              </w:rPr>
              <w:t xml:space="preserve"> </w:t>
            </w:r>
            <w:proofErr w:type="spellStart"/>
            <w:proofErr w:type="gramStart"/>
            <w:r w:rsidR="004D059D" w:rsidRPr="00104989">
              <w:rPr>
                <w:rFonts w:asciiTheme="minorHAnsi" w:hAnsiTheme="minorHAnsi" w:cstheme="minorHAnsi"/>
                <w:b/>
                <w:color w:val="17365D" w:themeColor="text2" w:themeShade="BF"/>
              </w:rPr>
              <w:t>policies</w:t>
            </w:r>
            <w:proofErr w:type="spellEnd"/>
            <w:r w:rsidR="00785020" w:rsidRPr="00104989">
              <w:rPr>
                <w:rFonts w:asciiTheme="minorHAnsi" w:hAnsiTheme="minorHAnsi" w:cstheme="minorHAnsi"/>
                <w:b/>
                <w:color w:val="1F497D" w:themeColor="text2"/>
              </w:rPr>
              <w:t>.</w:t>
            </w:r>
            <w:proofErr w:type="gramEnd"/>
          </w:p>
        </w:tc>
      </w:tr>
      <w:tr w:rsidR="00391E63" w:rsidRPr="00104989" w:rsidTr="00B87E22">
        <w:trPr>
          <w:trHeight w:val="413"/>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B30E3B" w:rsidRPr="00104989" w:rsidRDefault="00B30E3B" w:rsidP="00C45633">
            <w:pPr>
              <w:pStyle w:val="ListParagraph"/>
              <w:numPr>
                <w:ilvl w:val="0"/>
                <w:numId w:val="29"/>
              </w:numPr>
              <w:snapToGrid w:val="0"/>
              <w:ind w:right="180"/>
              <w:jc w:val="left"/>
              <w:rPr>
                <w:rFonts w:asciiTheme="minorHAnsi" w:eastAsia="Batang" w:hAnsiTheme="minorHAnsi" w:cstheme="minorHAnsi"/>
                <w:b/>
                <w:sz w:val="20"/>
                <w:lang w:val="en-US"/>
              </w:rPr>
            </w:pPr>
            <w:proofErr w:type="spellStart"/>
            <w:r w:rsidRPr="00104989">
              <w:rPr>
                <w:rFonts w:asciiTheme="minorHAnsi" w:hAnsiTheme="minorHAnsi"/>
                <w:shd w:val="clear" w:color="auto" w:fill="FFFFFF"/>
              </w:rPr>
              <w:t>The</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involvement</w:t>
            </w:r>
            <w:proofErr w:type="spellEnd"/>
            <w:r w:rsidRPr="00104989">
              <w:rPr>
                <w:rFonts w:asciiTheme="minorHAnsi" w:hAnsiTheme="minorHAnsi"/>
                <w:shd w:val="clear" w:color="auto" w:fill="FFFFFF"/>
              </w:rPr>
              <w:t xml:space="preserve"> of </w:t>
            </w:r>
            <w:proofErr w:type="spellStart"/>
            <w:r w:rsidRPr="00104989">
              <w:rPr>
                <w:rFonts w:asciiTheme="minorHAnsi" w:hAnsiTheme="minorHAnsi"/>
                <w:shd w:val="clear" w:color="auto" w:fill="FFFFFF"/>
              </w:rPr>
              <w:t>the</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World</w:t>
            </w:r>
            <w:proofErr w:type="spellEnd"/>
            <w:r w:rsidRPr="00104989">
              <w:rPr>
                <w:rFonts w:asciiTheme="minorHAnsi" w:hAnsiTheme="minorHAnsi"/>
                <w:shd w:val="clear" w:color="auto" w:fill="FFFFFF"/>
              </w:rPr>
              <w:t xml:space="preserve"> Bank in </w:t>
            </w:r>
            <w:proofErr w:type="spellStart"/>
            <w:r w:rsidRPr="00104989">
              <w:rPr>
                <w:rFonts w:asciiTheme="minorHAnsi" w:hAnsiTheme="minorHAnsi"/>
                <w:shd w:val="clear" w:color="auto" w:fill="FFFFFF"/>
              </w:rPr>
              <w:t>projects</w:t>
            </w:r>
            <w:proofErr w:type="spellEnd"/>
            <w:r w:rsidRPr="00104989">
              <w:rPr>
                <w:rFonts w:asciiTheme="minorHAnsi" w:hAnsiTheme="minorHAnsi"/>
                <w:shd w:val="clear" w:color="auto" w:fill="FFFFFF"/>
              </w:rPr>
              <w:t xml:space="preserve"> has </w:t>
            </w:r>
            <w:proofErr w:type="spellStart"/>
            <w:r w:rsidRPr="00104989">
              <w:rPr>
                <w:rFonts w:asciiTheme="minorHAnsi" w:hAnsiTheme="minorHAnsi"/>
                <w:shd w:val="clear" w:color="auto" w:fill="FFFFFF"/>
              </w:rPr>
              <w:t>helped</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prevent</w:t>
            </w:r>
            <w:proofErr w:type="spellEnd"/>
            <w:r w:rsidR="00307AD9" w:rsidRPr="00104989">
              <w:rPr>
                <w:rFonts w:asciiTheme="minorHAnsi" w:hAnsiTheme="minorHAnsi"/>
                <w:shd w:val="clear" w:color="auto" w:fill="FFFFFF"/>
              </w:rPr>
              <w:t xml:space="preserve"> </w:t>
            </w:r>
            <w:proofErr w:type="spellStart"/>
            <w:r w:rsidR="00307AD9" w:rsidRPr="00104989">
              <w:rPr>
                <w:rFonts w:asciiTheme="minorHAnsi" w:hAnsiTheme="minorHAnsi"/>
                <w:shd w:val="clear" w:color="auto" w:fill="FFFFFF"/>
              </w:rPr>
              <w:t>many</w:t>
            </w:r>
            <w:proofErr w:type="spellEnd"/>
            <w:r w:rsidRPr="00104989">
              <w:rPr>
                <w:rFonts w:asciiTheme="minorHAnsi" w:hAnsiTheme="minorHAnsi"/>
                <w:shd w:val="clear" w:color="auto" w:fill="FFFFFF"/>
              </w:rPr>
              <w:t xml:space="preserve"> social and </w:t>
            </w:r>
            <w:proofErr w:type="spellStart"/>
            <w:r w:rsidRPr="00104989">
              <w:rPr>
                <w:rFonts w:asciiTheme="minorHAnsi" w:hAnsiTheme="minorHAnsi"/>
                <w:shd w:val="clear" w:color="auto" w:fill="FFFFFF"/>
              </w:rPr>
              <w:t>environmental</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disasters</w:t>
            </w:r>
            <w:proofErr w:type="spellEnd"/>
            <w:r w:rsidR="00C64A93">
              <w:rPr>
                <w:rFonts w:asciiTheme="minorHAnsi" w:hAnsiTheme="minorHAnsi"/>
                <w:shd w:val="clear" w:color="auto" w:fill="FFFFFF"/>
              </w:rPr>
              <w:t>.</w:t>
            </w:r>
          </w:p>
          <w:p w:rsidR="009C30E5" w:rsidRPr="00104989" w:rsidRDefault="009C30E5" w:rsidP="00482CE6">
            <w:pPr>
              <w:pStyle w:val="ListParagraph"/>
              <w:numPr>
                <w:ilvl w:val="1"/>
                <w:numId w:val="29"/>
              </w:numPr>
              <w:snapToGrid w:val="0"/>
              <w:ind w:right="180"/>
              <w:jc w:val="left"/>
              <w:rPr>
                <w:rFonts w:asciiTheme="minorHAnsi" w:eastAsia="Batang" w:hAnsiTheme="minorHAnsi" w:cstheme="minorHAnsi"/>
                <w:b/>
                <w:color w:val="17365D" w:themeColor="text2" w:themeShade="BF"/>
                <w:sz w:val="20"/>
                <w:lang w:val="en-US"/>
              </w:rPr>
            </w:pPr>
            <w:proofErr w:type="spellStart"/>
            <w:r w:rsidRPr="00104989">
              <w:rPr>
                <w:rFonts w:asciiTheme="minorHAnsi" w:hAnsiTheme="minorHAnsi"/>
                <w:shd w:val="clear" w:color="auto" w:fill="FFFFFF"/>
              </w:rPr>
              <w:t>E</w:t>
            </w:r>
            <w:r w:rsidR="0058029E" w:rsidRPr="00104989">
              <w:rPr>
                <w:rFonts w:asciiTheme="minorHAnsi" w:hAnsiTheme="minorHAnsi"/>
                <w:shd w:val="clear" w:color="auto" w:fill="FFFFFF"/>
              </w:rPr>
              <w:t>xisting</w:t>
            </w:r>
            <w:proofErr w:type="spellEnd"/>
            <w:r w:rsidR="0058029E" w:rsidRPr="00104989">
              <w:rPr>
                <w:rFonts w:asciiTheme="minorHAnsi" w:hAnsiTheme="minorHAnsi"/>
                <w:shd w:val="clear" w:color="auto" w:fill="FFFFFF"/>
              </w:rPr>
              <w:t xml:space="preserve"> </w:t>
            </w:r>
            <w:proofErr w:type="spellStart"/>
            <w:r w:rsidR="0058029E" w:rsidRPr="00104989">
              <w:rPr>
                <w:rFonts w:asciiTheme="minorHAnsi" w:hAnsiTheme="minorHAnsi"/>
                <w:shd w:val="clear" w:color="auto" w:fill="FFFFFF"/>
              </w:rPr>
              <w:t>safeguards</w:t>
            </w:r>
            <w:proofErr w:type="spellEnd"/>
            <w:r w:rsidR="0058029E" w:rsidRPr="00104989">
              <w:rPr>
                <w:rFonts w:asciiTheme="minorHAnsi" w:hAnsiTheme="minorHAnsi"/>
                <w:shd w:val="clear" w:color="auto" w:fill="FFFFFF"/>
              </w:rPr>
              <w:t xml:space="preserve"> </w:t>
            </w:r>
            <w:proofErr w:type="spellStart"/>
            <w:r w:rsidR="0058029E" w:rsidRPr="00104989">
              <w:rPr>
                <w:rFonts w:asciiTheme="minorHAnsi" w:hAnsiTheme="minorHAnsi"/>
                <w:shd w:val="clear" w:color="auto" w:fill="FFFFFF"/>
              </w:rPr>
              <w:t>concerning</w:t>
            </w:r>
            <w:proofErr w:type="spellEnd"/>
            <w:r w:rsidR="0058029E" w:rsidRPr="00104989">
              <w:rPr>
                <w:rFonts w:asciiTheme="minorHAnsi" w:hAnsiTheme="minorHAnsi"/>
                <w:shd w:val="clear" w:color="auto" w:fill="FFFFFF"/>
              </w:rPr>
              <w:t xml:space="preserve"> </w:t>
            </w:r>
            <w:proofErr w:type="spellStart"/>
            <w:r w:rsidR="0058029E" w:rsidRPr="00104989">
              <w:rPr>
                <w:rFonts w:asciiTheme="minorHAnsi" w:hAnsiTheme="minorHAnsi"/>
                <w:shd w:val="clear" w:color="auto" w:fill="FFFFFF"/>
              </w:rPr>
              <w:t>dam</w:t>
            </w:r>
            <w:proofErr w:type="spellEnd"/>
            <w:r w:rsidR="0058029E" w:rsidRPr="00104989">
              <w:rPr>
                <w:rFonts w:asciiTheme="minorHAnsi" w:hAnsiTheme="minorHAnsi"/>
                <w:shd w:val="clear" w:color="auto" w:fill="FFFFFF"/>
              </w:rPr>
              <w:t xml:space="preserve"> </w:t>
            </w:r>
            <w:proofErr w:type="spellStart"/>
            <w:r w:rsidR="0058029E" w:rsidRPr="00104989">
              <w:rPr>
                <w:rFonts w:asciiTheme="minorHAnsi" w:hAnsiTheme="minorHAnsi"/>
                <w:shd w:val="clear" w:color="auto" w:fill="FFFFFF"/>
              </w:rPr>
              <w:t>infrastructure</w:t>
            </w:r>
            <w:proofErr w:type="spellEnd"/>
            <w:r w:rsidR="0058029E" w:rsidRPr="00104989">
              <w:rPr>
                <w:rFonts w:asciiTheme="minorHAnsi" w:hAnsiTheme="minorHAnsi"/>
                <w:shd w:val="clear" w:color="auto" w:fill="FFFFFF"/>
              </w:rPr>
              <w:t xml:space="preserve"> </w:t>
            </w:r>
            <w:proofErr w:type="spellStart"/>
            <w:r w:rsidR="0058029E" w:rsidRPr="00104989">
              <w:rPr>
                <w:rFonts w:asciiTheme="minorHAnsi" w:hAnsiTheme="minorHAnsi"/>
                <w:shd w:val="clear" w:color="auto" w:fill="FFFFFF"/>
              </w:rPr>
              <w:t>projects</w:t>
            </w:r>
            <w:proofErr w:type="spellEnd"/>
            <w:r w:rsidR="0058029E"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have</w:t>
            </w:r>
            <w:proofErr w:type="spellEnd"/>
            <w:r w:rsidRPr="00104989">
              <w:rPr>
                <w:rFonts w:asciiTheme="minorHAnsi" w:hAnsiTheme="minorHAnsi"/>
                <w:shd w:val="clear" w:color="auto" w:fill="FFFFFF"/>
              </w:rPr>
              <w:t xml:space="preserve"> </w:t>
            </w:r>
            <w:proofErr w:type="spellStart"/>
            <w:r w:rsidR="0058029E" w:rsidRPr="00104989">
              <w:rPr>
                <w:rFonts w:asciiTheme="minorHAnsi" w:hAnsiTheme="minorHAnsi"/>
                <w:shd w:val="clear" w:color="auto" w:fill="FFFFFF"/>
              </w:rPr>
              <w:t>work</w:t>
            </w:r>
            <w:r w:rsidRPr="00104989">
              <w:rPr>
                <w:rFonts w:asciiTheme="minorHAnsi" w:hAnsiTheme="minorHAnsi"/>
                <w:shd w:val="clear" w:color="auto" w:fill="FFFFFF"/>
              </w:rPr>
              <w:t>ed</w:t>
            </w:r>
            <w:proofErr w:type="spellEnd"/>
            <w:r w:rsidR="0058029E" w:rsidRPr="00104989">
              <w:rPr>
                <w:rFonts w:asciiTheme="minorHAnsi" w:hAnsiTheme="minorHAnsi"/>
                <w:shd w:val="clear" w:color="auto" w:fill="FFFFFF"/>
              </w:rPr>
              <w:t xml:space="preserve"> </w:t>
            </w:r>
            <w:proofErr w:type="spellStart"/>
            <w:r w:rsidR="0058029E" w:rsidRPr="00104989">
              <w:rPr>
                <w:rFonts w:asciiTheme="minorHAnsi" w:hAnsiTheme="minorHAnsi"/>
                <w:shd w:val="clear" w:color="auto" w:fill="FFFFFF"/>
              </w:rPr>
              <w:t>well</w:t>
            </w:r>
            <w:proofErr w:type="spellEnd"/>
            <w:r w:rsidR="00557BBC" w:rsidRPr="00104989">
              <w:rPr>
                <w:rFonts w:asciiTheme="minorHAnsi" w:hAnsiTheme="minorHAnsi"/>
                <w:shd w:val="clear" w:color="auto" w:fill="FFFFFF"/>
              </w:rPr>
              <w:t xml:space="preserve"> in </w:t>
            </w:r>
            <w:proofErr w:type="spellStart"/>
            <w:r w:rsidR="00557BBC" w:rsidRPr="00104989">
              <w:rPr>
                <w:rFonts w:asciiTheme="minorHAnsi" w:hAnsiTheme="minorHAnsi"/>
                <w:shd w:val="clear" w:color="auto" w:fill="FFFFFF"/>
              </w:rPr>
              <w:t>some</w:t>
            </w:r>
            <w:proofErr w:type="spellEnd"/>
            <w:r w:rsidR="00557BBC" w:rsidRPr="00104989">
              <w:rPr>
                <w:rFonts w:asciiTheme="minorHAnsi" w:hAnsiTheme="minorHAnsi"/>
                <w:shd w:val="clear" w:color="auto" w:fill="FFFFFF"/>
              </w:rPr>
              <w:t xml:space="preserve"> cases</w:t>
            </w:r>
            <w:r w:rsidR="0058029E" w:rsidRPr="00104989">
              <w:rPr>
                <w:rFonts w:asciiTheme="minorHAnsi" w:hAnsiTheme="minorHAnsi"/>
                <w:shd w:val="clear" w:color="auto" w:fill="FFFFFF"/>
              </w:rPr>
              <w:t>.</w:t>
            </w:r>
          </w:p>
        </w:tc>
      </w:tr>
      <w:tr w:rsidR="00A840E8" w:rsidRPr="00104989" w:rsidTr="00B87E22">
        <w:trPr>
          <w:trHeight w:val="70"/>
          <w:jc w:val="center"/>
        </w:trPr>
        <w:tc>
          <w:tcPr>
            <w:tcW w:w="10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840E8" w:rsidRPr="00104989" w:rsidRDefault="00320F96" w:rsidP="004D059D">
            <w:pPr>
              <w:ind w:left="180"/>
              <w:jc w:val="left"/>
              <w:rPr>
                <w:rFonts w:asciiTheme="minorHAnsi" w:eastAsia="Batang" w:hAnsiTheme="minorHAnsi" w:cstheme="minorHAnsi"/>
                <w:b/>
                <w:color w:val="17365D" w:themeColor="text2" w:themeShade="BF"/>
              </w:rPr>
            </w:pPr>
            <w:r w:rsidRPr="00104989">
              <w:rPr>
                <w:rFonts w:asciiTheme="minorHAnsi" w:eastAsia="Batang" w:hAnsiTheme="minorHAnsi" w:cstheme="minorHAnsi"/>
                <w:b/>
                <w:bCs/>
                <w:color w:val="17365D" w:themeColor="text2" w:themeShade="BF"/>
              </w:rPr>
              <w:t xml:space="preserve">2. </w:t>
            </w:r>
            <w:proofErr w:type="spellStart"/>
            <w:r w:rsidR="004D059D" w:rsidRPr="00104989">
              <w:rPr>
                <w:rFonts w:asciiTheme="minorHAnsi" w:eastAsia="Batang" w:hAnsiTheme="minorHAnsi" w:cstheme="minorHAnsi"/>
                <w:b/>
                <w:bCs/>
                <w:color w:val="17365D" w:themeColor="text2" w:themeShade="BF"/>
              </w:rPr>
              <w:t>Issues</w:t>
            </w:r>
            <w:proofErr w:type="spellEnd"/>
            <w:r w:rsidR="004D059D" w:rsidRPr="00104989">
              <w:rPr>
                <w:rFonts w:asciiTheme="minorHAnsi" w:eastAsia="Batang" w:hAnsiTheme="minorHAnsi" w:cstheme="minorHAnsi"/>
                <w:b/>
                <w:bCs/>
                <w:color w:val="17365D" w:themeColor="text2" w:themeShade="BF"/>
              </w:rPr>
              <w:t xml:space="preserve"> and </w:t>
            </w:r>
            <w:proofErr w:type="spellStart"/>
            <w:r w:rsidR="004D059D" w:rsidRPr="00104989">
              <w:rPr>
                <w:rFonts w:asciiTheme="minorHAnsi" w:eastAsia="Batang" w:hAnsiTheme="minorHAnsi" w:cstheme="minorHAnsi"/>
                <w:b/>
                <w:bCs/>
                <w:color w:val="17365D" w:themeColor="text2" w:themeShade="BF"/>
              </w:rPr>
              <w:t>c</w:t>
            </w:r>
            <w:r w:rsidR="00FA0FB8" w:rsidRPr="00104989">
              <w:rPr>
                <w:rFonts w:asciiTheme="minorHAnsi" w:hAnsiTheme="minorHAnsi" w:cstheme="minorHAnsi"/>
                <w:b/>
                <w:color w:val="17365D" w:themeColor="text2" w:themeShade="BF"/>
              </w:rPr>
              <w:t>hallenges</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encountered</w:t>
            </w:r>
            <w:proofErr w:type="spellEnd"/>
            <w:r w:rsidR="00FA0FB8" w:rsidRPr="00104989">
              <w:rPr>
                <w:rFonts w:asciiTheme="minorHAnsi" w:hAnsiTheme="minorHAnsi" w:cstheme="minorHAnsi"/>
                <w:b/>
                <w:color w:val="17365D" w:themeColor="text2" w:themeShade="BF"/>
              </w:rPr>
              <w:t xml:space="preserve"> in </w:t>
            </w:r>
            <w:proofErr w:type="spellStart"/>
            <w:r w:rsidR="004D059D" w:rsidRPr="00104989">
              <w:rPr>
                <w:rFonts w:asciiTheme="minorHAnsi" w:hAnsiTheme="minorHAnsi" w:cstheme="minorHAnsi"/>
                <w:b/>
                <w:color w:val="17365D" w:themeColor="text2" w:themeShade="BF"/>
              </w:rPr>
              <w:t>the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application</w:t>
            </w:r>
            <w:proofErr w:type="spellEnd"/>
            <w:r w:rsidR="004D059D" w:rsidRPr="00104989">
              <w:rPr>
                <w:rFonts w:asciiTheme="minorHAnsi" w:hAnsiTheme="minorHAnsi" w:cstheme="minorHAnsi"/>
                <w:b/>
                <w:color w:val="17365D" w:themeColor="text2" w:themeShade="BF"/>
              </w:rPr>
              <w:t xml:space="preserve"> of </w:t>
            </w:r>
            <w:proofErr w:type="spellStart"/>
            <w:r w:rsidR="00FA0FB8" w:rsidRPr="00104989">
              <w:rPr>
                <w:rFonts w:asciiTheme="minorHAnsi" w:hAnsiTheme="minorHAnsi" w:cstheme="minorHAnsi"/>
                <w:b/>
                <w:color w:val="17365D" w:themeColor="text2" w:themeShade="BF"/>
              </w:rPr>
              <w:t>the</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safeguard</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policies</w:t>
            </w:r>
            <w:proofErr w:type="spellEnd"/>
            <w:r w:rsidR="00FA0FB8" w:rsidRPr="00104989">
              <w:rPr>
                <w:rFonts w:asciiTheme="minorHAnsi" w:hAnsiTheme="minorHAnsi" w:cstheme="minorHAnsi"/>
                <w:b/>
                <w:color w:val="17365D" w:themeColor="text2" w:themeShade="BF"/>
              </w:rPr>
              <w:t>.</w:t>
            </w:r>
          </w:p>
        </w:tc>
      </w:tr>
      <w:tr w:rsidR="00391E63" w:rsidRPr="00104989" w:rsidTr="00B87E22">
        <w:tblPrEx>
          <w:tblCellMar>
            <w:left w:w="108" w:type="dxa"/>
            <w:right w:w="108" w:type="dxa"/>
          </w:tblCellMar>
        </w:tblPrEx>
        <w:trPr>
          <w:trHeight w:val="962"/>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C45633" w:rsidRPr="00104989" w:rsidRDefault="009C30E5" w:rsidP="00C45633">
            <w:pPr>
              <w:pStyle w:val="ListParagraph"/>
              <w:numPr>
                <w:ilvl w:val="0"/>
                <w:numId w:val="31"/>
              </w:numPr>
              <w:shd w:val="clear" w:color="auto" w:fill="FFFFFF"/>
              <w:suppressAutoHyphens w:val="0"/>
              <w:spacing w:after="0" w:line="270" w:lineRule="atLeast"/>
              <w:jc w:val="left"/>
              <w:rPr>
                <w:rFonts w:asciiTheme="minorHAnsi" w:hAnsiTheme="minorHAnsi" w:cstheme="minorHAnsi"/>
                <w:sz w:val="22"/>
                <w:szCs w:val="22"/>
              </w:rPr>
            </w:pPr>
            <w:r w:rsidRPr="00104989">
              <w:rPr>
                <w:rFonts w:asciiTheme="minorHAnsi" w:hAnsiTheme="minorHAnsi"/>
                <w:kern w:val="0"/>
                <w:lang w:val="en-US" w:eastAsia="nl-BE" w:bidi="ar-SA"/>
              </w:rPr>
              <w:t>P</w:t>
            </w:r>
            <w:r w:rsidR="00C45633" w:rsidRPr="00104989">
              <w:rPr>
                <w:rFonts w:asciiTheme="minorHAnsi" w:hAnsiTheme="minorHAnsi"/>
                <w:kern w:val="0"/>
                <w:lang w:val="en-US" w:eastAsia="nl-BE" w:bidi="ar-SA"/>
              </w:rPr>
              <w:t xml:space="preserve">olitical pressure excessively influences the implementation of </w:t>
            </w:r>
            <w:r w:rsidR="00C64A93">
              <w:rPr>
                <w:rFonts w:asciiTheme="minorHAnsi" w:hAnsiTheme="minorHAnsi"/>
                <w:kern w:val="0"/>
                <w:lang w:val="en-US" w:eastAsia="nl-BE" w:bidi="ar-SA"/>
              </w:rPr>
              <w:t xml:space="preserve">Bank </w:t>
            </w:r>
            <w:r w:rsidR="00C45633" w:rsidRPr="00104989">
              <w:rPr>
                <w:rFonts w:asciiTheme="minorHAnsi" w:hAnsiTheme="minorHAnsi"/>
                <w:kern w:val="0"/>
                <w:lang w:val="en-US" w:eastAsia="nl-BE" w:bidi="ar-SA"/>
              </w:rPr>
              <w:t>projects, no matter what safeguards/guidelines are in place.</w:t>
            </w:r>
            <w:r w:rsidR="00A063F8" w:rsidRPr="00104989">
              <w:rPr>
                <w:rFonts w:asciiTheme="minorHAnsi" w:hAnsiTheme="minorHAnsi"/>
                <w:kern w:val="0"/>
                <w:lang w:val="en-US" w:eastAsia="nl-BE" w:bidi="ar-SA"/>
              </w:rPr>
              <w:t xml:space="preserve"> An example is the Kosovo </w:t>
            </w:r>
            <w:r w:rsidR="00D505A0" w:rsidRPr="00104989">
              <w:rPr>
                <w:rFonts w:asciiTheme="minorHAnsi" w:hAnsiTheme="minorHAnsi"/>
                <w:kern w:val="0"/>
                <w:lang w:val="en-US" w:eastAsia="nl-BE" w:bidi="ar-SA"/>
              </w:rPr>
              <w:t>Power Project where ‘</w:t>
            </w:r>
            <w:r w:rsidR="00482CE6">
              <w:rPr>
                <w:rFonts w:asciiTheme="minorHAnsi" w:hAnsiTheme="minorHAnsi"/>
                <w:kern w:val="0"/>
                <w:lang w:val="en-US" w:eastAsia="nl-BE" w:bidi="ar-SA"/>
              </w:rPr>
              <w:t>external</w:t>
            </w:r>
            <w:r w:rsidR="00D505A0" w:rsidRPr="00104989">
              <w:rPr>
                <w:rFonts w:asciiTheme="minorHAnsi" w:hAnsiTheme="minorHAnsi"/>
                <w:kern w:val="0"/>
                <w:lang w:val="en-US" w:eastAsia="nl-BE" w:bidi="ar-SA"/>
              </w:rPr>
              <w:t xml:space="preserve"> pressure’ prevented the</w:t>
            </w:r>
            <w:r w:rsidR="008D54F5" w:rsidRPr="00104989">
              <w:rPr>
                <w:rFonts w:asciiTheme="minorHAnsi" w:hAnsiTheme="minorHAnsi"/>
                <w:kern w:val="0"/>
                <w:lang w:val="en-US" w:eastAsia="nl-BE" w:bidi="ar-SA"/>
              </w:rPr>
              <w:t xml:space="preserve"> </w:t>
            </w:r>
            <w:r w:rsidR="00C64A93">
              <w:rPr>
                <w:rFonts w:asciiTheme="minorHAnsi" w:hAnsiTheme="minorHAnsi"/>
                <w:kern w:val="0"/>
                <w:lang w:val="en-US" w:eastAsia="nl-BE" w:bidi="ar-SA"/>
              </w:rPr>
              <w:t xml:space="preserve">World Bank Group </w:t>
            </w:r>
            <w:r w:rsidR="00D505A0" w:rsidRPr="00104989">
              <w:rPr>
                <w:rFonts w:asciiTheme="minorHAnsi" w:hAnsiTheme="minorHAnsi"/>
                <w:kern w:val="0"/>
                <w:lang w:val="en-US" w:eastAsia="nl-BE" w:bidi="ar-SA"/>
              </w:rPr>
              <w:t>from examining different options</w:t>
            </w:r>
            <w:r w:rsidR="008D54F5" w:rsidRPr="00104989">
              <w:rPr>
                <w:rFonts w:asciiTheme="minorHAnsi" w:hAnsiTheme="minorHAnsi"/>
                <w:kern w:val="0"/>
                <w:lang w:val="en-US" w:eastAsia="nl-BE" w:bidi="ar-SA"/>
              </w:rPr>
              <w:t xml:space="preserve"> in developing power sources</w:t>
            </w:r>
            <w:r w:rsidR="00D505A0" w:rsidRPr="00104989">
              <w:rPr>
                <w:rFonts w:asciiTheme="minorHAnsi" w:hAnsiTheme="minorHAnsi"/>
                <w:kern w:val="0"/>
                <w:lang w:val="en-US" w:eastAsia="nl-BE" w:bidi="ar-SA"/>
              </w:rPr>
              <w:t>.</w:t>
            </w:r>
          </w:p>
          <w:p w:rsidR="000C1BD5" w:rsidRPr="00104989" w:rsidRDefault="00482CE6" w:rsidP="00C45633">
            <w:pPr>
              <w:pStyle w:val="ListParagraph"/>
              <w:numPr>
                <w:ilvl w:val="0"/>
                <w:numId w:val="31"/>
              </w:numPr>
              <w:shd w:val="clear" w:color="auto" w:fill="FFFFFF"/>
              <w:suppressAutoHyphens w:val="0"/>
              <w:spacing w:after="0" w:line="270" w:lineRule="atLeast"/>
              <w:jc w:val="left"/>
              <w:rPr>
                <w:rFonts w:asciiTheme="minorHAnsi" w:hAnsiTheme="minorHAnsi" w:cstheme="minorHAnsi"/>
                <w:sz w:val="22"/>
                <w:szCs w:val="22"/>
              </w:rPr>
            </w:pPr>
            <w:r>
              <w:rPr>
                <w:rFonts w:asciiTheme="minorHAnsi" w:hAnsiTheme="minorHAnsi"/>
                <w:kern w:val="0"/>
                <w:lang w:val="en-US" w:eastAsia="nl-BE" w:bidi="ar-SA"/>
              </w:rPr>
              <w:t xml:space="preserve">The International </w:t>
            </w:r>
            <w:r w:rsidR="000C1BD5" w:rsidRPr="00104989">
              <w:rPr>
                <w:rFonts w:asciiTheme="minorHAnsi" w:hAnsiTheme="minorHAnsi"/>
                <w:kern w:val="0"/>
                <w:lang w:val="en-US" w:eastAsia="nl-BE" w:bidi="ar-SA"/>
              </w:rPr>
              <w:t>F</w:t>
            </w:r>
            <w:r>
              <w:rPr>
                <w:rFonts w:asciiTheme="minorHAnsi" w:hAnsiTheme="minorHAnsi"/>
                <w:kern w:val="0"/>
                <w:lang w:val="en-US" w:eastAsia="nl-BE" w:bidi="ar-SA"/>
              </w:rPr>
              <w:t xml:space="preserve">inance </w:t>
            </w:r>
            <w:r w:rsidR="000C1BD5" w:rsidRPr="00104989">
              <w:rPr>
                <w:rFonts w:asciiTheme="minorHAnsi" w:hAnsiTheme="minorHAnsi"/>
                <w:kern w:val="0"/>
                <w:lang w:val="en-US" w:eastAsia="nl-BE" w:bidi="ar-SA"/>
              </w:rPr>
              <w:t>C</w:t>
            </w:r>
            <w:r>
              <w:rPr>
                <w:rFonts w:asciiTheme="minorHAnsi" w:hAnsiTheme="minorHAnsi"/>
                <w:kern w:val="0"/>
                <w:lang w:val="en-US" w:eastAsia="nl-BE" w:bidi="ar-SA"/>
              </w:rPr>
              <w:t>orporation</w:t>
            </w:r>
            <w:r w:rsidR="000C1BD5" w:rsidRPr="00104989">
              <w:rPr>
                <w:rFonts w:asciiTheme="minorHAnsi" w:hAnsiTheme="minorHAnsi"/>
                <w:kern w:val="0"/>
                <w:lang w:val="en-US" w:eastAsia="nl-BE" w:bidi="ar-SA"/>
              </w:rPr>
              <w:t xml:space="preserve">’s </w:t>
            </w:r>
            <w:r>
              <w:rPr>
                <w:rFonts w:asciiTheme="minorHAnsi" w:hAnsiTheme="minorHAnsi"/>
                <w:kern w:val="0"/>
                <w:lang w:val="en-US" w:eastAsia="nl-BE" w:bidi="ar-SA"/>
              </w:rPr>
              <w:t xml:space="preserve">(IFC) </w:t>
            </w:r>
            <w:r w:rsidR="000C1BD5" w:rsidRPr="00104989">
              <w:rPr>
                <w:rFonts w:asciiTheme="minorHAnsi" w:hAnsiTheme="minorHAnsi"/>
                <w:kern w:val="0"/>
                <w:lang w:val="en-US" w:eastAsia="nl-BE" w:bidi="ar-SA"/>
              </w:rPr>
              <w:t xml:space="preserve">Performance Standards should not be an appropriate model for the architecture of </w:t>
            </w:r>
            <w:r w:rsidR="00C64A93">
              <w:rPr>
                <w:rFonts w:asciiTheme="minorHAnsi" w:hAnsiTheme="minorHAnsi"/>
                <w:kern w:val="0"/>
                <w:lang w:val="en-US" w:eastAsia="nl-BE" w:bidi="ar-SA"/>
              </w:rPr>
              <w:t xml:space="preserve">the </w:t>
            </w:r>
            <w:r w:rsidR="000C1BD5" w:rsidRPr="00104989">
              <w:rPr>
                <w:rFonts w:asciiTheme="minorHAnsi" w:hAnsiTheme="minorHAnsi"/>
                <w:kern w:val="0"/>
                <w:lang w:val="en-US" w:eastAsia="nl-BE" w:bidi="ar-SA"/>
              </w:rPr>
              <w:t>Bank’s safeguards as they involve over-reliance on the environmental and social management system of the borrower without independent verification and assessment of impacts, and too much discretion in interpreting policies and the timeframe for compliance.</w:t>
            </w:r>
          </w:p>
          <w:p w:rsidR="00823905" w:rsidRPr="00104989" w:rsidRDefault="00823905" w:rsidP="00C45633">
            <w:pPr>
              <w:pStyle w:val="ListParagraph"/>
              <w:numPr>
                <w:ilvl w:val="0"/>
                <w:numId w:val="31"/>
              </w:numPr>
              <w:shd w:val="clear" w:color="auto" w:fill="FFFFFF"/>
              <w:suppressAutoHyphens w:val="0"/>
              <w:spacing w:after="0" w:line="270" w:lineRule="atLeast"/>
              <w:jc w:val="left"/>
              <w:rPr>
                <w:rFonts w:asciiTheme="minorHAnsi" w:hAnsiTheme="minorHAnsi" w:cstheme="minorHAnsi"/>
                <w:sz w:val="22"/>
                <w:szCs w:val="22"/>
              </w:rPr>
            </w:pPr>
            <w:proofErr w:type="spellStart"/>
            <w:r w:rsidRPr="00104989">
              <w:rPr>
                <w:rFonts w:asciiTheme="minorHAnsi" w:hAnsiTheme="minorHAnsi" w:cstheme="minorHAnsi"/>
                <w:sz w:val="22"/>
                <w:szCs w:val="22"/>
              </w:rPr>
              <w:t>Safeguard</w:t>
            </w:r>
            <w:proofErr w:type="spellEnd"/>
            <w:r w:rsidRPr="00104989">
              <w:rPr>
                <w:rFonts w:asciiTheme="minorHAnsi" w:hAnsiTheme="minorHAnsi" w:cstheme="minorHAnsi"/>
                <w:sz w:val="22"/>
                <w:szCs w:val="22"/>
              </w:rPr>
              <w:t xml:space="preserve"> </w:t>
            </w:r>
            <w:proofErr w:type="spellStart"/>
            <w:r w:rsidRPr="00104989">
              <w:rPr>
                <w:rFonts w:asciiTheme="minorHAnsi" w:hAnsiTheme="minorHAnsi" w:cstheme="minorHAnsi"/>
                <w:sz w:val="22"/>
                <w:szCs w:val="22"/>
              </w:rPr>
              <w:t>policies</w:t>
            </w:r>
            <w:proofErr w:type="spellEnd"/>
            <w:r w:rsidRPr="00104989">
              <w:rPr>
                <w:rFonts w:asciiTheme="minorHAnsi" w:hAnsiTheme="minorHAnsi" w:cstheme="minorHAnsi"/>
                <w:sz w:val="22"/>
                <w:szCs w:val="22"/>
              </w:rPr>
              <w:t xml:space="preserve"> do </w:t>
            </w:r>
            <w:proofErr w:type="spellStart"/>
            <w:r w:rsidRPr="00104989">
              <w:rPr>
                <w:rFonts w:asciiTheme="minorHAnsi" w:hAnsiTheme="minorHAnsi" w:cstheme="minorHAnsi"/>
                <w:sz w:val="22"/>
                <w:szCs w:val="22"/>
              </w:rPr>
              <w:t>not</w:t>
            </w:r>
            <w:proofErr w:type="spellEnd"/>
            <w:r w:rsidRPr="00104989">
              <w:rPr>
                <w:rFonts w:asciiTheme="minorHAnsi" w:hAnsiTheme="minorHAnsi" w:cstheme="minorHAnsi"/>
                <w:sz w:val="22"/>
                <w:szCs w:val="22"/>
              </w:rPr>
              <w:t xml:space="preserve"> </w:t>
            </w:r>
            <w:proofErr w:type="spellStart"/>
            <w:r w:rsidRPr="00104989">
              <w:rPr>
                <w:rFonts w:asciiTheme="minorHAnsi" w:hAnsiTheme="minorHAnsi" w:cstheme="minorHAnsi"/>
                <w:sz w:val="22"/>
                <w:szCs w:val="22"/>
              </w:rPr>
              <w:t>make</w:t>
            </w:r>
            <w:proofErr w:type="spellEnd"/>
            <w:r w:rsidRPr="00104989">
              <w:rPr>
                <w:rFonts w:asciiTheme="minorHAnsi" w:hAnsiTheme="minorHAnsi" w:cstheme="minorHAnsi"/>
                <w:sz w:val="22"/>
                <w:szCs w:val="22"/>
              </w:rPr>
              <w:t xml:space="preserve"> </w:t>
            </w:r>
            <w:proofErr w:type="spellStart"/>
            <w:r w:rsidRPr="00104989">
              <w:rPr>
                <w:rFonts w:asciiTheme="minorHAnsi" w:hAnsiTheme="minorHAnsi" w:cstheme="minorHAnsi"/>
                <w:sz w:val="22"/>
                <w:szCs w:val="22"/>
              </w:rPr>
              <w:t>clear</w:t>
            </w:r>
            <w:proofErr w:type="spellEnd"/>
            <w:r w:rsidRPr="00104989">
              <w:rPr>
                <w:rFonts w:asciiTheme="minorHAnsi" w:hAnsiTheme="minorHAnsi" w:cstheme="minorHAnsi"/>
                <w:sz w:val="22"/>
                <w:szCs w:val="22"/>
              </w:rPr>
              <w:t xml:space="preserve"> </w:t>
            </w:r>
            <w:proofErr w:type="spellStart"/>
            <w:r w:rsidRPr="00104989">
              <w:rPr>
                <w:rFonts w:asciiTheme="minorHAnsi" w:hAnsiTheme="minorHAnsi" w:cstheme="minorHAnsi"/>
                <w:sz w:val="22"/>
                <w:szCs w:val="22"/>
              </w:rPr>
              <w:t>reference</w:t>
            </w:r>
            <w:proofErr w:type="spellEnd"/>
            <w:r w:rsidRPr="00104989">
              <w:rPr>
                <w:rFonts w:asciiTheme="minorHAnsi" w:hAnsiTheme="minorHAnsi" w:cstheme="minorHAnsi"/>
                <w:sz w:val="22"/>
                <w:szCs w:val="22"/>
              </w:rPr>
              <w:t xml:space="preserve"> </w:t>
            </w:r>
            <w:proofErr w:type="spellStart"/>
            <w:r w:rsidRPr="00104989">
              <w:rPr>
                <w:rFonts w:asciiTheme="minorHAnsi" w:hAnsiTheme="minorHAnsi" w:cstheme="minorHAnsi"/>
                <w:sz w:val="22"/>
                <w:szCs w:val="22"/>
              </w:rPr>
              <w:t>to</w:t>
            </w:r>
            <w:proofErr w:type="spellEnd"/>
            <w:r w:rsidRPr="00104989">
              <w:rPr>
                <w:rFonts w:asciiTheme="minorHAnsi" w:hAnsiTheme="minorHAnsi" w:cstheme="minorHAnsi"/>
                <w:sz w:val="22"/>
                <w:szCs w:val="22"/>
              </w:rPr>
              <w:t xml:space="preserve"> </w:t>
            </w:r>
            <w:proofErr w:type="spellStart"/>
            <w:r w:rsidRPr="00104989">
              <w:rPr>
                <w:rFonts w:asciiTheme="minorHAnsi" w:hAnsiTheme="minorHAnsi" w:cstheme="minorHAnsi"/>
                <w:sz w:val="22"/>
                <w:szCs w:val="22"/>
              </w:rPr>
              <w:t>obligations</w:t>
            </w:r>
            <w:proofErr w:type="spellEnd"/>
            <w:r w:rsidRPr="00104989">
              <w:rPr>
                <w:rFonts w:asciiTheme="minorHAnsi" w:hAnsiTheme="minorHAnsi" w:cstheme="minorHAnsi"/>
                <w:sz w:val="22"/>
                <w:szCs w:val="22"/>
              </w:rPr>
              <w:t xml:space="preserve"> </w:t>
            </w:r>
            <w:proofErr w:type="spellStart"/>
            <w:r w:rsidRPr="00104989">
              <w:rPr>
                <w:rFonts w:asciiTheme="minorHAnsi" w:hAnsiTheme="minorHAnsi" w:cstheme="minorHAnsi"/>
                <w:sz w:val="22"/>
                <w:szCs w:val="22"/>
              </w:rPr>
              <w:t>under</w:t>
            </w:r>
            <w:proofErr w:type="spellEnd"/>
            <w:r w:rsidRPr="00104989">
              <w:rPr>
                <w:rFonts w:asciiTheme="minorHAnsi" w:hAnsiTheme="minorHAnsi" w:cstheme="minorHAnsi"/>
                <w:sz w:val="22"/>
                <w:szCs w:val="22"/>
              </w:rPr>
              <w:t xml:space="preserve"> human </w:t>
            </w:r>
            <w:proofErr w:type="spellStart"/>
            <w:r w:rsidRPr="00104989">
              <w:rPr>
                <w:rFonts w:asciiTheme="minorHAnsi" w:hAnsiTheme="minorHAnsi" w:cstheme="minorHAnsi"/>
                <w:sz w:val="22"/>
                <w:szCs w:val="22"/>
              </w:rPr>
              <w:t>rights</w:t>
            </w:r>
            <w:proofErr w:type="spellEnd"/>
            <w:r w:rsidRPr="00104989">
              <w:rPr>
                <w:rFonts w:asciiTheme="minorHAnsi" w:hAnsiTheme="minorHAnsi" w:cstheme="minorHAnsi"/>
                <w:sz w:val="22"/>
                <w:szCs w:val="22"/>
              </w:rPr>
              <w:t xml:space="preserve"> </w:t>
            </w:r>
            <w:proofErr w:type="spellStart"/>
            <w:r w:rsidRPr="00104989">
              <w:rPr>
                <w:rFonts w:asciiTheme="minorHAnsi" w:hAnsiTheme="minorHAnsi" w:cstheme="minorHAnsi"/>
                <w:sz w:val="22"/>
                <w:szCs w:val="22"/>
              </w:rPr>
              <w:t>law</w:t>
            </w:r>
            <w:proofErr w:type="spellEnd"/>
            <w:r w:rsidRPr="00104989">
              <w:rPr>
                <w:rFonts w:asciiTheme="minorHAnsi" w:hAnsiTheme="minorHAnsi" w:cstheme="minorHAnsi"/>
                <w:sz w:val="22"/>
                <w:szCs w:val="22"/>
              </w:rPr>
              <w:t>.</w:t>
            </w:r>
          </w:p>
          <w:p w:rsidR="00104989" w:rsidRPr="00104989" w:rsidRDefault="009A2AC0" w:rsidP="00F678FA">
            <w:pPr>
              <w:pStyle w:val="ListParagraph"/>
              <w:numPr>
                <w:ilvl w:val="0"/>
                <w:numId w:val="31"/>
              </w:numPr>
              <w:shd w:val="clear" w:color="auto" w:fill="FFFFFF"/>
              <w:suppressAutoHyphens w:val="0"/>
              <w:spacing w:after="0" w:line="270" w:lineRule="atLeast"/>
              <w:jc w:val="left"/>
              <w:rPr>
                <w:rFonts w:asciiTheme="minorHAnsi" w:hAnsiTheme="minorHAnsi" w:cstheme="minorHAnsi"/>
                <w:sz w:val="22"/>
                <w:szCs w:val="22"/>
              </w:rPr>
            </w:pPr>
            <w:r w:rsidRPr="00104989">
              <w:rPr>
                <w:rFonts w:asciiTheme="minorHAnsi" w:hAnsiTheme="minorHAnsi"/>
                <w:kern w:val="0"/>
                <w:lang w:val="en-US" w:eastAsia="nl-BE" w:bidi="ar-SA"/>
              </w:rPr>
              <w:t>T</w:t>
            </w:r>
            <w:r w:rsidR="00F678FA" w:rsidRPr="00104989">
              <w:rPr>
                <w:rFonts w:asciiTheme="minorHAnsi" w:hAnsiTheme="minorHAnsi"/>
                <w:kern w:val="0"/>
                <w:lang w:val="en-US" w:eastAsia="nl-BE" w:bidi="ar-SA"/>
              </w:rPr>
              <w:t>he Bank’s recent I</w:t>
            </w:r>
            <w:r w:rsidRPr="00104989">
              <w:rPr>
                <w:rFonts w:asciiTheme="minorHAnsi" w:hAnsiTheme="minorHAnsi"/>
                <w:kern w:val="0"/>
                <w:lang w:val="en-US" w:eastAsia="nl-BE" w:bidi="ar-SA"/>
              </w:rPr>
              <w:t>nvestment Lending Reform (ILR) i</w:t>
            </w:r>
            <w:r w:rsidR="00F678FA" w:rsidRPr="00104989">
              <w:rPr>
                <w:rFonts w:asciiTheme="minorHAnsi" w:hAnsiTheme="minorHAnsi"/>
                <w:kern w:val="0"/>
                <w:lang w:val="en-US" w:eastAsia="nl-BE" w:bidi="ar-SA"/>
              </w:rPr>
              <w:t>s an inappropriate model for the architecture of the Bank’</w:t>
            </w:r>
            <w:r w:rsidR="00104989">
              <w:rPr>
                <w:rFonts w:asciiTheme="minorHAnsi" w:hAnsiTheme="minorHAnsi"/>
                <w:kern w:val="0"/>
                <w:lang w:val="en-US" w:eastAsia="nl-BE" w:bidi="ar-SA"/>
              </w:rPr>
              <w:t>s safeguards. ILR resulted in</w:t>
            </w:r>
            <w:r w:rsidR="00F678FA" w:rsidRPr="00104989">
              <w:rPr>
                <w:rFonts w:asciiTheme="minorHAnsi" w:hAnsiTheme="minorHAnsi"/>
                <w:kern w:val="0"/>
                <w:lang w:val="en-US" w:eastAsia="nl-BE" w:bidi="ar-SA"/>
              </w:rPr>
              <w:t xml:space="preserve"> dozens of previously binding requirements for supervision and economic evaluation being eliminated or downgraded to non-binding guidance. The</w:t>
            </w:r>
            <w:r w:rsidR="00F678FA" w:rsidRPr="00104989">
              <w:rPr>
                <w:rFonts w:asciiTheme="minorHAnsi" w:hAnsiTheme="minorHAnsi" w:cs="Arial"/>
              </w:rPr>
              <w:t xml:space="preserve"> </w:t>
            </w:r>
            <w:r w:rsidR="00F678FA" w:rsidRPr="00104989">
              <w:rPr>
                <w:rFonts w:asciiTheme="minorHAnsi" w:hAnsiTheme="minorHAnsi" w:cs="Arial"/>
                <w:lang w:val="en-US"/>
              </w:rPr>
              <w:t>scope of applica</w:t>
            </w:r>
            <w:r w:rsidR="00025F91" w:rsidRPr="00104989">
              <w:rPr>
                <w:rFonts w:asciiTheme="minorHAnsi" w:hAnsiTheme="minorHAnsi" w:cs="Arial"/>
                <w:lang w:val="en-US"/>
              </w:rPr>
              <w:t>tion of the safeguard policies</w:t>
            </w:r>
            <w:r w:rsidR="00F678FA" w:rsidRPr="00104989">
              <w:rPr>
                <w:rFonts w:asciiTheme="minorHAnsi" w:hAnsiTheme="minorHAnsi" w:cs="Arial"/>
                <w:lang w:val="en-US"/>
              </w:rPr>
              <w:t xml:space="preserve"> is of absolutely fundamental importance to the effectiveness and impact of the safeguards. </w:t>
            </w:r>
          </w:p>
          <w:p w:rsidR="00F678FA" w:rsidRPr="00104989" w:rsidRDefault="00F678FA" w:rsidP="00F678FA">
            <w:pPr>
              <w:pStyle w:val="ListParagraph"/>
              <w:numPr>
                <w:ilvl w:val="0"/>
                <w:numId w:val="31"/>
              </w:numPr>
              <w:shd w:val="clear" w:color="auto" w:fill="FFFFFF"/>
              <w:suppressAutoHyphens w:val="0"/>
              <w:spacing w:after="0" w:line="270" w:lineRule="atLeast"/>
              <w:jc w:val="left"/>
              <w:rPr>
                <w:rFonts w:asciiTheme="minorHAnsi" w:hAnsiTheme="minorHAnsi" w:cstheme="minorHAnsi"/>
                <w:sz w:val="22"/>
                <w:szCs w:val="22"/>
              </w:rPr>
            </w:pPr>
            <w:r w:rsidRPr="00104989">
              <w:rPr>
                <w:rFonts w:asciiTheme="minorHAnsi" w:hAnsiTheme="minorHAnsi" w:cs="Arial"/>
                <w:lang w:val="en-US"/>
              </w:rPr>
              <w:t>Limiting the safeguards review to investment lending would pre-judge the outcome of the review and pre-empt the learning and discussion that is needed to make informed decisions. Instead, the safeguard policy review should examine t</w:t>
            </w:r>
            <w:r w:rsidRPr="00104989">
              <w:rPr>
                <w:rFonts w:asciiTheme="minorHAnsi" w:hAnsiTheme="minorHAnsi"/>
                <w:kern w:val="0"/>
                <w:lang w:val="en-US" w:eastAsia="nl-BE" w:bidi="ar-SA"/>
              </w:rPr>
              <w:t xml:space="preserve">he safeguards’ existing language on scope of application along with all the other language of </w:t>
            </w:r>
            <w:r w:rsidR="009A2AC0" w:rsidRPr="00104989">
              <w:rPr>
                <w:rFonts w:asciiTheme="minorHAnsi" w:hAnsiTheme="minorHAnsi"/>
                <w:kern w:val="0"/>
                <w:lang w:val="en-US" w:eastAsia="nl-BE" w:bidi="ar-SA"/>
              </w:rPr>
              <w:t>the safeguard policies. S</w:t>
            </w:r>
            <w:r w:rsidRPr="00104989">
              <w:rPr>
                <w:rFonts w:asciiTheme="minorHAnsi" w:hAnsiTheme="minorHAnsi"/>
                <w:kern w:val="0"/>
                <w:lang w:val="en-US" w:eastAsia="nl-BE" w:bidi="ar-SA"/>
              </w:rPr>
              <w:t>afeguard policies can and should be updated to apply effectively and efficiently to all types of Bank activities including Development Policy Lending and Program for Results Financing, as recommended by IEG.</w:t>
            </w:r>
          </w:p>
          <w:p w:rsidR="00D505A0" w:rsidRPr="00104989" w:rsidRDefault="00557BBC" w:rsidP="00452A11">
            <w:pPr>
              <w:pStyle w:val="ListParagraph"/>
              <w:numPr>
                <w:ilvl w:val="0"/>
                <w:numId w:val="35"/>
              </w:numPr>
              <w:shd w:val="clear" w:color="auto" w:fill="FFFFFF"/>
              <w:suppressAutoHyphens w:val="0"/>
              <w:spacing w:after="0" w:line="245" w:lineRule="atLeast"/>
              <w:jc w:val="left"/>
              <w:rPr>
                <w:rFonts w:asciiTheme="minorHAnsi" w:hAnsiTheme="minorHAnsi"/>
                <w:kern w:val="0"/>
                <w:szCs w:val="24"/>
                <w:lang w:val="en-US" w:eastAsia="nl-BE" w:bidi="ar-SA"/>
              </w:rPr>
            </w:pPr>
            <w:r w:rsidRPr="00104989">
              <w:rPr>
                <w:rFonts w:asciiTheme="minorHAnsi" w:hAnsiTheme="minorHAnsi"/>
                <w:szCs w:val="24"/>
                <w:lang w:val="en-GB"/>
              </w:rPr>
              <w:t xml:space="preserve">The potential cumulative impact at country and regional level of the </w:t>
            </w:r>
            <w:r w:rsidR="00266808" w:rsidRPr="00104989">
              <w:rPr>
                <w:rFonts w:asciiTheme="minorHAnsi" w:hAnsiTheme="minorHAnsi"/>
                <w:szCs w:val="24"/>
                <w:lang w:val="en-GB"/>
              </w:rPr>
              <w:t xml:space="preserve">range of activities and projects </w:t>
            </w:r>
            <w:r w:rsidR="00D75F19" w:rsidRPr="00104989">
              <w:rPr>
                <w:rFonts w:asciiTheme="minorHAnsi" w:hAnsiTheme="minorHAnsi"/>
                <w:szCs w:val="24"/>
                <w:lang w:val="en-GB"/>
              </w:rPr>
              <w:t xml:space="preserve">that the World Bank funds </w:t>
            </w:r>
            <w:r w:rsidR="00823905" w:rsidRPr="00104989">
              <w:rPr>
                <w:rFonts w:asciiTheme="minorHAnsi" w:hAnsiTheme="minorHAnsi"/>
                <w:szCs w:val="24"/>
                <w:lang w:val="en-GB"/>
              </w:rPr>
              <w:t xml:space="preserve">should </w:t>
            </w:r>
            <w:r w:rsidRPr="00104989">
              <w:rPr>
                <w:rFonts w:asciiTheme="minorHAnsi" w:hAnsiTheme="minorHAnsi"/>
                <w:szCs w:val="24"/>
                <w:lang w:val="en-GB"/>
              </w:rPr>
              <w:t xml:space="preserve">be </w:t>
            </w:r>
            <w:r w:rsidR="00266808" w:rsidRPr="00104989">
              <w:rPr>
                <w:rFonts w:asciiTheme="minorHAnsi" w:hAnsiTheme="minorHAnsi"/>
                <w:szCs w:val="24"/>
                <w:lang w:val="en-GB"/>
              </w:rPr>
              <w:t>take</w:t>
            </w:r>
            <w:r w:rsidRPr="00104989">
              <w:rPr>
                <w:rFonts w:asciiTheme="minorHAnsi" w:hAnsiTheme="minorHAnsi"/>
                <w:szCs w:val="24"/>
                <w:lang w:val="en-GB"/>
              </w:rPr>
              <w:t xml:space="preserve">n into account. </w:t>
            </w:r>
            <w:r w:rsidR="00266808" w:rsidRPr="00104989">
              <w:rPr>
                <w:rFonts w:asciiTheme="minorHAnsi" w:hAnsiTheme="minorHAnsi"/>
                <w:szCs w:val="24"/>
                <w:lang w:val="en-GB"/>
              </w:rPr>
              <w:t xml:space="preserve">For instance the </w:t>
            </w:r>
            <w:r w:rsidR="00C64A93">
              <w:rPr>
                <w:rFonts w:asciiTheme="minorHAnsi" w:hAnsiTheme="minorHAnsi"/>
                <w:szCs w:val="24"/>
                <w:lang w:val="en-GB"/>
              </w:rPr>
              <w:t>B</w:t>
            </w:r>
            <w:r w:rsidR="00266808" w:rsidRPr="00104989">
              <w:rPr>
                <w:rFonts w:asciiTheme="minorHAnsi" w:hAnsiTheme="minorHAnsi"/>
                <w:szCs w:val="24"/>
                <w:lang w:val="en-GB"/>
              </w:rPr>
              <w:t xml:space="preserve">ank could be funding a range of </w:t>
            </w:r>
            <w:proofErr w:type="spellStart"/>
            <w:r w:rsidR="00266808" w:rsidRPr="00104989">
              <w:rPr>
                <w:rFonts w:asciiTheme="minorHAnsi" w:hAnsiTheme="minorHAnsi"/>
                <w:szCs w:val="24"/>
                <w:lang w:val="en-GB"/>
              </w:rPr>
              <w:t>infrastructal</w:t>
            </w:r>
            <w:proofErr w:type="spellEnd"/>
            <w:r w:rsidR="00266808" w:rsidRPr="00104989">
              <w:rPr>
                <w:rFonts w:asciiTheme="minorHAnsi" w:hAnsiTheme="minorHAnsi"/>
                <w:szCs w:val="24"/>
                <w:lang w:val="en-GB"/>
              </w:rPr>
              <w:t xml:space="preserve"> proje</w:t>
            </w:r>
            <w:r w:rsidR="00D75F19" w:rsidRPr="00104989">
              <w:rPr>
                <w:rFonts w:asciiTheme="minorHAnsi" w:hAnsiTheme="minorHAnsi"/>
                <w:szCs w:val="24"/>
                <w:lang w:val="en-GB"/>
              </w:rPr>
              <w:t>cts in a region such as</w:t>
            </w:r>
            <w:r w:rsidRPr="00104989">
              <w:rPr>
                <w:rFonts w:asciiTheme="minorHAnsi" w:hAnsiTheme="minorHAnsi"/>
                <w:szCs w:val="24"/>
                <w:lang w:val="en-GB"/>
              </w:rPr>
              <w:t xml:space="preserve"> road</w:t>
            </w:r>
            <w:r w:rsidR="00D75F19" w:rsidRPr="00104989">
              <w:rPr>
                <w:rFonts w:asciiTheme="minorHAnsi" w:hAnsiTheme="minorHAnsi"/>
                <w:szCs w:val="24"/>
                <w:lang w:val="en-GB"/>
              </w:rPr>
              <w:t>s</w:t>
            </w:r>
            <w:r w:rsidRPr="00104989">
              <w:rPr>
                <w:rFonts w:asciiTheme="minorHAnsi" w:hAnsiTheme="minorHAnsi"/>
                <w:szCs w:val="24"/>
                <w:lang w:val="en-GB"/>
              </w:rPr>
              <w:t>,</w:t>
            </w:r>
            <w:r w:rsidR="00D75F19" w:rsidRPr="00104989">
              <w:rPr>
                <w:rFonts w:asciiTheme="minorHAnsi" w:hAnsiTheme="minorHAnsi"/>
                <w:szCs w:val="24"/>
                <w:lang w:val="en-GB"/>
              </w:rPr>
              <w:t xml:space="preserve"> </w:t>
            </w:r>
            <w:r w:rsidR="00266808" w:rsidRPr="00104989">
              <w:rPr>
                <w:rFonts w:asciiTheme="minorHAnsi" w:hAnsiTheme="minorHAnsi"/>
                <w:szCs w:val="24"/>
                <w:lang w:val="en-GB"/>
              </w:rPr>
              <w:t xml:space="preserve">transmission power </w:t>
            </w:r>
            <w:r w:rsidRPr="00104989">
              <w:rPr>
                <w:rFonts w:asciiTheme="minorHAnsi" w:hAnsiTheme="minorHAnsi"/>
                <w:szCs w:val="24"/>
                <w:lang w:val="en-GB"/>
              </w:rPr>
              <w:t>line</w:t>
            </w:r>
            <w:r w:rsidR="00D75F19" w:rsidRPr="00104989">
              <w:rPr>
                <w:rFonts w:asciiTheme="minorHAnsi" w:hAnsiTheme="minorHAnsi"/>
                <w:szCs w:val="24"/>
                <w:lang w:val="en-GB"/>
              </w:rPr>
              <w:t>s</w:t>
            </w:r>
            <w:r w:rsidRPr="00104989">
              <w:rPr>
                <w:rFonts w:asciiTheme="minorHAnsi" w:hAnsiTheme="minorHAnsi"/>
                <w:szCs w:val="24"/>
                <w:lang w:val="en-GB"/>
              </w:rPr>
              <w:t xml:space="preserve">, etc. Each </w:t>
            </w:r>
            <w:proofErr w:type="spellStart"/>
            <w:r w:rsidRPr="00104989">
              <w:rPr>
                <w:rFonts w:asciiTheme="minorHAnsi" w:hAnsiTheme="minorHAnsi"/>
                <w:szCs w:val="24"/>
                <w:lang w:val="en-GB"/>
              </w:rPr>
              <w:t>i</w:t>
            </w:r>
            <w:r w:rsidR="00266808" w:rsidRPr="00104989">
              <w:rPr>
                <w:rFonts w:asciiTheme="minorHAnsi" w:hAnsiTheme="minorHAnsi"/>
                <w:szCs w:val="24"/>
                <w:lang w:val="en-GB"/>
              </w:rPr>
              <w:t>ndv</w:t>
            </w:r>
            <w:r w:rsidRPr="00104989">
              <w:rPr>
                <w:rFonts w:asciiTheme="minorHAnsi" w:hAnsiTheme="minorHAnsi"/>
                <w:szCs w:val="24"/>
                <w:lang w:val="en-GB"/>
              </w:rPr>
              <w:t>idual</w:t>
            </w:r>
            <w:proofErr w:type="spellEnd"/>
            <w:r w:rsidR="00266808" w:rsidRPr="00104989">
              <w:rPr>
                <w:rFonts w:asciiTheme="minorHAnsi" w:hAnsiTheme="minorHAnsi"/>
                <w:szCs w:val="24"/>
                <w:lang w:val="en-GB"/>
              </w:rPr>
              <w:t xml:space="preserve"> project may not have </w:t>
            </w:r>
            <w:r w:rsidRPr="00104989">
              <w:rPr>
                <w:rFonts w:asciiTheme="minorHAnsi" w:hAnsiTheme="minorHAnsi"/>
                <w:szCs w:val="24"/>
                <w:lang w:val="en-GB"/>
              </w:rPr>
              <w:t xml:space="preserve">an </w:t>
            </w:r>
            <w:r w:rsidR="00266808" w:rsidRPr="00104989">
              <w:rPr>
                <w:rFonts w:asciiTheme="minorHAnsi" w:hAnsiTheme="minorHAnsi"/>
                <w:szCs w:val="24"/>
                <w:lang w:val="en-GB"/>
              </w:rPr>
              <w:t>impact</w:t>
            </w:r>
            <w:r w:rsidRPr="00104989">
              <w:rPr>
                <w:rFonts w:asciiTheme="minorHAnsi" w:hAnsiTheme="minorHAnsi"/>
                <w:szCs w:val="24"/>
                <w:lang w:val="en-GB"/>
              </w:rPr>
              <w:t>,</w:t>
            </w:r>
            <w:r w:rsidR="00266808" w:rsidRPr="00104989">
              <w:rPr>
                <w:rFonts w:asciiTheme="minorHAnsi" w:hAnsiTheme="minorHAnsi"/>
                <w:szCs w:val="24"/>
                <w:lang w:val="en-GB"/>
              </w:rPr>
              <w:t xml:space="preserve"> but combined the impact could be significant.</w:t>
            </w:r>
          </w:p>
          <w:p w:rsidR="009C30E5" w:rsidRPr="00104989" w:rsidRDefault="009C30E5" w:rsidP="00026FE3">
            <w:pPr>
              <w:pStyle w:val="ListParagraph"/>
              <w:numPr>
                <w:ilvl w:val="0"/>
                <w:numId w:val="31"/>
              </w:numPr>
              <w:shd w:val="clear" w:color="auto" w:fill="FFFFFF"/>
              <w:suppressAutoHyphens w:val="0"/>
              <w:spacing w:after="0" w:line="270" w:lineRule="atLeast"/>
              <w:jc w:val="left"/>
              <w:rPr>
                <w:rFonts w:asciiTheme="minorHAnsi" w:hAnsiTheme="minorHAnsi" w:cstheme="minorHAnsi"/>
                <w:color w:val="333333"/>
                <w:sz w:val="22"/>
                <w:szCs w:val="22"/>
              </w:rPr>
            </w:pPr>
            <w:r w:rsidRPr="00104989">
              <w:rPr>
                <w:rFonts w:asciiTheme="minorHAnsi" w:hAnsiTheme="minorHAnsi"/>
                <w:kern w:val="0"/>
                <w:lang w:val="en-US" w:eastAsia="nl-BE" w:bidi="ar-SA"/>
              </w:rPr>
              <w:t>S</w:t>
            </w:r>
            <w:r w:rsidR="00C45633" w:rsidRPr="00104989">
              <w:rPr>
                <w:rFonts w:asciiTheme="minorHAnsi" w:hAnsiTheme="minorHAnsi"/>
                <w:kern w:val="0"/>
                <w:lang w:val="en-US" w:eastAsia="nl-BE" w:bidi="ar-SA"/>
              </w:rPr>
              <w:t xml:space="preserve">afeguards </w:t>
            </w:r>
            <w:r w:rsidR="00F048AA" w:rsidRPr="00104989">
              <w:rPr>
                <w:rFonts w:asciiTheme="minorHAnsi" w:hAnsiTheme="minorHAnsi"/>
                <w:kern w:val="0"/>
                <w:lang w:val="en-US" w:eastAsia="nl-BE" w:bidi="ar-SA"/>
              </w:rPr>
              <w:t xml:space="preserve">at present </w:t>
            </w:r>
            <w:r w:rsidR="00C45633" w:rsidRPr="00104989">
              <w:rPr>
                <w:rFonts w:asciiTheme="minorHAnsi" w:hAnsiTheme="minorHAnsi"/>
                <w:kern w:val="0"/>
                <w:lang w:val="en-US" w:eastAsia="nl-BE" w:bidi="ar-SA"/>
              </w:rPr>
              <w:t xml:space="preserve">do not sufficiently ensure respect for </w:t>
            </w:r>
            <w:r w:rsidR="00026FE3">
              <w:rPr>
                <w:rFonts w:asciiTheme="minorHAnsi" w:hAnsiTheme="minorHAnsi"/>
                <w:kern w:val="0"/>
                <w:lang w:val="en-US" w:eastAsia="nl-BE" w:bidi="ar-SA"/>
              </w:rPr>
              <w:t xml:space="preserve">intangible </w:t>
            </w:r>
            <w:r w:rsidR="00C45633" w:rsidRPr="00104989">
              <w:rPr>
                <w:rFonts w:asciiTheme="minorHAnsi" w:hAnsiTheme="minorHAnsi"/>
                <w:kern w:val="0"/>
                <w:lang w:val="en-US" w:eastAsia="nl-BE" w:bidi="ar-SA"/>
              </w:rPr>
              <w:t>cultural property.</w:t>
            </w:r>
          </w:p>
        </w:tc>
      </w:tr>
      <w:tr w:rsidR="00941C03" w:rsidRPr="00104989" w:rsidTr="00B87E22">
        <w:trPr>
          <w:trHeight w:val="458"/>
          <w:jc w:val="center"/>
        </w:trPr>
        <w:tc>
          <w:tcPr>
            <w:tcW w:w="10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C03" w:rsidRPr="00104989" w:rsidRDefault="00DB01C2" w:rsidP="004D059D">
            <w:pPr>
              <w:ind w:left="180"/>
              <w:jc w:val="left"/>
              <w:rPr>
                <w:rFonts w:asciiTheme="minorHAnsi" w:eastAsia="Batang" w:hAnsiTheme="minorHAnsi" w:cstheme="minorHAnsi"/>
                <w:b/>
                <w:color w:val="17365D" w:themeColor="text2" w:themeShade="BF"/>
              </w:rPr>
            </w:pPr>
            <w:r w:rsidRPr="00104989">
              <w:rPr>
                <w:rFonts w:asciiTheme="minorHAnsi" w:eastAsia="Batang" w:hAnsiTheme="minorHAnsi" w:cstheme="minorHAnsi"/>
                <w:b/>
                <w:bCs/>
                <w:color w:val="17365D" w:themeColor="text2" w:themeShade="BF"/>
              </w:rPr>
              <w:lastRenderedPageBreak/>
              <w:t xml:space="preserve">3. </w:t>
            </w:r>
            <w:proofErr w:type="spellStart"/>
            <w:r w:rsidR="004D059D" w:rsidRPr="00104989">
              <w:rPr>
                <w:rFonts w:asciiTheme="minorHAnsi" w:eastAsia="Batang" w:hAnsiTheme="minorHAnsi" w:cstheme="minorHAnsi"/>
                <w:b/>
                <w:bCs/>
                <w:color w:val="17365D" w:themeColor="text2" w:themeShade="BF"/>
              </w:rPr>
              <w:t>A</w:t>
            </w:r>
            <w:r w:rsidR="004D059D" w:rsidRPr="00104989">
              <w:rPr>
                <w:rFonts w:asciiTheme="minorHAnsi" w:hAnsiTheme="minorHAnsi" w:cstheme="minorHAnsi"/>
                <w:b/>
                <w:color w:val="17365D" w:themeColor="text2" w:themeShade="BF"/>
              </w:rPr>
              <w:t>spects</w:t>
            </w:r>
            <w:proofErr w:type="spellEnd"/>
            <w:r w:rsidR="004D059D" w:rsidRPr="00104989">
              <w:rPr>
                <w:rFonts w:asciiTheme="minorHAnsi" w:hAnsiTheme="minorHAnsi" w:cstheme="minorHAnsi"/>
                <w:b/>
                <w:color w:val="17365D" w:themeColor="text2" w:themeShade="BF"/>
              </w:rPr>
              <w:t xml:space="preserve"> of </w:t>
            </w:r>
            <w:proofErr w:type="spellStart"/>
            <w:r w:rsidR="004D059D" w:rsidRPr="00104989">
              <w:rPr>
                <w:rFonts w:asciiTheme="minorHAnsi" w:hAnsiTheme="minorHAnsi" w:cstheme="minorHAnsi"/>
                <w:b/>
                <w:color w:val="17365D" w:themeColor="text2" w:themeShade="BF"/>
              </w:rPr>
              <w:t>the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environmental</w:t>
            </w:r>
            <w:proofErr w:type="spellEnd"/>
            <w:r w:rsidR="004D059D" w:rsidRPr="00104989">
              <w:rPr>
                <w:rFonts w:asciiTheme="minorHAnsi" w:hAnsiTheme="minorHAnsi" w:cstheme="minorHAnsi"/>
                <w:b/>
                <w:color w:val="17365D" w:themeColor="text2" w:themeShade="BF"/>
              </w:rPr>
              <w:t xml:space="preserve"> and social </w:t>
            </w:r>
            <w:proofErr w:type="spellStart"/>
            <w:r w:rsidR="004D059D" w:rsidRPr="00104989">
              <w:rPr>
                <w:rFonts w:asciiTheme="minorHAnsi" w:hAnsiTheme="minorHAnsi" w:cstheme="minorHAnsi"/>
                <w:b/>
                <w:color w:val="17365D" w:themeColor="text2" w:themeShade="BF"/>
              </w:rPr>
              <w:t>safeguards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policies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that</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the</w:t>
            </w:r>
            <w:proofErr w:type="spellEnd"/>
            <w:r w:rsidR="004D059D" w:rsidRPr="00104989">
              <w:rPr>
                <w:rFonts w:asciiTheme="minorHAnsi" w:hAnsiTheme="minorHAnsi" w:cstheme="minorHAnsi"/>
                <w:b/>
                <w:color w:val="17365D" w:themeColor="text2" w:themeShade="BF"/>
              </w:rPr>
              <w:t xml:space="preserve"> Bank can </w:t>
            </w:r>
            <w:proofErr w:type="spellStart"/>
            <w:r w:rsidR="004D059D" w:rsidRPr="00104989">
              <w:rPr>
                <w:rFonts w:asciiTheme="minorHAnsi" w:hAnsiTheme="minorHAnsi" w:cstheme="minorHAnsi"/>
                <w:b/>
                <w:color w:val="17365D" w:themeColor="text2" w:themeShade="BF"/>
              </w:rPr>
              <w:t>improve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to</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ensure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that</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these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policies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continue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to</w:t>
            </w:r>
            <w:proofErr w:type="spellEnd"/>
            <w:r w:rsidR="004D059D" w:rsidRPr="00104989">
              <w:rPr>
                <w:rFonts w:asciiTheme="minorHAnsi" w:hAnsiTheme="minorHAnsi" w:cstheme="minorHAnsi"/>
                <w:b/>
                <w:color w:val="17365D" w:themeColor="text2" w:themeShade="BF"/>
              </w:rPr>
              <w:t xml:space="preserve"> be </w:t>
            </w:r>
            <w:proofErr w:type="spellStart"/>
            <w:r w:rsidR="004D059D" w:rsidRPr="00104989">
              <w:rPr>
                <w:rFonts w:asciiTheme="minorHAnsi" w:hAnsiTheme="minorHAnsi" w:cstheme="minorHAnsi"/>
                <w:b/>
                <w:color w:val="17365D" w:themeColor="text2" w:themeShade="BF"/>
              </w:rPr>
              <w:t>an</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effective</w:t>
            </w:r>
            <w:proofErr w:type="spellEnd"/>
            <w:r w:rsidR="004D059D" w:rsidRPr="00104989">
              <w:rPr>
                <w:rFonts w:asciiTheme="minorHAnsi" w:hAnsiTheme="minorHAnsi" w:cstheme="minorHAnsi"/>
                <w:b/>
                <w:color w:val="17365D" w:themeColor="text2" w:themeShade="BF"/>
              </w:rPr>
              <w:t xml:space="preserve"> and </w:t>
            </w:r>
            <w:proofErr w:type="spellStart"/>
            <w:r w:rsidR="004D059D" w:rsidRPr="00104989">
              <w:rPr>
                <w:rFonts w:asciiTheme="minorHAnsi" w:hAnsiTheme="minorHAnsi" w:cstheme="minorHAnsi"/>
                <w:b/>
                <w:color w:val="17365D" w:themeColor="text2" w:themeShade="BF"/>
              </w:rPr>
              <w:t>efficient</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tool</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to</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achieve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sustainable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development</w:t>
            </w:r>
            <w:proofErr w:type="spellEnd"/>
            <w:r w:rsidR="004D059D" w:rsidRPr="00104989">
              <w:rPr>
                <w:rFonts w:asciiTheme="minorHAnsi" w:hAnsiTheme="minorHAnsi" w:cstheme="minorHAnsi"/>
                <w:b/>
                <w:color w:val="17365D" w:themeColor="text2" w:themeShade="BF"/>
              </w:rPr>
              <w:t xml:space="preserve"> and </w:t>
            </w:r>
            <w:proofErr w:type="spellStart"/>
            <w:r w:rsidR="004D059D" w:rsidRPr="00104989">
              <w:rPr>
                <w:rFonts w:asciiTheme="minorHAnsi" w:hAnsiTheme="minorHAnsi" w:cstheme="minorHAnsi"/>
                <w:b/>
                <w:color w:val="17365D" w:themeColor="text2" w:themeShade="BF"/>
              </w:rPr>
              <w:t>results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on</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the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ground</w:t>
            </w:r>
            <w:proofErr w:type="spellEnd"/>
            <w:r w:rsidR="004D059D" w:rsidRPr="00104989">
              <w:rPr>
                <w:rFonts w:asciiTheme="minorHAnsi" w:hAnsiTheme="minorHAnsi" w:cstheme="minorHAnsi"/>
                <w:b/>
                <w:color w:val="17365D" w:themeColor="text2" w:themeShade="BF"/>
              </w:rPr>
              <w:t>.</w:t>
            </w:r>
          </w:p>
        </w:tc>
      </w:tr>
      <w:tr w:rsidR="00785020" w:rsidRPr="00104989" w:rsidTr="00B87E22">
        <w:trPr>
          <w:trHeight w:val="458"/>
          <w:jc w:val="center"/>
        </w:trPr>
        <w:tc>
          <w:tcPr>
            <w:tcW w:w="10980" w:type="dxa"/>
            <w:tcBorders>
              <w:top w:val="single" w:sz="4" w:space="0" w:color="auto"/>
              <w:left w:val="single" w:sz="4" w:space="0" w:color="auto"/>
              <w:bottom w:val="single" w:sz="4" w:space="0" w:color="auto"/>
              <w:right w:val="single" w:sz="4" w:space="0" w:color="auto"/>
            </w:tcBorders>
            <w:shd w:val="clear" w:color="auto" w:fill="FFFFFF" w:themeFill="background1"/>
          </w:tcPr>
          <w:p w:rsidR="00C45633" w:rsidRPr="00104989" w:rsidRDefault="005E3634" w:rsidP="00C45633">
            <w:pPr>
              <w:pStyle w:val="ListParagraph"/>
              <w:numPr>
                <w:ilvl w:val="0"/>
                <w:numId w:val="32"/>
              </w:numPr>
              <w:shd w:val="clear" w:color="auto" w:fill="FFFFFF"/>
              <w:suppressAutoHyphens w:val="0"/>
              <w:spacing w:after="0" w:line="270"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T</w:t>
            </w:r>
            <w:r w:rsidR="00C45633" w:rsidRPr="00104989">
              <w:rPr>
                <w:rFonts w:asciiTheme="minorHAnsi" w:hAnsiTheme="minorHAnsi"/>
                <w:kern w:val="0"/>
                <w:lang w:val="en-US" w:eastAsia="nl-BE" w:bidi="ar-SA"/>
              </w:rPr>
              <w:t>he plethora of practical guidelines for staff should be integrated into a single comprehensive framework, applicable to all Bank activities.</w:t>
            </w:r>
          </w:p>
          <w:p w:rsidR="00F85332" w:rsidRPr="00104989" w:rsidRDefault="00B30E3B" w:rsidP="00F85332">
            <w:pPr>
              <w:pStyle w:val="ListParagraph"/>
              <w:numPr>
                <w:ilvl w:val="0"/>
                <w:numId w:val="32"/>
              </w:numPr>
              <w:shd w:val="clear" w:color="auto" w:fill="FFFFFF"/>
              <w:suppressAutoHyphens w:val="0"/>
              <w:spacing w:after="0" w:line="270"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Better l</w:t>
            </w:r>
            <w:r w:rsidR="00C45633" w:rsidRPr="00104989">
              <w:rPr>
                <w:rFonts w:asciiTheme="minorHAnsi" w:hAnsiTheme="minorHAnsi"/>
                <w:kern w:val="0"/>
                <w:lang w:val="en-US" w:eastAsia="nl-BE" w:bidi="ar-SA"/>
              </w:rPr>
              <w:t>earning from past mis</w:t>
            </w:r>
            <w:r w:rsidR="00F85332" w:rsidRPr="00104989">
              <w:rPr>
                <w:rFonts w:asciiTheme="minorHAnsi" w:hAnsiTheme="minorHAnsi"/>
                <w:kern w:val="0"/>
                <w:lang w:val="en-US" w:eastAsia="nl-BE" w:bidi="ar-SA"/>
              </w:rPr>
              <w:t>takes</w:t>
            </w:r>
            <w:r w:rsidR="00C45633" w:rsidRPr="00104989">
              <w:rPr>
                <w:rFonts w:asciiTheme="minorHAnsi" w:hAnsiTheme="minorHAnsi"/>
                <w:kern w:val="0"/>
                <w:lang w:val="en-US" w:eastAsia="nl-BE" w:bidi="ar-SA"/>
              </w:rPr>
              <w:t xml:space="preserve"> is crucial.</w:t>
            </w:r>
          </w:p>
          <w:p w:rsidR="0065696F" w:rsidRPr="00104989" w:rsidRDefault="00F85332" w:rsidP="00F85332">
            <w:pPr>
              <w:pStyle w:val="ListParagraph"/>
              <w:numPr>
                <w:ilvl w:val="1"/>
                <w:numId w:val="32"/>
              </w:numPr>
              <w:shd w:val="clear" w:color="auto" w:fill="FFFFFF"/>
              <w:suppressAutoHyphens w:val="0"/>
              <w:spacing w:after="0" w:line="270" w:lineRule="atLeast"/>
              <w:jc w:val="left"/>
              <w:rPr>
                <w:rFonts w:asciiTheme="minorHAnsi" w:hAnsiTheme="minorHAnsi"/>
                <w:kern w:val="0"/>
                <w:szCs w:val="24"/>
                <w:lang w:val="en-US" w:eastAsia="nl-BE" w:bidi="ar-SA"/>
              </w:rPr>
            </w:pPr>
            <w:r w:rsidRPr="00104989">
              <w:rPr>
                <w:rFonts w:asciiTheme="minorHAnsi" w:hAnsiTheme="minorHAnsi"/>
                <w:kern w:val="0"/>
                <w:szCs w:val="24"/>
                <w:lang w:val="en-US" w:eastAsia="nl-BE" w:bidi="ar-SA"/>
              </w:rPr>
              <w:t>T</w:t>
            </w:r>
            <w:r w:rsidRPr="00104989">
              <w:rPr>
                <w:rFonts w:asciiTheme="minorHAnsi" w:hAnsiTheme="minorHAnsi"/>
                <w:szCs w:val="24"/>
              </w:rPr>
              <w:t xml:space="preserve">he </w:t>
            </w:r>
            <w:proofErr w:type="spellStart"/>
            <w:r w:rsidRPr="00104989">
              <w:rPr>
                <w:rFonts w:asciiTheme="minorHAnsi" w:hAnsiTheme="minorHAnsi"/>
                <w:szCs w:val="24"/>
              </w:rPr>
              <w:t>Inspection</w:t>
            </w:r>
            <w:proofErr w:type="spellEnd"/>
            <w:r w:rsidRPr="00104989">
              <w:rPr>
                <w:rFonts w:asciiTheme="minorHAnsi" w:hAnsiTheme="minorHAnsi"/>
                <w:szCs w:val="24"/>
              </w:rPr>
              <w:t xml:space="preserve"> Panel, </w:t>
            </w:r>
            <w:r w:rsidR="0065696F" w:rsidRPr="00104989">
              <w:rPr>
                <w:rFonts w:asciiTheme="minorHAnsi" w:hAnsiTheme="minorHAnsi"/>
                <w:szCs w:val="24"/>
              </w:rPr>
              <w:t>an</w:t>
            </w:r>
            <w:r w:rsidRPr="00104989">
              <w:rPr>
                <w:rFonts w:asciiTheme="minorHAnsi" w:hAnsiTheme="minorHAnsi"/>
                <w:szCs w:val="24"/>
              </w:rPr>
              <w:t xml:space="preserve">d </w:t>
            </w:r>
            <w:proofErr w:type="spellStart"/>
            <w:r w:rsidRPr="00104989">
              <w:rPr>
                <w:rFonts w:asciiTheme="minorHAnsi" w:hAnsiTheme="minorHAnsi"/>
                <w:szCs w:val="24"/>
              </w:rPr>
              <w:t>the</w:t>
            </w:r>
            <w:proofErr w:type="spellEnd"/>
            <w:r w:rsidRPr="00104989">
              <w:rPr>
                <w:rFonts w:asciiTheme="minorHAnsi" w:hAnsiTheme="minorHAnsi"/>
                <w:szCs w:val="24"/>
              </w:rPr>
              <w:t xml:space="preserve"> </w:t>
            </w:r>
            <w:proofErr w:type="spellStart"/>
            <w:r w:rsidRPr="00104989">
              <w:rPr>
                <w:rFonts w:asciiTheme="minorHAnsi" w:hAnsiTheme="minorHAnsi"/>
                <w:szCs w:val="24"/>
              </w:rPr>
              <w:t>learning</w:t>
            </w:r>
            <w:proofErr w:type="spellEnd"/>
            <w:r w:rsidRPr="00104989">
              <w:rPr>
                <w:rFonts w:asciiTheme="minorHAnsi" w:hAnsiTheme="minorHAnsi"/>
                <w:szCs w:val="24"/>
              </w:rPr>
              <w:t xml:space="preserve"> </w:t>
            </w:r>
            <w:proofErr w:type="spellStart"/>
            <w:r w:rsidRPr="00104989">
              <w:rPr>
                <w:rFonts w:asciiTheme="minorHAnsi" w:hAnsiTheme="minorHAnsi"/>
                <w:szCs w:val="24"/>
              </w:rPr>
              <w:t>from</w:t>
            </w:r>
            <w:proofErr w:type="spellEnd"/>
            <w:r w:rsidRPr="00104989">
              <w:rPr>
                <w:rFonts w:asciiTheme="minorHAnsi" w:hAnsiTheme="minorHAnsi"/>
                <w:szCs w:val="24"/>
              </w:rPr>
              <w:t xml:space="preserve"> </w:t>
            </w:r>
            <w:proofErr w:type="spellStart"/>
            <w:r w:rsidR="00026FE3">
              <w:rPr>
                <w:rFonts w:asciiTheme="minorHAnsi" w:hAnsiTheme="minorHAnsi"/>
                <w:szCs w:val="24"/>
              </w:rPr>
              <w:t>its</w:t>
            </w:r>
            <w:proofErr w:type="spellEnd"/>
            <w:r w:rsidR="00026FE3">
              <w:rPr>
                <w:rFonts w:asciiTheme="minorHAnsi" w:hAnsiTheme="minorHAnsi"/>
                <w:szCs w:val="24"/>
              </w:rPr>
              <w:t xml:space="preserve"> </w:t>
            </w:r>
            <w:r w:rsidRPr="00104989">
              <w:rPr>
                <w:rFonts w:asciiTheme="minorHAnsi" w:hAnsiTheme="minorHAnsi"/>
                <w:szCs w:val="24"/>
              </w:rPr>
              <w:t xml:space="preserve">cases, </w:t>
            </w:r>
            <w:proofErr w:type="spellStart"/>
            <w:r w:rsidRPr="00104989">
              <w:rPr>
                <w:rFonts w:asciiTheme="minorHAnsi" w:hAnsiTheme="minorHAnsi"/>
                <w:szCs w:val="24"/>
              </w:rPr>
              <w:t>should</w:t>
            </w:r>
            <w:proofErr w:type="spellEnd"/>
            <w:r w:rsidR="0065696F" w:rsidRPr="00104989">
              <w:rPr>
                <w:rFonts w:asciiTheme="minorHAnsi" w:hAnsiTheme="minorHAnsi"/>
                <w:szCs w:val="24"/>
              </w:rPr>
              <w:t xml:space="preserve"> </w:t>
            </w:r>
            <w:r w:rsidRPr="00104989">
              <w:rPr>
                <w:rFonts w:asciiTheme="minorHAnsi" w:hAnsiTheme="minorHAnsi"/>
                <w:szCs w:val="24"/>
              </w:rPr>
              <w:t xml:space="preserve">be </w:t>
            </w:r>
            <w:proofErr w:type="spellStart"/>
            <w:r w:rsidR="00823905" w:rsidRPr="00104989">
              <w:rPr>
                <w:rFonts w:asciiTheme="minorHAnsi" w:hAnsiTheme="minorHAnsi"/>
                <w:szCs w:val="24"/>
              </w:rPr>
              <w:t>integrated</w:t>
            </w:r>
            <w:proofErr w:type="spellEnd"/>
            <w:r w:rsidR="0065696F" w:rsidRPr="00104989">
              <w:rPr>
                <w:rFonts w:asciiTheme="minorHAnsi" w:hAnsiTheme="minorHAnsi"/>
                <w:szCs w:val="24"/>
              </w:rPr>
              <w:t xml:space="preserve"> in a </w:t>
            </w:r>
            <w:proofErr w:type="spellStart"/>
            <w:r w:rsidR="0065696F" w:rsidRPr="00104989">
              <w:rPr>
                <w:rFonts w:asciiTheme="minorHAnsi" w:hAnsiTheme="minorHAnsi"/>
                <w:szCs w:val="24"/>
              </w:rPr>
              <w:t>structural</w:t>
            </w:r>
            <w:proofErr w:type="spellEnd"/>
            <w:r w:rsidR="0065696F" w:rsidRPr="00104989">
              <w:rPr>
                <w:rFonts w:asciiTheme="minorHAnsi" w:hAnsiTheme="minorHAnsi"/>
                <w:szCs w:val="24"/>
              </w:rPr>
              <w:t>/</w:t>
            </w:r>
            <w:proofErr w:type="spellStart"/>
            <w:r w:rsidR="0065696F" w:rsidRPr="00104989">
              <w:rPr>
                <w:rFonts w:asciiTheme="minorHAnsi" w:hAnsiTheme="minorHAnsi"/>
                <w:szCs w:val="24"/>
              </w:rPr>
              <w:t>systematic</w:t>
            </w:r>
            <w:proofErr w:type="spellEnd"/>
            <w:r w:rsidR="0065696F" w:rsidRPr="00104989">
              <w:rPr>
                <w:rFonts w:asciiTheme="minorHAnsi" w:hAnsiTheme="minorHAnsi"/>
                <w:szCs w:val="24"/>
              </w:rPr>
              <w:t xml:space="preserve"> </w:t>
            </w:r>
            <w:proofErr w:type="spellStart"/>
            <w:r w:rsidR="0065696F" w:rsidRPr="00104989">
              <w:rPr>
                <w:rFonts w:asciiTheme="minorHAnsi" w:hAnsiTheme="minorHAnsi"/>
                <w:szCs w:val="24"/>
              </w:rPr>
              <w:t>way</w:t>
            </w:r>
            <w:proofErr w:type="spellEnd"/>
            <w:r w:rsidR="0065696F" w:rsidRPr="00104989">
              <w:rPr>
                <w:rFonts w:asciiTheme="minorHAnsi" w:hAnsiTheme="minorHAnsi"/>
                <w:szCs w:val="24"/>
              </w:rPr>
              <w:t xml:space="preserve"> in </w:t>
            </w:r>
            <w:proofErr w:type="spellStart"/>
            <w:r w:rsidR="0065696F" w:rsidRPr="00104989">
              <w:rPr>
                <w:rFonts w:asciiTheme="minorHAnsi" w:hAnsiTheme="minorHAnsi"/>
                <w:szCs w:val="24"/>
              </w:rPr>
              <w:t>the</w:t>
            </w:r>
            <w:proofErr w:type="spellEnd"/>
            <w:r w:rsidR="0065696F" w:rsidRPr="00104989">
              <w:rPr>
                <w:rFonts w:asciiTheme="minorHAnsi" w:hAnsiTheme="minorHAnsi"/>
                <w:szCs w:val="24"/>
              </w:rPr>
              <w:t xml:space="preserve"> </w:t>
            </w:r>
            <w:proofErr w:type="spellStart"/>
            <w:r w:rsidR="00A16EAD">
              <w:rPr>
                <w:rFonts w:asciiTheme="minorHAnsi" w:hAnsiTheme="minorHAnsi"/>
                <w:szCs w:val="24"/>
              </w:rPr>
              <w:t>s</w:t>
            </w:r>
            <w:r w:rsidRPr="00104989">
              <w:rPr>
                <w:rFonts w:asciiTheme="minorHAnsi" w:hAnsiTheme="minorHAnsi"/>
                <w:szCs w:val="24"/>
              </w:rPr>
              <w:t>afeguard</w:t>
            </w:r>
            <w:proofErr w:type="spellEnd"/>
            <w:r w:rsidRPr="00104989">
              <w:rPr>
                <w:rFonts w:asciiTheme="minorHAnsi" w:hAnsiTheme="minorHAnsi"/>
                <w:szCs w:val="24"/>
              </w:rPr>
              <w:t xml:space="preserve"> </w:t>
            </w:r>
            <w:proofErr w:type="spellStart"/>
            <w:r w:rsidR="00B87E22">
              <w:rPr>
                <w:rFonts w:asciiTheme="minorHAnsi" w:hAnsiTheme="minorHAnsi"/>
                <w:szCs w:val="24"/>
              </w:rPr>
              <w:t>review</w:t>
            </w:r>
            <w:proofErr w:type="spellEnd"/>
            <w:r w:rsidR="0065696F" w:rsidRPr="00104989">
              <w:rPr>
                <w:rFonts w:asciiTheme="minorHAnsi" w:hAnsiTheme="minorHAnsi"/>
                <w:szCs w:val="24"/>
              </w:rPr>
              <w:t xml:space="preserve">. </w:t>
            </w:r>
          </w:p>
          <w:p w:rsidR="00C45633" w:rsidRPr="00104989" w:rsidRDefault="005E3634" w:rsidP="00C45633">
            <w:pPr>
              <w:pStyle w:val="ListParagraph"/>
              <w:numPr>
                <w:ilvl w:val="0"/>
                <w:numId w:val="32"/>
              </w:numPr>
              <w:shd w:val="clear" w:color="auto" w:fill="FFFFFF"/>
              <w:suppressAutoHyphens w:val="0"/>
              <w:spacing w:after="0" w:line="270" w:lineRule="atLeast"/>
              <w:jc w:val="left"/>
              <w:rPr>
                <w:rFonts w:asciiTheme="minorHAnsi" w:hAnsiTheme="minorHAnsi"/>
                <w:kern w:val="0"/>
                <w:szCs w:val="24"/>
                <w:lang w:val="en-US" w:eastAsia="nl-BE" w:bidi="ar-SA"/>
              </w:rPr>
            </w:pPr>
            <w:r w:rsidRPr="00104989">
              <w:rPr>
                <w:rFonts w:asciiTheme="minorHAnsi" w:hAnsiTheme="minorHAnsi"/>
                <w:kern w:val="0"/>
                <w:szCs w:val="24"/>
                <w:lang w:val="en-US" w:eastAsia="nl-BE" w:bidi="ar-SA"/>
              </w:rPr>
              <w:t>E</w:t>
            </w:r>
            <w:r w:rsidR="00C45633" w:rsidRPr="00104989">
              <w:rPr>
                <w:rFonts w:asciiTheme="minorHAnsi" w:hAnsiTheme="minorHAnsi"/>
                <w:kern w:val="0"/>
                <w:szCs w:val="24"/>
                <w:lang w:val="en-US" w:eastAsia="nl-BE" w:bidi="ar-SA"/>
              </w:rPr>
              <w:t>nhanced involvement of local communities early</w:t>
            </w:r>
            <w:r w:rsidR="00D505A0" w:rsidRPr="00104989">
              <w:rPr>
                <w:rFonts w:asciiTheme="minorHAnsi" w:hAnsiTheme="minorHAnsi"/>
                <w:kern w:val="0"/>
                <w:szCs w:val="24"/>
                <w:lang w:val="en-US" w:eastAsia="nl-BE" w:bidi="ar-SA"/>
              </w:rPr>
              <w:t xml:space="preserve"> on in the planning of projects should be developed.</w:t>
            </w:r>
          </w:p>
          <w:p w:rsidR="00C45633" w:rsidRPr="00104989" w:rsidRDefault="005E3634" w:rsidP="00C45633">
            <w:pPr>
              <w:pStyle w:val="ListParagraph"/>
              <w:numPr>
                <w:ilvl w:val="0"/>
                <w:numId w:val="32"/>
              </w:numPr>
              <w:shd w:val="clear" w:color="auto" w:fill="FFFFFF"/>
              <w:suppressAutoHyphens w:val="0"/>
              <w:spacing w:after="0" w:line="270"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I</w:t>
            </w:r>
            <w:r w:rsidR="00C45633" w:rsidRPr="00104989">
              <w:rPr>
                <w:rFonts w:asciiTheme="minorHAnsi" w:hAnsiTheme="minorHAnsi"/>
                <w:kern w:val="0"/>
                <w:lang w:val="en-US" w:eastAsia="nl-BE" w:bidi="ar-SA"/>
              </w:rPr>
              <w:t>mpact of projects should be monitored strictly, continuously and in a highly detailed manner. </w:t>
            </w:r>
          </w:p>
          <w:p w:rsidR="00C45633" w:rsidRPr="00104989" w:rsidRDefault="00CE4C5D" w:rsidP="00C45633">
            <w:pPr>
              <w:pStyle w:val="ListParagraph"/>
              <w:numPr>
                <w:ilvl w:val="0"/>
                <w:numId w:val="32"/>
              </w:numPr>
              <w:shd w:val="clear" w:color="auto" w:fill="FFFFFF"/>
              <w:suppressAutoHyphens w:val="0"/>
              <w:spacing w:after="0" w:line="270"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R</w:t>
            </w:r>
            <w:r w:rsidR="00C45633" w:rsidRPr="00104989">
              <w:rPr>
                <w:rFonts w:asciiTheme="minorHAnsi" w:hAnsiTheme="minorHAnsi"/>
                <w:kern w:val="0"/>
                <w:lang w:val="en-US" w:eastAsia="nl-BE" w:bidi="ar-SA"/>
              </w:rPr>
              <w:t xml:space="preserve">einforced evaluation and monitoring procedures </w:t>
            </w:r>
            <w:r w:rsidR="00026FE3">
              <w:rPr>
                <w:rFonts w:asciiTheme="minorHAnsi" w:hAnsiTheme="minorHAnsi"/>
                <w:kern w:val="0"/>
                <w:lang w:val="en-US" w:eastAsia="nl-BE" w:bidi="ar-SA"/>
              </w:rPr>
              <w:t xml:space="preserve">is needed </w:t>
            </w:r>
            <w:r w:rsidR="00C45633" w:rsidRPr="00104989">
              <w:rPr>
                <w:rFonts w:asciiTheme="minorHAnsi" w:hAnsiTheme="minorHAnsi"/>
                <w:kern w:val="0"/>
                <w:lang w:val="en-US" w:eastAsia="nl-BE" w:bidi="ar-SA"/>
              </w:rPr>
              <w:t>in order to prevent any conflict of interest</w:t>
            </w:r>
            <w:r w:rsidR="00D505A0" w:rsidRPr="00104989">
              <w:rPr>
                <w:rFonts w:asciiTheme="minorHAnsi" w:hAnsiTheme="minorHAnsi"/>
                <w:kern w:val="0"/>
                <w:lang w:val="en-US" w:eastAsia="nl-BE" w:bidi="ar-SA"/>
              </w:rPr>
              <w:t xml:space="preserve"> to the fullest extent possible.</w:t>
            </w:r>
          </w:p>
          <w:p w:rsidR="00785020" w:rsidRPr="00104989" w:rsidRDefault="00CE4C5D" w:rsidP="00482CE6">
            <w:pPr>
              <w:pStyle w:val="ListParagraph"/>
              <w:numPr>
                <w:ilvl w:val="0"/>
                <w:numId w:val="32"/>
              </w:numPr>
              <w:shd w:val="clear" w:color="auto" w:fill="FFFFFF"/>
              <w:suppressAutoHyphens w:val="0"/>
              <w:spacing w:after="0" w:line="270" w:lineRule="atLeast"/>
              <w:jc w:val="left"/>
              <w:rPr>
                <w:rFonts w:asciiTheme="minorHAnsi" w:hAnsiTheme="minorHAnsi"/>
                <w:color w:val="444444"/>
                <w:kern w:val="0"/>
                <w:lang w:val="en-US" w:eastAsia="nl-BE" w:bidi="ar-SA"/>
              </w:rPr>
            </w:pPr>
            <w:r w:rsidRPr="00104989">
              <w:rPr>
                <w:rFonts w:asciiTheme="minorHAnsi" w:hAnsiTheme="minorHAnsi"/>
                <w:kern w:val="0"/>
                <w:lang w:val="en-US" w:eastAsia="nl-BE" w:bidi="ar-SA"/>
              </w:rPr>
              <w:t>A</w:t>
            </w:r>
            <w:r w:rsidR="00C45633" w:rsidRPr="00104989">
              <w:rPr>
                <w:rFonts w:asciiTheme="minorHAnsi" w:hAnsiTheme="minorHAnsi"/>
                <w:kern w:val="0"/>
                <w:lang w:val="en-US" w:eastAsia="nl-BE" w:bidi="ar-SA"/>
              </w:rPr>
              <w:t>pplication of strict sanctions on staff in case of repeated failure to implement safeguards, as part of a broader system of incentives/disincentives to</w:t>
            </w:r>
            <w:r w:rsidR="00D505A0" w:rsidRPr="00104989">
              <w:rPr>
                <w:rFonts w:asciiTheme="minorHAnsi" w:hAnsiTheme="minorHAnsi"/>
                <w:kern w:val="0"/>
                <w:lang w:val="en-US" w:eastAsia="nl-BE" w:bidi="ar-SA"/>
              </w:rPr>
              <w:t xml:space="preserve"> ensure staff compliance</w:t>
            </w:r>
            <w:r w:rsidR="00026FE3">
              <w:rPr>
                <w:rFonts w:asciiTheme="minorHAnsi" w:hAnsiTheme="minorHAnsi"/>
                <w:kern w:val="0"/>
                <w:lang w:val="en-US" w:eastAsia="nl-BE" w:bidi="ar-SA"/>
              </w:rPr>
              <w:t>,</w:t>
            </w:r>
            <w:r w:rsidR="00D505A0" w:rsidRPr="00104989">
              <w:rPr>
                <w:rFonts w:asciiTheme="minorHAnsi" w:hAnsiTheme="minorHAnsi"/>
                <w:kern w:val="0"/>
                <w:lang w:val="en-US" w:eastAsia="nl-BE" w:bidi="ar-SA"/>
              </w:rPr>
              <w:t xml:space="preserve"> is needed.</w:t>
            </w:r>
          </w:p>
        </w:tc>
      </w:tr>
      <w:tr w:rsidR="00785020" w:rsidRPr="00104989" w:rsidTr="00B87E22">
        <w:trPr>
          <w:trHeight w:val="458"/>
          <w:jc w:val="center"/>
        </w:trPr>
        <w:tc>
          <w:tcPr>
            <w:tcW w:w="10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85020" w:rsidRPr="00104989" w:rsidRDefault="00785020" w:rsidP="00785020">
            <w:pPr>
              <w:ind w:left="180"/>
              <w:jc w:val="left"/>
              <w:rPr>
                <w:rFonts w:asciiTheme="minorHAnsi" w:eastAsia="Batang" w:hAnsiTheme="minorHAnsi" w:cstheme="minorHAnsi"/>
                <w:b/>
                <w:bCs/>
                <w:color w:val="17365D" w:themeColor="text2" w:themeShade="BF"/>
              </w:rPr>
            </w:pPr>
            <w:r w:rsidRPr="00104989">
              <w:rPr>
                <w:rFonts w:asciiTheme="minorHAnsi" w:hAnsiTheme="minorHAnsi" w:cstheme="minorHAnsi"/>
                <w:b/>
                <w:color w:val="17365D" w:themeColor="text2" w:themeShade="BF"/>
              </w:rPr>
              <w:t xml:space="preserve">4. </w:t>
            </w:r>
            <w:proofErr w:type="spellStart"/>
            <w:r w:rsidR="004D059D" w:rsidRPr="00104989">
              <w:rPr>
                <w:rFonts w:asciiTheme="minorHAnsi" w:hAnsiTheme="minorHAnsi" w:cstheme="minorHAnsi"/>
                <w:b/>
                <w:color w:val="17365D" w:themeColor="text2" w:themeShade="BF"/>
              </w:rPr>
              <w:t>How</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the</w:t>
            </w:r>
            <w:proofErr w:type="spellEnd"/>
            <w:r w:rsidR="004D059D" w:rsidRPr="00104989">
              <w:rPr>
                <w:rFonts w:asciiTheme="minorHAnsi" w:hAnsiTheme="minorHAnsi" w:cstheme="minorHAnsi"/>
                <w:b/>
                <w:color w:val="17365D" w:themeColor="text2" w:themeShade="BF"/>
              </w:rPr>
              <w:t xml:space="preserve"> Bank can </w:t>
            </w:r>
            <w:proofErr w:type="spellStart"/>
            <w:r w:rsidR="004D059D" w:rsidRPr="00104989">
              <w:rPr>
                <w:rFonts w:asciiTheme="minorHAnsi" w:hAnsiTheme="minorHAnsi" w:cstheme="minorHAnsi"/>
                <w:b/>
                <w:color w:val="17365D" w:themeColor="text2" w:themeShade="BF"/>
              </w:rPr>
              <w:t>better</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support</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borrowers</w:t>
            </w:r>
            <w:proofErr w:type="spellEnd"/>
            <w:r w:rsidR="004D059D" w:rsidRPr="00104989">
              <w:rPr>
                <w:rFonts w:asciiTheme="minorHAnsi" w:hAnsiTheme="minorHAnsi" w:cstheme="minorHAnsi"/>
                <w:b/>
                <w:color w:val="17365D" w:themeColor="text2" w:themeShade="BF"/>
              </w:rPr>
              <w:t xml:space="preserve"> in </w:t>
            </w:r>
            <w:proofErr w:type="spellStart"/>
            <w:r w:rsidR="004D059D" w:rsidRPr="00104989">
              <w:rPr>
                <w:rFonts w:asciiTheme="minorHAnsi" w:hAnsiTheme="minorHAnsi" w:cstheme="minorHAnsi"/>
                <w:b/>
                <w:color w:val="17365D" w:themeColor="text2" w:themeShade="BF"/>
              </w:rPr>
              <w:t>their</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efforts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to</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strengthen</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their</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systems</w:t>
            </w:r>
            <w:proofErr w:type="spellEnd"/>
            <w:r w:rsidR="004D059D" w:rsidRPr="00104989">
              <w:rPr>
                <w:rFonts w:asciiTheme="minorHAnsi" w:hAnsiTheme="minorHAnsi" w:cstheme="minorHAnsi"/>
                <w:b/>
                <w:color w:val="17365D" w:themeColor="text2" w:themeShade="BF"/>
              </w:rPr>
              <w:t xml:space="preserve"> and </w:t>
            </w:r>
            <w:proofErr w:type="spellStart"/>
            <w:r w:rsidR="004D059D" w:rsidRPr="00104989">
              <w:rPr>
                <w:rFonts w:asciiTheme="minorHAnsi" w:hAnsiTheme="minorHAnsi" w:cstheme="minorHAnsi"/>
                <w:b/>
                <w:color w:val="17365D" w:themeColor="text2" w:themeShade="BF"/>
              </w:rPr>
              <w:t>institutions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with</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respect</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to</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environmental</w:t>
            </w:r>
            <w:proofErr w:type="spellEnd"/>
            <w:r w:rsidR="004D059D" w:rsidRPr="00104989">
              <w:rPr>
                <w:rFonts w:asciiTheme="minorHAnsi" w:hAnsiTheme="minorHAnsi" w:cstheme="minorHAnsi"/>
                <w:b/>
                <w:color w:val="17365D" w:themeColor="text2" w:themeShade="BF"/>
              </w:rPr>
              <w:t xml:space="preserve"> and social </w:t>
            </w:r>
            <w:proofErr w:type="spellStart"/>
            <w:r w:rsidR="004D059D" w:rsidRPr="00104989">
              <w:rPr>
                <w:rFonts w:asciiTheme="minorHAnsi" w:hAnsiTheme="minorHAnsi" w:cstheme="minorHAnsi"/>
                <w:b/>
                <w:color w:val="17365D" w:themeColor="text2" w:themeShade="BF"/>
              </w:rPr>
              <w:t>safeguards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practices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to</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yield</w:t>
            </w:r>
            <w:proofErr w:type="spellEnd"/>
            <w:r w:rsidR="004D059D" w:rsidRPr="00104989">
              <w:rPr>
                <w:rFonts w:asciiTheme="minorHAnsi" w:hAnsiTheme="minorHAnsi" w:cstheme="minorHAnsi"/>
                <w:b/>
                <w:color w:val="17365D" w:themeColor="text2" w:themeShade="BF"/>
              </w:rPr>
              <w:t xml:space="preserve"> more </w:t>
            </w:r>
            <w:proofErr w:type="spellStart"/>
            <w:r w:rsidR="004D059D" w:rsidRPr="00104989">
              <w:rPr>
                <w:rFonts w:asciiTheme="minorHAnsi" w:hAnsiTheme="minorHAnsi" w:cstheme="minorHAnsi"/>
                <w:b/>
                <w:color w:val="17365D" w:themeColor="text2" w:themeShade="BF"/>
              </w:rPr>
              <w:t>sustainable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results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on</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the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ground</w:t>
            </w:r>
            <w:proofErr w:type="spellEnd"/>
            <w:r w:rsidRPr="00104989">
              <w:rPr>
                <w:rFonts w:asciiTheme="minorHAnsi" w:hAnsiTheme="minorHAnsi" w:cstheme="minorHAnsi"/>
                <w:b/>
                <w:color w:val="17365D" w:themeColor="text2" w:themeShade="BF"/>
              </w:rPr>
              <w:t>.</w:t>
            </w:r>
          </w:p>
        </w:tc>
      </w:tr>
      <w:tr w:rsidR="00391E63" w:rsidRPr="00104989" w:rsidTr="00B87E22">
        <w:tblPrEx>
          <w:tblCellMar>
            <w:left w:w="108" w:type="dxa"/>
            <w:right w:w="108" w:type="dxa"/>
          </w:tblCellMar>
        </w:tblPrEx>
        <w:trPr>
          <w:trHeight w:val="713"/>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391E63" w:rsidRPr="00104989" w:rsidRDefault="00F048AA" w:rsidP="00C45633">
            <w:pPr>
              <w:pStyle w:val="ListParagraph"/>
              <w:widowControl w:val="0"/>
              <w:numPr>
                <w:ilvl w:val="0"/>
                <w:numId w:val="36"/>
              </w:numPr>
              <w:autoSpaceDE w:val="0"/>
              <w:autoSpaceDN w:val="0"/>
              <w:adjustRightInd w:val="0"/>
              <w:spacing w:after="40"/>
              <w:ind w:right="40"/>
              <w:jc w:val="left"/>
              <w:rPr>
                <w:rFonts w:asciiTheme="minorHAnsi" w:hAnsiTheme="minorHAnsi" w:cstheme="minorHAnsi"/>
                <w:b/>
                <w:sz w:val="22"/>
                <w:szCs w:val="22"/>
                <w:lang w:val="en-US"/>
              </w:rPr>
            </w:pPr>
            <w:proofErr w:type="spellStart"/>
            <w:r w:rsidRPr="00104989">
              <w:rPr>
                <w:rFonts w:asciiTheme="minorHAnsi" w:hAnsiTheme="minorHAnsi"/>
                <w:shd w:val="clear" w:color="auto" w:fill="FFFFFF"/>
              </w:rPr>
              <w:t>The</w:t>
            </w:r>
            <w:proofErr w:type="spellEnd"/>
            <w:r w:rsidRPr="00104989">
              <w:rPr>
                <w:rFonts w:asciiTheme="minorHAnsi" w:hAnsiTheme="minorHAnsi"/>
                <w:shd w:val="clear" w:color="auto" w:fill="FFFFFF"/>
              </w:rPr>
              <w:t xml:space="preserve"> </w:t>
            </w:r>
            <w:r w:rsidR="00C45633" w:rsidRPr="00104989">
              <w:rPr>
                <w:rFonts w:asciiTheme="minorHAnsi" w:hAnsiTheme="minorHAnsi"/>
                <w:shd w:val="clear" w:color="auto" w:fill="FFFFFF"/>
              </w:rPr>
              <w:t xml:space="preserve">Bank </w:t>
            </w:r>
            <w:proofErr w:type="spellStart"/>
            <w:r w:rsidR="00C45633" w:rsidRPr="00104989">
              <w:rPr>
                <w:rFonts w:asciiTheme="minorHAnsi" w:hAnsiTheme="minorHAnsi"/>
                <w:shd w:val="clear" w:color="auto" w:fill="FFFFFF"/>
              </w:rPr>
              <w:t>should</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focus</w:t>
            </w:r>
            <w:proofErr w:type="spellEnd"/>
            <w:r w:rsidR="00C45633" w:rsidRPr="00104989">
              <w:rPr>
                <w:rFonts w:asciiTheme="minorHAnsi" w:hAnsiTheme="minorHAnsi"/>
                <w:shd w:val="clear" w:color="auto" w:fill="FFFFFF"/>
              </w:rPr>
              <w:t xml:space="preserve"> more </w:t>
            </w:r>
            <w:proofErr w:type="spellStart"/>
            <w:r w:rsidR="00C45633" w:rsidRPr="00104989">
              <w:rPr>
                <w:rFonts w:asciiTheme="minorHAnsi" w:hAnsiTheme="minorHAnsi"/>
                <w:shd w:val="clear" w:color="auto" w:fill="FFFFFF"/>
              </w:rPr>
              <w:t>on</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its</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own</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responsibilities</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with</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regard</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to</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the</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sustainability</w:t>
            </w:r>
            <w:proofErr w:type="spellEnd"/>
            <w:r w:rsidR="00C45633" w:rsidRPr="00104989">
              <w:rPr>
                <w:rFonts w:asciiTheme="minorHAnsi" w:hAnsiTheme="minorHAnsi"/>
                <w:shd w:val="clear" w:color="auto" w:fill="FFFFFF"/>
              </w:rPr>
              <w:t xml:space="preserve"> of </w:t>
            </w:r>
            <w:proofErr w:type="spellStart"/>
            <w:r w:rsidR="00C45633" w:rsidRPr="00104989">
              <w:rPr>
                <w:rFonts w:asciiTheme="minorHAnsi" w:hAnsiTheme="minorHAnsi"/>
                <w:shd w:val="clear" w:color="auto" w:fill="FFFFFF"/>
              </w:rPr>
              <w:t>projects</w:t>
            </w:r>
            <w:proofErr w:type="spellEnd"/>
            <w:r w:rsidR="00C45633" w:rsidRPr="00104989">
              <w:rPr>
                <w:rFonts w:asciiTheme="minorHAnsi" w:hAnsiTheme="minorHAnsi"/>
                <w:shd w:val="clear" w:color="auto" w:fill="FFFFFF"/>
              </w:rPr>
              <w:t xml:space="preserve">, </w:t>
            </w:r>
            <w:r w:rsidRPr="00104989">
              <w:rPr>
                <w:rFonts w:asciiTheme="minorHAnsi" w:hAnsiTheme="minorHAnsi"/>
                <w:shd w:val="clear" w:color="auto" w:fill="FFFFFF"/>
              </w:rPr>
              <w:t xml:space="preserve">as </w:t>
            </w:r>
            <w:proofErr w:type="spellStart"/>
            <w:r w:rsidRPr="00104989">
              <w:rPr>
                <w:rFonts w:asciiTheme="minorHAnsi" w:hAnsiTheme="minorHAnsi"/>
                <w:shd w:val="clear" w:color="auto" w:fill="FFFFFF"/>
              </w:rPr>
              <w:t>there</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i</w:t>
            </w:r>
            <w:r w:rsidR="00C45633" w:rsidRPr="00104989">
              <w:rPr>
                <w:rFonts w:asciiTheme="minorHAnsi" w:hAnsiTheme="minorHAnsi"/>
                <w:shd w:val="clear" w:color="auto" w:fill="FFFFFF"/>
              </w:rPr>
              <w:t>s</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an</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excessive</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focus</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on</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the</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responsibilities</w:t>
            </w:r>
            <w:proofErr w:type="spellEnd"/>
            <w:r w:rsidR="00C45633" w:rsidRPr="00104989">
              <w:rPr>
                <w:rFonts w:asciiTheme="minorHAnsi" w:hAnsiTheme="minorHAnsi"/>
                <w:shd w:val="clear" w:color="auto" w:fill="FFFFFF"/>
              </w:rPr>
              <w:t xml:space="preserve"> of </w:t>
            </w:r>
            <w:proofErr w:type="spellStart"/>
            <w:r w:rsidR="00C45633" w:rsidRPr="00104989">
              <w:rPr>
                <w:rFonts w:asciiTheme="minorHAnsi" w:hAnsiTheme="minorHAnsi"/>
                <w:shd w:val="clear" w:color="auto" w:fill="FFFFFF"/>
              </w:rPr>
              <w:t>client</w:t>
            </w:r>
            <w:proofErr w:type="spellEnd"/>
            <w:r w:rsidR="00C45633" w:rsidRPr="00104989">
              <w:rPr>
                <w:rFonts w:asciiTheme="minorHAnsi" w:hAnsiTheme="minorHAnsi"/>
                <w:shd w:val="clear" w:color="auto" w:fill="FFFFFF"/>
              </w:rPr>
              <w:t xml:space="preserve"> </w:t>
            </w:r>
            <w:proofErr w:type="spellStart"/>
            <w:r w:rsidR="00C45633" w:rsidRPr="00104989">
              <w:rPr>
                <w:rFonts w:asciiTheme="minorHAnsi" w:hAnsiTheme="minorHAnsi"/>
                <w:shd w:val="clear" w:color="auto" w:fill="FFFFFF"/>
              </w:rPr>
              <w:t>countries</w:t>
            </w:r>
            <w:proofErr w:type="spellEnd"/>
            <w:r w:rsidR="00C45633" w:rsidRPr="00104989">
              <w:rPr>
                <w:rFonts w:asciiTheme="minorHAnsi" w:hAnsiTheme="minorHAnsi"/>
                <w:shd w:val="clear" w:color="auto" w:fill="FFFFFF"/>
              </w:rPr>
              <w:t>.</w:t>
            </w:r>
          </w:p>
          <w:p w:rsidR="00CE4C5D" w:rsidRPr="00104989" w:rsidRDefault="009D49FD" w:rsidP="00B30E3B">
            <w:pPr>
              <w:pStyle w:val="ListParagraph"/>
              <w:widowControl w:val="0"/>
              <w:numPr>
                <w:ilvl w:val="0"/>
                <w:numId w:val="36"/>
              </w:numPr>
              <w:autoSpaceDE w:val="0"/>
              <w:autoSpaceDN w:val="0"/>
              <w:adjustRightInd w:val="0"/>
              <w:spacing w:after="40"/>
              <w:ind w:right="40"/>
              <w:jc w:val="left"/>
              <w:rPr>
                <w:rFonts w:asciiTheme="minorHAnsi" w:hAnsiTheme="minorHAnsi" w:cstheme="minorHAnsi"/>
                <w:b/>
                <w:sz w:val="22"/>
                <w:szCs w:val="22"/>
                <w:lang w:val="en-US"/>
              </w:rPr>
            </w:pPr>
            <w:r w:rsidRPr="00104989">
              <w:rPr>
                <w:rFonts w:asciiTheme="minorHAnsi" w:hAnsiTheme="minorHAnsi"/>
                <w:shd w:val="clear" w:color="auto" w:fill="FFFFFF"/>
              </w:rPr>
              <w:t xml:space="preserve">A  </w:t>
            </w:r>
            <w:proofErr w:type="spellStart"/>
            <w:r w:rsidRPr="00104989">
              <w:rPr>
                <w:rFonts w:asciiTheme="minorHAnsi" w:hAnsiTheme="minorHAnsi"/>
                <w:shd w:val="clear" w:color="auto" w:fill="FFFFFF"/>
              </w:rPr>
              <w:t>clearer</w:t>
            </w:r>
            <w:proofErr w:type="spellEnd"/>
            <w:r w:rsidRPr="00104989">
              <w:rPr>
                <w:rFonts w:asciiTheme="minorHAnsi" w:hAnsiTheme="minorHAnsi"/>
                <w:shd w:val="clear" w:color="auto" w:fill="FFFFFF"/>
              </w:rPr>
              <w:t xml:space="preserve"> </w:t>
            </w:r>
            <w:proofErr w:type="spellStart"/>
            <w:r w:rsidR="00B30E3B" w:rsidRPr="00104989">
              <w:rPr>
                <w:rFonts w:asciiTheme="minorHAnsi" w:hAnsiTheme="minorHAnsi"/>
                <w:shd w:val="clear" w:color="auto" w:fill="FFFFFF"/>
              </w:rPr>
              <w:t>process</w:t>
            </w:r>
            <w:proofErr w:type="spellEnd"/>
            <w:r w:rsidR="00B30E3B"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should</w:t>
            </w:r>
            <w:proofErr w:type="spellEnd"/>
            <w:r w:rsidRPr="00104989">
              <w:rPr>
                <w:rFonts w:asciiTheme="minorHAnsi" w:hAnsiTheme="minorHAnsi"/>
                <w:shd w:val="clear" w:color="auto" w:fill="FFFFFF"/>
              </w:rPr>
              <w:t xml:space="preserve"> be </w:t>
            </w:r>
            <w:proofErr w:type="spellStart"/>
            <w:r w:rsidRPr="00104989">
              <w:rPr>
                <w:rFonts w:asciiTheme="minorHAnsi" w:hAnsiTheme="minorHAnsi"/>
                <w:shd w:val="clear" w:color="auto" w:fill="FFFFFF"/>
              </w:rPr>
              <w:t>employed</w:t>
            </w:r>
            <w:proofErr w:type="spellEnd"/>
            <w:r w:rsidRPr="00104989">
              <w:rPr>
                <w:rFonts w:asciiTheme="minorHAnsi" w:hAnsiTheme="minorHAnsi"/>
                <w:shd w:val="clear" w:color="auto" w:fill="FFFFFF"/>
              </w:rPr>
              <w:t xml:space="preserve"> in </w:t>
            </w:r>
            <w:proofErr w:type="spellStart"/>
            <w:r w:rsidRPr="00104989">
              <w:rPr>
                <w:rFonts w:asciiTheme="minorHAnsi" w:hAnsiTheme="minorHAnsi"/>
                <w:shd w:val="clear" w:color="auto" w:fill="FFFFFF"/>
              </w:rPr>
              <w:t>deciding</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when</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to</w:t>
            </w:r>
            <w:proofErr w:type="spellEnd"/>
            <w:r w:rsidRPr="00104989">
              <w:rPr>
                <w:rFonts w:asciiTheme="minorHAnsi" w:hAnsiTheme="minorHAnsi"/>
                <w:shd w:val="clear" w:color="auto" w:fill="FFFFFF"/>
              </w:rPr>
              <w:t xml:space="preserve"> use Country </w:t>
            </w:r>
            <w:proofErr w:type="spellStart"/>
            <w:r w:rsidRPr="00104989">
              <w:rPr>
                <w:rFonts w:asciiTheme="minorHAnsi" w:hAnsiTheme="minorHAnsi"/>
                <w:shd w:val="clear" w:color="auto" w:fill="FFFFFF"/>
              </w:rPr>
              <w:t>Systems</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with</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respect</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to</w:t>
            </w:r>
            <w:proofErr w:type="spellEnd"/>
            <w:r w:rsidRPr="00104989">
              <w:rPr>
                <w:rFonts w:asciiTheme="minorHAnsi" w:hAnsiTheme="minorHAnsi"/>
                <w:shd w:val="clear" w:color="auto" w:fill="FFFFFF"/>
              </w:rPr>
              <w:t xml:space="preserve"> </w:t>
            </w:r>
            <w:proofErr w:type="spellStart"/>
            <w:r w:rsidR="00A16EAD">
              <w:rPr>
                <w:rFonts w:asciiTheme="minorHAnsi" w:hAnsiTheme="minorHAnsi"/>
                <w:shd w:val="clear" w:color="auto" w:fill="FFFFFF"/>
              </w:rPr>
              <w:t>s</w:t>
            </w:r>
            <w:r w:rsidRPr="00104989">
              <w:rPr>
                <w:rFonts w:asciiTheme="minorHAnsi" w:hAnsiTheme="minorHAnsi"/>
                <w:shd w:val="clear" w:color="auto" w:fill="FFFFFF"/>
              </w:rPr>
              <w:t>afeguard</w:t>
            </w:r>
            <w:r w:rsidR="00026FE3">
              <w:rPr>
                <w:rFonts w:asciiTheme="minorHAnsi" w:hAnsiTheme="minorHAnsi"/>
                <w:shd w:val="clear" w:color="auto" w:fill="FFFFFF"/>
              </w:rPr>
              <w:t>s</w:t>
            </w:r>
            <w:proofErr w:type="spellEnd"/>
            <w:r w:rsidR="00452A11" w:rsidRPr="00104989">
              <w:rPr>
                <w:rFonts w:asciiTheme="minorHAnsi" w:hAnsiTheme="minorHAnsi"/>
                <w:shd w:val="clear" w:color="auto" w:fill="FFFFFF"/>
              </w:rPr>
              <w:t>.</w:t>
            </w:r>
          </w:p>
          <w:p w:rsidR="00846CF5" w:rsidRPr="00104989" w:rsidRDefault="00846CF5" w:rsidP="00104989">
            <w:pPr>
              <w:pStyle w:val="ListParagraph"/>
              <w:widowControl w:val="0"/>
              <w:numPr>
                <w:ilvl w:val="0"/>
                <w:numId w:val="36"/>
              </w:numPr>
              <w:autoSpaceDE w:val="0"/>
              <w:autoSpaceDN w:val="0"/>
              <w:adjustRightInd w:val="0"/>
              <w:spacing w:after="40"/>
              <w:ind w:right="40"/>
              <w:jc w:val="left"/>
              <w:rPr>
                <w:rFonts w:asciiTheme="minorHAnsi" w:hAnsiTheme="minorHAnsi" w:cstheme="minorHAnsi"/>
                <w:b/>
                <w:color w:val="17365D" w:themeColor="text2" w:themeShade="BF"/>
                <w:sz w:val="22"/>
                <w:szCs w:val="22"/>
                <w:lang w:val="en-US"/>
              </w:rPr>
            </w:pPr>
            <w:proofErr w:type="spellStart"/>
            <w:r w:rsidRPr="00104989">
              <w:rPr>
                <w:rFonts w:asciiTheme="minorHAnsi" w:hAnsiTheme="minorHAnsi"/>
                <w:shd w:val="clear" w:color="auto" w:fill="FFFFFF"/>
              </w:rPr>
              <w:t>Though</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strengthening</w:t>
            </w:r>
            <w:proofErr w:type="spellEnd"/>
            <w:r w:rsidRPr="00104989">
              <w:rPr>
                <w:rFonts w:asciiTheme="minorHAnsi" w:hAnsiTheme="minorHAnsi"/>
                <w:shd w:val="clear" w:color="auto" w:fill="FFFFFF"/>
              </w:rPr>
              <w:t xml:space="preserve"> country </w:t>
            </w:r>
            <w:proofErr w:type="spellStart"/>
            <w:r w:rsidRPr="00104989">
              <w:rPr>
                <w:rFonts w:asciiTheme="minorHAnsi" w:hAnsiTheme="minorHAnsi"/>
                <w:shd w:val="clear" w:color="auto" w:fill="FFFFFF"/>
              </w:rPr>
              <w:t>systems</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is</w:t>
            </w:r>
            <w:proofErr w:type="spellEnd"/>
            <w:r w:rsidRPr="00104989">
              <w:rPr>
                <w:rFonts w:asciiTheme="minorHAnsi" w:hAnsiTheme="minorHAnsi"/>
                <w:shd w:val="clear" w:color="auto" w:fill="FFFFFF"/>
              </w:rPr>
              <w:t xml:space="preserve"> laudable, </w:t>
            </w:r>
            <w:proofErr w:type="spellStart"/>
            <w:r w:rsidRPr="00104989">
              <w:rPr>
                <w:rFonts w:asciiTheme="minorHAnsi" w:hAnsiTheme="minorHAnsi"/>
                <w:shd w:val="clear" w:color="auto" w:fill="FFFFFF"/>
              </w:rPr>
              <w:t>the</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capacity</w:t>
            </w:r>
            <w:proofErr w:type="spellEnd"/>
            <w:r w:rsidRPr="00104989">
              <w:rPr>
                <w:rFonts w:asciiTheme="minorHAnsi" w:hAnsiTheme="minorHAnsi"/>
                <w:shd w:val="clear" w:color="auto" w:fill="FFFFFF"/>
              </w:rPr>
              <w:t xml:space="preserve"> and </w:t>
            </w:r>
            <w:proofErr w:type="spellStart"/>
            <w:r w:rsidRPr="00104989">
              <w:rPr>
                <w:rFonts w:asciiTheme="minorHAnsi" w:hAnsiTheme="minorHAnsi"/>
                <w:shd w:val="clear" w:color="auto" w:fill="FFFFFF"/>
              </w:rPr>
              <w:t>will</w:t>
            </w:r>
            <w:proofErr w:type="spellEnd"/>
            <w:r w:rsidRPr="00104989">
              <w:rPr>
                <w:rFonts w:asciiTheme="minorHAnsi" w:hAnsiTheme="minorHAnsi"/>
                <w:shd w:val="clear" w:color="auto" w:fill="FFFFFF"/>
              </w:rPr>
              <w:t xml:space="preserve"> of </w:t>
            </w:r>
            <w:proofErr w:type="spellStart"/>
            <w:r w:rsidRPr="00104989">
              <w:rPr>
                <w:rFonts w:asciiTheme="minorHAnsi" w:hAnsiTheme="minorHAnsi"/>
                <w:shd w:val="clear" w:color="auto" w:fill="FFFFFF"/>
              </w:rPr>
              <w:t>many</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countries</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to</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enforce</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their</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environmental</w:t>
            </w:r>
            <w:proofErr w:type="spellEnd"/>
            <w:r w:rsidRPr="00104989">
              <w:rPr>
                <w:rFonts w:asciiTheme="minorHAnsi" w:hAnsiTheme="minorHAnsi"/>
                <w:shd w:val="clear" w:color="auto" w:fill="FFFFFF"/>
              </w:rPr>
              <w:t xml:space="preserve"> and social </w:t>
            </w:r>
            <w:proofErr w:type="spellStart"/>
            <w:r w:rsidRPr="00104989">
              <w:rPr>
                <w:rFonts w:asciiTheme="minorHAnsi" w:hAnsiTheme="minorHAnsi"/>
                <w:shd w:val="clear" w:color="auto" w:fill="FFFFFF"/>
              </w:rPr>
              <w:t>laws</w:t>
            </w:r>
            <w:proofErr w:type="spellEnd"/>
            <w:r w:rsidRPr="00104989">
              <w:rPr>
                <w:rFonts w:asciiTheme="minorHAnsi" w:hAnsiTheme="minorHAnsi"/>
                <w:shd w:val="clear" w:color="auto" w:fill="FFFFFF"/>
              </w:rPr>
              <w:t xml:space="preserve"> and </w:t>
            </w:r>
            <w:proofErr w:type="spellStart"/>
            <w:r w:rsidRPr="00104989">
              <w:rPr>
                <w:rFonts w:asciiTheme="minorHAnsi" w:hAnsiTheme="minorHAnsi"/>
                <w:shd w:val="clear" w:color="auto" w:fill="FFFFFF"/>
              </w:rPr>
              <w:t>regulations</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is</w:t>
            </w:r>
            <w:proofErr w:type="spellEnd"/>
            <w:r w:rsidRPr="00104989">
              <w:rPr>
                <w:rFonts w:asciiTheme="minorHAnsi" w:hAnsiTheme="minorHAnsi"/>
                <w:shd w:val="clear" w:color="auto" w:fill="FFFFFF"/>
              </w:rPr>
              <w:t xml:space="preserve"> </w:t>
            </w:r>
            <w:proofErr w:type="spellStart"/>
            <w:r w:rsidRPr="00104989">
              <w:rPr>
                <w:rFonts w:asciiTheme="minorHAnsi" w:hAnsiTheme="minorHAnsi"/>
                <w:shd w:val="clear" w:color="auto" w:fill="FFFFFF"/>
              </w:rPr>
              <w:t>insufficient</w:t>
            </w:r>
            <w:proofErr w:type="spellEnd"/>
            <w:r w:rsidRPr="00104989">
              <w:rPr>
                <w:rFonts w:asciiTheme="minorHAnsi" w:hAnsiTheme="minorHAnsi"/>
                <w:shd w:val="clear" w:color="auto" w:fill="FFFFFF"/>
              </w:rPr>
              <w:t>.</w:t>
            </w:r>
            <w:r w:rsidRPr="00104989">
              <w:rPr>
                <w:rFonts w:asciiTheme="minorHAnsi" w:hAnsiTheme="minorHAnsi"/>
                <w:color w:val="444444"/>
                <w:shd w:val="clear" w:color="auto" w:fill="FFFFFF"/>
              </w:rPr>
              <w:t xml:space="preserve"> </w:t>
            </w:r>
          </w:p>
        </w:tc>
      </w:tr>
      <w:tr w:rsidR="00883EDE" w:rsidRPr="00104989" w:rsidTr="00B87E22">
        <w:trPr>
          <w:trHeight w:val="70"/>
          <w:jc w:val="center"/>
        </w:trPr>
        <w:tc>
          <w:tcPr>
            <w:tcW w:w="10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3EDE" w:rsidRPr="00104989" w:rsidRDefault="00785020" w:rsidP="000F248E">
            <w:pPr>
              <w:snapToGrid w:val="0"/>
              <w:ind w:left="180"/>
              <w:jc w:val="left"/>
              <w:rPr>
                <w:rFonts w:asciiTheme="minorHAnsi" w:eastAsia="Batang" w:hAnsiTheme="minorHAnsi" w:cstheme="minorHAnsi"/>
                <w:b/>
                <w:color w:val="17365D" w:themeColor="text2" w:themeShade="BF"/>
              </w:rPr>
            </w:pPr>
            <w:r w:rsidRPr="00104989">
              <w:rPr>
                <w:rFonts w:asciiTheme="minorHAnsi" w:eastAsia="Batang" w:hAnsiTheme="minorHAnsi" w:cstheme="minorHAnsi"/>
                <w:b/>
                <w:color w:val="17365D" w:themeColor="text2" w:themeShade="BF"/>
              </w:rPr>
              <w:t>5</w:t>
            </w:r>
            <w:r w:rsidR="00883EDE" w:rsidRPr="00104989">
              <w:rPr>
                <w:rFonts w:asciiTheme="minorHAnsi" w:eastAsia="Batang" w:hAnsiTheme="minorHAnsi" w:cstheme="minorHAnsi"/>
                <w:b/>
                <w:color w:val="17365D" w:themeColor="text2" w:themeShade="BF"/>
              </w:rPr>
              <w:t xml:space="preserve">. </w:t>
            </w:r>
            <w:proofErr w:type="spellStart"/>
            <w:r w:rsidR="000F248E" w:rsidRPr="00104989">
              <w:rPr>
                <w:rFonts w:asciiTheme="minorHAnsi" w:eastAsia="Batang" w:hAnsiTheme="minorHAnsi" w:cstheme="minorHAnsi"/>
                <w:b/>
                <w:color w:val="17365D" w:themeColor="text2" w:themeShade="BF"/>
              </w:rPr>
              <w:t>E</w:t>
            </w:r>
            <w:r w:rsidR="00FA0FB8" w:rsidRPr="00104989">
              <w:rPr>
                <w:rFonts w:asciiTheme="minorHAnsi" w:hAnsiTheme="minorHAnsi" w:cstheme="minorHAnsi"/>
                <w:b/>
                <w:color w:val="17365D" w:themeColor="text2" w:themeShade="BF"/>
              </w:rPr>
              <w:t>xamples</w:t>
            </w:r>
            <w:proofErr w:type="spellEnd"/>
            <w:r w:rsidR="00FA0FB8" w:rsidRPr="00104989">
              <w:rPr>
                <w:rFonts w:asciiTheme="minorHAnsi" w:hAnsiTheme="minorHAnsi" w:cstheme="minorHAnsi"/>
                <w:b/>
                <w:color w:val="17365D" w:themeColor="text2" w:themeShade="BF"/>
              </w:rPr>
              <w:t xml:space="preserve"> of </w:t>
            </w:r>
            <w:proofErr w:type="spellStart"/>
            <w:r w:rsidR="00FA0FB8" w:rsidRPr="00104989">
              <w:rPr>
                <w:rFonts w:asciiTheme="minorHAnsi" w:hAnsiTheme="minorHAnsi" w:cstheme="minorHAnsi"/>
                <w:b/>
                <w:color w:val="17365D" w:themeColor="text2" w:themeShade="BF"/>
              </w:rPr>
              <w:t>environmental</w:t>
            </w:r>
            <w:proofErr w:type="spellEnd"/>
            <w:r w:rsidR="00FA0FB8" w:rsidRPr="00104989">
              <w:rPr>
                <w:rFonts w:asciiTheme="minorHAnsi" w:hAnsiTheme="minorHAnsi" w:cstheme="minorHAnsi"/>
                <w:b/>
                <w:color w:val="17365D" w:themeColor="text2" w:themeShade="BF"/>
              </w:rPr>
              <w:t xml:space="preserve"> and social </w:t>
            </w:r>
            <w:proofErr w:type="spellStart"/>
            <w:r w:rsidR="00FA0FB8" w:rsidRPr="00104989">
              <w:rPr>
                <w:rFonts w:asciiTheme="minorHAnsi" w:hAnsiTheme="minorHAnsi" w:cstheme="minorHAnsi"/>
                <w:b/>
                <w:color w:val="17365D" w:themeColor="text2" w:themeShade="BF"/>
              </w:rPr>
              <w:t>assessment</w:t>
            </w:r>
            <w:proofErr w:type="spellEnd"/>
            <w:r w:rsidR="00FA0FB8" w:rsidRPr="00104989">
              <w:rPr>
                <w:rFonts w:asciiTheme="minorHAnsi" w:hAnsiTheme="minorHAnsi" w:cstheme="minorHAnsi"/>
                <w:b/>
                <w:color w:val="17365D" w:themeColor="text2" w:themeShade="BF"/>
              </w:rPr>
              <w:t xml:space="preserve"> and </w:t>
            </w:r>
            <w:proofErr w:type="spellStart"/>
            <w:r w:rsidR="00FA0FB8" w:rsidRPr="00104989">
              <w:rPr>
                <w:rFonts w:asciiTheme="minorHAnsi" w:hAnsiTheme="minorHAnsi" w:cstheme="minorHAnsi"/>
                <w:b/>
                <w:color w:val="17365D" w:themeColor="text2" w:themeShade="BF"/>
              </w:rPr>
              <w:t>risk</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management</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approaches</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used</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by</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either</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public</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or</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private</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institutions</w:t>
            </w:r>
            <w:proofErr w:type="spellEnd"/>
            <w:r w:rsidR="00FA0FB8" w:rsidRPr="00104989">
              <w:rPr>
                <w:rFonts w:asciiTheme="minorHAnsi" w:hAnsiTheme="minorHAnsi" w:cstheme="minorHAnsi"/>
                <w:b/>
                <w:color w:val="17365D" w:themeColor="text2" w:themeShade="BF"/>
              </w:rPr>
              <w:t xml:space="preserve">) </w:t>
            </w:r>
            <w:proofErr w:type="spellStart"/>
            <w:r w:rsidR="000F248E" w:rsidRPr="00104989">
              <w:rPr>
                <w:rFonts w:asciiTheme="minorHAnsi" w:hAnsiTheme="minorHAnsi" w:cstheme="minorHAnsi"/>
                <w:b/>
                <w:color w:val="17365D" w:themeColor="text2" w:themeShade="BF"/>
              </w:rPr>
              <w:t>that</w:t>
            </w:r>
            <w:proofErr w:type="spellEnd"/>
            <w:r w:rsidR="000F248E" w:rsidRPr="00104989">
              <w:rPr>
                <w:rFonts w:asciiTheme="minorHAnsi" w:hAnsiTheme="minorHAnsi" w:cstheme="minorHAnsi"/>
                <w:b/>
                <w:color w:val="17365D" w:themeColor="text2" w:themeShade="BF"/>
              </w:rPr>
              <w:t xml:space="preserve"> </w:t>
            </w:r>
            <w:proofErr w:type="spellStart"/>
            <w:r w:rsidR="000F248E" w:rsidRPr="00104989">
              <w:rPr>
                <w:rFonts w:asciiTheme="minorHAnsi" w:hAnsiTheme="minorHAnsi" w:cstheme="minorHAnsi"/>
                <w:b/>
                <w:color w:val="17365D" w:themeColor="text2" w:themeShade="BF"/>
              </w:rPr>
              <w:t>the</w:t>
            </w:r>
            <w:proofErr w:type="spellEnd"/>
            <w:r w:rsidR="000F248E" w:rsidRPr="00104989">
              <w:rPr>
                <w:rFonts w:asciiTheme="minorHAnsi" w:hAnsiTheme="minorHAnsi" w:cstheme="minorHAnsi"/>
                <w:b/>
                <w:color w:val="17365D" w:themeColor="text2" w:themeShade="BF"/>
              </w:rPr>
              <w:t xml:space="preserve"> </w:t>
            </w:r>
            <w:proofErr w:type="spellStart"/>
            <w:r w:rsidR="000F248E" w:rsidRPr="00104989">
              <w:rPr>
                <w:rFonts w:asciiTheme="minorHAnsi" w:hAnsiTheme="minorHAnsi" w:cstheme="minorHAnsi"/>
                <w:b/>
                <w:color w:val="17365D" w:themeColor="text2" w:themeShade="BF"/>
              </w:rPr>
              <w:t>review</w:t>
            </w:r>
            <w:proofErr w:type="spellEnd"/>
            <w:r w:rsidR="000F248E" w:rsidRPr="00104989">
              <w:rPr>
                <w:rFonts w:asciiTheme="minorHAnsi" w:hAnsiTheme="minorHAnsi" w:cstheme="minorHAnsi"/>
                <w:b/>
                <w:color w:val="17365D" w:themeColor="text2" w:themeShade="BF"/>
              </w:rPr>
              <w:t xml:space="preserve"> </w:t>
            </w:r>
            <w:proofErr w:type="spellStart"/>
            <w:r w:rsidR="000F248E" w:rsidRPr="00104989">
              <w:rPr>
                <w:rFonts w:asciiTheme="minorHAnsi" w:hAnsiTheme="minorHAnsi" w:cstheme="minorHAnsi"/>
                <w:b/>
                <w:color w:val="17365D" w:themeColor="text2" w:themeShade="BF"/>
              </w:rPr>
              <w:t>should</w:t>
            </w:r>
            <w:proofErr w:type="spellEnd"/>
            <w:r w:rsidR="000F248E" w:rsidRPr="00104989">
              <w:rPr>
                <w:rFonts w:asciiTheme="minorHAnsi" w:hAnsiTheme="minorHAnsi" w:cstheme="minorHAnsi"/>
                <w:b/>
                <w:color w:val="17365D" w:themeColor="text2" w:themeShade="BF"/>
              </w:rPr>
              <w:t xml:space="preserve"> </w:t>
            </w:r>
            <w:proofErr w:type="spellStart"/>
            <w:r w:rsidR="000F248E" w:rsidRPr="00104989">
              <w:rPr>
                <w:rFonts w:asciiTheme="minorHAnsi" w:hAnsiTheme="minorHAnsi" w:cstheme="minorHAnsi"/>
                <w:b/>
                <w:color w:val="17365D" w:themeColor="text2" w:themeShade="BF"/>
              </w:rPr>
              <w:t>take</w:t>
            </w:r>
            <w:proofErr w:type="spellEnd"/>
            <w:r w:rsidR="000F248E" w:rsidRPr="00104989">
              <w:rPr>
                <w:rFonts w:asciiTheme="minorHAnsi" w:hAnsiTheme="minorHAnsi" w:cstheme="minorHAnsi"/>
                <w:b/>
                <w:color w:val="17365D" w:themeColor="text2" w:themeShade="BF"/>
              </w:rPr>
              <w:t xml:space="preserve"> </w:t>
            </w:r>
            <w:proofErr w:type="spellStart"/>
            <w:r w:rsidR="000F248E" w:rsidRPr="00104989">
              <w:rPr>
                <w:rFonts w:asciiTheme="minorHAnsi" w:hAnsiTheme="minorHAnsi" w:cstheme="minorHAnsi"/>
                <w:b/>
                <w:color w:val="17365D" w:themeColor="text2" w:themeShade="BF"/>
              </w:rPr>
              <w:t>into</w:t>
            </w:r>
            <w:proofErr w:type="spellEnd"/>
            <w:r w:rsidR="000F248E" w:rsidRPr="00104989">
              <w:rPr>
                <w:rFonts w:asciiTheme="minorHAnsi" w:hAnsiTheme="minorHAnsi" w:cstheme="minorHAnsi"/>
                <w:b/>
                <w:color w:val="17365D" w:themeColor="text2" w:themeShade="BF"/>
              </w:rPr>
              <w:t xml:space="preserve"> </w:t>
            </w:r>
            <w:proofErr w:type="spellStart"/>
            <w:r w:rsidR="000F248E" w:rsidRPr="00104989">
              <w:rPr>
                <w:rFonts w:asciiTheme="minorHAnsi" w:hAnsiTheme="minorHAnsi" w:cstheme="minorHAnsi"/>
                <w:b/>
                <w:color w:val="17365D" w:themeColor="text2" w:themeShade="BF"/>
              </w:rPr>
              <w:t>consideration</w:t>
            </w:r>
            <w:proofErr w:type="spellEnd"/>
            <w:r w:rsidR="00FA0FB8" w:rsidRPr="00104989">
              <w:rPr>
                <w:rFonts w:asciiTheme="minorHAnsi" w:hAnsiTheme="minorHAnsi" w:cstheme="minorHAnsi"/>
                <w:b/>
                <w:color w:val="17365D" w:themeColor="text2" w:themeShade="BF"/>
              </w:rPr>
              <w:t>.</w:t>
            </w:r>
          </w:p>
        </w:tc>
      </w:tr>
      <w:tr w:rsidR="00391E63" w:rsidRPr="00104989" w:rsidTr="00B87E22">
        <w:tblPrEx>
          <w:tblCellMar>
            <w:left w:w="108" w:type="dxa"/>
            <w:right w:w="108" w:type="dxa"/>
          </w:tblCellMar>
        </w:tblPrEx>
        <w:trPr>
          <w:trHeight w:val="1007"/>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9D49FD" w:rsidRPr="00104989" w:rsidRDefault="009D49FD" w:rsidP="009D49FD">
            <w:pPr>
              <w:pStyle w:val="ListParagraph"/>
              <w:numPr>
                <w:ilvl w:val="0"/>
                <w:numId w:val="33"/>
              </w:numPr>
              <w:shd w:val="clear" w:color="auto" w:fill="FFFFFF"/>
              <w:suppressAutoHyphens w:val="0"/>
              <w:spacing w:after="0" w:line="245" w:lineRule="atLeast"/>
              <w:jc w:val="left"/>
              <w:rPr>
                <w:rFonts w:asciiTheme="minorHAnsi" w:hAnsiTheme="minorHAnsi"/>
                <w:kern w:val="0"/>
                <w:szCs w:val="24"/>
                <w:lang w:val="en-US" w:eastAsia="nl-BE" w:bidi="ar-SA"/>
              </w:rPr>
            </w:pPr>
            <w:r w:rsidRPr="00104989">
              <w:rPr>
                <w:rFonts w:asciiTheme="minorHAnsi" w:hAnsiTheme="minorHAnsi"/>
                <w:kern w:val="0"/>
                <w:szCs w:val="24"/>
                <w:lang w:val="en-US" w:eastAsia="nl-BE" w:bidi="ar-SA"/>
              </w:rPr>
              <w:t xml:space="preserve">New approaches to safeguards from the Asian Development Bank and African Development Bank should be looked </w:t>
            </w:r>
            <w:r w:rsidR="00846CF5" w:rsidRPr="00104989">
              <w:rPr>
                <w:rFonts w:asciiTheme="minorHAnsi" w:hAnsiTheme="minorHAnsi"/>
                <w:kern w:val="0"/>
                <w:szCs w:val="24"/>
                <w:lang w:val="en-US" w:eastAsia="nl-BE" w:bidi="ar-SA"/>
              </w:rPr>
              <w:t>at. In many places they are stronger and more comprehensively applied than those of the World Bank. Where this is the case, the Bank should harmonize its policies upward with these institutions.</w:t>
            </w:r>
          </w:p>
          <w:p w:rsidR="00033932" w:rsidRPr="00104989" w:rsidRDefault="00033932" w:rsidP="00033932">
            <w:pPr>
              <w:pStyle w:val="ListParagraph"/>
              <w:numPr>
                <w:ilvl w:val="0"/>
                <w:numId w:val="33"/>
              </w:numPr>
              <w:shd w:val="clear" w:color="auto" w:fill="FFFFFF"/>
              <w:suppressAutoHyphens w:val="0"/>
              <w:spacing w:after="0" w:line="245" w:lineRule="atLeast"/>
              <w:jc w:val="left"/>
              <w:rPr>
                <w:rFonts w:asciiTheme="minorHAnsi" w:hAnsiTheme="minorHAnsi"/>
                <w:kern w:val="0"/>
                <w:szCs w:val="24"/>
                <w:lang w:val="en-US" w:eastAsia="nl-BE" w:bidi="ar-SA"/>
              </w:rPr>
            </w:pPr>
            <w:r w:rsidRPr="00104989">
              <w:rPr>
                <w:rFonts w:asciiTheme="minorHAnsi" w:hAnsiTheme="minorHAnsi"/>
                <w:szCs w:val="24"/>
              </w:rPr>
              <w:t xml:space="preserve">A </w:t>
            </w:r>
            <w:proofErr w:type="spellStart"/>
            <w:r w:rsidRPr="00104989">
              <w:rPr>
                <w:rFonts w:asciiTheme="minorHAnsi" w:hAnsiTheme="minorHAnsi"/>
                <w:szCs w:val="24"/>
              </w:rPr>
              <w:t>number</w:t>
            </w:r>
            <w:proofErr w:type="spellEnd"/>
            <w:r w:rsidRPr="00104989">
              <w:rPr>
                <w:rFonts w:asciiTheme="minorHAnsi" w:hAnsiTheme="minorHAnsi"/>
                <w:szCs w:val="24"/>
              </w:rPr>
              <w:t xml:space="preserve"> of </w:t>
            </w:r>
            <w:proofErr w:type="spellStart"/>
            <w:r w:rsidRPr="00104989">
              <w:rPr>
                <w:rFonts w:asciiTheme="minorHAnsi" w:hAnsiTheme="minorHAnsi"/>
                <w:szCs w:val="24"/>
              </w:rPr>
              <w:t>governments</w:t>
            </w:r>
            <w:proofErr w:type="spellEnd"/>
            <w:r w:rsidRPr="00104989">
              <w:rPr>
                <w:rFonts w:asciiTheme="minorHAnsi" w:hAnsiTheme="minorHAnsi"/>
                <w:szCs w:val="24"/>
              </w:rPr>
              <w:t xml:space="preserve"> </w:t>
            </w:r>
            <w:proofErr w:type="spellStart"/>
            <w:r w:rsidRPr="00104989">
              <w:rPr>
                <w:rFonts w:asciiTheme="minorHAnsi" w:hAnsiTheme="minorHAnsi"/>
                <w:szCs w:val="24"/>
              </w:rPr>
              <w:t>around</w:t>
            </w:r>
            <w:proofErr w:type="spellEnd"/>
            <w:r w:rsidRPr="00104989">
              <w:rPr>
                <w:rFonts w:asciiTheme="minorHAnsi" w:hAnsiTheme="minorHAnsi"/>
                <w:szCs w:val="24"/>
              </w:rPr>
              <w:t xml:space="preserve"> </w:t>
            </w:r>
            <w:proofErr w:type="spellStart"/>
            <w:r w:rsidRPr="00104989">
              <w:rPr>
                <w:rFonts w:asciiTheme="minorHAnsi" w:hAnsiTheme="minorHAnsi"/>
                <w:szCs w:val="24"/>
              </w:rPr>
              <w:t>the</w:t>
            </w:r>
            <w:proofErr w:type="spellEnd"/>
            <w:r w:rsidRPr="00104989">
              <w:rPr>
                <w:rFonts w:asciiTheme="minorHAnsi" w:hAnsiTheme="minorHAnsi"/>
                <w:szCs w:val="24"/>
              </w:rPr>
              <w:t xml:space="preserve"> </w:t>
            </w:r>
            <w:proofErr w:type="spellStart"/>
            <w:r w:rsidRPr="00104989">
              <w:rPr>
                <w:rFonts w:asciiTheme="minorHAnsi" w:hAnsiTheme="minorHAnsi"/>
                <w:szCs w:val="24"/>
              </w:rPr>
              <w:t>world</w:t>
            </w:r>
            <w:proofErr w:type="spellEnd"/>
            <w:r w:rsidRPr="00104989">
              <w:rPr>
                <w:rFonts w:asciiTheme="minorHAnsi" w:hAnsiTheme="minorHAnsi"/>
                <w:szCs w:val="24"/>
              </w:rPr>
              <w:t xml:space="preserve"> </w:t>
            </w:r>
            <w:proofErr w:type="spellStart"/>
            <w:r w:rsidRPr="00104989">
              <w:rPr>
                <w:rFonts w:asciiTheme="minorHAnsi" w:hAnsiTheme="minorHAnsi"/>
                <w:szCs w:val="24"/>
              </w:rPr>
              <w:t>apply</w:t>
            </w:r>
            <w:proofErr w:type="spellEnd"/>
            <w:r w:rsidRPr="00104989">
              <w:rPr>
                <w:rFonts w:asciiTheme="minorHAnsi" w:hAnsiTheme="minorHAnsi"/>
                <w:szCs w:val="24"/>
              </w:rPr>
              <w:t xml:space="preserve"> </w:t>
            </w:r>
            <w:proofErr w:type="spellStart"/>
            <w:r w:rsidRPr="00104989">
              <w:rPr>
                <w:rFonts w:asciiTheme="minorHAnsi" w:hAnsiTheme="minorHAnsi"/>
                <w:szCs w:val="24"/>
              </w:rPr>
              <w:t>their</w:t>
            </w:r>
            <w:proofErr w:type="spellEnd"/>
            <w:r w:rsidRPr="00104989">
              <w:rPr>
                <w:rFonts w:asciiTheme="minorHAnsi" w:hAnsiTheme="minorHAnsi"/>
                <w:szCs w:val="24"/>
              </w:rPr>
              <w:t xml:space="preserve"> </w:t>
            </w:r>
            <w:proofErr w:type="spellStart"/>
            <w:r w:rsidRPr="00104989">
              <w:rPr>
                <w:rFonts w:asciiTheme="minorHAnsi" w:hAnsiTheme="minorHAnsi"/>
                <w:szCs w:val="24"/>
              </w:rPr>
              <w:t>environmental</w:t>
            </w:r>
            <w:proofErr w:type="spellEnd"/>
            <w:r w:rsidRPr="00104989">
              <w:rPr>
                <w:rFonts w:asciiTheme="minorHAnsi" w:hAnsiTheme="minorHAnsi"/>
                <w:szCs w:val="24"/>
              </w:rPr>
              <w:t xml:space="preserve"> and social </w:t>
            </w:r>
            <w:proofErr w:type="spellStart"/>
            <w:r w:rsidRPr="00104989">
              <w:rPr>
                <w:rFonts w:asciiTheme="minorHAnsi" w:hAnsiTheme="minorHAnsi"/>
                <w:szCs w:val="24"/>
              </w:rPr>
              <w:t>assessment</w:t>
            </w:r>
            <w:proofErr w:type="spellEnd"/>
            <w:r w:rsidRPr="00104989">
              <w:rPr>
                <w:rFonts w:asciiTheme="minorHAnsi" w:hAnsiTheme="minorHAnsi"/>
                <w:szCs w:val="24"/>
              </w:rPr>
              <w:t xml:space="preserve"> </w:t>
            </w:r>
            <w:proofErr w:type="spellStart"/>
            <w:r w:rsidRPr="00104989">
              <w:rPr>
                <w:rFonts w:asciiTheme="minorHAnsi" w:hAnsiTheme="minorHAnsi"/>
                <w:szCs w:val="24"/>
              </w:rPr>
              <w:t>requirements</w:t>
            </w:r>
            <w:proofErr w:type="spellEnd"/>
            <w:r w:rsidRPr="00104989">
              <w:rPr>
                <w:rFonts w:asciiTheme="minorHAnsi" w:hAnsiTheme="minorHAnsi"/>
                <w:szCs w:val="24"/>
              </w:rPr>
              <w:t xml:space="preserve"> </w:t>
            </w:r>
            <w:proofErr w:type="spellStart"/>
            <w:r w:rsidRPr="00104989">
              <w:rPr>
                <w:rFonts w:asciiTheme="minorHAnsi" w:hAnsiTheme="minorHAnsi"/>
                <w:szCs w:val="24"/>
              </w:rPr>
              <w:t>not</w:t>
            </w:r>
            <w:proofErr w:type="spellEnd"/>
            <w:r w:rsidRPr="00104989">
              <w:rPr>
                <w:rFonts w:asciiTheme="minorHAnsi" w:hAnsiTheme="minorHAnsi"/>
                <w:szCs w:val="24"/>
              </w:rPr>
              <w:t xml:space="preserve"> </w:t>
            </w:r>
            <w:proofErr w:type="spellStart"/>
            <w:r w:rsidRPr="00104989">
              <w:rPr>
                <w:rFonts w:asciiTheme="minorHAnsi" w:hAnsiTheme="minorHAnsi"/>
                <w:szCs w:val="24"/>
              </w:rPr>
              <w:t>only</w:t>
            </w:r>
            <w:proofErr w:type="spellEnd"/>
            <w:r w:rsidRPr="00104989">
              <w:rPr>
                <w:rFonts w:asciiTheme="minorHAnsi" w:hAnsiTheme="minorHAnsi"/>
                <w:szCs w:val="24"/>
              </w:rPr>
              <w:t xml:space="preserve"> </w:t>
            </w:r>
            <w:proofErr w:type="spellStart"/>
            <w:r w:rsidRPr="00104989">
              <w:rPr>
                <w:rFonts w:asciiTheme="minorHAnsi" w:hAnsiTheme="minorHAnsi"/>
                <w:szCs w:val="24"/>
              </w:rPr>
              <w:t>to</w:t>
            </w:r>
            <w:proofErr w:type="spellEnd"/>
            <w:r w:rsidRPr="00104989">
              <w:rPr>
                <w:rFonts w:asciiTheme="minorHAnsi" w:hAnsiTheme="minorHAnsi"/>
                <w:szCs w:val="24"/>
              </w:rPr>
              <w:t xml:space="preserve"> </w:t>
            </w:r>
            <w:proofErr w:type="spellStart"/>
            <w:r w:rsidRPr="00104989">
              <w:rPr>
                <w:rFonts w:asciiTheme="minorHAnsi" w:hAnsiTheme="minorHAnsi"/>
                <w:szCs w:val="24"/>
              </w:rPr>
              <w:t>investment</w:t>
            </w:r>
            <w:proofErr w:type="spellEnd"/>
            <w:r w:rsidRPr="00104989">
              <w:rPr>
                <w:rFonts w:asciiTheme="minorHAnsi" w:hAnsiTheme="minorHAnsi"/>
                <w:szCs w:val="24"/>
              </w:rPr>
              <w:t xml:space="preserve"> </w:t>
            </w:r>
            <w:proofErr w:type="spellStart"/>
            <w:r w:rsidRPr="00104989">
              <w:rPr>
                <w:rFonts w:asciiTheme="minorHAnsi" w:hAnsiTheme="minorHAnsi"/>
                <w:szCs w:val="24"/>
              </w:rPr>
              <w:t>projects</w:t>
            </w:r>
            <w:proofErr w:type="spellEnd"/>
            <w:r w:rsidRPr="00104989">
              <w:rPr>
                <w:rFonts w:asciiTheme="minorHAnsi" w:hAnsiTheme="minorHAnsi"/>
                <w:szCs w:val="24"/>
              </w:rPr>
              <w:t xml:space="preserve">, </w:t>
            </w:r>
            <w:proofErr w:type="spellStart"/>
            <w:r w:rsidRPr="00104989">
              <w:rPr>
                <w:rFonts w:asciiTheme="minorHAnsi" w:hAnsiTheme="minorHAnsi"/>
                <w:szCs w:val="24"/>
              </w:rPr>
              <w:t>but</w:t>
            </w:r>
            <w:proofErr w:type="spellEnd"/>
            <w:r w:rsidRPr="00104989">
              <w:rPr>
                <w:rFonts w:asciiTheme="minorHAnsi" w:hAnsiTheme="minorHAnsi"/>
                <w:szCs w:val="24"/>
              </w:rPr>
              <w:t xml:space="preserve"> </w:t>
            </w:r>
            <w:proofErr w:type="spellStart"/>
            <w:r w:rsidRPr="00104989">
              <w:rPr>
                <w:rFonts w:asciiTheme="minorHAnsi" w:hAnsiTheme="minorHAnsi"/>
                <w:szCs w:val="24"/>
              </w:rPr>
              <w:t>also</w:t>
            </w:r>
            <w:proofErr w:type="spellEnd"/>
            <w:r w:rsidRPr="00104989">
              <w:rPr>
                <w:rFonts w:asciiTheme="minorHAnsi" w:hAnsiTheme="minorHAnsi"/>
                <w:szCs w:val="24"/>
              </w:rPr>
              <w:t xml:space="preserve"> </w:t>
            </w:r>
            <w:proofErr w:type="spellStart"/>
            <w:r w:rsidRPr="00104989">
              <w:rPr>
                <w:rFonts w:asciiTheme="minorHAnsi" w:hAnsiTheme="minorHAnsi"/>
                <w:szCs w:val="24"/>
              </w:rPr>
              <w:t>to</w:t>
            </w:r>
            <w:proofErr w:type="spellEnd"/>
            <w:r w:rsidRPr="00104989">
              <w:rPr>
                <w:rFonts w:asciiTheme="minorHAnsi" w:hAnsiTheme="minorHAnsi"/>
                <w:szCs w:val="24"/>
              </w:rPr>
              <w:t xml:space="preserve"> </w:t>
            </w:r>
            <w:proofErr w:type="spellStart"/>
            <w:r w:rsidRPr="00104989">
              <w:rPr>
                <w:rFonts w:asciiTheme="minorHAnsi" w:hAnsiTheme="minorHAnsi"/>
                <w:szCs w:val="24"/>
              </w:rPr>
              <w:t>decisions</w:t>
            </w:r>
            <w:proofErr w:type="spellEnd"/>
            <w:r w:rsidRPr="00104989">
              <w:rPr>
                <w:rFonts w:asciiTheme="minorHAnsi" w:hAnsiTheme="minorHAnsi"/>
                <w:szCs w:val="24"/>
              </w:rPr>
              <w:t xml:space="preserve"> </w:t>
            </w:r>
            <w:proofErr w:type="spellStart"/>
            <w:r w:rsidRPr="00104989">
              <w:rPr>
                <w:rFonts w:asciiTheme="minorHAnsi" w:hAnsiTheme="minorHAnsi"/>
                <w:szCs w:val="24"/>
              </w:rPr>
              <w:t>related</w:t>
            </w:r>
            <w:proofErr w:type="spellEnd"/>
            <w:r w:rsidRPr="00104989">
              <w:rPr>
                <w:rFonts w:asciiTheme="minorHAnsi" w:hAnsiTheme="minorHAnsi"/>
                <w:szCs w:val="24"/>
              </w:rPr>
              <w:t xml:space="preserve"> </w:t>
            </w:r>
            <w:proofErr w:type="spellStart"/>
            <w:r w:rsidRPr="00104989">
              <w:rPr>
                <w:rFonts w:asciiTheme="minorHAnsi" w:hAnsiTheme="minorHAnsi"/>
                <w:szCs w:val="24"/>
              </w:rPr>
              <w:t>to</w:t>
            </w:r>
            <w:proofErr w:type="spellEnd"/>
            <w:r w:rsidRPr="00104989">
              <w:rPr>
                <w:rFonts w:asciiTheme="minorHAnsi" w:hAnsiTheme="minorHAnsi"/>
                <w:szCs w:val="24"/>
              </w:rPr>
              <w:t xml:space="preserve"> </w:t>
            </w:r>
            <w:proofErr w:type="spellStart"/>
            <w:r w:rsidRPr="00104989">
              <w:rPr>
                <w:rFonts w:asciiTheme="minorHAnsi" w:hAnsiTheme="minorHAnsi"/>
                <w:szCs w:val="24"/>
              </w:rPr>
              <w:t>policy</w:t>
            </w:r>
            <w:proofErr w:type="spellEnd"/>
            <w:r w:rsidRPr="00104989">
              <w:rPr>
                <w:rFonts w:asciiTheme="minorHAnsi" w:hAnsiTheme="minorHAnsi"/>
                <w:szCs w:val="24"/>
              </w:rPr>
              <w:t xml:space="preserve"> </w:t>
            </w:r>
            <w:proofErr w:type="spellStart"/>
            <w:r w:rsidRPr="00104989">
              <w:rPr>
                <w:rFonts w:asciiTheme="minorHAnsi" w:hAnsiTheme="minorHAnsi"/>
                <w:szCs w:val="24"/>
              </w:rPr>
              <w:t>changes</w:t>
            </w:r>
            <w:proofErr w:type="spellEnd"/>
            <w:r w:rsidRPr="00104989">
              <w:rPr>
                <w:rFonts w:asciiTheme="minorHAnsi" w:hAnsiTheme="minorHAnsi"/>
                <w:szCs w:val="24"/>
              </w:rPr>
              <w:t xml:space="preserve">, </w:t>
            </w:r>
            <w:proofErr w:type="spellStart"/>
            <w:r w:rsidRPr="00104989">
              <w:rPr>
                <w:rFonts w:asciiTheme="minorHAnsi" w:hAnsiTheme="minorHAnsi"/>
                <w:szCs w:val="24"/>
              </w:rPr>
              <w:t>programs</w:t>
            </w:r>
            <w:proofErr w:type="spellEnd"/>
            <w:r w:rsidRPr="00104989">
              <w:rPr>
                <w:rFonts w:asciiTheme="minorHAnsi" w:hAnsiTheme="minorHAnsi"/>
                <w:szCs w:val="24"/>
              </w:rPr>
              <w:t xml:space="preserve">, and </w:t>
            </w:r>
            <w:proofErr w:type="spellStart"/>
            <w:r w:rsidRPr="00104989">
              <w:rPr>
                <w:rFonts w:asciiTheme="minorHAnsi" w:hAnsiTheme="minorHAnsi"/>
                <w:szCs w:val="24"/>
              </w:rPr>
              <w:t>planning</w:t>
            </w:r>
            <w:proofErr w:type="spellEnd"/>
            <w:r w:rsidR="00026FE3">
              <w:rPr>
                <w:rFonts w:asciiTheme="minorHAnsi" w:hAnsiTheme="minorHAnsi"/>
                <w:szCs w:val="24"/>
              </w:rPr>
              <w:t>.</w:t>
            </w:r>
          </w:p>
          <w:p w:rsidR="00391E63" w:rsidRPr="00104989" w:rsidRDefault="009D49FD" w:rsidP="00033932">
            <w:pPr>
              <w:pStyle w:val="ListParagraph"/>
              <w:numPr>
                <w:ilvl w:val="0"/>
                <w:numId w:val="33"/>
              </w:numPr>
              <w:shd w:val="clear" w:color="auto" w:fill="FFFFFF"/>
              <w:suppressAutoHyphens w:val="0"/>
              <w:spacing w:after="0" w:line="245" w:lineRule="atLeast"/>
              <w:jc w:val="left"/>
              <w:rPr>
                <w:rFonts w:asciiTheme="minorHAnsi" w:hAnsiTheme="minorHAnsi"/>
                <w:kern w:val="0"/>
                <w:szCs w:val="24"/>
                <w:lang w:val="en-US" w:eastAsia="nl-BE" w:bidi="ar-SA"/>
              </w:rPr>
            </w:pPr>
            <w:r w:rsidRPr="00104989">
              <w:rPr>
                <w:rFonts w:asciiTheme="minorHAnsi" w:hAnsiTheme="minorHAnsi"/>
                <w:kern w:val="0"/>
                <w:szCs w:val="24"/>
                <w:lang w:val="en-US" w:eastAsia="nl-BE" w:bidi="ar-SA"/>
              </w:rPr>
              <w:t>E</w:t>
            </w:r>
            <w:r w:rsidR="00C45633" w:rsidRPr="00104989">
              <w:rPr>
                <w:rFonts w:asciiTheme="minorHAnsi" w:hAnsiTheme="minorHAnsi"/>
                <w:kern w:val="0"/>
                <w:szCs w:val="24"/>
                <w:lang w:val="en-US" w:eastAsia="nl-BE" w:bidi="ar-SA"/>
              </w:rPr>
              <w:t>xis</w:t>
            </w:r>
            <w:r w:rsidR="00025F91" w:rsidRPr="00104989">
              <w:rPr>
                <w:rFonts w:asciiTheme="minorHAnsi" w:hAnsiTheme="minorHAnsi"/>
                <w:kern w:val="0"/>
                <w:szCs w:val="24"/>
                <w:lang w:val="en-US" w:eastAsia="nl-BE" w:bidi="ar-SA"/>
              </w:rPr>
              <w:t>ting U</w:t>
            </w:r>
            <w:r w:rsidR="00482CE6">
              <w:rPr>
                <w:rFonts w:asciiTheme="minorHAnsi" w:hAnsiTheme="minorHAnsi"/>
                <w:kern w:val="0"/>
                <w:szCs w:val="24"/>
                <w:lang w:val="en-US" w:eastAsia="nl-BE" w:bidi="ar-SA"/>
              </w:rPr>
              <w:t>nited Nations (UN)</w:t>
            </w:r>
            <w:r w:rsidR="00025F91" w:rsidRPr="00104989">
              <w:rPr>
                <w:rFonts w:asciiTheme="minorHAnsi" w:hAnsiTheme="minorHAnsi"/>
                <w:kern w:val="0"/>
                <w:szCs w:val="24"/>
                <w:lang w:val="en-US" w:eastAsia="nl-BE" w:bidi="ar-SA"/>
              </w:rPr>
              <w:t xml:space="preserve"> treaties and conventions</w:t>
            </w:r>
            <w:r w:rsidR="00C45633" w:rsidRPr="00104989">
              <w:rPr>
                <w:rFonts w:asciiTheme="minorHAnsi" w:hAnsiTheme="minorHAnsi"/>
                <w:kern w:val="0"/>
                <w:szCs w:val="24"/>
                <w:lang w:val="en-US" w:eastAsia="nl-BE" w:bidi="ar-SA"/>
              </w:rPr>
              <w:t xml:space="preserve"> that are relevant</w:t>
            </w:r>
            <w:r w:rsidRPr="00104989">
              <w:rPr>
                <w:rFonts w:asciiTheme="minorHAnsi" w:hAnsiTheme="minorHAnsi"/>
                <w:kern w:val="0"/>
                <w:szCs w:val="24"/>
                <w:lang w:val="en-US" w:eastAsia="nl-BE" w:bidi="ar-SA"/>
              </w:rPr>
              <w:t xml:space="preserve"> to safeguard polices should be examined and possibly incorporated</w:t>
            </w:r>
            <w:r w:rsidR="00452A11" w:rsidRPr="00104989">
              <w:rPr>
                <w:rFonts w:asciiTheme="minorHAnsi" w:hAnsiTheme="minorHAnsi"/>
                <w:kern w:val="0"/>
                <w:szCs w:val="24"/>
                <w:lang w:val="en-US" w:eastAsia="nl-BE" w:bidi="ar-SA"/>
              </w:rPr>
              <w:t>.</w:t>
            </w:r>
          </w:p>
          <w:p w:rsidR="00025F91" w:rsidRPr="00104989" w:rsidRDefault="00482CE6" w:rsidP="00026FE3">
            <w:pPr>
              <w:pStyle w:val="ListParagraph"/>
              <w:numPr>
                <w:ilvl w:val="0"/>
                <w:numId w:val="33"/>
              </w:numPr>
              <w:shd w:val="clear" w:color="auto" w:fill="FFFFFF"/>
              <w:suppressAutoHyphens w:val="0"/>
              <w:spacing w:after="0" w:line="245" w:lineRule="atLeast"/>
              <w:jc w:val="left"/>
              <w:rPr>
                <w:rFonts w:asciiTheme="minorHAnsi" w:hAnsiTheme="minorHAnsi"/>
                <w:color w:val="444444"/>
                <w:kern w:val="0"/>
                <w:lang w:val="en-US" w:eastAsia="nl-BE" w:bidi="ar-SA"/>
              </w:rPr>
            </w:pPr>
            <w:r>
              <w:rPr>
                <w:rFonts w:asciiTheme="minorHAnsi" w:hAnsiTheme="minorHAnsi" w:cs="Calibri"/>
                <w:kern w:val="0"/>
                <w:szCs w:val="24"/>
                <w:lang w:val="en-US" w:eastAsia="en-US" w:bidi="ar-SA"/>
              </w:rPr>
              <w:t>P</w:t>
            </w:r>
            <w:r w:rsidRPr="00104989">
              <w:rPr>
                <w:rFonts w:asciiTheme="minorHAnsi" w:hAnsiTheme="minorHAnsi" w:cs="Calibri"/>
                <w:kern w:val="0"/>
                <w:szCs w:val="24"/>
                <w:lang w:val="en-US" w:eastAsia="en-US" w:bidi="ar-SA"/>
              </w:rPr>
              <w:t xml:space="preserve">rocedures </w:t>
            </w:r>
            <w:r>
              <w:rPr>
                <w:rFonts w:asciiTheme="minorHAnsi" w:hAnsiTheme="minorHAnsi" w:cs="Calibri"/>
                <w:kern w:val="0"/>
                <w:szCs w:val="24"/>
                <w:lang w:val="en-US" w:eastAsia="en-US" w:bidi="ar-SA"/>
              </w:rPr>
              <w:t xml:space="preserve">for both </w:t>
            </w:r>
            <w:r w:rsidR="00025F91" w:rsidRPr="00104989">
              <w:rPr>
                <w:rFonts w:asciiTheme="minorHAnsi" w:hAnsiTheme="minorHAnsi" w:cs="Calibri"/>
                <w:kern w:val="0"/>
                <w:szCs w:val="24"/>
                <w:lang w:val="en-US" w:eastAsia="en-US" w:bidi="ar-SA"/>
              </w:rPr>
              <w:t>S</w:t>
            </w:r>
            <w:r>
              <w:rPr>
                <w:rFonts w:asciiTheme="minorHAnsi" w:hAnsiTheme="minorHAnsi" w:cs="Calibri"/>
                <w:kern w:val="0"/>
                <w:szCs w:val="24"/>
                <w:lang w:val="en-US" w:eastAsia="en-US" w:bidi="ar-SA"/>
              </w:rPr>
              <w:t>ocial Analysis and Environment</w:t>
            </w:r>
            <w:r w:rsidR="00026FE3">
              <w:rPr>
                <w:rFonts w:asciiTheme="minorHAnsi" w:hAnsiTheme="minorHAnsi" w:cs="Calibri"/>
                <w:kern w:val="0"/>
                <w:szCs w:val="24"/>
                <w:lang w:val="en-US" w:eastAsia="en-US" w:bidi="ar-SA"/>
              </w:rPr>
              <w:t>al</w:t>
            </w:r>
            <w:r>
              <w:rPr>
                <w:rFonts w:asciiTheme="minorHAnsi" w:hAnsiTheme="minorHAnsi" w:cs="Calibri"/>
                <w:kern w:val="0"/>
                <w:szCs w:val="24"/>
                <w:lang w:val="en-US" w:eastAsia="en-US" w:bidi="ar-SA"/>
              </w:rPr>
              <w:t xml:space="preserve"> Impact Assessment </w:t>
            </w:r>
            <w:r w:rsidR="00025F91" w:rsidRPr="00104989">
              <w:rPr>
                <w:rFonts w:asciiTheme="minorHAnsi" w:hAnsiTheme="minorHAnsi" w:cs="Calibri"/>
                <w:kern w:val="0"/>
                <w:szCs w:val="24"/>
                <w:lang w:val="en-US" w:eastAsia="en-US" w:bidi="ar-SA"/>
              </w:rPr>
              <w:t>need to reflect the most up to date thinking and guidance.</w:t>
            </w:r>
          </w:p>
        </w:tc>
      </w:tr>
      <w:tr w:rsidR="00883EDE" w:rsidRPr="00104989" w:rsidTr="00B87E22">
        <w:trPr>
          <w:trHeight w:val="70"/>
          <w:jc w:val="center"/>
        </w:trPr>
        <w:tc>
          <w:tcPr>
            <w:tcW w:w="10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2B92" w:rsidRDefault="00785020" w:rsidP="00B87E22">
            <w:pPr>
              <w:snapToGrid w:val="0"/>
              <w:ind w:left="180"/>
              <w:jc w:val="left"/>
              <w:rPr>
                <w:rFonts w:asciiTheme="minorHAnsi" w:hAnsiTheme="minorHAnsi" w:cstheme="minorHAnsi"/>
                <w:color w:val="000000"/>
                <w:sz w:val="20"/>
                <w:szCs w:val="20"/>
              </w:rPr>
            </w:pPr>
            <w:r w:rsidRPr="00104989">
              <w:rPr>
                <w:rFonts w:asciiTheme="minorHAnsi" w:eastAsia="Batang" w:hAnsiTheme="minorHAnsi" w:cstheme="minorHAnsi"/>
                <w:b/>
                <w:color w:val="17365D" w:themeColor="text2" w:themeShade="BF"/>
              </w:rPr>
              <w:t>6</w:t>
            </w:r>
            <w:r w:rsidR="00FA0FB8" w:rsidRPr="00104989">
              <w:rPr>
                <w:rFonts w:asciiTheme="minorHAnsi" w:eastAsia="Batang"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Recommendations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with</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respect</w:t>
            </w:r>
            <w:proofErr w:type="spellEnd"/>
            <w:r w:rsidR="004D059D" w:rsidRPr="00104989">
              <w:rPr>
                <w:rFonts w:asciiTheme="minorHAnsi" w:hAnsiTheme="minorHAnsi" w:cstheme="minorHAnsi"/>
                <w:b/>
                <w:color w:val="17365D" w:themeColor="text2" w:themeShade="BF"/>
              </w:rPr>
              <w:t xml:space="preserve"> of </w:t>
            </w:r>
            <w:proofErr w:type="spellStart"/>
            <w:r w:rsidR="004D059D" w:rsidRPr="00104989">
              <w:rPr>
                <w:rFonts w:asciiTheme="minorHAnsi" w:hAnsiTheme="minorHAnsi" w:cstheme="minorHAnsi"/>
                <w:b/>
                <w:color w:val="17365D" w:themeColor="text2" w:themeShade="BF"/>
              </w:rPr>
              <w:t>any</w:t>
            </w:r>
            <w:proofErr w:type="spellEnd"/>
            <w:r w:rsidR="004D059D" w:rsidRPr="00104989">
              <w:rPr>
                <w:rFonts w:asciiTheme="minorHAnsi" w:hAnsiTheme="minorHAnsi" w:cstheme="minorHAnsi"/>
                <w:b/>
                <w:color w:val="17365D" w:themeColor="text2" w:themeShade="BF"/>
              </w:rPr>
              <w:t xml:space="preserve"> of </w:t>
            </w:r>
            <w:proofErr w:type="spellStart"/>
            <w:r w:rsidR="004D059D" w:rsidRPr="00104989">
              <w:rPr>
                <w:rFonts w:asciiTheme="minorHAnsi" w:hAnsiTheme="minorHAnsi" w:cstheme="minorHAnsi"/>
                <w:b/>
                <w:color w:val="17365D" w:themeColor="text2" w:themeShade="BF"/>
              </w:rPr>
              <w:t>the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emerging</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areas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described</w:t>
            </w:r>
            <w:proofErr w:type="spellEnd"/>
            <w:r w:rsidR="004D059D" w:rsidRPr="00104989">
              <w:rPr>
                <w:rFonts w:asciiTheme="minorHAnsi" w:hAnsiTheme="minorHAnsi" w:cstheme="minorHAnsi"/>
                <w:b/>
                <w:color w:val="17365D" w:themeColor="text2" w:themeShade="BF"/>
              </w:rPr>
              <w:t xml:space="preserve"> in </w:t>
            </w:r>
            <w:proofErr w:type="spellStart"/>
            <w:r w:rsidR="004D059D" w:rsidRPr="00104989">
              <w:rPr>
                <w:rFonts w:asciiTheme="minorHAnsi" w:hAnsiTheme="minorHAnsi" w:cstheme="minorHAnsi"/>
                <w:b/>
                <w:color w:val="17365D" w:themeColor="text2" w:themeShade="BF"/>
              </w:rPr>
              <w:t>the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paper</w:t>
            </w:r>
            <w:proofErr w:type="spellEnd"/>
            <w:r w:rsidR="004D059D" w:rsidRPr="00104989">
              <w:rPr>
                <w:rFonts w:asciiTheme="minorHAnsi" w:hAnsiTheme="minorHAnsi" w:cstheme="minorHAnsi"/>
                <w:b/>
                <w:color w:val="17365D" w:themeColor="text2" w:themeShade="BF"/>
              </w:rPr>
              <w:t xml:space="preserve"> (i.e., </w:t>
            </w:r>
            <w:proofErr w:type="spellStart"/>
            <w:r w:rsidR="004D059D" w:rsidRPr="00104989">
              <w:rPr>
                <w:rFonts w:asciiTheme="minorHAnsi" w:hAnsiTheme="minorHAnsi" w:cstheme="minorHAnsi"/>
                <w:b/>
                <w:color w:val="17365D" w:themeColor="text2" w:themeShade="BF"/>
              </w:rPr>
              <w:t>disabilities</w:t>
            </w:r>
            <w:proofErr w:type="spellEnd"/>
            <w:r w:rsidR="004D059D" w:rsidRPr="00104989">
              <w:rPr>
                <w:rFonts w:asciiTheme="minorHAnsi" w:hAnsiTheme="minorHAnsi" w:cstheme="minorHAnsi"/>
                <w:b/>
                <w:color w:val="17365D" w:themeColor="text2" w:themeShade="BF"/>
              </w:rPr>
              <w:t xml:space="preserve">; labor and </w:t>
            </w:r>
            <w:proofErr w:type="spellStart"/>
            <w:r w:rsidR="004D059D" w:rsidRPr="00104989">
              <w:rPr>
                <w:rFonts w:asciiTheme="minorHAnsi" w:hAnsiTheme="minorHAnsi" w:cstheme="minorHAnsi"/>
                <w:b/>
                <w:color w:val="17365D" w:themeColor="text2" w:themeShade="BF"/>
              </w:rPr>
              <w:t>occupational</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health</w:t>
            </w:r>
            <w:proofErr w:type="spellEnd"/>
            <w:r w:rsidR="004D059D" w:rsidRPr="00104989">
              <w:rPr>
                <w:rFonts w:asciiTheme="minorHAnsi" w:hAnsiTheme="minorHAnsi" w:cstheme="minorHAnsi"/>
                <w:b/>
                <w:color w:val="17365D" w:themeColor="text2" w:themeShade="BF"/>
              </w:rPr>
              <w:t xml:space="preserve"> and safety; human </w:t>
            </w:r>
            <w:proofErr w:type="spellStart"/>
            <w:r w:rsidR="004D059D" w:rsidRPr="00104989">
              <w:rPr>
                <w:rFonts w:asciiTheme="minorHAnsi" w:hAnsiTheme="minorHAnsi" w:cstheme="minorHAnsi"/>
                <w:b/>
                <w:color w:val="17365D" w:themeColor="text2" w:themeShade="BF"/>
              </w:rPr>
              <w:t>rights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land</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tenure</w:t>
            </w:r>
            <w:proofErr w:type="spellEnd"/>
            <w:r w:rsidR="004D059D" w:rsidRPr="00104989">
              <w:rPr>
                <w:rFonts w:asciiTheme="minorHAnsi" w:hAnsiTheme="minorHAnsi" w:cstheme="minorHAnsi"/>
                <w:b/>
                <w:color w:val="17365D" w:themeColor="text2" w:themeShade="BF"/>
              </w:rPr>
              <w:t xml:space="preserve"> and natural </w:t>
            </w:r>
            <w:proofErr w:type="spellStart"/>
            <w:r w:rsidR="004D059D" w:rsidRPr="00104989">
              <w:rPr>
                <w:rFonts w:asciiTheme="minorHAnsi" w:hAnsiTheme="minorHAnsi" w:cstheme="minorHAnsi"/>
                <w:b/>
                <w:color w:val="17365D" w:themeColor="text2" w:themeShade="BF"/>
              </w:rPr>
              <w:t>resources</w:t>
            </w:r>
            <w:proofErr w:type="spellEnd"/>
            <w:r w:rsidR="004D059D" w:rsidRPr="00104989">
              <w:rPr>
                <w:rFonts w:asciiTheme="minorHAnsi" w:hAnsiTheme="minorHAnsi" w:cstheme="minorHAnsi"/>
                <w:b/>
                <w:color w:val="17365D" w:themeColor="text2" w:themeShade="BF"/>
              </w:rPr>
              <w:t xml:space="preserve">; free, prior and </w:t>
            </w:r>
            <w:proofErr w:type="spellStart"/>
            <w:r w:rsidR="004D059D" w:rsidRPr="00104989">
              <w:rPr>
                <w:rFonts w:asciiTheme="minorHAnsi" w:hAnsiTheme="minorHAnsi" w:cstheme="minorHAnsi"/>
                <w:b/>
                <w:color w:val="17365D" w:themeColor="text2" w:themeShade="BF"/>
              </w:rPr>
              <w:t>informed</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consent</w:t>
            </w:r>
            <w:proofErr w:type="spellEnd"/>
            <w:r w:rsidR="004D059D" w:rsidRPr="00104989">
              <w:rPr>
                <w:rFonts w:asciiTheme="minorHAnsi" w:hAnsiTheme="minorHAnsi" w:cstheme="minorHAnsi"/>
                <w:b/>
                <w:color w:val="17365D" w:themeColor="text2" w:themeShade="BF"/>
              </w:rPr>
              <w:t xml:space="preserve"> of </w:t>
            </w:r>
            <w:proofErr w:type="spellStart"/>
            <w:r w:rsidR="004D059D" w:rsidRPr="00104989">
              <w:rPr>
                <w:rFonts w:asciiTheme="minorHAnsi" w:hAnsiTheme="minorHAnsi" w:cstheme="minorHAnsi"/>
                <w:b/>
                <w:color w:val="17365D" w:themeColor="text2" w:themeShade="BF"/>
              </w:rPr>
              <w:t>Indigenous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Peoples</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gender</w:t>
            </w:r>
            <w:proofErr w:type="spellEnd"/>
            <w:r w:rsidR="004D059D" w:rsidRPr="00104989">
              <w:rPr>
                <w:rFonts w:asciiTheme="minorHAnsi" w:hAnsiTheme="minorHAnsi" w:cstheme="minorHAnsi"/>
                <w:b/>
                <w:color w:val="17365D" w:themeColor="text2" w:themeShade="BF"/>
              </w:rPr>
              <w:t xml:space="preserve">; and </w:t>
            </w:r>
            <w:proofErr w:type="spellStart"/>
            <w:r w:rsidR="004D059D" w:rsidRPr="00104989">
              <w:rPr>
                <w:rFonts w:asciiTheme="minorHAnsi" w:hAnsiTheme="minorHAnsi" w:cstheme="minorHAnsi"/>
                <w:b/>
                <w:color w:val="17365D" w:themeColor="text2" w:themeShade="BF"/>
              </w:rPr>
              <w:t>climate</w:t>
            </w:r>
            <w:proofErr w:type="spellEnd"/>
            <w:r w:rsidR="004D059D" w:rsidRPr="00104989">
              <w:rPr>
                <w:rFonts w:asciiTheme="minorHAnsi" w:hAnsiTheme="minorHAnsi" w:cstheme="minorHAnsi"/>
                <w:b/>
                <w:color w:val="17365D" w:themeColor="text2" w:themeShade="BF"/>
              </w:rPr>
              <w:t xml:space="preserve"> </w:t>
            </w:r>
            <w:proofErr w:type="spellStart"/>
            <w:r w:rsidR="004D059D" w:rsidRPr="00104989">
              <w:rPr>
                <w:rFonts w:asciiTheme="minorHAnsi" w:hAnsiTheme="minorHAnsi" w:cstheme="minorHAnsi"/>
                <w:b/>
                <w:color w:val="17365D" w:themeColor="text2" w:themeShade="BF"/>
              </w:rPr>
              <w:t>change</w:t>
            </w:r>
            <w:proofErr w:type="spellEnd"/>
            <w:r w:rsidR="004D059D" w:rsidRPr="00104989">
              <w:rPr>
                <w:rFonts w:asciiTheme="minorHAnsi" w:hAnsiTheme="minorHAnsi" w:cstheme="minorHAnsi"/>
                <w:b/>
                <w:color w:val="17365D" w:themeColor="text2" w:themeShade="BF"/>
              </w:rPr>
              <w:t>).</w:t>
            </w:r>
          </w:p>
        </w:tc>
      </w:tr>
      <w:tr w:rsidR="00391E63" w:rsidRPr="00104989" w:rsidTr="00B87E22">
        <w:tblPrEx>
          <w:tblCellMar>
            <w:left w:w="108" w:type="dxa"/>
            <w:right w:w="108" w:type="dxa"/>
          </w:tblCellMar>
        </w:tblPrEx>
        <w:trPr>
          <w:trHeight w:val="1268"/>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C45633" w:rsidRPr="00104989" w:rsidRDefault="009D49FD" w:rsidP="00C45633">
            <w:pPr>
              <w:pStyle w:val="ListParagraph"/>
              <w:numPr>
                <w:ilvl w:val="0"/>
                <w:numId w:val="34"/>
              </w:numPr>
              <w:shd w:val="clear" w:color="auto" w:fill="FFFFFF"/>
              <w:suppressAutoHyphens w:val="0"/>
              <w:spacing w:after="0" w:line="270"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A</w:t>
            </w:r>
            <w:r w:rsidR="00C45633" w:rsidRPr="00104989">
              <w:rPr>
                <w:rFonts w:asciiTheme="minorHAnsi" w:hAnsiTheme="minorHAnsi"/>
                <w:kern w:val="0"/>
                <w:lang w:val="en-US" w:eastAsia="nl-BE" w:bidi="ar-SA"/>
              </w:rPr>
              <w:t xml:space="preserve">ll emerging issues should be addressed in the </w:t>
            </w:r>
            <w:r w:rsidR="00026FE3">
              <w:rPr>
                <w:rFonts w:asciiTheme="minorHAnsi" w:hAnsiTheme="minorHAnsi"/>
                <w:kern w:val="0"/>
                <w:lang w:val="en-US" w:eastAsia="nl-BE" w:bidi="ar-SA"/>
              </w:rPr>
              <w:t xml:space="preserve">draft </w:t>
            </w:r>
            <w:r w:rsidR="008D54F5" w:rsidRPr="00104989">
              <w:rPr>
                <w:rFonts w:asciiTheme="minorHAnsi" w:hAnsiTheme="minorHAnsi"/>
                <w:kern w:val="0"/>
                <w:lang w:val="en-US" w:eastAsia="nl-BE" w:bidi="ar-SA"/>
              </w:rPr>
              <w:t>safeguards framework.</w:t>
            </w:r>
            <w:r w:rsidRPr="00104989">
              <w:rPr>
                <w:rFonts w:asciiTheme="minorHAnsi" w:hAnsiTheme="minorHAnsi"/>
                <w:kern w:val="0"/>
                <w:lang w:val="en-US" w:eastAsia="nl-BE" w:bidi="ar-SA"/>
              </w:rPr>
              <w:t xml:space="preserve"> T</w:t>
            </w:r>
            <w:r w:rsidR="00C45633" w:rsidRPr="00104989">
              <w:rPr>
                <w:rFonts w:asciiTheme="minorHAnsi" w:hAnsiTheme="minorHAnsi"/>
                <w:kern w:val="0"/>
                <w:lang w:val="en-US" w:eastAsia="nl-BE" w:bidi="ar-SA"/>
              </w:rPr>
              <w:t>he "if and how</w:t>
            </w:r>
            <w:r w:rsidRPr="00104989">
              <w:rPr>
                <w:rFonts w:asciiTheme="minorHAnsi" w:hAnsiTheme="minorHAnsi"/>
                <w:kern w:val="0"/>
                <w:lang w:val="en-US" w:eastAsia="nl-BE" w:bidi="ar-SA"/>
              </w:rPr>
              <w:t xml:space="preserve">" wording in the approach paper </w:t>
            </w:r>
            <w:proofErr w:type="spellStart"/>
            <w:r w:rsidRPr="00104989">
              <w:rPr>
                <w:rFonts w:asciiTheme="minorHAnsi" w:hAnsiTheme="minorHAnsi"/>
                <w:kern w:val="0"/>
                <w:lang w:val="en-US" w:eastAsia="nl-BE" w:bidi="ar-SA"/>
              </w:rPr>
              <w:t>relatingto</w:t>
            </w:r>
            <w:proofErr w:type="spellEnd"/>
            <w:r w:rsidRPr="00104989">
              <w:rPr>
                <w:rFonts w:asciiTheme="minorHAnsi" w:hAnsiTheme="minorHAnsi"/>
                <w:kern w:val="0"/>
                <w:lang w:val="en-US" w:eastAsia="nl-BE" w:bidi="ar-SA"/>
              </w:rPr>
              <w:t xml:space="preserve"> these issues should be dropped.</w:t>
            </w:r>
          </w:p>
          <w:p w:rsidR="005139A3" w:rsidRPr="00104989" w:rsidRDefault="008D54F5" w:rsidP="008D54F5">
            <w:pPr>
              <w:pStyle w:val="ListParagraph"/>
              <w:numPr>
                <w:ilvl w:val="0"/>
                <w:numId w:val="34"/>
              </w:numPr>
              <w:shd w:val="clear" w:color="auto" w:fill="FFFFFF"/>
              <w:suppressAutoHyphens w:val="0"/>
              <w:spacing w:after="0" w:line="270"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 xml:space="preserve">The review is an ideal opportunity for the Bank to address </w:t>
            </w:r>
            <w:proofErr w:type="spellStart"/>
            <w:r w:rsidRPr="00104989">
              <w:rPr>
                <w:rFonts w:asciiTheme="minorHAnsi" w:hAnsiTheme="minorHAnsi"/>
                <w:kern w:val="0"/>
                <w:lang w:val="en-US" w:eastAsia="nl-BE" w:bidi="ar-SA"/>
              </w:rPr>
              <w:t>landgrabbing</w:t>
            </w:r>
            <w:proofErr w:type="spellEnd"/>
            <w:r w:rsidRPr="00104989">
              <w:rPr>
                <w:rFonts w:asciiTheme="minorHAnsi" w:hAnsiTheme="minorHAnsi"/>
                <w:kern w:val="0"/>
                <w:lang w:val="en-US" w:eastAsia="nl-BE" w:bidi="ar-SA"/>
              </w:rPr>
              <w:t xml:space="preserve"> and involuntary resettlement. </w:t>
            </w:r>
            <w:r w:rsidR="00A00BF6" w:rsidRPr="00104989">
              <w:rPr>
                <w:rFonts w:asciiTheme="minorHAnsi" w:hAnsiTheme="minorHAnsi"/>
                <w:kern w:val="0"/>
                <w:lang w:val="en-US" w:eastAsia="nl-BE" w:bidi="ar-SA"/>
              </w:rPr>
              <w:t xml:space="preserve">As well as the need to reinforce existing safeguards to do no harm, addressing insecure land tenure, </w:t>
            </w:r>
            <w:r w:rsidR="00A00BF6" w:rsidRPr="00104989">
              <w:rPr>
                <w:rFonts w:asciiTheme="minorHAnsi" w:hAnsiTheme="minorHAnsi"/>
                <w:kern w:val="0"/>
                <w:lang w:val="en-US" w:eastAsia="nl-BE" w:bidi="ar-SA"/>
              </w:rPr>
              <w:lastRenderedPageBreak/>
              <w:t>especially of poor and marginalized communities</w:t>
            </w:r>
            <w:r w:rsidR="00026FE3">
              <w:rPr>
                <w:rFonts w:asciiTheme="minorHAnsi" w:hAnsiTheme="minorHAnsi"/>
                <w:kern w:val="0"/>
                <w:lang w:val="en-US" w:eastAsia="nl-BE" w:bidi="ar-SA"/>
              </w:rPr>
              <w:t>,</w:t>
            </w:r>
            <w:r w:rsidR="00A00BF6" w:rsidRPr="00104989">
              <w:rPr>
                <w:rFonts w:asciiTheme="minorHAnsi" w:hAnsiTheme="minorHAnsi"/>
                <w:kern w:val="0"/>
                <w:lang w:val="en-US" w:eastAsia="nl-BE" w:bidi="ar-SA"/>
              </w:rPr>
              <w:t xml:space="preserve"> may require a new safeguard on land tenure</w:t>
            </w:r>
            <w:r w:rsidR="00A16EAD">
              <w:rPr>
                <w:rFonts w:asciiTheme="minorHAnsi" w:hAnsiTheme="minorHAnsi"/>
                <w:kern w:val="0"/>
                <w:lang w:val="en-US" w:eastAsia="nl-BE" w:bidi="ar-SA"/>
              </w:rPr>
              <w:t>,</w:t>
            </w:r>
            <w:r w:rsidR="00A00BF6" w:rsidRPr="00104989">
              <w:rPr>
                <w:rFonts w:asciiTheme="minorHAnsi" w:hAnsiTheme="minorHAnsi"/>
                <w:kern w:val="0"/>
                <w:lang w:val="en-US" w:eastAsia="nl-BE" w:bidi="ar-SA"/>
              </w:rPr>
              <w:t xml:space="preserve"> housing and natural resources. Solutions to insecure tenure need to go beyond individual property rights to recognize the diversity of different communities’ tenure systems. </w:t>
            </w:r>
          </w:p>
          <w:p w:rsidR="00C45633" w:rsidRPr="00104989" w:rsidRDefault="00A56169" w:rsidP="008D54F5">
            <w:pPr>
              <w:pStyle w:val="ListParagraph"/>
              <w:numPr>
                <w:ilvl w:val="0"/>
                <w:numId w:val="34"/>
              </w:numPr>
              <w:shd w:val="clear" w:color="auto" w:fill="FFFFFF"/>
              <w:suppressAutoHyphens w:val="0"/>
              <w:spacing w:after="0" w:line="270"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On disability the Bank needs to go beyond social protection and develop standards</w:t>
            </w:r>
            <w:r w:rsidR="005139A3" w:rsidRPr="00104989">
              <w:rPr>
                <w:rFonts w:asciiTheme="minorHAnsi" w:hAnsiTheme="minorHAnsi"/>
                <w:kern w:val="0"/>
                <w:lang w:val="en-US" w:eastAsia="nl-BE" w:bidi="ar-SA"/>
              </w:rPr>
              <w:t xml:space="preserve"> and safeguard requirements</w:t>
            </w:r>
            <w:r w:rsidRPr="00104989">
              <w:rPr>
                <w:rFonts w:asciiTheme="minorHAnsi" w:hAnsiTheme="minorHAnsi"/>
                <w:kern w:val="0"/>
                <w:lang w:val="en-US" w:eastAsia="nl-BE" w:bidi="ar-SA"/>
              </w:rPr>
              <w:t>. It</w:t>
            </w:r>
            <w:r w:rsidR="00C45633" w:rsidRPr="00104989">
              <w:rPr>
                <w:rFonts w:asciiTheme="minorHAnsi" w:hAnsiTheme="minorHAnsi"/>
                <w:kern w:val="0"/>
                <w:lang w:val="en-US" w:eastAsia="nl-BE" w:bidi="ar-SA"/>
              </w:rPr>
              <w:t xml:space="preserve"> should make sure all its activities are fully in line with the provisions of the UN Convention on the Rights of Persons with Disabilities.</w:t>
            </w:r>
          </w:p>
          <w:p w:rsidR="00A00BF6" w:rsidRPr="00104989" w:rsidRDefault="00A00BF6" w:rsidP="00A00BF6">
            <w:pPr>
              <w:pStyle w:val="ListParagraph"/>
              <w:numPr>
                <w:ilvl w:val="0"/>
                <w:numId w:val="34"/>
              </w:numPr>
              <w:shd w:val="clear" w:color="auto" w:fill="FFFFFF"/>
              <w:suppressAutoHyphens w:val="0"/>
              <w:spacing w:after="0" w:line="270"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Safeguards need to address climate change, e</w:t>
            </w:r>
            <w:r w:rsidR="00A16EAD">
              <w:rPr>
                <w:rFonts w:asciiTheme="minorHAnsi" w:hAnsiTheme="minorHAnsi"/>
                <w:kern w:val="0"/>
                <w:lang w:val="en-US" w:eastAsia="nl-BE" w:bidi="ar-SA"/>
              </w:rPr>
              <w:t>.</w:t>
            </w:r>
            <w:r w:rsidRPr="00104989">
              <w:rPr>
                <w:rFonts w:asciiTheme="minorHAnsi" w:hAnsiTheme="minorHAnsi"/>
                <w:kern w:val="0"/>
                <w:lang w:val="en-US" w:eastAsia="nl-BE" w:bidi="ar-SA"/>
              </w:rPr>
              <w:t>g</w:t>
            </w:r>
            <w:r w:rsidR="00A16EAD">
              <w:rPr>
                <w:rFonts w:asciiTheme="minorHAnsi" w:hAnsiTheme="minorHAnsi"/>
                <w:kern w:val="0"/>
                <w:lang w:val="en-US" w:eastAsia="nl-BE" w:bidi="ar-SA"/>
              </w:rPr>
              <w:t>.,</w:t>
            </w:r>
            <w:r w:rsidRPr="00104989">
              <w:rPr>
                <w:rFonts w:asciiTheme="minorHAnsi" w:hAnsiTheme="minorHAnsi"/>
                <w:kern w:val="0"/>
                <w:lang w:val="en-US" w:eastAsia="nl-BE" w:bidi="ar-SA"/>
              </w:rPr>
              <w:t xml:space="preserve"> supporting phasing out of fossil fuels.</w:t>
            </w:r>
          </w:p>
          <w:p w:rsidR="00B30E3B" w:rsidRPr="00104989" w:rsidRDefault="00B30E3B" w:rsidP="00B30E3B">
            <w:pPr>
              <w:pStyle w:val="ListParagraph"/>
              <w:numPr>
                <w:ilvl w:val="0"/>
                <w:numId w:val="34"/>
              </w:numPr>
              <w:shd w:val="clear" w:color="auto" w:fill="FFFFFF"/>
              <w:suppressAutoHyphens w:val="0"/>
              <w:spacing w:after="0" w:line="270"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An integrated set of human rights safeguards should apply to all Bank activities.</w:t>
            </w:r>
          </w:p>
          <w:p w:rsidR="00C45633" w:rsidRPr="00104989" w:rsidRDefault="00A56169" w:rsidP="00C45633">
            <w:pPr>
              <w:pStyle w:val="ListParagraph"/>
              <w:numPr>
                <w:ilvl w:val="0"/>
                <w:numId w:val="34"/>
              </w:numPr>
              <w:shd w:val="clear" w:color="auto" w:fill="FFFFFF"/>
              <w:suppressAutoHyphens w:val="0"/>
              <w:spacing w:after="0" w:line="270"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H</w:t>
            </w:r>
            <w:r w:rsidR="00C45633" w:rsidRPr="00104989">
              <w:rPr>
                <w:rFonts w:asciiTheme="minorHAnsi" w:hAnsiTheme="minorHAnsi"/>
                <w:kern w:val="0"/>
                <w:lang w:val="en-US" w:eastAsia="nl-BE" w:bidi="ar-SA"/>
              </w:rPr>
              <w:t>uman rights could "form a bridge between do-no-ha</w:t>
            </w:r>
            <w:r w:rsidR="00452A11" w:rsidRPr="00104989">
              <w:rPr>
                <w:rFonts w:asciiTheme="minorHAnsi" w:hAnsiTheme="minorHAnsi"/>
                <w:kern w:val="0"/>
                <w:lang w:val="en-US" w:eastAsia="nl-BE" w:bidi="ar-SA"/>
              </w:rPr>
              <w:t>rm and do-good</w:t>
            </w:r>
            <w:r w:rsidR="00A16EAD">
              <w:rPr>
                <w:rFonts w:asciiTheme="minorHAnsi" w:hAnsiTheme="minorHAnsi"/>
                <w:kern w:val="0"/>
                <w:lang w:val="en-US" w:eastAsia="nl-BE" w:bidi="ar-SA"/>
              </w:rPr>
              <w:t>,</w:t>
            </w:r>
            <w:r w:rsidR="00452A11" w:rsidRPr="00104989">
              <w:rPr>
                <w:rFonts w:asciiTheme="minorHAnsi" w:hAnsiTheme="minorHAnsi"/>
                <w:kern w:val="0"/>
                <w:lang w:val="en-US" w:eastAsia="nl-BE" w:bidi="ar-SA"/>
              </w:rPr>
              <w:t xml:space="preserve">" but </w:t>
            </w:r>
            <w:r w:rsidR="00C45633" w:rsidRPr="00104989">
              <w:rPr>
                <w:rFonts w:asciiTheme="minorHAnsi" w:hAnsiTheme="minorHAnsi"/>
                <w:kern w:val="0"/>
                <w:lang w:val="en-US" w:eastAsia="nl-BE" w:bidi="ar-SA"/>
              </w:rPr>
              <w:t>a lot of effort would have to go into building capacity for effective monitoring on the ground.</w:t>
            </w:r>
          </w:p>
          <w:p w:rsidR="00391E63" w:rsidRPr="00104989" w:rsidRDefault="00452A11" w:rsidP="00C45633">
            <w:pPr>
              <w:pStyle w:val="ListParagraph"/>
              <w:numPr>
                <w:ilvl w:val="0"/>
                <w:numId w:val="34"/>
              </w:numPr>
              <w:shd w:val="clear" w:color="auto" w:fill="FFFFFF"/>
              <w:suppressAutoHyphens w:val="0"/>
              <w:spacing w:after="0" w:line="270"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L</w:t>
            </w:r>
            <w:r w:rsidR="00C45633" w:rsidRPr="00104989">
              <w:rPr>
                <w:rFonts w:asciiTheme="minorHAnsi" w:hAnsiTheme="minorHAnsi"/>
                <w:kern w:val="0"/>
                <w:lang w:val="en-US" w:eastAsia="nl-BE" w:bidi="ar-SA"/>
              </w:rPr>
              <w:t xml:space="preserve">abor is strikingly absent from the </w:t>
            </w:r>
            <w:r w:rsidRPr="00104989">
              <w:rPr>
                <w:rFonts w:asciiTheme="minorHAnsi" w:hAnsiTheme="minorHAnsi"/>
                <w:kern w:val="0"/>
                <w:lang w:val="en-US" w:eastAsia="nl-BE" w:bidi="ar-SA"/>
              </w:rPr>
              <w:t>approach paper. “F</w:t>
            </w:r>
            <w:r w:rsidR="00C45633" w:rsidRPr="00104989">
              <w:rPr>
                <w:rFonts w:asciiTheme="minorHAnsi" w:hAnsiTheme="minorHAnsi"/>
                <w:kern w:val="0"/>
                <w:lang w:val="en-US" w:eastAsia="nl-BE" w:bidi="ar-SA"/>
              </w:rPr>
              <w:t xml:space="preserve">undamental rights at work" </w:t>
            </w:r>
            <w:r w:rsidRPr="00104989">
              <w:rPr>
                <w:rFonts w:asciiTheme="minorHAnsi" w:hAnsiTheme="minorHAnsi"/>
                <w:kern w:val="0"/>
                <w:lang w:val="en-US" w:eastAsia="nl-BE" w:bidi="ar-SA"/>
              </w:rPr>
              <w:t xml:space="preserve">should be integrated </w:t>
            </w:r>
            <w:r w:rsidR="00C45633" w:rsidRPr="00104989">
              <w:rPr>
                <w:rFonts w:asciiTheme="minorHAnsi" w:hAnsiTheme="minorHAnsi"/>
                <w:kern w:val="0"/>
                <w:lang w:val="en-US" w:eastAsia="nl-BE" w:bidi="ar-SA"/>
              </w:rPr>
              <w:t>into the eventual human rights component of the safeguard policy. </w:t>
            </w:r>
          </w:p>
          <w:p w:rsidR="00260C96" w:rsidRPr="00104989" w:rsidRDefault="00260C96" w:rsidP="00C45633">
            <w:pPr>
              <w:pStyle w:val="ListParagraph"/>
              <w:numPr>
                <w:ilvl w:val="0"/>
                <w:numId w:val="34"/>
              </w:numPr>
              <w:shd w:val="clear" w:color="auto" w:fill="FFFFFF"/>
              <w:suppressAutoHyphens w:val="0"/>
              <w:spacing w:after="0" w:line="270"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Safeguards on natural resources should better address biodiversity issues.</w:t>
            </w:r>
          </w:p>
          <w:p w:rsidR="005139A3" w:rsidRPr="00104989" w:rsidRDefault="00CA2B9B" w:rsidP="005139A3">
            <w:pPr>
              <w:pStyle w:val="ListParagraph"/>
              <w:numPr>
                <w:ilvl w:val="0"/>
                <w:numId w:val="34"/>
              </w:numPr>
              <w:shd w:val="clear" w:color="auto" w:fill="FFFFFF"/>
              <w:suppressAutoHyphens w:val="0"/>
              <w:spacing w:after="0" w:line="270"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T</w:t>
            </w:r>
            <w:r w:rsidR="005139A3" w:rsidRPr="00104989">
              <w:rPr>
                <w:rFonts w:asciiTheme="minorHAnsi" w:hAnsiTheme="minorHAnsi"/>
                <w:kern w:val="0"/>
                <w:lang w:val="en-US" w:eastAsia="nl-BE" w:bidi="ar-SA"/>
              </w:rPr>
              <w:t>he Bank needs to adopt safeguard requirements that are specifically designed to protect the rights of children affected by Bank projects, including children-specific requirements related to environmental and social assessment, resettlement, and labor.</w:t>
            </w:r>
          </w:p>
          <w:p w:rsidR="005139A3" w:rsidRPr="00104989" w:rsidRDefault="005139A3" w:rsidP="000815A9">
            <w:pPr>
              <w:pStyle w:val="ListParagraph"/>
              <w:numPr>
                <w:ilvl w:val="0"/>
                <w:numId w:val="37"/>
              </w:numPr>
              <w:suppressAutoHyphens w:val="0"/>
              <w:spacing w:after="0" w:line="240" w:lineRule="auto"/>
              <w:ind w:left="743"/>
              <w:jc w:val="left"/>
              <w:rPr>
                <w:rFonts w:asciiTheme="minorHAnsi" w:eastAsia="Calibri" w:hAnsiTheme="minorHAnsi" w:cs="Calibri"/>
                <w:kern w:val="0"/>
                <w:sz w:val="22"/>
                <w:szCs w:val="22"/>
                <w:lang w:val="en-US" w:eastAsia="en-US" w:bidi="ar-SA"/>
              </w:rPr>
            </w:pPr>
            <w:r w:rsidRPr="00104989">
              <w:rPr>
                <w:rFonts w:asciiTheme="minorHAnsi" w:hAnsiTheme="minorHAnsi"/>
                <w:kern w:val="0"/>
                <w:lang w:val="en-US" w:eastAsia="nl-BE" w:bidi="ar-SA"/>
              </w:rPr>
              <w:t xml:space="preserve">The Bank should adopt human rights due diligence and ensure that its activities respect human rights. </w:t>
            </w:r>
            <w:r w:rsidRPr="00104989">
              <w:rPr>
                <w:rFonts w:asciiTheme="minorHAnsi" w:eastAsia="Calibri" w:hAnsiTheme="minorHAnsi" w:cs="Calibri"/>
                <w:kern w:val="0"/>
                <w:sz w:val="22"/>
                <w:szCs w:val="22"/>
                <w:lang w:val="en-US" w:eastAsia="en-US" w:bidi="ar-SA"/>
              </w:rPr>
              <w:t>An element of this due diligence should involve undertaking a human rights impact assessment to assess and address the human rights risks of all of its activities.</w:t>
            </w:r>
          </w:p>
        </w:tc>
      </w:tr>
      <w:tr w:rsidR="00FA0FB8" w:rsidRPr="00104989" w:rsidTr="00B87E22">
        <w:trPr>
          <w:trHeight w:val="70"/>
          <w:jc w:val="center"/>
        </w:trPr>
        <w:tc>
          <w:tcPr>
            <w:tcW w:w="10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A0FB8" w:rsidRPr="00104989" w:rsidRDefault="00C842FB" w:rsidP="000F248E">
            <w:pPr>
              <w:snapToGrid w:val="0"/>
              <w:ind w:left="180"/>
              <w:jc w:val="left"/>
              <w:rPr>
                <w:rFonts w:asciiTheme="minorHAnsi" w:eastAsia="Batang" w:hAnsiTheme="minorHAnsi" w:cstheme="minorHAnsi"/>
                <w:b/>
                <w:color w:val="17365D" w:themeColor="text2" w:themeShade="BF"/>
              </w:rPr>
            </w:pPr>
            <w:r w:rsidRPr="00104989">
              <w:rPr>
                <w:rFonts w:asciiTheme="minorHAnsi" w:eastAsia="Batang" w:hAnsiTheme="minorHAnsi" w:cstheme="minorHAnsi"/>
                <w:b/>
                <w:color w:val="17365D" w:themeColor="text2" w:themeShade="BF"/>
              </w:rPr>
              <w:lastRenderedPageBreak/>
              <w:t>7</w:t>
            </w:r>
            <w:r w:rsidR="00FA0FB8" w:rsidRPr="00104989">
              <w:rPr>
                <w:rFonts w:asciiTheme="minorHAnsi" w:eastAsia="Batang" w:hAnsiTheme="minorHAnsi" w:cstheme="minorHAnsi"/>
                <w:b/>
                <w:color w:val="17365D" w:themeColor="text2" w:themeShade="BF"/>
              </w:rPr>
              <w:t xml:space="preserve">. </w:t>
            </w:r>
            <w:proofErr w:type="spellStart"/>
            <w:r w:rsidR="000F248E" w:rsidRPr="00104989">
              <w:rPr>
                <w:rFonts w:asciiTheme="minorHAnsi" w:eastAsia="Batang" w:hAnsiTheme="minorHAnsi" w:cstheme="minorHAnsi"/>
                <w:b/>
                <w:color w:val="17365D" w:themeColor="text2" w:themeShade="BF"/>
              </w:rPr>
              <w:t>A</w:t>
            </w:r>
            <w:r w:rsidR="00FA0FB8" w:rsidRPr="00104989">
              <w:rPr>
                <w:rFonts w:asciiTheme="minorHAnsi" w:hAnsiTheme="minorHAnsi" w:cstheme="minorHAnsi"/>
                <w:b/>
                <w:color w:val="17365D" w:themeColor="text2" w:themeShade="BF"/>
              </w:rPr>
              <w:t>ny</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additional</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comments</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or</w:t>
            </w:r>
            <w:proofErr w:type="spellEnd"/>
            <w:r w:rsidR="00FA0FB8" w:rsidRPr="00104989">
              <w:rPr>
                <w:rFonts w:asciiTheme="minorHAnsi" w:hAnsiTheme="minorHAnsi" w:cstheme="minorHAnsi"/>
                <w:b/>
                <w:color w:val="17365D" w:themeColor="text2" w:themeShade="BF"/>
              </w:rPr>
              <w:t xml:space="preserve"> </w:t>
            </w:r>
            <w:proofErr w:type="spellStart"/>
            <w:r w:rsidR="00FA0FB8" w:rsidRPr="00104989">
              <w:rPr>
                <w:rFonts w:asciiTheme="minorHAnsi" w:hAnsiTheme="minorHAnsi" w:cstheme="minorHAnsi"/>
                <w:b/>
                <w:color w:val="17365D" w:themeColor="text2" w:themeShade="BF"/>
              </w:rPr>
              <w:t>suggestions</w:t>
            </w:r>
            <w:proofErr w:type="spellEnd"/>
            <w:r w:rsidR="000F248E" w:rsidRPr="00104989">
              <w:rPr>
                <w:rFonts w:asciiTheme="minorHAnsi" w:hAnsiTheme="minorHAnsi" w:cstheme="minorHAnsi"/>
                <w:b/>
                <w:color w:val="17365D" w:themeColor="text2" w:themeShade="BF"/>
              </w:rPr>
              <w:t>.</w:t>
            </w:r>
          </w:p>
        </w:tc>
      </w:tr>
      <w:tr w:rsidR="00391E63" w:rsidRPr="00104989" w:rsidTr="00B87E22">
        <w:tblPrEx>
          <w:tblCellMar>
            <w:left w:w="108" w:type="dxa"/>
            <w:right w:w="108" w:type="dxa"/>
          </w:tblCellMar>
        </w:tblPrEx>
        <w:trPr>
          <w:trHeight w:val="1268"/>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C23FAB" w:rsidRPr="00104989" w:rsidRDefault="00C23FAB" w:rsidP="00C23FAB">
            <w:pPr>
              <w:pStyle w:val="ListParagraph"/>
              <w:numPr>
                <w:ilvl w:val="0"/>
                <w:numId w:val="35"/>
              </w:numPr>
              <w:shd w:val="clear" w:color="auto" w:fill="FFFFFF"/>
              <w:suppressAutoHyphens w:val="0"/>
              <w:spacing w:after="0" w:line="245"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 xml:space="preserve">There is </w:t>
            </w:r>
            <w:r w:rsidR="008D54F5" w:rsidRPr="00104989">
              <w:rPr>
                <w:rFonts w:asciiTheme="minorHAnsi" w:hAnsiTheme="minorHAnsi"/>
                <w:kern w:val="0"/>
                <w:lang w:val="en-US" w:eastAsia="nl-BE" w:bidi="ar-SA"/>
              </w:rPr>
              <w:t xml:space="preserve">concern </w:t>
            </w:r>
            <w:r w:rsidR="00A16EAD">
              <w:rPr>
                <w:rFonts w:asciiTheme="minorHAnsi" w:hAnsiTheme="minorHAnsi"/>
                <w:kern w:val="0"/>
                <w:lang w:val="en-US" w:eastAsia="nl-BE" w:bidi="ar-SA"/>
              </w:rPr>
              <w:t xml:space="preserve">about </w:t>
            </w:r>
            <w:r w:rsidR="008D54F5" w:rsidRPr="00104989">
              <w:rPr>
                <w:rFonts w:asciiTheme="minorHAnsi" w:hAnsiTheme="minorHAnsi"/>
                <w:kern w:val="0"/>
                <w:lang w:val="en-US" w:eastAsia="nl-BE" w:bidi="ar-SA"/>
              </w:rPr>
              <w:t>access to t</w:t>
            </w:r>
            <w:r w:rsidRPr="00104989">
              <w:rPr>
                <w:rFonts w:asciiTheme="minorHAnsi" w:hAnsiTheme="minorHAnsi"/>
                <w:kern w:val="0"/>
                <w:lang w:val="en-US" w:eastAsia="nl-BE" w:bidi="ar-SA"/>
              </w:rPr>
              <w:t>he consultations of key stakeholders</w:t>
            </w:r>
            <w:r w:rsidR="005C59D9" w:rsidRPr="00104989">
              <w:rPr>
                <w:rFonts w:asciiTheme="minorHAnsi" w:hAnsiTheme="minorHAnsi"/>
                <w:kern w:val="0"/>
                <w:lang w:val="en-US" w:eastAsia="nl-BE" w:bidi="ar-SA"/>
              </w:rPr>
              <w:t xml:space="preserve"> and how they are identified</w:t>
            </w:r>
            <w:r w:rsidRPr="00104989">
              <w:rPr>
                <w:rFonts w:asciiTheme="minorHAnsi" w:hAnsiTheme="minorHAnsi"/>
                <w:kern w:val="0"/>
                <w:lang w:val="en-US" w:eastAsia="nl-BE" w:bidi="ar-SA"/>
              </w:rPr>
              <w:t xml:space="preserve">, i.e.: </w:t>
            </w:r>
          </w:p>
          <w:p w:rsidR="00C23FAB" w:rsidRPr="00104989" w:rsidRDefault="00C23FAB" w:rsidP="00C23FAB">
            <w:pPr>
              <w:pStyle w:val="ListParagraph"/>
              <w:numPr>
                <w:ilvl w:val="1"/>
                <w:numId w:val="35"/>
              </w:numPr>
              <w:shd w:val="clear" w:color="auto" w:fill="FFFFFF"/>
              <w:suppressAutoHyphens w:val="0"/>
              <w:spacing w:after="0" w:line="245"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 xml:space="preserve">African stakeholders (only two consultation meetings have been planned so far) </w:t>
            </w:r>
          </w:p>
          <w:p w:rsidR="00C23FAB" w:rsidRPr="00104989" w:rsidRDefault="00C23FAB" w:rsidP="00C23FAB">
            <w:pPr>
              <w:pStyle w:val="ListParagraph"/>
              <w:numPr>
                <w:ilvl w:val="1"/>
                <w:numId w:val="35"/>
              </w:numPr>
              <w:shd w:val="clear" w:color="auto" w:fill="FFFFFF"/>
              <w:suppressAutoHyphens w:val="0"/>
              <w:spacing w:after="0" w:line="245"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 xml:space="preserve">Indigenous </w:t>
            </w:r>
            <w:r w:rsidR="00A16EAD">
              <w:rPr>
                <w:rFonts w:asciiTheme="minorHAnsi" w:hAnsiTheme="minorHAnsi"/>
                <w:kern w:val="0"/>
                <w:lang w:val="en-US" w:eastAsia="nl-BE" w:bidi="ar-SA"/>
              </w:rPr>
              <w:t>P</w:t>
            </w:r>
            <w:r w:rsidRPr="00104989">
              <w:rPr>
                <w:rFonts w:asciiTheme="minorHAnsi" w:hAnsiTheme="minorHAnsi"/>
                <w:kern w:val="0"/>
                <w:lang w:val="en-US" w:eastAsia="nl-BE" w:bidi="ar-SA"/>
              </w:rPr>
              <w:t>eople</w:t>
            </w:r>
            <w:r w:rsidR="00A16EAD">
              <w:rPr>
                <w:rFonts w:asciiTheme="minorHAnsi" w:hAnsiTheme="minorHAnsi"/>
                <w:kern w:val="0"/>
                <w:lang w:val="en-US" w:eastAsia="nl-BE" w:bidi="ar-SA"/>
              </w:rPr>
              <w:t>s</w:t>
            </w:r>
          </w:p>
          <w:p w:rsidR="00C23FAB" w:rsidRPr="00104989" w:rsidRDefault="00C23FAB" w:rsidP="00C23FAB">
            <w:pPr>
              <w:pStyle w:val="ListParagraph"/>
              <w:numPr>
                <w:ilvl w:val="1"/>
                <w:numId w:val="35"/>
              </w:numPr>
              <w:shd w:val="clear" w:color="auto" w:fill="FFFFFF"/>
              <w:suppressAutoHyphens w:val="0"/>
              <w:spacing w:after="0" w:line="245"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The disabled</w:t>
            </w:r>
          </w:p>
          <w:p w:rsidR="00C23FAB" w:rsidRPr="00104989" w:rsidRDefault="00C23FAB" w:rsidP="00C23FAB">
            <w:pPr>
              <w:pStyle w:val="ListParagraph"/>
              <w:numPr>
                <w:ilvl w:val="0"/>
                <w:numId w:val="35"/>
              </w:numPr>
              <w:shd w:val="clear" w:color="auto" w:fill="FFFFFF"/>
              <w:suppressAutoHyphens w:val="0"/>
              <w:spacing w:after="0" w:line="245"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 xml:space="preserve">Three </w:t>
            </w:r>
            <w:proofErr w:type="spellStart"/>
            <w:r w:rsidRPr="00104989">
              <w:rPr>
                <w:rFonts w:asciiTheme="minorHAnsi" w:hAnsiTheme="minorHAnsi"/>
                <w:kern w:val="0"/>
                <w:lang w:val="en-US" w:eastAsia="nl-BE" w:bidi="ar-SA"/>
              </w:rPr>
              <w:t>weeks notice</w:t>
            </w:r>
            <w:proofErr w:type="spellEnd"/>
            <w:r w:rsidRPr="00104989">
              <w:rPr>
                <w:rFonts w:asciiTheme="minorHAnsi" w:hAnsiTheme="minorHAnsi"/>
                <w:kern w:val="0"/>
                <w:lang w:val="en-US" w:eastAsia="nl-BE" w:bidi="ar-SA"/>
              </w:rPr>
              <w:t xml:space="preserve"> for a consultation meeting with CSOs</w:t>
            </w:r>
            <w:r w:rsidR="008D54F5" w:rsidRPr="00104989">
              <w:rPr>
                <w:rFonts w:asciiTheme="minorHAnsi" w:hAnsiTheme="minorHAnsi"/>
                <w:kern w:val="0"/>
                <w:lang w:val="en-US" w:eastAsia="nl-BE" w:bidi="ar-SA"/>
              </w:rPr>
              <w:t xml:space="preserve"> is a bit short</w:t>
            </w:r>
            <w:r w:rsidRPr="00104989">
              <w:rPr>
                <w:rFonts w:asciiTheme="minorHAnsi" w:hAnsiTheme="minorHAnsi"/>
                <w:kern w:val="0"/>
                <w:lang w:val="en-US" w:eastAsia="nl-BE" w:bidi="ar-SA"/>
              </w:rPr>
              <w:t>, especially in developing countries.</w:t>
            </w:r>
          </w:p>
          <w:p w:rsidR="00C23FAB" w:rsidRPr="00104989" w:rsidRDefault="00C23FAB" w:rsidP="00C23FAB">
            <w:pPr>
              <w:pStyle w:val="ListParagraph"/>
              <w:numPr>
                <w:ilvl w:val="0"/>
                <w:numId w:val="35"/>
              </w:numPr>
              <w:shd w:val="clear" w:color="auto" w:fill="FFFFFF"/>
              <w:suppressAutoHyphens w:val="0"/>
              <w:spacing w:after="0" w:line="245"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The November 2012 CSO input paper is the official basis for the contributions of the CSO signatories to that paper.</w:t>
            </w:r>
          </w:p>
          <w:p w:rsidR="00C45633" w:rsidRPr="00104989" w:rsidRDefault="00452A11" w:rsidP="00C45633">
            <w:pPr>
              <w:pStyle w:val="ListParagraph"/>
              <w:numPr>
                <w:ilvl w:val="0"/>
                <w:numId w:val="35"/>
              </w:numPr>
              <w:shd w:val="clear" w:color="auto" w:fill="FFFFFF"/>
              <w:suppressAutoHyphens w:val="0"/>
              <w:spacing w:after="0" w:line="245"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T</w:t>
            </w:r>
            <w:r w:rsidR="00C45633" w:rsidRPr="00104989">
              <w:rPr>
                <w:rFonts w:asciiTheme="minorHAnsi" w:hAnsiTheme="minorHAnsi"/>
                <w:kern w:val="0"/>
                <w:lang w:val="en-US" w:eastAsia="nl-BE" w:bidi="ar-SA"/>
              </w:rPr>
              <w:t>he approach paper is not a good basis for discussion, as it is insufficiently detailed.</w:t>
            </w:r>
          </w:p>
          <w:p w:rsidR="00C45633" w:rsidRPr="00104989" w:rsidRDefault="00452A11" w:rsidP="00392439">
            <w:pPr>
              <w:pStyle w:val="ListParagraph"/>
              <w:numPr>
                <w:ilvl w:val="0"/>
                <w:numId w:val="35"/>
              </w:numPr>
              <w:shd w:val="clear" w:color="auto" w:fill="FFFFFF"/>
              <w:suppressAutoHyphens w:val="0"/>
              <w:spacing w:after="0" w:line="245"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 xml:space="preserve">It is regrettable that a full Bank board discussion will only take place at the </w:t>
            </w:r>
            <w:r w:rsidR="00B30E3B" w:rsidRPr="00104989">
              <w:rPr>
                <w:rFonts w:asciiTheme="minorHAnsi" w:hAnsiTheme="minorHAnsi"/>
                <w:kern w:val="0"/>
                <w:lang w:val="en-US" w:eastAsia="nl-BE" w:bidi="ar-SA"/>
              </w:rPr>
              <w:t>very end of the review process. T</w:t>
            </w:r>
            <w:r w:rsidRPr="00104989">
              <w:rPr>
                <w:rFonts w:asciiTheme="minorHAnsi" w:hAnsiTheme="minorHAnsi"/>
                <w:kern w:val="0"/>
                <w:lang w:val="en-US" w:eastAsia="nl-BE" w:bidi="ar-SA"/>
              </w:rPr>
              <w:t>he process should be ope</w:t>
            </w:r>
            <w:r w:rsidR="00823905" w:rsidRPr="00104989">
              <w:rPr>
                <w:rFonts w:asciiTheme="minorHAnsi" w:hAnsiTheme="minorHAnsi"/>
                <w:kern w:val="0"/>
                <w:lang w:val="en-US" w:eastAsia="nl-BE" w:bidi="ar-SA"/>
              </w:rPr>
              <w:t xml:space="preserve">ned up and </w:t>
            </w:r>
            <w:proofErr w:type="spellStart"/>
            <w:r w:rsidR="00823905" w:rsidRPr="00104989">
              <w:rPr>
                <w:rFonts w:asciiTheme="minorHAnsi" w:hAnsiTheme="minorHAnsi"/>
                <w:szCs w:val="24"/>
              </w:rPr>
              <w:t>the</w:t>
            </w:r>
            <w:proofErr w:type="spellEnd"/>
            <w:r w:rsidR="00823905" w:rsidRPr="00104989">
              <w:rPr>
                <w:rFonts w:asciiTheme="minorHAnsi" w:hAnsiTheme="minorHAnsi"/>
                <w:szCs w:val="24"/>
              </w:rPr>
              <w:t xml:space="preserve"> </w:t>
            </w:r>
            <w:proofErr w:type="spellStart"/>
            <w:r w:rsidR="00823905" w:rsidRPr="00104989">
              <w:rPr>
                <w:rFonts w:asciiTheme="minorHAnsi" w:hAnsiTheme="minorHAnsi"/>
                <w:szCs w:val="24"/>
              </w:rPr>
              <w:t>viewpoints</w:t>
            </w:r>
            <w:proofErr w:type="spellEnd"/>
            <w:r w:rsidR="00823905" w:rsidRPr="00104989">
              <w:rPr>
                <w:rFonts w:asciiTheme="minorHAnsi" w:hAnsiTheme="minorHAnsi"/>
                <w:szCs w:val="24"/>
              </w:rPr>
              <w:t xml:space="preserve"> of non-</w:t>
            </w:r>
            <w:r w:rsidR="00392439" w:rsidRPr="00104989">
              <w:rPr>
                <w:rFonts w:asciiTheme="minorHAnsi" w:hAnsiTheme="minorHAnsi"/>
                <w:szCs w:val="24"/>
              </w:rPr>
              <w:t xml:space="preserve">CODE </w:t>
            </w:r>
            <w:proofErr w:type="spellStart"/>
            <w:r w:rsidR="00392439" w:rsidRPr="00104989">
              <w:rPr>
                <w:rFonts w:asciiTheme="minorHAnsi" w:hAnsiTheme="minorHAnsi"/>
                <w:szCs w:val="24"/>
              </w:rPr>
              <w:t>members</w:t>
            </w:r>
            <w:proofErr w:type="spellEnd"/>
            <w:r w:rsidR="00392439" w:rsidRPr="00104989">
              <w:rPr>
                <w:rFonts w:asciiTheme="minorHAnsi" w:hAnsiTheme="minorHAnsi"/>
                <w:szCs w:val="24"/>
              </w:rPr>
              <w:t xml:space="preserve"> and </w:t>
            </w:r>
            <w:proofErr w:type="spellStart"/>
            <w:r w:rsidR="00823905" w:rsidRPr="00104989">
              <w:rPr>
                <w:rFonts w:asciiTheme="minorHAnsi" w:hAnsiTheme="minorHAnsi"/>
                <w:szCs w:val="24"/>
              </w:rPr>
              <w:t>the</w:t>
            </w:r>
            <w:proofErr w:type="spellEnd"/>
            <w:r w:rsidR="00823905" w:rsidRPr="00104989">
              <w:rPr>
                <w:rFonts w:asciiTheme="minorHAnsi" w:hAnsiTheme="minorHAnsi"/>
                <w:szCs w:val="24"/>
              </w:rPr>
              <w:t xml:space="preserve"> </w:t>
            </w:r>
            <w:r w:rsidR="00392439" w:rsidRPr="00104989">
              <w:rPr>
                <w:rFonts w:asciiTheme="minorHAnsi" w:hAnsiTheme="minorHAnsi"/>
                <w:szCs w:val="24"/>
              </w:rPr>
              <w:t xml:space="preserve">full </w:t>
            </w:r>
            <w:proofErr w:type="spellStart"/>
            <w:r w:rsidR="00392439" w:rsidRPr="00104989">
              <w:rPr>
                <w:rFonts w:asciiTheme="minorHAnsi" w:hAnsiTheme="minorHAnsi"/>
                <w:szCs w:val="24"/>
              </w:rPr>
              <w:t>Board</w:t>
            </w:r>
            <w:proofErr w:type="spellEnd"/>
            <w:r w:rsidR="00392439" w:rsidRPr="00104989">
              <w:rPr>
                <w:rFonts w:asciiTheme="minorHAnsi" w:hAnsiTheme="minorHAnsi"/>
                <w:szCs w:val="24"/>
              </w:rPr>
              <w:t xml:space="preserve"> </w:t>
            </w:r>
            <w:proofErr w:type="spellStart"/>
            <w:r w:rsidR="00392439" w:rsidRPr="00104989">
              <w:rPr>
                <w:rFonts w:asciiTheme="minorHAnsi" w:hAnsiTheme="minorHAnsi"/>
                <w:szCs w:val="24"/>
              </w:rPr>
              <w:t>should</w:t>
            </w:r>
            <w:proofErr w:type="spellEnd"/>
            <w:r w:rsidR="00392439" w:rsidRPr="00104989">
              <w:rPr>
                <w:rFonts w:asciiTheme="minorHAnsi" w:hAnsiTheme="minorHAnsi"/>
                <w:szCs w:val="24"/>
              </w:rPr>
              <w:t xml:space="preserve"> be </w:t>
            </w:r>
            <w:proofErr w:type="spellStart"/>
            <w:r w:rsidR="00823905" w:rsidRPr="00104989">
              <w:rPr>
                <w:rFonts w:asciiTheme="minorHAnsi" w:hAnsiTheme="minorHAnsi"/>
                <w:bCs/>
                <w:szCs w:val="24"/>
              </w:rPr>
              <w:t>formally</w:t>
            </w:r>
            <w:proofErr w:type="spellEnd"/>
            <w:r w:rsidR="00823905" w:rsidRPr="00104989">
              <w:rPr>
                <w:rFonts w:asciiTheme="minorHAnsi" w:hAnsiTheme="minorHAnsi"/>
                <w:bCs/>
                <w:szCs w:val="24"/>
              </w:rPr>
              <w:t xml:space="preserve"> </w:t>
            </w:r>
            <w:proofErr w:type="spellStart"/>
            <w:r w:rsidR="00823905" w:rsidRPr="00104989">
              <w:rPr>
                <w:rFonts w:asciiTheme="minorHAnsi" w:hAnsiTheme="minorHAnsi"/>
                <w:bCs/>
                <w:szCs w:val="24"/>
              </w:rPr>
              <w:t>integrated</w:t>
            </w:r>
            <w:proofErr w:type="spellEnd"/>
            <w:r w:rsidR="00823905" w:rsidRPr="00104989">
              <w:rPr>
                <w:rFonts w:asciiTheme="minorHAnsi" w:hAnsiTheme="minorHAnsi"/>
                <w:bCs/>
                <w:szCs w:val="24"/>
              </w:rPr>
              <w:t xml:space="preserve"> at</w:t>
            </w:r>
            <w:r w:rsidR="00392439" w:rsidRPr="00104989">
              <w:rPr>
                <w:rFonts w:asciiTheme="minorHAnsi" w:hAnsiTheme="minorHAnsi"/>
                <w:bCs/>
                <w:szCs w:val="24"/>
              </w:rPr>
              <w:t xml:space="preserve"> </w:t>
            </w:r>
            <w:proofErr w:type="spellStart"/>
            <w:r w:rsidR="00392439" w:rsidRPr="00104989">
              <w:rPr>
                <w:rFonts w:asciiTheme="minorHAnsi" w:hAnsiTheme="minorHAnsi"/>
                <w:bCs/>
                <w:szCs w:val="24"/>
              </w:rPr>
              <w:t>an</w:t>
            </w:r>
            <w:proofErr w:type="spellEnd"/>
            <w:r w:rsidR="00392439" w:rsidRPr="00104989">
              <w:rPr>
                <w:rFonts w:asciiTheme="minorHAnsi" w:hAnsiTheme="minorHAnsi"/>
                <w:bCs/>
                <w:szCs w:val="24"/>
              </w:rPr>
              <w:t xml:space="preserve"> </w:t>
            </w:r>
            <w:proofErr w:type="spellStart"/>
            <w:r w:rsidR="00392439" w:rsidRPr="00104989">
              <w:rPr>
                <w:rFonts w:asciiTheme="minorHAnsi" w:hAnsiTheme="minorHAnsi"/>
                <w:bCs/>
                <w:szCs w:val="24"/>
              </w:rPr>
              <w:t>early</w:t>
            </w:r>
            <w:proofErr w:type="spellEnd"/>
            <w:r w:rsidR="00392439" w:rsidRPr="00104989">
              <w:rPr>
                <w:rFonts w:asciiTheme="minorHAnsi" w:hAnsiTheme="minorHAnsi"/>
                <w:bCs/>
                <w:szCs w:val="24"/>
              </w:rPr>
              <w:t xml:space="preserve"> </w:t>
            </w:r>
            <w:proofErr w:type="spellStart"/>
            <w:r w:rsidR="00392439" w:rsidRPr="00104989">
              <w:rPr>
                <w:rFonts w:asciiTheme="minorHAnsi" w:hAnsiTheme="minorHAnsi"/>
                <w:bCs/>
                <w:szCs w:val="24"/>
              </w:rPr>
              <w:t>stage</w:t>
            </w:r>
            <w:proofErr w:type="spellEnd"/>
            <w:r w:rsidR="00B30E3B" w:rsidRPr="00104989">
              <w:rPr>
                <w:rFonts w:asciiTheme="minorHAnsi" w:hAnsiTheme="minorHAnsi"/>
                <w:kern w:val="0"/>
                <w:szCs w:val="24"/>
                <w:lang w:val="en-US" w:eastAsia="nl-BE" w:bidi="ar-SA"/>
              </w:rPr>
              <w:t>.</w:t>
            </w:r>
            <w:r w:rsidR="00B30E3B" w:rsidRPr="00104989">
              <w:rPr>
                <w:rFonts w:asciiTheme="minorHAnsi" w:hAnsiTheme="minorHAnsi"/>
                <w:kern w:val="0"/>
                <w:lang w:val="en-US" w:eastAsia="nl-BE" w:bidi="ar-SA"/>
              </w:rPr>
              <w:t xml:space="preserve"> These views</w:t>
            </w:r>
            <w:r w:rsidR="00844937" w:rsidRPr="00104989">
              <w:rPr>
                <w:rFonts w:asciiTheme="minorHAnsi" w:hAnsiTheme="minorHAnsi"/>
                <w:kern w:val="0"/>
                <w:lang w:val="en-US" w:eastAsia="nl-BE" w:bidi="ar-SA"/>
              </w:rPr>
              <w:t xml:space="preserve"> in themselves </w:t>
            </w:r>
            <w:r w:rsidR="008D54F5" w:rsidRPr="00104989">
              <w:rPr>
                <w:rFonts w:asciiTheme="minorHAnsi" w:hAnsiTheme="minorHAnsi"/>
                <w:kern w:val="0"/>
                <w:lang w:val="en-US" w:eastAsia="nl-BE" w:bidi="ar-SA"/>
              </w:rPr>
              <w:t xml:space="preserve">should be </w:t>
            </w:r>
            <w:r w:rsidR="00844937" w:rsidRPr="00104989">
              <w:rPr>
                <w:rFonts w:asciiTheme="minorHAnsi" w:hAnsiTheme="minorHAnsi"/>
                <w:kern w:val="0"/>
                <w:lang w:val="en-US" w:eastAsia="nl-BE" w:bidi="ar-SA"/>
              </w:rPr>
              <w:t xml:space="preserve">subject to consultation. </w:t>
            </w:r>
          </w:p>
          <w:p w:rsidR="00C23FAB" w:rsidRPr="00104989" w:rsidRDefault="00C23FAB" w:rsidP="00C23FAB">
            <w:pPr>
              <w:pStyle w:val="ListParagraph"/>
              <w:numPr>
                <w:ilvl w:val="0"/>
                <w:numId w:val="35"/>
              </w:numPr>
              <w:shd w:val="clear" w:color="auto" w:fill="FFFFFF"/>
              <w:suppressAutoHyphens w:val="0"/>
              <w:spacing w:after="0" w:line="245"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There is concern over transparency in the selection of experts for the expert group meetings.</w:t>
            </w:r>
          </w:p>
          <w:p w:rsidR="00C26ACB" w:rsidRPr="00104989" w:rsidRDefault="00C26ACB" w:rsidP="00C23FAB">
            <w:pPr>
              <w:pStyle w:val="ListParagraph"/>
              <w:numPr>
                <w:ilvl w:val="0"/>
                <w:numId w:val="35"/>
              </w:numPr>
              <w:shd w:val="clear" w:color="auto" w:fill="FFFFFF"/>
              <w:suppressAutoHyphens w:val="0"/>
              <w:spacing w:after="0" w:line="245" w:lineRule="atLeast"/>
              <w:jc w:val="left"/>
              <w:rPr>
                <w:rFonts w:asciiTheme="minorHAnsi" w:hAnsiTheme="minorHAnsi"/>
                <w:kern w:val="0"/>
                <w:lang w:val="en-US" w:eastAsia="nl-BE" w:bidi="ar-SA"/>
              </w:rPr>
            </w:pPr>
            <w:proofErr w:type="spellStart"/>
            <w:r w:rsidRPr="00104989">
              <w:rPr>
                <w:rFonts w:asciiTheme="minorHAnsi" w:hAnsiTheme="minorHAnsi"/>
              </w:rPr>
              <w:t>There</w:t>
            </w:r>
            <w:proofErr w:type="spellEnd"/>
            <w:r w:rsidRPr="00104989">
              <w:rPr>
                <w:rFonts w:asciiTheme="minorHAnsi" w:hAnsiTheme="minorHAnsi"/>
              </w:rPr>
              <w:t xml:space="preserve"> </w:t>
            </w:r>
            <w:proofErr w:type="spellStart"/>
            <w:r w:rsidRPr="00104989">
              <w:rPr>
                <w:rFonts w:asciiTheme="minorHAnsi" w:hAnsiTheme="minorHAnsi"/>
              </w:rPr>
              <w:t>is</w:t>
            </w:r>
            <w:proofErr w:type="spellEnd"/>
            <w:r w:rsidRPr="00104989">
              <w:rPr>
                <w:rFonts w:asciiTheme="minorHAnsi" w:hAnsiTheme="minorHAnsi"/>
              </w:rPr>
              <w:t xml:space="preserve"> </w:t>
            </w:r>
            <w:proofErr w:type="spellStart"/>
            <w:r w:rsidRPr="00104989">
              <w:rPr>
                <w:rFonts w:asciiTheme="minorHAnsi" w:hAnsiTheme="minorHAnsi"/>
              </w:rPr>
              <w:t>concern</w:t>
            </w:r>
            <w:proofErr w:type="spellEnd"/>
            <w:r w:rsidRPr="00104989">
              <w:rPr>
                <w:rFonts w:asciiTheme="minorHAnsi" w:hAnsiTheme="minorHAnsi"/>
              </w:rPr>
              <w:t xml:space="preserve"> </w:t>
            </w:r>
            <w:proofErr w:type="spellStart"/>
            <w:r w:rsidRPr="00104989">
              <w:rPr>
                <w:rFonts w:asciiTheme="minorHAnsi" w:hAnsiTheme="minorHAnsi"/>
              </w:rPr>
              <w:t>that</w:t>
            </w:r>
            <w:proofErr w:type="spellEnd"/>
            <w:r w:rsidRPr="00104989">
              <w:rPr>
                <w:rFonts w:asciiTheme="minorHAnsi" w:hAnsiTheme="minorHAnsi"/>
              </w:rPr>
              <w:t xml:space="preserve"> </w:t>
            </w:r>
            <w:proofErr w:type="spellStart"/>
            <w:r w:rsidR="00A16EAD">
              <w:rPr>
                <w:rFonts w:asciiTheme="minorHAnsi" w:hAnsiTheme="minorHAnsi"/>
              </w:rPr>
              <w:t>there</w:t>
            </w:r>
            <w:proofErr w:type="spellEnd"/>
            <w:r w:rsidR="00A16EAD">
              <w:rPr>
                <w:rFonts w:asciiTheme="minorHAnsi" w:hAnsiTheme="minorHAnsi"/>
              </w:rPr>
              <w:t xml:space="preserve"> </w:t>
            </w:r>
            <w:proofErr w:type="spellStart"/>
            <w:r w:rsidRPr="00104989">
              <w:rPr>
                <w:rFonts w:asciiTheme="minorHAnsi" w:hAnsiTheme="minorHAnsi"/>
              </w:rPr>
              <w:t>will</w:t>
            </w:r>
            <w:proofErr w:type="spellEnd"/>
            <w:r w:rsidRPr="00104989">
              <w:rPr>
                <w:rFonts w:asciiTheme="minorHAnsi" w:hAnsiTheme="minorHAnsi"/>
              </w:rPr>
              <w:t xml:space="preserve"> </w:t>
            </w:r>
            <w:proofErr w:type="spellStart"/>
            <w:r w:rsidRPr="00104989">
              <w:rPr>
                <w:rFonts w:asciiTheme="minorHAnsi" w:hAnsiTheme="minorHAnsi"/>
              </w:rPr>
              <w:t>not</w:t>
            </w:r>
            <w:proofErr w:type="spellEnd"/>
            <w:r w:rsidRPr="00104989">
              <w:rPr>
                <w:rFonts w:asciiTheme="minorHAnsi" w:hAnsiTheme="minorHAnsi"/>
              </w:rPr>
              <w:t xml:space="preserve"> be </w:t>
            </w:r>
            <w:proofErr w:type="spellStart"/>
            <w:r w:rsidRPr="00104989">
              <w:rPr>
                <w:rFonts w:asciiTheme="minorHAnsi" w:hAnsiTheme="minorHAnsi"/>
              </w:rPr>
              <w:t>sufficient</w:t>
            </w:r>
            <w:proofErr w:type="spellEnd"/>
            <w:r w:rsidRPr="00104989">
              <w:rPr>
                <w:rFonts w:asciiTheme="minorHAnsi" w:hAnsiTheme="minorHAnsi"/>
              </w:rPr>
              <w:t xml:space="preserve"> </w:t>
            </w:r>
            <w:proofErr w:type="spellStart"/>
            <w:r w:rsidRPr="00104989">
              <w:rPr>
                <w:rFonts w:asciiTheme="minorHAnsi" w:hAnsiTheme="minorHAnsi"/>
              </w:rPr>
              <w:t>opportunity</w:t>
            </w:r>
            <w:proofErr w:type="spellEnd"/>
            <w:r w:rsidRPr="00104989">
              <w:rPr>
                <w:rFonts w:asciiTheme="minorHAnsi" w:hAnsiTheme="minorHAnsi"/>
              </w:rPr>
              <w:t xml:space="preserve"> </w:t>
            </w:r>
            <w:proofErr w:type="spellStart"/>
            <w:r w:rsidRPr="00104989">
              <w:rPr>
                <w:rFonts w:asciiTheme="minorHAnsi" w:hAnsiTheme="minorHAnsi"/>
              </w:rPr>
              <w:t>for</w:t>
            </w:r>
            <w:proofErr w:type="spellEnd"/>
            <w:r w:rsidRPr="00104989">
              <w:rPr>
                <w:rFonts w:asciiTheme="minorHAnsi" w:hAnsiTheme="minorHAnsi"/>
              </w:rPr>
              <w:t xml:space="preserve"> </w:t>
            </w:r>
            <w:proofErr w:type="spellStart"/>
            <w:r w:rsidRPr="00104989">
              <w:rPr>
                <w:rFonts w:asciiTheme="minorHAnsi" w:hAnsiTheme="minorHAnsi"/>
              </w:rPr>
              <w:t>stakeholders</w:t>
            </w:r>
            <w:proofErr w:type="spellEnd"/>
            <w:r w:rsidRPr="00104989">
              <w:rPr>
                <w:rFonts w:asciiTheme="minorHAnsi" w:hAnsiTheme="minorHAnsi"/>
              </w:rPr>
              <w:t xml:space="preserve"> </w:t>
            </w:r>
            <w:proofErr w:type="spellStart"/>
            <w:r w:rsidRPr="00104989">
              <w:rPr>
                <w:rFonts w:asciiTheme="minorHAnsi" w:hAnsiTheme="minorHAnsi"/>
              </w:rPr>
              <w:t>to</w:t>
            </w:r>
            <w:proofErr w:type="spellEnd"/>
            <w:r w:rsidRPr="00104989">
              <w:rPr>
                <w:rFonts w:asciiTheme="minorHAnsi" w:hAnsiTheme="minorHAnsi"/>
              </w:rPr>
              <w:t xml:space="preserve"> </w:t>
            </w:r>
            <w:proofErr w:type="spellStart"/>
            <w:r w:rsidRPr="00104989">
              <w:rPr>
                <w:rFonts w:asciiTheme="minorHAnsi" w:hAnsiTheme="minorHAnsi"/>
              </w:rPr>
              <w:t>check</w:t>
            </w:r>
            <w:proofErr w:type="spellEnd"/>
            <w:r w:rsidRPr="00104989">
              <w:rPr>
                <w:rFonts w:asciiTheme="minorHAnsi" w:hAnsiTheme="minorHAnsi"/>
              </w:rPr>
              <w:t xml:space="preserve"> </w:t>
            </w:r>
            <w:proofErr w:type="spellStart"/>
            <w:r w:rsidRPr="00104989">
              <w:rPr>
                <w:rFonts w:asciiTheme="minorHAnsi" w:hAnsiTheme="minorHAnsi"/>
              </w:rPr>
              <w:t>whether</w:t>
            </w:r>
            <w:proofErr w:type="spellEnd"/>
            <w:r w:rsidRPr="00104989">
              <w:rPr>
                <w:rFonts w:asciiTheme="minorHAnsi" w:hAnsiTheme="minorHAnsi"/>
              </w:rPr>
              <w:t xml:space="preserve"> </w:t>
            </w:r>
            <w:proofErr w:type="spellStart"/>
            <w:r w:rsidRPr="00104989">
              <w:rPr>
                <w:rFonts w:asciiTheme="minorHAnsi" w:hAnsiTheme="minorHAnsi"/>
              </w:rPr>
              <w:t>their</w:t>
            </w:r>
            <w:proofErr w:type="spellEnd"/>
            <w:r w:rsidRPr="00104989">
              <w:rPr>
                <w:rFonts w:asciiTheme="minorHAnsi" w:hAnsiTheme="minorHAnsi"/>
              </w:rPr>
              <w:t xml:space="preserve"> </w:t>
            </w:r>
            <w:proofErr w:type="spellStart"/>
            <w:r w:rsidRPr="00104989">
              <w:rPr>
                <w:rFonts w:asciiTheme="minorHAnsi" w:hAnsiTheme="minorHAnsi"/>
              </w:rPr>
              <w:t>comments</w:t>
            </w:r>
            <w:proofErr w:type="spellEnd"/>
            <w:r w:rsidRPr="00104989">
              <w:rPr>
                <w:rFonts w:asciiTheme="minorHAnsi" w:hAnsiTheme="minorHAnsi"/>
              </w:rPr>
              <w:t xml:space="preserve"> </w:t>
            </w:r>
            <w:proofErr w:type="spellStart"/>
            <w:r w:rsidRPr="00104989">
              <w:rPr>
                <w:rFonts w:asciiTheme="minorHAnsi" w:hAnsiTheme="minorHAnsi"/>
              </w:rPr>
              <w:t>on</w:t>
            </w:r>
            <w:proofErr w:type="spellEnd"/>
            <w:r w:rsidRPr="00104989">
              <w:rPr>
                <w:rFonts w:asciiTheme="minorHAnsi" w:hAnsiTheme="minorHAnsi"/>
              </w:rPr>
              <w:t xml:space="preserve"> </w:t>
            </w:r>
            <w:proofErr w:type="spellStart"/>
            <w:r w:rsidRPr="00104989">
              <w:rPr>
                <w:rFonts w:asciiTheme="minorHAnsi" w:hAnsiTheme="minorHAnsi"/>
              </w:rPr>
              <w:t>the</w:t>
            </w:r>
            <w:proofErr w:type="spellEnd"/>
            <w:r w:rsidRPr="00104989">
              <w:rPr>
                <w:rFonts w:asciiTheme="minorHAnsi" w:hAnsiTheme="minorHAnsi"/>
              </w:rPr>
              <w:t xml:space="preserve"> </w:t>
            </w:r>
            <w:proofErr w:type="spellStart"/>
            <w:r w:rsidRPr="00104989">
              <w:rPr>
                <w:rFonts w:asciiTheme="minorHAnsi" w:hAnsiTheme="minorHAnsi"/>
              </w:rPr>
              <w:t>detailed</w:t>
            </w:r>
            <w:proofErr w:type="spellEnd"/>
            <w:r w:rsidRPr="00104989">
              <w:rPr>
                <w:rFonts w:asciiTheme="minorHAnsi" w:hAnsiTheme="minorHAnsi"/>
              </w:rPr>
              <w:t xml:space="preserve"> </w:t>
            </w:r>
            <w:proofErr w:type="spellStart"/>
            <w:r w:rsidRPr="00104989">
              <w:rPr>
                <w:rFonts w:asciiTheme="minorHAnsi" w:hAnsiTheme="minorHAnsi"/>
              </w:rPr>
              <w:t>requirements</w:t>
            </w:r>
            <w:proofErr w:type="spellEnd"/>
            <w:r w:rsidRPr="00104989">
              <w:rPr>
                <w:rFonts w:asciiTheme="minorHAnsi" w:hAnsiTheme="minorHAnsi"/>
              </w:rPr>
              <w:t xml:space="preserve"> </w:t>
            </w:r>
            <w:proofErr w:type="spellStart"/>
            <w:r w:rsidRPr="00104989">
              <w:rPr>
                <w:rFonts w:asciiTheme="minorHAnsi" w:hAnsiTheme="minorHAnsi"/>
              </w:rPr>
              <w:t>were</w:t>
            </w:r>
            <w:proofErr w:type="spellEnd"/>
            <w:r w:rsidRPr="00104989">
              <w:rPr>
                <w:rFonts w:asciiTheme="minorHAnsi" w:hAnsiTheme="minorHAnsi"/>
              </w:rPr>
              <w:t xml:space="preserve"> </w:t>
            </w:r>
            <w:proofErr w:type="spellStart"/>
            <w:r w:rsidRPr="00104989">
              <w:rPr>
                <w:rFonts w:asciiTheme="minorHAnsi" w:hAnsiTheme="minorHAnsi"/>
              </w:rPr>
              <w:t>incorporated</w:t>
            </w:r>
            <w:proofErr w:type="spellEnd"/>
            <w:r w:rsidRPr="00104989">
              <w:rPr>
                <w:rFonts w:asciiTheme="minorHAnsi" w:hAnsiTheme="minorHAnsi"/>
              </w:rPr>
              <w:t xml:space="preserve"> </w:t>
            </w:r>
            <w:proofErr w:type="spellStart"/>
            <w:r w:rsidRPr="00104989">
              <w:rPr>
                <w:rFonts w:asciiTheme="minorHAnsi" w:hAnsiTheme="minorHAnsi"/>
              </w:rPr>
              <w:t>before</w:t>
            </w:r>
            <w:proofErr w:type="spellEnd"/>
            <w:r w:rsidRPr="00104989">
              <w:rPr>
                <w:rFonts w:asciiTheme="minorHAnsi" w:hAnsiTheme="minorHAnsi"/>
              </w:rPr>
              <w:t xml:space="preserve"> </w:t>
            </w:r>
            <w:proofErr w:type="spellStart"/>
            <w:r w:rsidRPr="00104989">
              <w:rPr>
                <w:rFonts w:asciiTheme="minorHAnsi" w:hAnsiTheme="minorHAnsi"/>
              </w:rPr>
              <w:t>the</w:t>
            </w:r>
            <w:proofErr w:type="spellEnd"/>
            <w:r w:rsidRPr="00104989">
              <w:rPr>
                <w:rFonts w:asciiTheme="minorHAnsi" w:hAnsiTheme="minorHAnsi"/>
              </w:rPr>
              <w:t xml:space="preserve"> </w:t>
            </w:r>
            <w:proofErr w:type="spellStart"/>
            <w:r w:rsidRPr="00104989">
              <w:rPr>
                <w:rFonts w:asciiTheme="minorHAnsi" w:hAnsiTheme="minorHAnsi"/>
              </w:rPr>
              <w:t>policies</w:t>
            </w:r>
            <w:proofErr w:type="spellEnd"/>
            <w:r w:rsidRPr="00104989">
              <w:rPr>
                <w:rFonts w:asciiTheme="minorHAnsi" w:hAnsiTheme="minorHAnsi"/>
              </w:rPr>
              <w:t xml:space="preserve"> </w:t>
            </w:r>
            <w:proofErr w:type="spellStart"/>
            <w:r w:rsidR="00A16EAD">
              <w:rPr>
                <w:rFonts w:asciiTheme="minorHAnsi" w:hAnsiTheme="minorHAnsi"/>
              </w:rPr>
              <w:t>go</w:t>
            </w:r>
            <w:proofErr w:type="spellEnd"/>
            <w:r w:rsidR="00A16EAD">
              <w:rPr>
                <w:rFonts w:asciiTheme="minorHAnsi" w:hAnsiTheme="minorHAnsi"/>
              </w:rPr>
              <w:t xml:space="preserve"> </w:t>
            </w:r>
            <w:proofErr w:type="spellStart"/>
            <w:r w:rsidRPr="00104989">
              <w:rPr>
                <w:rFonts w:asciiTheme="minorHAnsi" w:hAnsiTheme="minorHAnsi"/>
              </w:rPr>
              <w:t>to</w:t>
            </w:r>
            <w:proofErr w:type="spellEnd"/>
            <w:r w:rsidRPr="00104989">
              <w:rPr>
                <w:rFonts w:asciiTheme="minorHAnsi" w:hAnsiTheme="minorHAnsi"/>
              </w:rPr>
              <w:t xml:space="preserve"> </w:t>
            </w:r>
            <w:proofErr w:type="spellStart"/>
            <w:r w:rsidRPr="00104989">
              <w:rPr>
                <w:rFonts w:asciiTheme="minorHAnsi" w:hAnsiTheme="minorHAnsi"/>
              </w:rPr>
              <w:t>the</w:t>
            </w:r>
            <w:proofErr w:type="spellEnd"/>
            <w:r w:rsidRPr="00104989">
              <w:rPr>
                <w:rFonts w:asciiTheme="minorHAnsi" w:hAnsiTheme="minorHAnsi"/>
              </w:rPr>
              <w:t xml:space="preserve"> </w:t>
            </w:r>
            <w:proofErr w:type="spellStart"/>
            <w:r w:rsidR="00A16EAD">
              <w:rPr>
                <w:rFonts w:asciiTheme="minorHAnsi" w:hAnsiTheme="minorHAnsi"/>
              </w:rPr>
              <w:t>B</w:t>
            </w:r>
            <w:r w:rsidRPr="00104989">
              <w:rPr>
                <w:rFonts w:asciiTheme="minorHAnsi" w:hAnsiTheme="minorHAnsi"/>
              </w:rPr>
              <w:t>oard</w:t>
            </w:r>
            <w:proofErr w:type="spellEnd"/>
            <w:r w:rsidRPr="00104989">
              <w:rPr>
                <w:rFonts w:asciiTheme="minorHAnsi" w:hAnsiTheme="minorHAnsi"/>
              </w:rPr>
              <w:t xml:space="preserve"> </w:t>
            </w:r>
            <w:proofErr w:type="spellStart"/>
            <w:r w:rsidRPr="00104989">
              <w:rPr>
                <w:rFonts w:asciiTheme="minorHAnsi" w:hAnsiTheme="minorHAnsi"/>
              </w:rPr>
              <w:t>for</w:t>
            </w:r>
            <w:proofErr w:type="spellEnd"/>
            <w:r w:rsidRPr="00104989">
              <w:rPr>
                <w:rFonts w:asciiTheme="minorHAnsi" w:hAnsiTheme="minorHAnsi"/>
              </w:rPr>
              <w:t xml:space="preserve"> </w:t>
            </w:r>
            <w:proofErr w:type="spellStart"/>
            <w:r w:rsidRPr="00104989">
              <w:rPr>
                <w:rFonts w:asciiTheme="minorHAnsi" w:hAnsiTheme="minorHAnsi"/>
              </w:rPr>
              <w:t>approval</w:t>
            </w:r>
            <w:proofErr w:type="spellEnd"/>
            <w:r w:rsidR="00A16EAD">
              <w:rPr>
                <w:rFonts w:asciiTheme="minorHAnsi" w:hAnsiTheme="minorHAnsi"/>
              </w:rPr>
              <w:t>.</w:t>
            </w:r>
          </w:p>
          <w:p w:rsidR="00260C96" w:rsidRPr="00104989" w:rsidRDefault="00260C96" w:rsidP="00260C96">
            <w:pPr>
              <w:pStyle w:val="ListParagraph"/>
              <w:numPr>
                <w:ilvl w:val="0"/>
                <w:numId w:val="35"/>
              </w:numPr>
              <w:shd w:val="clear" w:color="auto" w:fill="FFFFFF"/>
              <w:suppressAutoHyphens w:val="0"/>
              <w:spacing w:after="0" w:line="245" w:lineRule="atLeast"/>
              <w:jc w:val="left"/>
              <w:rPr>
                <w:rFonts w:asciiTheme="minorHAnsi" w:hAnsiTheme="minorHAnsi"/>
                <w:kern w:val="0"/>
                <w:lang w:val="en-US" w:eastAsia="nl-BE" w:bidi="ar-SA"/>
              </w:rPr>
            </w:pPr>
            <w:r w:rsidRPr="00104989">
              <w:rPr>
                <w:rFonts w:asciiTheme="minorHAnsi" w:hAnsiTheme="minorHAnsi"/>
                <w:kern w:val="0"/>
                <w:lang w:val="en-US" w:eastAsia="nl-BE" w:bidi="ar-SA"/>
              </w:rPr>
              <w:t xml:space="preserve">Some stakeholders would like to see their comments already reflected in the </w:t>
            </w:r>
            <w:r w:rsidR="00A16EAD">
              <w:rPr>
                <w:rFonts w:asciiTheme="minorHAnsi" w:hAnsiTheme="minorHAnsi"/>
                <w:kern w:val="0"/>
                <w:lang w:val="en-US" w:eastAsia="nl-BE" w:bidi="ar-SA"/>
              </w:rPr>
              <w:t xml:space="preserve">Bank’s </w:t>
            </w:r>
            <w:r w:rsidRPr="00104989">
              <w:rPr>
                <w:rFonts w:asciiTheme="minorHAnsi" w:hAnsiTheme="minorHAnsi"/>
                <w:kern w:val="0"/>
                <w:lang w:val="en-US" w:eastAsia="nl-BE" w:bidi="ar-SA"/>
              </w:rPr>
              <w:t>first draft of the Policy before its</w:t>
            </w:r>
            <w:r w:rsidR="00A16EAD">
              <w:rPr>
                <w:rFonts w:asciiTheme="minorHAnsi" w:hAnsiTheme="minorHAnsi"/>
                <w:kern w:val="0"/>
                <w:lang w:val="en-US" w:eastAsia="nl-BE" w:bidi="ar-SA"/>
              </w:rPr>
              <w:t xml:space="preserve"> </w:t>
            </w:r>
            <w:r w:rsidRPr="00104989">
              <w:rPr>
                <w:rFonts w:asciiTheme="minorHAnsi" w:hAnsiTheme="minorHAnsi"/>
                <w:kern w:val="0"/>
                <w:lang w:val="en-US" w:eastAsia="nl-BE" w:bidi="ar-SA"/>
              </w:rPr>
              <w:t xml:space="preserve">review by the </w:t>
            </w:r>
            <w:r w:rsidR="00A16EAD">
              <w:rPr>
                <w:rFonts w:asciiTheme="minorHAnsi" w:hAnsiTheme="minorHAnsi"/>
                <w:kern w:val="0"/>
                <w:lang w:val="en-US" w:eastAsia="nl-BE" w:bidi="ar-SA"/>
              </w:rPr>
              <w:t>B</w:t>
            </w:r>
            <w:r w:rsidRPr="00104989">
              <w:rPr>
                <w:rFonts w:asciiTheme="minorHAnsi" w:hAnsiTheme="minorHAnsi"/>
                <w:kern w:val="0"/>
                <w:lang w:val="en-US" w:eastAsia="nl-BE" w:bidi="ar-SA"/>
              </w:rPr>
              <w:t>oard.</w:t>
            </w:r>
          </w:p>
          <w:p w:rsidR="00391E63" w:rsidRPr="00104989" w:rsidRDefault="00A16EAD" w:rsidP="00260C96">
            <w:pPr>
              <w:pStyle w:val="ListParagraph"/>
              <w:numPr>
                <w:ilvl w:val="0"/>
                <w:numId w:val="35"/>
              </w:numPr>
              <w:shd w:val="clear" w:color="auto" w:fill="FFFFFF"/>
              <w:suppressAutoHyphens w:val="0"/>
              <w:spacing w:after="0" w:line="245" w:lineRule="atLeast"/>
              <w:jc w:val="left"/>
              <w:rPr>
                <w:rFonts w:asciiTheme="minorHAnsi" w:hAnsiTheme="minorHAnsi"/>
                <w:kern w:val="0"/>
                <w:lang w:val="en-US" w:eastAsia="nl-BE" w:bidi="ar-SA"/>
              </w:rPr>
            </w:pPr>
            <w:r>
              <w:rPr>
                <w:rFonts w:asciiTheme="minorHAnsi" w:hAnsiTheme="minorHAnsi"/>
                <w:kern w:val="0"/>
                <w:lang w:val="en-US" w:eastAsia="nl-BE" w:bidi="ar-SA"/>
              </w:rPr>
              <w:t xml:space="preserve">Bank </w:t>
            </w:r>
            <w:r w:rsidR="00CA2B9B" w:rsidRPr="00104989">
              <w:rPr>
                <w:rFonts w:asciiTheme="minorHAnsi" w:hAnsiTheme="minorHAnsi"/>
                <w:kern w:val="0"/>
                <w:lang w:val="en-US" w:eastAsia="nl-BE" w:bidi="ar-SA"/>
              </w:rPr>
              <w:t>staff from the Sustainab</w:t>
            </w:r>
            <w:r w:rsidR="00260C96" w:rsidRPr="00104989">
              <w:rPr>
                <w:rFonts w:asciiTheme="minorHAnsi" w:hAnsiTheme="minorHAnsi"/>
                <w:kern w:val="0"/>
                <w:lang w:val="en-US" w:eastAsia="nl-BE" w:bidi="ar-SA"/>
              </w:rPr>
              <w:t>le Development Network should have been better involved in the consultations</w:t>
            </w:r>
            <w:r w:rsidR="00C45633" w:rsidRPr="00104989">
              <w:rPr>
                <w:rFonts w:asciiTheme="minorHAnsi" w:hAnsiTheme="minorHAnsi"/>
                <w:kern w:val="0"/>
                <w:lang w:val="en-US" w:eastAsia="nl-BE" w:bidi="ar-SA"/>
              </w:rPr>
              <w:t>, as they implement the safeguard polic</w:t>
            </w:r>
            <w:r>
              <w:rPr>
                <w:rFonts w:asciiTheme="minorHAnsi" w:hAnsiTheme="minorHAnsi"/>
                <w:kern w:val="0"/>
                <w:lang w:val="en-US" w:eastAsia="nl-BE" w:bidi="ar-SA"/>
              </w:rPr>
              <w:t>ies</w:t>
            </w:r>
            <w:r w:rsidR="00C45633" w:rsidRPr="00104989">
              <w:rPr>
                <w:rFonts w:asciiTheme="minorHAnsi" w:hAnsiTheme="minorHAnsi"/>
                <w:kern w:val="0"/>
                <w:lang w:val="en-US" w:eastAsia="nl-BE" w:bidi="ar-SA"/>
              </w:rPr>
              <w:t xml:space="preserve"> on the ground.</w:t>
            </w:r>
          </w:p>
          <w:p w:rsidR="00260C96" w:rsidRPr="00104989" w:rsidRDefault="00260C96" w:rsidP="00260C96">
            <w:pPr>
              <w:pStyle w:val="ListParagraph"/>
              <w:numPr>
                <w:ilvl w:val="0"/>
                <w:numId w:val="35"/>
              </w:numPr>
              <w:shd w:val="clear" w:color="auto" w:fill="FFFFFF"/>
              <w:suppressAutoHyphens w:val="0"/>
              <w:spacing w:after="0" w:line="245" w:lineRule="atLeast"/>
              <w:jc w:val="left"/>
              <w:rPr>
                <w:rFonts w:asciiTheme="minorHAnsi" w:hAnsiTheme="minorHAnsi"/>
                <w:color w:val="444444"/>
                <w:kern w:val="0"/>
                <w:lang w:val="en-US" w:eastAsia="nl-BE" w:bidi="ar-SA"/>
              </w:rPr>
            </w:pPr>
            <w:r w:rsidRPr="00104989">
              <w:rPr>
                <w:rFonts w:asciiTheme="minorHAnsi" w:hAnsiTheme="minorHAnsi"/>
                <w:kern w:val="0"/>
                <w:lang w:val="en-US" w:eastAsia="nl-BE" w:bidi="ar-SA"/>
              </w:rPr>
              <w:t>A new safeguard is needed to address issues relating to tax evasion.</w:t>
            </w:r>
            <w:r w:rsidRPr="00104989">
              <w:rPr>
                <w:rFonts w:asciiTheme="minorHAnsi" w:hAnsiTheme="minorHAnsi"/>
                <w:color w:val="444444"/>
                <w:kern w:val="0"/>
                <w:lang w:val="en-US" w:eastAsia="nl-BE" w:bidi="ar-SA"/>
              </w:rPr>
              <w:t xml:space="preserve"> </w:t>
            </w:r>
          </w:p>
        </w:tc>
      </w:tr>
    </w:tbl>
    <w:p w:rsidR="0041268A" w:rsidRPr="00883EDE" w:rsidRDefault="0041268A" w:rsidP="00E83950">
      <w:pPr>
        <w:rPr>
          <w:rFonts w:asciiTheme="majorHAnsi" w:hAnsiTheme="majorHAnsi"/>
          <w:b/>
          <w:color w:val="17365D" w:themeColor="text2" w:themeShade="BF"/>
        </w:rPr>
      </w:pPr>
    </w:p>
    <w:sectPr w:rsidR="0041268A" w:rsidRPr="00883EDE" w:rsidSect="00B87E22">
      <w:headerReference w:type="default" r:id="rId13"/>
      <w:footerReference w:type="even" r:id="rId14"/>
      <w:footerReference w:type="default" r:id="rId15"/>
      <w:pgSz w:w="12240" w:h="15840"/>
      <w:pgMar w:top="360" w:right="720" w:bottom="720" w:left="720"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5D" w:rsidRDefault="00B12C5D">
      <w:pPr>
        <w:spacing w:after="0" w:line="240" w:lineRule="auto"/>
      </w:pPr>
      <w:r>
        <w:separator/>
      </w:r>
    </w:p>
  </w:endnote>
  <w:endnote w:type="continuationSeparator" w:id="0">
    <w:p w:rsidR="00B12C5D" w:rsidRDefault="00B1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89" w:rsidRDefault="00F22B92">
    <w:pPr>
      <w:pStyle w:val="Footer"/>
    </w:pPr>
    <w:r>
      <w:fldChar w:fldCharType="begin"/>
    </w:r>
    <w:r w:rsidR="001844B4">
      <w:instrText xml:space="preserve"> PAGE </w:instrText>
    </w:r>
    <w:r>
      <w:fldChar w:fldCharType="separate"/>
    </w:r>
    <w:r w:rsidR="00104989">
      <w:rPr>
        <w:noProof/>
      </w:rPr>
      <w:t>4</w:t>
    </w:r>
    <w:r>
      <w:rPr>
        <w:noProof/>
      </w:rPr>
      <w:fldChar w:fldCharType="end"/>
    </w:r>
  </w:p>
  <w:p w:rsidR="00104989" w:rsidRDefault="001049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89" w:rsidRDefault="00B87E22">
    <w:pPr>
      <w:pStyle w:val="Footer"/>
    </w:pPr>
    <w:r>
      <w:rPr>
        <w:noProof/>
        <w:lang w:val="en-US" w:eastAsia="en-US" w:bidi="ar-SA"/>
      </w:rPr>
      <w:pict>
        <v:shapetype id="_x0000_t202" coordsize="21600,21600" o:spt="202" path="m,l,21600r21600,l21600,xe">
          <v:stroke joinstyle="miter"/>
          <v:path gradientshapeok="t" o:connecttype="rect"/>
        </v:shapetype>
        <v:shape id="Text Box 1" o:spid="_x0000_s4097" type="#_x0000_t202" style="position:absolute;margin-left:743.3pt;margin-top:9.95pt;width:5.85pt;height:13.6pt;z-index:251656192;visibility:visible;mso-wrap-distance-left:675.95pt;mso-wrap-distance-right:675.9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" stroked="f">
          <v:textbox inset="0,0,0,0">
            <w:txbxContent>
              <w:p w:rsidR="00104989" w:rsidRPr="00EB75B9" w:rsidRDefault="00104989" w:rsidP="00EB75B9"/>
            </w:txbxContent>
          </v:textbox>
          <w10:wrap type="square" side="largest" anchorx="page"/>
        </v:shape>
      </w:pict>
    </w:r>
  </w:p>
  <w:p w:rsidR="00104989" w:rsidRDefault="001049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5D" w:rsidRDefault="00B12C5D">
      <w:pPr>
        <w:spacing w:after="0" w:line="240" w:lineRule="auto"/>
      </w:pPr>
      <w:r>
        <w:separator/>
      </w:r>
    </w:p>
  </w:footnote>
  <w:footnote w:type="continuationSeparator" w:id="0">
    <w:p w:rsidR="00B12C5D" w:rsidRDefault="00B12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89" w:rsidRDefault="00104989">
    <w:pPr>
      <w:pStyle w:val="Header"/>
      <w:rPr>
        <w:sz w:val="18"/>
        <w:szCs w:val="18"/>
      </w:rPr>
    </w:pPr>
  </w:p>
  <w:p w:rsidR="00104989" w:rsidRPr="00ED2123" w:rsidRDefault="00104989">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964B4"/>
    <w:multiLevelType w:val="hybridMultilevel"/>
    <w:tmpl w:val="16680C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C047D"/>
    <w:multiLevelType w:val="hybridMultilevel"/>
    <w:tmpl w:val="93C20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F0698"/>
    <w:multiLevelType w:val="hybridMultilevel"/>
    <w:tmpl w:val="BC60607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C4F6C"/>
    <w:multiLevelType w:val="hybridMultilevel"/>
    <w:tmpl w:val="3508D0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555449AA"/>
    <w:multiLevelType w:val="hybridMultilevel"/>
    <w:tmpl w:val="6668FA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B46E7"/>
    <w:multiLevelType w:val="hybridMultilevel"/>
    <w:tmpl w:val="24A2A7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73F71BFD"/>
    <w:multiLevelType w:val="hybridMultilevel"/>
    <w:tmpl w:val="E1B68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74B92199"/>
    <w:multiLevelType w:val="hybridMultilevel"/>
    <w:tmpl w:val="4F68C1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5"/>
  </w:num>
  <w:num w:numId="2">
    <w:abstractNumId w:val="22"/>
  </w:num>
  <w:num w:numId="3">
    <w:abstractNumId w:val="34"/>
  </w:num>
  <w:num w:numId="4">
    <w:abstractNumId w:val="23"/>
  </w:num>
  <w:num w:numId="5">
    <w:abstractNumId w:val="20"/>
  </w:num>
  <w:num w:numId="6">
    <w:abstractNumId w:val="29"/>
  </w:num>
  <w:num w:numId="7">
    <w:abstractNumId w:val="36"/>
  </w:num>
  <w:num w:numId="8">
    <w:abstractNumId w:val="37"/>
  </w:num>
  <w:num w:numId="9">
    <w:abstractNumId w:val="32"/>
  </w:num>
  <w:num w:numId="10">
    <w:abstractNumId w:val="11"/>
  </w:num>
  <w:num w:numId="11">
    <w:abstractNumId w:val="2"/>
  </w:num>
  <w:num w:numId="12">
    <w:abstractNumId w:val="9"/>
  </w:num>
  <w:num w:numId="13">
    <w:abstractNumId w:val="7"/>
  </w:num>
  <w:num w:numId="14">
    <w:abstractNumId w:val="5"/>
  </w:num>
  <w:num w:numId="15">
    <w:abstractNumId w:val="27"/>
  </w:num>
  <w:num w:numId="16">
    <w:abstractNumId w:val="4"/>
  </w:num>
  <w:num w:numId="17">
    <w:abstractNumId w:val="28"/>
  </w:num>
  <w:num w:numId="18">
    <w:abstractNumId w:val="8"/>
  </w:num>
  <w:num w:numId="19">
    <w:abstractNumId w:val="15"/>
  </w:num>
  <w:num w:numId="20">
    <w:abstractNumId w:val="6"/>
  </w:num>
  <w:num w:numId="21">
    <w:abstractNumId w:val="10"/>
  </w:num>
  <w:num w:numId="22">
    <w:abstractNumId w:val="19"/>
  </w:num>
  <w:num w:numId="23">
    <w:abstractNumId w:val="30"/>
  </w:num>
  <w:num w:numId="24">
    <w:abstractNumId w:val="26"/>
  </w:num>
  <w:num w:numId="25">
    <w:abstractNumId w:val="12"/>
  </w:num>
  <w:num w:numId="26">
    <w:abstractNumId w:val="21"/>
  </w:num>
  <w:num w:numId="27">
    <w:abstractNumId w:val="13"/>
  </w:num>
  <w:num w:numId="28">
    <w:abstractNumId w:val="17"/>
  </w:num>
  <w:num w:numId="29">
    <w:abstractNumId w:val="14"/>
  </w:num>
  <w:num w:numId="30">
    <w:abstractNumId w:val="18"/>
  </w:num>
  <w:num w:numId="31">
    <w:abstractNumId w:val="1"/>
  </w:num>
  <w:num w:numId="32">
    <w:abstractNumId w:val="31"/>
  </w:num>
  <w:num w:numId="33">
    <w:abstractNumId w:val="16"/>
  </w:num>
  <w:num w:numId="34">
    <w:abstractNumId w:val="3"/>
  </w:num>
  <w:num w:numId="35">
    <w:abstractNumId w:val="24"/>
  </w:num>
  <w:num w:numId="36">
    <w:abstractNumId w:val="35"/>
  </w:num>
  <w:num w:numId="3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255A"/>
    <w:rsid w:val="00007DA4"/>
    <w:rsid w:val="00014E36"/>
    <w:rsid w:val="000225BA"/>
    <w:rsid w:val="0002336F"/>
    <w:rsid w:val="00024DD6"/>
    <w:rsid w:val="00025F91"/>
    <w:rsid w:val="00026C80"/>
    <w:rsid w:val="00026FE3"/>
    <w:rsid w:val="00030C2C"/>
    <w:rsid w:val="00032054"/>
    <w:rsid w:val="000328E3"/>
    <w:rsid w:val="00033932"/>
    <w:rsid w:val="0003575B"/>
    <w:rsid w:val="0003735C"/>
    <w:rsid w:val="00037CDC"/>
    <w:rsid w:val="00037D98"/>
    <w:rsid w:val="00042252"/>
    <w:rsid w:val="000423C3"/>
    <w:rsid w:val="00050278"/>
    <w:rsid w:val="00052126"/>
    <w:rsid w:val="00052A60"/>
    <w:rsid w:val="000568E5"/>
    <w:rsid w:val="000615B0"/>
    <w:rsid w:val="000701AB"/>
    <w:rsid w:val="000744EF"/>
    <w:rsid w:val="000815A9"/>
    <w:rsid w:val="00081AF6"/>
    <w:rsid w:val="00083CB4"/>
    <w:rsid w:val="00092809"/>
    <w:rsid w:val="00093B2C"/>
    <w:rsid w:val="00097805"/>
    <w:rsid w:val="000A1804"/>
    <w:rsid w:val="000A6D16"/>
    <w:rsid w:val="000A7F3E"/>
    <w:rsid w:val="000B2DE8"/>
    <w:rsid w:val="000B3468"/>
    <w:rsid w:val="000C05A5"/>
    <w:rsid w:val="000C1BD5"/>
    <w:rsid w:val="000C228B"/>
    <w:rsid w:val="000C51A0"/>
    <w:rsid w:val="000C60DE"/>
    <w:rsid w:val="000D0B99"/>
    <w:rsid w:val="000D1AEB"/>
    <w:rsid w:val="000D2C0A"/>
    <w:rsid w:val="000D65F8"/>
    <w:rsid w:val="000D742B"/>
    <w:rsid w:val="000E4A9F"/>
    <w:rsid w:val="000E5A24"/>
    <w:rsid w:val="000E5F00"/>
    <w:rsid w:val="000E6B6A"/>
    <w:rsid w:val="000F248E"/>
    <w:rsid w:val="000F3983"/>
    <w:rsid w:val="000F3E02"/>
    <w:rsid w:val="000F42AD"/>
    <w:rsid w:val="000F70D2"/>
    <w:rsid w:val="00101AD6"/>
    <w:rsid w:val="00104989"/>
    <w:rsid w:val="00112D59"/>
    <w:rsid w:val="00116045"/>
    <w:rsid w:val="0011666B"/>
    <w:rsid w:val="0012738A"/>
    <w:rsid w:val="0013530E"/>
    <w:rsid w:val="0014341F"/>
    <w:rsid w:val="00143686"/>
    <w:rsid w:val="00144343"/>
    <w:rsid w:val="001453DE"/>
    <w:rsid w:val="001467E0"/>
    <w:rsid w:val="0015696B"/>
    <w:rsid w:val="001603D5"/>
    <w:rsid w:val="00165F5F"/>
    <w:rsid w:val="00166F32"/>
    <w:rsid w:val="00170112"/>
    <w:rsid w:val="0017095E"/>
    <w:rsid w:val="001737D3"/>
    <w:rsid w:val="00173A55"/>
    <w:rsid w:val="00173E2F"/>
    <w:rsid w:val="0017439C"/>
    <w:rsid w:val="00174746"/>
    <w:rsid w:val="00180399"/>
    <w:rsid w:val="001844B4"/>
    <w:rsid w:val="00185589"/>
    <w:rsid w:val="0018566C"/>
    <w:rsid w:val="001958FD"/>
    <w:rsid w:val="00195AA9"/>
    <w:rsid w:val="00196734"/>
    <w:rsid w:val="001969FB"/>
    <w:rsid w:val="001A131C"/>
    <w:rsid w:val="001A7BD2"/>
    <w:rsid w:val="001B3819"/>
    <w:rsid w:val="001B3D64"/>
    <w:rsid w:val="001B5FD2"/>
    <w:rsid w:val="001B6254"/>
    <w:rsid w:val="001C0DF8"/>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48F1"/>
    <w:rsid w:val="002253F7"/>
    <w:rsid w:val="00227180"/>
    <w:rsid w:val="00232712"/>
    <w:rsid w:val="0023392A"/>
    <w:rsid w:val="00236099"/>
    <w:rsid w:val="0023669B"/>
    <w:rsid w:val="0024205F"/>
    <w:rsid w:val="00255132"/>
    <w:rsid w:val="00260C96"/>
    <w:rsid w:val="002648AA"/>
    <w:rsid w:val="002659D6"/>
    <w:rsid w:val="00266808"/>
    <w:rsid w:val="002705F9"/>
    <w:rsid w:val="002717AA"/>
    <w:rsid w:val="0027488F"/>
    <w:rsid w:val="002801FD"/>
    <w:rsid w:val="00283919"/>
    <w:rsid w:val="00291C9B"/>
    <w:rsid w:val="00292E6E"/>
    <w:rsid w:val="00295A21"/>
    <w:rsid w:val="002A53A4"/>
    <w:rsid w:val="002A5680"/>
    <w:rsid w:val="002A673A"/>
    <w:rsid w:val="002A6B80"/>
    <w:rsid w:val="002A7906"/>
    <w:rsid w:val="002B67F6"/>
    <w:rsid w:val="002C02C4"/>
    <w:rsid w:val="002C1A68"/>
    <w:rsid w:val="002C26F1"/>
    <w:rsid w:val="002D786E"/>
    <w:rsid w:val="002E1692"/>
    <w:rsid w:val="002E3DC8"/>
    <w:rsid w:val="002E41DA"/>
    <w:rsid w:val="002E7551"/>
    <w:rsid w:val="002E7FA4"/>
    <w:rsid w:val="002F017A"/>
    <w:rsid w:val="002F0F6D"/>
    <w:rsid w:val="002F156A"/>
    <w:rsid w:val="002F5B95"/>
    <w:rsid w:val="0030042C"/>
    <w:rsid w:val="00306114"/>
    <w:rsid w:val="00306208"/>
    <w:rsid w:val="00307AD9"/>
    <w:rsid w:val="00307B5D"/>
    <w:rsid w:val="00311CAC"/>
    <w:rsid w:val="0031223D"/>
    <w:rsid w:val="00312459"/>
    <w:rsid w:val="00312956"/>
    <w:rsid w:val="0031379B"/>
    <w:rsid w:val="00314A09"/>
    <w:rsid w:val="0031691C"/>
    <w:rsid w:val="00320395"/>
    <w:rsid w:val="00320F96"/>
    <w:rsid w:val="00323CE8"/>
    <w:rsid w:val="00327933"/>
    <w:rsid w:val="00337BD2"/>
    <w:rsid w:val="003402AA"/>
    <w:rsid w:val="00344222"/>
    <w:rsid w:val="00345D6C"/>
    <w:rsid w:val="003507ED"/>
    <w:rsid w:val="00352378"/>
    <w:rsid w:val="00353D85"/>
    <w:rsid w:val="00353E83"/>
    <w:rsid w:val="00354731"/>
    <w:rsid w:val="003559C0"/>
    <w:rsid w:val="0035744E"/>
    <w:rsid w:val="00361A5B"/>
    <w:rsid w:val="00367E63"/>
    <w:rsid w:val="00372BAA"/>
    <w:rsid w:val="003739E9"/>
    <w:rsid w:val="00374FDF"/>
    <w:rsid w:val="003811B9"/>
    <w:rsid w:val="00386344"/>
    <w:rsid w:val="00387008"/>
    <w:rsid w:val="0039156C"/>
    <w:rsid w:val="003918B3"/>
    <w:rsid w:val="00391E63"/>
    <w:rsid w:val="00392439"/>
    <w:rsid w:val="003942AC"/>
    <w:rsid w:val="00394329"/>
    <w:rsid w:val="00394346"/>
    <w:rsid w:val="003A366A"/>
    <w:rsid w:val="003B013D"/>
    <w:rsid w:val="003B06D5"/>
    <w:rsid w:val="003B07BE"/>
    <w:rsid w:val="003B14C5"/>
    <w:rsid w:val="003B34CF"/>
    <w:rsid w:val="003C798A"/>
    <w:rsid w:val="003D1475"/>
    <w:rsid w:val="003D1587"/>
    <w:rsid w:val="003D4776"/>
    <w:rsid w:val="003D5011"/>
    <w:rsid w:val="003D686C"/>
    <w:rsid w:val="003E1AAE"/>
    <w:rsid w:val="003E2779"/>
    <w:rsid w:val="003E32AF"/>
    <w:rsid w:val="003F2F60"/>
    <w:rsid w:val="003F309E"/>
    <w:rsid w:val="0040761E"/>
    <w:rsid w:val="0041268A"/>
    <w:rsid w:val="00416EDE"/>
    <w:rsid w:val="00424C82"/>
    <w:rsid w:val="00426B51"/>
    <w:rsid w:val="004300A7"/>
    <w:rsid w:val="00431D5F"/>
    <w:rsid w:val="00436033"/>
    <w:rsid w:val="00442D97"/>
    <w:rsid w:val="00443EEF"/>
    <w:rsid w:val="00446D15"/>
    <w:rsid w:val="00452A11"/>
    <w:rsid w:val="00457F6D"/>
    <w:rsid w:val="0046032B"/>
    <w:rsid w:val="004604F5"/>
    <w:rsid w:val="00466CE3"/>
    <w:rsid w:val="00473315"/>
    <w:rsid w:val="00474F9B"/>
    <w:rsid w:val="00481ACF"/>
    <w:rsid w:val="00482CE6"/>
    <w:rsid w:val="00491A35"/>
    <w:rsid w:val="00491D90"/>
    <w:rsid w:val="0049389F"/>
    <w:rsid w:val="00496A48"/>
    <w:rsid w:val="00497338"/>
    <w:rsid w:val="00497432"/>
    <w:rsid w:val="004A35AD"/>
    <w:rsid w:val="004B0E26"/>
    <w:rsid w:val="004B2020"/>
    <w:rsid w:val="004B2825"/>
    <w:rsid w:val="004B69B8"/>
    <w:rsid w:val="004C2A58"/>
    <w:rsid w:val="004C34CD"/>
    <w:rsid w:val="004C3573"/>
    <w:rsid w:val="004C37E8"/>
    <w:rsid w:val="004C4524"/>
    <w:rsid w:val="004C6BA6"/>
    <w:rsid w:val="004C7FCA"/>
    <w:rsid w:val="004D059D"/>
    <w:rsid w:val="004D4CBA"/>
    <w:rsid w:val="004D668A"/>
    <w:rsid w:val="004D6875"/>
    <w:rsid w:val="004D68F9"/>
    <w:rsid w:val="004E61B9"/>
    <w:rsid w:val="004F2672"/>
    <w:rsid w:val="004F3586"/>
    <w:rsid w:val="004F4615"/>
    <w:rsid w:val="004F551D"/>
    <w:rsid w:val="004F5D6B"/>
    <w:rsid w:val="004F78BE"/>
    <w:rsid w:val="00503AC3"/>
    <w:rsid w:val="005065C7"/>
    <w:rsid w:val="00507646"/>
    <w:rsid w:val="005139A3"/>
    <w:rsid w:val="00517A78"/>
    <w:rsid w:val="00521046"/>
    <w:rsid w:val="005214D1"/>
    <w:rsid w:val="005409E3"/>
    <w:rsid w:val="005420E0"/>
    <w:rsid w:val="00542D82"/>
    <w:rsid w:val="00551E85"/>
    <w:rsid w:val="00555A56"/>
    <w:rsid w:val="00557BBC"/>
    <w:rsid w:val="00560F42"/>
    <w:rsid w:val="00561582"/>
    <w:rsid w:val="00562369"/>
    <w:rsid w:val="00566924"/>
    <w:rsid w:val="00567698"/>
    <w:rsid w:val="005703C8"/>
    <w:rsid w:val="0057243A"/>
    <w:rsid w:val="00574316"/>
    <w:rsid w:val="0057765C"/>
    <w:rsid w:val="0058029E"/>
    <w:rsid w:val="00580742"/>
    <w:rsid w:val="00581F5B"/>
    <w:rsid w:val="00582C42"/>
    <w:rsid w:val="00590F1D"/>
    <w:rsid w:val="005926E0"/>
    <w:rsid w:val="00592B56"/>
    <w:rsid w:val="005941F6"/>
    <w:rsid w:val="00594D12"/>
    <w:rsid w:val="00595239"/>
    <w:rsid w:val="005A323D"/>
    <w:rsid w:val="005B5868"/>
    <w:rsid w:val="005C2BD1"/>
    <w:rsid w:val="005C3028"/>
    <w:rsid w:val="005C478A"/>
    <w:rsid w:val="005C4C50"/>
    <w:rsid w:val="005C59D9"/>
    <w:rsid w:val="005D07F3"/>
    <w:rsid w:val="005D0D38"/>
    <w:rsid w:val="005D0EF7"/>
    <w:rsid w:val="005D1984"/>
    <w:rsid w:val="005E3634"/>
    <w:rsid w:val="005E6733"/>
    <w:rsid w:val="005F0290"/>
    <w:rsid w:val="005F3B61"/>
    <w:rsid w:val="005F4373"/>
    <w:rsid w:val="006020DB"/>
    <w:rsid w:val="00602524"/>
    <w:rsid w:val="00602C11"/>
    <w:rsid w:val="00604794"/>
    <w:rsid w:val="00612154"/>
    <w:rsid w:val="00614E58"/>
    <w:rsid w:val="006211B9"/>
    <w:rsid w:val="0062765B"/>
    <w:rsid w:val="00627EC8"/>
    <w:rsid w:val="00633799"/>
    <w:rsid w:val="0064715C"/>
    <w:rsid w:val="006522E7"/>
    <w:rsid w:val="0065696F"/>
    <w:rsid w:val="006657CD"/>
    <w:rsid w:val="00665A65"/>
    <w:rsid w:val="00665F7F"/>
    <w:rsid w:val="0067308A"/>
    <w:rsid w:val="00674EEA"/>
    <w:rsid w:val="00676077"/>
    <w:rsid w:val="00676792"/>
    <w:rsid w:val="00677147"/>
    <w:rsid w:val="006810E8"/>
    <w:rsid w:val="006846AC"/>
    <w:rsid w:val="00694CBC"/>
    <w:rsid w:val="00695C15"/>
    <w:rsid w:val="00696B3E"/>
    <w:rsid w:val="00697FED"/>
    <w:rsid w:val="006A1A6E"/>
    <w:rsid w:val="006A26A0"/>
    <w:rsid w:val="006B1A71"/>
    <w:rsid w:val="006B1E56"/>
    <w:rsid w:val="006B1F5D"/>
    <w:rsid w:val="006B3516"/>
    <w:rsid w:val="006B36BF"/>
    <w:rsid w:val="006B4543"/>
    <w:rsid w:val="006B4F12"/>
    <w:rsid w:val="006B640E"/>
    <w:rsid w:val="006B7CB0"/>
    <w:rsid w:val="006C292F"/>
    <w:rsid w:val="006C2934"/>
    <w:rsid w:val="006C50F0"/>
    <w:rsid w:val="006D4EB1"/>
    <w:rsid w:val="006D5D8B"/>
    <w:rsid w:val="006D7F10"/>
    <w:rsid w:val="006E0806"/>
    <w:rsid w:val="006E4401"/>
    <w:rsid w:val="006E68C8"/>
    <w:rsid w:val="006E698B"/>
    <w:rsid w:val="006F5B2A"/>
    <w:rsid w:val="006F7CE9"/>
    <w:rsid w:val="00703DDF"/>
    <w:rsid w:val="00706D64"/>
    <w:rsid w:val="00712242"/>
    <w:rsid w:val="00721455"/>
    <w:rsid w:val="00734F67"/>
    <w:rsid w:val="007455FD"/>
    <w:rsid w:val="00745D52"/>
    <w:rsid w:val="00746FCA"/>
    <w:rsid w:val="00751874"/>
    <w:rsid w:val="0075193E"/>
    <w:rsid w:val="0075214B"/>
    <w:rsid w:val="007522AA"/>
    <w:rsid w:val="00752E65"/>
    <w:rsid w:val="0075679B"/>
    <w:rsid w:val="007641B0"/>
    <w:rsid w:val="0076500E"/>
    <w:rsid w:val="00765BAF"/>
    <w:rsid w:val="0077436C"/>
    <w:rsid w:val="00775647"/>
    <w:rsid w:val="00780523"/>
    <w:rsid w:val="00780E7C"/>
    <w:rsid w:val="007826D8"/>
    <w:rsid w:val="00785020"/>
    <w:rsid w:val="007A025C"/>
    <w:rsid w:val="007A4F6E"/>
    <w:rsid w:val="007A53B1"/>
    <w:rsid w:val="007A79F4"/>
    <w:rsid w:val="007B1E0E"/>
    <w:rsid w:val="007C4A25"/>
    <w:rsid w:val="007C6340"/>
    <w:rsid w:val="007D5F89"/>
    <w:rsid w:val="007E20C5"/>
    <w:rsid w:val="007E2AEC"/>
    <w:rsid w:val="007E3BB0"/>
    <w:rsid w:val="007E6044"/>
    <w:rsid w:val="007E67F9"/>
    <w:rsid w:val="007F3629"/>
    <w:rsid w:val="007F3D17"/>
    <w:rsid w:val="008007BC"/>
    <w:rsid w:val="00801272"/>
    <w:rsid w:val="00801D0B"/>
    <w:rsid w:val="008052F1"/>
    <w:rsid w:val="008064A6"/>
    <w:rsid w:val="00815AF9"/>
    <w:rsid w:val="0082090B"/>
    <w:rsid w:val="00823905"/>
    <w:rsid w:val="008240DE"/>
    <w:rsid w:val="00826F47"/>
    <w:rsid w:val="008308F0"/>
    <w:rsid w:val="00831DE1"/>
    <w:rsid w:val="00832B88"/>
    <w:rsid w:val="00837F2B"/>
    <w:rsid w:val="00841DF7"/>
    <w:rsid w:val="00844937"/>
    <w:rsid w:val="00846CF5"/>
    <w:rsid w:val="008564C4"/>
    <w:rsid w:val="00857770"/>
    <w:rsid w:val="00873220"/>
    <w:rsid w:val="00875B03"/>
    <w:rsid w:val="00877B95"/>
    <w:rsid w:val="00877C0B"/>
    <w:rsid w:val="00883EDE"/>
    <w:rsid w:val="00885E07"/>
    <w:rsid w:val="008878D2"/>
    <w:rsid w:val="00895C16"/>
    <w:rsid w:val="008967BD"/>
    <w:rsid w:val="008A0F2A"/>
    <w:rsid w:val="008B0531"/>
    <w:rsid w:val="008B4648"/>
    <w:rsid w:val="008B5CEC"/>
    <w:rsid w:val="008B7469"/>
    <w:rsid w:val="008C35AB"/>
    <w:rsid w:val="008C5FCF"/>
    <w:rsid w:val="008C648D"/>
    <w:rsid w:val="008D5294"/>
    <w:rsid w:val="008D54F5"/>
    <w:rsid w:val="008D6E46"/>
    <w:rsid w:val="008E41BB"/>
    <w:rsid w:val="008E6553"/>
    <w:rsid w:val="008E663F"/>
    <w:rsid w:val="008E6961"/>
    <w:rsid w:val="008F4648"/>
    <w:rsid w:val="008F514A"/>
    <w:rsid w:val="00901980"/>
    <w:rsid w:val="0090611C"/>
    <w:rsid w:val="00906582"/>
    <w:rsid w:val="0091180A"/>
    <w:rsid w:val="00912D3B"/>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724B0"/>
    <w:rsid w:val="00972C54"/>
    <w:rsid w:val="00980635"/>
    <w:rsid w:val="00981BE5"/>
    <w:rsid w:val="00990B5E"/>
    <w:rsid w:val="00993EAB"/>
    <w:rsid w:val="00994D19"/>
    <w:rsid w:val="009A2AC0"/>
    <w:rsid w:val="009A343C"/>
    <w:rsid w:val="009B2BF4"/>
    <w:rsid w:val="009B36E2"/>
    <w:rsid w:val="009B48A7"/>
    <w:rsid w:val="009C0FFD"/>
    <w:rsid w:val="009C16BB"/>
    <w:rsid w:val="009C27DD"/>
    <w:rsid w:val="009C30E5"/>
    <w:rsid w:val="009C509A"/>
    <w:rsid w:val="009D4938"/>
    <w:rsid w:val="009D49FD"/>
    <w:rsid w:val="009D7BF5"/>
    <w:rsid w:val="009E4E07"/>
    <w:rsid w:val="009E5FD0"/>
    <w:rsid w:val="009E60A4"/>
    <w:rsid w:val="009E6435"/>
    <w:rsid w:val="009E6AC5"/>
    <w:rsid w:val="009F14D6"/>
    <w:rsid w:val="009F279E"/>
    <w:rsid w:val="00A00BF6"/>
    <w:rsid w:val="00A02FEB"/>
    <w:rsid w:val="00A03042"/>
    <w:rsid w:val="00A063F8"/>
    <w:rsid w:val="00A06B4E"/>
    <w:rsid w:val="00A10665"/>
    <w:rsid w:val="00A135FF"/>
    <w:rsid w:val="00A1539F"/>
    <w:rsid w:val="00A16EAD"/>
    <w:rsid w:val="00A20AB9"/>
    <w:rsid w:val="00A21FB6"/>
    <w:rsid w:val="00A22FD0"/>
    <w:rsid w:val="00A23C5C"/>
    <w:rsid w:val="00A262BD"/>
    <w:rsid w:val="00A26E3B"/>
    <w:rsid w:val="00A271D6"/>
    <w:rsid w:val="00A34312"/>
    <w:rsid w:val="00A34CDF"/>
    <w:rsid w:val="00A37BF2"/>
    <w:rsid w:val="00A44601"/>
    <w:rsid w:val="00A51AC5"/>
    <w:rsid w:val="00A51B0F"/>
    <w:rsid w:val="00A55954"/>
    <w:rsid w:val="00A56169"/>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2FEB"/>
    <w:rsid w:val="00AA7CA7"/>
    <w:rsid w:val="00AA7FC7"/>
    <w:rsid w:val="00AB0A31"/>
    <w:rsid w:val="00AB1D59"/>
    <w:rsid w:val="00AB26C6"/>
    <w:rsid w:val="00AB2C51"/>
    <w:rsid w:val="00AB3901"/>
    <w:rsid w:val="00AC35E9"/>
    <w:rsid w:val="00AC6935"/>
    <w:rsid w:val="00AC71AD"/>
    <w:rsid w:val="00AC78CB"/>
    <w:rsid w:val="00AD288F"/>
    <w:rsid w:val="00AD3704"/>
    <w:rsid w:val="00AD6110"/>
    <w:rsid w:val="00AE30D9"/>
    <w:rsid w:val="00AE5083"/>
    <w:rsid w:val="00AF0A93"/>
    <w:rsid w:val="00AF1D2F"/>
    <w:rsid w:val="00AF31AE"/>
    <w:rsid w:val="00AF52DA"/>
    <w:rsid w:val="00AF61A2"/>
    <w:rsid w:val="00AF6ED0"/>
    <w:rsid w:val="00B00B8D"/>
    <w:rsid w:val="00B046A5"/>
    <w:rsid w:val="00B06E1C"/>
    <w:rsid w:val="00B075C5"/>
    <w:rsid w:val="00B12479"/>
    <w:rsid w:val="00B12C5D"/>
    <w:rsid w:val="00B13307"/>
    <w:rsid w:val="00B166F0"/>
    <w:rsid w:val="00B210B9"/>
    <w:rsid w:val="00B24A84"/>
    <w:rsid w:val="00B30A0D"/>
    <w:rsid w:val="00B30E3B"/>
    <w:rsid w:val="00B35BCE"/>
    <w:rsid w:val="00B43AEA"/>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87E22"/>
    <w:rsid w:val="00B90D46"/>
    <w:rsid w:val="00B947D5"/>
    <w:rsid w:val="00BA494C"/>
    <w:rsid w:val="00BA52B0"/>
    <w:rsid w:val="00BB62D4"/>
    <w:rsid w:val="00BC0E42"/>
    <w:rsid w:val="00BC1A8B"/>
    <w:rsid w:val="00BD45B9"/>
    <w:rsid w:val="00BD4986"/>
    <w:rsid w:val="00BD7218"/>
    <w:rsid w:val="00BE2842"/>
    <w:rsid w:val="00BF18CB"/>
    <w:rsid w:val="00BF32BF"/>
    <w:rsid w:val="00BF360C"/>
    <w:rsid w:val="00BF3D87"/>
    <w:rsid w:val="00BF5F0F"/>
    <w:rsid w:val="00C10A79"/>
    <w:rsid w:val="00C1318A"/>
    <w:rsid w:val="00C1490D"/>
    <w:rsid w:val="00C14B81"/>
    <w:rsid w:val="00C23D76"/>
    <w:rsid w:val="00C23FAB"/>
    <w:rsid w:val="00C2461A"/>
    <w:rsid w:val="00C25CD2"/>
    <w:rsid w:val="00C26ACB"/>
    <w:rsid w:val="00C333B3"/>
    <w:rsid w:val="00C33550"/>
    <w:rsid w:val="00C33DD9"/>
    <w:rsid w:val="00C362F6"/>
    <w:rsid w:val="00C36B34"/>
    <w:rsid w:val="00C37185"/>
    <w:rsid w:val="00C45633"/>
    <w:rsid w:val="00C4631D"/>
    <w:rsid w:val="00C532C2"/>
    <w:rsid w:val="00C53915"/>
    <w:rsid w:val="00C56076"/>
    <w:rsid w:val="00C606C1"/>
    <w:rsid w:val="00C63B05"/>
    <w:rsid w:val="00C64909"/>
    <w:rsid w:val="00C64A93"/>
    <w:rsid w:val="00C70B3C"/>
    <w:rsid w:val="00C7347F"/>
    <w:rsid w:val="00C737A1"/>
    <w:rsid w:val="00C737FB"/>
    <w:rsid w:val="00C7465C"/>
    <w:rsid w:val="00C8265E"/>
    <w:rsid w:val="00C842FB"/>
    <w:rsid w:val="00C84887"/>
    <w:rsid w:val="00C86E31"/>
    <w:rsid w:val="00C87BDA"/>
    <w:rsid w:val="00C920B4"/>
    <w:rsid w:val="00C93F48"/>
    <w:rsid w:val="00C96854"/>
    <w:rsid w:val="00CA2B9B"/>
    <w:rsid w:val="00CA31EC"/>
    <w:rsid w:val="00CA53DF"/>
    <w:rsid w:val="00CA7E99"/>
    <w:rsid w:val="00CB1BC5"/>
    <w:rsid w:val="00CB7BBA"/>
    <w:rsid w:val="00CC0149"/>
    <w:rsid w:val="00CD05E9"/>
    <w:rsid w:val="00CD37EF"/>
    <w:rsid w:val="00CD481A"/>
    <w:rsid w:val="00CE21B4"/>
    <w:rsid w:val="00CE24E4"/>
    <w:rsid w:val="00CE3AFE"/>
    <w:rsid w:val="00CE4C5D"/>
    <w:rsid w:val="00CE71B7"/>
    <w:rsid w:val="00CF3100"/>
    <w:rsid w:val="00CF4060"/>
    <w:rsid w:val="00D04A80"/>
    <w:rsid w:val="00D06820"/>
    <w:rsid w:val="00D13458"/>
    <w:rsid w:val="00D15331"/>
    <w:rsid w:val="00D1654D"/>
    <w:rsid w:val="00D23A7D"/>
    <w:rsid w:val="00D23E72"/>
    <w:rsid w:val="00D26D70"/>
    <w:rsid w:val="00D27B79"/>
    <w:rsid w:val="00D30DCF"/>
    <w:rsid w:val="00D31C38"/>
    <w:rsid w:val="00D363D5"/>
    <w:rsid w:val="00D4184B"/>
    <w:rsid w:val="00D43659"/>
    <w:rsid w:val="00D446EB"/>
    <w:rsid w:val="00D505A0"/>
    <w:rsid w:val="00D7462B"/>
    <w:rsid w:val="00D75F19"/>
    <w:rsid w:val="00D779D5"/>
    <w:rsid w:val="00D77CF6"/>
    <w:rsid w:val="00D87419"/>
    <w:rsid w:val="00D87D07"/>
    <w:rsid w:val="00D87DD1"/>
    <w:rsid w:val="00D91DB4"/>
    <w:rsid w:val="00D93EC4"/>
    <w:rsid w:val="00DA1005"/>
    <w:rsid w:val="00DA12D0"/>
    <w:rsid w:val="00DA4F42"/>
    <w:rsid w:val="00DA53BA"/>
    <w:rsid w:val="00DB01C2"/>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252A"/>
    <w:rsid w:val="00E83950"/>
    <w:rsid w:val="00E83A0B"/>
    <w:rsid w:val="00E84A10"/>
    <w:rsid w:val="00E84C03"/>
    <w:rsid w:val="00E85331"/>
    <w:rsid w:val="00E94BCB"/>
    <w:rsid w:val="00EA0243"/>
    <w:rsid w:val="00EA1859"/>
    <w:rsid w:val="00EA526C"/>
    <w:rsid w:val="00EA671C"/>
    <w:rsid w:val="00EB25D9"/>
    <w:rsid w:val="00EB3830"/>
    <w:rsid w:val="00EB6868"/>
    <w:rsid w:val="00EB75B9"/>
    <w:rsid w:val="00EC1A4C"/>
    <w:rsid w:val="00EC2056"/>
    <w:rsid w:val="00EC26D9"/>
    <w:rsid w:val="00EC4F18"/>
    <w:rsid w:val="00EC524C"/>
    <w:rsid w:val="00ED1AA0"/>
    <w:rsid w:val="00ED2123"/>
    <w:rsid w:val="00ED316F"/>
    <w:rsid w:val="00EE0C22"/>
    <w:rsid w:val="00EE11EB"/>
    <w:rsid w:val="00EE51CF"/>
    <w:rsid w:val="00EE5D78"/>
    <w:rsid w:val="00EE68BE"/>
    <w:rsid w:val="00EF252F"/>
    <w:rsid w:val="00EF2849"/>
    <w:rsid w:val="00EF7C0B"/>
    <w:rsid w:val="00F00E8D"/>
    <w:rsid w:val="00F048AA"/>
    <w:rsid w:val="00F0583F"/>
    <w:rsid w:val="00F066E5"/>
    <w:rsid w:val="00F10288"/>
    <w:rsid w:val="00F11331"/>
    <w:rsid w:val="00F14AC8"/>
    <w:rsid w:val="00F17E83"/>
    <w:rsid w:val="00F203A0"/>
    <w:rsid w:val="00F20726"/>
    <w:rsid w:val="00F22B92"/>
    <w:rsid w:val="00F2350E"/>
    <w:rsid w:val="00F25D92"/>
    <w:rsid w:val="00F27526"/>
    <w:rsid w:val="00F32AD1"/>
    <w:rsid w:val="00F34040"/>
    <w:rsid w:val="00F37144"/>
    <w:rsid w:val="00F47482"/>
    <w:rsid w:val="00F47FAA"/>
    <w:rsid w:val="00F507C8"/>
    <w:rsid w:val="00F513F4"/>
    <w:rsid w:val="00F532D3"/>
    <w:rsid w:val="00F535CC"/>
    <w:rsid w:val="00F56B67"/>
    <w:rsid w:val="00F62562"/>
    <w:rsid w:val="00F678FA"/>
    <w:rsid w:val="00F7045E"/>
    <w:rsid w:val="00F75151"/>
    <w:rsid w:val="00F762E5"/>
    <w:rsid w:val="00F805D4"/>
    <w:rsid w:val="00F81989"/>
    <w:rsid w:val="00F81BFF"/>
    <w:rsid w:val="00F85332"/>
    <w:rsid w:val="00F910C3"/>
    <w:rsid w:val="00F923A8"/>
    <w:rsid w:val="00F92DFB"/>
    <w:rsid w:val="00F93709"/>
    <w:rsid w:val="00FA06BE"/>
    <w:rsid w:val="00FA0B42"/>
    <w:rsid w:val="00FA0FB8"/>
    <w:rsid w:val="00FB3B45"/>
    <w:rsid w:val="00FC3F39"/>
    <w:rsid w:val="00FC492B"/>
    <w:rsid w:val="00FC61C1"/>
    <w:rsid w:val="00FD0726"/>
    <w:rsid w:val="00FD0A64"/>
    <w:rsid w:val="00FD292C"/>
    <w:rsid w:val="00FD2A81"/>
    <w:rsid w:val="00FD53F3"/>
    <w:rsid w:val="00FD73AE"/>
    <w:rsid w:val="00FE1957"/>
    <w:rsid w:val="00FE278A"/>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6FE3"/>
    <w:rPr>
      <w:sz w:val="16"/>
      <w:szCs w:val="16"/>
    </w:rPr>
  </w:style>
  <w:style w:type="paragraph" w:styleId="CommentText">
    <w:name w:val="annotation text"/>
    <w:basedOn w:val="Normal"/>
    <w:link w:val="CommentTextChar"/>
    <w:uiPriority w:val="99"/>
    <w:semiHidden/>
    <w:unhideWhenUsed/>
    <w:rsid w:val="00026FE3"/>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026FE3"/>
    <w:rPr>
      <w:rFonts w:cs="Mangal"/>
      <w:kern w:val="1"/>
      <w:szCs w:val="18"/>
      <w:lang w:val="es-CO" w:eastAsia="hi-IN" w:bidi="hi-IN"/>
    </w:rPr>
  </w:style>
  <w:style w:type="paragraph" w:styleId="CommentSubject">
    <w:name w:val="annotation subject"/>
    <w:basedOn w:val="CommentText"/>
    <w:next w:val="CommentText"/>
    <w:link w:val="CommentSubjectChar"/>
    <w:uiPriority w:val="99"/>
    <w:semiHidden/>
    <w:unhideWhenUsed/>
    <w:rsid w:val="00026FE3"/>
    <w:rPr>
      <w:b/>
      <w:bCs/>
    </w:rPr>
  </w:style>
  <w:style w:type="character" w:customStyle="1" w:styleId="CommentSubjectChar">
    <w:name w:val="Comment Subject Char"/>
    <w:basedOn w:val="CommentTextChar"/>
    <w:link w:val="CommentSubject"/>
    <w:uiPriority w:val="99"/>
    <w:semiHidden/>
    <w:rsid w:val="00026FE3"/>
    <w:rPr>
      <w:rFonts w:cs="Mangal"/>
      <w:b/>
      <w:bCs/>
      <w:kern w:val="1"/>
      <w:szCs w:val="18"/>
      <w:lang w:val="es-CO" w:eastAsia="hi-IN" w:bidi="hi-IN"/>
    </w:rPr>
  </w:style>
  <w:style w:type="paragraph" w:styleId="Revision">
    <w:name w:val="Revision"/>
    <w:hidden/>
    <w:uiPriority w:val="99"/>
    <w:semiHidden/>
    <w:rsid w:val="00026FE3"/>
    <w:rPr>
      <w:rFonts w:cs="Mangal"/>
      <w:kern w:val="1"/>
      <w:sz w:val="24"/>
      <w:szCs w:val="21"/>
      <w:lang w:val="es-C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257561640">
      <w:bodyDiv w:val="1"/>
      <w:marLeft w:val="0"/>
      <w:marRight w:val="0"/>
      <w:marTop w:val="0"/>
      <w:marBottom w:val="0"/>
      <w:divBdr>
        <w:top w:val="none" w:sz="0" w:space="0" w:color="auto"/>
        <w:left w:val="none" w:sz="0" w:space="0" w:color="auto"/>
        <w:bottom w:val="none" w:sz="0" w:space="0" w:color="auto"/>
        <w:right w:val="none" w:sz="0" w:space="0" w:color="auto"/>
      </w:divBdr>
      <w:divsChild>
        <w:div w:id="455224473">
          <w:marLeft w:val="0"/>
          <w:marRight w:val="0"/>
          <w:marTop w:val="0"/>
          <w:marBottom w:val="0"/>
          <w:divBdr>
            <w:top w:val="none" w:sz="0" w:space="0" w:color="auto"/>
            <w:left w:val="none" w:sz="0" w:space="0" w:color="auto"/>
            <w:bottom w:val="none" w:sz="0" w:space="0" w:color="auto"/>
            <w:right w:val="none" w:sz="0" w:space="0" w:color="auto"/>
          </w:divBdr>
        </w:div>
        <w:div w:id="2065521349">
          <w:marLeft w:val="0"/>
          <w:marRight w:val="0"/>
          <w:marTop w:val="0"/>
          <w:marBottom w:val="0"/>
          <w:divBdr>
            <w:top w:val="none" w:sz="0" w:space="0" w:color="auto"/>
            <w:left w:val="none" w:sz="0" w:space="0" w:color="auto"/>
            <w:bottom w:val="none" w:sz="0" w:space="0" w:color="auto"/>
            <w:right w:val="none" w:sz="0" w:space="0" w:color="auto"/>
          </w:divBdr>
        </w:div>
        <w:div w:id="1441217165">
          <w:marLeft w:val="0"/>
          <w:marRight w:val="0"/>
          <w:marTop w:val="0"/>
          <w:marBottom w:val="0"/>
          <w:divBdr>
            <w:top w:val="none" w:sz="0" w:space="0" w:color="auto"/>
            <w:left w:val="none" w:sz="0" w:space="0" w:color="auto"/>
            <w:bottom w:val="none" w:sz="0" w:space="0" w:color="auto"/>
            <w:right w:val="none" w:sz="0" w:space="0" w:color="auto"/>
          </w:divBdr>
        </w:div>
        <w:div w:id="1367829485">
          <w:marLeft w:val="0"/>
          <w:marRight w:val="0"/>
          <w:marTop w:val="0"/>
          <w:marBottom w:val="0"/>
          <w:divBdr>
            <w:top w:val="none" w:sz="0" w:space="0" w:color="auto"/>
            <w:left w:val="none" w:sz="0" w:space="0" w:color="auto"/>
            <w:bottom w:val="none" w:sz="0" w:space="0" w:color="auto"/>
            <w:right w:val="none" w:sz="0" w:space="0" w:color="auto"/>
          </w:divBdr>
        </w:div>
        <w:div w:id="143813472">
          <w:marLeft w:val="0"/>
          <w:marRight w:val="0"/>
          <w:marTop w:val="0"/>
          <w:marBottom w:val="0"/>
          <w:divBdr>
            <w:top w:val="none" w:sz="0" w:space="0" w:color="auto"/>
            <w:left w:val="none" w:sz="0" w:space="0" w:color="auto"/>
            <w:bottom w:val="none" w:sz="0" w:space="0" w:color="auto"/>
            <w:right w:val="none" w:sz="0" w:space="0" w:color="auto"/>
          </w:divBdr>
        </w:div>
        <w:div w:id="1771242340">
          <w:marLeft w:val="0"/>
          <w:marRight w:val="0"/>
          <w:marTop w:val="0"/>
          <w:marBottom w:val="0"/>
          <w:divBdr>
            <w:top w:val="none" w:sz="0" w:space="0" w:color="auto"/>
            <w:left w:val="none" w:sz="0" w:space="0" w:color="auto"/>
            <w:bottom w:val="none" w:sz="0" w:space="0" w:color="auto"/>
            <w:right w:val="none" w:sz="0" w:space="0" w:color="auto"/>
          </w:divBdr>
        </w:div>
        <w:div w:id="307705450">
          <w:marLeft w:val="0"/>
          <w:marRight w:val="0"/>
          <w:marTop w:val="0"/>
          <w:marBottom w:val="0"/>
          <w:divBdr>
            <w:top w:val="none" w:sz="0" w:space="0" w:color="auto"/>
            <w:left w:val="none" w:sz="0" w:space="0" w:color="auto"/>
            <w:bottom w:val="none" w:sz="0" w:space="0" w:color="auto"/>
            <w:right w:val="none" w:sz="0" w:space="0" w:color="auto"/>
          </w:divBdr>
        </w:div>
        <w:div w:id="515921372">
          <w:marLeft w:val="0"/>
          <w:marRight w:val="0"/>
          <w:marTop w:val="0"/>
          <w:marBottom w:val="0"/>
          <w:divBdr>
            <w:top w:val="none" w:sz="0" w:space="0" w:color="auto"/>
            <w:left w:val="none" w:sz="0" w:space="0" w:color="auto"/>
            <w:bottom w:val="none" w:sz="0" w:space="0" w:color="auto"/>
            <w:right w:val="none" w:sz="0" w:space="0" w:color="auto"/>
          </w:divBdr>
        </w:div>
        <w:div w:id="2056462028">
          <w:marLeft w:val="0"/>
          <w:marRight w:val="0"/>
          <w:marTop w:val="0"/>
          <w:marBottom w:val="0"/>
          <w:divBdr>
            <w:top w:val="none" w:sz="0" w:space="0" w:color="auto"/>
            <w:left w:val="none" w:sz="0" w:space="0" w:color="auto"/>
            <w:bottom w:val="none" w:sz="0" w:space="0" w:color="auto"/>
            <w:right w:val="none" w:sz="0" w:space="0" w:color="auto"/>
          </w:divBdr>
        </w:div>
      </w:divsChild>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667513495">
      <w:bodyDiv w:val="1"/>
      <w:marLeft w:val="0"/>
      <w:marRight w:val="0"/>
      <w:marTop w:val="0"/>
      <w:marBottom w:val="0"/>
      <w:divBdr>
        <w:top w:val="none" w:sz="0" w:space="0" w:color="auto"/>
        <w:left w:val="none" w:sz="0" w:space="0" w:color="auto"/>
        <w:bottom w:val="none" w:sz="0" w:space="0" w:color="auto"/>
        <w:right w:val="none" w:sz="0" w:space="0" w:color="auto"/>
      </w:divBdr>
      <w:divsChild>
        <w:div w:id="1656035296">
          <w:marLeft w:val="0"/>
          <w:marRight w:val="0"/>
          <w:marTop w:val="0"/>
          <w:marBottom w:val="0"/>
          <w:divBdr>
            <w:top w:val="none" w:sz="0" w:space="0" w:color="auto"/>
            <w:left w:val="none" w:sz="0" w:space="0" w:color="auto"/>
            <w:bottom w:val="none" w:sz="0" w:space="0" w:color="auto"/>
            <w:right w:val="none" w:sz="0" w:space="0" w:color="auto"/>
          </w:divBdr>
        </w:div>
        <w:div w:id="1917013192">
          <w:marLeft w:val="0"/>
          <w:marRight w:val="0"/>
          <w:marTop w:val="0"/>
          <w:marBottom w:val="0"/>
          <w:divBdr>
            <w:top w:val="none" w:sz="0" w:space="0" w:color="auto"/>
            <w:left w:val="none" w:sz="0" w:space="0" w:color="auto"/>
            <w:bottom w:val="none" w:sz="0" w:space="0" w:color="auto"/>
            <w:right w:val="none" w:sz="0" w:space="0" w:color="auto"/>
          </w:divBdr>
        </w:div>
      </w:divsChild>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20453720">
      <w:bodyDiv w:val="1"/>
      <w:marLeft w:val="0"/>
      <w:marRight w:val="0"/>
      <w:marTop w:val="0"/>
      <w:marBottom w:val="0"/>
      <w:divBdr>
        <w:top w:val="none" w:sz="0" w:space="0" w:color="auto"/>
        <w:left w:val="none" w:sz="0" w:space="0" w:color="auto"/>
        <w:bottom w:val="none" w:sz="0" w:space="0" w:color="auto"/>
        <w:right w:val="none" w:sz="0" w:space="0" w:color="auto"/>
      </w:divBdr>
      <w:divsChild>
        <w:div w:id="135298878">
          <w:marLeft w:val="0"/>
          <w:marRight w:val="0"/>
          <w:marTop w:val="0"/>
          <w:marBottom w:val="0"/>
          <w:divBdr>
            <w:top w:val="none" w:sz="0" w:space="0" w:color="auto"/>
            <w:left w:val="none" w:sz="0" w:space="0" w:color="auto"/>
            <w:bottom w:val="none" w:sz="0" w:space="0" w:color="auto"/>
            <w:right w:val="none" w:sz="0" w:space="0" w:color="auto"/>
          </w:divBdr>
        </w:div>
        <w:div w:id="687752118">
          <w:marLeft w:val="0"/>
          <w:marRight w:val="0"/>
          <w:marTop w:val="0"/>
          <w:marBottom w:val="0"/>
          <w:divBdr>
            <w:top w:val="none" w:sz="0" w:space="0" w:color="auto"/>
            <w:left w:val="none" w:sz="0" w:space="0" w:color="auto"/>
            <w:bottom w:val="none" w:sz="0" w:space="0" w:color="auto"/>
            <w:right w:val="none" w:sz="0" w:space="0" w:color="auto"/>
          </w:divBdr>
        </w:div>
      </w:divsChild>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59560683">
      <w:bodyDiv w:val="1"/>
      <w:marLeft w:val="0"/>
      <w:marRight w:val="0"/>
      <w:marTop w:val="0"/>
      <w:marBottom w:val="0"/>
      <w:divBdr>
        <w:top w:val="none" w:sz="0" w:space="0" w:color="auto"/>
        <w:left w:val="none" w:sz="0" w:space="0" w:color="auto"/>
        <w:bottom w:val="none" w:sz="0" w:space="0" w:color="auto"/>
        <w:right w:val="none" w:sz="0" w:space="0" w:color="auto"/>
      </w:divBdr>
      <w:divsChild>
        <w:div w:id="989674622">
          <w:marLeft w:val="0"/>
          <w:marRight w:val="0"/>
          <w:marTop w:val="0"/>
          <w:marBottom w:val="0"/>
          <w:divBdr>
            <w:top w:val="none" w:sz="0" w:space="0" w:color="auto"/>
            <w:left w:val="none" w:sz="0" w:space="0" w:color="auto"/>
            <w:bottom w:val="none" w:sz="0" w:space="0" w:color="auto"/>
            <w:right w:val="none" w:sz="0" w:space="0" w:color="auto"/>
          </w:divBdr>
        </w:div>
        <w:div w:id="1044913910">
          <w:marLeft w:val="0"/>
          <w:marRight w:val="0"/>
          <w:marTop w:val="0"/>
          <w:marBottom w:val="0"/>
          <w:divBdr>
            <w:top w:val="none" w:sz="0" w:space="0" w:color="auto"/>
            <w:left w:val="none" w:sz="0" w:space="0" w:color="auto"/>
            <w:bottom w:val="none" w:sz="0" w:space="0" w:color="auto"/>
            <w:right w:val="none" w:sz="0" w:space="0" w:color="auto"/>
          </w:divBdr>
        </w:div>
      </w:divsChild>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46252887">
      <w:bodyDiv w:val="1"/>
      <w:marLeft w:val="0"/>
      <w:marRight w:val="0"/>
      <w:marTop w:val="0"/>
      <w:marBottom w:val="0"/>
      <w:divBdr>
        <w:top w:val="none" w:sz="0" w:space="0" w:color="auto"/>
        <w:left w:val="none" w:sz="0" w:space="0" w:color="auto"/>
        <w:bottom w:val="none" w:sz="0" w:space="0" w:color="auto"/>
        <w:right w:val="none" w:sz="0" w:space="0" w:color="auto"/>
      </w:divBdr>
      <w:divsChild>
        <w:div w:id="1712798588">
          <w:marLeft w:val="0"/>
          <w:marRight w:val="0"/>
          <w:marTop w:val="0"/>
          <w:marBottom w:val="0"/>
          <w:divBdr>
            <w:top w:val="none" w:sz="0" w:space="0" w:color="auto"/>
            <w:left w:val="none" w:sz="0" w:space="0" w:color="auto"/>
            <w:bottom w:val="none" w:sz="0" w:space="0" w:color="auto"/>
            <w:right w:val="none" w:sz="0" w:space="0" w:color="auto"/>
          </w:divBdr>
        </w:div>
        <w:div w:id="379402217">
          <w:marLeft w:val="0"/>
          <w:marRight w:val="0"/>
          <w:marTop w:val="0"/>
          <w:marBottom w:val="0"/>
          <w:divBdr>
            <w:top w:val="none" w:sz="0" w:space="0" w:color="auto"/>
            <w:left w:val="none" w:sz="0" w:space="0" w:color="auto"/>
            <w:bottom w:val="none" w:sz="0" w:space="0" w:color="auto"/>
            <w:right w:val="none" w:sz="0" w:space="0" w:color="auto"/>
          </w:divBdr>
        </w:div>
        <w:div w:id="1855194396">
          <w:marLeft w:val="0"/>
          <w:marRight w:val="0"/>
          <w:marTop w:val="0"/>
          <w:marBottom w:val="0"/>
          <w:divBdr>
            <w:top w:val="none" w:sz="0" w:space="0" w:color="auto"/>
            <w:left w:val="none" w:sz="0" w:space="0" w:color="auto"/>
            <w:bottom w:val="none" w:sz="0" w:space="0" w:color="auto"/>
            <w:right w:val="none" w:sz="0" w:space="0" w:color="auto"/>
          </w:divBdr>
        </w:div>
        <w:div w:id="179928604">
          <w:marLeft w:val="0"/>
          <w:marRight w:val="0"/>
          <w:marTop w:val="0"/>
          <w:marBottom w:val="0"/>
          <w:divBdr>
            <w:top w:val="none" w:sz="0" w:space="0" w:color="auto"/>
            <w:left w:val="none" w:sz="0" w:space="0" w:color="auto"/>
            <w:bottom w:val="none" w:sz="0" w:space="0" w:color="auto"/>
            <w:right w:val="none" w:sz="0" w:space="0" w:color="auto"/>
          </w:divBdr>
        </w:div>
        <w:div w:id="919828907">
          <w:marLeft w:val="0"/>
          <w:marRight w:val="0"/>
          <w:marTop w:val="0"/>
          <w:marBottom w:val="0"/>
          <w:divBdr>
            <w:top w:val="none" w:sz="0" w:space="0" w:color="auto"/>
            <w:left w:val="none" w:sz="0" w:space="0" w:color="auto"/>
            <w:bottom w:val="none" w:sz="0" w:space="0" w:color="auto"/>
            <w:right w:val="none" w:sz="0" w:space="0" w:color="auto"/>
          </w:divBdr>
        </w:div>
        <w:div w:id="1203128801">
          <w:marLeft w:val="0"/>
          <w:marRight w:val="0"/>
          <w:marTop w:val="0"/>
          <w:marBottom w:val="0"/>
          <w:divBdr>
            <w:top w:val="none" w:sz="0" w:space="0" w:color="auto"/>
            <w:left w:val="none" w:sz="0" w:space="0" w:color="auto"/>
            <w:bottom w:val="none" w:sz="0" w:space="0" w:color="auto"/>
            <w:right w:val="none" w:sz="0" w:space="0" w:color="auto"/>
          </w:divBdr>
        </w:div>
      </w:divsChild>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63645505">
      <w:bodyDiv w:val="1"/>
      <w:marLeft w:val="0"/>
      <w:marRight w:val="0"/>
      <w:marTop w:val="0"/>
      <w:marBottom w:val="0"/>
      <w:divBdr>
        <w:top w:val="none" w:sz="0" w:space="0" w:color="auto"/>
        <w:left w:val="none" w:sz="0" w:space="0" w:color="auto"/>
        <w:bottom w:val="none" w:sz="0" w:space="0" w:color="auto"/>
        <w:right w:val="none" w:sz="0" w:space="0" w:color="auto"/>
      </w:divBdr>
      <w:divsChild>
        <w:div w:id="18089965">
          <w:marLeft w:val="0"/>
          <w:marRight w:val="0"/>
          <w:marTop w:val="0"/>
          <w:marBottom w:val="0"/>
          <w:divBdr>
            <w:top w:val="none" w:sz="0" w:space="0" w:color="auto"/>
            <w:left w:val="none" w:sz="0" w:space="0" w:color="auto"/>
            <w:bottom w:val="none" w:sz="0" w:space="0" w:color="auto"/>
            <w:right w:val="none" w:sz="0" w:space="0" w:color="auto"/>
          </w:divBdr>
        </w:div>
        <w:div w:id="356734106">
          <w:marLeft w:val="0"/>
          <w:marRight w:val="0"/>
          <w:marTop w:val="0"/>
          <w:marBottom w:val="0"/>
          <w:divBdr>
            <w:top w:val="none" w:sz="0" w:space="0" w:color="auto"/>
            <w:left w:val="none" w:sz="0" w:space="0" w:color="auto"/>
            <w:bottom w:val="none" w:sz="0" w:space="0" w:color="auto"/>
            <w:right w:val="none" w:sz="0" w:space="0" w:color="auto"/>
          </w:divBdr>
        </w:div>
        <w:div w:id="1042437709">
          <w:marLeft w:val="0"/>
          <w:marRight w:val="0"/>
          <w:marTop w:val="0"/>
          <w:marBottom w:val="0"/>
          <w:divBdr>
            <w:top w:val="none" w:sz="0" w:space="0" w:color="auto"/>
            <w:left w:val="none" w:sz="0" w:space="0" w:color="auto"/>
            <w:bottom w:val="none" w:sz="0" w:space="0" w:color="auto"/>
            <w:right w:val="none" w:sz="0" w:space="0" w:color="auto"/>
          </w:divBdr>
        </w:div>
        <w:div w:id="1460144666">
          <w:marLeft w:val="0"/>
          <w:marRight w:val="0"/>
          <w:marTop w:val="0"/>
          <w:marBottom w:val="0"/>
          <w:divBdr>
            <w:top w:val="none" w:sz="0" w:space="0" w:color="auto"/>
            <w:left w:val="none" w:sz="0" w:space="0" w:color="auto"/>
            <w:bottom w:val="none" w:sz="0" w:space="0" w:color="auto"/>
            <w:right w:val="none" w:sz="0" w:space="0" w:color="auto"/>
          </w:divBdr>
        </w:div>
        <w:div w:id="371075623">
          <w:marLeft w:val="0"/>
          <w:marRight w:val="0"/>
          <w:marTop w:val="0"/>
          <w:marBottom w:val="0"/>
          <w:divBdr>
            <w:top w:val="none" w:sz="0" w:space="0" w:color="auto"/>
            <w:left w:val="none" w:sz="0" w:space="0" w:color="auto"/>
            <w:bottom w:val="none" w:sz="0" w:space="0" w:color="auto"/>
            <w:right w:val="none" w:sz="0" w:space="0" w:color="auto"/>
          </w:divBdr>
        </w:div>
        <w:div w:id="875504362">
          <w:marLeft w:val="0"/>
          <w:marRight w:val="0"/>
          <w:marTop w:val="0"/>
          <w:marBottom w:val="0"/>
          <w:divBdr>
            <w:top w:val="none" w:sz="0" w:space="0" w:color="auto"/>
            <w:left w:val="none" w:sz="0" w:space="0" w:color="auto"/>
            <w:bottom w:val="none" w:sz="0" w:space="0" w:color="auto"/>
            <w:right w:val="none" w:sz="0" w:space="0" w:color="auto"/>
          </w:divBdr>
        </w:div>
        <w:div w:id="189346878">
          <w:marLeft w:val="0"/>
          <w:marRight w:val="0"/>
          <w:marTop w:val="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4.xml><?xml version="1.0" encoding="utf-8"?>
<ds:datastoreItem xmlns:ds="http://schemas.openxmlformats.org/officeDocument/2006/customXml" ds:itemID="{902DCB12-E653-4922-B2E6-93754EAE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Ida Mori</cp:lastModifiedBy>
  <cp:revision>5</cp:revision>
  <cp:lastPrinted>2013-03-26T16:13:00Z</cp:lastPrinted>
  <dcterms:created xsi:type="dcterms:W3CDTF">2013-03-29T16:58:00Z</dcterms:created>
  <dcterms:modified xsi:type="dcterms:W3CDTF">2013-03-29T17:42:00Z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