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75" w:rsidRDefault="00BA6C75" w:rsidP="00595EB4">
      <w:pPr>
        <w:ind w:left="720"/>
      </w:pPr>
      <w:r w:rsidRPr="00E36621">
        <w:rPr>
          <w:rFonts w:asciiTheme="majorHAnsi" w:hAnsiTheme="majorHAnsi"/>
          <w:noProof/>
        </w:rPr>
        <w:drawing>
          <wp:inline distT="0" distB="0" distL="0" distR="0" wp14:anchorId="58285F3D" wp14:editId="1FDA7F47">
            <wp:extent cx="2587304" cy="586311"/>
            <wp:effectExtent l="0" t="0" r="3810" b="444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r w:rsidRPr="00E36621">
        <w:rPr>
          <w:rFonts w:asciiTheme="majorHAnsi" w:hAnsiTheme="majorHAnsi"/>
          <w:noProof/>
        </w:rPr>
        <w:drawing>
          <wp:inline distT="0" distB="0" distL="0" distR="0" wp14:anchorId="1C5191A6" wp14:editId="004D5265">
            <wp:extent cx="2587304" cy="586311"/>
            <wp:effectExtent l="0" t="0" r="3810" b="4445"/>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p>
    <w:p w:rsidR="00BA6C75" w:rsidRPr="00772764" w:rsidRDefault="003D6CD2" w:rsidP="00772764">
      <w:pPr>
        <w:spacing w:after="0" w:line="240" w:lineRule="auto"/>
        <w:jc w:val="center"/>
        <w:rPr>
          <w:rFonts w:cstheme="minorHAnsi"/>
          <w:b/>
          <w:color w:val="17365D" w:themeColor="text2" w:themeShade="BF"/>
          <w:sz w:val="32"/>
          <w:szCs w:val="32"/>
        </w:rPr>
      </w:pPr>
      <w:r w:rsidRPr="00772764">
        <w:rPr>
          <w:rFonts w:cstheme="minorHAnsi"/>
          <w:b/>
          <w:color w:val="17365D" w:themeColor="text2" w:themeShade="BF"/>
          <w:sz w:val="32"/>
          <w:szCs w:val="32"/>
        </w:rPr>
        <w:t>World Bank’s Safeguard Policies Review and Update</w:t>
      </w:r>
    </w:p>
    <w:p w:rsidR="00BA6C75" w:rsidRPr="00772764" w:rsidRDefault="00BA6C75" w:rsidP="00772764">
      <w:pPr>
        <w:spacing w:after="0" w:line="240" w:lineRule="auto"/>
        <w:jc w:val="center"/>
        <w:rPr>
          <w:rFonts w:cstheme="minorHAnsi"/>
          <w:b/>
          <w:color w:val="17365D" w:themeColor="text2" w:themeShade="BF"/>
          <w:sz w:val="32"/>
          <w:szCs w:val="32"/>
        </w:rPr>
      </w:pPr>
      <w:r w:rsidRPr="00772764">
        <w:rPr>
          <w:rFonts w:cstheme="minorHAnsi"/>
          <w:b/>
          <w:color w:val="17365D" w:themeColor="text2" w:themeShade="BF"/>
          <w:sz w:val="32"/>
          <w:szCs w:val="32"/>
        </w:rPr>
        <w:t>E</w:t>
      </w:r>
      <w:r w:rsidR="003D6CD2" w:rsidRPr="00772764">
        <w:rPr>
          <w:rFonts w:cstheme="minorHAnsi"/>
          <w:b/>
          <w:color w:val="17365D" w:themeColor="text2" w:themeShade="BF"/>
          <w:sz w:val="32"/>
          <w:szCs w:val="32"/>
        </w:rPr>
        <w:t>xpert Focus Group on the Emerging Area</w:t>
      </w:r>
    </w:p>
    <w:p w:rsidR="00BA6C75" w:rsidRPr="00772764" w:rsidRDefault="00595EB4" w:rsidP="00772764">
      <w:pPr>
        <w:pStyle w:val="ListParagraph"/>
        <w:spacing w:after="0" w:line="240" w:lineRule="auto"/>
        <w:ind w:left="0"/>
        <w:jc w:val="center"/>
        <w:rPr>
          <w:rFonts w:cstheme="minorHAnsi"/>
          <w:b/>
          <w:color w:val="17365D" w:themeColor="text2" w:themeShade="BF"/>
          <w:sz w:val="32"/>
          <w:szCs w:val="32"/>
        </w:rPr>
      </w:pPr>
      <w:r>
        <w:rPr>
          <w:rFonts w:cstheme="minorHAnsi"/>
          <w:b/>
          <w:color w:val="17365D" w:themeColor="text2" w:themeShade="BF"/>
          <w:sz w:val="32"/>
          <w:szCs w:val="32"/>
        </w:rPr>
        <w:t>Free, Prior, and Informed Consent of Indigenous Peoples</w:t>
      </w:r>
    </w:p>
    <w:p w:rsidR="00BA6C75" w:rsidRPr="00772764" w:rsidRDefault="00E32358" w:rsidP="00772764">
      <w:pPr>
        <w:spacing w:after="0" w:line="240" w:lineRule="auto"/>
        <w:jc w:val="center"/>
        <w:rPr>
          <w:rFonts w:cstheme="minorHAnsi"/>
          <w:color w:val="17365D" w:themeColor="text2" w:themeShade="BF"/>
          <w:sz w:val="28"/>
          <w:szCs w:val="28"/>
        </w:rPr>
      </w:pPr>
      <w:r>
        <w:rPr>
          <w:rFonts w:cstheme="minorHAnsi"/>
          <w:color w:val="17365D" w:themeColor="text2" w:themeShade="BF"/>
          <w:sz w:val="28"/>
          <w:szCs w:val="28"/>
        </w:rPr>
        <w:t>Manila</w:t>
      </w:r>
      <w:r w:rsidR="00B646AB">
        <w:rPr>
          <w:rFonts w:cstheme="minorHAnsi"/>
          <w:color w:val="17365D" w:themeColor="text2" w:themeShade="BF"/>
          <w:sz w:val="28"/>
          <w:szCs w:val="28"/>
        </w:rPr>
        <w:t xml:space="preserve">, </w:t>
      </w:r>
      <w:r>
        <w:rPr>
          <w:rFonts w:cstheme="minorHAnsi"/>
          <w:color w:val="17365D" w:themeColor="text2" w:themeShade="BF"/>
          <w:sz w:val="28"/>
          <w:szCs w:val="28"/>
        </w:rPr>
        <w:t>Philippines</w:t>
      </w:r>
    </w:p>
    <w:p w:rsidR="00BA6C75" w:rsidRPr="00772764" w:rsidRDefault="00E32358" w:rsidP="00E32358">
      <w:pPr>
        <w:tabs>
          <w:tab w:val="left" w:pos="3840"/>
          <w:tab w:val="center" w:pos="4680"/>
        </w:tabs>
        <w:spacing w:after="0" w:line="240" w:lineRule="auto"/>
        <w:rPr>
          <w:rFonts w:cstheme="minorHAnsi"/>
          <w:color w:val="17365D" w:themeColor="text2" w:themeShade="BF"/>
          <w:sz w:val="28"/>
          <w:szCs w:val="28"/>
        </w:rPr>
      </w:pPr>
      <w:r>
        <w:rPr>
          <w:rFonts w:cstheme="minorHAnsi"/>
          <w:color w:val="17365D" w:themeColor="text2" w:themeShade="BF"/>
          <w:sz w:val="28"/>
          <w:szCs w:val="28"/>
        </w:rPr>
        <w:tab/>
      </w:r>
      <w:r>
        <w:rPr>
          <w:rFonts w:cstheme="minorHAnsi"/>
          <w:color w:val="17365D" w:themeColor="text2" w:themeShade="BF"/>
          <w:sz w:val="28"/>
          <w:szCs w:val="28"/>
        </w:rPr>
        <w:tab/>
        <w:t>March 21</w:t>
      </w:r>
      <w:r w:rsidR="00BA6C75" w:rsidRPr="00772764">
        <w:rPr>
          <w:rFonts w:cstheme="minorHAnsi"/>
          <w:color w:val="17365D" w:themeColor="text2" w:themeShade="BF"/>
          <w:sz w:val="28"/>
          <w:szCs w:val="28"/>
        </w:rPr>
        <w:t>, 2013</w:t>
      </w:r>
    </w:p>
    <w:p w:rsidR="004872A4" w:rsidRPr="008D0B66" w:rsidRDefault="004872A4" w:rsidP="004872A4">
      <w:pPr>
        <w:spacing w:after="0"/>
        <w:jc w:val="center"/>
        <w:rPr>
          <w:rFonts w:cstheme="minorHAnsi"/>
          <w:color w:val="17365D" w:themeColor="text2" w:themeShade="BF"/>
          <w:sz w:val="16"/>
          <w:szCs w:val="16"/>
        </w:rPr>
      </w:pPr>
    </w:p>
    <w:p w:rsidR="00F5203A" w:rsidRDefault="00F55716" w:rsidP="00F5203A">
      <w:r w:rsidRPr="00BA6C75">
        <w:rPr>
          <w:b/>
        </w:rPr>
        <w:t xml:space="preserve">On </w:t>
      </w:r>
      <w:r w:rsidR="000F136C">
        <w:rPr>
          <w:b/>
        </w:rPr>
        <w:t>March 21</w:t>
      </w:r>
      <w:r w:rsidRPr="00BA6C75">
        <w:rPr>
          <w:b/>
        </w:rPr>
        <w:t>, 2013</w:t>
      </w:r>
      <w:r w:rsidR="00F5203A">
        <w:t xml:space="preserve">, a </w:t>
      </w:r>
      <w:r w:rsidR="00BA6C75">
        <w:t xml:space="preserve">focus group </w:t>
      </w:r>
      <w:r w:rsidR="000B1EB9">
        <w:t>of</w:t>
      </w:r>
      <w:r w:rsidR="00F5203A">
        <w:t xml:space="preserve"> international experts </w:t>
      </w:r>
      <w:r>
        <w:t xml:space="preserve">was held in </w:t>
      </w:r>
      <w:r w:rsidR="000F136C">
        <w:t>Manila</w:t>
      </w:r>
      <w:r>
        <w:t xml:space="preserve">, </w:t>
      </w:r>
      <w:r w:rsidR="000F136C">
        <w:t>Philippines</w:t>
      </w:r>
      <w:r w:rsidR="00BA6C75">
        <w:t xml:space="preserve">, on the subject of </w:t>
      </w:r>
      <w:r w:rsidR="001F1A96">
        <w:t>Free, Prior, and Informed Consent of Indigenous Peoples</w:t>
      </w:r>
      <w:r w:rsidR="004C1074">
        <w:t xml:space="preserve"> (FPIC)</w:t>
      </w:r>
      <w:r w:rsidR="00F5203A">
        <w:t>.</w:t>
      </w:r>
      <w:r w:rsidR="007005F8">
        <w:t xml:space="preserve"> </w:t>
      </w:r>
      <w:r w:rsidR="00785F07">
        <w:t>This f</w:t>
      </w:r>
      <w:r w:rsidR="00F5203A">
        <w:t xml:space="preserve">ocus group </w:t>
      </w:r>
      <w:r w:rsidR="00A57773">
        <w:t>was</w:t>
      </w:r>
      <w:r w:rsidR="00F5203A">
        <w:t xml:space="preserve"> part of </w:t>
      </w:r>
      <w:r w:rsidR="00C42EE4">
        <w:t xml:space="preserve">the </w:t>
      </w:r>
      <w:r w:rsidR="00B76AB5">
        <w:t xml:space="preserve">World Bank </w:t>
      </w:r>
      <w:r w:rsidR="00C42EE4">
        <w:t>safeguard policies</w:t>
      </w:r>
      <w:r>
        <w:t xml:space="preserve"> review and update process</w:t>
      </w:r>
      <w:r w:rsidR="00785F07">
        <w:t xml:space="preserve"> and the topic of </w:t>
      </w:r>
      <w:r w:rsidR="003C00E0">
        <w:t xml:space="preserve">Free, Prior, and Informed Consent of Indigenous Peoples </w:t>
      </w:r>
      <w:r w:rsidR="00785F07">
        <w:t xml:space="preserve">is one of the emerging areas that stakeholders have asked the </w:t>
      </w:r>
      <w:r w:rsidR="00AF044B">
        <w:t>World Bank</w:t>
      </w:r>
      <w:r w:rsidR="00785F07">
        <w:t xml:space="preserve"> to consider during the review.</w:t>
      </w:r>
      <w:r w:rsidR="007005F8">
        <w:t xml:space="preserve"> </w:t>
      </w:r>
      <w:r w:rsidR="00785F07">
        <w:t xml:space="preserve">Other emerging areas include: </w:t>
      </w:r>
      <w:r w:rsidR="006246FA">
        <w:t>labor and occupational safety</w:t>
      </w:r>
      <w:r w:rsidR="00785F07">
        <w:t xml:space="preserve">, disability, </w:t>
      </w:r>
      <w:r w:rsidR="00595EB4">
        <w:t>climate change</w:t>
      </w:r>
      <w:r w:rsidR="00785F07">
        <w:t xml:space="preserve">, gender, human rights, </w:t>
      </w:r>
      <w:r w:rsidR="00970474">
        <w:t>land tenure and natural resources</w:t>
      </w:r>
      <w:r w:rsidR="00785F07">
        <w:t>. M</w:t>
      </w:r>
      <w:r w:rsidR="00C42EE4">
        <w:t>ore information about this process</w:t>
      </w:r>
      <w:r w:rsidR="00772764">
        <w:t xml:space="preserve"> </w:t>
      </w:r>
      <w:r w:rsidR="00C42EE4">
        <w:t xml:space="preserve">is available on the safeguards review </w:t>
      </w:r>
      <w:hyperlink r:id="rId13" w:history="1">
        <w:r w:rsidR="00C42EE4" w:rsidRPr="00C42EE4">
          <w:rPr>
            <w:rStyle w:val="Hyperlink"/>
          </w:rPr>
          <w:t>website</w:t>
        </w:r>
      </w:hyperlink>
      <w:r w:rsidR="00C42EE4">
        <w:t>.</w:t>
      </w:r>
      <w:r w:rsidR="007005F8">
        <w:t xml:space="preserve"> </w:t>
      </w:r>
      <w:r w:rsidR="00C42EE4">
        <w:t xml:space="preserve">The terms of reference for participants of focus groups for emerging areas are available </w:t>
      </w:r>
      <w:hyperlink r:id="rId14" w:history="1">
        <w:r w:rsidR="00C42EE4" w:rsidRPr="00F5203A">
          <w:rPr>
            <w:rStyle w:val="Hyperlink"/>
          </w:rPr>
          <w:t>here</w:t>
        </w:r>
      </w:hyperlink>
      <w:r w:rsidR="00C42EE4">
        <w:t>.</w:t>
      </w:r>
      <w:r w:rsidR="00F5203A">
        <w:t xml:space="preserve"> </w:t>
      </w:r>
    </w:p>
    <w:p w:rsidR="002647A1" w:rsidRDefault="00F55716" w:rsidP="005038DF">
      <w:pPr>
        <w:spacing w:after="0"/>
      </w:pPr>
      <w:r>
        <w:t xml:space="preserve">Participants in the </w:t>
      </w:r>
      <w:r w:rsidR="00C42EE4">
        <w:t xml:space="preserve">focus group </w:t>
      </w:r>
      <w:r>
        <w:t xml:space="preserve">comprised </w:t>
      </w:r>
      <w:r w:rsidR="003C00E0">
        <w:t>Indigenous Peoples</w:t>
      </w:r>
      <w:r w:rsidR="00117530">
        <w:t xml:space="preserve"> (IP)</w:t>
      </w:r>
      <w:r w:rsidR="003C00E0">
        <w:t xml:space="preserve"> </w:t>
      </w:r>
      <w:r>
        <w:t xml:space="preserve">experts from a variety of civil society, </w:t>
      </w:r>
      <w:r w:rsidR="005038DF">
        <w:t xml:space="preserve">governmental, </w:t>
      </w:r>
      <w:r>
        <w:t xml:space="preserve">and research organizations from around the world (see </w:t>
      </w:r>
      <w:hyperlink r:id="rId15" w:history="1">
        <w:r w:rsidRPr="005038DF">
          <w:rPr>
            <w:rStyle w:val="Hyperlink"/>
          </w:rPr>
          <w:t>list of participants</w:t>
        </w:r>
      </w:hyperlink>
      <w:r>
        <w:t>).</w:t>
      </w:r>
      <w:r w:rsidR="007005F8">
        <w:t xml:space="preserve"> </w:t>
      </w:r>
      <w:r>
        <w:t xml:space="preserve">It was agreed at the outset that the </w:t>
      </w:r>
      <w:r w:rsidR="00C42EE4">
        <w:t xml:space="preserve">focus group </w:t>
      </w:r>
      <w:r>
        <w:t>would be conducted in accordance with Chatham House rules, and that participants would speak in their individual capacities rather than a</w:t>
      </w:r>
      <w:r w:rsidR="000A199F">
        <w:t>s</w:t>
      </w:r>
      <w:r>
        <w:t xml:space="preserve"> representatives of their respective institutions.</w:t>
      </w:r>
      <w:r w:rsidR="007005F8">
        <w:t xml:space="preserve"> </w:t>
      </w:r>
      <w:r w:rsidR="00B76AB5">
        <w:t xml:space="preserve">In addition to participating experts, </w:t>
      </w:r>
      <w:r w:rsidR="003C00E0">
        <w:t>five</w:t>
      </w:r>
      <w:r w:rsidR="00B76AB5">
        <w:t xml:space="preserve"> World Bank staff members</w:t>
      </w:r>
      <w:r w:rsidR="00401742">
        <w:t xml:space="preserve"> were present.</w:t>
      </w:r>
      <w:r w:rsidR="007005F8">
        <w:t xml:space="preserve"> </w:t>
      </w:r>
    </w:p>
    <w:p w:rsidR="00772764" w:rsidRDefault="00772764" w:rsidP="00772764">
      <w:pPr>
        <w:spacing w:after="0"/>
      </w:pPr>
    </w:p>
    <w:p w:rsidR="001F5DD0" w:rsidRPr="001F5DD0" w:rsidRDefault="00F55716" w:rsidP="001F5DD0">
      <w:pPr>
        <w:spacing w:after="0"/>
      </w:pPr>
      <w:r w:rsidRPr="005254C9">
        <w:t xml:space="preserve">The </w:t>
      </w:r>
      <w:r w:rsidR="00C42EE4" w:rsidRPr="005254C9">
        <w:t>focus group meeting</w:t>
      </w:r>
      <w:r w:rsidRPr="005254C9">
        <w:t xml:space="preserve"> began with </w:t>
      </w:r>
      <w:r w:rsidR="001F5DD0" w:rsidRPr="001F5DD0">
        <w:t xml:space="preserve">the World Bank team presenting the purpose and agenda for the meeting. To help define the objective and scope of the meeting, three presentations were provided. This was followed by comments and questions from the floor. </w:t>
      </w:r>
    </w:p>
    <w:p w:rsidR="001F5DD0" w:rsidRDefault="001F5DD0" w:rsidP="001F5DD0">
      <w:pPr>
        <w:pStyle w:val="ListParagraph"/>
        <w:numPr>
          <w:ilvl w:val="0"/>
          <w:numId w:val="15"/>
        </w:numPr>
        <w:spacing w:after="0"/>
      </w:pPr>
      <w:r w:rsidRPr="001F5DD0">
        <w:t>Presentation on the WB safeguards policy review process, describing the context and rationale, objectives and expected outputs, approach, and the three phases of</w:t>
      </w:r>
      <w:r w:rsidR="00467629">
        <w:t xml:space="preserve"> the review and update process;</w:t>
      </w:r>
    </w:p>
    <w:p w:rsidR="001F5DD0" w:rsidRDefault="001F5DD0" w:rsidP="001F5DD0">
      <w:pPr>
        <w:pStyle w:val="ListParagraph"/>
        <w:numPr>
          <w:ilvl w:val="0"/>
          <w:numId w:val="15"/>
        </w:numPr>
        <w:spacing w:after="0"/>
      </w:pPr>
      <w:r w:rsidRPr="001F5DD0">
        <w:t>Presentation on the WB Indigenous Peoples policy (OP 4.10), including i</w:t>
      </w:r>
      <w:r w:rsidR="00467629">
        <w:t>ts objectives and applications;</w:t>
      </w:r>
    </w:p>
    <w:p w:rsidR="001F5DD0" w:rsidRPr="001F5DD0" w:rsidRDefault="001F5DD0" w:rsidP="001F5DD0">
      <w:pPr>
        <w:pStyle w:val="ListParagraph"/>
        <w:numPr>
          <w:ilvl w:val="0"/>
          <w:numId w:val="15"/>
        </w:numPr>
        <w:spacing w:after="0"/>
      </w:pPr>
      <w:r w:rsidRPr="001F5DD0">
        <w:t xml:space="preserve">Presentation on IFC’s Performance Standard 7 </w:t>
      </w:r>
      <w:r>
        <w:t xml:space="preserve">(PS 7) </w:t>
      </w:r>
      <w:r w:rsidRPr="001F5DD0">
        <w:t xml:space="preserve">on Indigenous Peoples, describing the IFC’s process requiring FPIC, including a case study that highlights the FPIC process in a project cycle. </w:t>
      </w:r>
    </w:p>
    <w:p w:rsidR="001F5DD0" w:rsidRDefault="001F5DD0" w:rsidP="00772764">
      <w:pPr>
        <w:spacing w:after="0"/>
      </w:pPr>
    </w:p>
    <w:p w:rsidR="00E6731A" w:rsidRPr="00115850" w:rsidRDefault="00E6731A">
      <w:pPr>
        <w:rPr>
          <w:rFonts w:cstheme="minorHAnsi"/>
        </w:rPr>
      </w:pPr>
      <w:r w:rsidRPr="00115850">
        <w:rPr>
          <w:rFonts w:cstheme="minorHAnsi"/>
        </w:rPr>
        <w:t xml:space="preserve">The discussion was guided by </w:t>
      </w:r>
      <w:r w:rsidR="00115850" w:rsidRPr="00115850">
        <w:rPr>
          <w:rFonts w:cstheme="minorHAnsi"/>
        </w:rPr>
        <w:t>four</w:t>
      </w:r>
      <w:r w:rsidR="00351281" w:rsidRPr="00115850">
        <w:rPr>
          <w:rFonts w:cstheme="minorHAnsi"/>
        </w:rPr>
        <w:t xml:space="preserve"> </w:t>
      </w:r>
      <w:r w:rsidRPr="00115850">
        <w:rPr>
          <w:rFonts w:cstheme="minorHAnsi"/>
        </w:rPr>
        <w:t>questions:</w:t>
      </w:r>
    </w:p>
    <w:p w:rsidR="00115850" w:rsidRPr="00115850" w:rsidRDefault="00115850" w:rsidP="00115850">
      <w:pPr>
        <w:pStyle w:val="ListParagraph"/>
        <w:numPr>
          <w:ilvl w:val="0"/>
          <w:numId w:val="9"/>
        </w:numPr>
        <w:rPr>
          <w:rFonts w:cstheme="minorHAnsi"/>
        </w:rPr>
      </w:pPr>
      <w:r w:rsidRPr="00115850">
        <w:rPr>
          <w:rFonts w:cstheme="minorHAnsi"/>
          <w:bCs/>
          <w:color w:val="000000"/>
        </w:rPr>
        <w:t>How should FPIC issues be addressed in the environmental and social assessment process?</w:t>
      </w:r>
    </w:p>
    <w:p w:rsidR="005C05BC" w:rsidRPr="005C05BC" w:rsidRDefault="007B1184" w:rsidP="005C05BC">
      <w:pPr>
        <w:pStyle w:val="ListParagraph"/>
        <w:numPr>
          <w:ilvl w:val="0"/>
          <w:numId w:val="9"/>
        </w:numPr>
        <w:spacing w:after="0" w:line="264" w:lineRule="auto"/>
        <w:rPr>
          <w:szCs w:val="20"/>
        </w:rPr>
      </w:pPr>
      <w:r w:rsidRPr="005C05BC">
        <w:rPr>
          <w:rFonts w:cstheme="minorHAnsi"/>
          <w:bCs/>
          <w:color w:val="000000"/>
        </w:rPr>
        <w:t>What are the “</w:t>
      </w:r>
      <w:proofErr w:type="spellStart"/>
      <w:r w:rsidRPr="005C05BC">
        <w:rPr>
          <w:rFonts w:cstheme="minorHAnsi"/>
          <w:bCs/>
          <w:color w:val="000000"/>
        </w:rPr>
        <w:t>Whos</w:t>
      </w:r>
      <w:proofErr w:type="spellEnd"/>
      <w:r w:rsidRPr="005C05BC">
        <w:rPr>
          <w:rFonts w:cstheme="minorHAnsi"/>
          <w:bCs/>
          <w:color w:val="000000"/>
        </w:rPr>
        <w:t>,” “Whens,” and “</w:t>
      </w:r>
      <w:proofErr w:type="spellStart"/>
      <w:r w:rsidRPr="005C05BC">
        <w:rPr>
          <w:rFonts w:cstheme="minorHAnsi"/>
          <w:bCs/>
          <w:color w:val="000000"/>
        </w:rPr>
        <w:t>Hows</w:t>
      </w:r>
      <w:proofErr w:type="spellEnd"/>
      <w:r w:rsidRPr="005C05BC">
        <w:rPr>
          <w:rFonts w:cstheme="minorHAnsi"/>
          <w:bCs/>
          <w:color w:val="000000"/>
        </w:rPr>
        <w:t>” of FPIC?</w:t>
      </w:r>
    </w:p>
    <w:p w:rsidR="005C05BC" w:rsidRDefault="005C05BC" w:rsidP="005C05BC">
      <w:pPr>
        <w:pStyle w:val="ListParagraph"/>
        <w:numPr>
          <w:ilvl w:val="0"/>
          <w:numId w:val="9"/>
        </w:numPr>
        <w:spacing w:after="0" w:line="264" w:lineRule="auto"/>
        <w:rPr>
          <w:szCs w:val="20"/>
        </w:rPr>
      </w:pPr>
      <w:r w:rsidRPr="005C05BC">
        <w:rPr>
          <w:szCs w:val="20"/>
        </w:rPr>
        <w:t xml:space="preserve">How would FPIC work in specific country contexts? </w:t>
      </w:r>
    </w:p>
    <w:p w:rsidR="005D7C97" w:rsidRPr="005D7C97" w:rsidRDefault="005D7C97" w:rsidP="005D7C97">
      <w:pPr>
        <w:spacing w:after="0" w:line="264" w:lineRule="auto"/>
        <w:rPr>
          <w:szCs w:val="20"/>
        </w:rPr>
      </w:pPr>
    </w:p>
    <w:p w:rsidR="008D0B66" w:rsidRDefault="00C01EC4" w:rsidP="00FE2551">
      <w:r>
        <w:lastRenderedPageBreak/>
        <w:t>Following is a synthesis of key observations of par</w:t>
      </w:r>
      <w:r w:rsidR="00D2594B">
        <w:t>ticipants during the day.</w:t>
      </w:r>
      <w:r w:rsidR="007005F8">
        <w:t xml:space="preserve"> </w:t>
      </w:r>
      <w:r w:rsidR="00D2594B">
        <w:t>It should be emphasized that these observations are not reported here as necessarily representing the substantive consensus of the group.</w:t>
      </w:r>
      <w:r w:rsidR="007005F8">
        <w:t xml:space="preserve"> </w:t>
      </w:r>
      <w:r w:rsidR="00D2594B">
        <w:t xml:space="preserve">They are instead summarized here as </w:t>
      </w:r>
      <w:r w:rsidR="00F5203A">
        <w:t>key</w:t>
      </w:r>
      <w:r w:rsidR="00D2594B">
        <w:t xml:space="preserve"> </w:t>
      </w:r>
      <w:r w:rsidR="008F590C">
        <w:t>issues put on the table</w:t>
      </w:r>
      <w:r w:rsidR="00D2594B">
        <w:t xml:space="preserve"> by one or more individual experts that received attention during the consultation and that </w:t>
      </w:r>
      <w:r w:rsidR="00B76AB5">
        <w:t>were proposed for further consideration as the process goes forward</w:t>
      </w:r>
      <w:r w:rsidR="00D2594B">
        <w:t>.</w:t>
      </w:r>
    </w:p>
    <w:p w:rsidR="001A2EEB" w:rsidRDefault="001A2EEB" w:rsidP="00FE2551"/>
    <w:p w:rsidR="00115850" w:rsidRPr="00FE2551" w:rsidRDefault="002B189B" w:rsidP="00FE2551">
      <w:pPr>
        <w:pStyle w:val="ListParagraph"/>
        <w:numPr>
          <w:ilvl w:val="0"/>
          <w:numId w:val="17"/>
        </w:numPr>
        <w:ind w:left="360"/>
        <w:rPr>
          <w:rFonts w:cstheme="minorHAnsi"/>
          <w:b/>
          <w:bCs/>
          <w:color w:val="000000" w:themeColor="text1"/>
        </w:rPr>
      </w:pPr>
      <w:r w:rsidRPr="00FE2551">
        <w:rPr>
          <w:rFonts w:cstheme="minorHAnsi"/>
          <w:b/>
          <w:bCs/>
          <w:color w:val="000000" w:themeColor="text1"/>
        </w:rPr>
        <w:t>General observations</w:t>
      </w:r>
    </w:p>
    <w:p w:rsidR="002B189B" w:rsidRDefault="002B189B" w:rsidP="00FE2551">
      <w:pPr>
        <w:autoSpaceDE w:val="0"/>
        <w:autoSpaceDN w:val="0"/>
        <w:adjustRightInd w:val="0"/>
        <w:rPr>
          <w:rFonts w:eastAsiaTheme="minorEastAsia"/>
          <w:color w:val="000000" w:themeColor="text1"/>
        </w:rPr>
      </w:pPr>
      <w:r w:rsidRPr="00FE2551">
        <w:rPr>
          <w:rFonts w:eastAsiaTheme="minorEastAsia"/>
          <w:color w:val="000000" w:themeColor="text1"/>
        </w:rPr>
        <w:t xml:space="preserve">Participants of the focus group asked that the World Bank maintain a distinct safeguard policy for Indigenous Peoples and update the relevant safeguard policies in light of </w:t>
      </w:r>
      <w:r w:rsidR="00442EEF" w:rsidRPr="00FE2551">
        <w:rPr>
          <w:rFonts w:eastAsiaTheme="minorEastAsia"/>
          <w:color w:val="000000" w:themeColor="text1"/>
        </w:rPr>
        <w:t>the United Nations Declaration on the Rights of Indigenous Peoples (</w:t>
      </w:r>
      <w:r w:rsidRPr="00FE2551">
        <w:rPr>
          <w:rFonts w:eastAsiaTheme="minorEastAsia"/>
          <w:color w:val="000000" w:themeColor="text1"/>
        </w:rPr>
        <w:t>UNDRIP</w:t>
      </w:r>
      <w:r w:rsidR="00442EEF" w:rsidRPr="00FE2551">
        <w:rPr>
          <w:rFonts w:eastAsiaTheme="minorEastAsia"/>
          <w:color w:val="000000" w:themeColor="text1"/>
        </w:rPr>
        <w:t>)</w:t>
      </w:r>
      <w:r w:rsidRPr="00FE2551">
        <w:rPr>
          <w:rFonts w:eastAsiaTheme="minorEastAsia"/>
          <w:color w:val="000000" w:themeColor="text1"/>
        </w:rPr>
        <w:t>, especially the Indigenous Peoples</w:t>
      </w:r>
      <w:r w:rsidR="00442EEF" w:rsidRPr="00FE2551">
        <w:rPr>
          <w:rFonts w:eastAsiaTheme="minorEastAsia"/>
          <w:color w:val="000000" w:themeColor="text1"/>
        </w:rPr>
        <w:t xml:space="preserve"> P</w:t>
      </w:r>
      <w:r w:rsidRPr="00FE2551">
        <w:rPr>
          <w:rFonts w:eastAsiaTheme="minorEastAsia"/>
          <w:color w:val="000000" w:themeColor="text1"/>
        </w:rPr>
        <w:t>olicy &amp; Involuntary Resettlement Policy</w:t>
      </w:r>
      <w:r w:rsidR="00442EEF" w:rsidRPr="00FE2551">
        <w:rPr>
          <w:rFonts w:eastAsiaTheme="minorEastAsia"/>
          <w:color w:val="000000" w:themeColor="text1"/>
        </w:rPr>
        <w:t xml:space="preserve">. It was suggested that FPIC </w:t>
      </w:r>
      <w:r w:rsidRPr="00FE2551">
        <w:rPr>
          <w:rFonts w:eastAsiaTheme="minorEastAsia"/>
          <w:color w:val="000000" w:themeColor="text1"/>
        </w:rPr>
        <w:t>should be connected to</w:t>
      </w:r>
      <w:r w:rsidR="00442EEF" w:rsidRPr="00FE2551">
        <w:rPr>
          <w:rFonts w:eastAsiaTheme="minorEastAsia"/>
          <w:color w:val="000000" w:themeColor="text1"/>
        </w:rPr>
        <w:t xml:space="preserve"> s</w:t>
      </w:r>
      <w:r w:rsidRPr="00FE2551">
        <w:rPr>
          <w:rFonts w:eastAsiaTheme="minorEastAsia"/>
          <w:color w:val="000000" w:themeColor="text1"/>
        </w:rPr>
        <w:t>ubstantive</w:t>
      </w:r>
      <w:r w:rsidR="00442EEF" w:rsidRPr="00FE2551">
        <w:rPr>
          <w:rFonts w:eastAsiaTheme="minorEastAsia"/>
          <w:color w:val="000000" w:themeColor="text1"/>
        </w:rPr>
        <w:t xml:space="preserve"> rights (collective </w:t>
      </w:r>
      <w:r w:rsidRPr="00FE2551">
        <w:rPr>
          <w:rFonts w:eastAsiaTheme="minorEastAsia"/>
          <w:color w:val="000000" w:themeColor="text1"/>
        </w:rPr>
        <w:t xml:space="preserve">ownership rights to land and resources, right </w:t>
      </w:r>
      <w:r w:rsidR="00442EEF" w:rsidRPr="00FE2551">
        <w:rPr>
          <w:rFonts w:eastAsiaTheme="minorEastAsia"/>
          <w:color w:val="000000" w:themeColor="text1"/>
        </w:rPr>
        <w:t>to</w:t>
      </w:r>
      <w:r w:rsidRPr="00FE2551">
        <w:rPr>
          <w:rFonts w:eastAsiaTheme="minorEastAsia"/>
          <w:color w:val="000000" w:themeColor="text1"/>
        </w:rPr>
        <w:t xml:space="preserve"> </w:t>
      </w:r>
      <w:r w:rsidR="00442EEF" w:rsidRPr="00FE2551">
        <w:rPr>
          <w:rFonts w:eastAsiaTheme="minorEastAsia"/>
          <w:color w:val="000000" w:themeColor="text1"/>
        </w:rPr>
        <w:t>self-government</w:t>
      </w:r>
      <w:r w:rsidRPr="00FE2551">
        <w:rPr>
          <w:rFonts w:eastAsiaTheme="minorEastAsia"/>
          <w:color w:val="000000" w:themeColor="text1"/>
        </w:rPr>
        <w:t>,</w:t>
      </w:r>
      <w:r w:rsidR="00442EEF" w:rsidRPr="00FE2551">
        <w:rPr>
          <w:rFonts w:eastAsiaTheme="minorEastAsia"/>
          <w:color w:val="000000" w:themeColor="text1"/>
        </w:rPr>
        <w:t xml:space="preserve"> </w:t>
      </w:r>
      <w:r w:rsidRPr="00FE2551">
        <w:rPr>
          <w:rFonts w:eastAsiaTheme="minorEastAsia"/>
          <w:color w:val="000000" w:themeColor="text1"/>
        </w:rPr>
        <w:t xml:space="preserve">right to development, </w:t>
      </w:r>
      <w:r w:rsidR="00442EEF" w:rsidRPr="00FE2551">
        <w:rPr>
          <w:rFonts w:eastAsiaTheme="minorEastAsia"/>
          <w:color w:val="000000" w:themeColor="text1"/>
        </w:rPr>
        <w:t>and</w:t>
      </w:r>
      <w:r w:rsidRPr="00FE2551">
        <w:rPr>
          <w:rFonts w:eastAsiaTheme="minorEastAsia"/>
          <w:color w:val="000000" w:themeColor="text1"/>
        </w:rPr>
        <w:t xml:space="preserve"> benefit-sharing</w:t>
      </w:r>
      <w:r w:rsidR="00442EEF" w:rsidRPr="00FE2551">
        <w:rPr>
          <w:rFonts w:eastAsiaTheme="minorEastAsia"/>
          <w:color w:val="000000" w:themeColor="text1"/>
        </w:rPr>
        <w:t>); procedural rights (</w:t>
      </w:r>
      <w:r w:rsidRPr="00FE2551">
        <w:rPr>
          <w:rFonts w:eastAsiaTheme="minorEastAsia"/>
          <w:color w:val="000000" w:themeColor="text1"/>
        </w:rPr>
        <w:t>due process of law</w:t>
      </w:r>
      <w:r w:rsidR="00442EEF" w:rsidRPr="00FE2551">
        <w:rPr>
          <w:rFonts w:eastAsiaTheme="minorEastAsia"/>
          <w:color w:val="000000" w:themeColor="text1"/>
        </w:rPr>
        <w:t xml:space="preserve">). </w:t>
      </w:r>
      <w:r w:rsidRPr="00FE2551">
        <w:rPr>
          <w:rFonts w:eastAsiaTheme="minorEastAsia"/>
          <w:color w:val="000000" w:themeColor="text1"/>
        </w:rPr>
        <w:t xml:space="preserve">Indigenous Peoples Plans </w:t>
      </w:r>
      <w:r w:rsidR="001C264E" w:rsidRPr="00FE2551">
        <w:rPr>
          <w:rFonts w:eastAsiaTheme="minorEastAsia"/>
          <w:color w:val="000000" w:themeColor="text1"/>
        </w:rPr>
        <w:t xml:space="preserve">should be seen </w:t>
      </w:r>
      <w:r w:rsidRPr="00FE2551">
        <w:rPr>
          <w:rFonts w:eastAsiaTheme="minorEastAsia"/>
          <w:color w:val="000000" w:themeColor="text1"/>
        </w:rPr>
        <w:t>as key oppo</w:t>
      </w:r>
      <w:r w:rsidR="001C264E" w:rsidRPr="00FE2551">
        <w:rPr>
          <w:rFonts w:eastAsiaTheme="minorEastAsia"/>
          <w:color w:val="000000" w:themeColor="text1"/>
        </w:rPr>
        <w:t>rtunities to take into account I</w:t>
      </w:r>
      <w:r w:rsidRPr="00FE2551">
        <w:rPr>
          <w:rFonts w:eastAsiaTheme="minorEastAsia"/>
          <w:color w:val="000000" w:themeColor="text1"/>
        </w:rPr>
        <w:t xml:space="preserve">ndigenous </w:t>
      </w:r>
      <w:r w:rsidR="001C264E" w:rsidRPr="00FE2551">
        <w:rPr>
          <w:rFonts w:eastAsiaTheme="minorEastAsia"/>
          <w:color w:val="000000" w:themeColor="text1"/>
        </w:rPr>
        <w:t>P</w:t>
      </w:r>
      <w:r w:rsidRPr="00FE2551">
        <w:rPr>
          <w:rFonts w:eastAsiaTheme="minorEastAsia"/>
          <w:color w:val="000000" w:themeColor="text1"/>
        </w:rPr>
        <w:t>eoples’</w:t>
      </w:r>
      <w:r w:rsidR="001C264E" w:rsidRPr="00FE2551">
        <w:rPr>
          <w:rFonts w:eastAsiaTheme="minorEastAsia"/>
          <w:color w:val="000000" w:themeColor="text1"/>
        </w:rPr>
        <w:t xml:space="preserve"> </w:t>
      </w:r>
      <w:r w:rsidRPr="00FE2551">
        <w:rPr>
          <w:rFonts w:eastAsiaTheme="minorEastAsia"/>
          <w:color w:val="000000" w:themeColor="text1"/>
        </w:rPr>
        <w:t>own development priorities</w:t>
      </w:r>
      <w:r w:rsidR="001C264E" w:rsidRPr="00FE2551">
        <w:rPr>
          <w:rFonts w:eastAsiaTheme="minorEastAsia"/>
          <w:color w:val="000000" w:themeColor="text1"/>
        </w:rPr>
        <w:t xml:space="preserve">. </w:t>
      </w:r>
      <w:r w:rsidRPr="00FE2551">
        <w:rPr>
          <w:rFonts w:eastAsiaTheme="minorEastAsia"/>
          <w:color w:val="000000" w:themeColor="text1"/>
        </w:rPr>
        <w:t>Environmental Assessment processes should assess both positive (do good) and</w:t>
      </w:r>
      <w:r w:rsidR="001C264E" w:rsidRPr="00FE2551">
        <w:rPr>
          <w:rFonts w:eastAsiaTheme="minorEastAsia"/>
          <w:color w:val="000000" w:themeColor="text1"/>
        </w:rPr>
        <w:t xml:space="preserve"> n</w:t>
      </w:r>
      <w:r w:rsidRPr="00FE2551">
        <w:rPr>
          <w:rFonts w:eastAsiaTheme="minorEastAsia"/>
          <w:color w:val="000000" w:themeColor="text1"/>
        </w:rPr>
        <w:t>egative impacts</w:t>
      </w:r>
      <w:r w:rsidR="001C264E" w:rsidRPr="00FE2551">
        <w:rPr>
          <w:rFonts w:eastAsiaTheme="minorEastAsia"/>
          <w:color w:val="000000" w:themeColor="text1"/>
        </w:rPr>
        <w:t xml:space="preserve"> (do-no harm) on the rights of I</w:t>
      </w:r>
      <w:r w:rsidRPr="00FE2551">
        <w:rPr>
          <w:rFonts w:eastAsiaTheme="minorEastAsia"/>
          <w:color w:val="000000" w:themeColor="text1"/>
        </w:rPr>
        <w:t xml:space="preserve">ndigenous </w:t>
      </w:r>
      <w:r w:rsidR="001C264E" w:rsidRPr="00FE2551">
        <w:rPr>
          <w:rFonts w:eastAsiaTheme="minorEastAsia"/>
          <w:color w:val="000000" w:themeColor="text1"/>
        </w:rPr>
        <w:t>P</w:t>
      </w:r>
      <w:r w:rsidRPr="00FE2551">
        <w:rPr>
          <w:rFonts w:eastAsiaTheme="minorEastAsia"/>
          <w:color w:val="000000" w:themeColor="text1"/>
        </w:rPr>
        <w:t>eoples</w:t>
      </w:r>
    </w:p>
    <w:p w:rsidR="00FE2551" w:rsidRPr="002B189B" w:rsidRDefault="00FE2551" w:rsidP="00FE2551">
      <w:pPr>
        <w:autoSpaceDE w:val="0"/>
        <w:autoSpaceDN w:val="0"/>
        <w:adjustRightInd w:val="0"/>
        <w:rPr>
          <w:rFonts w:eastAsiaTheme="minorEastAsia"/>
          <w:color w:val="000000" w:themeColor="text1"/>
        </w:rPr>
      </w:pPr>
    </w:p>
    <w:p w:rsidR="00E451ED" w:rsidRPr="000C079F" w:rsidRDefault="00E451ED" w:rsidP="00FE2551">
      <w:pPr>
        <w:pStyle w:val="ListParagraph"/>
        <w:numPr>
          <w:ilvl w:val="0"/>
          <w:numId w:val="17"/>
        </w:numPr>
        <w:ind w:left="360"/>
        <w:rPr>
          <w:rFonts w:cstheme="minorHAnsi"/>
          <w:b/>
          <w:color w:val="000000" w:themeColor="text1"/>
        </w:rPr>
      </w:pPr>
      <w:r w:rsidRPr="000C079F">
        <w:rPr>
          <w:rFonts w:cstheme="minorHAnsi"/>
          <w:b/>
          <w:bCs/>
          <w:color w:val="000000" w:themeColor="text1"/>
        </w:rPr>
        <w:t>How should FPIC issues be addressed in the environmental and social assessment process?</w:t>
      </w:r>
    </w:p>
    <w:p w:rsidR="000C079F" w:rsidRDefault="000C079F" w:rsidP="000C079F">
      <w:pPr>
        <w:pStyle w:val="BodyText"/>
        <w:numPr>
          <w:ilvl w:val="0"/>
          <w:numId w:val="18"/>
        </w:numPr>
        <w:spacing w:after="0" w:line="264" w:lineRule="auto"/>
        <w:jc w:val="left"/>
        <w:rPr>
          <w:color w:val="000000" w:themeColor="text1"/>
          <w:sz w:val="22"/>
        </w:rPr>
      </w:pPr>
      <w:r w:rsidRPr="000C079F">
        <w:rPr>
          <w:b/>
          <w:color w:val="000000" w:themeColor="text1"/>
          <w:sz w:val="22"/>
        </w:rPr>
        <w:t>Consider a rights-based approach in reviewing the IP policy</w:t>
      </w:r>
      <w:r w:rsidRPr="000C079F">
        <w:rPr>
          <w:color w:val="000000" w:themeColor="text1"/>
          <w:sz w:val="22"/>
        </w:rPr>
        <w:t xml:space="preserve">. The rationale of FPIC is anchored in human rights principles and closely linked with the rights of Indigenous Peoples under the UN Declaration on the Rights of the Indigenous Peoples (UNDRIP). The concept of FPIC was introduced in order to ensure protection of fundamental rights. Therefore the linkage between human rights and FPIC needs to be made explicit in the safeguards framework and policy. There was general participant consensus that the implementation of FPIC (and discussion on benefit sharing, due process guarantees, etc.) will not be meaningful unless there is proper connection with important issues such as human rights, land rights, right to natural resources, customary law, among others. The </w:t>
      </w:r>
      <w:r w:rsidR="00AF044B">
        <w:rPr>
          <w:color w:val="000000" w:themeColor="text1"/>
          <w:sz w:val="22"/>
        </w:rPr>
        <w:t>World Bank</w:t>
      </w:r>
      <w:r w:rsidRPr="000C079F">
        <w:rPr>
          <w:color w:val="000000" w:themeColor="text1"/>
          <w:sz w:val="22"/>
        </w:rPr>
        <w:t xml:space="preserve"> should look at these development issues in updating its IP policy. </w:t>
      </w:r>
    </w:p>
    <w:p w:rsidR="000C079F" w:rsidRPr="000C079F" w:rsidRDefault="000C079F" w:rsidP="000C079F">
      <w:pPr>
        <w:pStyle w:val="BodyText"/>
        <w:numPr>
          <w:ilvl w:val="0"/>
          <w:numId w:val="18"/>
        </w:numPr>
        <w:spacing w:after="0" w:line="264" w:lineRule="auto"/>
        <w:jc w:val="left"/>
        <w:rPr>
          <w:color w:val="000000" w:themeColor="text1"/>
          <w:sz w:val="22"/>
        </w:rPr>
      </w:pPr>
      <w:r w:rsidRPr="000C079F">
        <w:rPr>
          <w:b/>
          <w:color w:val="000000" w:themeColor="text1"/>
          <w:sz w:val="22"/>
        </w:rPr>
        <w:t>Give emphasis to articulate the “do good” principle</w:t>
      </w:r>
      <w:r w:rsidRPr="000C079F">
        <w:rPr>
          <w:color w:val="000000" w:themeColor="text1"/>
          <w:sz w:val="22"/>
        </w:rPr>
        <w:t>. The curre</w:t>
      </w:r>
      <w:r>
        <w:rPr>
          <w:color w:val="000000" w:themeColor="text1"/>
          <w:sz w:val="22"/>
        </w:rPr>
        <w:t xml:space="preserve">nt </w:t>
      </w:r>
      <w:r w:rsidR="00AF044B">
        <w:rPr>
          <w:color w:val="000000" w:themeColor="text1"/>
          <w:sz w:val="22"/>
        </w:rPr>
        <w:t>World Bank</w:t>
      </w:r>
      <w:r>
        <w:rPr>
          <w:color w:val="000000" w:themeColor="text1"/>
          <w:sz w:val="22"/>
        </w:rPr>
        <w:t xml:space="preserve"> system focuses on risk </w:t>
      </w:r>
      <w:r w:rsidRPr="000C079F">
        <w:rPr>
          <w:color w:val="000000" w:themeColor="text1"/>
          <w:sz w:val="22"/>
        </w:rPr>
        <w:t xml:space="preserve">management and mitigation. The “do good” rationale promotes the rights of the </w:t>
      </w:r>
      <w:r w:rsidR="005D7C97">
        <w:rPr>
          <w:color w:val="000000" w:themeColor="text1"/>
          <w:sz w:val="22"/>
        </w:rPr>
        <w:t>I</w:t>
      </w:r>
      <w:r w:rsidRPr="005D7C97">
        <w:rPr>
          <w:color w:val="000000" w:themeColor="text1"/>
          <w:sz w:val="22"/>
        </w:rPr>
        <w:t>ndigenous Peoples and ensures that they receive social an</w:t>
      </w:r>
      <w:r w:rsidRPr="000C079F">
        <w:rPr>
          <w:color w:val="000000" w:themeColor="text1"/>
          <w:sz w:val="22"/>
        </w:rPr>
        <w:t>d economic benefits from the projects to achieve better development results. The safeguards process therefore should move towards ass</w:t>
      </w:r>
      <w:r w:rsidRPr="000C079F">
        <w:rPr>
          <w:b/>
          <w:color w:val="000000" w:themeColor="text1"/>
          <w:sz w:val="22"/>
        </w:rPr>
        <w:t>e</w:t>
      </w:r>
      <w:r w:rsidRPr="000C079F">
        <w:rPr>
          <w:color w:val="000000" w:themeColor="text1"/>
          <w:sz w:val="22"/>
        </w:rPr>
        <w:t>ssment of benefits from a narrower focus on mitigation.</w:t>
      </w:r>
    </w:p>
    <w:p w:rsidR="000C079F" w:rsidRPr="000C079F" w:rsidRDefault="000C079F" w:rsidP="000C079F">
      <w:pPr>
        <w:pStyle w:val="BodyText"/>
        <w:numPr>
          <w:ilvl w:val="0"/>
          <w:numId w:val="18"/>
        </w:numPr>
        <w:spacing w:after="0" w:line="264" w:lineRule="auto"/>
        <w:jc w:val="left"/>
        <w:rPr>
          <w:color w:val="000000" w:themeColor="text1"/>
          <w:sz w:val="22"/>
        </w:rPr>
      </w:pPr>
      <w:r w:rsidRPr="000C079F">
        <w:rPr>
          <w:b/>
          <w:color w:val="000000" w:themeColor="text1"/>
          <w:sz w:val="22"/>
        </w:rPr>
        <w:t xml:space="preserve">Consider inclusion of FPIC elements in the </w:t>
      </w:r>
      <w:r w:rsidR="00AF044B">
        <w:rPr>
          <w:b/>
          <w:color w:val="000000" w:themeColor="text1"/>
          <w:sz w:val="22"/>
        </w:rPr>
        <w:t>World Bank</w:t>
      </w:r>
      <w:r w:rsidRPr="000C079F">
        <w:rPr>
          <w:b/>
          <w:color w:val="000000" w:themeColor="text1"/>
          <w:sz w:val="22"/>
        </w:rPr>
        <w:t>’s safeguards policy, principle and operations.</w:t>
      </w:r>
      <w:r w:rsidRPr="000C079F">
        <w:rPr>
          <w:color w:val="000000" w:themeColor="text1"/>
          <w:sz w:val="22"/>
        </w:rPr>
        <w:t xml:space="preserve"> The policy needs to be conceived and made operational given the context of countries with laws on IPs and those who don’t recognize Indigenous Peoples. How to capture this into the safeguards</w:t>
      </w:r>
      <w:r w:rsidR="00E05F12" w:rsidRPr="000C079F">
        <w:rPr>
          <w:color w:val="000000" w:themeColor="text1"/>
          <w:sz w:val="22"/>
        </w:rPr>
        <w:t>, translate</w:t>
      </w:r>
      <w:r w:rsidRPr="000C079F">
        <w:rPr>
          <w:color w:val="000000" w:themeColor="text1"/>
          <w:sz w:val="22"/>
        </w:rPr>
        <w:t xml:space="preserve"> into requirements for and clarity of the roles of the borrower and the </w:t>
      </w:r>
      <w:r w:rsidR="00AF044B">
        <w:rPr>
          <w:color w:val="000000" w:themeColor="text1"/>
          <w:sz w:val="22"/>
        </w:rPr>
        <w:t>World Bank</w:t>
      </w:r>
      <w:r w:rsidRPr="000C079F">
        <w:rPr>
          <w:color w:val="000000" w:themeColor="text1"/>
          <w:sz w:val="22"/>
        </w:rPr>
        <w:t xml:space="preserve"> is important.</w:t>
      </w:r>
    </w:p>
    <w:p w:rsidR="000C079F" w:rsidRPr="000C079F" w:rsidRDefault="000C079F" w:rsidP="000C079F">
      <w:pPr>
        <w:pStyle w:val="BodyText"/>
        <w:numPr>
          <w:ilvl w:val="0"/>
          <w:numId w:val="18"/>
        </w:numPr>
        <w:spacing w:after="0" w:line="264" w:lineRule="auto"/>
        <w:jc w:val="left"/>
        <w:rPr>
          <w:color w:val="000000" w:themeColor="text1"/>
          <w:sz w:val="22"/>
        </w:rPr>
      </w:pPr>
      <w:r w:rsidRPr="000C079F">
        <w:rPr>
          <w:b/>
          <w:color w:val="000000" w:themeColor="text1"/>
          <w:sz w:val="22"/>
        </w:rPr>
        <w:t>“Broad Community Support” is ambiguous.</w:t>
      </w:r>
      <w:r w:rsidRPr="000C079F">
        <w:rPr>
          <w:color w:val="000000" w:themeColor="text1"/>
          <w:sz w:val="22"/>
        </w:rPr>
        <w:t xml:space="preserve"> Participants expressed concern about the ambiguity of the </w:t>
      </w:r>
      <w:r w:rsidR="00AF044B">
        <w:rPr>
          <w:color w:val="000000" w:themeColor="text1"/>
          <w:sz w:val="22"/>
        </w:rPr>
        <w:t>World Bank</w:t>
      </w:r>
      <w:r w:rsidRPr="000C079F">
        <w:rPr>
          <w:color w:val="000000" w:themeColor="text1"/>
          <w:sz w:val="22"/>
        </w:rPr>
        <w:t xml:space="preserve">’s concept of “broad community support” — there are no clear </w:t>
      </w:r>
      <w:proofErr w:type="gramStart"/>
      <w:r w:rsidRPr="000C079F">
        <w:rPr>
          <w:color w:val="000000" w:themeColor="text1"/>
          <w:sz w:val="22"/>
        </w:rPr>
        <w:t xml:space="preserve">indicators </w:t>
      </w:r>
      <w:r w:rsidRPr="000C079F">
        <w:rPr>
          <w:color w:val="000000" w:themeColor="text1"/>
          <w:sz w:val="22"/>
        </w:rPr>
        <w:lastRenderedPageBreak/>
        <w:t>(who makes</w:t>
      </w:r>
      <w:proofErr w:type="gramEnd"/>
      <w:r w:rsidRPr="000C079F">
        <w:rPr>
          <w:color w:val="000000" w:themeColor="text1"/>
          <w:sz w:val="22"/>
        </w:rPr>
        <w:t xml:space="preserve"> the judgment about whether broad community support has been obtained?). Evidence of agreement is missing in OP 4.10. The </w:t>
      </w:r>
      <w:r w:rsidR="00AF044B">
        <w:rPr>
          <w:color w:val="000000" w:themeColor="text1"/>
          <w:sz w:val="22"/>
        </w:rPr>
        <w:t>World Bank</w:t>
      </w:r>
      <w:r w:rsidRPr="000C079F">
        <w:rPr>
          <w:color w:val="000000" w:themeColor="text1"/>
          <w:sz w:val="22"/>
        </w:rPr>
        <w:t xml:space="preserve"> needs to think through an appropriate mechanism for such consensus building process. Moreover, the emphasis should be on clear understanding of IPs’ customary laws and institutions.  Safeguards instruments and processes such as broad community support should be adopted in order to advance the advocacy for indigenous culture and not be taken as tools invented just to get the IPs into agreement.</w:t>
      </w:r>
    </w:p>
    <w:p w:rsidR="000C079F" w:rsidRPr="000C079F" w:rsidRDefault="000C079F" w:rsidP="000C079F">
      <w:pPr>
        <w:pStyle w:val="BodyText"/>
        <w:numPr>
          <w:ilvl w:val="0"/>
          <w:numId w:val="18"/>
        </w:numPr>
        <w:spacing w:after="0" w:line="264" w:lineRule="auto"/>
        <w:jc w:val="left"/>
        <w:rPr>
          <w:color w:val="000000" w:themeColor="text1"/>
          <w:sz w:val="22"/>
        </w:rPr>
      </w:pPr>
      <w:r w:rsidRPr="000C079F">
        <w:rPr>
          <w:b/>
          <w:color w:val="000000" w:themeColor="text1"/>
          <w:sz w:val="22"/>
        </w:rPr>
        <w:t xml:space="preserve">Assess the structures and governance rules on Indigenous Peoples and their lands. </w:t>
      </w:r>
      <w:r w:rsidRPr="000C079F">
        <w:rPr>
          <w:color w:val="000000" w:themeColor="text1"/>
          <w:sz w:val="22"/>
        </w:rPr>
        <w:t xml:space="preserve">Participants also generally held the view that there is a need to include a study on culture and institutions of the Indigenous Peoples in the review process, and stressed the importance of in-depth consultations in carrying-out cultural impact analysis. The </w:t>
      </w:r>
      <w:r w:rsidR="00AF044B">
        <w:rPr>
          <w:color w:val="000000" w:themeColor="text1"/>
          <w:sz w:val="22"/>
        </w:rPr>
        <w:t>World Bank</w:t>
      </w:r>
      <w:r w:rsidRPr="000C079F">
        <w:rPr>
          <w:color w:val="000000" w:themeColor="text1"/>
          <w:sz w:val="22"/>
        </w:rPr>
        <w:t>’s role in establishing standards and guidelines on how to apply these IPs’ principles in the field is noted.</w:t>
      </w:r>
    </w:p>
    <w:p w:rsidR="000C079F" w:rsidRPr="000C079F" w:rsidRDefault="000C079F" w:rsidP="000C079F">
      <w:pPr>
        <w:pStyle w:val="ListParagraph"/>
        <w:numPr>
          <w:ilvl w:val="0"/>
          <w:numId w:val="18"/>
        </w:numPr>
        <w:spacing w:after="0" w:line="288" w:lineRule="auto"/>
        <w:rPr>
          <w:color w:val="000000" w:themeColor="text1"/>
        </w:rPr>
      </w:pPr>
      <w:r w:rsidRPr="000C079F">
        <w:rPr>
          <w:color w:val="000000" w:themeColor="text1"/>
        </w:rPr>
        <w:t xml:space="preserve">Does PS7 work for public sector financing?  Would the public sector discourse toward consent be more complicated?  Or is the way forward to simplify matters?  Should FPIC apply if IPs </w:t>
      </w:r>
      <w:proofErr w:type="gramStart"/>
      <w:r w:rsidRPr="000C079F">
        <w:rPr>
          <w:color w:val="000000" w:themeColor="text1"/>
        </w:rPr>
        <w:t>are</w:t>
      </w:r>
      <w:proofErr w:type="gramEnd"/>
      <w:r w:rsidRPr="000C079F">
        <w:rPr>
          <w:color w:val="000000" w:themeColor="text1"/>
        </w:rPr>
        <w:t xml:space="preserve"> in the area of the project, and if the project will materially affect IPs’ international rights (human rights of IPs that are differentiated from others)? This is more pragmatic.  IFC’s formulation under PS7 is pretty good, particularly on land provisions. </w:t>
      </w:r>
    </w:p>
    <w:p w:rsidR="000C079F" w:rsidRPr="000C079F" w:rsidRDefault="000C079F" w:rsidP="000C079F">
      <w:pPr>
        <w:pStyle w:val="BodyText"/>
        <w:numPr>
          <w:ilvl w:val="0"/>
          <w:numId w:val="18"/>
        </w:numPr>
        <w:spacing w:after="0" w:line="264" w:lineRule="auto"/>
        <w:jc w:val="left"/>
        <w:rPr>
          <w:color w:val="000000" w:themeColor="text1"/>
          <w:sz w:val="22"/>
        </w:rPr>
      </w:pPr>
      <w:r w:rsidRPr="000C079F">
        <w:rPr>
          <w:b/>
          <w:color w:val="000000" w:themeColor="text1"/>
          <w:sz w:val="22"/>
        </w:rPr>
        <w:t xml:space="preserve">Philippine Indigenous Peoples’ Rights Act (IPRA) as point of reference. </w:t>
      </w:r>
      <w:r w:rsidRPr="000C079F">
        <w:rPr>
          <w:color w:val="000000" w:themeColor="text1"/>
          <w:sz w:val="22"/>
        </w:rPr>
        <w:t xml:space="preserve">Several participants submitted that the Philippine IPRA could be a useful point of reference. . Lessons and experiences from the implementation of the law could be drawn upon and ultimately feed into the development of the </w:t>
      </w:r>
      <w:r w:rsidR="00AF044B">
        <w:rPr>
          <w:color w:val="000000" w:themeColor="text1"/>
          <w:sz w:val="22"/>
        </w:rPr>
        <w:t>World Bank</w:t>
      </w:r>
      <w:r w:rsidRPr="000C079F">
        <w:rPr>
          <w:color w:val="000000" w:themeColor="text1"/>
          <w:sz w:val="22"/>
        </w:rPr>
        <w:t>’s safeguards framework. The common participant view was that the IPRA is generally a good law. The main problem however lies in the implementation of the law and the level of detail and prescription. While the government created a commission to deal with the indigenous people, the agency lacks funds and the capacity to implement the law.</w:t>
      </w:r>
    </w:p>
    <w:p w:rsidR="00E05F12" w:rsidRDefault="00E05F12" w:rsidP="00E05F12"/>
    <w:p w:rsidR="007B1184" w:rsidRPr="007B1184" w:rsidRDefault="007B1184" w:rsidP="007B1184">
      <w:pPr>
        <w:pStyle w:val="ListParagraph"/>
        <w:numPr>
          <w:ilvl w:val="0"/>
          <w:numId w:val="17"/>
        </w:numPr>
        <w:ind w:left="360"/>
        <w:rPr>
          <w:rFonts w:cstheme="minorHAnsi"/>
          <w:b/>
          <w:bCs/>
          <w:color w:val="000000" w:themeColor="text1"/>
        </w:rPr>
      </w:pPr>
      <w:r w:rsidRPr="007B1184">
        <w:rPr>
          <w:rFonts w:cstheme="minorHAnsi"/>
          <w:b/>
          <w:bCs/>
          <w:color w:val="000000" w:themeColor="text1"/>
        </w:rPr>
        <w:t>What are the “</w:t>
      </w:r>
      <w:proofErr w:type="spellStart"/>
      <w:r w:rsidRPr="007B1184">
        <w:rPr>
          <w:rFonts w:cstheme="minorHAnsi"/>
          <w:b/>
          <w:bCs/>
          <w:color w:val="000000" w:themeColor="text1"/>
        </w:rPr>
        <w:t>Whos</w:t>
      </w:r>
      <w:proofErr w:type="spellEnd"/>
      <w:r w:rsidRPr="007B1184">
        <w:rPr>
          <w:rFonts w:cstheme="minorHAnsi"/>
          <w:b/>
          <w:bCs/>
          <w:color w:val="000000" w:themeColor="text1"/>
        </w:rPr>
        <w:t>,” “Whens,” and “</w:t>
      </w:r>
      <w:proofErr w:type="spellStart"/>
      <w:r w:rsidRPr="007B1184">
        <w:rPr>
          <w:rFonts w:cstheme="minorHAnsi"/>
          <w:b/>
          <w:bCs/>
          <w:color w:val="000000" w:themeColor="text1"/>
        </w:rPr>
        <w:t>Hows</w:t>
      </w:r>
      <w:proofErr w:type="spellEnd"/>
      <w:r w:rsidRPr="007B1184">
        <w:rPr>
          <w:rFonts w:cstheme="minorHAnsi"/>
          <w:b/>
          <w:bCs/>
          <w:color w:val="000000" w:themeColor="text1"/>
        </w:rPr>
        <w:t>” of FPIC?</w:t>
      </w:r>
    </w:p>
    <w:p w:rsidR="00695944" w:rsidRPr="00695944" w:rsidRDefault="00695944" w:rsidP="00695944">
      <w:pPr>
        <w:pStyle w:val="BodyText"/>
        <w:numPr>
          <w:ilvl w:val="0"/>
          <w:numId w:val="18"/>
        </w:numPr>
        <w:spacing w:after="0" w:line="264" w:lineRule="auto"/>
        <w:jc w:val="left"/>
        <w:rPr>
          <w:color w:val="000000" w:themeColor="text1"/>
          <w:sz w:val="22"/>
        </w:rPr>
      </w:pPr>
      <w:r w:rsidRPr="00695944">
        <w:rPr>
          <w:b/>
          <w:color w:val="000000" w:themeColor="text1"/>
          <w:sz w:val="22"/>
        </w:rPr>
        <w:t>Take into account IPs’ international rights in the application of FPIC</w:t>
      </w:r>
      <w:r w:rsidRPr="00695944">
        <w:rPr>
          <w:color w:val="000000" w:themeColor="text1"/>
          <w:sz w:val="22"/>
        </w:rPr>
        <w:t xml:space="preserve">. Participants generally held the view that FPIC should be implemented in line with the provisions specified in the UNDRIP. Assessments need to be carried out with the aim of addressing human rights risks and potential impacts in a broader manner under the umbrella safeguard policy of the </w:t>
      </w:r>
      <w:r w:rsidR="00AF044B">
        <w:rPr>
          <w:color w:val="000000" w:themeColor="text1"/>
          <w:sz w:val="22"/>
        </w:rPr>
        <w:t>World Bank</w:t>
      </w:r>
      <w:r w:rsidRPr="00695944">
        <w:rPr>
          <w:color w:val="000000" w:themeColor="text1"/>
          <w:sz w:val="22"/>
        </w:rPr>
        <w:t xml:space="preserve">, i.e., need to address issues concerning right to self-determination and right to development, among others. The </w:t>
      </w:r>
      <w:r w:rsidR="00AF044B">
        <w:rPr>
          <w:color w:val="000000" w:themeColor="text1"/>
          <w:sz w:val="22"/>
        </w:rPr>
        <w:t>World Bank</w:t>
      </w:r>
      <w:r w:rsidRPr="00695944">
        <w:rPr>
          <w:color w:val="000000" w:themeColor="text1"/>
          <w:sz w:val="22"/>
        </w:rPr>
        <w:t xml:space="preserve"> may need to consider how to translate these into </w:t>
      </w:r>
      <w:r w:rsidR="00AF044B">
        <w:rPr>
          <w:color w:val="000000" w:themeColor="text1"/>
          <w:sz w:val="22"/>
        </w:rPr>
        <w:t>World Bank</w:t>
      </w:r>
      <w:r w:rsidRPr="00695944">
        <w:rPr>
          <w:color w:val="000000" w:themeColor="text1"/>
          <w:sz w:val="22"/>
        </w:rPr>
        <w:t xml:space="preserve"> procedures and implications for both the </w:t>
      </w:r>
      <w:r w:rsidR="00AF044B">
        <w:rPr>
          <w:color w:val="000000" w:themeColor="text1"/>
          <w:sz w:val="22"/>
        </w:rPr>
        <w:t>World Bank</w:t>
      </w:r>
      <w:r w:rsidRPr="00695944">
        <w:rPr>
          <w:color w:val="000000" w:themeColor="text1"/>
          <w:sz w:val="22"/>
        </w:rPr>
        <w:t xml:space="preserve"> and borrower countries.</w:t>
      </w:r>
    </w:p>
    <w:p w:rsidR="00695944" w:rsidRPr="00695944" w:rsidRDefault="00695944" w:rsidP="00695944">
      <w:pPr>
        <w:pStyle w:val="BodyText"/>
        <w:numPr>
          <w:ilvl w:val="0"/>
          <w:numId w:val="18"/>
        </w:numPr>
        <w:spacing w:after="0" w:line="264" w:lineRule="auto"/>
        <w:jc w:val="left"/>
        <w:rPr>
          <w:color w:val="000000" w:themeColor="text1"/>
          <w:sz w:val="22"/>
        </w:rPr>
      </w:pPr>
      <w:r w:rsidRPr="00695944">
        <w:rPr>
          <w:b/>
          <w:color w:val="000000" w:themeColor="text1"/>
          <w:sz w:val="22"/>
        </w:rPr>
        <w:t>A better approach to assessing socio-cultural impacts is needed</w:t>
      </w:r>
      <w:r w:rsidRPr="00695944">
        <w:rPr>
          <w:color w:val="000000" w:themeColor="text1"/>
          <w:sz w:val="22"/>
        </w:rPr>
        <w:t>. The social assessment in this context must look at social and cultural aspects systematically.  There are no comprehensive checklists and regardless it is difficult to pinpoint impacts at the outset.  So far, the following areas have been identified as important: (</w:t>
      </w:r>
      <w:proofErr w:type="spellStart"/>
      <w:r w:rsidRPr="00695944">
        <w:rPr>
          <w:color w:val="000000" w:themeColor="text1"/>
          <w:sz w:val="22"/>
        </w:rPr>
        <w:t>i</w:t>
      </w:r>
      <w:proofErr w:type="spellEnd"/>
      <w:r w:rsidRPr="00695944">
        <w:rPr>
          <w:color w:val="000000" w:themeColor="text1"/>
          <w:sz w:val="22"/>
        </w:rPr>
        <w:t xml:space="preserve">) monetization of traditional economies and its spillover effects, (ii) impact on traditional organizations and governance, (iii) territorial integrity and sustainability, </w:t>
      </w:r>
      <w:proofErr w:type="gramStart"/>
      <w:r w:rsidRPr="00695944">
        <w:rPr>
          <w:color w:val="000000" w:themeColor="text1"/>
          <w:sz w:val="22"/>
        </w:rPr>
        <w:t>(iv) cultural</w:t>
      </w:r>
      <w:proofErr w:type="gramEnd"/>
      <w:r w:rsidRPr="00695944">
        <w:rPr>
          <w:color w:val="000000" w:themeColor="text1"/>
          <w:sz w:val="22"/>
        </w:rPr>
        <w:t xml:space="preserve"> land use, (v) acculturation, (vi) reproduction, (vii) change in behavioral patterns, and (viii) language.</w:t>
      </w:r>
    </w:p>
    <w:p w:rsidR="00695944" w:rsidRPr="00695944" w:rsidRDefault="00695944" w:rsidP="00695944">
      <w:pPr>
        <w:pStyle w:val="BodyText"/>
        <w:numPr>
          <w:ilvl w:val="0"/>
          <w:numId w:val="18"/>
        </w:numPr>
        <w:spacing w:after="0" w:line="264" w:lineRule="auto"/>
        <w:jc w:val="left"/>
        <w:rPr>
          <w:color w:val="000000" w:themeColor="text1"/>
          <w:sz w:val="22"/>
        </w:rPr>
      </w:pPr>
      <w:r w:rsidRPr="00695944">
        <w:rPr>
          <w:b/>
          <w:color w:val="000000" w:themeColor="text1"/>
          <w:sz w:val="22"/>
        </w:rPr>
        <w:t>Who, when and how of consent</w:t>
      </w:r>
      <w:r w:rsidRPr="00695944">
        <w:rPr>
          <w:color w:val="000000" w:themeColor="text1"/>
          <w:sz w:val="22"/>
        </w:rPr>
        <w:t xml:space="preserve">?  The Declaration states that IP government/institutions should be consulted.  The concept of broad community support confuses this point if it is taken to mean simple majority decisions.  IPs must be consulted if their rights will be affected. And the </w:t>
      </w:r>
      <w:r w:rsidRPr="00695944">
        <w:rPr>
          <w:color w:val="000000" w:themeColor="text1"/>
          <w:sz w:val="22"/>
        </w:rPr>
        <w:lastRenderedPageBreak/>
        <w:t xml:space="preserve">“how” of the consent is to protect their rights. Is consent a one-time thing or not?  Consent is only given under certain circumstances.  If the circumstances are no longer present, is consent revoked?  </w:t>
      </w:r>
    </w:p>
    <w:p w:rsidR="00695944" w:rsidRPr="00695944" w:rsidRDefault="00695944" w:rsidP="00695944">
      <w:pPr>
        <w:pStyle w:val="BodyText"/>
        <w:numPr>
          <w:ilvl w:val="0"/>
          <w:numId w:val="18"/>
        </w:numPr>
        <w:spacing w:after="0" w:line="264" w:lineRule="auto"/>
        <w:jc w:val="left"/>
        <w:rPr>
          <w:color w:val="000000" w:themeColor="text1"/>
          <w:sz w:val="22"/>
        </w:rPr>
      </w:pPr>
      <w:r w:rsidRPr="00695944">
        <w:rPr>
          <w:b/>
          <w:color w:val="000000" w:themeColor="text1"/>
          <w:sz w:val="22"/>
        </w:rPr>
        <w:t>Due process is also important</w:t>
      </w:r>
      <w:r w:rsidRPr="00695944">
        <w:rPr>
          <w:color w:val="000000" w:themeColor="text1"/>
          <w:sz w:val="22"/>
        </w:rPr>
        <w:t xml:space="preserve">.  Where there is a right, there should also be due process.  For example, consent should be carried out within a reasonable time frame.  The competency of the decision making process is important.  Also the Declaration refers due process requirements, like the need for translators and interpreters, and provision of legal counsel (Article 13.2), and adequacy of time and means for IPs (Article 14), etc. </w:t>
      </w:r>
    </w:p>
    <w:p w:rsidR="006F66D6" w:rsidRPr="00695944" w:rsidRDefault="00695944" w:rsidP="006F66D6">
      <w:pPr>
        <w:pStyle w:val="BodyText"/>
        <w:numPr>
          <w:ilvl w:val="0"/>
          <w:numId w:val="18"/>
        </w:numPr>
        <w:spacing w:after="0" w:line="264" w:lineRule="auto"/>
        <w:jc w:val="left"/>
        <w:rPr>
          <w:color w:val="000000" w:themeColor="text1"/>
          <w:sz w:val="22"/>
        </w:rPr>
      </w:pPr>
      <w:r w:rsidRPr="00695944">
        <w:rPr>
          <w:b/>
          <w:color w:val="000000" w:themeColor="text1"/>
          <w:sz w:val="22"/>
        </w:rPr>
        <w:t>OP4.01 lacks procedural details.</w:t>
      </w:r>
      <w:r w:rsidRPr="00695944">
        <w:rPr>
          <w:color w:val="000000" w:themeColor="text1"/>
          <w:sz w:val="22"/>
        </w:rPr>
        <w:t xml:space="preserve">  There is not much on consultation, though the </w:t>
      </w:r>
      <w:r w:rsidR="00AF044B">
        <w:rPr>
          <w:color w:val="000000" w:themeColor="text1"/>
          <w:sz w:val="22"/>
        </w:rPr>
        <w:t>World Bank</w:t>
      </w:r>
      <w:r w:rsidRPr="00695944">
        <w:rPr>
          <w:color w:val="000000" w:themeColor="text1"/>
          <w:sz w:val="22"/>
        </w:rPr>
        <w:t xml:space="preserve"> should refrain from prescription and let the local circumstances guide the process.  Regarding land, OP4.10 does not say much more than customary land – it does not deal with territories, occupation, acquisition, etc.  OP4.10 also does not empower IP institutions or emphasizes enough about transparency.  OP4.10 does not seem to be written in order to leave a legacy – it is written to serve the loan.  OP4.10 cannot serve the loan alone – it must serve the government, which is entrusted to protect rights.  The impression is that the assessments are to assess risks only – why can’t assessments look at opportunities, e.g., how to advance IP land rights – this is a legacy that will go on after the loan is finished.</w:t>
      </w:r>
      <w:r w:rsidR="006F66D6">
        <w:rPr>
          <w:color w:val="000000" w:themeColor="text1"/>
          <w:sz w:val="22"/>
        </w:rPr>
        <w:t xml:space="preserve"> Participants want the new World Bank safeguard policies framework to </w:t>
      </w:r>
      <w:r w:rsidR="006F66D6" w:rsidRPr="006F66D6">
        <w:rPr>
          <w:color w:val="000000" w:themeColor="text1"/>
          <w:sz w:val="22"/>
        </w:rPr>
        <w:t>have more robust guidance on social assessment and stakeholder engagement</w:t>
      </w:r>
      <w:r w:rsidR="00762D96">
        <w:rPr>
          <w:color w:val="000000" w:themeColor="text1"/>
          <w:sz w:val="22"/>
        </w:rPr>
        <w:t xml:space="preserve"> (similar to IFC’s </w:t>
      </w:r>
      <w:r w:rsidR="006F66D6" w:rsidRPr="006F66D6">
        <w:rPr>
          <w:color w:val="000000" w:themeColor="text1"/>
          <w:sz w:val="22"/>
        </w:rPr>
        <w:t>PS7</w:t>
      </w:r>
      <w:r w:rsidR="00762D96">
        <w:rPr>
          <w:color w:val="000000" w:themeColor="text1"/>
          <w:sz w:val="22"/>
        </w:rPr>
        <w:t>, which</w:t>
      </w:r>
      <w:r w:rsidR="006F66D6" w:rsidRPr="006F66D6">
        <w:rPr>
          <w:color w:val="000000" w:themeColor="text1"/>
          <w:sz w:val="22"/>
        </w:rPr>
        <w:t xml:space="preserve"> builds on the broader principles in P</w:t>
      </w:r>
      <w:r w:rsidR="00762D96">
        <w:rPr>
          <w:color w:val="000000" w:themeColor="text1"/>
          <w:sz w:val="22"/>
        </w:rPr>
        <w:t xml:space="preserve">erformance Standard </w:t>
      </w:r>
      <w:r w:rsidR="006F66D6" w:rsidRPr="006F66D6">
        <w:rPr>
          <w:color w:val="000000" w:themeColor="text1"/>
          <w:sz w:val="22"/>
        </w:rPr>
        <w:t>1</w:t>
      </w:r>
      <w:r w:rsidR="00762D96">
        <w:rPr>
          <w:color w:val="000000" w:themeColor="text1"/>
          <w:sz w:val="22"/>
        </w:rPr>
        <w:t xml:space="preserve"> (PS1)</w:t>
      </w:r>
      <w:r w:rsidR="005216F5">
        <w:rPr>
          <w:color w:val="000000" w:themeColor="text1"/>
          <w:sz w:val="22"/>
        </w:rPr>
        <w:t xml:space="preserve">). </w:t>
      </w:r>
    </w:p>
    <w:p w:rsidR="00695944" w:rsidRPr="00695944" w:rsidRDefault="00695944" w:rsidP="00695944">
      <w:pPr>
        <w:pStyle w:val="ListParagraph"/>
        <w:numPr>
          <w:ilvl w:val="0"/>
          <w:numId w:val="18"/>
        </w:numPr>
        <w:spacing w:after="0" w:line="264" w:lineRule="auto"/>
        <w:rPr>
          <w:color w:val="000000" w:themeColor="text1"/>
        </w:rPr>
      </w:pPr>
      <w:r w:rsidRPr="00695944">
        <w:rPr>
          <w:b/>
          <w:color w:val="000000" w:themeColor="text1"/>
        </w:rPr>
        <w:t>To better implement FPIC policy, issues on capacity building should be addressed</w:t>
      </w:r>
      <w:r w:rsidRPr="00695944">
        <w:rPr>
          <w:color w:val="000000" w:themeColor="text1"/>
        </w:rPr>
        <w:t xml:space="preserve">. The lack of capacity both by IP communities and government agencies handling IP concerns was particularly emphasized. The group therefore stressed the need of capacity building for Indigenous communities and government agencies responsible for the implementation of IPs’ development plans. They need to be reoriented to enable IPs to be real partners in development, and not just a passive recipient of development. </w:t>
      </w:r>
    </w:p>
    <w:p w:rsidR="00695944" w:rsidRPr="00695944" w:rsidRDefault="00695944" w:rsidP="00695944">
      <w:pPr>
        <w:pStyle w:val="ListParagraph"/>
        <w:numPr>
          <w:ilvl w:val="0"/>
          <w:numId w:val="18"/>
        </w:numPr>
        <w:spacing w:after="0" w:line="264" w:lineRule="auto"/>
        <w:rPr>
          <w:color w:val="000000" w:themeColor="text1"/>
        </w:rPr>
      </w:pPr>
      <w:r w:rsidRPr="00695944">
        <w:rPr>
          <w:b/>
          <w:color w:val="000000" w:themeColor="text1"/>
        </w:rPr>
        <w:t xml:space="preserve">Promote strategic planning for Indigenous communities to craft its own development plan to reinforce </w:t>
      </w:r>
      <w:r w:rsidR="00AF044B">
        <w:rPr>
          <w:b/>
          <w:color w:val="000000" w:themeColor="text1"/>
        </w:rPr>
        <w:t>World Bank</w:t>
      </w:r>
      <w:r w:rsidRPr="00695944">
        <w:rPr>
          <w:b/>
          <w:color w:val="000000" w:themeColor="text1"/>
        </w:rPr>
        <w:t xml:space="preserve">’s “do </w:t>
      </w:r>
      <w:proofErr w:type="gramStart"/>
      <w:r w:rsidRPr="00695944">
        <w:rPr>
          <w:b/>
          <w:color w:val="000000" w:themeColor="text1"/>
        </w:rPr>
        <w:t>good</w:t>
      </w:r>
      <w:proofErr w:type="gramEnd"/>
      <w:r w:rsidRPr="00695944">
        <w:rPr>
          <w:b/>
          <w:color w:val="000000" w:themeColor="text1"/>
        </w:rPr>
        <w:t>” orientation.</w:t>
      </w:r>
      <w:r w:rsidRPr="00695944">
        <w:rPr>
          <w:color w:val="000000" w:themeColor="text1"/>
        </w:rPr>
        <w:t xml:space="preserve"> Assessments should look at strategic integration of IP development in project activities implemented by the </w:t>
      </w:r>
      <w:r w:rsidR="00AF044B">
        <w:rPr>
          <w:color w:val="000000" w:themeColor="text1"/>
        </w:rPr>
        <w:t>World Bank</w:t>
      </w:r>
      <w:r w:rsidRPr="00695944">
        <w:rPr>
          <w:color w:val="000000" w:themeColor="text1"/>
        </w:rPr>
        <w:t xml:space="preserve">. A strategic planning for Indigenous communities to promote better understanding of their rights and equip them to prepare their own development models will be helpful in this respect. The focus should be on developing opportunities as opposed to mitigating adverse impacts. The Philippine Ancestral Domain Sustainable Development and Protection Plan (ADSDPP) can also be a good reference to look at to better appreciate how IPs conceptualize and implement their development plans and strategies. </w:t>
      </w:r>
    </w:p>
    <w:p w:rsidR="00695944" w:rsidRPr="00695944" w:rsidRDefault="00695944" w:rsidP="00695944">
      <w:pPr>
        <w:pStyle w:val="BodyText"/>
        <w:numPr>
          <w:ilvl w:val="0"/>
          <w:numId w:val="18"/>
        </w:numPr>
        <w:spacing w:after="0" w:line="264" w:lineRule="auto"/>
        <w:jc w:val="left"/>
        <w:rPr>
          <w:color w:val="000000" w:themeColor="text1"/>
          <w:sz w:val="22"/>
        </w:rPr>
      </w:pPr>
      <w:r w:rsidRPr="00695944">
        <w:rPr>
          <w:b/>
          <w:color w:val="000000" w:themeColor="text1"/>
          <w:sz w:val="22"/>
        </w:rPr>
        <w:t>Take advantage of upstream avenues in furthering IPs’ concerns.</w:t>
      </w:r>
      <w:r w:rsidRPr="00695944">
        <w:rPr>
          <w:color w:val="000000" w:themeColor="text1"/>
          <w:sz w:val="22"/>
        </w:rPr>
        <w:t xml:space="preserve"> The Country Assistance Strategy (CAS) exercises call for in-depth consultation and strong participation from the government, IP groups, and civil society to provide their inputs. It is therefore possible for the IP issues to be dealt with upstream; there is no need to reinvent the wheel. The next key question that needs to be addressed -- who will represent the IP groups in such consultation processes?  Often community leaders don’t speak up.</w:t>
      </w:r>
    </w:p>
    <w:p w:rsidR="00695944" w:rsidRDefault="00695944" w:rsidP="00695944"/>
    <w:p w:rsidR="005F6484" w:rsidRDefault="005F6484">
      <w:pPr>
        <w:rPr>
          <w:rFonts w:cstheme="minorHAnsi"/>
          <w:b/>
          <w:bCs/>
          <w:color w:val="000000" w:themeColor="text1"/>
        </w:rPr>
      </w:pPr>
      <w:r>
        <w:rPr>
          <w:rFonts w:cstheme="minorHAnsi"/>
          <w:b/>
          <w:bCs/>
          <w:color w:val="000000" w:themeColor="text1"/>
        </w:rPr>
        <w:br w:type="page"/>
      </w:r>
    </w:p>
    <w:p w:rsidR="005C05BC" w:rsidRDefault="005C05BC" w:rsidP="005C05BC">
      <w:pPr>
        <w:pStyle w:val="ListParagraph"/>
        <w:numPr>
          <w:ilvl w:val="0"/>
          <w:numId w:val="17"/>
        </w:numPr>
        <w:ind w:left="360"/>
        <w:rPr>
          <w:rFonts w:cstheme="minorHAnsi"/>
          <w:b/>
          <w:bCs/>
          <w:color w:val="000000" w:themeColor="text1"/>
        </w:rPr>
      </w:pPr>
      <w:bookmarkStart w:id="0" w:name="_GoBack"/>
      <w:bookmarkEnd w:id="0"/>
      <w:r w:rsidRPr="005C05BC">
        <w:rPr>
          <w:rFonts w:cstheme="minorHAnsi"/>
          <w:b/>
          <w:bCs/>
          <w:color w:val="000000" w:themeColor="text1"/>
        </w:rPr>
        <w:lastRenderedPageBreak/>
        <w:t>How would FPIC work in specific country contexts?</w:t>
      </w:r>
    </w:p>
    <w:p w:rsidR="000214F8" w:rsidRPr="000214F8" w:rsidRDefault="000214F8" w:rsidP="000214F8">
      <w:pPr>
        <w:pStyle w:val="BodyText"/>
        <w:numPr>
          <w:ilvl w:val="0"/>
          <w:numId w:val="20"/>
        </w:numPr>
        <w:spacing w:after="0" w:line="264" w:lineRule="auto"/>
        <w:jc w:val="left"/>
        <w:rPr>
          <w:color w:val="000000" w:themeColor="text1"/>
          <w:sz w:val="22"/>
        </w:rPr>
      </w:pPr>
      <w:r w:rsidRPr="000214F8">
        <w:rPr>
          <w:b/>
          <w:color w:val="000000" w:themeColor="text1"/>
          <w:sz w:val="22"/>
        </w:rPr>
        <w:t xml:space="preserve">Take into account the varying country contexts. </w:t>
      </w:r>
      <w:r w:rsidRPr="000214F8">
        <w:rPr>
          <w:color w:val="000000" w:themeColor="text1"/>
          <w:sz w:val="22"/>
        </w:rPr>
        <w:t xml:space="preserve">The framework should not be too specific with the IP processes and should avoid prescriptive procedures. The </w:t>
      </w:r>
      <w:r w:rsidR="00AF044B">
        <w:rPr>
          <w:color w:val="000000" w:themeColor="text1"/>
          <w:sz w:val="22"/>
        </w:rPr>
        <w:t>World Bank</w:t>
      </w:r>
      <w:r w:rsidRPr="000214F8">
        <w:rPr>
          <w:color w:val="000000" w:themeColor="text1"/>
          <w:sz w:val="22"/>
        </w:rPr>
        <w:t xml:space="preserve"> deals with a number of governments that have its own laws and constitutional processes. It is imperative to look at the country legal perspective of FPIC implementation and address the IP rights in specific country contexts. Three possible scenarios were explored: (</w:t>
      </w:r>
      <w:proofErr w:type="spellStart"/>
      <w:r w:rsidRPr="000214F8">
        <w:rPr>
          <w:color w:val="000000" w:themeColor="text1"/>
          <w:sz w:val="22"/>
        </w:rPr>
        <w:t>i</w:t>
      </w:r>
      <w:proofErr w:type="spellEnd"/>
      <w:r w:rsidRPr="000214F8">
        <w:rPr>
          <w:color w:val="000000" w:themeColor="text1"/>
          <w:sz w:val="22"/>
        </w:rPr>
        <w:t xml:space="preserve">) when a country has national laws on land rights and IPs, and recognizes FPIC; (ii) when a country does not recognize land rights of IPs; and (iii) when a country does not recognize IPs. The key here is to have the right underpinning of principles and the right mix of expertise to apply judgment on IP matters. For those countries where IPs </w:t>
      </w:r>
      <w:proofErr w:type="gramStart"/>
      <w:r w:rsidRPr="000214F8">
        <w:rPr>
          <w:color w:val="000000" w:themeColor="text1"/>
          <w:sz w:val="22"/>
        </w:rPr>
        <w:t>are</w:t>
      </w:r>
      <w:proofErr w:type="gramEnd"/>
      <w:r w:rsidRPr="000214F8">
        <w:rPr>
          <w:color w:val="000000" w:themeColor="text1"/>
          <w:sz w:val="22"/>
        </w:rPr>
        <w:t xml:space="preserve"> recognized, the challenge lies on how to effectively engage with the Indigenous Peoples. The UNDRIP provides for at least three conditions: (</w:t>
      </w:r>
      <w:proofErr w:type="spellStart"/>
      <w:r w:rsidRPr="000214F8">
        <w:rPr>
          <w:color w:val="000000" w:themeColor="text1"/>
          <w:sz w:val="22"/>
        </w:rPr>
        <w:t>i</w:t>
      </w:r>
      <w:proofErr w:type="spellEnd"/>
      <w:r w:rsidRPr="000214F8">
        <w:rPr>
          <w:color w:val="000000" w:themeColor="text1"/>
          <w:sz w:val="22"/>
        </w:rPr>
        <w:t xml:space="preserve">) provision of interpreters; (ii) adequate time and means for consultations; and (iii) provision of legal counsel. This set of elements may be incorporated in the development of the policy framework. There should also be provision on monitoring of the FPIC implementation and this entails resources. </w:t>
      </w:r>
    </w:p>
    <w:p w:rsidR="000214F8" w:rsidRPr="000214F8" w:rsidRDefault="000214F8" w:rsidP="000214F8">
      <w:pPr>
        <w:pStyle w:val="BodyText"/>
        <w:numPr>
          <w:ilvl w:val="0"/>
          <w:numId w:val="20"/>
        </w:numPr>
        <w:spacing w:after="0" w:line="264" w:lineRule="auto"/>
        <w:jc w:val="left"/>
        <w:rPr>
          <w:color w:val="000000" w:themeColor="text1"/>
          <w:sz w:val="22"/>
        </w:rPr>
      </w:pPr>
      <w:r w:rsidRPr="000214F8">
        <w:rPr>
          <w:b/>
          <w:color w:val="000000" w:themeColor="text1"/>
          <w:sz w:val="22"/>
        </w:rPr>
        <w:t>Review of existing laws on FPIC and its implementation is critical in the development of the safeguards framework.</w:t>
      </w:r>
      <w:r w:rsidRPr="000214F8">
        <w:rPr>
          <w:color w:val="000000" w:themeColor="text1"/>
          <w:sz w:val="22"/>
        </w:rPr>
        <w:t xml:space="preserve"> Lessons could be drawn from the national IP laws in the Philippines, Ruanda and Ethiopia, i.e., how the IP policy was conceptualized and implemented, what are the gaps, challenges, and recommended actions to address key IP issues towards effective implementation of the IP law. </w:t>
      </w:r>
    </w:p>
    <w:p w:rsidR="000214F8" w:rsidRPr="000214F8" w:rsidRDefault="000214F8" w:rsidP="000214F8">
      <w:pPr>
        <w:pStyle w:val="BodyText"/>
        <w:numPr>
          <w:ilvl w:val="0"/>
          <w:numId w:val="20"/>
        </w:numPr>
        <w:spacing w:after="0"/>
        <w:jc w:val="left"/>
        <w:rPr>
          <w:color w:val="000000" w:themeColor="text1"/>
          <w:sz w:val="22"/>
        </w:rPr>
      </w:pPr>
      <w:r w:rsidRPr="000214F8">
        <w:rPr>
          <w:b/>
          <w:color w:val="000000" w:themeColor="text1"/>
          <w:sz w:val="22"/>
        </w:rPr>
        <w:t>There are varying national IP law systems and these should be relied upon cautiously</w:t>
      </w:r>
      <w:r w:rsidRPr="000214F8">
        <w:rPr>
          <w:color w:val="000000" w:themeColor="text1"/>
          <w:sz w:val="22"/>
        </w:rPr>
        <w:t xml:space="preserve">. Participants expressed concern about the ambiguity of the IP definition even in countries with established IP law systems--which groups are Indigenous under the </w:t>
      </w:r>
      <w:r w:rsidR="00AF044B">
        <w:rPr>
          <w:color w:val="000000" w:themeColor="text1"/>
          <w:sz w:val="22"/>
        </w:rPr>
        <w:t>World Bank</w:t>
      </w:r>
      <w:r w:rsidRPr="000214F8">
        <w:rPr>
          <w:color w:val="000000" w:themeColor="text1"/>
          <w:sz w:val="22"/>
        </w:rPr>
        <w:t xml:space="preserve"> policy? What triggers the safeguards policy? Other issues that are relevant to the policy--(</w:t>
      </w:r>
      <w:proofErr w:type="spellStart"/>
      <w:r w:rsidRPr="000214F8">
        <w:rPr>
          <w:color w:val="000000" w:themeColor="text1"/>
          <w:sz w:val="22"/>
        </w:rPr>
        <w:t>i</w:t>
      </w:r>
      <w:proofErr w:type="spellEnd"/>
      <w:r w:rsidRPr="000214F8">
        <w:rPr>
          <w:color w:val="000000" w:themeColor="text1"/>
          <w:sz w:val="22"/>
        </w:rPr>
        <w:t xml:space="preserve">) land rights; (ii) criteria of customary lands; and (iii) non-customary but otherwise acquired.  </w:t>
      </w:r>
    </w:p>
    <w:p w:rsidR="000214F8" w:rsidRPr="000214F8" w:rsidRDefault="000214F8" w:rsidP="000214F8">
      <w:pPr>
        <w:pStyle w:val="BodyText"/>
        <w:numPr>
          <w:ilvl w:val="0"/>
          <w:numId w:val="20"/>
        </w:numPr>
        <w:spacing w:after="0" w:line="264" w:lineRule="auto"/>
        <w:jc w:val="left"/>
        <w:rPr>
          <w:color w:val="000000" w:themeColor="text1"/>
          <w:sz w:val="22"/>
        </w:rPr>
      </w:pPr>
      <w:r w:rsidRPr="000214F8">
        <w:rPr>
          <w:b/>
          <w:color w:val="000000" w:themeColor="text1"/>
          <w:sz w:val="22"/>
        </w:rPr>
        <w:t>Give emphasis on capacity building.</w:t>
      </w:r>
      <w:r w:rsidRPr="000214F8">
        <w:rPr>
          <w:color w:val="000000" w:themeColor="text1"/>
          <w:sz w:val="22"/>
        </w:rPr>
        <w:t xml:space="preserve"> There was a predominant view among participants that continuous capacity building is needed by the IPs, government and private sector--to empower the IPs, and for the government and the private sector to better understand and respond to the concerns of Indigenous Peoples. Capacity building for development planning for the IPs as well as for engagement and consultation was suggested by the group. </w:t>
      </w:r>
    </w:p>
    <w:p w:rsidR="005C05BC" w:rsidRPr="000214F8" w:rsidRDefault="00AF044B" w:rsidP="000214F8">
      <w:pPr>
        <w:pStyle w:val="BodyText"/>
        <w:numPr>
          <w:ilvl w:val="0"/>
          <w:numId w:val="20"/>
        </w:numPr>
        <w:spacing w:after="0" w:line="264" w:lineRule="auto"/>
        <w:jc w:val="left"/>
        <w:rPr>
          <w:color w:val="000000" w:themeColor="text1"/>
          <w:sz w:val="22"/>
        </w:rPr>
      </w:pPr>
      <w:r>
        <w:rPr>
          <w:b/>
          <w:color w:val="000000" w:themeColor="text1"/>
          <w:sz w:val="22"/>
        </w:rPr>
        <w:t>World Bank</w:t>
      </w:r>
      <w:r w:rsidR="000214F8" w:rsidRPr="000214F8">
        <w:rPr>
          <w:b/>
          <w:color w:val="000000" w:themeColor="text1"/>
          <w:sz w:val="22"/>
        </w:rPr>
        <w:t xml:space="preserve">’s role in IPs’ economic development was highlighted. </w:t>
      </w:r>
      <w:r w:rsidR="000214F8" w:rsidRPr="000214F8">
        <w:rPr>
          <w:color w:val="000000" w:themeColor="text1"/>
          <w:sz w:val="22"/>
        </w:rPr>
        <w:t>Several participants submitted that</w:t>
      </w:r>
      <w:r w:rsidR="000214F8" w:rsidRPr="000214F8">
        <w:rPr>
          <w:b/>
          <w:color w:val="000000" w:themeColor="text1"/>
          <w:sz w:val="22"/>
        </w:rPr>
        <w:t xml:space="preserve"> </w:t>
      </w:r>
      <w:r w:rsidR="000214F8" w:rsidRPr="000214F8">
        <w:rPr>
          <w:color w:val="000000" w:themeColor="text1"/>
          <w:sz w:val="22"/>
        </w:rPr>
        <w:t xml:space="preserve">the </w:t>
      </w:r>
      <w:r>
        <w:rPr>
          <w:color w:val="000000" w:themeColor="text1"/>
          <w:sz w:val="22"/>
        </w:rPr>
        <w:t>World Bank</w:t>
      </w:r>
      <w:r w:rsidR="000214F8" w:rsidRPr="000214F8">
        <w:rPr>
          <w:color w:val="000000" w:themeColor="text1"/>
          <w:sz w:val="22"/>
        </w:rPr>
        <w:t xml:space="preserve"> may play a role in helping Indigenous People fully realize its economic development by introducing the idea of their own development, providing appropriate knowledge on business management and entrepreneurship that is culturally sensitive and sustainable. It is also hoped that the </w:t>
      </w:r>
      <w:r>
        <w:rPr>
          <w:color w:val="000000" w:themeColor="text1"/>
          <w:sz w:val="22"/>
        </w:rPr>
        <w:t>World Bank</w:t>
      </w:r>
      <w:r w:rsidR="000214F8" w:rsidRPr="000214F8">
        <w:rPr>
          <w:color w:val="000000" w:themeColor="text1"/>
          <w:sz w:val="22"/>
        </w:rPr>
        <w:t xml:space="preserve"> will support the IP proposal and assist in the realization and implementation of the UNDRIP as a development institution.</w:t>
      </w:r>
    </w:p>
    <w:sectPr w:rsidR="005C05BC" w:rsidRPr="000214F8" w:rsidSect="001E665C">
      <w:footerReference w:type="default" r:id="rId1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D3" w:rsidRDefault="00295AD3" w:rsidP="00D06964">
      <w:pPr>
        <w:spacing w:after="0" w:line="240" w:lineRule="auto"/>
      </w:pPr>
      <w:r>
        <w:separator/>
      </w:r>
    </w:p>
  </w:endnote>
  <w:endnote w:type="continuationSeparator" w:id="0">
    <w:p w:rsidR="00295AD3" w:rsidRDefault="00295AD3" w:rsidP="00D0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13982889"/>
      <w:docPartObj>
        <w:docPartGallery w:val="Page Numbers (Bottom of Page)"/>
        <w:docPartUnique/>
      </w:docPartObj>
    </w:sdtPr>
    <w:sdtEndPr>
      <w:rPr>
        <w:noProof/>
      </w:rPr>
    </w:sdtEndPr>
    <w:sdtContent>
      <w:p w:rsidR="00F76D62" w:rsidRPr="008D0B66" w:rsidRDefault="008D0B66" w:rsidP="00077168">
        <w:pPr>
          <w:pStyle w:val="Footer"/>
          <w:rPr>
            <w:sz w:val="16"/>
            <w:szCs w:val="16"/>
          </w:rPr>
        </w:pPr>
        <w:r w:rsidRPr="008D0B66">
          <w:rPr>
            <w:sz w:val="16"/>
            <w:szCs w:val="16"/>
          </w:rPr>
          <w:t xml:space="preserve">Summary Note – Expert Focus Group Meeting on </w:t>
        </w:r>
        <w:r w:rsidR="00E451ED">
          <w:rPr>
            <w:sz w:val="16"/>
            <w:szCs w:val="16"/>
          </w:rPr>
          <w:t>Free, Prior, and Informed Consent of Indigenous Peoples</w:t>
        </w:r>
        <w:r w:rsidRPr="008D0B66">
          <w:rPr>
            <w:sz w:val="16"/>
            <w:szCs w:val="16"/>
          </w:rPr>
          <w:tab/>
        </w:r>
        <w:r w:rsidR="00711C20">
          <w:rPr>
            <w:sz w:val="16"/>
            <w:szCs w:val="16"/>
          </w:rPr>
          <w:t xml:space="preserve">    </w:t>
        </w:r>
        <w:r w:rsidR="00077168">
          <w:rPr>
            <w:sz w:val="16"/>
            <w:szCs w:val="16"/>
          </w:rPr>
          <w:t xml:space="preserve"> </w:t>
        </w:r>
        <w:r w:rsidR="00077168">
          <w:rPr>
            <w:sz w:val="16"/>
            <w:szCs w:val="16"/>
          </w:rPr>
          <w:tab/>
        </w:r>
        <w:r w:rsidR="00F76D62" w:rsidRPr="008D0B66">
          <w:rPr>
            <w:sz w:val="16"/>
            <w:szCs w:val="16"/>
          </w:rPr>
          <w:fldChar w:fldCharType="begin"/>
        </w:r>
        <w:r w:rsidR="00F76D62" w:rsidRPr="008D0B66">
          <w:rPr>
            <w:sz w:val="16"/>
            <w:szCs w:val="16"/>
          </w:rPr>
          <w:instrText xml:space="preserve"> PAGE   \* MERGEFORMAT </w:instrText>
        </w:r>
        <w:r w:rsidR="00F76D62" w:rsidRPr="008D0B66">
          <w:rPr>
            <w:sz w:val="16"/>
            <w:szCs w:val="16"/>
          </w:rPr>
          <w:fldChar w:fldCharType="separate"/>
        </w:r>
        <w:r w:rsidR="005F6484">
          <w:rPr>
            <w:noProof/>
            <w:sz w:val="16"/>
            <w:szCs w:val="16"/>
          </w:rPr>
          <w:t>5</w:t>
        </w:r>
        <w:r w:rsidR="00F76D62" w:rsidRPr="008D0B66">
          <w:rPr>
            <w:noProof/>
            <w:sz w:val="16"/>
            <w:szCs w:val="16"/>
          </w:rPr>
          <w:fldChar w:fldCharType="end"/>
        </w:r>
      </w:p>
    </w:sdtContent>
  </w:sdt>
  <w:p w:rsidR="00F76D62" w:rsidRDefault="00F76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D3" w:rsidRDefault="00295AD3" w:rsidP="00D06964">
      <w:pPr>
        <w:spacing w:after="0" w:line="240" w:lineRule="auto"/>
      </w:pPr>
      <w:r>
        <w:separator/>
      </w:r>
    </w:p>
  </w:footnote>
  <w:footnote w:type="continuationSeparator" w:id="0">
    <w:p w:rsidR="00295AD3" w:rsidRDefault="00295AD3" w:rsidP="00D06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526"/>
    <w:multiLevelType w:val="hybridMultilevel"/>
    <w:tmpl w:val="2C90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B49E0"/>
    <w:multiLevelType w:val="hybridMultilevel"/>
    <w:tmpl w:val="44BC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A0BDB"/>
    <w:multiLevelType w:val="hybridMultilevel"/>
    <w:tmpl w:val="2A28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61D56"/>
    <w:multiLevelType w:val="hybridMultilevel"/>
    <w:tmpl w:val="68AAD2B4"/>
    <w:lvl w:ilvl="0" w:tplc="0409000F">
      <w:start w:val="1"/>
      <w:numFmt w:val="decimal"/>
      <w:lvlText w:val="%1."/>
      <w:lvlJc w:val="left"/>
      <w:pPr>
        <w:tabs>
          <w:tab w:val="num" w:pos="720"/>
        </w:tabs>
        <w:ind w:left="720" w:hanging="360"/>
      </w:pPr>
      <w:rPr>
        <w:rFonts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4">
    <w:nsid w:val="2B1D2F41"/>
    <w:multiLevelType w:val="hybridMultilevel"/>
    <w:tmpl w:val="F74A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958E4"/>
    <w:multiLevelType w:val="hybridMultilevel"/>
    <w:tmpl w:val="C9520C36"/>
    <w:lvl w:ilvl="0" w:tplc="EAC64EB4">
      <w:start w:val="2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41BEB"/>
    <w:multiLevelType w:val="hybridMultilevel"/>
    <w:tmpl w:val="F1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B57F2"/>
    <w:multiLevelType w:val="hybridMultilevel"/>
    <w:tmpl w:val="4986EF1A"/>
    <w:lvl w:ilvl="0" w:tplc="6D6647A4">
      <w:start w:val="1"/>
      <w:numFmt w:val="bullet"/>
      <w:lvlText w:val="•"/>
      <w:lvlJc w:val="left"/>
      <w:pPr>
        <w:tabs>
          <w:tab w:val="num" w:pos="720"/>
        </w:tabs>
        <w:ind w:left="720" w:hanging="360"/>
      </w:pPr>
      <w:rPr>
        <w:rFonts w:ascii="Arial" w:hAnsi="Arial" w:cs="Times New Roman"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8">
    <w:nsid w:val="3E0457D9"/>
    <w:multiLevelType w:val="hybridMultilevel"/>
    <w:tmpl w:val="8E6A13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1EB05F5"/>
    <w:multiLevelType w:val="hybridMultilevel"/>
    <w:tmpl w:val="64AC96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66A51"/>
    <w:multiLevelType w:val="hybridMultilevel"/>
    <w:tmpl w:val="F1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D7E44"/>
    <w:multiLevelType w:val="hybridMultilevel"/>
    <w:tmpl w:val="C8A60B8A"/>
    <w:lvl w:ilvl="0" w:tplc="B32E7004">
      <w:start w:val="1"/>
      <w:numFmt w:val="lowerRoman"/>
      <w:lvlText w:val="(%1)"/>
      <w:lvlJc w:val="left"/>
      <w:pPr>
        <w:ind w:left="1287" w:hanging="72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513D5774"/>
    <w:multiLevelType w:val="hybridMultilevel"/>
    <w:tmpl w:val="AAC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F3E92"/>
    <w:multiLevelType w:val="hybridMultilevel"/>
    <w:tmpl w:val="44223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F5B12"/>
    <w:multiLevelType w:val="hybridMultilevel"/>
    <w:tmpl w:val="F10A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F43DF"/>
    <w:multiLevelType w:val="hybridMultilevel"/>
    <w:tmpl w:val="F9C2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61C3E"/>
    <w:multiLevelType w:val="hybridMultilevel"/>
    <w:tmpl w:val="26A632E2"/>
    <w:lvl w:ilvl="0" w:tplc="E01AF68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46D3802"/>
    <w:multiLevelType w:val="hybridMultilevel"/>
    <w:tmpl w:val="E952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76F30708"/>
    <w:multiLevelType w:val="hybridMultilevel"/>
    <w:tmpl w:val="F91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C40740"/>
    <w:multiLevelType w:val="hybridMultilevel"/>
    <w:tmpl w:val="98E656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7EC80CC3"/>
    <w:multiLevelType w:val="hybridMultilevel"/>
    <w:tmpl w:val="7928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8"/>
  </w:num>
  <w:num w:numId="5">
    <w:abstractNumId w:val="7"/>
  </w:num>
  <w:num w:numId="6">
    <w:abstractNumId w:val="7"/>
  </w:num>
  <w:num w:numId="7">
    <w:abstractNumId w:val="3"/>
  </w:num>
  <w:num w:numId="8">
    <w:abstractNumId w:val="5"/>
  </w:num>
  <w:num w:numId="9">
    <w:abstractNumId w:val="10"/>
  </w:num>
  <w:num w:numId="10">
    <w:abstractNumId w:val="18"/>
  </w:num>
  <w:num w:numId="11">
    <w:abstractNumId w:val="4"/>
  </w:num>
  <w:num w:numId="12">
    <w:abstractNumId w:val="14"/>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16"/>
    <w:rsid w:val="0000024C"/>
    <w:rsid w:val="00003761"/>
    <w:rsid w:val="00006DDC"/>
    <w:rsid w:val="00007AD1"/>
    <w:rsid w:val="00010C61"/>
    <w:rsid w:val="00011220"/>
    <w:rsid w:val="0001145D"/>
    <w:rsid w:val="000144D7"/>
    <w:rsid w:val="000146E3"/>
    <w:rsid w:val="00015D3A"/>
    <w:rsid w:val="00017164"/>
    <w:rsid w:val="000214F8"/>
    <w:rsid w:val="00022A7A"/>
    <w:rsid w:val="00023129"/>
    <w:rsid w:val="00024897"/>
    <w:rsid w:val="00025571"/>
    <w:rsid w:val="00025D2F"/>
    <w:rsid w:val="00026023"/>
    <w:rsid w:val="00030E0B"/>
    <w:rsid w:val="00031F5F"/>
    <w:rsid w:val="0003284E"/>
    <w:rsid w:val="00032D40"/>
    <w:rsid w:val="000343AE"/>
    <w:rsid w:val="0003471F"/>
    <w:rsid w:val="00036418"/>
    <w:rsid w:val="00036616"/>
    <w:rsid w:val="0003745E"/>
    <w:rsid w:val="000408E9"/>
    <w:rsid w:val="00040B2A"/>
    <w:rsid w:val="00040F32"/>
    <w:rsid w:val="00043A10"/>
    <w:rsid w:val="00043D28"/>
    <w:rsid w:val="00043DE5"/>
    <w:rsid w:val="000459AD"/>
    <w:rsid w:val="000468D5"/>
    <w:rsid w:val="00054993"/>
    <w:rsid w:val="00055AD4"/>
    <w:rsid w:val="00057F3D"/>
    <w:rsid w:val="00060224"/>
    <w:rsid w:val="00060AC7"/>
    <w:rsid w:val="00060D3B"/>
    <w:rsid w:val="00060E2A"/>
    <w:rsid w:val="00062A54"/>
    <w:rsid w:val="00065F6B"/>
    <w:rsid w:val="00067475"/>
    <w:rsid w:val="000678DF"/>
    <w:rsid w:val="000703D3"/>
    <w:rsid w:val="00071DBC"/>
    <w:rsid w:val="00073481"/>
    <w:rsid w:val="00073AA6"/>
    <w:rsid w:val="0007578C"/>
    <w:rsid w:val="000759FD"/>
    <w:rsid w:val="00076A97"/>
    <w:rsid w:val="00077168"/>
    <w:rsid w:val="00077B48"/>
    <w:rsid w:val="00077D60"/>
    <w:rsid w:val="00080512"/>
    <w:rsid w:val="0008139B"/>
    <w:rsid w:val="00083780"/>
    <w:rsid w:val="00083954"/>
    <w:rsid w:val="00083BA4"/>
    <w:rsid w:val="00083D82"/>
    <w:rsid w:val="00084447"/>
    <w:rsid w:val="000845B7"/>
    <w:rsid w:val="000855C3"/>
    <w:rsid w:val="00087645"/>
    <w:rsid w:val="00090C3D"/>
    <w:rsid w:val="0009269E"/>
    <w:rsid w:val="0009332B"/>
    <w:rsid w:val="000A072E"/>
    <w:rsid w:val="000A0F8D"/>
    <w:rsid w:val="000A199F"/>
    <w:rsid w:val="000A27AA"/>
    <w:rsid w:val="000A2FA1"/>
    <w:rsid w:val="000A3D7D"/>
    <w:rsid w:val="000A45B4"/>
    <w:rsid w:val="000A46D0"/>
    <w:rsid w:val="000A488D"/>
    <w:rsid w:val="000A4E2F"/>
    <w:rsid w:val="000A5B91"/>
    <w:rsid w:val="000A637B"/>
    <w:rsid w:val="000A6F23"/>
    <w:rsid w:val="000A744B"/>
    <w:rsid w:val="000B0BEE"/>
    <w:rsid w:val="000B1EB9"/>
    <w:rsid w:val="000B2945"/>
    <w:rsid w:val="000B4BB0"/>
    <w:rsid w:val="000B6FC7"/>
    <w:rsid w:val="000C079F"/>
    <w:rsid w:val="000C1631"/>
    <w:rsid w:val="000C2350"/>
    <w:rsid w:val="000C24F4"/>
    <w:rsid w:val="000C265A"/>
    <w:rsid w:val="000C2E9C"/>
    <w:rsid w:val="000C5206"/>
    <w:rsid w:val="000C6D63"/>
    <w:rsid w:val="000D0F19"/>
    <w:rsid w:val="000D1C59"/>
    <w:rsid w:val="000D2372"/>
    <w:rsid w:val="000D5628"/>
    <w:rsid w:val="000D6F49"/>
    <w:rsid w:val="000E0A84"/>
    <w:rsid w:val="000E1165"/>
    <w:rsid w:val="000E1A9B"/>
    <w:rsid w:val="000E1E25"/>
    <w:rsid w:val="000E3005"/>
    <w:rsid w:val="000E404D"/>
    <w:rsid w:val="000E70A4"/>
    <w:rsid w:val="000E7620"/>
    <w:rsid w:val="000E7739"/>
    <w:rsid w:val="000F047A"/>
    <w:rsid w:val="000F136C"/>
    <w:rsid w:val="000F3905"/>
    <w:rsid w:val="000F3F59"/>
    <w:rsid w:val="000F6384"/>
    <w:rsid w:val="000F647A"/>
    <w:rsid w:val="00101AFB"/>
    <w:rsid w:val="001029FB"/>
    <w:rsid w:val="00102B24"/>
    <w:rsid w:val="001031D0"/>
    <w:rsid w:val="00103CE6"/>
    <w:rsid w:val="0010418F"/>
    <w:rsid w:val="00105F9E"/>
    <w:rsid w:val="0010613E"/>
    <w:rsid w:val="00106DD0"/>
    <w:rsid w:val="00110547"/>
    <w:rsid w:val="001111B2"/>
    <w:rsid w:val="001120C1"/>
    <w:rsid w:val="00114AB1"/>
    <w:rsid w:val="001157B2"/>
    <w:rsid w:val="00115850"/>
    <w:rsid w:val="00117530"/>
    <w:rsid w:val="0012071D"/>
    <w:rsid w:val="001216A0"/>
    <w:rsid w:val="00121770"/>
    <w:rsid w:val="00122D48"/>
    <w:rsid w:val="0012647A"/>
    <w:rsid w:val="0012740F"/>
    <w:rsid w:val="001279D5"/>
    <w:rsid w:val="00132562"/>
    <w:rsid w:val="001343E6"/>
    <w:rsid w:val="00134B69"/>
    <w:rsid w:val="0013514C"/>
    <w:rsid w:val="00136CC1"/>
    <w:rsid w:val="00136D05"/>
    <w:rsid w:val="00140D4F"/>
    <w:rsid w:val="00141124"/>
    <w:rsid w:val="00141266"/>
    <w:rsid w:val="00141666"/>
    <w:rsid w:val="001432D1"/>
    <w:rsid w:val="00143B0B"/>
    <w:rsid w:val="00144C2E"/>
    <w:rsid w:val="00144ECC"/>
    <w:rsid w:val="00145D1B"/>
    <w:rsid w:val="00146488"/>
    <w:rsid w:val="00146DD7"/>
    <w:rsid w:val="00146EDD"/>
    <w:rsid w:val="001470D0"/>
    <w:rsid w:val="001506E8"/>
    <w:rsid w:val="00151B78"/>
    <w:rsid w:val="00152027"/>
    <w:rsid w:val="001549DB"/>
    <w:rsid w:val="0015608A"/>
    <w:rsid w:val="0015740C"/>
    <w:rsid w:val="0016367F"/>
    <w:rsid w:val="001638C3"/>
    <w:rsid w:val="00164E06"/>
    <w:rsid w:val="0016630F"/>
    <w:rsid w:val="00167010"/>
    <w:rsid w:val="00173365"/>
    <w:rsid w:val="00173DDF"/>
    <w:rsid w:val="001822A4"/>
    <w:rsid w:val="001823FB"/>
    <w:rsid w:val="0018307F"/>
    <w:rsid w:val="001858A2"/>
    <w:rsid w:val="00185B0B"/>
    <w:rsid w:val="00186666"/>
    <w:rsid w:val="001878A6"/>
    <w:rsid w:val="00190170"/>
    <w:rsid w:val="00190CBC"/>
    <w:rsid w:val="00191033"/>
    <w:rsid w:val="00191058"/>
    <w:rsid w:val="001911A3"/>
    <w:rsid w:val="00194043"/>
    <w:rsid w:val="00194B5B"/>
    <w:rsid w:val="00196260"/>
    <w:rsid w:val="00197852"/>
    <w:rsid w:val="00197A4D"/>
    <w:rsid w:val="001A1368"/>
    <w:rsid w:val="001A1CA9"/>
    <w:rsid w:val="001A2EEB"/>
    <w:rsid w:val="001A34E6"/>
    <w:rsid w:val="001A39E5"/>
    <w:rsid w:val="001A4B8A"/>
    <w:rsid w:val="001A6C8F"/>
    <w:rsid w:val="001B16A5"/>
    <w:rsid w:val="001B1B5F"/>
    <w:rsid w:val="001B2003"/>
    <w:rsid w:val="001B2546"/>
    <w:rsid w:val="001B36BA"/>
    <w:rsid w:val="001B6B68"/>
    <w:rsid w:val="001B738E"/>
    <w:rsid w:val="001B7495"/>
    <w:rsid w:val="001C1A41"/>
    <w:rsid w:val="001C1E57"/>
    <w:rsid w:val="001C236E"/>
    <w:rsid w:val="001C264E"/>
    <w:rsid w:val="001C26C8"/>
    <w:rsid w:val="001C3AA2"/>
    <w:rsid w:val="001C4081"/>
    <w:rsid w:val="001D0076"/>
    <w:rsid w:val="001D0478"/>
    <w:rsid w:val="001D1150"/>
    <w:rsid w:val="001D241D"/>
    <w:rsid w:val="001D2577"/>
    <w:rsid w:val="001D6894"/>
    <w:rsid w:val="001D7016"/>
    <w:rsid w:val="001E06F3"/>
    <w:rsid w:val="001E0848"/>
    <w:rsid w:val="001E08EE"/>
    <w:rsid w:val="001E1ED4"/>
    <w:rsid w:val="001E2197"/>
    <w:rsid w:val="001E6272"/>
    <w:rsid w:val="001E631F"/>
    <w:rsid w:val="001E665C"/>
    <w:rsid w:val="001E6B5A"/>
    <w:rsid w:val="001E7248"/>
    <w:rsid w:val="001F1A96"/>
    <w:rsid w:val="001F2E37"/>
    <w:rsid w:val="001F3556"/>
    <w:rsid w:val="001F4292"/>
    <w:rsid w:val="001F5DD0"/>
    <w:rsid w:val="00200847"/>
    <w:rsid w:val="0020232B"/>
    <w:rsid w:val="0020243A"/>
    <w:rsid w:val="0020373E"/>
    <w:rsid w:val="00205F4B"/>
    <w:rsid w:val="00206B4E"/>
    <w:rsid w:val="002101FB"/>
    <w:rsid w:val="00210A2C"/>
    <w:rsid w:val="0021262E"/>
    <w:rsid w:val="00212D09"/>
    <w:rsid w:val="002140B2"/>
    <w:rsid w:val="002145E9"/>
    <w:rsid w:val="0021482C"/>
    <w:rsid w:val="00215AFB"/>
    <w:rsid w:val="00217D7A"/>
    <w:rsid w:val="00217E20"/>
    <w:rsid w:val="00220FD9"/>
    <w:rsid w:val="00222405"/>
    <w:rsid w:val="00223CEF"/>
    <w:rsid w:val="00224308"/>
    <w:rsid w:val="002246B7"/>
    <w:rsid w:val="0022471B"/>
    <w:rsid w:val="00224E2E"/>
    <w:rsid w:val="002262CF"/>
    <w:rsid w:val="00226423"/>
    <w:rsid w:val="00226A27"/>
    <w:rsid w:val="00227A67"/>
    <w:rsid w:val="00227E19"/>
    <w:rsid w:val="00230FBF"/>
    <w:rsid w:val="00233F09"/>
    <w:rsid w:val="00233FD1"/>
    <w:rsid w:val="0023465E"/>
    <w:rsid w:val="002349DA"/>
    <w:rsid w:val="00234BDB"/>
    <w:rsid w:val="00235133"/>
    <w:rsid w:val="002352A4"/>
    <w:rsid w:val="00236CEC"/>
    <w:rsid w:val="0023764B"/>
    <w:rsid w:val="002402B2"/>
    <w:rsid w:val="00243E7A"/>
    <w:rsid w:val="00244BBC"/>
    <w:rsid w:val="002469EC"/>
    <w:rsid w:val="00250115"/>
    <w:rsid w:val="0025038D"/>
    <w:rsid w:val="00251EBE"/>
    <w:rsid w:val="00252761"/>
    <w:rsid w:val="00252905"/>
    <w:rsid w:val="00253DB6"/>
    <w:rsid w:val="00254C5E"/>
    <w:rsid w:val="00257E38"/>
    <w:rsid w:val="00261485"/>
    <w:rsid w:val="0026177D"/>
    <w:rsid w:val="00262CF7"/>
    <w:rsid w:val="002647A1"/>
    <w:rsid w:val="002669E3"/>
    <w:rsid w:val="00271ED4"/>
    <w:rsid w:val="002735A8"/>
    <w:rsid w:val="00275842"/>
    <w:rsid w:val="00276622"/>
    <w:rsid w:val="0027777C"/>
    <w:rsid w:val="00277ACB"/>
    <w:rsid w:val="00280A08"/>
    <w:rsid w:val="0028279F"/>
    <w:rsid w:val="0028448A"/>
    <w:rsid w:val="0028484C"/>
    <w:rsid w:val="00286F4C"/>
    <w:rsid w:val="00292AF9"/>
    <w:rsid w:val="00292B1B"/>
    <w:rsid w:val="00295400"/>
    <w:rsid w:val="00295AD3"/>
    <w:rsid w:val="002A03C9"/>
    <w:rsid w:val="002A32DF"/>
    <w:rsid w:val="002A3908"/>
    <w:rsid w:val="002A4896"/>
    <w:rsid w:val="002A4DC5"/>
    <w:rsid w:val="002B088F"/>
    <w:rsid w:val="002B09A4"/>
    <w:rsid w:val="002B0B6B"/>
    <w:rsid w:val="002B0CAD"/>
    <w:rsid w:val="002B189B"/>
    <w:rsid w:val="002B3FA0"/>
    <w:rsid w:val="002B4D69"/>
    <w:rsid w:val="002B6E2B"/>
    <w:rsid w:val="002C0F5A"/>
    <w:rsid w:val="002C1AF5"/>
    <w:rsid w:val="002C422A"/>
    <w:rsid w:val="002C5F00"/>
    <w:rsid w:val="002D2EC6"/>
    <w:rsid w:val="002D5F84"/>
    <w:rsid w:val="002D7174"/>
    <w:rsid w:val="002D7ABC"/>
    <w:rsid w:val="002E0815"/>
    <w:rsid w:val="002E0D96"/>
    <w:rsid w:val="002E1F73"/>
    <w:rsid w:val="002E22DD"/>
    <w:rsid w:val="002E2AB7"/>
    <w:rsid w:val="002E33D9"/>
    <w:rsid w:val="002E41CB"/>
    <w:rsid w:val="002E4B96"/>
    <w:rsid w:val="002E7BB4"/>
    <w:rsid w:val="002F058A"/>
    <w:rsid w:val="002F0CAA"/>
    <w:rsid w:val="002F252B"/>
    <w:rsid w:val="002F37C9"/>
    <w:rsid w:val="002F3924"/>
    <w:rsid w:val="003001BA"/>
    <w:rsid w:val="00300263"/>
    <w:rsid w:val="0030175E"/>
    <w:rsid w:val="0030200E"/>
    <w:rsid w:val="00302431"/>
    <w:rsid w:val="00302453"/>
    <w:rsid w:val="00302930"/>
    <w:rsid w:val="00305C49"/>
    <w:rsid w:val="00306615"/>
    <w:rsid w:val="003068F2"/>
    <w:rsid w:val="00306BC7"/>
    <w:rsid w:val="0030744C"/>
    <w:rsid w:val="00310E63"/>
    <w:rsid w:val="0031241D"/>
    <w:rsid w:val="00312478"/>
    <w:rsid w:val="00315354"/>
    <w:rsid w:val="0031716A"/>
    <w:rsid w:val="00317283"/>
    <w:rsid w:val="003233F4"/>
    <w:rsid w:val="00323EE9"/>
    <w:rsid w:val="00326283"/>
    <w:rsid w:val="0033399B"/>
    <w:rsid w:val="00334B08"/>
    <w:rsid w:val="00335417"/>
    <w:rsid w:val="00337964"/>
    <w:rsid w:val="00337EFB"/>
    <w:rsid w:val="00340641"/>
    <w:rsid w:val="003453E5"/>
    <w:rsid w:val="00346825"/>
    <w:rsid w:val="00350DE3"/>
    <w:rsid w:val="003511CF"/>
    <w:rsid w:val="00351281"/>
    <w:rsid w:val="00352055"/>
    <w:rsid w:val="00354E30"/>
    <w:rsid w:val="00357DD4"/>
    <w:rsid w:val="003609FE"/>
    <w:rsid w:val="0036379A"/>
    <w:rsid w:val="0036679E"/>
    <w:rsid w:val="00366A08"/>
    <w:rsid w:val="00371494"/>
    <w:rsid w:val="003758A5"/>
    <w:rsid w:val="00375C75"/>
    <w:rsid w:val="00376500"/>
    <w:rsid w:val="00377D14"/>
    <w:rsid w:val="0038011C"/>
    <w:rsid w:val="003801EF"/>
    <w:rsid w:val="00380639"/>
    <w:rsid w:val="0038118F"/>
    <w:rsid w:val="00381864"/>
    <w:rsid w:val="00381939"/>
    <w:rsid w:val="00381E09"/>
    <w:rsid w:val="003831B2"/>
    <w:rsid w:val="00385D4D"/>
    <w:rsid w:val="00386956"/>
    <w:rsid w:val="00387A47"/>
    <w:rsid w:val="00390567"/>
    <w:rsid w:val="00391343"/>
    <w:rsid w:val="00391C91"/>
    <w:rsid w:val="003933B6"/>
    <w:rsid w:val="00393F1D"/>
    <w:rsid w:val="0039551B"/>
    <w:rsid w:val="0039595D"/>
    <w:rsid w:val="00395D44"/>
    <w:rsid w:val="003979B7"/>
    <w:rsid w:val="003A19E9"/>
    <w:rsid w:val="003A2703"/>
    <w:rsid w:val="003A3EDE"/>
    <w:rsid w:val="003A4512"/>
    <w:rsid w:val="003A4A6A"/>
    <w:rsid w:val="003A58A3"/>
    <w:rsid w:val="003A76B5"/>
    <w:rsid w:val="003B03FD"/>
    <w:rsid w:val="003B065D"/>
    <w:rsid w:val="003B151F"/>
    <w:rsid w:val="003B2FE6"/>
    <w:rsid w:val="003B3A41"/>
    <w:rsid w:val="003B3D73"/>
    <w:rsid w:val="003B5D34"/>
    <w:rsid w:val="003B72DD"/>
    <w:rsid w:val="003C0086"/>
    <w:rsid w:val="003C0093"/>
    <w:rsid w:val="003C00E0"/>
    <w:rsid w:val="003C16F4"/>
    <w:rsid w:val="003C1A91"/>
    <w:rsid w:val="003C2056"/>
    <w:rsid w:val="003C37E3"/>
    <w:rsid w:val="003C380D"/>
    <w:rsid w:val="003C42CB"/>
    <w:rsid w:val="003C492B"/>
    <w:rsid w:val="003C64D5"/>
    <w:rsid w:val="003C7DCF"/>
    <w:rsid w:val="003D252A"/>
    <w:rsid w:val="003D3B4C"/>
    <w:rsid w:val="003D4428"/>
    <w:rsid w:val="003D5048"/>
    <w:rsid w:val="003D6B12"/>
    <w:rsid w:val="003D6CD2"/>
    <w:rsid w:val="003D6E2F"/>
    <w:rsid w:val="003E23C3"/>
    <w:rsid w:val="003E38D1"/>
    <w:rsid w:val="003E4742"/>
    <w:rsid w:val="003E4ADB"/>
    <w:rsid w:val="003E4ECF"/>
    <w:rsid w:val="003E4F06"/>
    <w:rsid w:val="003E5511"/>
    <w:rsid w:val="003E6A75"/>
    <w:rsid w:val="003F0399"/>
    <w:rsid w:val="003F1FEC"/>
    <w:rsid w:val="003F3046"/>
    <w:rsid w:val="003F31AD"/>
    <w:rsid w:val="003F4B07"/>
    <w:rsid w:val="003F5A96"/>
    <w:rsid w:val="003F61E6"/>
    <w:rsid w:val="003F6BE8"/>
    <w:rsid w:val="00400A44"/>
    <w:rsid w:val="00401742"/>
    <w:rsid w:val="00402204"/>
    <w:rsid w:val="00404699"/>
    <w:rsid w:val="0040721E"/>
    <w:rsid w:val="004075EA"/>
    <w:rsid w:val="00407F4D"/>
    <w:rsid w:val="004106ED"/>
    <w:rsid w:val="004138EB"/>
    <w:rsid w:val="0041434D"/>
    <w:rsid w:val="00415129"/>
    <w:rsid w:val="00415456"/>
    <w:rsid w:val="00415FD5"/>
    <w:rsid w:val="0041608F"/>
    <w:rsid w:val="00417EA1"/>
    <w:rsid w:val="00420803"/>
    <w:rsid w:val="004229BF"/>
    <w:rsid w:val="004239F2"/>
    <w:rsid w:val="00425BD7"/>
    <w:rsid w:val="0042732E"/>
    <w:rsid w:val="00427411"/>
    <w:rsid w:val="00427CDC"/>
    <w:rsid w:val="00430676"/>
    <w:rsid w:val="004319E6"/>
    <w:rsid w:val="004357E9"/>
    <w:rsid w:val="0043608F"/>
    <w:rsid w:val="00436AD3"/>
    <w:rsid w:val="00440993"/>
    <w:rsid w:val="00442617"/>
    <w:rsid w:val="00442EEF"/>
    <w:rsid w:val="00444063"/>
    <w:rsid w:val="004444BA"/>
    <w:rsid w:val="00446780"/>
    <w:rsid w:val="00451969"/>
    <w:rsid w:val="00452D87"/>
    <w:rsid w:val="00452DF0"/>
    <w:rsid w:val="00453E69"/>
    <w:rsid w:val="00455C93"/>
    <w:rsid w:val="00456D21"/>
    <w:rsid w:val="00457DAF"/>
    <w:rsid w:val="00461634"/>
    <w:rsid w:val="00461F01"/>
    <w:rsid w:val="0046378C"/>
    <w:rsid w:val="00463FD2"/>
    <w:rsid w:val="00464D17"/>
    <w:rsid w:val="004650C7"/>
    <w:rsid w:val="00467629"/>
    <w:rsid w:val="0047001E"/>
    <w:rsid w:val="00470406"/>
    <w:rsid w:val="00470D64"/>
    <w:rsid w:val="0047188C"/>
    <w:rsid w:val="00471B0E"/>
    <w:rsid w:val="0047219A"/>
    <w:rsid w:val="0047271C"/>
    <w:rsid w:val="00472F8C"/>
    <w:rsid w:val="00474C0B"/>
    <w:rsid w:val="004751FA"/>
    <w:rsid w:val="004768E3"/>
    <w:rsid w:val="00476ACB"/>
    <w:rsid w:val="00477B8B"/>
    <w:rsid w:val="004805CE"/>
    <w:rsid w:val="00480D91"/>
    <w:rsid w:val="004813E4"/>
    <w:rsid w:val="0048475A"/>
    <w:rsid w:val="004847ED"/>
    <w:rsid w:val="00484AB3"/>
    <w:rsid w:val="00485E3B"/>
    <w:rsid w:val="004866F5"/>
    <w:rsid w:val="00487126"/>
    <w:rsid w:val="004872A4"/>
    <w:rsid w:val="00490324"/>
    <w:rsid w:val="0049118E"/>
    <w:rsid w:val="0049154D"/>
    <w:rsid w:val="0049226A"/>
    <w:rsid w:val="00493186"/>
    <w:rsid w:val="00493D6A"/>
    <w:rsid w:val="00493DF1"/>
    <w:rsid w:val="00494552"/>
    <w:rsid w:val="004945A5"/>
    <w:rsid w:val="00496857"/>
    <w:rsid w:val="00497990"/>
    <w:rsid w:val="00497F16"/>
    <w:rsid w:val="004A3F67"/>
    <w:rsid w:val="004A5832"/>
    <w:rsid w:val="004B50EB"/>
    <w:rsid w:val="004B5E3C"/>
    <w:rsid w:val="004B735C"/>
    <w:rsid w:val="004B7E11"/>
    <w:rsid w:val="004C08C0"/>
    <w:rsid w:val="004C1074"/>
    <w:rsid w:val="004C344A"/>
    <w:rsid w:val="004C3A52"/>
    <w:rsid w:val="004C6AAE"/>
    <w:rsid w:val="004C70D6"/>
    <w:rsid w:val="004D09C6"/>
    <w:rsid w:val="004D20B7"/>
    <w:rsid w:val="004D2A99"/>
    <w:rsid w:val="004D52AF"/>
    <w:rsid w:val="004E237A"/>
    <w:rsid w:val="004E4E48"/>
    <w:rsid w:val="004E5AA3"/>
    <w:rsid w:val="004F0028"/>
    <w:rsid w:val="004F003E"/>
    <w:rsid w:val="004F293C"/>
    <w:rsid w:val="004F32A6"/>
    <w:rsid w:val="004F43E1"/>
    <w:rsid w:val="0050043F"/>
    <w:rsid w:val="005005AF"/>
    <w:rsid w:val="005038DF"/>
    <w:rsid w:val="00505844"/>
    <w:rsid w:val="00505CB7"/>
    <w:rsid w:val="00506625"/>
    <w:rsid w:val="00507072"/>
    <w:rsid w:val="00507476"/>
    <w:rsid w:val="00507EC8"/>
    <w:rsid w:val="005109E4"/>
    <w:rsid w:val="005145E0"/>
    <w:rsid w:val="00515666"/>
    <w:rsid w:val="00515C4B"/>
    <w:rsid w:val="00516AF1"/>
    <w:rsid w:val="00520161"/>
    <w:rsid w:val="00520456"/>
    <w:rsid w:val="00520D1C"/>
    <w:rsid w:val="00521193"/>
    <w:rsid w:val="005216F5"/>
    <w:rsid w:val="00522565"/>
    <w:rsid w:val="0052464F"/>
    <w:rsid w:val="005254C9"/>
    <w:rsid w:val="00525603"/>
    <w:rsid w:val="00525823"/>
    <w:rsid w:val="00526F04"/>
    <w:rsid w:val="00527807"/>
    <w:rsid w:val="00530570"/>
    <w:rsid w:val="00534E32"/>
    <w:rsid w:val="005353CB"/>
    <w:rsid w:val="0053613E"/>
    <w:rsid w:val="00536975"/>
    <w:rsid w:val="00540DE3"/>
    <w:rsid w:val="005411D1"/>
    <w:rsid w:val="005428B8"/>
    <w:rsid w:val="0054363C"/>
    <w:rsid w:val="00543C80"/>
    <w:rsid w:val="00543E66"/>
    <w:rsid w:val="005443AC"/>
    <w:rsid w:val="0054606F"/>
    <w:rsid w:val="00546668"/>
    <w:rsid w:val="00547F6B"/>
    <w:rsid w:val="00550AFA"/>
    <w:rsid w:val="005522B6"/>
    <w:rsid w:val="0055389F"/>
    <w:rsid w:val="00554E1C"/>
    <w:rsid w:val="005551B7"/>
    <w:rsid w:val="0055554B"/>
    <w:rsid w:val="00555632"/>
    <w:rsid w:val="005600ED"/>
    <w:rsid w:val="005607C4"/>
    <w:rsid w:val="00561D63"/>
    <w:rsid w:val="005629BF"/>
    <w:rsid w:val="00562DC1"/>
    <w:rsid w:val="00564D61"/>
    <w:rsid w:val="005656FA"/>
    <w:rsid w:val="00565EE2"/>
    <w:rsid w:val="00567C6A"/>
    <w:rsid w:val="0057148C"/>
    <w:rsid w:val="00572CEC"/>
    <w:rsid w:val="00572D8A"/>
    <w:rsid w:val="00574B59"/>
    <w:rsid w:val="00576EF3"/>
    <w:rsid w:val="0057709D"/>
    <w:rsid w:val="00580198"/>
    <w:rsid w:val="005803F1"/>
    <w:rsid w:val="00580CD8"/>
    <w:rsid w:val="00581554"/>
    <w:rsid w:val="00582996"/>
    <w:rsid w:val="00582B63"/>
    <w:rsid w:val="00583203"/>
    <w:rsid w:val="005839C4"/>
    <w:rsid w:val="00583B0C"/>
    <w:rsid w:val="00583C42"/>
    <w:rsid w:val="00584304"/>
    <w:rsid w:val="0058575D"/>
    <w:rsid w:val="0058585F"/>
    <w:rsid w:val="00585FA7"/>
    <w:rsid w:val="0058767F"/>
    <w:rsid w:val="00593BA3"/>
    <w:rsid w:val="00594C97"/>
    <w:rsid w:val="00595EB4"/>
    <w:rsid w:val="00596083"/>
    <w:rsid w:val="00596783"/>
    <w:rsid w:val="005A05A4"/>
    <w:rsid w:val="005A0A54"/>
    <w:rsid w:val="005A1329"/>
    <w:rsid w:val="005A1F03"/>
    <w:rsid w:val="005A3539"/>
    <w:rsid w:val="005A3CD7"/>
    <w:rsid w:val="005A4417"/>
    <w:rsid w:val="005A441B"/>
    <w:rsid w:val="005A5343"/>
    <w:rsid w:val="005A7413"/>
    <w:rsid w:val="005B0334"/>
    <w:rsid w:val="005B110B"/>
    <w:rsid w:val="005B38CD"/>
    <w:rsid w:val="005B414F"/>
    <w:rsid w:val="005B6482"/>
    <w:rsid w:val="005B662D"/>
    <w:rsid w:val="005B684B"/>
    <w:rsid w:val="005C05BC"/>
    <w:rsid w:val="005C0FC1"/>
    <w:rsid w:val="005C116B"/>
    <w:rsid w:val="005C121C"/>
    <w:rsid w:val="005C1CBC"/>
    <w:rsid w:val="005C2006"/>
    <w:rsid w:val="005C53EC"/>
    <w:rsid w:val="005D187D"/>
    <w:rsid w:val="005D5AD7"/>
    <w:rsid w:val="005D7C97"/>
    <w:rsid w:val="005E267D"/>
    <w:rsid w:val="005E41FF"/>
    <w:rsid w:val="005E5158"/>
    <w:rsid w:val="005E5674"/>
    <w:rsid w:val="005E5AF4"/>
    <w:rsid w:val="005E6465"/>
    <w:rsid w:val="005F1D1F"/>
    <w:rsid w:val="005F2546"/>
    <w:rsid w:val="005F4BAC"/>
    <w:rsid w:val="005F4D4D"/>
    <w:rsid w:val="005F5CEC"/>
    <w:rsid w:val="005F6484"/>
    <w:rsid w:val="006021E0"/>
    <w:rsid w:val="006024B9"/>
    <w:rsid w:val="006037D9"/>
    <w:rsid w:val="006057C4"/>
    <w:rsid w:val="00612BAE"/>
    <w:rsid w:val="0061501E"/>
    <w:rsid w:val="00620CBD"/>
    <w:rsid w:val="0062110F"/>
    <w:rsid w:val="00622ABB"/>
    <w:rsid w:val="00622B8C"/>
    <w:rsid w:val="00622DA6"/>
    <w:rsid w:val="006246FA"/>
    <w:rsid w:val="0062561B"/>
    <w:rsid w:val="00625D30"/>
    <w:rsid w:val="00627985"/>
    <w:rsid w:val="006325C5"/>
    <w:rsid w:val="00635644"/>
    <w:rsid w:val="006357F3"/>
    <w:rsid w:val="00643E02"/>
    <w:rsid w:val="00643EAB"/>
    <w:rsid w:val="0064777C"/>
    <w:rsid w:val="00652FE7"/>
    <w:rsid w:val="00654B00"/>
    <w:rsid w:val="00655974"/>
    <w:rsid w:val="00656934"/>
    <w:rsid w:val="0065703D"/>
    <w:rsid w:val="006579E4"/>
    <w:rsid w:val="00660386"/>
    <w:rsid w:val="006610A7"/>
    <w:rsid w:val="0066133B"/>
    <w:rsid w:val="00662405"/>
    <w:rsid w:val="0066257D"/>
    <w:rsid w:val="006638E0"/>
    <w:rsid w:val="00663964"/>
    <w:rsid w:val="00664310"/>
    <w:rsid w:val="00665C4F"/>
    <w:rsid w:val="00665D34"/>
    <w:rsid w:val="00666117"/>
    <w:rsid w:val="006677A5"/>
    <w:rsid w:val="00671079"/>
    <w:rsid w:val="00672F19"/>
    <w:rsid w:val="00673496"/>
    <w:rsid w:val="0067496A"/>
    <w:rsid w:val="00674CC1"/>
    <w:rsid w:val="00674E5A"/>
    <w:rsid w:val="00675505"/>
    <w:rsid w:val="0067555A"/>
    <w:rsid w:val="00677AB2"/>
    <w:rsid w:val="00680ED9"/>
    <w:rsid w:val="00682F72"/>
    <w:rsid w:val="00686B1A"/>
    <w:rsid w:val="00686E4F"/>
    <w:rsid w:val="00690172"/>
    <w:rsid w:val="00690FB1"/>
    <w:rsid w:val="00693D27"/>
    <w:rsid w:val="0069439A"/>
    <w:rsid w:val="00695944"/>
    <w:rsid w:val="00695F20"/>
    <w:rsid w:val="00695F7F"/>
    <w:rsid w:val="0069609B"/>
    <w:rsid w:val="00696D76"/>
    <w:rsid w:val="006A0980"/>
    <w:rsid w:val="006A0EFD"/>
    <w:rsid w:val="006A245B"/>
    <w:rsid w:val="006A31F2"/>
    <w:rsid w:val="006A69C9"/>
    <w:rsid w:val="006A7E0D"/>
    <w:rsid w:val="006B200B"/>
    <w:rsid w:val="006B2AE4"/>
    <w:rsid w:val="006B2CF8"/>
    <w:rsid w:val="006B3760"/>
    <w:rsid w:val="006B41A1"/>
    <w:rsid w:val="006B4E67"/>
    <w:rsid w:val="006B58AF"/>
    <w:rsid w:val="006C0DB9"/>
    <w:rsid w:val="006C246D"/>
    <w:rsid w:val="006C30C0"/>
    <w:rsid w:val="006C4A94"/>
    <w:rsid w:val="006C65F8"/>
    <w:rsid w:val="006D068C"/>
    <w:rsid w:val="006D1073"/>
    <w:rsid w:val="006D3F86"/>
    <w:rsid w:val="006D45D9"/>
    <w:rsid w:val="006D751F"/>
    <w:rsid w:val="006D7C3D"/>
    <w:rsid w:val="006E03C8"/>
    <w:rsid w:val="006E510E"/>
    <w:rsid w:val="006E54CD"/>
    <w:rsid w:val="006E68C6"/>
    <w:rsid w:val="006E745C"/>
    <w:rsid w:val="006E7A6D"/>
    <w:rsid w:val="006F0B3D"/>
    <w:rsid w:val="006F66D6"/>
    <w:rsid w:val="006F7E3B"/>
    <w:rsid w:val="006F7E66"/>
    <w:rsid w:val="007005F8"/>
    <w:rsid w:val="0070151E"/>
    <w:rsid w:val="00702ABB"/>
    <w:rsid w:val="00706B2F"/>
    <w:rsid w:val="0070756E"/>
    <w:rsid w:val="00707E3C"/>
    <w:rsid w:val="007100FE"/>
    <w:rsid w:val="00710181"/>
    <w:rsid w:val="00711C20"/>
    <w:rsid w:val="0071262B"/>
    <w:rsid w:val="0071316A"/>
    <w:rsid w:val="0071573A"/>
    <w:rsid w:val="007157E6"/>
    <w:rsid w:val="007176E9"/>
    <w:rsid w:val="007206B2"/>
    <w:rsid w:val="00722095"/>
    <w:rsid w:val="007242AD"/>
    <w:rsid w:val="00725AD1"/>
    <w:rsid w:val="00725CF5"/>
    <w:rsid w:val="00726825"/>
    <w:rsid w:val="007272BD"/>
    <w:rsid w:val="00727BC7"/>
    <w:rsid w:val="00727E62"/>
    <w:rsid w:val="007315ED"/>
    <w:rsid w:val="00731841"/>
    <w:rsid w:val="00733831"/>
    <w:rsid w:val="007358E9"/>
    <w:rsid w:val="007407D1"/>
    <w:rsid w:val="00742C9C"/>
    <w:rsid w:val="0074306B"/>
    <w:rsid w:val="0074413E"/>
    <w:rsid w:val="0074594B"/>
    <w:rsid w:val="0074654D"/>
    <w:rsid w:val="0074681C"/>
    <w:rsid w:val="007508AB"/>
    <w:rsid w:val="007516FC"/>
    <w:rsid w:val="007523AA"/>
    <w:rsid w:val="00756419"/>
    <w:rsid w:val="00761624"/>
    <w:rsid w:val="00762D96"/>
    <w:rsid w:val="007632CD"/>
    <w:rsid w:val="0076390D"/>
    <w:rsid w:val="007644B9"/>
    <w:rsid w:val="007676BC"/>
    <w:rsid w:val="00770042"/>
    <w:rsid w:val="007707F8"/>
    <w:rsid w:val="00771683"/>
    <w:rsid w:val="00771F44"/>
    <w:rsid w:val="00772764"/>
    <w:rsid w:val="00772B89"/>
    <w:rsid w:val="00773083"/>
    <w:rsid w:val="00774C4A"/>
    <w:rsid w:val="00776F69"/>
    <w:rsid w:val="0078027E"/>
    <w:rsid w:val="0078097A"/>
    <w:rsid w:val="0078268A"/>
    <w:rsid w:val="00783530"/>
    <w:rsid w:val="00783A60"/>
    <w:rsid w:val="00784E23"/>
    <w:rsid w:val="00785381"/>
    <w:rsid w:val="00785F07"/>
    <w:rsid w:val="007871BC"/>
    <w:rsid w:val="0079040E"/>
    <w:rsid w:val="00790734"/>
    <w:rsid w:val="00791D91"/>
    <w:rsid w:val="007921E8"/>
    <w:rsid w:val="00792BBD"/>
    <w:rsid w:val="00792E88"/>
    <w:rsid w:val="00793693"/>
    <w:rsid w:val="00793845"/>
    <w:rsid w:val="0079466A"/>
    <w:rsid w:val="00794A93"/>
    <w:rsid w:val="007955F0"/>
    <w:rsid w:val="0079594F"/>
    <w:rsid w:val="00795BE6"/>
    <w:rsid w:val="00795D52"/>
    <w:rsid w:val="0079619B"/>
    <w:rsid w:val="007A0359"/>
    <w:rsid w:val="007A097E"/>
    <w:rsid w:val="007A09F5"/>
    <w:rsid w:val="007A359B"/>
    <w:rsid w:val="007A72B9"/>
    <w:rsid w:val="007A7AFE"/>
    <w:rsid w:val="007B0DBE"/>
    <w:rsid w:val="007B1184"/>
    <w:rsid w:val="007B2855"/>
    <w:rsid w:val="007B34F4"/>
    <w:rsid w:val="007B3616"/>
    <w:rsid w:val="007C0EC2"/>
    <w:rsid w:val="007C410B"/>
    <w:rsid w:val="007C6779"/>
    <w:rsid w:val="007D5F0E"/>
    <w:rsid w:val="007D698F"/>
    <w:rsid w:val="007E08DA"/>
    <w:rsid w:val="007E25D5"/>
    <w:rsid w:val="007E26A9"/>
    <w:rsid w:val="007E5233"/>
    <w:rsid w:val="007E5721"/>
    <w:rsid w:val="007E61A4"/>
    <w:rsid w:val="007E6A25"/>
    <w:rsid w:val="007E70F8"/>
    <w:rsid w:val="007F06A3"/>
    <w:rsid w:val="007F0C7C"/>
    <w:rsid w:val="007F17CB"/>
    <w:rsid w:val="007F2F15"/>
    <w:rsid w:val="007F3624"/>
    <w:rsid w:val="007F59F8"/>
    <w:rsid w:val="007F6063"/>
    <w:rsid w:val="007F735B"/>
    <w:rsid w:val="007F7B93"/>
    <w:rsid w:val="008020D7"/>
    <w:rsid w:val="008030D7"/>
    <w:rsid w:val="00803236"/>
    <w:rsid w:val="008040EA"/>
    <w:rsid w:val="00804EF7"/>
    <w:rsid w:val="008058F8"/>
    <w:rsid w:val="00806188"/>
    <w:rsid w:val="008067AE"/>
    <w:rsid w:val="008076BD"/>
    <w:rsid w:val="00807E93"/>
    <w:rsid w:val="00810883"/>
    <w:rsid w:val="00810E8D"/>
    <w:rsid w:val="00812376"/>
    <w:rsid w:val="008123F1"/>
    <w:rsid w:val="008124F6"/>
    <w:rsid w:val="00813E1D"/>
    <w:rsid w:val="00814C57"/>
    <w:rsid w:val="00815404"/>
    <w:rsid w:val="008177E8"/>
    <w:rsid w:val="00820BCE"/>
    <w:rsid w:val="00821969"/>
    <w:rsid w:val="008235A0"/>
    <w:rsid w:val="00830AEC"/>
    <w:rsid w:val="00830DE8"/>
    <w:rsid w:val="00833BA2"/>
    <w:rsid w:val="008350C8"/>
    <w:rsid w:val="00836F72"/>
    <w:rsid w:val="00837960"/>
    <w:rsid w:val="008444F0"/>
    <w:rsid w:val="00845509"/>
    <w:rsid w:val="00845698"/>
    <w:rsid w:val="0084660F"/>
    <w:rsid w:val="00847A53"/>
    <w:rsid w:val="00847FC6"/>
    <w:rsid w:val="008508F0"/>
    <w:rsid w:val="0085107A"/>
    <w:rsid w:val="008517B6"/>
    <w:rsid w:val="00855177"/>
    <w:rsid w:val="008554A6"/>
    <w:rsid w:val="00855921"/>
    <w:rsid w:val="00855A5A"/>
    <w:rsid w:val="00855AAA"/>
    <w:rsid w:val="00855C31"/>
    <w:rsid w:val="00855DC2"/>
    <w:rsid w:val="00856446"/>
    <w:rsid w:val="008569D6"/>
    <w:rsid w:val="00856E98"/>
    <w:rsid w:val="00860CC2"/>
    <w:rsid w:val="0086281D"/>
    <w:rsid w:val="00864A9A"/>
    <w:rsid w:val="00865C2A"/>
    <w:rsid w:val="00865F6F"/>
    <w:rsid w:val="0086656C"/>
    <w:rsid w:val="0086664B"/>
    <w:rsid w:val="00871232"/>
    <w:rsid w:val="00872F10"/>
    <w:rsid w:val="00874D3A"/>
    <w:rsid w:val="00875DE1"/>
    <w:rsid w:val="008801A4"/>
    <w:rsid w:val="00880D07"/>
    <w:rsid w:val="00881C40"/>
    <w:rsid w:val="00882324"/>
    <w:rsid w:val="008846D8"/>
    <w:rsid w:val="0088480B"/>
    <w:rsid w:val="00894571"/>
    <w:rsid w:val="0089660B"/>
    <w:rsid w:val="00896EA9"/>
    <w:rsid w:val="00897529"/>
    <w:rsid w:val="008A06B1"/>
    <w:rsid w:val="008A2604"/>
    <w:rsid w:val="008A70E6"/>
    <w:rsid w:val="008A7BB3"/>
    <w:rsid w:val="008B0A38"/>
    <w:rsid w:val="008B0CD5"/>
    <w:rsid w:val="008B38CF"/>
    <w:rsid w:val="008B44B6"/>
    <w:rsid w:val="008B4A3E"/>
    <w:rsid w:val="008B4CFB"/>
    <w:rsid w:val="008C1FF6"/>
    <w:rsid w:val="008C3FCB"/>
    <w:rsid w:val="008C5237"/>
    <w:rsid w:val="008C7E99"/>
    <w:rsid w:val="008D0B66"/>
    <w:rsid w:val="008D13CE"/>
    <w:rsid w:val="008D1B55"/>
    <w:rsid w:val="008D49C2"/>
    <w:rsid w:val="008D517B"/>
    <w:rsid w:val="008D5B91"/>
    <w:rsid w:val="008D6FD7"/>
    <w:rsid w:val="008D7354"/>
    <w:rsid w:val="008E0BAA"/>
    <w:rsid w:val="008E1B34"/>
    <w:rsid w:val="008E21C3"/>
    <w:rsid w:val="008E3F66"/>
    <w:rsid w:val="008E5386"/>
    <w:rsid w:val="008E5B39"/>
    <w:rsid w:val="008E773D"/>
    <w:rsid w:val="008F0BCB"/>
    <w:rsid w:val="008F183E"/>
    <w:rsid w:val="008F1E78"/>
    <w:rsid w:val="008F22B1"/>
    <w:rsid w:val="008F26D6"/>
    <w:rsid w:val="008F590C"/>
    <w:rsid w:val="008F596A"/>
    <w:rsid w:val="008F7CF3"/>
    <w:rsid w:val="0090171E"/>
    <w:rsid w:val="00903144"/>
    <w:rsid w:val="0090392C"/>
    <w:rsid w:val="00903A3D"/>
    <w:rsid w:val="00903CEB"/>
    <w:rsid w:val="009045D0"/>
    <w:rsid w:val="009046DB"/>
    <w:rsid w:val="00904FEB"/>
    <w:rsid w:val="00907568"/>
    <w:rsid w:val="00907A6F"/>
    <w:rsid w:val="00907B2D"/>
    <w:rsid w:val="009108DB"/>
    <w:rsid w:val="009114E7"/>
    <w:rsid w:val="00915667"/>
    <w:rsid w:val="0091786E"/>
    <w:rsid w:val="009214BB"/>
    <w:rsid w:val="00923F96"/>
    <w:rsid w:val="009245E6"/>
    <w:rsid w:val="00926FF8"/>
    <w:rsid w:val="0093007B"/>
    <w:rsid w:val="00933B62"/>
    <w:rsid w:val="00933C5C"/>
    <w:rsid w:val="009349E9"/>
    <w:rsid w:val="00934CB3"/>
    <w:rsid w:val="009352FB"/>
    <w:rsid w:val="0093611C"/>
    <w:rsid w:val="009365D4"/>
    <w:rsid w:val="0093732A"/>
    <w:rsid w:val="00943133"/>
    <w:rsid w:val="00946FCF"/>
    <w:rsid w:val="00950101"/>
    <w:rsid w:val="009511AD"/>
    <w:rsid w:val="00956FA9"/>
    <w:rsid w:val="00957A32"/>
    <w:rsid w:val="00961893"/>
    <w:rsid w:val="00963270"/>
    <w:rsid w:val="00964047"/>
    <w:rsid w:val="009641C5"/>
    <w:rsid w:val="009648BF"/>
    <w:rsid w:val="0096538E"/>
    <w:rsid w:val="009657BC"/>
    <w:rsid w:val="00970346"/>
    <w:rsid w:val="00970474"/>
    <w:rsid w:val="00970BA2"/>
    <w:rsid w:val="009716ED"/>
    <w:rsid w:val="00971A69"/>
    <w:rsid w:val="009729B9"/>
    <w:rsid w:val="00975896"/>
    <w:rsid w:val="00975A08"/>
    <w:rsid w:val="00975D39"/>
    <w:rsid w:val="00975FFC"/>
    <w:rsid w:val="00977947"/>
    <w:rsid w:val="00981A0F"/>
    <w:rsid w:val="009835B7"/>
    <w:rsid w:val="009843EA"/>
    <w:rsid w:val="00984DE7"/>
    <w:rsid w:val="00987248"/>
    <w:rsid w:val="009874CE"/>
    <w:rsid w:val="009878D1"/>
    <w:rsid w:val="009922D3"/>
    <w:rsid w:val="009930C7"/>
    <w:rsid w:val="0099446C"/>
    <w:rsid w:val="009965E0"/>
    <w:rsid w:val="009969D6"/>
    <w:rsid w:val="009975FF"/>
    <w:rsid w:val="00997D4F"/>
    <w:rsid w:val="009A124E"/>
    <w:rsid w:val="009A155A"/>
    <w:rsid w:val="009A1ED7"/>
    <w:rsid w:val="009A4F62"/>
    <w:rsid w:val="009A54D9"/>
    <w:rsid w:val="009A606B"/>
    <w:rsid w:val="009A7375"/>
    <w:rsid w:val="009A7601"/>
    <w:rsid w:val="009A781F"/>
    <w:rsid w:val="009B091F"/>
    <w:rsid w:val="009B2794"/>
    <w:rsid w:val="009B4267"/>
    <w:rsid w:val="009B69CE"/>
    <w:rsid w:val="009B6FDA"/>
    <w:rsid w:val="009C196D"/>
    <w:rsid w:val="009C269C"/>
    <w:rsid w:val="009C3238"/>
    <w:rsid w:val="009C4CE1"/>
    <w:rsid w:val="009C68A3"/>
    <w:rsid w:val="009C6CBE"/>
    <w:rsid w:val="009D0B9A"/>
    <w:rsid w:val="009D18E8"/>
    <w:rsid w:val="009D245D"/>
    <w:rsid w:val="009D2C56"/>
    <w:rsid w:val="009D46D4"/>
    <w:rsid w:val="009D55F3"/>
    <w:rsid w:val="009D5722"/>
    <w:rsid w:val="009D5C5B"/>
    <w:rsid w:val="009D7E9F"/>
    <w:rsid w:val="009E11CF"/>
    <w:rsid w:val="009E1224"/>
    <w:rsid w:val="009E6223"/>
    <w:rsid w:val="009E6B20"/>
    <w:rsid w:val="009E70AD"/>
    <w:rsid w:val="009E76CA"/>
    <w:rsid w:val="009F0246"/>
    <w:rsid w:val="009F0811"/>
    <w:rsid w:val="009F27D6"/>
    <w:rsid w:val="009F371C"/>
    <w:rsid w:val="009F4097"/>
    <w:rsid w:val="009F4289"/>
    <w:rsid w:val="009F4ADB"/>
    <w:rsid w:val="009F5833"/>
    <w:rsid w:val="009F625B"/>
    <w:rsid w:val="009F6F02"/>
    <w:rsid w:val="00A026FC"/>
    <w:rsid w:val="00A029EC"/>
    <w:rsid w:val="00A02C5D"/>
    <w:rsid w:val="00A02DB3"/>
    <w:rsid w:val="00A03F0A"/>
    <w:rsid w:val="00A057FD"/>
    <w:rsid w:val="00A11E23"/>
    <w:rsid w:val="00A11FC5"/>
    <w:rsid w:val="00A1497E"/>
    <w:rsid w:val="00A17C2A"/>
    <w:rsid w:val="00A20719"/>
    <w:rsid w:val="00A20D08"/>
    <w:rsid w:val="00A2100B"/>
    <w:rsid w:val="00A23481"/>
    <w:rsid w:val="00A240F7"/>
    <w:rsid w:val="00A24400"/>
    <w:rsid w:val="00A2662E"/>
    <w:rsid w:val="00A26B2E"/>
    <w:rsid w:val="00A2711A"/>
    <w:rsid w:val="00A27646"/>
    <w:rsid w:val="00A27944"/>
    <w:rsid w:val="00A31AEA"/>
    <w:rsid w:val="00A31ED8"/>
    <w:rsid w:val="00A32166"/>
    <w:rsid w:val="00A33F4B"/>
    <w:rsid w:val="00A3441F"/>
    <w:rsid w:val="00A35D7C"/>
    <w:rsid w:val="00A375F3"/>
    <w:rsid w:val="00A406F9"/>
    <w:rsid w:val="00A40E59"/>
    <w:rsid w:val="00A41217"/>
    <w:rsid w:val="00A420A2"/>
    <w:rsid w:val="00A5211A"/>
    <w:rsid w:val="00A5528B"/>
    <w:rsid w:val="00A56DD5"/>
    <w:rsid w:val="00A57773"/>
    <w:rsid w:val="00A57CEC"/>
    <w:rsid w:val="00A61C81"/>
    <w:rsid w:val="00A63F1A"/>
    <w:rsid w:val="00A64040"/>
    <w:rsid w:val="00A64D81"/>
    <w:rsid w:val="00A66B06"/>
    <w:rsid w:val="00A74BE5"/>
    <w:rsid w:val="00A757FD"/>
    <w:rsid w:val="00A75D4A"/>
    <w:rsid w:val="00A76190"/>
    <w:rsid w:val="00A773ED"/>
    <w:rsid w:val="00A77B1C"/>
    <w:rsid w:val="00A81912"/>
    <w:rsid w:val="00A84253"/>
    <w:rsid w:val="00A867E2"/>
    <w:rsid w:val="00A8784F"/>
    <w:rsid w:val="00A90EA6"/>
    <w:rsid w:val="00A916C4"/>
    <w:rsid w:val="00A95B24"/>
    <w:rsid w:val="00A96077"/>
    <w:rsid w:val="00A96221"/>
    <w:rsid w:val="00AA10A9"/>
    <w:rsid w:val="00AA1850"/>
    <w:rsid w:val="00AA1A9F"/>
    <w:rsid w:val="00AA1BAB"/>
    <w:rsid w:val="00AA3641"/>
    <w:rsid w:val="00AA3690"/>
    <w:rsid w:val="00AA4E12"/>
    <w:rsid w:val="00AA6AD8"/>
    <w:rsid w:val="00AA6E30"/>
    <w:rsid w:val="00AA7692"/>
    <w:rsid w:val="00AA7BFE"/>
    <w:rsid w:val="00AB13F5"/>
    <w:rsid w:val="00AB43F6"/>
    <w:rsid w:val="00AB4FA2"/>
    <w:rsid w:val="00AB5586"/>
    <w:rsid w:val="00AB7852"/>
    <w:rsid w:val="00AB7BE7"/>
    <w:rsid w:val="00AC0126"/>
    <w:rsid w:val="00AC1737"/>
    <w:rsid w:val="00AC42A8"/>
    <w:rsid w:val="00AC5686"/>
    <w:rsid w:val="00AC5902"/>
    <w:rsid w:val="00AC7DB5"/>
    <w:rsid w:val="00AE18CE"/>
    <w:rsid w:val="00AE3A14"/>
    <w:rsid w:val="00AE433A"/>
    <w:rsid w:val="00AE6C5A"/>
    <w:rsid w:val="00AE7D7A"/>
    <w:rsid w:val="00AF044B"/>
    <w:rsid w:val="00AF09DD"/>
    <w:rsid w:val="00AF3E7A"/>
    <w:rsid w:val="00B008C3"/>
    <w:rsid w:val="00B012F7"/>
    <w:rsid w:val="00B0201E"/>
    <w:rsid w:val="00B020C2"/>
    <w:rsid w:val="00B02D68"/>
    <w:rsid w:val="00B0359B"/>
    <w:rsid w:val="00B03935"/>
    <w:rsid w:val="00B055E1"/>
    <w:rsid w:val="00B06E0F"/>
    <w:rsid w:val="00B0731A"/>
    <w:rsid w:val="00B12462"/>
    <w:rsid w:val="00B1414E"/>
    <w:rsid w:val="00B15775"/>
    <w:rsid w:val="00B157DD"/>
    <w:rsid w:val="00B16FDD"/>
    <w:rsid w:val="00B170E8"/>
    <w:rsid w:val="00B20557"/>
    <w:rsid w:val="00B20C6F"/>
    <w:rsid w:val="00B210E3"/>
    <w:rsid w:val="00B21191"/>
    <w:rsid w:val="00B21367"/>
    <w:rsid w:val="00B22A19"/>
    <w:rsid w:val="00B23301"/>
    <w:rsid w:val="00B2502B"/>
    <w:rsid w:val="00B259C7"/>
    <w:rsid w:val="00B2736C"/>
    <w:rsid w:val="00B3047E"/>
    <w:rsid w:val="00B31299"/>
    <w:rsid w:val="00B32675"/>
    <w:rsid w:val="00B33B20"/>
    <w:rsid w:val="00B3665F"/>
    <w:rsid w:val="00B37BE5"/>
    <w:rsid w:val="00B40403"/>
    <w:rsid w:val="00B40AE3"/>
    <w:rsid w:val="00B40CDD"/>
    <w:rsid w:val="00B414A6"/>
    <w:rsid w:val="00B425D0"/>
    <w:rsid w:val="00B431F5"/>
    <w:rsid w:val="00B432CC"/>
    <w:rsid w:val="00B45141"/>
    <w:rsid w:val="00B46C15"/>
    <w:rsid w:val="00B504B7"/>
    <w:rsid w:val="00B50A2A"/>
    <w:rsid w:val="00B51743"/>
    <w:rsid w:val="00B5184C"/>
    <w:rsid w:val="00B51934"/>
    <w:rsid w:val="00B53EBD"/>
    <w:rsid w:val="00B577CE"/>
    <w:rsid w:val="00B60665"/>
    <w:rsid w:val="00B611A6"/>
    <w:rsid w:val="00B616F7"/>
    <w:rsid w:val="00B617E8"/>
    <w:rsid w:val="00B62F5D"/>
    <w:rsid w:val="00B6355A"/>
    <w:rsid w:val="00B646AB"/>
    <w:rsid w:val="00B66AF3"/>
    <w:rsid w:val="00B66E18"/>
    <w:rsid w:val="00B67358"/>
    <w:rsid w:val="00B70444"/>
    <w:rsid w:val="00B70FE9"/>
    <w:rsid w:val="00B71847"/>
    <w:rsid w:val="00B72CE1"/>
    <w:rsid w:val="00B73FAF"/>
    <w:rsid w:val="00B758AA"/>
    <w:rsid w:val="00B76AB5"/>
    <w:rsid w:val="00B804D6"/>
    <w:rsid w:val="00B808E0"/>
    <w:rsid w:val="00B900D5"/>
    <w:rsid w:val="00B94E83"/>
    <w:rsid w:val="00B95972"/>
    <w:rsid w:val="00BA0A79"/>
    <w:rsid w:val="00BA0D56"/>
    <w:rsid w:val="00BA1385"/>
    <w:rsid w:val="00BA2009"/>
    <w:rsid w:val="00BA2655"/>
    <w:rsid w:val="00BA55A4"/>
    <w:rsid w:val="00BA6C75"/>
    <w:rsid w:val="00BA7B0F"/>
    <w:rsid w:val="00BB04C4"/>
    <w:rsid w:val="00BB0BD5"/>
    <w:rsid w:val="00BB13BD"/>
    <w:rsid w:val="00BB1DA5"/>
    <w:rsid w:val="00BB2466"/>
    <w:rsid w:val="00BB35E9"/>
    <w:rsid w:val="00BB3B6C"/>
    <w:rsid w:val="00BB4E5A"/>
    <w:rsid w:val="00BB5252"/>
    <w:rsid w:val="00BB65A8"/>
    <w:rsid w:val="00BC5847"/>
    <w:rsid w:val="00BC74AC"/>
    <w:rsid w:val="00BC7B1B"/>
    <w:rsid w:val="00BD0DC8"/>
    <w:rsid w:val="00BD287C"/>
    <w:rsid w:val="00BD2A0E"/>
    <w:rsid w:val="00BD4657"/>
    <w:rsid w:val="00BD64E6"/>
    <w:rsid w:val="00BE399D"/>
    <w:rsid w:val="00BE518E"/>
    <w:rsid w:val="00BE55F0"/>
    <w:rsid w:val="00BE750E"/>
    <w:rsid w:val="00BF11CE"/>
    <w:rsid w:val="00BF35FC"/>
    <w:rsid w:val="00BF375E"/>
    <w:rsid w:val="00BF44C1"/>
    <w:rsid w:val="00BF54A9"/>
    <w:rsid w:val="00BF6F71"/>
    <w:rsid w:val="00BF7608"/>
    <w:rsid w:val="00C01EC4"/>
    <w:rsid w:val="00C0546C"/>
    <w:rsid w:val="00C059D2"/>
    <w:rsid w:val="00C0613B"/>
    <w:rsid w:val="00C06415"/>
    <w:rsid w:val="00C0740E"/>
    <w:rsid w:val="00C078F5"/>
    <w:rsid w:val="00C1427D"/>
    <w:rsid w:val="00C1570D"/>
    <w:rsid w:val="00C171E0"/>
    <w:rsid w:val="00C17ED7"/>
    <w:rsid w:val="00C2022C"/>
    <w:rsid w:val="00C223E9"/>
    <w:rsid w:val="00C225B8"/>
    <w:rsid w:val="00C228C1"/>
    <w:rsid w:val="00C23681"/>
    <w:rsid w:val="00C25331"/>
    <w:rsid w:val="00C26806"/>
    <w:rsid w:val="00C31BE6"/>
    <w:rsid w:val="00C31FA5"/>
    <w:rsid w:val="00C32CC3"/>
    <w:rsid w:val="00C34342"/>
    <w:rsid w:val="00C3440C"/>
    <w:rsid w:val="00C350DE"/>
    <w:rsid w:val="00C36C8B"/>
    <w:rsid w:val="00C40805"/>
    <w:rsid w:val="00C41E5C"/>
    <w:rsid w:val="00C42EE4"/>
    <w:rsid w:val="00C43B8E"/>
    <w:rsid w:val="00C44CEE"/>
    <w:rsid w:val="00C45CDF"/>
    <w:rsid w:val="00C47F6B"/>
    <w:rsid w:val="00C508C9"/>
    <w:rsid w:val="00C521FF"/>
    <w:rsid w:val="00C536CF"/>
    <w:rsid w:val="00C53778"/>
    <w:rsid w:val="00C53C35"/>
    <w:rsid w:val="00C55E6B"/>
    <w:rsid w:val="00C561F8"/>
    <w:rsid w:val="00C603A1"/>
    <w:rsid w:val="00C62F35"/>
    <w:rsid w:val="00C63F90"/>
    <w:rsid w:val="00C643E0"/>
    <w:rsid w:val="00C64541"/>
    <w:rsid w:val="00C6466C"/>
    <w:rsid w:val="00C64AD1"/>
    <w:rsid w:val="00C67EED"/>
    <w:rsid w:val="00C67FE8"/>
    <w:rsid w:val="00C7044E"/>
    <w:rsid w:val="00C73ED6"/>
    <w:rsid w:val="00C74A5D"/>
    <w:rsid w:val="00C7571E"/>
    <w:rsid w:val="00C7663F"/>
    <w:rsid w:val="00C76FB6"/>
    <w:rsid w:val="00C77DCE"/>
    <w:rsid w:val="00C8034C"/>
    <w:rsid w:val="00C80381"/>
    <w:rsid w:val="00C81C32"/>
    <w:rsid w:val="00C82554"/>
    <w:rsid w:val="00C907A6"/>
    <w:rsid w:val="00C9108E"/>
    <w:rsid w:val="00C92EF8"/>
    <w:rsid w:val="00C93035"/>
    <w:rsid w:val="00C9721D"/>
    <w:rsid w:val="00C97C21"/>
    <w:rsid w:val="00CA2951"/>
    <w:rsid w:val="00CA3DA3"/>
    <w:rsid w:val="00CA434A"/>
    <w:rsid w:val="00CB1211"/>
    <w:rsid w:val="00CB127B"/>
    <w:rsid w:val="00CB14E8"/>
    <w:rsid w:val="00CB1562"/>
    <w:rsid w:val="00CB1D28"/>
    <w:rsid w:val="00CB21CB"/>
    <w:rsid w:val="00CB2705"/>
    <w:rsid w:val="00CB42CA"/>
    <w:rsid w:val="00CB4C28"/>
    <w:rsid w:val="00CB4C9D"/>
    <w:rsid w:val="00CB533B"/>
    <w:rsid w:val="00CB5FA4"/>
    <w:rsid w:val="00CB60FB"/>
    <w:rsid w:val="00CB6945"/>
    <w:rsid w:val="00CC1A99"/>
    <w:rsid w:val="00CC2929"/>
    <w:rsid w:val="00CC3302"/>
    <w:rsid w:val="00CC4479"/>
    <w:rsid w:val="00CC45A8"/>
    <w:rsid w:val="00CC4F8C"/>
    <w:rsid w:val="00CD0571"/>
    <w:rsid w:val="00CD0AAF"/>
    <w:rsid w:val="00CD110C"/>
    <w:rsid w:val="00CD27AE"/>
    <w:rsid w:val="00CD3B2B"/>
    <w:rsid w:val="00CD43A0"/>
    <w:rsid w:val="00CD4AA4"/>
    <w:rsid w:val="00CD7014"/>
    <w:rsid w:val="00CD77DE"/>
    <w:rsid w:val="00CE05E1"/>
    <w:rsid w:val="00CE29F1"/>
    <w:rsid w:val="00CE2DB9"/>
    <w:rsid w:val="00CE2E0D"/>
    <w:rsid w:val="00CE2F55"/>
    <w:rsid w:val="00CE364C"/>
    <w:rsid w:val="00CE4E1B"/>
    <w:rsid w:val="00CE5751"/>
    <w:rsid w:val="00CE62C7"/>
    <w:rsid w:val="00CE798E"/>
    <w:rsid w:val="00CF62B1"/>
    <w:rsid w:val="00CF62CA"/>
    <w:rsid w:val="00CF69DB"/>
    <w:rsid w:val="00D001B9"/>
    <w:rsid w:val="00D01D36"/>
    <w:rsid w:val="00D02313"/>
    <w:rsid w:val="00D02499"/>
    <w:rsid w:val="00D04293"/>
    <w:rsid w:val="00D044AF"/>
    <w:rsid w:val="00D05D6A"/>
    <w:rsid w:val="00D06964"/>
    <w:rsid w:val="00D077BF"/>
    <w:rsid w:val="00D121EB"/>
    <w:rsid w:val="00D122E7"/>
    <w:rsid w:val="00D12D61"/>
    <w:rsid w:val="00D15312"/>
    <w:rsid w:val="00D17DFD"/>
    <w:rsid w:val="00D2045C"/>
    <w:rsid w:val="00D20531"/>
    <w:rsid w:val="00D2594B"/>
    <w:rsid w:val="00D3066A"/>
    <w:rsid w:val="00D33542"/>
    <w:rsid w:val="00D34A49"/>
    <w:rsid w:val="00D34E7F"/>
    <w:rsid w:val="00D351F8"/>
    <w:rsid w:val="00D355F0"/>
    <w:rsid w:val="00D40AE4"/>
    <w:rsid w:val="00D41295"/>
    <w:rsid w:val="00D463F8"/>
    <w:rsid w:val="00D471E7"/>
    <w:rsid w:val="00D47928"/>
    <w:rsid w:val="00D47CAF"/>
    <w:rsid w:val="00D51BD2"/>
    <w:rsid w:val="00D5310A"/>
    <w:rsid w:val="00D536CC"/>
    <w:rsid w:val="00D5461B"/>
    <w:rsid w:val="00D54969"/>
    <w:rsid w:val="00D54C72"/>
    <w:rsid w:val="00D55FF1"/>
    <w:rsid w:val="00D57786"/>
    <w:rsid w:val="00D57A76"/>
    <w:rsid w:val="00D625D3"/>
    <w:rsid w:val="00D62A81"/>
    <w:rsid w:val="00D64445"/>
    <w:rsid w:val="00D645AA"/>
    <w:rsid w:val="00D70DCD"/>
    <w:rsid w:val="00D72537"/>
    <w:rsid w:val="00D72866"/>
    <w:rsid w:val="00D7385F"/>
    <w:rsid w:val="00D766C7"/>
    <w:rsid w:val="00D775F6"/>
    <w:rsid w:val="00D81C27"/>
    <w:rsid w:val="00D828C8"/>
    <w:rsid w:val="00D83178"/>
    <w:rsid w:val="00D863C9"/>
    <w:rsid w:val="00D86ABD"/>
    <w:rsid w:val="00D873B0"/>
    <w:rsid w:val="00D87CA9"/>
    <w:rsid w:val="00D90D2B"/>
    <w:rsid w:val="00D956B2"/>
    <w:rsid w:val="00D961BB"/>
    <w:rsid w:val="00D96559"/>
    <w:rsid w:val="00D9657A"/>
    <w:rsid w:val="00D96D21"/>
    <w:rsid w:val="00D97091"/>
    <w:rsid w:val="00D97375"/>
    <w:rsid w:val="00DA17BF"/>
    <w:rsid w:val="00DA205C"/>
    <w:rsid w:val="00DA248F"/>
    <w:rsid w:val="00DA2C6A"/>
    <w:rsid w:val="00DA31D4"/>
    <w:rsid w:val="00DA58A9"/>
    <w:rsid w:val="00DA5FD4"/>
    <w:rsid w:val="00DA618E"/>
    <w:rsid w:val="00DB0117"/>
    <w:rsid w:val="00DB1CE6"/>
    <w:rsid w:val="00DB4582"/>
    <w:rsid w:val="00DB4E97"/>
    <w:rsid w:val="00DC0290"/>
    <w:rsid w:val="00DC13C1"/>
    <w:rsid w:val="00DC3612"/>
    <w:rsid w:val="00DC390B"/>
    <w:rsid w:val="00DC4189"/>
    <w:rsid w:val="00DC7797"/>
    <w:rsid w:val="00DD0602"/>
    <w:rsid w:val="00DD1900"/>
    <w:rsid w:val="00DD449D"/>
    <w:rsid w:val="00DD4D09"/>
    <w:rsid w:val="00DD53B5"/>
    <w:rsid w:val="00DD55D7"/>
    <w:rsid w:val="00DD5F73"/>
    <w:rsid w:val="00DE0B71"/>
    <w:rsid w:val="00DE3831"/>
    <w:rsid w:val="00DE443F"/>
    <w:rsid w:val="00DE5898"/>
    <w:rsid w:val="00DE5A2C"/>
    <w:rsid w:val="00DE5BC5"/>
    <w:rsid w:val="00DE6E0C"/>
    <w:rsid w:val="00DE7209"/>
    <w:rsid w:val="00DE7BE0"/>
    <w:rsid w:val="00DF00AB"/>
    <w:rsid w:val="00DF07D7"/>
    <w:rsid w:val="00DF3A7F"/>
    <w:rsid w:val="00DF5869"/>
    <w:rsid w:val="00E01176"/>
    <w:rsid w:val="00E01C21"/>
    <w:rsid w:val="00E01C55"/>
    <w:rsid w:val="00E0559C"/>
    <w:rsid w:val="00E05F12"/>
    <w:rsid w:val="00E073FE"/>
    <w:rsid w:val="00E07D89"/>
    <w:rsid w:val="00E11C99"/>
    <w:rsid w:val="00E11D02"/>
    <w:rsid w:val="00E11DE5"/>
    <w:rsid w:val="00E1255D"/>
    <w:rsid w:val="00E12C91"/>
    <w:rsid w:val="00E12D68"/>
    <w:rsid w:val="00E20B78"/>
    <w:rsid w:val="00E222D3"/>
    <w:rsid w:val="00E23467"/>
    <w:rsid w:val="00E25E82"/>
    <w:rsid w:val="00E26202"/>
    <w:rsid w:val="00E267CF"/>
    <w:rsid w:val="00E26D12"/>
    <w:rsid w:val="00E27770"/>
    <w:rsid w:val="00E27B7E"/>
    <w:rsid w:val="00E32358"/>
    <w:rsid w:val="00E34011"/>
    <w:rsid w:val="00E345D2"/>
    <w:rsid w:val="00E4122D"/>
    <w:rsid w:val="00E426B0"/>
    <w:rsid w:val="00E451ED"/>
    <w:rsid w:val="00E45298"/>
    <w:rsid w:val="00E45F52"/>
    <w:rsid w:val="00E4794E"/>
    <w:rsid w:val="00E47CCC"/>
    <w:rsid w:val="00E5149E"/>
    <w:rsid w:val="00E51F7E"/>
    <w:rsid w:val="00E5307C"/>
    <w:rsid w:val="00E54206"/>
    <w:rsid w:val="00E5442D"/>
    <w:rsid w:val="00E56763"/>
    <w:rsid w:val="00E56AC0"/>
    <w:rsid w:val="00E573D6"/>
    <w:rsid w:val="00E6070E"/>
    <w:rsid w:val="00E60DCC"/>
    <w:rsid w:val="00E61B48"/>
    <w:rsid w:val="00E640E5"/>
    <w:rsid w:val="00E66F6A"/>
    <w:rsid w:val="00E6731A"/>
    <w:rsid w:val="00E67AE8"/>
    <w:rsid w:val="00E71014"/>
    <w:rsid w:val="00E71507"/>
    <w:rsid w:val="00E7211A"/>
    <w:rsid w:val="00E7257E"/>
    <w:rsid w:val="00E72914"/>
    <w:rsid w:val="00E72BD1"/>
    <w:rsid w:val="00E74718"/>
    <w:rsid w:val="00E76A97"/>
    <w:rsid w:val="00E76DBB"/>
    <w:rsid w:val="00E827B9"/>
    <w:rsid w:val="00E831A3"/>
    <w:rsid w:val="00E85EF0"/>
    <w:rsid w:val="00E865E4"/>
    <w:rsid w:val="00E86630"/>
    <w:rsid w:val="00E87EE7"/>
    <w:rsid w:val="00E901BF"/>
    <w:rsid w:val="00E90E81"/>
    <w:rsid w:val="00E911BC"/>
    <w:rsid w:val="00E930A9"/>
    <w:rsid w:val="00E93808"/>
    <w:rsid w:val="00E939CC"/>
    <w:rsid w:val="00E94B9E"/>
    <w:rsid w:val="00E950E1"/>
    <w:rsid w:val="00E9594D"/>
    <w:rsid w:val="00E97B52"/>
    <w:rsid w:val="00E97C28"/>
    <w:rsid w:val="00EA0477"/>
    <w:rsid w:val="00EA5176"/>
    <w:rsid w:val="00EA52B5"/>
    <w:rsid w:val="00EA754C"/>
    <w:rsid w:val="00EA7AAE"/>
    <w:rsid w:val="00EB08CE"/>
    <w:rsid w:val="00EB1181"/>
    <w:rsid w:val="00EB1E52"/>
    <w:rsid w:val="00EB3D3B"/>
    <w:rsid w:val="00EB46FF"/>
    <w:rsid w:val="00EB496B"/>
    <w:rsid w:val="00EB520C"/>
    <w:rsid w:val="00EB5416"/>
    <w:rsid w:val="00EB5C3B"/>
    <w:rsid w:val="00EB5D39"/>
    <w:rsid w:val="00EB6263"/>
    <w:rsid w:val="00EB70A5"/>
    <w:rsid w:val="00EB7A98"/>
    <w:rsid w:val="00EC258A"/>
    <w:rsid w:val="00EC4E23"/>
    <w:rsid w:val="00EC6197"/>
    <w:rsid w:val="00EC7774"/>
    <w:rsid w:val="00ED07DA"/>
    <w:rsid w:val="00ED0FCA"/>
    <w:rsid w:val="00ED2882"/>
    <w:rsid w:val="00ED3561"/>
    <w:rsid w:val="00ED3AC3"/>
    <w:rsid w:val="00ED42DC"/>
    <w:rsid w:val="00ED56B6"/>
    <w:rsid w:val="00ED6DB8"/>
    <w:rsid w:val="00ED7C98"/>
    <w:rsid w:val="00EE302D"/>
    <w:rsid w:val="00EE344E"/>
    <w:rsid w:val="00EE38DA"/>
    <w:rsid w:val="00EE431E"/>
    <w:rsid w:val="00EE57B4"/>
    <w:rsid w:val="00EF10EC"/>
    <w:rsid w:val="00EF191F"/>
    <w:rsid w:val="00EF346D"/>
    <w:rsid w:val="00EF6D34"/>
    <w:rsid w:val="00F00A6F"/>
    <w:rsid w:val="00F00DC7"/>
    <w:rsid w:val="00F0148D"/>
    <w:rsid w:val="00F02E65"/>
    <w:rsid w:val="00F04514"/>
    <w:rsid w:val="00F05578"/>
    <w:rsid w:val="00F1040B"/>
    <w:rsid w:val="00F11A12"/>
    <w:rsid w:val="00F12C97"/>
    <w:rsid w:val="00F12E22"/>
    <w:rsid w:val="00F13244"/>
    <w:rsid w:val="00F13413"/>
    <w:rsid w:val="00F15135"/>
    <w:rsid w:val="00F15455"/>
    <w:rsid w:val="00F22367"/>
    <w:rsid w:val="00F22375"/>
    <w:rsid w:val="00F22F52"/>
    <w:rsid w:val="00F24896"/>
    <w:rsid w:val="00F248BF"/>
    <w:rsid w:val="00F24A9F"/>
    <w:rsid w:val="00F24CE9"/>
    <w:rsid w:val="00F26DAD"/>
    <w:rsid w:val="00F30502"/>
    <w:rsid w:val="00F306DD"/>
    <w:rsid w:val="00F322C3"/>
    <w:rsid w:val="00F32627"/>
    <w:rsid w:val="00F33EDF"/>
    <w:rsid w:val="00F368C9"/>
    <w:rsid w:val="00F36CD5"/>
    <w:rsid w:val="00F404BA"/>
    <w:rsid w:val="00F415FF"/>
    <w:rsid w:val="00F41903"/>
    <w:rsid w:val="00F41956"/>
    <w:rsid w:val="00F41C14"/>
    <w:rsid w:val="00F423B6"/>
    <w:rsid w:val="00F42445"/>
    <w:rsid w:val="00F453DB"/>
    <w:rsid w:val="00F460F6"/>
    <w:rsid w:val="00F46B66"/>
    <w:rsid w:val="00F46FC6"/>
    <w:rsid w:val="00F47BC6"/>
    <w:rsid w:val="00F50871"/>
    <w:rsid w:val="00F5203A"/>
    <w:rsid w:val="00F54128"/>
    <w:rsid w:val="00F5557C"/>
    <w:rsid w:val="00F55716"/>
    <w:rsid w:val="00F5582D"/>
    <w:rsid w:val="00F55D60"/>
    <w:rsid w:val="00F56883"/>
    <w:rsid w:val="00F6032C"/>
    <w:rsid w:val="00F606A5"/>
    <w:rsid w:val="00F6078A"/>
    <w:rsid w:val="00F60C1C"/>
    <w:rsid w:val="00F610B2"/>
    <w:rsid w:val="00F61E39"/>
    <w:rsid w:val="00F62AD1"/>
    <w:rsid w:val="00F638A1"/>
    <w:rsid w:val="00F64392"/>
    <w:rsid w:val="00F6497F"/>
    <w:rsid w:val="00F6580A"/>
    <w:rsid w:val="00F66834"/>
    <w:rsid w:val="00F66CF2"/>
    <w:rsid w:val="00F67BE3"/>
    <w:rsid w:val="00F701C4"/>
    <w:rsid w:val="00F711D6"/>
    <w:rsid w:val="00F72BD0"/>
    <w:rsid w:val="00F732E8"/>
    <w:rsid w:val="00F75D0F"/>
    <w:rsid w:val="00F7612D"/>
    <w:rsid w:val="00F76D62"/>
    <w:rsid w:val="00F7764E"/>
    <w:rsid w:val="00F778FD"/>
    <w:rsid w:val="00F83C58"/>
    <w:rsid w:val="00F8469C"/>
    <w:rsid w:val="00F84DF1"/>
    <w:rsid w:val="00F85447"/>
    <w:rsid w:val="00F85530"/>
    <w:rsid w:val="00F85E4A"/>
    <w:rsid w:val="00F87A9E"/>
    <w:rsid w:val="00F9044D"/>
    <w:rsid w:val="00F9055A"/>
    <w:rsid w:val="00F907D5"/>
    <w:rsid w:val="00F915EF"/>
    <w:rsid w:val="00F91E1C"/>
    <w:rsid w:val="00F93AF9"/>
    <w:rsid w:val="00F95332"/>
    <w:rsid w:val="00F97736"/>
    <w:rsid w:val="00FA019A"/>
    <w:rsid w:val="00FA03D7"/>
    <w:rsid w:val="00FA1CF1"/>
    <w:rsid w:val="00FA3D9E"/>
    <w:rsid w:val="00FA40A1"/>
    <w:rsid w:val="00FA46B7"/>
    <w:rsid w:val="00FA53BD"/>
    <w:rsid w:val="00FA5B9E"/>
    <w:rsid w:val="00FA7787"/>
    <w:rsid w:val="00FB21DF"/>
    <w:rsid w:val="00FB22BA"/>
    <w:rsid w:val="00FB55A8"/>
    <w:rsid w:val="00FB55E2"/>
    <w:rsid w:val="00FC16EC"/>
    <w:rsid w:val="00FC2726"/>
    <w:rsid w:val="00FC35F2"/>
    <w:rsid w:val="00FC36CE"/>
    <w:rsid w:val="00FC442A"/>
    <w:rsid w:val="00FC4737"/>
    <w:rsid w:val="00FC535A"/>
    <w:rsid w:val="00FD62F2"/>
    <w:rsid w:val="00FD6D94"/>
    <w:rsid w:val="00FD718B"/>
    <w:rsid w:val="00FE06AC"/>
    <w:rsid w:val="00FE2551"/>
    <w:rsid w:val="00FE370B"/>
    <w:rsid w:val="00FE5664"/>
    <w:rsid w:val="00FE6436"/>
    <w:rsid w:val="00FF0341"/>
    <w:rsid w:val="00FF2491"/>
    <w:rsid w:val="00FF30BF"/>
    <w:rsid w:val="00FF40E5"/>
    <w:rsid w:val="00FF4729"/>
    <w:rsid w:val="00FF66FD"/>
    <w:rsid w:val="00FF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semiHidden/>
    <w:unhideWhenUsed/>
    <w:rsid w:val="00401742"/>
    <w:pPr>
      <w:spacing w:line="240" w:lineRule="auto"/>
    </w:pPr>
    <w:rPr>
      <w:sz w:val="20"/>
      <w:szCs w:val="20"/>
    </w:rPr>
  </w:style>
  <w:style w:type="character" w:customStyle="1" w:styleId="CommentTextChar">
    <w:name w:val="Comment Text Char"/>
    <w:basedOn w:val="DefaultParagraphFont"/>
    <w:link w:val="CommentText"/>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1F5DD0"/>
    <w:pPr>
      <w:spacing w:line="288" w:lineRule="auto"/>
      <w:jc w:val="both"/>
    </w:pPr>
    <w:rPr>
      <w:rFonts w:eastAsiaTheme="minorEastAsia"/>
      <w:color w:val="7F7F7F" w:themeColor="text1" w:themeTint="80"/>
      <w:sz w:val="20"/>
    </w:rPr>
  </w:style>
  <w:style w:type="character" w:customStyle="1" w:styleId="BodyTextChar">
    <w:name w:val="Body Text Char"/>
    <w:basedOn w:val="DefaultParagraphFont"/>
    <w:link w:val="BodyText"/>
    <w:rsid w:val="001F5DD0"/>
    <w:rPr>
      <w:rFonts w:eastAsiaTheme="minorEastAsia"/>
      <w:color w:val="7F7F7F" w:themeColor="text1" w:themeTint="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semiHidden/>
    <w:unhideWhenUsed/>
    <w:rsid w:val="00401742"/>
    <w:pPr>
      <w:spacing w:line="240" w:lineRule="auto"/>
    </w:pPr>
    <w:rPr>
      <w:sz w:val="20"/>
      <w:szCs w:val="20"/>
    </w:rPr>
  </w:style>
  <w:style w:type="character" w:customStyle="1" w:styleId="CommentTextChar">
    <w:name w:val="Comment Text Char"/>
    <w:basedOn w:val="DefaultParagraphFont"/>
    <w:link w:val="CommentText"/>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1F5DD0"/>
    <w:pPr>
      <w:spacing w:line="288" w:lineRule="auto"/>
      <w:jc w:val="both"/>
    </w:pPr>
    <w:rPr>
      <w:rFonts w:eastAsiaTheme="minorEastAsia"/>
      <w:color w:val="7F7F7F" w:themeColor="text1" w:themeTint="80"/>
      <w:sz w:val="20"/>
    </w:rPr>
  </w:style>
  <w:style w:type="character" w:customStyle="1" w:styleId="BodyTextChar">
    <w:name w:val="Body Text Char"/>
    <w:basedOn w:val="DefaultParagraphFont"/>
    <w:link w:val="BodyText"/>
    <w:rsid w:val="001F5DD0"/>
    <w:rPr>
      <w:rFonts w:eastAsiaTheme="minorEastAsia"/>
      <w:color w:val="7F7F7F" w:themeColor="text1"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5393">
      <w:bodyDiv w:val="1"/>
      <w:marLeft w:val="0"/>
      <w:marRight w:val="0"/>
      <w:marTop w:val="0"/>
      <w:marBottom w:val="0"/>
      <w:divBdr>
        <w:top w:val="none" w:sz="0" w:space="0" w:color="auto"/>
        <w:left w:val="none" w:sz="0" w:space="0" w:color="auto"/>
        <w:bottom w:val="none" w:sz="0" w:space="0" w:color="auto"/>
        <w:right w:val="none" w:sz="0" w:space="0" w:color="auto"/>
      </w:divBdr>
    </w:div>
    <w:div w:id="374742436">
      <w:bodyDiv w:val="1"/>
      <w:marLeft w:val="0"/>
      <w:marRight w:val="0"/>
      <w:marTop w:val="0"/>
      <w:marBottom w:val="0"/>
      <w:divBdr>
        <w:top w:val="none" w:sz="0" w:space="0" w:color="auto"/>
        <w:left w:val="none" w:sz="0" w:space="0" w:color="auto"/>
        <w:bottom w:val="none" w:sz="0" w:space="0" w:color="auto"/>
        <w:right w:val="none" w:sz="0" w:space="0" w:color="auto"/>
      </w:divBdr>
    </w:div>
    <w:div w:id="398017636">
      <w:bodyDiv w:val="1"/>
      <w:marLeft w:val="0"/>
      <w:marRight w:val="0"/>
      <w:marTop w:val="0"/>
      <w:marBottom w:val="0"/>
      <w:divBdr>
        <w:top w:val="none" w:sz="0" w:space="0" w:color="auto"/>
        <w:left w:val="none" w:sz="0" w:space="0" w:color="auto"/>
        <w:bottom w:val="none" w:sz="0" w:space="0" w:color="auto"/>
        <w:right w:val="none" w:sz="0" w:space="0" w:color="auto"/>
      </w:divBdr>
    </w:div>
    <w:div w:id="518395613">
      <w:bodyDiv w:val="1"/>
      <w:marLeft w:val="0"/>
      <w:marRight w:val="0"/>
      <w:marTop w:val="0"/>
      <w:marBottom w:val="0"/>
      <w:divBdr>
        <w:top w:val="none" w:sz="0" w:space="0" w:color="auto"/>
        <w:left w:val="none" w:sz="0" w:space="0" w:color="auto"/>
        <w:bottom w:val="none" w:sz="0" w:space="0" w:color="auto"/>
        <w:right w:val="none" w:sz="0" w:space="0" w:color="auto"/>
      </w:divBdr>
    </w:div>
    <w:div w:id="853499360">
      <w:bodyDiv w:val="1"/>
      <w:marLeft w:val="0"/>
      <w:marRight w:val="0"/>
      <w:marTop w:val="0"/>
      <w:marBottom w:val="0"/>
      <w:divBdr>
        <w:top w:val="none" w:sz="0" w:space="0" w:color="auto"/>
        <w:left w:val="none" w:sz="0" w:space="0" w:color="auto"/>
        <w:bottom w:val="none" w:sz="0" w:space="0" w:color="auto"/>
        <w:right w:val="none" w:sz="0" w:space="0" w:color="auto"/>
      </w:divBdr>
    </w:div>
    <w:div w:id="1011682078">
      <w:bodyDiv w:val="1"/>
      <w:marLeft w:val="0"/>
      <w:marRight w:val="0"/>
      <w:marTop w:val="0"/>
      <w:marBottom w:val="0"/>
      <w:divBdr>
        <w:top w:val="none" w:sz="0" w:space="0" w:color="auto"/>
        <w:left w:val="none" w:sz="0" w:space="0" w:color="auto"/>
        <w:bottom w:val="none" w:sz="0" w:space="0" w:color="auto"/>
        <w:right w:val="none" w:sz="0" w:space="0" w:color="auto"/>
      </w:divBdr>
    </w:div>
    <w:div w:id="1604681167">
      <w:bodyDiv w:val="1"/>
      <w:marLeft w:val="0"/>
      <w:marRight w:val="0"/>
      <w:marTop w:val="0"/>
      <w:marBottom w:val="0"/>
      <w:divBdr>
        <w:top w:val="none" w:sz="0" w:space="0" w:color="auto"/>
        <w:left w:val="none" w:sz="0" w:space="0" w:color="auto"/>
        <w:bottom w:val="none" w:sz="0" w:space="0" w:color="auto"/>
        <w:right w:val="none" w:sz="0" w:space="0" w:color="auto"/>
      </w:divBdr>
    </w:div>
    <w:div w:id="1921400172">
      <w:bodyDiv w:val="1"/>
      <w:marLeft w:val="0"/>
      <w:marRight w:val="0"/>
      <w:marTop w:val="0"/>
      <w:marBottom w:val="0"/>
      <w:divBdr>
        <w:top w:val="none" w:sz="0" w:space="0" w:color="auto"/>
        <w:left w:val="none" w:sz="0" w:space="0" w:color="auto"/>
        <w:bottom w:val="none" w:sz="0" w:space="0" w:color="auto"/>
        <w:right w:val="none" w:sz="0" w:space="0" w:color="auto"/>
      </w:divBdr>
    </w:div>
    <w:div w:id="19927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worldbank.org/WBSITE/EXTERNAL/PROJECTS/EXTPOLICIES/EXTSAFEPOL/0,,contentMDK:23275156~pagePK:64168445~piPK:64168309~theSitePK:584435,0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teresources.worldbank.org/EXTSAFEPOL/Resources/584434-1306431390058/SAFEGUARDS_EXPERTFOCUSGROUP_FPIC_MARCH2013_PARTICIPANTS.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eresources.worldbank.org/EXTSAFEPOL/Resources/584434-1306431390058/SafeguardExtFocusGroup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835F-24D8-490A-92A4-09EAEADFD865}">
  <ds:schemaRefs>
    <ds:schemaRef ds:uri="http://schemas.microsoft.com/sharepoint/v3/contenttype/forms"/>
  </ds:schemaRefs>
</ds:datastoreItem>
</file>

<file path=customXml/itemProps2.xml><?xml version="1.0" encoding="utf-8"?>
<ds:datastoreItem xmlns:ds="http://schemas.openxmlformats.org/officeDocument/2006/customXml" ds:itemID="{7CC71A8C-6B8E-4B84-8974-6C81FD53B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39431B-260E-4946-B17F-644C3F33B058}">
  <ds:schemaRefs>
    <ds:schemaRef ds:uri="http://schemas.microsoft.com/office/2006/metadata/properties"/>
  </ds:schemaRefs>
</ds:datastoreItem>
</file>

<file path=customXml/itemProps4.xml><?xml version="1.0" encoding="utf-8"?>
<ds:datastoreItem xmlns:ds="http://schemas.openxmlformats.org/officeDocument/2006/customXml" ds:itemID="{880C6199-1462-4C7E-B1E5-EDF9AD86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Mills Lindsay</dc:creator>
  <cp:lastModifiedBy>Anne-Katrin Arnold</cp:lastModifiedBy>
  <cp:revision>9</cp:revision>
  <cp:lastPrinted>2013-04-29T14:11:00Z</cp:lastPrinted>
  <dcterms:created xsi:type="dcterms:W3CDTF">2013-05-28T18:48:00Z</dcterms:created>
  <dcterms:modified xsi:type="dcterms:W3CDTF">2013-05-29T14:27:00Z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