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203575" cy="948690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cs="Calibri"/>
          <w:b/>
          <w:color w:val="365F91"/>
          <w:spacing w:val="5"/>
          <w:sz w:val="28"/>
          <w:szCs w:val="28"/>
        </w:rPr>
      </w:r>
    </w:p>
    <w:p>
      <w:pPr>
        <w:pStyle w:val="style0"/>
        <w:jc w:val="center"/>
      </w:pPr>
      <w:r>
        <w:rPr>
          <w:rFonts w:cs="Calibri"/>
          <w:b/>
          <w:color w:val="365F91"/>
          <w:spacing w:val="5"/>
          <w:sz w:val="28"/>
          <w:szCs w:val="28"/>
        </w:rPr>
        <w:t xml:space="preserve">The World Bank </w:t>
      </w:r>
    </w:p>
    <w:p>
      <w:pPr>
        <w:pStyle w:val="style0"/>
        <w:jc w:val="center"/>
      </w:pPr>
      <w:r>
        <w:rPr>
          <w:rFonts w:cs="Calibri"/>
          <w:b/>
          <w:color w:val="365F91"/>
          <w:sz w:val="28"/>
          <w:szCs w:val="28"/>
        </w:rPr>
        <w:t>Review and Update of the World Bank’s Environmental and Social Safeguard Policies</w:t>
      </w:r>
    </w:p>
    <w:p>
      <w:pPr>
        <w:pStyle w:val="style0"/>
        <w:jc w:val="center"/>
      </w:pPr>
      <w:r>
        <w:rPr>
          <w:rFonts w:cs="Calibri"/>
          <w:b/>
          <w:color w:val="1F497D"/>
          <w:sz w:val="32"/>
          <w:szCs w:val="32"/>
        </w:rPr>
        <w:t>Side Event of the Land and Poverty Conference</w:t>
      </w:r>
    </w:p>
    <w:p>
      <w:pPr>
        <w:pStyle w:val="style0"/>
        <w:jc w:val="center"/>
      </w:pPr>
      <w:r>
        <w:rPr>
          <w:rFonts w:cs="Calibri"/>
          <w:b/>
          <w:color w:val="365F91"/>
          <w:sz w:val="28"/>
          <w:szCs w:val="28"/>
        </w:rPr>
      </w:r>
    </w:p>
    <w:p>
      <w:pPr>
        <w:pStyle w:val="style26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Consultation Meeting Participant List</w:t>
      </w:r>
    </w:p>
    <w:p>
      <w:pPr>
        <w:pStyle w:val="style25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bCs/>
          <w:sz w:val="24"/>
          <w:szCs w:val="24"/>
          <w:lang w:val="en-US"/>
        </w:rPr>
        <w:t xml:space="preserve">Date: </w:t>
      </w:r>
      <w:bookmarkStart w:id="0" w:name="_GoBack"/>
      <w:bookmarkEnd w:id="0"/>
      <w:r>
        <w:rPr>
          <w:rFonts w:ascii="Calibri" w:cs="Calibri" w:hAnsi="Calibri"/>
          <w:bCs/>
          <w:sz w:val="24"/>
          <w:szCs w:val="24"/>
          <w:lang w:val="en-US"/>
        </w:rPr>
        <w:t>April 12, 2013</w:t>
      </w:r>
    </w:p>
    <w:p>
      <w:pPr>
        <w:pStyle w:val="style25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sz w:val="24"/>
          <w:szCs w:val="24"/>
          <w:lang w:val="en-US"/>
        </w:rPr>
      </w:r>
    </w:p>
    <w:p>
      <w:pPr>
        <w:pStyle w:val="style25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4"/>
          <w:szCs w:val="24"/>
          <w:lang w:val="en-US"/>
        </w:rPr>
        <w:t>Total Number of Participants</w:t>
      </w:r>
      <w:r>
        <w:rPr>
          <w:rFonts w:ascii="Calibri" w:cs="Calibri" w:hAnsi="Calibri"/>
          <w:b/>
          <w:sz w:val="24"/>
          <w:szCs w:val="24"/>
          <w:lang w:val="en-US"/>
        </w:rPr>
        <w:t>: 13</w:t>
      </w:r>
    </w:p>
    <w:p>
      <w:pPr>
        <w:pStyle w:val="style25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sz w:val="24"/>
          <w:szCs w:val="24"/>
          <w:lang w:val="en-US"/>
        </w:rPr>
      </w:r>
    </w:p>
    <w:p>
      <w:pPr>
        <w:pStyle w:val="style0"/>
      </w:pPr>
      <w:r>
        <w:rPr>
          <w:rFonts w:ascii="Cambria" w:hAnsi="Cambria"/>
        </w:rPr>
      </w:r>
    </w:p>
    <w:tbl>
      <w:tblPr>
        <w:jc w:val="left"/>
        <w:tblInd w:type="dxa" w:w="36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40"/>
        <w:gridCol w:w="2890"/>
        <w:gridCol w:w="3056"/>
      </w:tblGrid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Gregory Kitt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Norwegian Refugee Council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Alexandre Corriveau-Bourque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RRI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David Pred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IDI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Natalie Bugalski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IDI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Sasanka Thilakasiri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OXFAM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Jessica Evans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Human Rights Watch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Hana Heineken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Global Witness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Megan MacInnes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Global Witness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Jessie Connell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University of Sydney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Emily Joiner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IAP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Stephen Jonckheere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IFAD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Gaia Larsen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World Resources Institute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type="dxa" w:w="2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 xml:space="preserve">John Bruce </w:t>
            </w:r>
          </w:p>
        </w:tc>
        <w:tc>
          <w:tcPr>
            <w:tcW w:type="dxa" w:w="3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sz w:val="24"/>
                <w:szCs w:val="24"/>
              </w:rPr>
              <w:t>LADSI Inc.</w:t>
            </w:r>
          </w:p>
        </w:tc>
      </w:tr>
    </w:tbl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/>
      </w:r>
    </w:p>
    <w:sectPr>
      <w:footerReference r:id="rId3" w:type="default"/>
      <w:type w:val="nextPage"/>
      <w:pgSz w:h="15840" w:w="12240"/>
      <w:pgMar w:bottom="1440" w:footer="720" w:gutter="0" w:header="0" w:left="1800" w:right="1800" w:top="45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8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WenQuanYi Zen Hei" w:hAnsi="Calibri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ody Text 2 Char"/>
    <w:basedOn w:val="style15"/>
    <w:next w:val="style16"/>
    <w:rPr>
      <w:rFonts w:ascii="Arial" w:cs="Arial" w:eastAsia="Times New Roman" w:hAnsi="Arial"/>
      <w:color w:val="000000"/>
      <w:sz w:val="24"/>
      <w:szCs w:val="20"/>
      <w:lang w:bidi="hi-IN" w:eastAsia="hi-IN" w:val="en-GB"/>
    </w:rPr>
  </w:style>
  <w:style w:styleId="style17" w:type="character">
    <w:name w:val="Title Char"/>
    <w:basedOn w:val="style15"/>
    <w:next w:val="style17"/>
    <w:rPr>
      <w:rFonts w:ascii="Cambria" w:cs="Times New Roman" w:eastAsia="Times New Roman" w:hAnsi="Cambria"/>
      <w:color w:val="17365D"/>
      <w:spacing w:val="5"/>
      <w:sz w:val="52"/>
      <w:szCs w:val="52"/>
    </w:rPr>
  </w:style>
  <w:style w:styleId="style18" w:type="character">
    <w:name w:val="Footer Char"/>
    <w:basedOn w:val="style15"/>
    <w:next w:val="style18"/>
    <w:rPr>
      <w:sz w:val="24"/>
      <w:szCs w:val="24"/>
    </w:rPr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ohit Devanagari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Devanagari"/>
    </w:rPr>
  </w:style>
  <w:style w:styleId="style25" w:type="paragraph">
    <w:name w:val="Body Text 2"/>
    <w:basedOn w:val="style0"/>
    <w:next w:val="style25"/>
    <w:pPr>
      <w:suppressAutoHyphens w:val="true"/>
      <w:spacing w:line="280" w:lineRule="atLeast"/>
      <w:ind w:hanging="0" w:left="0" w:right="-12"/>
      <w:jc w:val="both"/>
    </w:pPr>
    <w:rPr>
      <w:rFonts w:ascii="Arial" w:cs="Arial" w:eastAsia="Times New Roman" w:hAnsi="Arial"/>
      <w:color w:val="000000"/>
      <w:sz w:val="20"/>
      <w:szCs w:val="20"/>
      <w:lang w:bidi="hi-IN" w:eastAsia="hi-IN" w:val="en-GB"/>
    </w:rPr>
  </w:style>
  <w:style w:styleId="style26" w:type="paragraph">
    <w:name w:val="Title"/>
    <w:basedOn w:val="style0"/>
    <w:next w:val="style27"/>
    <w:pPr>
      <w:pBdr>
        <w:bottom w:color="4F81BD" w:space="0" w:sz="8" w:val="single"/>
      </w:pBdr>
      <w:spacing w:after="300" w:before="0"/>
      <w:contextualSpacing/>
      <w:jc w:val="center"/>
    </w:pPr>
    <w:rPr>
      <w:rFonts w:ascii="Cambria" w:cs="Times New Roman" w:eastAsia="Times New Roman" w:hAnsi="Cambria"/>
      <w:b/>
      <w:bCs/>
      <w:color w:val="17365D"/>
      <w:spacing w:val="5"/>
      <w:sz w:val="52"/>
      <w:szCs w:val="52"/>
    </w:rPr>
  </w:style>
  <w:style w:styleId="style27" w:type="paragraph">
    <w:name w:val="Subtitle"/>
    <w:basedOn w:val="style20"/>
    <w:next w:val="style21"/>
    <w:pPr>
      <w:jc w:val="center"/>
    </w:pPr>
    <w:rPr>
      <w:i/>
      <w:iCs/>
      <w:sz w:val="28"/>
      <w:szCs w:val="28"/>
    </w:rPr>
  </w:style>
  <w:style w:styleId="style28" w:type="paragraph">
    <w:name w:val="Footer"/>
    <w:basedOn w:val="style0"/>
    <w:next w:val="style28"/>
    <w:pPr>
      <w:suppressLineNumbers/>
      <w:tabs>
        <w:tab w:leader="none" w:pos="4680" w:val="center"/>
        <w:tab w:leader="none" w:pos="9360" w:val="right"/>
      </w:tabs>
    </w:pPr>
    <w:rPr/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2013-06-19T00:06:00.00Z</dcterms:created>
  <dc:creator>Ida Mori</dc:creator>
  <cp:lastModifiedBy>Ida Mori</cp:lastModifiedBy>
  <dcterms:modified xsi:type="dcterms:W3CDTF">2013-06-19T00:08:00.00Z</dcterms:modified>
  <cp:revision>1</cp:revision>
</cp:coreProperties>
</file>