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CB" w:rsidRPr="00172060" w:rsidRDefault="00F13ECB" w:rsidP="00F13ECB">
      <w:pPr>
        <w:spacing w:after="0" w:line="240" w:lineRule="auto"/>
        <w:rPr>
          <w:rFonts w:ascii="Arial" w:hAnsi="Arial" w:cs="Arial"/>
          <w:b/>
          <w:color w:val="F0AB00"/>
          <w:sz w:val="32"/>
          <w:szCs w:val="32"/>
        </w:rPr>
      </w:pPr>
      <w:r>
        <w:rPr>
          <w:rFonts w:ascii="Georgia" w:hAnsi="Georgia" w:cs="Arial"/>
          <w:noProof/>
        </w:rPr>
        <w:drawing>
          <wp:anchor distT="0" distB="0" distL="114300" distR="114300" simplePos="0" relativeHeight="251659264" behindDoc="0" locked="0" layoutInCell="1" allowOverlap="1" wp14:anchorId="605083E4" wp14:editId="0BE0AD81">
            <wp:simplePos x="0" y="0"/>
            <wp:positionH relativeFrom="column">
              <wp:posOffset>0</wp:posOffset>
            </wp:positionH>
            <wp:positionV relativeFrom="paragraph">
              <wp:posOffset>0</wp:posOffset>
            </wp:positionV>
            <wp:extent cx="1854835" cy="8743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_logo_box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4835" cy="874395"/>
                    </a:xfrm>
                    <a:prstGeom prst="rect">
                      <a:avLst/>
                    </a:prstGeom>
                  </pic:spPr>
                </pic:pic>
              </a:graphicData>
            </a:graphic>
            <wp14:sizeRelH relativeFrom="page">
              <wp14:pctWidth>0</wp14:pctWidth>
            </wp14:sizeRelH>
            <wp14:sizeRelV relativeFrom="page">
              <wp14:pctHeight>0</wp14:pctHeight>
            </wp14:sizeRelV>
          </wp:anchor>
        </w:drawing>
      </w:r>
      <w:r w:rsidRPr="00172060">
        <w:rPr>
          <w:rFonts w:ascii="Arial" w:hAnsi="Arial" w:cs="Arial"/>
          <w:b/>
          <w:color w:val="F0AB00"/>
          <w:sz w:val="32"/>
          <w:szCs w:val="32"/>
        </w:rPr>
        <w:t>Recommendations for Strengthening Consideration of Climate Change in the World Bank Safeguard Policies</w:t>
      </w:r>
    </w:p>
    <w:p w:rsidR="00F13ECB" w:rsidRPr="00172060" w:rsidRDefault="00F13ECB" w:rsidP="00F13ECB">
      <w:pPr>
        <w:tabs>
          <w:tab w:val="left" w:pos="630"/>
        </w:tabs>
        <w:spacing w:after="0" w:line="240" w:lineRule="auto"/>
        <w:rPr>
          <w:color w:val="7F7F7F" w:themeColor="text1" w:themeTint="80"/>
          <w:sz w:val="28"/>
          <w:szCs w:val="28"/>
        </w:rPr>
      </w:pPr>
      <w:r w:rsidRPr="00172060">
        <w:rPr>
          <w:color w:val="7F7F7F" w:themeColor="text1" w:themeTint="80"/>
          <w:sz w:val="28"/>
          <w:szCs w:val="28"/>
        </w:rPr>
        <w:t>April 2013</w:t>
      </w:r>
    </w:p>
    <w:p w:rsidR="00F13ECB" w:rsidRDefault="00F13ECB" w:rsidP="00F13ECB">
      <w:pPr>
        <w:tabs>
          <w:tab w:val="left" w:pos="630"/>
        </w:tabs>
        <w:spacing w:after="0" w:line="240" w:lineRule="auto"/>
        <w:jc w:val="center"/>
        <w:rPr>
          <w:sz w:val="24"/>
        </w:rPr>
      </w:pPr>
    </w:p>
    <w:p w:rsidR="00F13ECB" w:rsidRDefault="00F13ECB" w:rsidP="00F13ECB">
      <w:pPr>
        <w:tabs>
          <w:tab w:val="left" w:pos="630"/>
        </w:tabs>
        <w:spacing w:after="0" w:line="240" w:lineRule="auto"/>
        <w:jc w:val="both"/>
        <w:rPr>
          <w:rFonts w:ascii="Georgia" w:hAnsi="Georgia" w:cs="Arial"/>
          <w:sz w:val="24"/>
          <w:szCs w:val="24"/>
        </w:rPr>
      </w:pPr>
    </w:p>
    <w:p w:rsidR="00F13ECB" w:rsidRDefault="00F13ECB" w:rsidP="00F13ECB">
      <w:pPr>
        <w:tabs>
          <w:tab w:val="left" w:pos="630"/>
        </w:tabs>
        <w:spacing w:line="240" w:lineRule="auto"/>
        <w:jc w:val="both"/>
        <w:rPr>
          <w:rFonts w:ascii="Georgia" w:hAnsi="Georgia" w:cs="Arial"/>
          <w:sz w:val="24"/>
          <w:szCs w:val="24"/>
        </w:rPr>
      </w:pPr>
      <w:r w:rsidRPr="004879BF">
        <w:rPr>
          <w:rFonts w:ascii="Georgia" w:hAnsi="Georgia" w:cs="Arial"/>
          <w:sz w:val="24"/>
          <w:szCs w:val="24"/>
        </w:rPr>
        <w:t xml:space="preserve">According to World Bank President Dr. Jim Yong Kim, “the lack of action on climate change not only risks putting prosperity out of reach of millions of people in the developing </w:t>
      </w:r>
      <w:proofErr w:type="gramStart"/>
      <w:r w:rsidRPr="004879BF">
        <w:rPr>
          <w:rFonts w:ascii="Georgia" w:hAnsi="Georgia" w:cs="Arial"/>
          <w:sz w:val="24"/>
          <w:szCs w:val="24"/>
        </w:rPr>
        <w:t>world,</w:t>
      </w:r>
      <w:proofErr w:type="gramEnd"/>
      <w:r w:rsidRPr="004879BF">
        <w:rPr>
          <w:rFonts w:ascii="Georgia" w:hAnsi="Georgia" w:cs="Arial"/>
          <w:sz w:val="24"/>
          <w:szCs w:val="24"/>
        </w:rPr>
        <w:t xml:space="preserve"> it threatens to roll back decades of sustainable development.”</w:t>
      </w:r>
      <w:r w:rsidRPr="004879BF">
        <w:rPr>
          <w:rStyle w:val="FootnoteReference"/>
          <w:rFonts w:ascii="Georgia" w:hAnsi="Georgia" w:cs="Arial"/>
          <w:sz w:val="24"/>
          <w:szCs w:val="24"/>
        </w:rPr>
        <w:footnoteReference w:id="1"/>
      </w:r>
      <w:r>
        <w:rPr>
          <w:rFonts w:ascii="Georgia" w:hAnsi="Georgia" w:cs="Arial"/>
          <w:sz w:val="24"/>
          <w:szCs w:val="24"/>
        </w:rPr>
        <w:t xml:space="preserve"> Thorough consideration of climate change in all aspects of Bank operations will allow the institution to remain effective and competitive as an agent against poverty. </w:t>
      </w:r>
    </w:p>
    <w:p w:rsidR="00F13ECB" w:rsidRDefault="00F13ECB" w:rsidP="00F13ECB">
      <w:pPr>
        <w:tabs>
          <w:tab w:val="left" w:pos="630"/>
        </w:tabs>
        <w:spacing w:line="240" w:lineRule="auto"/>
        <w:jc w:val="both"/>
        <w:rPr>
          <w:rFonts w:ascii="Georgia" w:hAnsi="Georgia" w:cs="Arial"/>
          <w:sz w:val="24"/>
          <w:szCs w:val="24"/>
        </w:rPr>
      </w:pPr>
      <w:r>
        <w:rPr>
          <w:rFonts w:ascii="Georgia" w:hAnsi="Georgia" w:cs="Arial"/>
          <w:sz w:val="24"/>
          <w:szCs w:val="24"/>
        </w:rPr>
        <w:t>The Bank has highlighted climate change as one of the key emerging areas for the safeguard review process.</w:t>
      </w:r>
      <w:r>
        <w:rPr>
          <w:rStyle w:val="FootnoteReference"/>
          <w:rFonts w:ascii="Georgia" w:hAnsi="Georgia" w:cs="Arial"/>
          <w:sz w:val="24"/>
          <w:szCs w:val="24"/>
        </w:rPr>
        <w:footnoteReference w:id="2"/>
      </w:r>
      <w:r>
        <w:rPr>
          <w:rFonts w:ascii="Georgia" w:hAnsi="Georgia" w:cs="Arial"/>
          <w:sz w:val="24"/>
          <w:szCs w:val="24"/>
        </w:rPr>
        <w:t xml:space="preserve"> While the safeguard policies alone will not cover all of the Bank’s aspirations regarding climate change, they can provide vital building blocks toward successful achievement of mitigation and adaptation goals. </w:t>
      </w:r>
      <w:r w:rsidR="005F0FD6">
        <w:rPr>
          <w:rFonts w:ascii="Georgia" w:hAnsi="Georgia" w:cs="Arial"/>
          <w:sz w:val="24"/>
          <w:szCs w:val="24"/>
        </w:rPr>
        <w:t>The Bank’s Strategic Framework for Development and Climate Change outlines several key action areas for the institution. It encourages the Bank to, among other things, “s</w:t>
      </w:r>
      <w:r w:rsidR="005F0FD6" w:rsidRPr="005D6DCE">
        <w:rPr>
          <w:rFonts w:ascii="Georgia" w:hAnsi="Georgia" w:cs="Arial"/>
          <w:sz w:val="24"/>
          <w:szCs w:val="24"/>
        </w:rPr>
        <w:t>upport climate actions in co</w:t>
      </w:r>
      <w:r w:rsidR="005F0FD6">
        <w:rPr>
          <w:rFonts w:ascii="Georgia" w:hAnsi="Georgia" w:cs="Arial"/>
          <w:sz w:val="24"/>
          <w:szCs w:val="24"/>
        </w:rPr>
        <w:t>untry-led development processes</w:t>
      </w:r>
      <w:r w:rsidR="00D52D21">
        <w:rPr>
          <w:rFonts w:ascii="Georgia" w:hAnsi="Georgia" w:cs="Arial"/>
          <w:sz w:val="24"/>
          <w:szCs w:val="24"/>
        </w:rPr>
        <w:t xml:space="preserve">” </w:t>
      </w:r>
      <w:r w:rsidR="005F0FD6" w:rsidRPr="005D6DCE">
        <w:rPr>
          <w:rFonts w:ascii="Georgia" w:hAnsi="Georgia" w:cs="Arial"/>
          <w:sz w:val="24"/>
          <w:szCs w:val="24"/>
        </w:rPr>
        <w:t>and</w:t>
      </w:r>
      <w:r w:rsidR="005F0FD6">
        <w:rPr>
          <w:rFonts w:ascii="Georgia" w:hAnsi="Georgia" w:cs="Arial"/>
          <w:sz w:val="24"/>
          <w:szCs w:val="24"/>
        </w:rPr>
        <w:t xml:space="preserve"> </w:t>
      </w:r>
      <w:r w:rsidR="00D52D21">
        <w:rPr>
          <w:rFonts w:ascii="Georgia" w:hAnsi="Georgia" w:cs="Arial"/>
          <w:sz w:val="24"/>
          <w:szCs w:val="24"/>
        </w:rPr>
        <w:t>“</w:t>
      </w:r>
      <w:r w:rsidR="005F0FD6">
        <w:rPr>
          <w:rFonts w:ascii="Georgia" w:hAnsi="Georgia" w:cs="Arial"/>
          <w:sz w:val="24"/>
          <w:szCs w:val="24"/>
        </w:rPr>
        <w:t>s</w:t>
      </w:r>
      <w:r w:rsidR="005F0FD6" w:rsidRPr="005D6DCE">
        <w:rPr>
          <w:rFonts w:ascii="Georgia" w:hAnsi="Georgia" w:cs="Arial"/>
          <w:sz w:val="24"/>
          <w:szCs w:val="24"/>
        </w:rPr>
        <w:t>tep up policy research, knowledge, and capacity</w:t>
      </w:r>
      <w:r w:rsidR="005F0FD6">
        <w:rPr>
          <w:rFonts w:ascii="Georgia" w:hAnsi="Georgia" w:cs="Arial"/>
          <w:sz w:val="24"/>
          <w:szCs w:val="24"/>
        </w:rPr>
        <w:t xml:space="preserve"> </w:t>
      </w:r>
      <w:r w:rsidR="005F0FD6" w:rsidRPr="005D6DCE">
        <w:rPr>
          <w:rFonts w:ascii="Georgia" w:hAnsi="Georgia" w:cs="Arial"/>
          <w:sz w:val="24"/>
          <w:szCs w:val="24"/>
        </w:rPr>
        <w:t>building.</w:t>
      </w:r>
      <w:r w:rsidR="005F0FD6">
        <w:rPr>
          <w:rFonts w:ascii="Georgia" w:hAnsi="Georgia" w:cs="Arial"/>
          <w:sz w:val="24"/>
          <w:szCs w:val="24"/>
        </w:rPr>
        <w:t>”</w:t>
      </w:r>
      <w:r w:rsidR="005F0FD6">
        <w:rPr>
          <w:rStyle w:val="FootnoteReference"/>
          <w:rFonts w:ascii="Georgia" w:hAnsi="Georgia" w:cs="Arial"/>
          <w:sz w:val="24"/>
          <w:szCs w:val="24"/>
        </w:rPr>
        <w:footnoteReference w:id="3"/>
      </w:r>
      <w:r w:rsidR="005F0FD6">
        <w:rPr>
          <w:rFonts w:ascii="Georgia" w:hAnsi="Georgia" w:cs="Arial"/>
          <w:sz w:val="24"/>
          <w:szCs w:val="24"/>
        </w:rPr>
        <w:t xml:space="preserve"> </w:t>
      </w:r>
      <w:r>
        <w:rPr>
          <w:rFonts w:ascii="Georgia" w:hAnsi="Georgia" w:cs="Arial"/>
          <w:sz w:val="24"/>
          <w:szCs w:val="24"/>
        </w:rPr>
        <w:t>If implemented properly, safeguards ca</w:t>
      </w:r>
      <w:r w:rsidR="005F0FD6">
        <w:rPr>
          <w:rFonts w:ascii="Georgia" w:hAnsi="Georgia" w:cs="Arial"/>
          <w:sz w:val="24"/>
          <w:szCs w:val="24"/>
        </w:rPr>
        <w:t xml:space="preserve">n aid implementation of these </w:t>
      </w:r>
      <w:r w:rsidR="007F5113">
        <w:rPr>
          <w:rFonts w:ascii="Georgia" w:hAnsi="Georgia" w:cs="Arial"/>
          <w:sz w:val="24"/>
          <w:szCs w:val="24"/>
        </w:rPr>
        <w:t>actions by</w:t>
      </w:r>
      <w:r>
        <w:rPr>
          <w:rFonts w:ascii="Georgia" w:hAnsi="Georgia" w:cs="Arial"/>
          <w:sz w:val="24"/>
          <w:szCs w:val="24"/>
        </w:rPr>
        <w:t>: informing investment decisions early in the project cycle, illustrating alternatives, and support ef</w:t>
      </w:r>
      <w:r w:rsidR="005F0FD6">
        <w:rPr>
          <w:rFonts w:ascii="Georgia" w:hAnsi="Georgia" w:cs="Arial"/>
          <w:sz w:val="24"/>
          <w:szCs w:val="24"/>
        </w:rPr>
        <w:t>ficient project implementation.</w:t>
      </w:r>
    </w:p>
    <w:p w:rsidR="00F13ECB" w:rsidRDefault="00F13ECB" w:rsidP="00F13ECB">
      <w:pPr>
        <w:tabs>
          <w:tab w:val="left" w:pos="630"/>
        </w:tabs>
        <w:spacing w:line="240" w:lineRule="auto"/>
        <w:jc w:val="both"/>
        <w:rPr>
          <w:rFonts w:ascii="Georgia" w:hAnsi="Georgia" w:cs="Arial"/>
          <w:sz w:val="24"/>
          <w:szCs w:val="24"/>
        </w:rPr>
      </w:pPr>
      <w:r w:rsidRPr="00F13ECB">
        <w:rPr>
          <w:rFonts w:ascii="Georgia" w:hAnsi="Georgia" w:cs="Arial"/>
          <w:sz w:val="24"/>
          <w:szCs w:val="24"/>
        </w:rPr>
        <w:t>The following recommendations regarding climate change mitigation and adaptation have been compiled by a number of experts a</w:t>
      </w:r>
      <w:r>
        <w:rPr>
          <w:rFonts w:ascii="Georgia" w:hAnsi="Georgia" w:cs="Arial"/>
          <w:sz w:val="24"/>
          <w:szCs w:val="24"/>
        </w:rPr>
        <w:t>t the World Resources Institute.</w:t>
      </w:r>
      <w:r w:rsidR="00472EB9">
        <w:rPr>
          <w:rFonts w:ascii="Georgia" w:hAnsi="Georgia" w:cs="Arial"/>
          <w:sz w:val="24"/>
          <w:szCs w:val="24"/>
        </w:rPr>
        <w:t xml:space="preserve"> </w:t>
      </w:r>
      <w:r w:rsidR="00825E10">
        <w:rPr>
          <w:rFonts w:ascii="Georgia" w:hAnsi="Georgia" w:cs="Arial"/>
          <w:sz w:val="24"/>
          <w:szCs w:val="24"/>
        </w:rPr>
        <w:t>They are</w:t>
      </w:r>
      <w:r w:rsidR="00472EB9">
        <w:rPr>
          <w:rFonts w:ascii="Georgia" w:hAnsi="Georgia" w:cs="Arial"/>
          <w:sz w:val="24"/>
          <w:szCs w:val="24"/>
        </w:rPr>
        <w:t xml:space="preserve"> accompanied by an additional submission related to the general architecture of safeguards.</w:t>
      </w:r>
      <w:r w:rsidRPr="00F13ECB">
        <w:rPr>
          <w:rStyle w:val="FootnoteReference"/>
          <w:rFonts w:ascii="Georgia" w:hAnsi="Georgia" w:cs="Arial"/>
          <w:sz w:val="24"/>
          <w:szCs w:val="24"/>
        </w:rPr>
        <w:footnoteReference w:id="4"/>
      </w:r>
    </w:p>
    <w:p w:rsidR="00F13ECB" w:rsidRPr="00BC1C69" w:rsidRDefault="00F13ECB" w:rsidP="00F13ECB">
      <w:pPr>
        <w:pStyle w:val="ListParagraph"/>
        <w:numPr>
          <w:ilvl w:val="0"/>
          <w:numId w:val="1"/>
        </w:numPr>
        <w:spacing w:line="240" w:lineRule="auto"/>
        <w:rPr>
          <w:rFonts w:ascii="Georgia" w:hAnsi="Georgia" w:cs="Arial"/>
          <w:b/>
          <w:smallCaps/>
          <w:color w:val="F0AB00"/>
          <w:sz w:val="28"/>
          <w:szCs w:val="28"/>
        </w:rPr>
      </w:pPr>
      <w:r w:rsidRPr="00BC1C69">
        <w:rPr>
          <w:rFonts w:ascii="Georgia" w:hAnsi="Georgia" w:cs="Arial"/>
          <w:b/>
          <w:smallCaps/>
          <w:color w:val="F0AB00"/>
          <w:sz w:val="28"/>
          <w:szCs w:val="28"/>
        </w:rPr>
        <w:t>Climate Change Mitigation</w:t>
      </w:r>
    </w:p>
    <w:p w:rsidR="00F13ECB" w:rsidRPr="00D52DB9" w:rsidRDefault="00F13ECB" w:rsidP="00F13ECB">
      <w:pPr>
        <w:spacing w:line="240" w:lineRule="auto"/>
        <w:jc w:val="both"/>
        <w:rPr>
          <w:rFonts w:ascii="Georgia" w:hAnsi="Georgia" w:cs="Arial"/>
          <w:sz w:val="24"/>
          <w:szCs w:val="24"/>
        </w:rPr>
      </w:pPr>
      <w:r w:rsidRPr="00355719">
        <w:rPr>
          <w:rFonts w:ascii="Georgia" w:hAnsi="Georgia" w:cs="Arial"/>
          <w:sz w:val="24"/>
          <w:szCs w:val="24"/>
        </w:rPr>
        <w:t>A first step in making the World Bank more sensitive to clim</w:t>
      </w:r>
      <w:r w:rsidR="0016092E">
        <w:rPr>
          <w:rFonts w:ascii="Georgia" w:hAnsi="Georgia" w:cs="Arial"/>
          <w:sz w:val="24"/>
          <w:szCs w:val="24"/>
        </w:rPr>
        <w:t xml:space="preserve">ate change is to understand </w:t>
      </w:r>
      <w:r w:rsidRPr="00355719">
        <w:rPr>
          <w:rFonts w:ascii="Georgia" w:hAnsi="Georgia" w:cs="Arial"/>
          <w:sz w:val="24"/>
          <w:szCs w:val="24"/>
        </w:rPr>
        <w:t xml:space="preserve">the level </w:t>
      </w:r>
      <w:r>
        <w:rPr>
          <w:rFonts w:ascii="Georgia" w:hAnsi="Georgia" w:cs="Arial"/>
          <w:sz w:val="24"/>
          <w:szCs w:val="24"/>
        </w:rPr>
        <w:t xml:space="preserve">of </w:t>
      </w:r>
      <w:r w:rsidRPr="00355719">
        <w:rPr>
          <w:rFonts w:ascii="Georgia" w:hAnsi="Georgia" w:cs="Arial"/>
          <w:sz w:val="24"/>
          <w:szCs w:val="24"/>
        </w:rPr>
        <w:t>GHG emissions associated with the Bank’s investments. The safeguard review process provides an opportunity for this vision to be made into reality.</w:t>
      </w:r>
      <w:r>
        <w:rPr>
          <w:rFonts w:ascii="Georgia" w:hAnsi="Georgia" w:cs="Arial"/>
          <w:sz w:val="24"/>
          <w:szCs w:val="24"/>
        </w:rPr>
        <w:t xml:space="preserve"> WRI recommends that the Bank structures its safeguard policy to:</w:t>
      </w:r>
    </w:p>
    <w:p w:rsidR="00F13ECB" w:rsidRPr="00D52DB9" w:rsidRDefault="007F5113" w:rsidP="00F13ECB">
      <w:pPr>
        <w:pStyle w:val="ListParagraph"/>
        <w:numPr>
          <w:ilvl w:val="0"/>
          <w:numId w:val="6"/>
        </w:numPr>
        <w:spacing w:after="120" w:line="240" w:lineRule="auto"/>
        <w:rPr>
          <w:rFonts w:ascii="Georgia" w:hAnsi="Georgia" w:cs="Arial"/>
          <w:sz w:val="24"/>
          <w:szCs w:val="24"/>
        </w:rPr>
      </w:pPr>
      <w:r>
        <w:rPr>
          <w:rFonts w:ascii="Georgia" w:hAnsi="Georgia" w:cs="Arial"/>
          <w:sz w:val="24"/>
          <w:szCs w:val="24"/>
        </w:rPr>
        <w:t>M</w:t>
      </w:r>
      <w:r w:rsidRPr="007F5113">
        <w:rPr>
          <w:rFonts w:ascii="Georgia" w:hAnsi="Georgia" w:cs="Arial"/>
          <w:sz w:val="24"/>
          <w:szCs w:val="24"/>
        </w:rPr>
        <w:t>easure and report absolute GHG emissions from each individual investments, as well as emission reductions or increases relative to a baseline scenario for each individual investment in high-emitting sectors such as energy and transport</w:t>
      </w:r>
      <w:r w:rsidR="00F13ECB">
        <w:rPr>
          <w:rFonts w:ascii="Georgia" w:hAnsi="Georgia" w:cs="Arial"/>
          <w:sz w:val="24"/>
          <w:szCs w:val="24"/>
        </w:rPr>
        <w:t>.</w:t>
      </w:r>
    </w:p>
    <w:p w:rsidR="00D52D21" w:rsidRDefault="00F13ECB" w:rsidP="00D52D21">
      <w:pPr>
        <w:pStyle w:val="ListParagraph"/>
        <w:numPr>
          <w:ilvl w:val="0"/>
          <w:numId w:val="6"/>
        </w:numPr>
        <w:spacing w:after="120" w:line="240" w:lineRule="auto"/>
        <w:jc w:val="both"/>
        <w:rPr>
          <w:rFonts w:ascii="Georgia" w:hAnsi="Georgia" w:cs="Arial"/>
          <w:sz w:val="24"/>
          <w:szCs w:val="24"/>
        </w:rPr>
      </w:pPr>
      <w:r>
        <w:rPr>
          <w:rFonts w:ascii="Georgia" w:hAnsi="Georgia" w:cs="Arial"/>
          <w:sz w:val="24"/>
          <w:szCs w:val="24"/>
        </w:rPr>
        <w:t xml:space="preserve">Plan and implement projects </w:t>
      </w:r>
      <w:r w:rsidR="001A191F" w:rsidRPr="001A191F">
        <w:rPr>
          <w:rFonts w:ascii="Georgia" w:hAnsi="Georgia" w:cs="Arial"/>
          <w:sz w:val="24"/>
          <w:szCs w:val="24"/>
        </w:rPr>
        <w:t xml:space="preserve">in a manner that </w:t>
      </w:r>
      <w:r w:rsidR="001A191F">
        <w:rPr>
          <w:rFonts w:ascii="Georgia" w:hAnsi="Georgia" w:cs="Arial"/>
          <w:sz w:val="24"/>
          <w:szCs w:val="24"/>
        </w:rPr>
        <w:t>avoids or reduces</w:t>
      </w:r>
      <w:r w:rsidR="001A191F" w:rsidRPr="001A191F">
        <w:rPr>
          <w:rFonts w:ascii="Georgia" w:hAnsi="Georgia" w:cs="Arial"/>
          <w:sz w:val="24"/>
          <w:szCs w:val="24"/>
        </w:rPr>
        <w:t xml:space="preserve"> GHG emissions</w:t>
      </w:r>
      <w:r>
        <w:rPr>
          <w:rFonts w:ascii="Georgia" w:hAnsi="Georgia" w:cs="Arial"/>
          <w:sz w:val="24"/>
          <w:szCs w:val="24"/>
        </w:rPr>
        <w:t>.</w:t>
      </w:r>
    </w:p>
    <w:p w:rsidR="00AD6F0E" w:rsidRDefault="00AD6F0E" w:rsidP="00AD6F0E">
      <w:pPr>
        <w:pStyle w:val="ListParagraph"/>
        <w:spacing w:after="120" w:line="240" w:lineRule="auto"/>
        <w:jc w:val="both"/>
        <w:rPr>
          <w:rFonts w:ascii="Georgia" w:hAnsi="Georgia" w:cs="Arial"/>
          <w:sz w:val="24"/>
          <w:szCs w:val="24"/>
        </w:rPr>
      </w:pPr>
    </w:p>
    <w:p w:rsidR="00F13ECB" w:rsidRPr="006A7547" w:rsidRDefault="00825E10" w:rsidP="00F13ECB">
      <w:pPr>
        <w:autoSpaceDE w:val="0"/>
        <w:autoSpaceDN w:val="0"/>
        <w:adjustRightInd w:val="0"/>
        <w:spacing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Measuring</w:t>
      </w:r>
      <w:r w:rsidR="00F13ECB" w:rsidRPr="006A7547">
        <w:rPr>
          <w:rFonts w:ascii="Times New Roman" w:hAnsi="Times New Roman" w:cs="Times New Roman"/>
          <w:i/>
          <w:sz w:val="24"/>
          <w:szCs w:val="24"/>
        </w:rPr>
        <w:t xml:space="preserve"> </w:t>
      </w:r>
      <w:r w:rsidR="00716726">
        <w:rPr>
          <w:rFonts w:ascii="Times New Roman" w:hAnsi="Times New Roman" w:cs="Times New Roman"/>
          <w:i/>
          <w:sz w:val="24"/>
          <w:szCs w:val="24"/>
        </w:rPr>
        <w:t>Emissions from Individual P</w:t>
      </w:r>
      <w:r w:rsidR="00F13ECB" w:rsidRPr="006A7547">
        <w:rPr>
          <w:rFonts w:ascii="Times New Roman" w:hAnsi="Times New Roman" w:cs="Times New Roman"/>
          <w:i/>
          <w:sz w:val="24"/>
          <w:szCs w:val="24"/>
        </w:rPr>
        <w:t>rojects</w:t>
      </w:r>
    </w:p>
    <w:p w:rsidR="00F13ECB" w:rsidRDefault="00F13ECB" w:rsidP="00F13ECB">
      <w:pPr>
        <w:spacing w:after="120" w:line="240" w:lineRule="auto"/>
        <w:jc w:val="both"/>
        <w:rPr>
          <w:rFonts w:ascii="Georgia" w:hAnsi="Georgia" w:cs="Arial"/>
          <w:sz w:val="24"/>
          <w:szCs w:val="24"/>
        </w:rPr>
      </w:pPr>
      <w:r>
        <w:rPr>
          <w:rFonts w:ascii="Georgia" w:hAnsi="Georgia" w:cs="Arial"/>
          <w:sz w:val="24"/>
          <w:szCs w:val="24"/>
        </w:rPr>
        <w:t xml:space="preserve">We understand that the Bank has </w:t>
      </w:r>
      <w:r w:rsidR="00825E10">
        <w:rPr>
          <w:rFonts w:ascii="Georgia" w:hAnsi="Georgia" w:cs="Arial"/>
          <w:sz w:val="24"/>
          <w:szCs w:val="24"/>
        </w:rPr>
        <w:t>started</w:t>
      </w:r>
      <w:r>
        <w:rPr>
          <w:rFonts w:ascii="Georgia" w:hAnsi="Georgia" w:cs="Arial"/>
          <w:sz w:val="24"/>
          <w:szCs w:val="24"/>
        </w:rPr>
        <w:t xml:space="preserve"> to pilot approaches to measuring GHG emissions in key sectors as required under the Environment Strategy</w:t>
      </w:r>
      <w:r w:rsidR="00EB31A4">
        <w:rPr>
          <w:rFonts w:ascii="Georgia" w:hAnsi="Georgia" w:cs="Arial"/>
          <w:sz w:val="24"/>
          <w:szCs w:val="24"/>
        </w:rPr>
        <w:t xml:space="preserve"> for 2012-2022</w:t>
      </w:r>
      <w:r>
        <w:rPr>
          <w:rFonts w:ascii="Georgia" w:hAnsi="Georgia" w:cs="Arial"/>
          <w:sz w:val="24"/>
          <w:szCs w:val="24"/>
        </w:rPr>
        <w:t>.</w:t>
      </w:r>
      <w:r w:rsidR="00EB31A4">
        <w:rPr>
          <w:rStyle w:val="FootnoteReference"/>
          <w:rFonts w:ascii="Georgia" w:hAnsi="Georgia" w:cs="Arial"/>
          <w:sz w:val="24"/>
          <w:szCs w:val="24"/>
        </w:rPr>
        <w:footnoteReference w:id="5"/>
      </w:r>
      <w:r>
        <w:rPr>
          <w:rFonts w:ascii="Georgia" w:hAnsi="Georgia" w:cs="Arial"/>
          <w:sz w:val="24"/>
          <w:szCs w:val="24"/>
        </w:rPr>
        <w:t xml:space="preserve"> Solidifying this commitment in</w:t>
      </w:r>
      <w:r w:rsidR="00976233">
        <w:rPr>
          <w:rFonts w:ascii="Georgia" w:hAnsi="Georgia" w:cs="Arial"/>
          <w:sz w:val="24"/>
          <w:szCs w:val="24"/>
        </w:rPr>
        <w:t xml:space="preserve"> the safeguard policies</w:t>
      </w:r>
      <w:r>
        <w:rPr>
          <w:rFonts w:ascii="Georgia" w:hAnsi="Georgia" w:cs="Arial"/>
          <w:sz w:val="24"/>
          <w:szCs w:val="24"/>
        </w:rPr>
        <w:t xml:space="preserve"> can help provide </w:t>
      </w:r>
      <w:r w:rsidR="0016092E">
        <w:rPr>
          <w:rFonts w:ascii="Georgia" w:hAnsi="Georgia" w:cs="Arial"/>
          <w:sz w:val="24"/>
          <w:szCs w:val="24"/>
        </w:rPr>
        <w:t xml:space="preserve">further </w:t>
      </w:r>
      <w:r>
        <w:rPr>
          <w:rFonts w:ascii="Georgia" w:hAnsi="Georgia" w:cs="Arial"/>
          <w:sz w:val="24"/>
          <w:szCs w:val="24"/>
        </w:rPr>
        <w:t>clarity and guidance</w:t>
      </w:r>
      <w:r w:rsidR="001A191F">
        <w:rPr>
          <w:rFonts w:ascii="Georgia" w:hAnsi="Georgia" w:cs="Arial"/>
          <w:sz w:val="24"/>
          <w:szCs w:val="24"/>
        </w:rPr>
        <w:t xml:space="preserve"> to operational staff</w:t>
      </w:r>
      <w:r>
        <w:rPr>
          <w:rFonts w:ascii="Georgia" w:hAnsi="Georgia" w:cs="Arial"/>
          <w:sz w:val="24"/>
          <w:szCs w:val="24"/>
        </w:rPr>
        <w:t xml:space="preserve">. </w:t>
      </w:r>
      <w:bookmarkStart w:id="0" w:name="_GoBack"/>
      <w:bookmarkEnd w:id="0"/>
    </w:p>
    <w:p w:rsidR="003D0203" w:rsidRPr="00C709D5" w:rsidRDefault="00F13ECB" w:rsidP="003D0203">
      <w:pPr>
        <w:spacing w:line="240" w:lineRule="auto"/>
        <w:jc w:val="both"/>
        <w:rPr>
          <w:rFonts w:ascii="Georgia" w:hAnsi="Georgia" w:cs="Arial"/>
          <w:sz w:val="24"/>
          <w:szCs w:val="24"/>
        </w:rPr>
      </w:pPr>
      <w:r>
        <w:rPr>
          <w:rFonts w:ascii="Georgia" w:hAnsi="Georgia" w:cs="Arial"/>
          <w:sz w:val="24"/>
          <w:szCs w:val="24"/>
        </w:rPr>
        <w:t xml:space="preserve">Safeguard policies should require, for instance, that the Bank carry 0ut GHG assessments before implementation of individual projects that emit over a specified threshold (such as 25,000 metric </w:t>
      </w:r>
      <w:proofErr w:type="spellStart"/>
      <w:r>
        <w:rPr>
          <w:rFonts w:ascii="Georgia" w:hAnsi="Georgia" w:cs="Arial"/>
          <w:sz w:val="24"/>
          <w:szCs w:val="24"/>
        </w:rPr>
        <w:t>tonnes</w:t>
      </w:r>
      <w:proofErr w:type="spellEnd"/>
      <w:r>
        <w:rPr>
          <w:rFonts w:ascii="Georgia" w:hAnsi="Georgia" w:cs="Arial"/>
          <w:sz w:val="24"/>
          <w:szCs w:val="24"/>
        </w:rPr>
        <w:t xml:space="preserve"> CO2e per year, as designated in the IFC Performance Standards). The assessment of emissions </w:t>
      </w:r>
      <w:r w:rsidRPr="00355719">
        <w:rPr>
          <w:rFonts w:ascii="Georgia" w:hAnsi="Georgia" w:cs="Arial"/>
          <w:sz w:val="24"/>
          <w:szCs w:val="24"/>
        </w:rPr>
        <w:t>should occur in a timely manner, well before a final decision on whether the project should be supported has been made</w:t>
      </w:r>
      <w:r>
        <w:rPr>
          <w:rFonts w:ascii="Georgia" w:hAnsi="Georgia" w:cs="Arial"/>
          <w:sz w:val="24"/>
          <w:szCs w:val="24"/>
        </w:rPr>
        <w:t>, so that lower-GHG alternatives and GHG efficiency improvements can be identified and incorporated as appropriate</w:t>
      </w:r>
      <w:r w:rsidRPr="00355719">
        <w:rPr>
          <w:rFonts w:ascii="Georgia" w:hAnsi="Georgia" w:cs="Arial"/>
          <w:sz w:val="24"/>
          <w:szCs w:val="24"/>
        </w:rPr>
        <w:t>.</w:t>
      </w:r>
      <w:r>
        <w:rPr>
          <w:rFonts w:ascii="Georgia" w:hAnsi="Georgia" w:cs="Arial"/>
          <w:sz w:val="24"/>
          <w:szCs w:val="24"/>
        </w:rPr>
        <w:t xml:space="preserve"> </w:t>
      </w:r>
      <w:r w:rsidR="003D0203">
        <w:rPr>
          <w:rFonts w:ascii="Georgia" w:hAnsi="Georgia" w:cs="Arial"/>
          <w:sz w:val="24"/>
          <w:szCs w:val="24"/>
        </w:rPr>
        <w:t xml:space="preserve">After absolute emissions have been calculated, net GHG </w:t>
      </w:r>
      <w:r w:rsidR="002F1D1C" w:rsidRPr="002F1D1C">
        <w:rPr>
          <w:rFonts w:ascii="Georgia" w:hAnsi="Georgia" w:cs="Arial"/>
          <w:sz w:val="24"/>
          <w:szCs w:val="24"/>
        </w:rPr>
        <w:t>net GHG emissions can be estimated for investments that reduce or avoid GHG emissions relative to the next best alternative or another appropriate baseline</w:t>
      </w:r>
      <w:r w:rsidR="002F1D1C">
        <w:rPr>
          <w:rFonts w:ascii="Georgia" w:hAnsi="Georgia" w:cs="Arial"/>
          <w:sz w:val="24"/>
          <w:szCs w:val="24"/>
        </w:rPr>
        <w:t>.</w:t>
      </w:r>
    </w:p>
    <w:p w:rsidR="00F13ECB" w:rsidRDefault="00F13ECB" w:rsidP="00F13ECB">
      <w:pPr>
        <w:spacing w:after="0" w:line="240" w:lineRule="auto"/>
        <w:jc w:val="both"/>
        <w:rPr>
          <w:rFonts w:ascii="Georgia" w:hAnsi="Georgia" w:cs="Arial"/>
          <w:sz w:val="24"/>
          <w:szCs w:val="24"/>
        </w:rPr>
      </w:pPr>
      <w:r>
        <w:rPr>
          <w:rFonts w:ascii="Georgia" w:hAnsi="Georgia" w:cs="Arial"/>
          <w:sz w:val="24"/>
          <w:szCs w:val="24"/>
        </w:rPr>
        <w:t>Project-level</w:t>
      </w:r>
      <w:r w:rsidRPr="00355719">
        <w:rPr>
          <w:rFonts w:ascii="Georgia" w:hAnsi="Georgia" w:cs="Arial"/>
          <w:sz w:val="24"/>
          <w:szCs w:val="24"/>
        </w:rPr>
        <w:t xml:space="preserve"> accounting should include both </w:t>
      </w:r>
      <w:r w:rsidRPr="00355719">
        <w:rPr>
          <w:rFonts w:ascii="Georgia" w:hAnsi="Georgia" w:cs="Arial"/>
          <w:i/>
          <w:sz w:val="24"/>
          <w:szCs w:val="24"/>
        </w:rPr>
        <w:t>direct</w:t>
      </w:r>
      <w:r w:rsidRPr="00355719">
        <w:rPr>
          <w:rFonts w:ascii="Georgia" w:hAnsi="Georgia" w:cs="Arial"/>
          <w:sz w:val="24"/>
          <w:szCs w:val="24"/>
        </w:rPr>
        <w:t xml:space="preserve"> and </w:t>
      </w:r>
      <w:r w:rsidRPr="00355719">
        <w:rPr>
          <w:rFonts w:ascii="Georgia" w:hAnsi="Georgia" w:cs="Arial"/>
          <w:i/>
          <w:sz w:val="24"/>
          <w:szCs w:val="24"/>
        </w:rPr>
        <w:t>indirect</w:t>
      </w:r>
      <w:r w:rsidRPr="00355719">
        <w:rPr>
          <w:rFonts w:ascii="Georgia" w:hAnsi="Georgia" w:cs="Arial"/>
          <w:sz w:val="24"/>
          <w:szCs w:val="24"/>
        </w:rPr>
        <w:t xml:space="preserve"> emissions. </w:t>
      </w:r>
      <w:r w:rsidRPr="00355719">
        <w:rPr>
          <w:rFonts w:ascii="Georgia" w:hAnsi="Georgia" w:cs="Arial"/>
          <w:i/>
          <w:sz w:val="24"/>
          <w:szCs w:val="24"/>
        </w:rPr>
        <w:t>Direct emissions</w:t>
      </w:r>
      <w:r w:rsidRPr="00355719">
        <w:rPr>
          <w:rFonts w:ascii="Georgia" w:hAnsi="Georgia" w:cs="Arial"/>
          <w:sz w:val="24"/>
          <w:szCs w:val="24"/>
        </w:rPr>
        <w:t xml:space="preserve"> include the direct impact of Bank’s investment, such as the effects of a mining or infrastructure investment. </w:t>
      </w:r>
      <w:r w:rsidRPr="00355719">
        <w:rPr>
          <w:rFonts w:ascii="Georgia" w:hAnsi="Georgia" w:cs="Arial"/>
          <w:i/>
          <w:sz w:val="24"/>
          <w:szCs w:val="24"/>
        </w:rPr>
        <w:t>Indirect</w:t>
      </w:r>
      <w:r w:rsidRPr="00355719">
        <w:rPr>
          <w:rFonts w:ascii="Georgia" w:hAnsi="Georgia" w:cs="Arial"/>
          <w:sz w:val="24"/>
          <w:szCs w:val="24"/>
        </w:rPr>
        <w:t xml:space="preserve"> </w:t>
      </w:r>
      <w:r>
        <w:rPr>
          <w:rFonts w:ascii="Georgia" w:hAnsi="Georgia" w:cs="Arial"/>
          <w:sz w:val="24"/>
          <w:szCs w:val="24"/>
        </w:rPr>
        <w:t>emissions</w:t>
      </w:r>
      <w:r w:rsidRPr="00355719">
        <w:rPr>
          <w:rFonts w:ascii="Georgia" w:hAnsi="Georgia" w:cs="Arial"/>
          <w:sz w:val="24"/>
          <w:szCs w:val="24"/>
        </w:rPr>
        <w:t xml:space="preserve"> should include both any electricity purchased to implement the project (so-called scope 2 emissions), as well as significant emissions resulting from use of the infrastructure or product resulting from the project (scope 3).</w:t>
      </w:r>
    </w:p>
    <w:p w:rsidR="00F13ECB" w:rsidRPr="00C62C68" w:rsidRDefault="00F13ECB" w:rsidP="00F13ECB">
      <w:pPr>
        <w:spacing w:after="0" w:line="240" w:lineRule="auto"/>
        <w:jc w:val="both"/>
        <w:rPr>
          <w:rFonts w:ascii="Georgia" w:hAnsi="Georgia" w:cs="Arial"/>
          <w:sz w:val="24"/>
          <w:szCs w:val="24"/>
        </w:rPr>
      </w:pPr>
    </w:p>
    <w:p w:rsidR="00F13ECB" w:rsidRDefault="00F13ECB" w:rsidP="00F13ECB">
      <w:pPr>
        <w:autoSpaceDE w:val="0"/>
        <w:autoSpaceDN w:val="0"/>
        <w:adjustRightInd w:val="0"/>
        <w:spacing w:line="240" w:lineRule="auto"/>
        <w:jc w:val="both"/>
        <w:rPr>
          <w:rFonts w:ascii="Georgia" w:hAnsi="Georgia" w:cs="Arial"/>
          <w:sz w:val="24"/>
          <w:szCs w:val="24"/>
        </w:rPr>
      </w:pPr>
      <w:r>
        <w:rPr>
          <w:rFonts w:ascii="Georgia" w:hAnsi="Georgia" w:cs="Arial"/>
          <w:sz w:val="24"/>
          <w:szCs w:val="24"/>
        </w:rPr>
        <w:t xml:space="preserve">Assessing individual projects will allow the Bank to aggregate this information to the portfolio level. </w:t>
      </w:r>
      <w:r w:rsidR="00976233">
        <w:rPr>
          <w:rFonts w:ascii="Georgia" w:hAnsi="Georgia" w:cs="Arial"/>
          <w:sz w:val="24"/>
          <w:szCs w:val="24"/>
        </w:rPr>
        <w:t>This, in turn, will help</w:t>
      </w:r>
      <w:r w:rsidRPr="00355719">
        <w:rPr>
          <w:rFonts w:ascii="Georgia" w:hAnsi="Georgia" w:cs="Arial"/>
          <w:sz w:val="24"/>
          <w:szCs w:val="24"/>
        </w:rPr>
        <w:t xml:space="preserve"> the Bank and relevant stakeholders understand the effects of </w:t>
      </w:r>
      <w:r>
        <w:rPr>
          <w:rFonts w:ascii="Georgia" w:hAnsi="Georgia" w:cs="Arial"/>
          <w:sz w:val="24"/>
          <w:szCs w:val="24"/>
        </w:rPr>
        <w:t xml:space="preserve">its </w:t>
      </w:r>
      <w:r w:rsidRPr="00355719">
        <w:rPr>
          <w:rFonts w:ascii="Georgia" w:hAnsi="Georgia" w:cs="Arial"/>
          <w:sz w:val="24"/>
          <w:szCs w:val="24"/>
        </w:rPr>
        <w:t>investments on the global effort to mitigate cl</w:t>
      </w:r>
      <w:r>
        <w:rPr>
          <w:rFonts w:ascii="Georgia" w:hAnsi="Georgia" w:cs="Arial"/>
          <w:sz w:val="24"/>
          <w:szCs w:val="24"/>
        </w:rPr>
        <w:t xml:space="preserve">imate change. </w:t>
      </w:r>
      <w:r w:rsidRPr="00355719">
        <w:rPr>
          <w:rFonts w:ascii="Georgia" w:hAnsi="Georgia" w:cs="Arial"/>
          <w:sz w:val="24"/>
          <w:szCs w:val="24"/>
        </w:rPr>
        <w:t>Disclosure of portfolio-wide emissions should occur regularly</w:t>
      </w:r>
      <w:r w:rsidR="00976233">
        <w:rPr>
          <w:rFonts w:ascii="Georgia" w:hAnsi="Georgia" w:cs="Arial"/>
          <w:sz w:val="24"/>
          <w:szCs w:val="24"/>
        </w:rPr>
        <w:t>.</w:t>
      </w:r>
    </w:p>
    <w:p w:rsidR="005F0FD6" w:rsidRDefault="005F0FD6" w:rsidP="005F0FD6">
      <w:pPr>
        <w:tabs>
          <w:tab w:val="left" w:pos="630"/>
        </w:tabs>
        <w:spacing w:line="240" w:lineRule="auto"/>
        <w:jc w:val="both"/>
        <w:rPr>
          <w:rFonts w:ascii="Georgia" w:hAnsi="Georgia" w:cs="Arial"/>
          <w:sz w:val="24"/>
          <w:szCs w:val="24"/>
        </w:rPr>
      </w:pPr>
      <w:r>
        <w:rPr>
          <w:rFonts w:ascii="Georgia" w:hAnsi="Georgia" w:cs="Arial"/>
          <w:sz w:val="24"/>
          <w:szCs w:val="24"/>
        </w:rPr>
        <w:t xml:space="preserve">We recognize that the current safeguard review only covers policies that apply to </w:t>
      </w:r>
      <w:r w:rsidR="007F5113">
        <w:rPr>
          <w:rFonts w:ascii="Georgia" w:hAnsi="Georgia" w:cs="Arial"/>
          <w:sz w:val="24"/>
          <w:szCs w:val="24"/>
        </w:rPr>
        <w:t>project</w:t>
      </w:r>
      <w:r>
        <w:rPr>
          <w:rFonts w:ascii="Georgia" w:hAnsi="Georgia" w:cs="Arial"/>
          <w:sz w:val="24"/>
          <w:szCs w:val="24"/>
        </w:rPr>
        <w:t xml:space="preserve"> loans. While this constitutes an important first step toward integrating climate change into the Bank’s social and environmental policies, the Bank will benefit from eventually applying similar standards to </w:t>
      </w:r>
      <w:r w:rsidR="00AD6F0E">
        <w:rPr>
          <w:rFonts w:ascii="Georgia" w:hAnsi="Georgia" w:cs="Arial"/>
          <w:sz w:val="24"/>
          <w:szCs w:val="24"/>
        </w:rPr>
        <w:t xml:space="preserve">other types of </w:t>
      </w:r>
      <w:r>
        <w:rPr>
          <w:rFonts w:ascii="Georgia" w:hAnsi="Georgia" w:cs="Arial"/>
          <w:sz w:val="24"/>
          <w:szCs w:val="24"/>
        </w:rPr>
        <w:t>investments</w:t>
      </w:r>
      <w:r w:rsidR="00AD6F0E">
        <w:rPr>
          <w:rFonts w:ascii="Georgia" w:hAnsi="Georgia" w:cs="Arial"/>
          <w:sz w:val="24"/>
          <w:szCs w:val="24"/>
        </w:rPr>
        <w:t xml:space="preserve"> as well</w:t>
      </w:r>
      <w:r>
        <w:rPr>
          <w:rFonts w:ascii="Georgia" w:hAnsi="Georgia" w:cs="Arial"/>
          <w:sz w:val="24"/>
          <w:szCs w:val="24"/>
        </w:rPr>
        <w:t xml:space="preserve">. </w:t>
      </w:r>
    </w:p>
    <w:p w:rsidR="00F13ECB" w:rsidRDefault="00716726" w:rsidP="00F13ECB">
      <w:pPr>
        <w:spacing w:after="0" w:line="240" w:lineRule="auto"/>
        <w:jc w:val="both"/>
        <w:rPr>
          <w:rFonts w:ascii="Georgia" w:hAnsi="Georgia" w:cs="Arial"/>
          <w:i/>
        </w:rPr>
      </w:pPr>
      <w:r>
        <w:rPr>
          <w:rFonts w:ascii="Georgia" w:hAnsi="Georgia" w:cs="Arial"/>
          <w:i/>
        </w:rPr>
        <w:t>Reducing E</w:t>
      </w:r>
      <w:r w:rsidR="00F13ECB">
        <w:rPr>
          <w:rFonts w:ascii="Georgia" w:hAnsi="Georgia" w:cs="Arial"/>
          <w:i/>
        </w:rPr>
        <w:t>missions</w:t>
      </w:r>
    </w:p>
    <w:p w:rsidR="00F13ECB" w:rsidRPr="005F598E" w:rsidRDefault="00F13ECB" w:rsidP="00F13ECB">
      <w:pPr>
        <w:spacing w:after="0" w:line="240" w:lineRule="auto"/>
        <w:jc w:val="both"/>
        <w:rPr>
          <w:rFonts w:ascii="Georgia" w:hAnsi="Georgia" w:cs="Arial"/>
          <w:i/>
        </w:rPr>
      </w:pPr>
    </w:p>
    <w:p w:rsidR="00F13ECB" w:rsidRPr="00C967F2" w:rsidRDefault="00F13ECB" w:rsidP="00F13ECB">
      <w:pPr>
        <w:spacing w:after="0" w:line="240" w:lineRule="auto"/>
        <w:jc w:val="both"/>
        <w:rPr>
          <w:rFonts w:ascii="Georgia" w:hAnsi="Georgia" w:cs="Arial"/>
          <w:sz w:val="24"/>
          <w:szCs w:val="24"/>
        </w:rPr>
      </w:pPr>
      <w:r>
        <w:rPr>
          <w:rFonts w:ascii="Georgia" w:hAnsi="Georgia" w:cs="Arial"/>
          <w:sz w:val="24"/>
          <w:szCs w:val="24"/>
        </w:rPr>
        <w:t xml:space="preserve">In addition to calculating emissions, Bank safeguards can help ensure that projects are designed and implemented in a manner that helps to mitigate climate change. </w:t>
      </w:r>
      <w:r w:rsidRPr="00C967F2">
        <w:rPr>
          <w:rFonts w:ascii="Georgia" w:hAnsi="Georgia" w:cs="Arial"/>
          <w:sz w:val="24"/>
          <w:szCs w:val="24"/>
        </w:rPr>
        <w:t xml:space="preserve">One </w:t>
      </w:r>
      <w:r>
        <w:rPr>
          <w:rFonts w:ascii="Georgia" w:hAnsi="Georgia" w:cs="Arial"/>
          <w:sz w:val="24"/>
          <w:szCs w:val="24"/>
        </w:rPr>
        <w:t>method</w:t>
      </w:r>
      <w:r w:rsidRPr="00C967F2">
        <w:rPr>
          <w:rFonts w:ascii="Georgia" w:hAnsi="Georgia" w:cs="Arial"/>
          <w:sz w:val="24"/>
          <w:szCs w:val="24"/>
        </w:rPr>
        <w:t xml:space="preserve"> for </w:t>
      </w:r>
      <w:r>
        <w:rPr>
          <w:rFonts w:ascii="Georgia" w:hAnsi="Georgia" w:cs="Arial"/>
          <w:sz w:val="24"/>
          <w:szCs w:val="24"/>
        </w:rPr>
        <w:t xml:space="preserve">helping </w:t>
      </w:r>
      <w:r w:rsidR="00D52D21">
        <w:rPr>
          <w:rFonts w:ascii="Georgia" w:hAnsi="Georgia" w:cs="Arial"/>
          <w:sz w:val="24"/>
          <w:szCs w:val="24"/>
        </w:rPr>
        <w:t>to ensure support</w:t>
      </w:r>
      <w:r w:rsidR="001B598D">
        <w:rPr>
          <w:rFonts w:ascii="Georgia" w:hAnsi="Georgia" w:cs="Arial"/>
          <w:sz w:val="24"/>
          <w:szCs w:val="24"/>
        </w:rPr>
        <w:t xml:space="preserve"> for</w:t>
      </w:r>
      <w:r>
        <w:rPr>
          <w:rFonts w:ascii="Georgia" w:hAnsi="Georgia" w:cs="Arial"/>
          <w:sz w:val="24"/>
          <w:szCs w:val="24"/>
        </w:rPr>
        <w:t xml:space="preserve"> climate change mitigation </w:t>
      </w:r>
      <w:r w:rsidRPr="00C967F2">
        <w:rPr>
          <w:rFonts w:ascii="Georgia" w:hAnsi="Georgia" w:cs="Arial"/>
          <w:sz w:val="24"/>
          <w:szCs w:val="24"/>
        </w:rPr>
        <w:t xml:space="preserve">is to put in place </w:t>
      </w:r>
      <w:r w:rsidR="002F1D1C">
        <w:rPr>
          <w:rFonts w:ascii="Georgia" w:hAnsi="Georgia" w:cs="Arial"/>
          <w:sz w:val="24"/>
          <w:szCs w:val="24"/>
        </w:rPr>
        <w:t>specific</w:t>
      </w:r>
      <w:r w:rsidRPr="00C967F2">
        <w:rPr>
          <w:rFonts w:ascii="Georgia" w:hAnsi="Georgia" w:cs="Arial"/>
          <w:sz w:val="24"/>
          <w:szCs w:val="24"/>
        </w:rPr>
        <w:t xml:space="preserve"> requiremen</w:t>
      </w:r>
      <w:r w:rsidR="00976233">
        <w:rPr>
          <w:rFonts w:ascii="Georgia" w:hAnsi="Georgia" w:cs="Arial"/>
          <w:sz w:val="24"/>
          <w:szCs w:val="24"/>
        </w:rPr>
        <w:t>ts for sectors or project types.</w:t>
      </w:r>
      <w:r w:rsidRPr="00C967F2">
        <w:rPr>
          <w:rFonts w:ascii="Georgia" w:hAnsi="Georgia" w:cs="Arial"/>
          <w:sz w:val="24"/>
          <w:szCs w:val="24"/>
        </w:rPr>
        <w:t xml:space="preserve"> </w:t>
      </w:r>
      <w:r>
        <w:rPr>
          <w:rFonts w:ascii="Georgia" w:hAnsi="Georgia" w:cs="Arial"/>
          <w:sz w:val="24"/>
          <w:szCs w:val="24"/>
        </w:rPr>
        <w:t xml:space="preserve">While the details of these requirements may be elaborated in guidelines, the safeguard policies can lay out the basic </w:t>
      </w:r>
      <w:r w:rsidR="00D52D21">
        <w:rPr>
          <w:rFonts w:ascii="Georgia" w:hAnsi="Georgia" w:cs="Arial"/>
          <w:sz w:val="24"/>
          <w:szCs w:val="24"/>
        </w:rPr>
        <w:t>obligations</w:t>
      </w:r>
      <w:r>
        <w:rPr>
          <w:rFonts w:ascii="Georgia" w:hAnsi="Georgia" w:cs="Arial"/>
          <w:sz w:val="24"/>
          <w:szCs w:val="24"/>
        </w:rPr>
        <w:t xml:space="preserve">. </w:t>
      </w:r>
      <w:r w:rsidRPr="00C967F2">
        <w:rPr>
          <w:rFonts w:ascii="Georgia" w:hAnsi="Georgia" w:cs="Arial"/>
          <w:sz w:val="24"/>
          <w:szCs w:val="24"/>
        </w:rPr>
        <w:t xml:space="preserve">Best available technology requirements can </w:t>
      </w:r>
      <w:r>
        <w:rPr>
          <w:rFonts w:ascii="Georgia" w:hAnsi="Georgia" w:cs="Arial"/>
          <w:sz w:val="24"/>
          <w:szCs w:val="24"/>
        </w:rPr>
        <w:t>sometimes be effective for select sectors</w:t>
      </w:r>
      <w:r w:rsidRPr="00C967F2">
        <w:rPr>
          <w:rStyle w:val="FootnoteReference"/>
          <w:rFonts w:ascii="Georgia" w:hAnsi="Georgia" w:cs="Arial"/>
          <w:bCs/>
          <w:sz w:val="24"/>
          <w:szCs w:val="24"/>
        </w:rPr>
        <w:footnoteReference w:id="6"/>
      </w:r>
      <w:r>
        <w:rPr>
          <w:rFonts w:ascii="Georgia" w:hAnsi="Georgia" w:cs="Arial"/>
          <w:sz w:val="24"/>
          <w:szCs w:val="24"/>
        </w:rPr>
        <w:t xml:space="preserve"> and </w:t>
      </w:r>
      <w:r w:rsidRPr="00C967F2">
        <w:rPr>
          <w:rFonts w:ascii="Georgia" w:hAnsi="Georgia" w:cs="Arial"/>
          <w:sz w:val="24"/>
          <w:szCs w:val="24"/>
        </w:rPr>
        <w:t>support technology transfer to developing nations.</w:t>
      </w:r>
    </w:p>
    <w:p w:rsidR="00F13ECB" w:rsidRPr="001216AF" w:rsidRDefault="00F13ECB" w:rsidP="00F13ECB">
      <w:pPr>
        <w:spacing w:after="0" w:line="240" w:lineRule="auto"/>
        <w:jc w:val="both"/>
        <w:rPr>
          <w:rFonts w:ascii="Georgia" w:hAnsi="Georgia" w:cs="Arial"/>
          <w:bCs/>
          <w:color w:val="E36C0A" w:themeColor="accent6" w:themeShade="BF"/>
          <w:sz w:val="24"/>
          <w:szCs w:val="24"/>
        </w:rPr>
      </w:pPr>
    </w:p>
    <w:p w:rsidR="00F13ECB" w:rsidRPr="000E3B92" w:rsidRDefault="00C83DD8" w:rsidP="00F13ECB">
      <w:pPr>
        <w:spacing w:after="0" w:line="360" w:lineRule="auto"/>
        <w:rPr>
          <w:rFonts w:ascii="Times New Roman" w:hAnsi="Times New Roman" w:cs="Times New Roman"/>
          <w:i/>
          <w:sz w:val="24"/>
          <w:szCs w:val="24"/>
        </w:rPr>
      </w:pPr>
      <w:r w:rsidRPr="000E3B92">
        <w:rPr>
          <w:rFonts w:ascii="Times New Roman" w:hAnsi="Times New Roman" w:cs="Times New Roman"/>
          <w:i/>
          <w:sz w:val="24"/>
          <w:szCs w:val="24"/>
        </w:rPr>
        <w:t>Incentivizing</w:t>
      </w:r>
      <w:r w:rsidR="000E3B92">
        <w:rPr>
          <w:rFonts w:ascii="Times New Roman" w:hAnsi="Times New Roman" w:cs="Times New Roman"/>
          <w:i/>
          <w:sz w:val="24"/>
          <w:szCs w:val="24"/>
        </w:rPr>
        <w:t xml:space="preserve"> and Supporting</w:t>
      </w:r>
      <w:r w:rsidR="00F13ECB" w:rsidRPr="000E3B92">
        <w:rPr>
          <w:rFonts w:ascii="Times New Roman" w:hAnsi="Times New Roman" w:cs="Times New Roman"/>
          <w:i/>
          <w:sz w:val="24"/>
          <w:szCs w:val="24"/>
        </w:rPr>
        <w:t xml:space="preserve"> Emission Reductions</w:t>
      </w:r>
    </w:p>
    <w:p w:rsidR="00F13ECB" w:rsidRDefault="00F13ECB" w:rsidP="00F13ECB">
      <w:pPr>
        <w:tabs>
          <w:tab w:val="left" w:pos="6210"/>
        </w:tabs>
        <w:spacing w:after="0" w:line="240" w:lineRule="auto"/>
        <w:jc w:val="both"/>
        <w:rPr>
          <w:rFonts w:ascii="Georgia" w:hAnsi="Georgia" w:cs="Arial"/>
          <w:sz w:val="24"/>
          <w:szCs w:val="24"/>
        </w:rPr>
      </w:pPr>
      <w:r w:rsidRPr="000E3B92">
        <w:rPr>
          <w:rFonts w:ascii="Georgia" w:hAnsi="Georgia" w:cs="Arial"/>
          <w:sz w:val="24"/>
          <w:szCs w:val="24"/>
        </w:rPr>
        <w:t xml:space="preserve">We understand that imposing emission reduction requirements </w:t>
      </w:r>
      <w:r w:rsidR="00E117D4" w:rsidRPr="000E3B92">
        <w:rPr>
          <w:rFonts w:ascii="Georgia" w:hAnsi="Georgia" w:cs="Arial"/>
          <w:sz w:val="24"/>
          <w:szCs w:val="24"/>
        </w:rPr>
        <w:t xml:space="preserve">could be </w:t>
      </w:r>
      <w:r w:rsidR="00C83DD8" w:rsidRPr="000E3B92">
        <w:rPr>
          <w:rFonts w:ascii="Georgia" w:hAnsi="Georgia" w:cs="Arial"/>
          <w:sz w:val="24"/>
          <w:szCs w:val="24"/>
        </w:rPr>
        <w:t>experienced</w:t>
      </w:r>
      <w:r w:rsidR="00E117D4" w:rsidRPr="000E3B92">
        <w:rPr>
          <w:rFonts w:ascii="Georgia" w:hAnsi="Georgia" w:cs="Arial"/>
          <w:sz w:val="24"/>
          <w:szCs w:val="24"/>
        </w:rPr>
        <w:t xml:space="preserve"> as burdensome by borrowing governments </w:t>
      </w:r>
      <w:r w:rsidR="00C83DD8" w:rsidRPr="000E3B92">
        <w:rPr>
          <w:rFonts w:ascii="Georgia" w:hAnsi="Georgia" w:cs="Arial"/>
          <w:sz w:val="24"/>
          <w:szCs w:val="24"/>
        </w:rPr>
        <w:t>tasked with managing economic, social and environmental objectives</w:t>
      </w:r>
      <w:r w:rsidR="00E117D4" w:rsidRPr="000E3B92">
        <w:rPr>
          <w:rFonts w:ascii="Georgia" w:hAnsi="Georgia" w:cs="Arial"/>
          <w:sz w:val="24"/>
          <w:szCs w:val="24"/>
        </w:rPr>
        <w:t>.</w:t>
      </w:r>
      <w:r w:rsidR="00AD570B">
        <w:rPr>
          <w:rFonts w:ascii="Georgia" w:hAnsi="Georgia" w:cs="Arial"/>
          <w:sz w:val="24"/>
          <w:szCs w:val="24"/>
        </w:rPr>
        <w:t xml:space="preserve"> </w:t>
      </w:r>
      <w:r w:rsidRPr="000E3B92">
        <w:rPr>
          <w:rFonts w:ascii="Georgia" w:hAnsi="Georgia" w:cs="Arial"/>
          <w:sz w:val="24"/>
          <w:szCs w:val="24"/>
        </w:rPr>
        <w:t xml:space="preserve">We also recognize that adding safeguard requirements related to climate change </w:t>
      </w:r>
      <w:r w:rsidR="004972D9" w:rsidRPr="000E3B92">
        <w:rPr>
          <w:rFonts w:ascii="Georgia" w:hAnsi="Georgia" w:cs="Arial"/>
          <w:sz w:val="24"/>
          <w:szCs w:val="24"/>
        </w:rPr>
        <w:t xml:space="preserve">may be received </w:t>
      </w:r>
      <w:r w:rsidRPr="000E3B92">
        <w:rPr>
          <w:rFonts w:ascii="Georgia" w:hAnsi="Georgia" w:cs="Arial"/>
          <w:sz w:val="24"/>
          <w:szCs w:val="24"/>
        </w:rPr>
        <w:t xml:space="preserve">by some as yet another </w:t>
      </w:r>
      <w:r w:rsidR="004972D9" w:rsidRPr="000E3B92">
        <w:rPr>
          <w:rFonts w:ascii="Georgia" w:hAnsi="Georgia" w:cs="Arial"/>
          <w:sz w:val="24"/>
          <w:szCs w:val="24"/>
        </w:rPr>
        <w:t xml:space="preserve">way of imposing </w:t>
      </w:r>
      <w:proofErr w:type="spellStart"/>
      <w:r w:rsidR="004972D9" w:rsidRPr="000E3B92">
        <w:rPr>
          <w:rFonts w:ascii="Georgia" w:hAnsi="Georgia" w:cs="Arial"/>
          <w:sz w:val="24"/>
          <w:szCs w:val="24"/>
        </w:rPr>
        <w:t>conditionalities</w:t>
      </w:r>
      <w:proofErr w:type="spellEnd"/>
      <w:r w:rsidR="004972D9" w:rsidRPr="000E3B92">
        <w:rPr>
          <w:rFonts w:ascii="Georgia" w:hAnsi="Georgia" w:cs="Arial"/>
          <w:sz w:val="24"/>
          <w:szCs w:val="24"/>
        </w:rPr>
        <w:t xml:space="preserve"> on financing </w:t>
      </w:r>
      <w:proofErr w:type="gramStart"/>
      <w:r w:rsidR="004972D9" w:rsidRPr="000E3B92">
        <w:rPr>
          <w:rFonts w:ascii="Georgia" w:hAnsi="Georgia" w:cs="Arial"/>
          <w:sz w:val="24"/>
          <w:szCs w:val="24"/>
        </w:rPr>
        <w:t>strategies,</w:t>
      </w:r>
      <w:proofErr w:type="gramEnd"/>
      <w:r w:rsidR="004972D9" w:rsidRPr="000E3B92">
        <w:rPr>
          <w:rFonts w:ascii="Georgia" w:hAnsi="Georgia" w:cs="Arial"/>
          <w:sz w:val="24"/>
          <w:szCs w:val="24"/>
        </w:rPr>
        <w:t xml:space="preserve"> programs and projects.</w:t>
      </w:r>
      <w:r w:rsidR="004972D9" w:rsidRPr="000E3B92" w:rsidDel="004972D9">
        <w:rPr>
          <w:rFonts w:ascii="Georgia" w:hAnsi="Georgia" w:cs="Arial"/>
          <w:sz w:val="24"/>
          <w:szCs w:val="24"/>
        </w:rPr>
        <w:t xml:space="preserve"> </w:t>
      </w:r>
      <w:r w:rsidR="004972D9">
        <w:rPr>
          <w:rFonts w:ascii="Georgia" w:hAnsi="Georgia" w:cs="Arial"/>
          <w:sz w:val="24"/>
          <w:szCs w:val="24"/>
        </w:rPr>
        <w:t>However, given the latest science</w:t>
      </w:r>
      <w:r w:rsidR="0062777D">
        <w:rPr>
          <w:rStyle w:val="FootnoteReference"/>
          <w:rFonts w:ascii="Georgia" w:hAnsi="Georgia" w:cs="Arial"/>
          <w:sz w:val="24"/>
          <w:szCs w:val="24"/>
        </w:rPr>
        <w:footnoteReference w:id="7"/>
      </w:r>
      <w:r w:rsidR="004972D9">
        <w:rPr>
          <w:rFonts w:ascii="Georgia" w:hAnsi="Georgia" w:cs="Arial"/>
          <w:sz w:val="24"/>
          <w:szCs w:val="24"/>
        </w:rPr>
        <w:t xml:space="preserve"> many countries are developing national </w:t>
      </w:r>
      <w:r w:rsidR="00C83DD8">
        <w:rPr>
          <w:rFonts w:ascii="Georgia" w:hAnsi="Georgia" w:cs="Arial"/>
          <w:sz w:val="24"/>
          <w:szCs w:val="24"/>
        </w:rPr>
        <w:t>climate change</w:t>
      </w:r>
      <w:r w:rsidR="004972D9">
        <w:rPr>
          <w:rFonts w:ascii="Georgia" w:hAnsi="Georgia" w:cs="Arial"/>
          <w:sz w:val="24"/>
          <w:szCs w:val="24"/>
        </w:rPr>
        <w:t xml:space="preserve"> strategies to address mitigation and adaptation in their national development plans. These present opportunities to engage countries on the benefits of weighing the risks associated with climate change before investment decisions, especially in fragile states and in the most vulnerable regions, are made.</w:t>
      </w:r>
    </w:p>
    <w:p w:rsidR="000E3B92" w:rsidRDefault="000E3B92" w:rsidP="00F13ECB">
      <w:pPr>
        <w:tabs>
          <w:tab w:val="left" w:pos="6210"/>
        </w:tabs>
        <w:spacing w:after="0" w:line="240" w:lineRule="auto"/>
        <w:jc w:val="both"/>
        <w:rPr>
          <w:rFonts w:ascii="Georgia" w:hAnsi="Georgia" w:cs="Arial"/>
          <w:sz w:val="24"/>
          <w:szCs w:val="24"/>
        </w:rPr>
      </w:pPr>
    </w:p>
    <w:p w:rsidR="00F13ECB" w:rsidRDefault="00F13ECB" w:rsidP="00F13ECB">
      <w:pPr>
        <w:tabs>
          <w:tab w:val="left" w:pos="6210"/>
        </w:tabs>
        <w:spacing w:after="0" w:line="240" w:lineRule="auto"/>
        <w:jc w:val="both"/>
        <w:rPr>
          <w:rFonts w:ascii="Georgia" w:hAnsi="Georgia" w:cs="Arial"/>
          <w:sz w:val="24"/>
          <w:szCs w:val="24"/>
        </w:rPr>
      </w:pPr>
      <w:r>
        <w:rPr>
          <w:rFonts w:ascii="Georgia" w:hAnsi="Georgia" w:cs="Arial"/>
          <w:sz w:val="24"/>
          <w:szCs w:val="24"/>
        </w:rPr>
        <w:t xml:space="preserve">In order to help ensure that </w:t>
      </w:r>
      <w:r w:rsidR="002F1D1C">
        <w:rPr>
          <w:rFonts w:ascii="Georgia" w:hAnsi="Georgia" w:cs="Arial"/>
          <w:sz w:val="24"/>
          <w:szCs w:val="24"/>
        </w:rPr>
        <w:t xml:space="preserve">the borrower experiences </w:t>
      </w:r>
      <w:r>
        <w:rPr>
          <w:rFonts w:ascii="Georgia" w:hAnsi="Georgia" w:cs="Arial"/>
          <w:sz w:val="24"/>
          <w:szCs w:val="24"/>
        </w:rPr>
        <w:t>efforts to mitigate climate-related as valuable, the Bank can provide technical assistance and other forms of support aimed at building national systems to assess climate impacts.</w:t>
      </w:r>
      <w:r w:rsidR="000E3B92">
        <w:rPr>
          <w:rFonts w:ascii="Georgia" w:hAnsi="Georgia" w:cs="Arial"/>
          <w:sz w:val="24"/>
          <w:szCs w:val="24"/>
        </w:rPr>
        <w:t xml:space="preserve"> Such support should be provided strategically in collaboration with the recipient country government and other relevant stakeholders.</w:t>
      </w:r>
      <w:r>
        <w:rPr>
          <w:rFonts w:ascii="Georgia" w:hAnsi="Georgia" w:cs="Arial"/>
          <w:sz w:val="24"/>
          <w:szCs w:val="24"/>
        </w:rPr>
        <w:t xml:space="preserve"> The </w:t>
      </w:r>
      <w:r w:rsidR="000E3B92" w:rsidRPr="00355719">
        <w:rPr>
          <w:rFonts w:ascii="Georgia" w:hAnsi="Georgia" w:cs="Arial"/>
          <w:sz w:val="24"/>
          <w:szCs w:val="24"/>
        </w:rPr>
        <w:t xml:space="preserve">Bank </w:t>
      </w:r>
      <w:r w:rsidR="000E3B92">
        <w:rPr>
          <w:rFonts w:ascii="Georgia" w:hAnsi="Georgia" w:cs="Arial"/>
          <w:sz w:val="24"/>
          <w:szCs w:val="24"/>
        </w:rPr>
        <w:t xml:space="preserve">can also </w:t>
      </w:r>
      <w:r w:rsidR="000E3B92" w:rsidRPr="00355719">
        <w:rPr>
          <w:rFonts w:ascii="Georgia" w:hAnsi="Georgia" w:cs="Arial"/>
          <w:sz w:val="24"/>
          <w:szCs w:val="24"/>
        </w:rPr>
        <w:t xml:space="preserve">provide </w:t>
      </w:r>
      <w:r w:rsidR="000E3B92">
        <w:rPr>
          <w:rFonts w:ascii="Georgia" w:hAnsi="Georgia" w:cs="Arial"/>
          <w:sz w:val="24"/>
          <w:szCs w:val="24"/>
        </w:rPr>
        <w:t xml:space="preserve">positive incentives for borrowers who voluntarily engage in emissions reductions, such as further </w:t>
      </w:r>
      <w:proofErr w:type="spellStart"/>
      <w:r w:rsidR="000E3B92">
        <w:rPr>
          <w:rFonts w:ascii="Georgia" w:hAnsi="Georgia" w:cs="Arial"/>
          <w:sz w:val="24"/>
          <w:szCs w:val="24"/>
        </w:rPr>
        <w:t>concessionality</w:t>
      </w:r>
      <w:proofErr w:type="spellEnd"/>
      <w:r w:rsidR="000E3B92">
        <w:rPr>
          <w:rFonts w:ascii="Georgia" w:hAnsi="Georgia" w:cs="Arial"/>
          <w:sz w:val="24"/>
          <w:szCs w:val="24"/>
        </w:rPr>
        <w:t xml:space="preserve"> or access to climate finance. </w:t>
      </w:r>
      <w:r w:rsidR="000E3B92" w:rsidRPr="005D69B7">
        <w:rPr>
          <w:rFonts w:ascii="Georgia" w:hAnsi="Georgia" w:cs="Arial"/>
          <w:sz w:val="24"/>
          <w:szCs w:val="24"/>
        </w:rPr>
        <w:t>The IFC’s new metrics for energy efficiency in staff scorecards provides another model for</w:t>
      </w:r>
      <w:r w:rsidR="000E3B92">
        <w:rPr>
          <w:rFonts w:ascii="Georgia" w:hAnsi="Georgia" w:cs="Arial"/>
          <w:sz w:val="24"/>
          <w:szCs w:val="24"/>
        </w:rPr>
        <w:t xml:space="preserve"> positively</w:t>
      </w:r>
      <w:r w:rsidR="000E3B92" w:rsidRPr="005D69B7">
        <w:rPr>
          <w:rFonts w:ascii="Georgia" w:hAnsi="Georgia" w:cs="Arial"/>
          <w:sz w:val="24"/>
          <w:szCs w:val="24"/>
        </w:rPr>
        <w:t xml:space="preserve"> influencing incentives.</w:t>
      </w:r>
      <w:r w:rsidR="000E3B92">
        <w:rPr>
          <w:rFonts w:ascii="Georgia" w:hAnsi="Georgia" w:cs="Arial"/>
          <w:sz w:val="24"/>
          <w:szCs w:val="24"/>
        </w:rPr>
        <w:t xml:space="preserve"> Finally, the </w:t>
      </w:r>
      <w:r>
        <w:rPr>
          <w:rFonts w:ascii="Georgia" w:hAnsi="Georgia" w:cs="Arial"/>
          <w:sz w:val="24"/>
          <w:szCs w:val="24"/>
        </w:rPr>
        <w:t>Bank can conduct and pay for its own emission assessments, similar to those currently conducted by the IFC.</w:t>
      </w:r>
      <w:r>
        <w:rPr>
          <w:rStyle w:val="FootnoteReference"/>
          <w:rFonts w:ascii="Georgia" w:hAnsi="Georgia" w:cs="Arial"/>
          <w:sz w:val="24"/>
          <w:szCs w:val="24"/>
        </w:rPr>
        <w:footnoteReference w:id="8"/>
      </w:r>
      <w:r>
        <w:rPr>
          <w:rFonts w:ascii="Georgia" w:hAnsi="Georgia" w:cs="Arial"/>
          <w:sz w:val="24"/>
          <w:szCs w:val="24"/>
        </w:rPr>
        <w:t xml:space="preserve"> </w:t>
      </w:r>
    </w:p>
    <w:p w:rsidR="00F13ECB" w:rsidRPr="00BC1C69" w:rsidRDefault="00F13ECB" w:rsidP="00F13ECB">
      <w:pPr>
        <w:spacing w:after="0" w:line="240" w:lineRule="auto"/>
        <w:rPr>
          <w:rFonts w:ascii="Georgia" w:hAnsi="Georgia" w:cs="Arial"/>
          <w:sz w:val="24"/>
          <w:szCs w:val="24"/>
        </w:rPr>
      </w:pPr>
    </w:p>
    <w:p w:rsidR="00F13ECB" w:rsidRPr="00791F64" w:rsidRDefault="00F13ECB" w:rsidP="00F13ECB">
      <w:pPr>
        <w:spacing w:after="0" w:line="240" w:lineRule="auto"/>
        <w:jc w:val="both"/>
        <w:rPr>
          <w:rFonts w:ascii="Georgia" w:hAnsi="Georgia" w:cs="Arial"/>
        </w:rPr>
      </w:pPr>
    </w:p>
    <w:p w:rsidR="00F13ECB" w:rsidRPr="00BC1C69" w:rsidRDefault="00F13ECB" w:rsidP="00F13ECB">
      <w:pPr>
        <w:pStyle w:val="ListParagraph"/>
        <w:numPr>
          <w:ilvl w:val="0"/>
          <w:numId w:val="1"/>
        </w:numPr>
        <w:rPr>
          <w:rFonts w:ascii="Georgia" w:hAnsi="Georgia" w:cs="Arial"/>
          <w:b/>
          <w:smallCaps/>
          <w:color w:val="F0AB00"/>
          <w:sz w:val="28"/>
          <w:szCs w:val="28"/>
        </w:rPr>
      </w:pPr>
      <w:r w:rsidRPr="00BC1C69">
        <w:rPr>
          <w:rFonts w:ascii="Georgia" w:hAnsi="Georgia" w:cs="Arial"/>
          <w:b/>
          <w:smallCaps/>
          <w:color w:val="F0AB00"/>
          <w:sz w:val="28"/>
          <w:szCs w:val="28"/>
        </w:rPr>
        <w:t>Vulnerability and Adaptation</w:t>
      </w:r>
    </w:p>
    <w:p w:rsidR="00F13ECB" w:rsidRPr="00355719" w:rsidRDefault="00F13ECB" w:rsidP="00C83DD8">
      <w:pPr>
        <w:spacing w:line="240" w:lineRule="auto"/>
        <w:jc w:val="both"/>
        <w:rPr>
          <w:rFonts w:ascii="Georgia" w:hAnsi="Georgia" w:cs="Arial"/>
          <w:sz w:val="24"/>
          <w:szCs w:val="24"/>
        </w:rPr>
      </w:pPr>
      <w:r w:rsidRPr="00355719">
        <w:rPr>
          <w:rFonts w:ascii="Georgia" w:hAnsi="Georgia" w:cs="Arial"/>
          <w:sz w:val="24"/>
          <w:szCs w:val="24"/>
        </w:rPr>
        <w:t xml:space="preserve">Developing countries are already experiencing effects from climate change. </w:t>
      </w:r>
      <w:r w:rsidR="00C83DD8">
        <w:rPr>
          <w:rFonts w:ascii="Georgia" w:hAnsi="Georgia" w:cs="Arial"/>
          <w:sz w:val="24"/>
          <w:szCs w:val="24"/>
        </w:rPr>
        <w:t xml:space="preserve">According to the </w:t>
      </w:r>
      <w:r w:rsidR="003D0203">
        <w:rPr>
          <w:rFonts w:ascii="Georgia" w:hAnsi="Georgia" w:cs="Arial"/>
          <w:sz w:val="24"/>
          <w:szCs w:val="24"/>
        </w:rPr>
        <w:t>Strategic Framework for</w:t>
      </w:r>
      <w:r w:rsidR="00C83DD8">
        <w:rPr>
          <w:rFonts w:ascii="Georgia" w:hAnsi="Georgia" w:cs="Arial"/>
          <w:sz w:val="24"/>
          <w:szCs w:val="24"/>
        </w:rPr>
        <w:t xml:space="preserve"> Development and Climate Change, the</w:t>
      </w:r>
      <w:r w:rsidR="00C83DD8" w:rsidRPr="00C83DD8">
        <w:rPr>
          <w:rFonts w:ascii="Georgia" w:hAnsi="Georgia" w:cs="Arial"/>
          <w:sz w:val="24"/>
          <w:szCs w:val="24"/>
        </w:rPr>
        <w:t xml:space="preserve"> </w:t>
      </w:r>
      <w:r w:rsidR="00C83DD8">
        <w:rPr>
          <w:rFonts w:ascii="Georgia" w:hAnsi="Georgia" w:cs="Arial"/>
          <w:sz w:val="24"/>
          <w:szCs w:val="24"/>
        </w:rPr>
        <w:t>“</w:t>
      </w:r>
      <w:r w:rsidR="00C83DD8" w:rsidRPr="00C83DD8">
        <w:rPr>
          <w:rFonts w:ascii="Georgia" w:hAnsi="Georgia" w:cs="Arial"/>
          <w:sz w:val="24"/>
          <w:szCs w:val="24"/>
        </w:rPr>
        <w:t>adaptation dimension of the climate</w:t>
      </w:r>
      <w:r w:rsidR="00C83DD8">
        <w:rPr>
          <w:rFonts w:ascii="Georgia" w:hAnsi="Georgia" w:cs="Arial"/>
          <w:sz w:val="24"/>
          <w:szCs w:val="24"/>
        </w:rPr>
        <w:t xml:space="preserve"> </w:t>
      </w:r>
      <w:r w:rsidR="00C83DD8" w:rsidRPr="00C83DD8">
        <w:rPr>
          <w:rFonts w:ascii="Georgia" w:hAnsi="Georgia" w:cs="Arial"/>
          <w:sz w:val="24"/>
          <w:szCs w:val="24"/>
        </w:rPr>
        <w:t>change agenda, in particular, is directly linked to the</w:t>
      </w:r>
      <w:r w:rsidR="00C83DD8">
        <w:rPr>
          <w:rFonts w:ascii="Georgia" w:hAnsi="Georgia" w:cs="Arial"/>
          <w:sz w:val="24"/>
          <w:szCs w:val="24"/>
        </w:rPr>
        <w:t xml:space="preserve"> </w:t>
      </w:r>
      <w:r w:rsidR="003D0203">
        <w:rPr>
          <w:rFonts w:ascii="Georgia" w:hAnsi="Georgia" w:cs="Arial"/>
          <w:sz w:val="24"/>
          <w:szCs w:val="24"/>
        </w:rPr>
        <w:t>World Bank Group’s</w:t>
      </w:r>
      <w:r w:rsidR="00C83DD8" w:rsidRPr="00C83DD8">
        <w:rPr>
          <w:rFonts w:ascii="Georgia" w:hAnsi="Georgia" w:cs="Arial"/>
          <w:sz w:val="24"/>
          <w:szCs w:val="24"/>
        </w:rPr>
        <w:t xml:space="preserve"> mission of fi</w:t>
      </w:r>
      <w:r w:rsidR="00C83DD8">
        <w:rPr>
          <w:rFonts w:ascii="Georgia" w:hAnsi="Georgia" w:cs="Arial"/>
          <w:sz w:val="24"/>
          <w:szCs w:val="24"/>
        </w:rPr>
        <w:t xml:space="preserve">ghting poverty and will grow in </w:t>
      </w:r>
      <w:r w:rsidR="00C83DD8" w:rsidRPr="00C83DD8">
        <w:rPr>
          <w:rFonts w:ascii="Georgia" w:hAnsi="Georgia" w:cs="Arial"/>
          <w:sz w:val="24"/>
          <w:szCs w:val="24"/>
        </w:rPr>
        <w:t>importance.</w:t>
      </w:r>
      <w:r w:rsidR="00C83DD8">
        <w:rPr>
          <w:rFonts w:ascii="Georgia" w:hAnsi="Georgia" w:cs="Arial"/>
          <w:sz w:val="24"/>
          <w:szCs w:val="24"/>
        </w:rPr>
        <w:t xml:space="preserve">” </w:t>
      </w:r>
      <w:r w:rsidRPr="00355719">
        <w:rPr>
          <w:rFonts w:ascii="Georgia" w:hAnsi="Georgia" w:cs="Arial"/>
          <w:sz w:val="24"/>
          <w:szCs w:val="24"/>
        </w:rPr>
        <w:t xml:space="preserve">The World Bank </w:t>
      </w:r>
      <w:r w:rsidR="00C83DD8">
        <w:rPr>
          <w:rFonts w:ascii="Georgia" w:hAnsi="Georgia" w:cs="Arial"/>
          <w:sz w:val="24"/>
          <w:szCs w:val="24"/>
        </w:rPr>
        <w:t>will benefit significantly from</w:t>
      </w:r>
      <w:r w:rsidRPr="00355719">
        <w:rPr>
          <w:rFonts w:ascii="Georgia" w:hAnsi="Georgia" w:cs="Arial"/>
          <w:sz w:val="24"/>
          <w:szCs w:val="24"/>
        </w:rPr>
        <w:t xml:space="preserve"> </w:t>
      </w:r>
      <w:r w:rsidR="002F1D1C">
        <w:rPr>
          <w:rFonts w:ascii="Georgia" w:hAnsi="Georgia" w:cs="Arial"/>
          <w:sz w:val="24"/>
          <w:szCs w:val="24"/>
        </w:rPr>
        <w:t>assessing</w:t>
      </w:r>
      <w:r w:rsidRPr="00355719">
        <w:rPr>
          <w:rFonts w:ascii="Georgia" w:hAnsi="Georgia" w:cs="Arial"/>
          <w:sz w:val="24"/>
          <w:szCs w:val="24"/>
        </w:rPr>
        <w:t xml:space="preserve"> the impact of this change on its investments and on the countries within which it invests. Future investments should support resilience to these changes, particularly among the world’s most vulnerable communities and ecosystems. </w:t>
      </w:r>
    </w:p>
    <w:p w:rsidR="00F13ECB" w:rsidRPr="00355719" w:rsidRDefault="00F13ECB" w:rsidP="00F13ECB">
      <w:pPr>
        <w:spacing w:line="240" w:lineRule="auto"/>
        <w:jc w:val="both"/>
        <w:rPr>
          <w:rFonts w:ascii="Georgia" w:hAnsi="Georgia" w:cs="Arial"/>
          <w:sz w:val="24"/>
          <w:szCs w:val="24"/>
        </w:rPr>
      </w:pPr>
      <w:r w:rsidRPr="00355719">
        <w:rPr>
          <w:rFonts w:ascii="Georgia" w:hAnsi="Georgia" w:cs="Arial"/>
          <w:sz w:val="24"/>
          <w:szCs w:val="24"/>
        </w:rPr>
        <w:t>The World Bank has committed to reducing vulnerability to climate cha</w:t>
      </w:r>
      <w:r w:rsidR="00E12497">
        <w:rPr>
          <w:rFonts w:ascii="Georgia" w:hAnsi="Georgia" w:cs="Arial"/>
          <w:sz w:val="24"/>
          <w:szCs w:val="24"/>
        </w:rPr>
        <w:t xml:space="preserve">nge and supporting resilience. </w:t>
      </w:r>
      <w:r w:rsidRPr="00355719">
        <w:rPr>
          <w:rFonts w:ascii="Georgia" w:hAnsi="Georgia" w:cs="Arial"/>
          <w:sz w:val="24"/>
          <w:szCs w:val="24"/>
        </w:rPr>
        <w:t>In the Strategic Framework the Bank commits to providing “financial and technical assistance to managing climate risks, especially focusing on those countries that are lacking capacities and infrastructure to deal with present climate variability, as can be witnessed by their vulnerability to floods, droughts, and hurricanes.”</w:t>
      </w:r>
      <w:r w:rsidRPr="00355719">
        <w:rPr>
          <w:rStyle w:val="FootnoteReference"/>
          <w:rFonts w:ascii="Georgia" w:hAnsi="Georgia" w:cs="Arial"/>
          <w:sz w:val="24"/>
          <w:szCs w:val="24"/>
        </w:rPr>
        <w:footnoteReference w:id="9"/>
      </w:r>
      <w:r w:rsidRPr="00355719">
        <w:rPr>
          <w:rFonts w:ascii="Georgia" w:hAnsi="Georgia" w:cs="Arial"/>
          <w:sz w:val="24"/>
          <w:szCs w:val="24"/>
        </w:rPr>
        <w:t xml:space="preserve"> In the Environment Strategy for 2012-2022 the Bank </w:t>
      </w:r>
      <w:r w:rsidR="000E3B92">
        <w:rPr>
          <w:rFonts w:ascii="Georgia" w:hAnsi="Georgia" w:cs="Arial"/>
          <w:sz w:val="24"/>
          <w:szCs w:val="24"/>
        </w:rPr>
        <w:t>promises</w:t>
      </w:r>
      <w:r w:rsidR="000E3B92" w:rsidRPr="00355719">
        <w:rPr>
          <w:rFonts w:ascii="Georgia" w:hAnsi="Georgia" w:cs="Arial"/>
          <w:sz w:val="24"/>
          <w:szCs w:val="24"/>
        </w:rPr>
        <w:t xml:space="preserve"> </w:t>
      </w:r>
      <w:r w:rsidRPr="00355719">
        <w:rPr>
          <w:rFonts w:ascii="Georgia" w:hAnsi="Georgia" w:cs="Arial"/>
          <w:sz w:val="24"/>
          <w:szCs w:val="24"/>
        </w:rPr>
        <w:t>to continu</w:t>
      </w:r>
      <w:r w:rsidR="000E3B92">
        <w:rPr>
          <w:rFonts w:ascii="Georgia" w:hAnsi="Georgia" w:cs="Arial"/>
          <w:sz w:val="24"/>
          <w:szCs w:val="24"/>
        </w:rPr>
        <w:t>e</w:t>
      </w:r>
      <w:r w:rsidRPr="00355719">
        <w:rPr>
          <w:rFonts w:ascii="Georgia" w:hAnsi="Georgia" w:cs="Arial"/>
          <w:sz w:val="24"/>
          <w:szCs w:val="24"/>
        </w:rPr>
        <w:t xml:space="preserve"> “to work with development partners and the private sector to help countries reduce their </w:t>
      </w:r>
      <w:r w:rsidRPr="00355719">
        <w:rPr>
          <w:rFonts w:ascii="Georgia" w:hAnsi="Georgia" w:cs="Arial"/>
          <w:sz w:val="24"/>
          <w:szCs w:val="24"/>
        </w:rPr>
        <w:lastRenderedPageBreak/>
        <w:t>vulnerability to climate risks.”</w:t>
      </w:r>
      <w:r w:rsidRPr="00355719">
        <w:rPr>
          <w:rStyle w:val="FootnoteReference"/>
          <w:rFonts w:ascii="Georgia" w:hAnsi="Georgia" w:cs="Arial"/>
          <w:sz w:val="24"/>
          <w:szCs w:val="24"/>
        </w:rPr>
        <w:footnoteReference w:id="10"/>
      </w:r>
      <w:r w:rsidRPr="00355719">
        <w:rPr>
          <w:rFonts w:ascii="Georgia" w:hAnsi="Georgia" w:cs="Arial"/>
          <w:sz w:val="24"/>
          <w:szCs w:val="24"/>
        </w:rPr>
        <w:t xml:space="preserve"> The safeguards review provides an opportunity to turn these commitments into Bank policy.</w:t>
      </w:r>
    </w:p>
    <w:p w:rsidR="00F13ECB" w:rsidRDefault="00F13ECB" w:rsidP="00F13ECB">
      <w:pPr>
        <w:spacing w:line="240" w:lineRule="auto"/>
        <w:jc w:val="both"/>
        <w:rPr>
          <w:rFonts w:ascii="Georgia" w:hAnsi="Georgia" w:cs="Arial"/>
          <w:sz w:val="24"/>
          <w:szCs w:val="24"/>
        </w:rPr>
      </w:pPr>
      <w:r>
        <w:rPr>
          <w:rFonts w:ascii="Georgia" w:hAnsi="Georgia" w:cs="Arial"/>
          <w:sz w:val="24"/>
          <w:szCs w:val="24"/>
        </w:rPr>
        <w:t>To fully incorporate vulnerability and adaptation in the World Bank safeguards, the new safeguards should include a process to:</w:t>
      </w:r>
    </w:p>
    <w:p w:rsidR="00F13ECB" w:rsidRDefault="00F13ECB" w:rsidP="00F13ECB">
      <w:pPr>
        <w:pStyle w:val="ListParagraph"/>
        <w:numPr>
          <w:ilvl w:val="0"/>
          <w:numId w:val="5"/>
        </w:numPr>
        <w:spacing w:line="240" w:lineRule="auto"/>
        <w:jc w:val="both"/>
        <w:rPr>
          <w:rFonts w:ascii="Georgia" w:hAnsi="Georgia" w:cs="Arial"/>
          <w:sz w:val="24"/>
          <w:szCs w:val="24"/>
        </w:rPr>
      </w:pPr>
      <w:r>
        <w:rPr>
          <w:rFonts w:ascii="Georgia" w:hAnsi="Georgia" w:cs="Arial"/>
          <w:sz w:val="24"/>
          <w:szCs w:val="24"/>
        </w:rPr>
        <w:t>s</w:t>
      </w:r>
      <w:r w:rsidRPr="00E82A6F">
        <w:rPr>
          <w:rFonts w:ascii="Georgia" w:hAnsi="Georgia" w:cs="Arial"/>
          <w:sz w:val="24"/>
          <w:szCs w:val="24"/>
        </w:rPr>
        <w:t xml:space="preserve">creen investments for their impact on </w:t>
      </w:r>
      <w:r w:rsidR="007F5113">
        <w:rPr>
          <w:rFonts w:ascii="Georgia" w:hAnsi="Georgia" w:cs="Arial"/>
          <w:sz w:val="24"/>
          <w:szCs w:val="24"/>
        </w:rPr>
        <w:t>vulnerable</w:t>
      </w:r>
      <w:r>
        <w:rPr>
          <w:rFonts w:ascii="Georgia" w:hAnsi="Georgia" w:cs="Arial"/>
          <w:sz w:val="24"/>
          <w:szCs w:val="24"/>
        </w:rPr>
        <w:t>;</w:t>
      </w:r>
      <w:r w:rsidRPr="00E82A6F">
        <w:rPr>
          <w:rFonts w:ascii="Georgia" w:hAnsi="Georgia" w:cs="Arial"/>
          <w:sz w:val="24"/>
          <w:szCs w:val="24"/>
        </w:rPr>
        <w:t xml:space="preserve"> and </w:t>
      </w:r>
    </w:p>
    <w:p w:rsidR="00F13ECB" w:rsidRPr="00E82A6F" w:rsidRDefault="0062777D" w:rsidP="00F13ECB">
      <w:pPr>
        <w:pStyle w:val="ListParagraph"/>
        <w:numPr>
          <w:ilvl w:val="0"/>
          <w:numId w:val="5"/>
        </w:numPr>
        <w:spacing w:line="240" w:lineRule="auto"/>
        <w:jc w:val="both"/>
        <w:rPr>
          <w:rFonts w:ascii="Georgia" w:hAnsi="Georgia" w:cs="Arial"/>
          <w:sz w:val="24"/>
          <w:szCs w:val="24"/>
        </w:rPr>
      </w:pPr>
      <w:proofErr w:type="gramStart"/>
      <w:r>
        <w:rPr>
          <w:rFonts w:ascii="Georgia" w:hAnsi="Georgia" w:cs="Arial"/>
          <w:sz w:val="24"/>
          <w:szCs w:val="24"/>
        </w:rPr>
        <w:t>prevent</w:t>
      </w:r>
      <w:proofErr w:type="gramEnd"/>
      <w:r w:rsidR="00F13ECB" w:rsidRPr="00E82A6F">
        <w:rPr>
          <w:rFonts w:ascii="Georgia" w:hAnsi="Georgia" w:cs="Arial"/>
          <w:sz w:val="24"/>
          <w:szCs w:val="24"/>
        </w:rPr>
        <w:t xml:space="preserve"> inv</w:t>
      </w:r>
      <w:r w:rsidR="002F1D1C">
        <w:rPr>
          <w:rFonts w:ascii="Georgia" w:hAnsi="Georgia" w:cs="Arial"/>
          <w:sz w:val="24"/>
          <w:szCs w:val="24"/>
        </w:rPr>
        <w:t>estments in projects that can be</w:t>
      </w:r>
      <w:r w:rsidR="00F13ECB" w:rsidRPr="00E82A6F">
        <w:rPr>
          <w:rFonts w:ascii="Georgia" w:hAnsi="Georgia" w:cs="Arial"/>
          <w:sz w:val="24"/>
          <w:szCs w:val="24"/>
        </w:rPr>
        <w:t xml:space="preserve"> maladaptive.</w:t>
      </w:r>
    </w:p>
    <w:p w:rsidR="00F13ECB" w:rsidRDefault="00F13ECB" w:rsidP="00F13ECB">
      <w:pPr>
        <w:spacing w:line="240" w:lineRule="auto"/>
        <w:jc w:val="both"/>
        <w:rPr>
          <w:rFonts w:ascii="Georgia" w:hAnsi="Georgia" w:cs="Arial"/>
          <w:sz w:val="24"/>
          <w:szCs w:val="24"/>
        </w:rPr>
      </w:pPr>
      <w:r>
        <w:rPr>
          <w:rFonts w:ascii="Georgia" w:hAnsi="Georgia" w:cs="Arial"/>
          <w:sz w:val="24"/>
          <w:szCs w:val="24"/>
        </w:rPr>
        <w:t xml:space="preserve">The original safeguards were meant to identify and minimize harms to people and the environment. In today’s world, </w:t>
      </w:r>
      <w:r w:rsidR="001B598D">
        <w:rPr>
          <w:rFonts w:ascii="Georgia" w:hAnsi="Georgia" w:cs="Arial"/>
          <w:sz w:val="24"/>
          <w:szCs w:val="24"/>
        </w:rPr>
        <w:t xml:space="preserve">such </w:t>
      </w:r>
      <w:r>
        <w:rPr>
          <w:rFonts w:ascii="Georgia" w:hAnsi="Georgia" w:cs="Arial"/>
          <w:sz w:val="24"/>
          <w:szCs w:val="24"/>
        </w:rPr>
        <w:t xml:space="preserve">harm is compounded by climate change. Although the precise effects of climate change </w:t>
      </w:r>
      <w:r w:rsidR="002F1D1C">
        <w:rPr>
          <w:rFonts w:ascii="Georgia" w:hAnsi="Georgia" w:cs="Arial"/>
          <w:sz w:val="24"/>
          <w:szCs w:val="24"/>
        </w:rPr>
        <w:t>remain uncertain</w:t>
      </w:r>
      <w:r>
        <w:rPr>
          <w:rFonts w:ascii="Georgia" w:hAnsi="Georgia" w:cs="Arial"/>
          <w:sz w:val="24"/>
          <w:szCs w:val="24"/>
        </w:rPr>
        <w:t>, it is possible to identify which part of society or gro</w:t>
      </w:r>
      <w:r w:rsidR="001B598D">
        <w:rPr>
          <w:rFonts w:ascii="Georgia" w:hAnsi="Georgia" w:cs="Arial"/>
          <w:sz w:val="24"/>
          <w:szCs w:val="24"/>
        </w:rPr>
        <w:t>up of people is more vulnerable</w:t>
      </w:r>
      <w:r>
        <w:rPr>
          <w:rFonts w:ascii="Georgia" w:hAnsi="Georgia" w:cs="Arial"/>
          <w:sz w:val="24"/>
          <w:szCs w:val="24"/>
        </w:rPr>
        <w:t xml:space="preserve">. </w:t>
      </w:r>
      <w:r w:rsidR="002F1D1C">
        <w:rPr>
          <w:rFonts w:ascii="Georgia" w:hAnsi="Georgia" w:cs="Arial"/>
          <w:sz w:val="24"/>
          <w:szCs w:val="24"/>
        </w:rPr>
        <w:t>Investments have the potential to both reduce and increase</w:t>
      </w:r>
      <w:r>
        <w:rPr>
          <w:rFonts w:ascii="Georgia" w:hAnsi="Georgia" w:cs="Arial"/>
          <w:sz w:val="24"/>
          <w:szCs w:val="24"/>
        </w:rPr>
        <w:t xml:space="preserve"> the vulnerability of people</w:t>
      </w:r>
      <w:r w:rsidR="007F5113">
        <w:rPr>
          <w:rFonts w:ascii="Georgia" w:hAnsi="Georgia" w:cs="Arial"/>
          <w:sz w:val="24"/>
          <w:szCs w:val="24"/>
        </w:rPr>
        <w:t xml:space="preserve"> and their resilience to change</w:t>
      </w:r>
      <w:r>
        <w:rPr>
          <w:rFonts w:ascii="Georgia" w:hAnsi="Georgia" w:cs="Arial"/>
          <w:sz w:val="24"/>
          <w:szCs w:val="24"/>
        </w:rPr>
        <w:t xml:space="preserve">. World Bank safeguards should focus on screening investments for their effect on </w:t>
      </w:r>
      <w:r w:rsidR="007F5113">
        <w:rPr>
          <w:rFonts w:ascii="Georgia" w:hAnsi="Georgia" w:cs="Arial"/>
          <w:sz w:val="24"/>
          <w:szCs w:val="24"/>
        </w:rPr>
        <w:t>vulnerable</w:t>
      </w:r>
      <w:r>
        <w:rPr>
          <w:rFonts w:ascii="Georgia" w:hAnsi="Georgia" w:cs="Arial"/>
          <w:sz w:val="24"/>
          <w:szCs w:val="24"/>
        </w:rPr>
        <w:t xml:space="preserve"> </w:t>
      </w:r>
      <w:r w:rsidR="007F5113">
        <w:rPr>
          <w:rFonts w:ascii="Georgia" w:hAnsi="Georgia" w:cs="Arial"/>
          <w:sz w:val="24"/>
          <w:szCs w:val="24"/>
        </w:rPr>
        <w:t>communities</w:t>
      </w:r>
      <w:r>
        <w:rPr>
          <w:rFonts w:ascii="Georgia" w:hAnsi="Georgia" w:cs="Arial"/>
          <w:sz w:val="24"/>
          <w:szCs w:val="24"/>
        </w:rPr>
        <w:t xml:space="preserve"> and </w:t>
      </w:r>
      <w:r w:rsidR="001B598D">
        <w:rPr>
          <w:rFonts w:ascii="Georgia" w:hAnsi="Georgia" w:cs="Arial"/>
          <w:sz w:val="24"/>
          <w:szCs w:val="24"/>
        </w:rPr>
        <w:t xml:space="preserve">the </w:t>
      </w:r>
      <w:r>
        <w:rPr>
          <w:rFonts w:ascii="Georgia" w:hAnsi="Georgia" w:cs="Arial"/>
          <w:sz w:val="24"/>
          <w:szCs w:val="24"/>
        </w:rPr>
        <w:t xml:space="preserve">environmental resources they depend upon. </w:t>
      </w:r>
    </w:p>
    <w:p w:rsidR="00F13ECB" w:rsidRDefault="00F13ECB" w:rsidP="00F13ECB">
      <w:pPr>
        <w:spacing w:line="240" w:lineRule="auto"/>
        <w:jc w:val="both"/>
        <w:rPr>
          <w:rFonts w:ascii="Georgia" w:hAnsi="Georgia" w:cs="Arial"/>
          <w:sz w:val="24"/>
          <w:szCs w:val="24"/>
        </w:rPr>
      </w:pPr>
      <w:r>
        <w:rPr>
          <w:rFonts w:ascii="Georgia" w:hAnsi="Georgia" w:cs="Arial"/>
          <w:sz w:val="24"/>
          <w:szCs w:val="24"/>
        </w:rPr>
        <w:t xml:space="preserve">To ensure that the commitment to reducing vulnerability is </w:t>
      </w:r>
      <w:r w:rsidR="001B598D">
        <w:rPr>
          <w:rFonts w:ascii="Georgia" w:hAnsi="Georgia" w:cs="Arial"/>
          <w:sz w:val="24"/>
          <w:szCs w:val="24"/>
        </w:rPr>
        <w:t>engrained in safeguard</w:t>
      </w:r>
      <w:r>
        <w:rPr>
          <w:rFonts w:ascii="Georgia" w:hAnsi="Georgia" w:cs="Arial"/>
          <w:sz w:val="24"/>
          <w:szCs w:val="24"/>
        </w:rPr>
        <w:t xml:space="preserve"> standards, the World Bank s</w:t>
      </w:r>
      <w:r w:rsidR="006F2318">
        <w:rPr>
          <w:rFonts w:ascii="Georgia" w:hAnsi="Georgia" w:cs="Arial"/>
          <w:sz w:val="24"/>
          <w:szCs w:val="24"/>
        </w:rPr>
        <w:t>hould ensure that the safeguard</w:t>
      </w:r>
      <w:r>
        <w:rPr>
          <w:rFonts w:ascii="Georgia" w:hAnsi="Georgia" w:cs="Arial"/>
          <w:sz w:val="24"/>
          <w:szCs w:val="24"/>
        </w:rPr>
        <w:t xml:space="preserve"> process</w:t>
      </w:r>
      <w:r w:rsidR="001B598D">
        <w:rPr>
          <w:rFonts w:ascii="Georgia" w:hAnsi="Georgia" w:cs="Arial"/>
          <w:sz w:val="24"/>
          <w:szCs w:val="24"/>
        </w:rPr>
        <w:t xml:space="preserve"> helps staff</w:t>
      </w:r>
      <w:r>
        <w:rPr>
          <w:rFonts w:ascii="Georgia" w:hAnsi="Georgia" w:cs="Arial"/>
          <w:sz w:val="24"/>
          <w:szCs w:val="24"/>
        </w:rPr>
        <w:t xml:space="preserve"> identify investments that are maladaptive. This requires a screening process that entails analysis of the climate risk to </w:t>
      </w:r>
      <w:r w:rsidR="001B598D">
        <w:rPr>
          <w:rFonts w:ascii="Georgia" w:hAnsi="Georgia" w:cs="Arial"/>
          <w:sz w:val="24"/>
          <w:szCs w:val="24"/>
        </w:rPr>
        <w:t xml:space="preserve">both a) </w:t>
      </w:r>
      <w:r>
        <w:rPr>
          <w:rFonts w:ascii="Georgia" w:hAnsi="Georgia" w:cs="Arial"/>
          <w:sz w:val="24"/>
          <w:szCs w:val="24"/>
        </w:rPr>
        <w:t xml:space="preserve">the success of the investment itself and </w:t>
      </w:r>
      <w:r w:rsidR="001B598D">
        <w:rPr>
          <w:rFonts w:ascii="Georgia" w:hAnsi="Georgia" w:cs="Arial"/>
          <w:sz w:val="24"/>
          <w:szCs w:val="24"/>
        </w:rPr>
        <w:t xml:space="preserve">b) </w:t>
      </w:r>
      <w:r>
        <w:rPr>
          <w:rFonts w:ascii="Georgia" w:hAnsi="Georgia" w:cs="Arial"/>
          <w:sz w:val="24"/>
          <w:szCs w:val="24"/>
        </w:rPr>
        <w:t xml:space="preserve">the </w:t>
      </w:r>
      <w:r w:rsidR="001B598D">
        <w:rPr>
          <w:rFonts w:ascii="Georgia" w:hAnsi="Georgia" w:cs="Arial"/>
          <w:sz w:val="24"/>
          <w:szCs w:val="24"/>
        </w:rPr>
        <w:t xml:space="preserve">wellbeing of people and </w:t>
      </w:r>
      <w:r>
        <w:rPr>
          <w:rFonts w:ascii="Georgia" w:hAnsi="Georgia" w:cs="Arial"/>
          <w:sz w:val="24"/>
          <w:szCs w:val="24"/>
        </w:rPr>
        <w:t>ecosystems</w:t>
      </w:r>
      <w:r w:rsidR="001B598D">
        <w:rPr>
          <w:rFonts w:ascii="Georgia" w:hAnsi="Georgia" w:cs="Arial"/>
          <w:sz w:val="24"/>
          <w:szCs w:val="24"/>
        </w:rPr>
        <w:t xml:space="preserve">. </w:t>
      </w:r>
      <w:r>
        <w:rPr>
          <w:rFonts w:ascii="Georgia" w:hAnsi="Georgia" w:cs="Arial"/>
          <w:sz w:val="24"/>
          <w:szCs w:val="24"/>
        </w:rPr>
        <w:t xml:space="preserve">The aim is to prevent investments that set society on a pathway </w:t>
      </w:r>
      <w:r w:rsidR="001B598D">
        <w:rPr>
          <w:rFonts w:ascii="Georgia" w:hAnsi="Georgia" w:cs="Arial"/>
          <w:sz w:val="24"/>
          <w:szCs w:val="24"/>
        </w:rPr>
        <w:t>toward greater</w:t>
      </w:r>
      <w:r>
        <w:rPr>
          <w:rFonts w:ascii="Georgia" w:hAnsi="Georgia" w:cs="Arial"/>
          <w:sz w:val="24"/>
          <w:szCs w:val="24"/>
        </w:rPr>
        <w:t xml:space="preserve"> climate vulnerabilities in the future. An investment is considered to be maladaptive if it meets one or more of the following criteria:</w:t>
      </w:r>
    </w:p>
    <w:p w:rsidR="00F13ECB" w:rsidRDefault="0062777D" w:rsidP="001B598D">
      <w:pPr>
        <w:pStyle w:val="ListParagraph"/>
        <w:numPr>
          <w:ilvl w:val="0"/>
          <w:numId w:val="8"/>
        </w:numPr>
        <w:spacing w:line="240" w:lineRule="auto"/>
        <w:ind w:right="720"/>
        <w:jc w:val="both"/>
        <w:rPr>
          <w:rFonts w:ascii="Georgia" w:hAnsi="Georgia" w:cs="Arial"/>
          <w:sz w:val="24"/>
          <w:szCs w:val="24"/>
        </w:rPr>
      </w:pPr>
      <w:r w:rsidRPr="00D022F0">
        <w:rPr>
          <w:rFonts w:ascii="Georgia" w:hAnsi="Georgia" w:cs="Arial"/>
          <w:sz w:val="24"/>
          <w:szCs w:val="24"/>
        </w:rPr>
        <w:t>The</w:t>
      </w:r>
      <w:r w:rsidR="00F13ECB" w:rsidRPr="00D022F0">
        <w:rPr>
          <w:rFonts w:ascii="Georgia" w:hAnsi="Georgia" w:cs="Arial"/>
          <w:sz w:val="24"/>
          <w:szCs w:val="24"/>
        </w:rPr>
        <w:t xml:space="preserve"> </w:t>
      </w:r>
      <w:r w:rsidR="00F13ECB">
        <w:rPr>
          <w:rFonts w:ascii="Georgia" w:hAnsi="Georgia" w:cs="Arial"/>
          <w:sz w:val="24"/>
          <w:szCs w:val="24"/>
        </w:rPr>
        <w:t>investment ceases to perform its intended function due to changes in the environment that are caused by climate change. An example of this is a hydroelectric dam that ceases to function due to a lack of water in the reservoir caused by climate change driven droughts.</w:t>
      </w:r>
    </w:p>
    <w:p w:rsidR="00F13ECB" w:rsidRDefault="0062777D" w:rsidP="001B598D">
      <w:pPr>
        <w:pStyle w:val="ListParagraph"/>
        <w:numPr>
          <w:ilvl w:val="0"/>
          <w:numId w:val="8"/>
        </w:numPr>
        <w:spacing w:line="240" w:lineRule="auto"/>
        <w:ind w:right="720"/>
        <w:jc w:val="both"/>
        <w:rPr>
          <w:rFonts w:ascii="Georgia" w:hAnsi="Georgia" w:cs="Arial"/>
          <w:sz w:val="24"/>
          <w:szCs w:val="24"/>
        </w:rPr>
      </w:pPr>
      <w:r>
        <w:rPr>
          <w:rFonts w:ascii="Georgia" w:hAnsi="Georgia" w:cs="Arial"/>
          <w:sz w:val="24"/>
          <w:szCs w:val="24"/>
        </w:rPr>
        <w:t>The</w:t>
      </w:r>
      <w:r w:rsidR="00F13ECB">
        <w:rPr>
          <w:rFonts w:ascii="Georgia" w:hAnsi="Georgia" w:cs="Arial"/>
          <w:sz w:val="24"/>
          <w:szCs w:val="24"/>
        </w:rPr>
        <w:t xml:space="preserve"> investment increases the costs of adaptation to climate change for people who are either directly or indirectly impacted by the investment. An example includes an investment in tourism infrastructure too close to the shore, which in due time is either lost or needs added protection against sea level rise.</w:t>
      </w:r>
    </w:p>
    <w:p w:rsidR="00F13ECB" w:rsidRDefault="0062777D" w:rsidP="001B598D">
      <w:pPr>
        <w:pStyle w:val="ListParagraph"/>
        <w:numPr>
          <w:ilvl w:val="0"/>
          <w:numId w:val="8"/>
        </w:numPr>
        <w:spacing w:line="240" w:lineRule="auto"/>
        <w:ind w:right="720"/>
        <w:jc w:val="both"/>
        <w:rPr>
          <w:rFonts w:ascii="Georgia" w:hAnsi="Georgia" w:cs="Arial"/>
          <w:sz w:val="24"/>
          <w:szCs w:val="24"/>
        </w:rPr>
      </w:pPr>
      <w:r>
        <w:rPr>
          <w:rFonts w:ascii="Georgia" w:hAnsi="Georgia" w:cs="Arial"/>
          <w:sz w:val="24"/>
          <w:szCs w:val="24"/>
        </w:rPr>
        <w:t>Investments</w:t>
      </w:r>
      <w:r w:rsidR="00F13ECB">
        <w:rPr>
          <w:rFonts w:ascii="Georgia" w:hAnsi="Georgia" w:cs="Arial"/>
          <w:sz w:val="24"/>
          <w:szCs w:val="24"/>
        </w:rPr>
        <w:t xml:space="preserve"> that limit options or reduce flexibility of societies to adapt to climate change. Examples include investment in water dependent crops in areas with increasing droughts.</w:t>
      </w:r>
    </w:p>
    <w:p w:rsidR="00F13ECB" w:rsidRPr="00D022F0" w:rsidRDefault="00F13ECB" w:rsidP="00F13ECB">
      <w:pPr>
        <w:spacing w:line="240" w:lineRule="auto"/>
        <w:jc w:val="both"/>
        <w:rPr>
          <w:rFonts w:ascii="Georgia" w:hAnsi="Georgia" w:cs="Arial"/>
          <w:sz w:val="24"/>
          <w:szCs w:val="24"/>
        </w:rPr>
      </w:pPr>
      <w:r>
        <w:rPr>
          <w:rFonts w:ascii="Georgia" w:hAnsi="Georgia" w:cs="Arial"/>
          <w:sz w:val="24"/>
          <w:szCs w:val="24"/>
        </w:rPr>
        <w:t>Several climate risk screening tools have been or are under development that could assist with evaluating projects against some of the above criteria</w:t>
      </w:r>
      <w:r w:rsidR="00C83DD8">
        <w:rPr>
          <w:rFonts w:ascii="Georgia" w:hAnsi="Georgia" w:cs="Arial"/>
          <w:sz w:val="24"/>
          <w:szCs w:val="24"/>
        </w:rPr>
        <w:t>.</w:t>
      </w:r>
      <w:r>
        <w:rPr>
          <w:rStyle w:val="FootnoteReference"/>
          <w:rFonts w:ascii="Georgia" w:hAnsi="Georgia" w:cs="Arial"/>
          <w:sz w:val="24"/>
          <w:szCs w:val="24"/>
        </w:rPr>
        <w:footnoteReference w:id="11"/>
      </w:r>
      <w:r>
        <w:rPr>
          <w:rFonts w:ascii="Georgia" w:hAnsi="Georgia" w:cs="Arial"/>
          <w:sz w:val="24"/>
          <w:szCs w:val="24"/>
        </w:rPr>
        <w:t xml:space="preserve">  </w:t>
      </w:r>
      <w:r w:rsidRPr="00D022F0">
        <w:rPr>
          <w:rFonts w:ascii="Georgia" w:hAnsi="Georgia" w:cs="Arial"/>
          <w:sz w:val="24"/>
          <w:szCs w:val="24"/>
        </w:rPr>
        <w:t xml:space="preserve">Work on integrating adaptation </w:t>
      </w:r>
      <w:r w:rsidR="001B598D">
        <w:rPr>
          <w:rFonts w:ascii="Georgia" w:hAnsi="Georgia" w:cs="Arial"/>
          <w:sz w:val="24"/>
          <w:szCs w:val="24"/>
        </w:rPr>
        <w:t xml:space="preserve">to climate change </w:t>
      </w:r>
      <w:r w:rsidRPr="00D022F0">
        <w:rPr>
          <w:rFonts w:ascii="Georgia" w:hAnsi="Georgia" w:cs="Arial"/>
          <w:sz w:val="24"/>
          <w:szCs w:val="24"/>
        </w:rPr>
        <w:t>into impact assessments</w:t>
      </w:r>
      <w:r>
        <w:rPr>
          <w:rFonts w:ascii="Georgia" w:hAnsi="Georgia" w:cs="Arial"/>
          <w:sz w:val="24"/>
          <w:szCs w:val="24"/>
        </w:rPr>
        <w:t xml:space="preserve"> </w:t>
      </w:r>
      <w:r w:rsidRPr="00D022F0">
        <w:rPr>
          <w:rFonts w:ascii="Georgia" w:hAnsi="Georgia" w:cs="Arial"/>
          <w:sz w:val="24"/>
          <w:szCs w:val="24"/>
        </w:rPr>
        <w:t xml:space="preserve">is </w:t>
      </w:r>
      <w:r w:rsidR="001B598D">
        <w:rPr>
          <w:rFonts w:ascii="Georgia" w:hAnsi="Georgia" w:cs="Arial"/>
          <w:sz w:val="24"/>
          <w:szCs w:val="24"/>
        </w:rPr>
        <w:t>also</w:t>
      </w:r>
      <w:r w:rsidRPr="00D022F0">
        <w:rPr>
          <w:rFonts w:ascii="Georgia" w:hAnsi="Georgia" w:cs="Arial"/>
          <w:sz w:val="24"/>
          <w:szCs w:val="24"/>
        </w:rPr>
        <w:t xml:space="preserve"> emerging</w:t>
      </w:r>
      <w:r w:rsidR="00C83DD8">
        <w:rPr>
          <w:rFonts w:ascii="Georgia" w:hAnsi="Georgia" w:cs="Arial"/>
          <w:sz w:val="24"/>
          <w:szCs w:val="24"/>
        </w:rPr>
        <w:t>.</w:t>
      </w:r>
      <w:r>
        <w:rPr>
          <w:rStyle w:val="FootnoteReference"/>
          <w:rFonts w:ascii="Georgia" w:hAnsi="Georgia" w:cs="Arial"/>
          <w:sz w:val="24"/>
          <w:szCs w:val="24"/>
        </w:rPr>
        <w:footnoteReference w:id="12"/>
      </w:r>
      <w:r w:rsidRPr="00D022F0">
        <w:rPr>
          <w:rFonts w:ascii="Georgia" w:hAnsi="Georgia" w:cs="Arial"/>
          <w:sz w:val="24"/>
          <w:szCs w:val="24"/>
        </w:rPr>
        <w:t xml:space="preserve"> </w:t>
      </w:r>
      <w:r>
        <w:rPr>
          <w:rFonts w:ascii="Georgia" w:hAnsi="Georgia" w:cs="Arial"/>
          <w:sz w:val="24"/>
          <w:szCs w:val="24"/>
        </w:rPr>
        <w:t xml:space="preserve">The </w:t>
      </w:r>
      <w:r>
        <w:rPr>
          <w:rFonts w:ascii="Georgia" w:hAnsi="Georgia" w:cs="Arial"/>
          <w:sz w:val="24"/>
          <w:szCs w:val="24"/>
        </w:rPr>
        <w:lastRenderedPageBreak/>
        <w:t>assessment should be carried-out in full cooperation with communities that depend on resources that might be impacted.</w:t>
      </w:r>
    </w:p>
    <w:p w:rsidR="00F13ECB" w:rsidRDefault="00F13ECB" w:rsidP="00F13ECB">
      <w:pPr>
        <w:spacing w:line="240" w:lineRule="auto"/>
        <w:jc w:val="both"/>
        <w:rPr>
          <w:rFonts w:ascii="Georgia" w:hAnsi="Georgia" w:cs="Arial"/>
          <w:sz w:val="24"/>
          <w:szCs w:val="24"/>
        </w:rPr>
      </w:pPr>
      <w:r>
        <w:rPr>
          <w:rFonts w:ascii="Georgia" w:hAnsi="Georgia" w:cs="Arial"/>
          <w:sz w:val="24"/>
          <w:szCs w:val="24"/>
        </w:rPr>
        <w:t xml:space="preserve">Investing in robust </w:t>
      </w:r>
      <w:r w:rsidR="006F2318">
        <w:rPr>
          <w:rFonts w:ascii="Georgia" w:hAnsi="Georgia" w:cs="Arial"/>
          <w:sz w:val="24"/>
          <w:szCs w:val="24"/>
        </w:rPr>
        <w:t>projects</w:t>
      </w:r>
      <w:r>
        <w:rPr>
          <w:rFonts w:ascii="Georgia" w:hAnsi="Georgia" w:cs="Arial"/>
          <w:sz w:val="24"/>
          <w:szCs w:val="24"/>
        </w:rPr>
        <w:t xml:space="preserve"> is only one of the components of an adaptive societ</w:t>
      </w:r>
      <w:r w:rsidR="006F2318">
        <w:rPr>
          <w:rFonts w:ascii="Georgia" w:hAnsi="Georgia" w:cs="Arial"/>
          <w:sz w:val="24"/>
          <w:szCs w:val="24"/>
        </w:rPr>
        <w:t>y. An</w:t>
      </w:r>
      <w:r>
        <w:rPr>
          <w:rFonts w:ascii="Georgia" w:hAnsi="Georgia" w:cs="Arial"/>
          <w:sz w:val="24"/>
          <w:szCs w:val="24"/>
        </w:rPr>
        <w:t>other component</w:t>
      </w:r>
      <w:r w:rsidR="006F2318">
        <w:rPr>
          <w:rFonts w:ascii="Georgia" w:hAnsi="Georgia" w:cs="Arial"/>
          <w:sz w:val="24"/>
          <w:szCs w:val="24"/>
        </w:rPr>
        <w:t xml:space="preserve"> is </w:t>
      </w:r>
      <w:r>
        <w:rPr>
          <w:rFonts w:ascii="Georgia" w:hAnsi="Georgia" w:cs="Arial"/>
          <w:sz w:val="24"/>
          <w:szCs w:val="24"/>
        </w:rPr>
        <w:t xml:space="preserve">adaptive institutions that are able to respond to observed changes in the environment and adjust development pathways based on new insights and lessons learned. Analysis of the adaptive capacity of institutions and societies should be an integral part of project design. Safeguard standards should </w:t>
      </w:r>
      <w:r w:rsidR="00716726">
        <w:rPr>
          <w:rFonts w:ascii="Georgia" w:hAnsi="Georgia" w:cs="Arial"/>
          <w:sz w:val="24"/>
          <w:szCs w:val="24"/>
        </w:rPr>
        <w:t xml:space="preserve">hinder investments in projects </w:t>
      </w:r>
      <w:r>
        <w:rPr>
          <w:rFonts w:ascii="Georgia" w:hAnsi="Georgia" w:cs="Arial"/>
          <w:sz w:val="24"/>
          <w:szCs w:val="24"/>
        </w:rPr>
        <w:t>that restrict the ad</w:t>
      </w:r>
      <w:r w:rsidR="00716726">
        <w:rPr>
          <w:rFonts w:ascii="Georgia" w:hAnsi="Georgia" w:cs="Arial"/>
          <w:sz w:val="24"/>
          <w:szCs w:val="24"/>
        </w:rPr>
        <w:t>aptive capacity of institutions</w:t>
      </w:r>
      <w:r w:rsidR="00AD6F0E">
        <w:rPr>
          <w:rFonts w:ascii="Georgia" w:hAnsi="Georgia" w:cs="Arial"/>
          <w:sz w:val="24"/>
          <w:szCs w:val="24"/>
        </w:rPr>
        <w:t>.</w:t>
      </w:r>
    </w:p>
    <w:p w:rsidR="00F13ECB" w:rsidRDefault="00F13ECB" w:rsidP="00F13ECB">
      <w:pPr>
        <w:spacing w:line="240" w:lineRule="auto"/>
        <w:jc w:val="both"/>
        <w:rPr>
          <w:rFonts w:ascii="Georgia" w:hAnsi="Georgia" w:cs="Arial"/>
          <w:i/>
          <w:sz w:val="24"/>
          <w:szCs w:val="24"/>
        </w:rPr>
      </w:pPr>
    </w:p>
    <w:p w:rsidR="00F13ECB" w:rsidRDefault="00F13ECB" w:rsidP="00F13ECB">
      <w:pPr>
        <w:spacing w:line="240" w:lineRule="auto"/>
        <w:jc w:val="both"/>
        <w:rPr>
          <w:rFonts w:ascii="Georgia" w:hAnsi="Georgia" w:cs="Arial"/>
          <w:i/>
          <w:sz w:val="24"/>
          <w:szCs w:val="24"/>
        </w:rPr>
      </w:pPr>
    </w:p>
    <w:p w:rsidR="00F13ECB" w:rsidRPr="00355719" w:rsidRDefault="00F13ECB" w:rsidP="00F13ECB">
      <w:pPr>
        <w:spacing w:line="240" w:lineRule="auto"/>
        <w:jc w:val="both"/>
        <w:rPr>
          <w:rFonts w:ascii="Georgia" w:hAnsi="Georgia" w:cs="Arial"/>
          <w:i/>
          <w:sz w:val="24"/>
          <w:szCs w:val="24"/>
        </w:rPr>
      </w:pPr>
      <w:r w:rsidRPr="00355719">
        <w:rPr>
          <w:rFonts w:ascii="Georgia" w:hAnsi="Georgia" w:cs="Arial"/>
          <w:i/>
          <w:sz w:val="24"/>
          <w:szCs w:val="24"/>
        </w:rPr>
        <w:t xml:space="preserve">For further information </w:t>
      </w:r>
      <w:r>
        <w:rPr>
          <w:rFonts w:ascii="Georgia" w:hAnsi="Georgia" w:cs="Arial"/>
          <w:i/>
          <w:sz w:val="24"/>
          <w:szCs w:val="24"/>
        </w:rPr>
        <w:t xml:space="preserve">on climate change mitigation and adaptation </w:t>
      </w:r>
      <w:r w:rsidRPr="00355719">
        <w:rPr>
          <w:rFonts w:ascii="Georgia" w:hAnsi="Georgia" w:cs="Arial"/>
          <w:i/>
          <w:sz w:val="24"/>
          <w:szCs w:val="24"/>
        </w:rPr>
        <w:t>see</w:t>
      </w:r>
      <w:r>
        <w:rPr>
          <w:rFonts w:ascii="Georgia" w:hAnsi="Georgia" w:cs="Arial"/>
          <w:i/>
          <w:sz w:val="24"/>
          <w:szCs w:val="24"/>
        </w:rPr>
        <w:t>, for instance</w:t>
      </w:r>
      <w:r w:rsidRPr="00355719">
        <w:rPr>
          <w:rFonts w:ascii="Georgia" w:hAnsi="Georgia" w:cs="Arial"/>
          <w:i/>
          <w:sz w:val="24"/>
          <w:szCs w:val="24"/>
        </w:rPr>
        <w:t>:</w:t>
      </w:r>
    </w:p>
    <w:p w:rsidR="00F13ECB" w:rsidRPr="00716726" w:rsidRDefault="00716726" w:rsidP="00F13ECB">
      <w:pPr>
        <w:pStyle w:val="ListParagraph"/>
        <w:numPr>
          <w:ilvl w:val="0"/>
          <w:numId w:val="2"/>
        </w:numPr>
        <w:spacing w:line="240" w:lineRule="auto"/>
        <w:rPr>
          <w:rFonts w:ascii="Georgia" w:hAnsi="Georgia" w:cs="Arial"/>
          <w:sz w:val="20"/>
          <w:szCs w:val="20"/>
        </w:rPr>
      </w:pPr>
      <w:proofErr w:type="spellStart"/>
      <w:r w:rsidRPr="00716726">
        <w:rPr>
          <w:rFonts w:ascii="Georgia" w:hAnsi="Georgia"/>
          <w:sz w:val="20"/>
          <w:szCs w:val="20"/>
        </w:rPr>
        <w:t>H.McGray</w:t>
      </w:r>
      <w:proofErr w:type="spellEnd"/>
      <w:r w:rsidRPr="00716726">
        <w:rPr>
          <w:rFonts w:ascii="Georgia" w:hAnsi="Georgia"/>
          <w:sz w:val="20"/>
          <w:szCs w:val="20"/>
        </w:rPr>
        <w:t xml:space="preserve">, J. Gonzales, and M. Desmond. </w:t>
      </w:r>
      <w:r w:rsidR="00F13ECB" w:rsidRPr="00716726">
        <w:rPr>
          <w:rFonts w:ascii="Georgia" w:hAnsi="Georgia" w:cs="Arial"/>
          <w:sz w:val="20"/>
          <w:szCs w:val="20"/>
        </w:rPr>
        <w:t xml:space="preserve">2012. </w:t>
      </w:r>
      <w:r w:rsidR="00F13ECB" w:rsidRPr="00716726">
        <w:rPr>
          <w:rFonts w:ascii="Georgia" w:hAnsi="Georgia" w:cs="Arial"/>
          <w:i/>
          <w:sz w:val="20"/>
          <w:szCs w:val="20"/>
        </w:rPr>
        <w:t xml:space="preserve">Ready or Not: Assessing Institutions Aspects of National Capacity for Climate Change Adaptation,  </w:t>
      </w:r>
      <w:hyperlink r:id="rId10" w:history="1">
        <w:r w:rsidR="00F13ECB" w:rsidRPr="00716726">
          <w:rPr>
            <w:rStyle w:val="Hyperlink"/>
            <w:rFonts w:ascii="Georgia" w:hAnsi="Georgia" w:cs="Arial"/>
            <w:sz w:val="20"/>
            <w:szCs w:val="20"/>
          </w:rPr>
          <w:t>http://pdf.wri.org/ready_or_not.pdf</w:t>
        </w:r>
      </w:hyperlink>
    </w:p>
    <w:p w:rsidR="00F13ECB" w:rsidRPr="005F0FD6" w:rsidRDefault="00716726" w:rsidP="00F13ECB">
      <w:pPr>
        <w:pStyle w:val="ListParagraph"/>
        <w:numPr>
          <w:ilvl w:val="0"/>
          <w:numId w:val="2"/>
        </w:numPr>
        <w:spacing w:after="0" w:line="240" w:lineRule="auto"/>
        <w:rPr>
          <w:rFonts w:ascii="Georgia" w:hAnsi="Georgia" w:cs="Arial"/>
          <w:color w:val="0000FF" w:themeColor="hyperlink"/>
          <w:sz w:val="20"/>
          <w:szCs w:val="20"/>
          <w:u w:val="single"/>
        </w:rPr>
      </w:pPr>
      <w:r w:rsidRPr="00716726">
        <w:rPr>
          <w:rFonts w:ascii="Georgia" w:hAnsi="Georgia" w:cs="Arial"/>
          <w:sz w:val="20"/>
          <w:szCs w:val="20"/>
        </w:rPr>
        <w:t>World Resources Report. 2010.</w:t>
      </w:r>
      <w:r w:rsidRPr="005F0FD6">
        <w:rPr>
          <w:rFonts w:ascii="Georgia" w:hAnsi="Georgia" w:cs="Arial"/>
          <w:i/>
          <w:sz w:val="20"/>
          <w:szCs w:val="20"/>
        </w:rPr>
        <w:t xml:space="preserve"> </w:t>
      </w:r>
      <w:r w:rsidR="00F13ECB" w:rsidRPr="005F0FD6">
        <w:rPr>
          <w:rFonts w:ascii="Georgia" w:hAnsi="Georgia" w:cs="Arial"/>
          <w:i/>
          <w:sz w:val="20"/>
          <w:szCs w:val="20"/>
        </w:rPr>
        <w:t>World Resources Report 2010-2011:</w:t>
      </w:r>
      <w:r w:rsidR="00F13ECB" w:rsidRPr="005F0FD6">
        <w:rPr>
          <w:rFonts w:ascii="Georgia" w:hAnsi="Georgia" w:cs="Arial"/>
          <w:sz w:val="20"/>
          <w:szCs w:val="20"/>
        </w:rPr>
        <w:t xml:space="preserve"> </w:t>
      </w:r>
      <w:r w:rsidR="00F13ECB" w:rsidRPr="005F0FD6">
        <w:rPr>
          <w:rFonts w:ascii="Georgia" w:hAnsi="Georgia" w:cs="Arial"/>
          <w:i/>
          <w:sz w:val="20"/>
          <w:szCs w:val="20"/>
        </w:rPr>
        <w:t>Decision Making in a Changing Climate</w:t>
      </w:r>
      <w:r w:rsidR="00F13ECB" w:rsidRPr="005F0FD6">
        <w:rPr>
          <w:rFonts w:ascii="Georgia" w:hAnsi="Georgia" w:cs="Arial"/>
          <w:sz w:val="20"/>
          <w:szCs w:val="20"/>
        </w:rPr>
        <w:t>,</w:t>
      </w:r>
      <w:r>
        <w:rPr>
          <w:rFonts w:ascii="Georgia" w:hAnsi="Georgia" w:cs="Arial"/>
          <w:sz w:val="20"/>
          <w:szCs w:val="20"/>
        </w:rPr>
        <w:t xml:space="preserve"> </w:t>
      </w:r>
      <w:r w:rsidR="00F13ECB" w:rsidRPr="005F0FD6">
        <w:rPr>
          <w:rFonts w:ascii="Georgia" w:hAnsi="Georgia" w:cs="Arial"/>
          <w:sz w:val="20"/>
          <w:szCs w:val="20"/>
        </w:rPr>
        <w:t xml:space="preserve"> </w:t>
      </w:r>
      <w:hyperlink r:id="rId11" w:history="1">
        <w:r w:rsidR="00F13ECB" w:rsidRPr="005F0FD6">
          <w:rPr>
            <w:rStyle w:val="Hyperlink"/>
            <w:rFonts w:ascii="Georgia" w:hAnsi="Georgia" w:cs="Arial"/>
            <w:sz w:val="20"/>
            <w:szCs w:val="20"/>
          </w:rPr>
          <w:t>www.worldresourcesreport.org/wrr-2010-2011</w:t>
        </w:r>
      </w:hyperlink>
    </w:p>
    <w:p w:rsidR="00F13ECB" w:rsidRPr="005F0FD6" w:rsidRDefault="00716726" w:rsidP="00F13ECB">
      <w:pPr>
        <w:pStyle w:val="ListParagraph"/>
        <w:numPr>
          <w:ilvl w:val="0"/>
          <w:numId w:val="3"/>
        </w:numPr>
        <w:spacing w:after="0" w:line="240" w:lineRule="auto"/>
        <w:rPr>
          <w:rFonts w:ascii="Georgia" w:hAnsi="Georgia" w:cs="Arial"/>
          <w:sz w:val="20"/>
          <w:szCs w:val="20"/>
        </w:rPr>
      </w:pPr>
      <w:r w:rsidRPr="00716726">
        <w:rPr>
          <w:rFonts w:ascii="Georgia" w:hAnsi="Georgia" w:cs="Arial"/>
          <w:sz w:val="20"/>
          <w:szCs w:val="20"/>
        </w:rPr>
        <w:t>World Resources Institute</w:t>
      </w:r>
      <w:r w:rsidR="00F13ECB" w:rsidRPr="005F0FD6">
        <w:rPr>
          <w:rFonts w:ascii="Georgia" w:hAnsi="Georgia" w:cs="Arial"/>
          <w:sz w:val="20"/>
          <w:szCs w:val="20"/>
        </w:rPr>
        <w:t xml:space="preserve">. 2012. </w:t>
      </w:r>
      <w:r w:rsidR="00F13ECB" w:rsidRPr="005F0FD6">
        <w:rPr>
          <w:rFonts w:ascii="Georgia" w:hAnsi="Georgia" w:cs="Arial"/>
          <w:i/>
          <w:sz w:val="20"/>
          <w:szCs w:val="20"/>
        </w:rPr>
        <w:t>Greenhouse Gas Protocol Corporate Value Chain (Scope 3) Accounti</w:t>
      </w:r>
      <w:r>
        <w:rPr>
          <w:rFonts w:ascii="Georgia" w:hAnsi="Georgia" w:cs="Arial"/>
          <w:i/>
          <w:sz w:val="20"/>
          <w:szCs w:val="20"/>
        </w:rPr>
        <w:t>ng and Reporting and Standards,</w:t>
      </w:r>
      <w:r w:rsidR="00F13ECB" w:rsidRPr="005F0FD6">
        <w:rPr>
          <w:rFonts w:ascii="Georgia" w:hAnsi="Georgia" w:cs="Times New Roman"/>
          <w:sz w:val="20"/>
          <w:szCs w:val="20"/>
        </w:rPr>
        <w:t xml:space="preserve"> </w:t>
      </w:r>
      <w:hyperlink r:id="rId12" w:history="1">
        <w:r w:rsidR="00F13ECB" w:rsidRPr="005F0FD6">
          <w:rPr>
            <w:rStyle w:val="Hyperlink"/>
            <w:rFonts w:ascii="Georgia" w:hAnsi="Georgia" w:cs="Times New Roman"/>
            <w:sz w:val="20"/>
            <w:szCs w:val="20"/>
          </w:rPr>
          <w:t>http://www.ghgprotocol.org/standards/scope-3-standard</w:t>
        </w:r>
      </w:hyperlink>
    </w:p>
    <w:p w:rsidR="00F13ECB" w:rsidRPr="005F0FD6" w:rsidRDefault="00716726" w:rsidP="00F13ECB">
      <w:pPr>
        <w:pStyle w:val="ListParagraph"/>
        <w:numPr>
          <w:ilvl w:val="0"/>
          <w:numId w:val="3"/>
        </w:numPr>
        <w:spacing w:after="0" w:line="240" w:lineRule="auto"/>
        <w:rPr>
          <w:rFonts w:ascii="Georgia" w:hAnsi="Georgia" w:cs="Arial"/>
          <w:sz w:val="20"/>
          <w:szCs w:val="20"/>
        </w:rPr>
      </w:pPr>
      <w:r w:rsidRPr="00716726">
        <w:rPr>
          <w:rFonts w:ascii="Georgia" w:hAnsi="Georgia" w:cs="Arial"/>
          <w:sz w:val="20"/>
          <w:szCs w:val="20"/>
        </w:rPr>
        <w:t>World Resources Institute</w:t>
      </w:r>
      <w:r>
        <w:rPr>
          <w:rFonts w:ascii="Georgia" w:hAnsi="Georgia" w:cs="Arial"/>
          <w:sz w:val="20"/>
          <w:szCs w:val="20"/>
        </w:rPr>
        <w:t>,</w:t>
      </w:r>
      <w:r w:rsidRPr="005F0FD6">
        <w:rPr>
          <w:rFonts w:ascii="Georgia" w:hAnsi="Georgia" w:cs="Arial"/>
          <w:i/>
          <w:sz w:val="20"/>
          <w:szCs w:val="20"/>
        </w:rPr>
        <w:t xml:space="preserve"> </w:t>
      </w:r>
      <w:r w:rsidR="00F13ECB" w:rsidRPr="005F0FD6">
        <w:rPr>
          <w:rFonts w:ascii="Georgia" w:hAnsi="Georgia" w:cs="Arial"/>
          <w:i/>
          <w:sz w:val="20"/>
          <w:szCs w:val="20"/>
        </w:rPr>
        <w:t>The GHG Protocol for Project Accounting</w:t>
      </w:r>
      <w:r>
        <w:rPr>
          <w:rFonts w:ascii="Georgia" w:hAnsi="Georgia" w:cs="Arial"/>
          <w:sz w:val="20"/>
          <w:szCs w:val="20"/>
        </w:rPr>
        <w:t xml:space="preserve">, </w:t>
      </w:r>
      <w:hyperlink r:id="rId13" w:history="1">
        <w:r w:rsidR="00F13ECB" w:rsidRPr="005F0FD6">
          <w:rPr>
            <w:rStyle w:val="Hyperlink"/>
            <w:rFonts w:ascii="Georgia" w:hAnsi="Georgia" w:cs="Arial"/>
            <w:sz w:val="20"/>
            <w:szCs w:val="20"/>
          </w:rPr>
          <w:t>http://www.ghgprotocol.org/standards/project-protocol</w:t>
        </w:r>
      </w:hyperlink>
    </w:p>
    <w:p w:rsidR="00F13ECB" w:rsidRPr="005F0FD6" w:rsidRDefault="00716726" w:rsidP="00F13ECB">
      <w:pPr>
        <w:pStyle w:val="ListParagraph"/>
        <w:numPr>
          <w:ilvl w:val="0"/>
          <w:numId w:val="3"/>
        </w:numPr>
        <w:spacing w:after="0" w:line="240" w:lineRule="auto"/>
        <w:rPr>
          <w:rFonts w:ascii="Georgia" w:hAnsi="Georgia" w:cs="Arial"/>
          <w:i/>
          <w:sz w:val="20"/>
          <w:szCs w:val="20"/>
        </w:rPr>
      </w:pPr>
      <w:r w:rsidRPr="00716726">
        <w:rPr>
          <w:rFonts w:ascii="Georgia" w:hAnsi="Georgia" w:cs="Arial"/>
          <w:sz w:val="20"/>
          <w:szCs w:val="20"/>
        </w:rPr>
        <w:t>World Resources Institute</w:t>
      </w:r>
      <w:r>
        <w:rPr>
          <w:rFonts w:ascii="Georgia" w:hAnsi="Georgia" w:cs="Arial"/>
          <w:sz w:val="20"/>
          <w:szCs w:val="20"/>
        </w:rPr>
        <w:t>,</w:t>
      </w:r>
      <w:r w:rsidRPr="005F0FD6">
        <w:rPr>
          <w:rFonts w:ascii="Georgia" w:hAnsi="Georgia" w:cs="Arial"/>
          <w:i/>
          <w:sz w:val="20"/>
          <w:szCs w:val="20"/>
        </w:rPr>
        <w:t xml:space="preserve"> </w:t>
      </w:r>
      <w:r w:rsidR="00F13ECB" w:rsidRPr="005F0FD6">
        <w:rPr>
          <w:rFonts w:ascii="Georgia" w:hAnsi="Georgia" w:cs="Arial"/>
          <w:i/>
          <w:sz w:val="20"/>
          <w:szCs w:val="20"/>
        </w:rPr>
        <w:t xml:space="preserve">Financial Sector Guidance for Corporate Value Chain (Scope 3) Accounting and Reporting </w:t>
      </w:r>
      <w:r>
        <w:rPr>
          <w:rFonts w:ascii="Georgia" w:hAnsi="Georgia" w:cs="Arial"/>
          <w:sz w:val="20"/>
          <w:szCs w:val="20"/>
        </w:rPr>
        <w:t xml:space="preserve">(forthcoming), </w:t>
      </w:r>
      <w:hyperlink r:id="rId14" w:history="1">
        <w:r w:rsidR="00F13ECB" w:rsidRPr="005F0FD6">
          <w:rPr>
            <w:rStyle w:val="Hyperlink"/>
            <w:rFonts w:ascii="Georgia" w:hAnsi="Georgia" w:cs="Arial"/>
            <w:sz w:val="20"/>
            <w:szCs w:val="20"/>
          </w:rPr>
          <w:t>http://www.ghgprotocol.org/feature/financial-sector-guidance-corporate-value-chain-scope-3-accounting-and-reporting</w:t>
        </w:r>
      </w:hyperlink>
    </w:p>
    <w:p w:rsidR="00716726" w:rsidRPr="00716726" w:rsidRDefault="00F13ECB" w:rsidP="00716726">
      <w:pPr>
        <w:pStyle w:val="ListParagraph"/>
        <w:numPr>
          <w:ilvl w:val="0"/>
          <w:numId w:val="3"/>
        </w:numPr>
        <w:spacing w:after="0" w:line="240" w:lineRule="auto"/>
        <w:rPr>
          <w:rStyle w:val="Hyperlink"/>
          <w:rFonts w:ascii="Georgia" w:hAnsi="Georgia" w:cs="Arial"/>
          <w:color w:val="auto"/>
          <w:sz w:val="20"/>
          <w:szCs w:val="20"/>
          <w:u w:val="none"/>
        </w:rPr>
      </w:pPr>
      <w:r w:rsidRPr="005F0FD6">
        <w:rPr>
          <w:rFonts w:ascii="Georgia" w:hAnsi="Georgia" w:cs="Arial"/>
          <w:i/>
          <w:sz w:val="20"/>
          <w:szCs w:val="20"/>
        </w:rPr>
        <w:t>Mitigation Accounting</w:t>
      </w:r>
      <w:r w:rsidRPr="005F0FD6">
        <w:rPr>
          <w:rFonts w:ascii="Georgia" w:hAnsi="Georgia" w:cs="Arial"/>
          <w:sz w:val="20"/>
          <w:szCs w:val="20"/>
        </w:rPr>
        <w:t xml:space="preserve"> (forthcoming), </w:t>
      </w:r>
      <w:hyperlink r:id="rId15" w:history="1">
        <w:r w:rsidRPr="005F0FD6">
          <w:rPr>
            <w:rStyle w:val="Hyperlink"/>
            <w:rFonts w:ascii="Georgia" w:hAnsi="Georgia" w:cs="Arial"/>
            <w:sz w:val="20"/>
            <w:szCs w:val="20"/>
          </w:rPr>
          <w:t>http://www.ghgprotocol.org/mitigation-accounting</w:t>
        </w:r>
      </w:hyperlink>
    </w:p>
    <w:p w:rsidR="001C2AA7" w:rsidRPr="00716726" w:rsidRDefault="001C2AA7" w:rsidP="00716726">
      <w:pPr>
        <w:spacing w:after="0" w:line="240" w:lineRule="auto"/>
        <w:ind w:left="360"/>
        <w:rPr>
          <w:rFonts w:ascii="Georgia" w:hAnsi="Georgia" w:cs="Arial"/>
          <w:sz w:val="20"/>
          <w:szCs w:val="20"/>
        </w:rPr>
      </w:pPr>
    </w:p>
    <w:sectPr w:rsidR="001C2AA7" w:rsidRPr="0071672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9E" w:rsidRDefault="00FA099E" w:rsidP="00F13ECB">
      <w:pPr>
        <w:spacing w:after="0" w:line="240" w:lineRule="auto"/>
      </w:pPr>
      <w:r>
        <w:separator/>
      </w:r>
    </w:p>
  </w:endnote>
  <w:endnote w:type="continuationSeparator" w:id="0">
    <w:p w:rsidR="00FA099E" w:rsidRDefault="00FA099E" w:rsidP="00F1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445165"/>
      <w:docPartObj>
        <w:docPartGallery w:val="Page Numbers (Bottom of Page)"/>
        <w:docPartUnique/>
      </w:docPartObj>
    </w:sdtPr>
    <w:sdtEndPr>
      <w:rPr>
        <w:noProof/>
      </w:rPr>
    </w:sdtEndPr>
    <w:sdtContent>
      <w:p w:rsidR="00976233" w:rsidRDefault="00976233">
        <w:pPr>
          <w:pStyle w:val="Footer"/>
          <w:jc w:val="right"/>
        </w:pPr>
        <w:r>
          <w:fldChar w:fldCharType="begin"/>
        </w:r>
        <w:r>
          <w:instrText xml:space="preserve"> PAGE   \* MERGEFORMAT </w:instrText>
        </w:r>
        <w:r>
          <w:fldChar w:fldCharType="separate"/>
        </w:r>
        <w:r w:rsidR="00825E10">
          <w:rPr>
            <w:noProof/>
          </w:rPr>
          <w:t>1</w:t>
        </w:r>
        <w:r>
          <w:rPr>
            <w:noProof/>
          </w:rPr>
          <w:fldChar w:fldCharType="end"/>
        </w:r>
      </w:p>
    </w:sdtContent>
  </w:sdt>
  <w:p w:rsidR="00976233" w:rsidRDefault="00976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9E" w:rsidRDefault="00FA099E" w:rsidP="00F13ECB">
      <w:pPr>
        <w:spacing w:after="0" w:line="240" w:lineRule="auto"/>
      </w:pPr>
      <w:r>
        <w:separator/>
      </w:r>
    </w:p>
  </w:footnote>
  <w:footnote w:type="continuationSeparator" w:id="0">
    <w:p w:rsidR="00FA099E" w:rsidRDefault="00FA099E" w:rsidP="00F13ECB">
      <w:pPr>
        <w:spacing w:after="0" w:line="240" w:lineRule="auto"/>
      </w:pPr>
      <w:r>
        <w:continuationSeparator/>
      </w:r>
    </w:p>
  </w:footnote>
  <w:footnote w:id="1">
    <w:p w:rsidR="00976233" w:rsidRDefault="00976233" w:rsidP="00F13ECB">
      <w:pPr>
        <w:pStyle w:val="FootnoteText"/>
      </w:pPr>
      <w:r>
        <w:rPr>
          <w:rStyle w:val="FootnoteReference"/>
        </w:rPr>
        <w:footnoteRef/>
      </w:r>
      <w:r>
        <w:t xml:space="preserve"> </w:t>
      </w:r>
      <w:proofErr w:type="gramStart"/>
      <w:r>
        <w:t>World Bank.</w:t>
      </w:r>
      <w:proofErr w:type="gramEnd"/>
      <w:r>
        <w:t xml:space="preserve"> 2012. </w:t>
      </w:r>
      <w:r w:rsidRPr="004624B9">
        <w:rPr>
          <w:i/>
        </w:rPr>
        <w:t>Turn Down the Heat: Why a 4 Degree Warmer World must be Avoided</w:t>
      </w:r>
      <w:r w:rsidR="007F17B3">
        <w:t>,</w:t>
      </w:r>
      <w:r>
        <w:t xml:space="preserve"> p. ix.</w:t>
      </w:r>
    </w:p>
  </w:footnote>
  <w:footnote w:id="2">
    <w:p w:rsidR="00976233" w:rsidRDefault="00976233" w:rsidP="00F13ECB">
      <w:pPr>
        <w:pStyle w:val="FootnoteText"/>
      </w:pPr>
      <w:r>
        <w:rPr>
          <w:rStyle w:val="FootnoteReference"/>
        </w:rPr>
        <w:footnoteRef/>
      </w:r>
      <w:r>
        <w:t xml:space="preserve"> </w:t>
      </w:r>
      <w:proofErr w:type="gramStart"/>
      <w:r>
        <w:t>World Bank.</w:t>
      </w:r>
      <w:proofErr w:type="gramEnd"/>
      <w:r>
        <w:t xml:space="preserve"> 2012. </w:t>
      </w:r>
      <w:r w:rsidRPr="004879BF">
        <w:rPr>
          <w:i/>
        </w:rPr>
        <w:t>The World Bank’s Safeguard Policies Proposed Review and Update Approach Paper</w:t>
      </w:r>
      <w:r>
        <w:rPr>
          <w:i/>
        </w:rPr>
        <w:t xml:space="preserve">, </w:t>
      </w:r>
      <w:proofErr w:type="spellStart"/>
      <w:r>
        <w:rPr>
          <w:i/>
        </w:rPr>
        <w:t>para</w:t>
      </w:r>
      <w:proofErr w:type="spellEnd"/>
      <w:r>
        <w:rPr>
          <w:i/>
        </w:rPr>
        <w:t>. 35.</w:t>
      </w:r>
    </w:p>
  </w:footnote>
  <w:footnote w:id="3">
    <w:p w:rsidR="005F0FD6" w:rsidRDefault="005F0FD6" w:rsidP="005F0FD6">
      <w:pPr>
        <w:pStyle w:val="FootnoteText"/>
      </w:pPr>
      <w:r>
        <w:rPr>
          <w:rStyle w:val="FootnoteReference"/>
        </w:rPr>
        <w:footnoteRef/>
      </w:r>
      <w:r>
        <w:t xml:space="preserve"> </w:t>
      </w:r>
      <w:proofErr w:type="gramStart"/>
      <w:r w:rsidRPr="00D14687">
        <w:t>World Bank.</w:t>
      </w:r>
      <w:proofErr w:type="gramEnd"/>
      <w:r w:rsidRPr="00D14687">
        <w:t xml:space="preserve"> 2008. </w:t>
      </w:r>
      <w:r w:rsidRPr="00D14687">
        <w:rPr>
          <w:i/>
        </w:rPr>
        <w:t>Development and Climate Change: A Strategic Framework for the World Bank Group</w:t>
      </w:r>
      <w:r>
        <w:t>, p. 12</w:t>
      </w:r>
      <w:r w:rsidRPr="00D14687">
        <w:t>.</w:t>
      </w:r>
    </w:p>
  </w:footnote>
  <w:footnote w:id="4">
    <w:p w:rsidR="00976233" w:rsidRDefault="00976233" w:rsidP="00F13ECB">
      <w:pPr>
        <w:pStyle w:val="FootnoteText"/>
      </w:pPr>
      <w:r>
        <w:rPr>
          <w:rStyle w:val="FootnoteReference"/>
        </w:rPr>
        <w:footnoteRef/>
      </w:r>
      <w:r>
        <w:t xml:space="preserve"> </w:t>
      </w:r>
      <w:r w:rsidR="00472EB9">
        <w:t>The additional submission, entitled</w:t>
      </w:r>
      <w:r w:rsidR="00825E10">
        <w:t xml:space="preserve"> “</w:t>
      </w:r>
      <w:r w:rsidR="00472EB9" w:rsidRPr="00472EB9">
        <w:t>Recommendations for Balancing Ownership and Accountability for Effective Safeguard Implementation</w:t>
      </w:r>
      <w:r w:rsidR="00825E10">
        <w:t>”</w:t>
      </w:r>
      <w:r w:rsidR="00472EB9" w:rsidRPr="00472EB9">
        <w:t xml:space="preserve"> </w:t>
      </w:r>
      <w:r w:rsidR="00472EB9">
        <w:t xml:space="preserve">is based </w:t>
      </w:r>
      <w:r w:rsidR="00825E10">
        <w:t xml:space="preserve">on </w:t>
      </w:r>
      <w:r w:rsidR="00472EB9">
        <w:t xml:space="preserve">the </w:t>
      </w:r>
      <w:r w:rsidR="00825E10">
        <w:t xml:space="preserve">WRI </w:t>
      </w:r>
      <w:r w:rsidR="00472EB9">
        <w:t xml:space="preserve">working paper </w:t>
      </w:r>
      <w:r w:rsidR="00825E10">
        <w:t>“</w:t>
      </w:r>
      <w:hyperlink r:id="rId1" w:history="1">
        <w:r w:rsidRPr="00825E10">
          <w:rPr>
            <w:rStyle w:val="Hyperlink"/>
          </w:rPr>
          <w:t>Striking the Balance: Ownership and Accountability in Social</w:t>
        </w:r>
        <w:r w:rsidR="00825E10" w:rsidRPr="00825E10">
          <w:rPr>
            <w:rStyle w:val="Hyperlink"/>
          </w:rPr>
          <w:t xml:space="preserve"> and Environmental Safeguards</w:t>
        </w:r>
      </w:hyperlink>
      <w:r w:rsidR="00825E10">
        <w:t>.”</w:t>
      </w:r>
    </w:p>
  </w:footnote>
  <w:footnote w:id="5">
    <w:p w:rsidR="00EB31A4" w:rsidRPr="00EB31A4" w:rsidRDefault="00EB31A4" w:rsidP="00EB31A4">
      <w:pPr>
        <w:pStyle w:val="FootnoteText"/>
        <w:rPr>
          <w:i/>
        </w:rPr>
      </w:pPr>
      <w:r>
        <w:rPr>
          <w:rStyle w:val="FootnoteReference"/>
        </w:rPr>
        <w:footnoteRef/>
      </w:r>
      <w:r>
        <w:t xml:space="preserve"> </w:t>
      </w:r>
      <w:proofErr w:type="gramStart"/>
      <w:r w:rsidRPr="00EB31A4">
        <w:t>World Bank.</w:t>
      </w:r>
      <w:proofErr w:type="gramEnd"/>
      <w:r w:rsidRPr="00EB31A4">
        <w:t xml:space="preserve"> 2012. </w:t>
      </w:r>
      <w:r w:rsidRPr="00EB31A4">
        <w:rPr>
          <w:i/>
        </w:rPr>
        <w:t xml:space="preserve">Toward a Green, Clean, and Resilient World for All A World Bank Group Environment Strategy </w:t>
      </w:r>
    </w:p>
    <w:p w:rsidR="00EB31A4" w:rsidRDefault="00EB31A4" w:rsidP="00EB31A4">
      <w:pPr>
        <w:pStyle w:val="FootnoteText"/>
      </w:pPr>
      <w:r w:rsidRPr="00EB31A4">
        <w:rPr>
          <w:i/>
        </w:rPr>
        <w:t>2012 – 2022,</w:t>
      </w:r>
      <w:r>
        <w:t xml:space="preserve"> p. 63</w:t>
      </w:r>
      <w:r w:rsidRPr="00EB31A4">
        <w:t>.</w:t>
      </w:r>
    </w:p>
  </w:footnote>
  <w:footnote w:id="6">
    <w:p w:rsidR="00976233" w:rsidRDefault="00976233" w:rsidP="00F13ECB">
      <w:pPr>
        <w:pStyle w:val="FootnoteText"/>
      </w:pPr>
      <w:r>
        <w:rPr>
          <w:rStyle w:val="FootnoteReference"/>
        </w:rPr>
        <w:footnoteRef/>
      </w:r>
      <w:r>
        <w:t xml:space="preserve"> </w:t>
      </w:r>
      <w:r w:rsidRPr="001216AF">
        <w:t xml:space="preserve">References are available to help determine best available technology, including in the </w:t>
      </w:r>
      <w:r w:rsidRPr="001216AF">
        <w:rPr>
          <w:bCs/>
        </w:rPr>
        <w:t xml:space="preserve">EU Best Available Techniques reference documents (BREFs) </w:t>
      </w:r>
      <w:r>
        <w:rPr>
          <w:bCs/>
        </w:rPr>
        <w:t>and</w:t>
      </w:r>
      <w:r w:rsidRPr="001216AF">
        <w:rPr>
          <w:bCs/>
        </w:rPr>
        <w:t xml:space="preserve"> guidance from the United States Environmental Protection Agency</w:t>
      </w:r>
      <w:r>
        <w:rPr>
          <w:bCs/>
        </w:rPr>
        <w:t xml:space="preserve">. </w:t>
      </w:r>
      <w:r w:rsidR="001B598D">
        <w:rPr>
          <w:bCs/>
        </w:rPr>
        <w:t xml:space="preserve">Care should be </w:t>
      </w:r>
      <w:r w:rsidR="001B598D">
        <w:t>taken to ensure that technologies are appropriate for the circumstances.</w:t>
      </w:r>
    </w:p>
  </w:footnote>
  <w:footnote w:id="7">
    <w:p w:rsidR="0062777D" w:rsidRDefault="0062777D" w:rsidP="0062777D">
      <w:pPr>
        <w:pStyle w:val="FootnoteText"/>
      </w:pPr>
      <w:r>
        <w:rPr>
          <w:rStyle w:val="FootnoteReference"/>
        </w:rPr>
        <w:footnoteRef/>
      </w:r>
      <w:r>
        <w:t xml:space="preserve"> </w:t>
      </w:r>
      <w:proofErr w:type="gramStart"/>
      <w:r>
        <w:t xml:space="preserve">See </w:t>
      </w:r>
      <w:r w:rsidR="00E12497">
        <w:t>Potsdam Institute for Climate Impact Research and Climate Analytics.</w:t>
      </w:r>
      <w:proofErr w:type="gramEnd"/>
      <w:r w:rsidR="00E12497">
        <w:t xml:space="preserve"> 2012. </w:t>
      </w:r>
      <w:r w:rsidRPr="00E12497">
        <w:rPr>
          <w:i/>
        </w:rPr>
        <w:t>Turning Down the Heat: Why a 4</w:t>
      </w:r>
      <w:r w:rsidRPr="00E12497">
        <w:rPr>
          <w:i/>
          <w:vertAlign w:val="superscript"/>
        </w:rPr>
        <w:t>0</w:t>
      </w:r>
      <w:r w:rsidRPr="00E12497">
        <w:rPr>
          <w:i/>
        </w:rPr>
        <w:t xml:space="preserve"> C Warmer World </w:t>
      </w:r>
      <w:proofErr w:type="gramStart"/>
      <w:r w:rsidRPr="00E12497">
        <w:rPr>
          <w:i/>
        </w:rPr>
        <w:t>Must</w:t>
      </w:r>
      <w:proofErr w:type="gramEnd"/>
      <w:r w:rsidRPr="00E12497">
        <w:rPr>
          <w:i/>
        </w:rPr>
        <w:t xml:space="preserve"> be Avoided </w:t>
      </w:r>
      <w:r w:rsidR="00E12497" w:rsidRPr="00E12497">
        <w:t>(commissioned by</w:t>
      </w:r>
      <w:r w:rsidR="00E12497">
        <w:rPr>
          <w:i/>
        </w:rPr>
        <w:t xml:space="preserve"> </w:t>
      </w:r>
      <w:r w:rsidRPr="00E12497">
        <w:t>the World Bank</w:t>
      </w:r>
      <w:r w:rsidR="00E12497">
        <w:t>)</w:t>
      </w:r>
      <w:r w:rsidR="00E12497">
        <w:rPr>
          <w:i/>
        </w:rPr>
        <w:t>.</w:t>
      </w:r>
    </w:p>
  </w:footnote>
  <w:footnote w:id="8">
    <w:p w:rsidR="00976233" w:rsidRDefault="00976233" w:rsidP="00F13ECB">
      <w:pPr>
        <w:pStyle w:val="FootnoteText"/>
      </w:pPr>
      <w:r>
        <w:rPr>
          <w:rStyle w:val="FootnoteReference"/>
        </w:rPr>
        <w:footnoteRef/>
      </w:r>
      <w:r>
        <w:t xml:space="preserve"> See</w:t>
      </w:r>
      <w:r w:rsidR="003D0203">
        <w:t xml:space="preserve"> International Finance Corporation,</w:t>
      </w:r>
      <w:r>
        <w:t xml:space="preserve"> </w:t>
      </w:r>
      <w:r w:rsidR="003D0203">
        <w:t>Carbon Emissions Estimator Tool (</w:t>
      </w:r>
      <w:r>
        <w:t>CEET</w:t>
      </w:r>
      <w:r w:rsidR="003D0203">
        <w:t>)</w:t>
      </w:r>
      <w:r>
        <w:t xml:space="preserve"> spreadsheet-based tool</w:t>
      </w:r>
      <w:r w:rsidR="003D0203">
        <w:t>.</w:t>
      </w:r>
    </w:p>
  </w:footnote>
  <w:footnote w:id="9">
    <w:p w:rsidR="00976233" w:rsidRDefault="00976233" w:rsidP="00F13ECB">
      <w:pPr>
        <w:pStyle w:val="FootnoteText"/>
      </w:pPr>
      <w:r>
        <w:rPr>
          <w:rStyle w:val="FootnoteReference"/>
        </w:rPr>
        <w:footnoteRef/>
      </w:r>
      <w:r>
        <w:t xml:space="preserve"> </w:t>
      </w:r>
      <w:proofErr w:type="gramStart"/>
      <w:r w:rsidRPr="00D14687">
        <w:t>World Bank.</w:t>
      </w:r>
      <w:proofErr w:type="gramEnd"/>
      <w:r w:rsidRPr="00D14687">
        <w:t xml:space="preserve"> 2008. </w:t>
      </w:r>
      <w:r w:rsidRPr="00D14687">
        <w:rPr>
          <w:i/>
        </w:rPr>
        <w:t>Development and Climate Change: A Strategic Framework for the World Bank Group</w:t>
      </w:r>
      <w:r w:rsidR="003D0203">
        <w:t>,</w:t>
      </w:r>
      <w:r w:rsidRPr="00D14687">
        <w:t xml:space="preserve"> p. 7.</w:t>
      </w:r>
    </w:p>
  </w:footnote>
  <w:footnote w:id="10">
    <w:p w:rsidR="00976233" w:rsidRPr="00D14687" w:rsidRDefault="00976233" w:rsidP="00F13ECB">
      <w:pPr>
        <w:pStyle w:val="FootnoteText"/>
        <w:rPr>
          <w:i/>
        </w:rPr>
      </w:pPr>
      <w:r>
        <w:rPr>
          <w:rStyle w:val="FootnoteReference"/>
        </w:rPr>
        <w:footnoteRef/>
      </w:r>
      <w:r>
        <w:t xml:space="preserve"> </w:t>
      </w:r>
      <w:proofErr w:type="gramStart"/>
      <w:r w:rsidRPr="00D14687">
        <w:t>World Bank.</w:t>
      </w:r>
      <w:proofErr w:type="gramEnd"/>
      <w:r w:rsidRPr="00D14687">
        <w:t xml:space="preserve"> 2012. </w:t>
      </w:r>
      <w:r w:rsidRPr="00D14687">
        <w:rPr>
          <w:i/>
        </w:rPr>
        <w:t xml:space="preserve">Toward a Green, Clean, and Resilient World for All A World Bank Group Environment Strategy </w:t>
      </w:r>
    </w:p>
    <w:p w:rsidR="00976233" w:rsidRDefault="00976233" w:rsidP="00F13ECB">
      <w:pPr>
        <w:pStyle w:val="FootnoteText"/>
      </w:pPr>
      <w:r w:rsidRPr="00D14687">
        <w:rPr>
          <w:i/>
        </w:rPr>
        <w:t>2012 – 2022</w:t>
      </w:r>
      <w:r w:rsidR="003D0203">
        <w:rPr>
          <w:i/>
        </w:rPr>
        <w:t>,</w:t>
      </w:r>
      <w:r w:rsidRPr="00D14687">
        <w:t xml:space="preserve"> p. 4.</w:t>
      </w:r>
    </w:p>
  </w:footnote>
  <w:footnote w:id="11">
    <w:p w:rsidR="00AD6F0E" w:rsidRPr="00AD6F0E" w:rsidRDefault="00976233" w:rsidP="00AD6F0E">
      <w:pPr>
        <w:spacing w:after="0" w:line="240" w:lineRule="auto"/>
        <w:rPr>
          <w:rStyle w:val="Hyperlink"/>
          <w:sz w:val="20"/>
          <w:szCs w:val="20"/>
        </w:rPr>
      </w:pPr>
      <w:r>
        <w:rPr>
          <w:rStyle w:val="FootnoteReference"/>
        </w:rPr>
        <w:footnoteRef/>
      </w:r>
      <w:r>
        <w:t xml:space="preserve"> </w:t>
      </w:r>
      <w:r w:rsidRPr="00BC1C69">
        <w:rPr>
          <w:sz w:val="20"/>
          <w:szCs w:val="20"/>
        </w:rPr>
        <w:t>See, for example,</w:t>
      </w:r>
      <w:r w:rsidR="00AD6F0E">
        <w:rPr>
          <w:sz w:val="20"/>
          <w:szCs w:val="20"/>
        </w:rPr>
        <w:t xml:space="preserve"> the African Development Bank’s new climate safeguard, including the</w:t>
      </w:r>
      <w:r w:rsidRPr="00BC1C69">
        <w:rPr>
          <w:sz w:val="20"/>
          <w:szCs w:val="20"/>
        </w:rPr>
        <w:t xml:space="preserve"> </w:t>
      </w:r>
      <w:r w:rsidR="00AD6F0E">
        <w:rPr>
          <w:sz w:val="20"/>
          <w:szCs w:val="20"/>
        </w:rPr>
        <w:fldChar w:fldCharType="begin"/>
      </w:r>
      <w:r w:rsidR="00AD6F0E">
        <w:rPr>
          <w:sz w:val="20"/>
          <w:szCs w:val="20"/>
        </w:rPr>
        <w:instrText xml:space="preserve"> HYPERLINK "http://www.afdb.org/fileadmin/uploads/afdb/Documents/Generic-Documents/CSS%20Basics-En_def.pdf" </w:instrText>
      </w:r>
      <w:r w:rsidR="00AD6F0E">
        <w:rPr>
          <w:sz w:val="20"/>
          <w:szCs w:val="20"/>
        </w:rPr>
        <w:fldChar w:fldCharType="separate"/>
      </w:r>
      <w:r w:rsidR="00AD6F0E" w:rsidRPr="00AD6F0E">
        <w:rPr>
          <w:rStyle w:val="Hyperlink"/>
          <w:sz w:val="20"/>
          <w:szCs w:val="20"/>
        </w:rPr>
        <w:t>Climate Screening</w:t>
      </w:r>
    </w:p>
    <w:p w:rsidR="00976233" w:rsidRPr="00BC1C69" w:rsidRDefault="00AD6F0E" w:rsidP="00AD6F0E">
      <w:pPr>
        <w:spacing w:after="0" w:line="240" w:lineRule="auto"/>
        <w:rPr>
          <w:rFonts w:eastAsia="Times New Roman" w:cs="Arial"/>
        </w:rPr>
      </w:pPr>
      <w:proofErr w:type="gramStart"/>
      <w:r w:rsidRPr="00AD6F0E">
        <w:rPr>
          <w:rStyle w:val="Hyperlink"/>
          <w:sz w:val="20"/>
          <w:szCs w:val="20"/>
        </w:rPr>
        <w:t>an</w:t>
      </w:r>
      <w:proofErr w:type="gramEnd"/>
      <w:r w:rsidRPr="00AD6F0E">
        <w:rPr>
          <w:rStyle w:val="Hyperlink"/>
          <w:sz w:val="20"/>
          <w:szCs w:val="20"/>
        </w:rPr>
        <w:t>d Adaptation Review &amp; Evaluation Procedures</w:t>
      </w:r>
      <w:r>
        <w:rPr>
          <w:sz w:val="20"/>
          <w:szCs w:val="20"/>
        </w:rPr>
        <w:fldChar w:fldCharType="end"/>
      </w:r>
      <w:r>
        <w:rPr>
          <w:sz w:val="20"/>
          <w:szCs w:val="20"/>
        </w:rPr>
        <w:t xml:space="preserve">. </w:t>
      </w:r>
    </w:p>
  </w:footnote>
  <w:footnote w:id="12">
    <w:p w:rsidR="00976233" w:rsidRDefault="00976233" w:rsidP="00F13ECB">
      <w:pPr>
        <w:pStyle w:val="FootnoteText"/>
      </w:pPr>
      <w:r>
        <w:rPr>
          <w:rStyle w:val="FootnoteReference"/>
        </w:rPr>
        <w:footnoteRef/>
      </w:r>
      <w:r w:rsidR="003D0203">
        <w:t xml:space="preserve"> See</w:t>
      </w:r>
      <w:r>
        <w:t xml:space="preserve"> </w:t>
      </w:r>
      <w:proofErr w:type="spellStart"/>
      <w:r w:rsidRPr="004A3B04">
        <w:t>Agrawala</w:t>
      </w:r>
      <w:proofErr w:type="spellEnd"/>
      <w:r w:rsidRPr="004A3B04">
        <w:t xml:space="preserve"> S., A. </w:t>
      </w:r>
      <w:proofErr w:type="spellStart"/>
      <w:r w:rsidRPr="004A3B04">
        <w:t>Matus</w:t>
      </w:r>
      <w:proofErr w:type="spellEnd"/>
      <w:r>
        <w:t xml:space="preserve"> </w:t>
      </w:r>
      <w:r w:rsidRPr="004A3B04">
        <w:t>Kramer, G. Prudent-Richard and M. Sainsbury</w:t>
      </w:r>
      <w:r w:rsidR="00716726">
        <w:t>.</w:t>
      </w:r>
      <w:r>
        <w:t xml:space="preserve"> </w:t>
      </w:r>
      <w:r w:rsidR="00716726">
        <w:t>2010.</w:t>
      </w:r>
      <w:r w:rsidRPr="004A3B04">
        <w:t xml:space="preserve"> “</w:t>
      </w:r>
      <w:r>
        <w:t>Incorporating Climate Change Impacts and Adaptation in Environmental Impact Assessments: Opportunities and Challenges</w:t>
      </w:r>
      <w:r w:rsidR="001B598D">
        <w:t>,”</w:t>
      </w:r>
      <w:r w:rsidRPr="004A3B04">
        <w:t xml:space="preserve"> OECD Environmental Working Paper No.</w:t>
      </w:r>
      <w:r>
        <w:t xml:space="preserve"> </w:t>
      </w:r>
      <w:r w:rsidRPr="004A3B04">
        <w:t>24, OECD Publishing</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33" w:rsidRDefault="00976233" w:rsidP="009762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79E6"/>
    <w:multiLevelType w:val="hybridMultilevel"/>
    <w:tmpl w:val="96DC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87971"/>
    <w:multiLevelType w:val="hybridMultilevel"/>
    <w:tmpl w:val="A112B5A4"/>
    <w:lvl w:ilvl="0" w:tplc="9CE0BB2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35153"/>
    <w:multiLevelType w:val="hybridMultilevel"/>
    <w:tmpl w:val="0798933E"/>
    <w:lvl w:ilvl="0" w:tplc="C26C43F2">
      <w:start w:val="2012"/>
      <w:numFmt w:val="bullet"/>
      <w:lvlText w:val="-"/>
      <w:lvlJc w:val="left"/>
      <w:pPr>
        <w:ind w:left="720" w:hanging="360"/>
      </w:pPr>
      <w:rPr>
        <w:rFonts w:ascii="Georgia" w:eastAsiaTheme="minorHAns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A1243"/>
    <w:multiLevelType w:val="hybridMultilevel"/>
    <w:tmpl w:val="F42C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A5CAB"/>
    <w:multiLevelType w:val="hybridMultilevel"/>
    <w:tmpl w:val="ADB4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26928"/>
    <w:multiLevelType w:val="hybridMultilevel"/>
    <w:tmpl w:val="F1D89AC8"/>
    <w:lvl w:ilvl="0" w:tplc="0409000F">
      <w:start w:val="1"/>
      <w:numFmt w:val="decimal"/>
      <w:lvlText w:val="%1."/>
      <w:lvlJc w:val="left"/>
      <w:pPr>
        <w:ind w:left="720" w:hanging="360"/>
      </w:pPr>
      <w:rPr>
        <w:rFonts w:hint="default"/>
      </w:rPr>
    </w:lvl>
    <w:lvl w:ilvl="1" w:tplc="85520D00">
      <w:start w:val="1"/>
      <w:numFmt w:val="lowerLetter"/>
      <w:lvlText w:val="%2."/>
      <w:lvlJc w:val="left"/>
      <w:pPr>
        <w:ind w:left="1440" w:hanging="360"/>
      </w:pPr>
      <w:rPr>
        <w:rFonts w:ascii="Georgia" w:hAnsi="Georgia" w:hint="default"/>
        <w:b/>
        <w:color w:val="F0AB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D4ED9"/>
    <w:multiLevelType w:val="hybridMultilevel"/>
    <w:tmpl w:val="368875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C2827"/>
    <w:multiLevelType w:val="hybridMultilevel"/>
    <w:tmpl w:val="A664B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CB"/>
    <w:rsid w:val="000E3B92"/>
    <w:rsid w:val="000E5DE8"/>
    <w:rsid w:val="00122A91"/>
    <w:rsid w:val="0016092E"/>
    <w:rsid w:val="001A191F"/>
    <w:rsid w:val="001B598D"/>
    <w:rsid w:val="001C2AA7"/>
    <w:rsid w:val="002F1D1C"/>
    <w:rsid w:val="003D0203"/>
    <w:rsid w:val="00472EB9"/>
    <w:rsid w:val="004972D9"/>
    <w:rsid w:val="005D6DCE"/>
    <w:rsid w:val="005F0FD6"/>
    <w:rsid w:val="0062777D"/>
    <w:rsid w:val="006F2318"/>
    <w:rsid w:val="00716726"/>
    <w:rsid w:val="007F17B3"/>
    <w:rsid w:val="007F5113"/>
    <w:rsid w:val="00825E10"/>
    <w:rsid w:val="00976233"/>
    <w:rsid w:val="00A33D4D"/>
    <w:rsid w:val="00AA569A"/>
    <w:rsid w:val="00AD570B"/>
    <w:rsid w:val="00AD6F0E"/>
    <w:rsid w:val="00C83DD8"/>
    <w:rsid w:val="00D52D21"/>
    <w:rsid w:val="00E117D4"/>
    <w:rsid w:val="00E12497"/>
    <w:rsid w:val="00EB31A4"/>
    <w:rsid w:val="00F13ECB"/>
    <w:rsid w:val="00F523D9"/>
    <w:rsid w:val="00FA099E"/>
    <w:rsid w:val="00FC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ECB"/>
    <w:pPr>
      <w:ind w:left="720"/>
      <w:contextualSpacing/>
    </w:pPr>
  </w:style>
  <w:style w:type="paragraph" w:styleId="Header">
    <w:name w:val="header"/>
    <w:basedOn w:val="Normal"/>
    <w:link w:val="HeaderChar"/>
    <w:uiPriority w:val="99"/>
    <w:unhideWhenUsed/>
    <w:rsid w:val="00F13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ECB"/>
  </w:style>
  <w:style w:type="paragraph" w:styleId="Footer">
    <w:name w:val="footer"/>
    <w:basedOn w:val="Normal"/>
    <w:link w:val="FooterChar"/>
    <w:uiPriority w:val="99"/>
    <w:unhideWhenUsed/>
    <w:rsid w:val="00F13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ECB"/>
  </w:style>
  <w:style w:type="character" w:styleId="CommentReference">
    <w:name w:val="annotation reference"/>
    <w:basedOn w:val="DefaultParagraphFont"/>
    <w:uiPriority w:val="99"/>
    <w:semiHidden/>
    <w:unhideWhenUsed/>
    <w:rsid w:val="00F13ECB"/>
    <w:rPr>
      <w:sz w:val="16"/>
      <w:szCs w:val="16"/>
    </w:rPr>
  </w:style>
  <w:style w:type="paragraph" w:styleId="CommentText">
    <w:name w:val="annotation text"/>
    <w:basedOn w:val="Normal"/>
    <w:link w:val="CommentTextChar"/>
    <w:uiPriority w:val="99"/>
    <w:semiHidden/>
    <w:unhideWhenUsed/>
    <w:rsid w:val="00F13ECB"/>
    <w:pPr>
      <w:spacing w:line="240" w:lineRule="auto"/>
    </w:pPr>
    <w:rPr>
      <w:sz w:val="20"/>
      <w:szCs w:val="20"/>
    </w:rPr>
  </w:style>
  <w:style w:type="character" w:customStyle="1" w:styleId="CommentTextChar">
    <w:name w:val="Comment Text Char"/>
    <w:basedOn w:val="DefaultParagraphFont"/>
    <w:link w:val="CommentText"/>
    <w:uiPriority w:val="99"/>
    <w:semiHidden/>
    <w:rsid w:val="00F13ECB"/>
    <w:rPr>
      <w:sz w:val="20"/>
      <w:szCs w:val="20"/>
    </w:rPr>
  </w:style>
  <w:style w:type="paragraph" w:styleId="FootnoteText">
    <w:name w:val="footnote text"/>
    <w:basedOn w:val="Normal"/>
    <w:link w:val="FootnoteTextChar"/>
    <w:uiPriority w:val="99"/>
    <w:semiHidden/>
    <w:unhideWhenUsed/>
    <w:rsid w:val="00F13E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ECB"/>
    <w:rPr>
      <w:sz w:val="20"/>
      <w:szCs w:val="20"/>
    </w:rPr>
  </w:style>
  <w:style w:type="character" w:styleId="FootnoteReference">
    <w:name w:val="footnote reference"/>
    <w:basedOn w:val="DefaultParagraphFont"/>
    <w:uiPriority w:val="99"/>
    <w:semiHidden/>
    <w:unhideWhenUsed/>
    <w:rsid w:val="00F13ECB"/>
    <w:rPr>
      <w:vertAlign w:val="superscript"/>
    </w:rPr>
  </w:style>
  <w:style w:type="character" w:styleId="Hyperlink">
    <w:name w:val="Hyperlink"/>
    <w:basedOn w:val="DefaultParagraphFont"/>
    <w:uiPriority w:val="99"/>
    <w:unhideWhenUsed/>
    <w:rsid w:val="00F13ECB"/>
    <w:rPr>
      <w:color w:val="0000FF" w:themeColor="hyperlink"/>
      <w:u w:val="single"/>
    </w:rPr>
  </w:style>
  <w:style w:type="paragraph" w:styleId="BalloonText">
    <w:name w:val="Balloon Text"/>
    <w:basedOn w:val="Normal"/>
    <w:link w:val="BalloonTextChar"/>
    <w:uiPriority w:val="99"/>
    <w:semiHidden/>
    <w:unhideWhenUsed/>
    <w:rsid w:val="00F13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EC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117D4"/>
    <w:rPr>
      <w:b/>
      <w:bCs/>
    </w:rPr>
  </w:style>
  <w:style w:type="character" w:customStyle="1" w:styleId="CommentSubjectChar">
    <w:name w:val="Comment Subject Char"/>
    <w:basedOn w:val="CommentTextChar"/>
    <w:link w:val="CommentSubject"/>
    <w:uiPriority w:val="99"/>
    <w:semiHidden/>
    <w:rsid w:val="00E117D4"/>
    <w:rPr>
      <w:b/>
      <w:bCs/>
      <w:sz w:val="20"/>
      <w:szCs w:val="20"/>
    </w:rPr>
  </w:style>
  <w:style w:type="character" w:styleId="FollowedHyperlink">
    <w:name w:val="FollowedHyperlink"/>
    <w:basedOn w:val="DefaultParagraphFont"/>
    <w:uiPriority w:val="99"/>
    <w:semiHidden/>
    <w:unhideWhenUsed/>
    <w:rsid w:val="003D02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ECB"/>
    <w:pPr>
      <w:ind w:left="720"/>
      <w:contextualSpacing/>
    </w:pPr>
  </w:style>
  <w:style w:type="paragraph" w:styleId="Header">
    <w:name w:val="header"/>
    <w:basedOn w:val="Normal"/>
    <w:link w:val="HeaderChar"/>
    <w:uiPriority w:val="99"/>
    <w:unhideWhenUsed/>
    <w:rsid w:val="00F13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ECB"/>
  </w:style>
  <w:style w:type="paragraph" w:styleId="Footer">
    <w:name w:val="footer"/>
    <w:basedOn w:val="Normal"/>
    <w:link w:val="FooterChar"/>
    <w:uiPriority w:val="99"/>
    <w:unhideWhenUsed/>
    <w:rsid w:val="00F13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ECB"/>
  </w:style>
  <w:style w:type="character" w:styleId="CommentReference">
    <w:name w:val="annotation reference"/>
    <w:basedOn w:val="DefaultParagraphFont"/>
    <w:uiPriority w:val="99"/>
    <w:semiHidden/>
    <w:unhideWhenUsed/>
    <w:rsid w:val="00F13ECB"/>
    <w:rPr>
      <w:sz w:val="16"/>
      <w:szCs w:val="16"/>
    </w:rPr>
  </w:style>
  <w:style w:type="paragraph" w:styleId="CommentText">
    <w:name w:val="annotation text"/>
    <w:basedOn w:val="Normal"/>
    <w:link w:val="CommentTextChar"/>
    <w:uiPriority w:val="99"/>
    <w:semiHidden/>
    <w:unhideWhenUsed/>
    <w:rsid w:val="00F13ECB"/>
    <w:pPr>
      <w:spacing w:line="240" w:lineRule="auto"/>
    </w:pPr>
    <w:rPr>
      <w:sz w:val="20"/>
      <w:szCs w:val="20"/>
    </w:rPr>
  </w:style>
  <w:style w:type="character" w:customStyle="1" w:styleId="CommentTextChar">
    <w:name w:val="Comment Text Char"/>
    <w:basedOn w:val="DefaultParagraphFont"/>
    <w:link w:val="CommentText"/>
    <w:uiPriority w:val="99"/>
    <w:semiHidden/>
    <w:rsid w:val="00F13ECB"/>
    <w:rPr>
      <w:sz w:val="20"/>
      <w:szCs w:val="20"/>
    </w:rPr>
  </w:style>
  <w:style w:type="paragraph" w:styleId="FootnoteText">
    <w:name w:val="footnote text"/>
    <w:basedOn w:val="Normal"/>
    <w:link w:val="FootnoteTextChar"/>
    <w:uiPriority w:val="99"/>
    <w:semiHidden/>
    <w:unhideWhenUsed/>
    <w:rsid w:val="00F13E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ECB"/>
    <w:rPr>
      <w:sz w:val="20"/>
      <w:szCs w:val="20"/>
    </w:rPr>
  </w:style>
  <w:style w:type="character" w:styleId="FootnoteReference">
    <w:name w:val="footnote reference"/>
    <w:basedOn w:val="DefaultParagraphFont"/>
    <w:uiPriority w:val="99"/>
    <w:semiHidden/>
    <w:unhideWhenUsed/>
    <w:rsid w:val="00F13ECB"/>
    <w:rPr>
      <w:vertAlign w:val="superscript"/>
    </w:rPr>
  </w:style>
  <w:style w:type="character" w:styleId="Hyperlink">
    <w:name w:val="Hyperlink"/>
    <w:basedOn w:val="DefaultParagraphFont"/>
    <w:uiPriority w:val="99"/>
    <w:unhideWhenUsed/>
    <w:rsid w:val="00F13ECB"/>
    <w:rPr>
      <w:color w:val="0000FF" w:themeColor="hyperlink"/>
      <w:u w:val="single"/>
    </w:rPr>
  </w:style>
  <w:style w:type="paragraph" w:styleId="BalloonText">
    <w:name w:val="Balloon Text"/>
    <w:basedOn w:val="Normal"/>
    <w:link w:val="BalloonTextChar"/>
    <w:uiPriority w:val="99"/>
    <w:semiHidden/>
    <w:unhideWhenUsed/>
    <w:rsid w:val="00F13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EC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117D4"/>
    <w:rPr>
      <w:b/>
      <w:bCs/>
    </w:rPr>
  </w:style>
  <w:style w:type="character" w:customStyle="1" w:styleId="CommentSubjectChar">
    <w:name w:val="Comment Subject Char"/>
    <w:basedOn w:val="CommentTextChar"/>
    <w:link w:val="CommentSubject"/>
    <w:uiPriority w:val="99"/>
    <w:semiHidden/>
    <w:rsid w:val="00E117D4"/>
    <w:rPr>
      <w:b/>
      <w:bCs/>
      <w:sz w:val="20"/>
      <w:szCs w:val="20"/>
    </w:rPr>
  </w:style>
  <w:style w:type="character" w:styleId="FollowedHyperlink">
    <w:name w:val="FollowedHyperlink"/>
    <w:basedOn w:val="DefaultParagraphFont"/>
    <w:uiPriority w:val="99"/>
    <w:semiHidden/>
    <w:unhideWhenUsed/>
    <w:rsid w:val="003D02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hgprotocol.org/standards/project-protoco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hgprotocol.org/standards/scope-3-standar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resourcesreport.org/wrr-2010-2011" TargetMode="External"/><Relationship Id="rId5" Type="http://schemas.openxmlformats.org/officeDocument/2006/relationships/settings" Target="settings.xml"/><Relationship Id="rId15" Type="http://schemas.openxmlformats.org/officeDocument/2006/relationships/hyperlink" Target="http://www.ghgprotocol.org/mitigation-accounting" TargetMode="External"/><Relationship Id="rId10" Type="http://schemas.openxmlformats.org/officeDocument/2006/relationships/hyperlink" Target="http://pdf.wri.org/ready_or_not.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hgprotocol.org/feature/financial-sector-guidance-corporate-value-chain-scope-3-accounting-and-report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ri.org/publication/striking-the-balance-ownership-and-accountability-in-social-and-environmental-safegu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67A49-9565-4445-BEF6-2B255240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WORLD RESOURCES INSTITUTE</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 Larsen</dc:creator>
  <cp:lastModifiedBy>Gaia Larsen</cp:lastModifiedBy>
  <cp:revision>2</cp:revision>
  <dcterms:created xsi:type="dcterms:W3CDTF">2013-05-01T02:48:00Z</dcterms:created>
  <dcterms:modified xsi:type="dcterms:W3CDTF">2013-05-01T02:48:00Z</dcterms:modified>
</cp:coreProperties>
</file>