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31FC4" w:rsidRDefault="000E223C" w:rsidP="00FB0DE9">
      <w:pPr>
        <w:pStyle w:val="Title"/>
        <w:jc w:val="center"/>
        <w:rPr>
          <w:rFonts w:ascii="Calibri Light" w:hAnsi="Calibri Light"/>
          <w:color w:val="323E4F"/>
          <w:sz w:val="32"/>
          <w:szCs w:val="32"/>
        </w:rPr>
      </w:pPr>
      <w:bookmarkStart w:id="0" w:name="_GoBack"/>
      <w:bookmarkEnd w:id="0"/>
      <w:r w:rsidRPr="000E223C">
        <w:rPr>
          <w:rFonts w:ascii="Arial" w:hAnsi="Arial" w:cs="Arial"/>
          <w:noProof/>
          <w:color w:val="000000"/>
          <w:sz w:val="18"/>
          <w:szCs w:val="18"/>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This image shows different scenes such as green fields, water, and people." style="width:236.25pt;height:69.75pt;visibility:visible">
            <v:imagedata r:id="rId8" o:title=" This image shows different scenes such as green fields, water, and people"/>
          </v:shape>
        </w:pict>
      </w:r>
    </w:p>
    <w:p w:rsidR="00FB0DE9" w:rsidRPr="00B31FC4" w:rsidRDefault="00FB0DE9" w:rsidP="00FB0DE9">
      <w:pPr>
        <w:spacing w:after="0"/>
        <w:jc w:val="center"/>
        <w:rPr>
          <w:rFonts w:cs="Calibri"/>
          <w:b/>
          <w:color w:val="2E74B5"/>
          <w:sz w:val="28"/>
          <w:szCs w:val="28"/>
        </w:rPr>
      </w:pPr>
      <w:r w:rsidRPr="00B31FC4">
        <w:rPr>
          <w:rFonts w:cs="Calibri"/>
          <w:b/>
          <w:color w:val="2E74B5"/>
          <w:sz w:val="28"/>
          <w:szCs w:val="28"/>
        </w:rPr>
        <w:t>Review and Update of the World Bank’s Environmental and Social Safeguard Policies</w:t>
      </w:r>
    </w:p>
    <w:p w:rsidR="00FB0DE9" w:rsidRPr="00B31FC4" w:rsidRDefault="00FB0DE9" w:rsidP="00FB0DE9">
      <w:pPr>
        <w:pStyle w:val="Title"/>
        <w:spacing w:after="0"/>
        <w:jc w:val="center"/>
        <w:rPr>
          <w:rFonts w:ascii="Calibri" w:hAnsi="Calibri" w:cs="Arial"/>
          <w:b/>
          <w:color w:val="2E74B5"/>
          <w:sz w:val="28"/>
          <w:szCs w:val="28"/>
          <w:lang w:bidi="ar-LB"/>
        </w:rPr>
      </w:pPr>
      <w:r w:rsidRPr="00B31FC4">
        <w:rPr>
          <w:rFonts w:ascii="Calibri" w:hAnsi="Calibri" w:cs="Calibri"/>
          <w:b/>
          <w:color w:val="2E74B5"/>
          <w:sz w:val="28"/>
          <w:szCs w:val="28"/>
        </w:rPr>
        <w:t xml:space="preserve">Phase </w:t>
      </w:r>
      <w:r w:rsidRPr="00B31FC4">
        <w:rPr>
          <w:rFonts w:ascii="Calibri" w:hAnsi="Calibri" w:cs="Calibri" w:hint="cs"/>
          <w:bCs/>
          <w:color w:val="2E74B5"/>
          <w:sz w:val="28"/>
          <w:szCs w:val="28"/>
          <w:rtl/>
        </w:rPr>
        <w:t>3</w:t>
      </w:r>
    </w:p>
    <w:p w:rsidR="00FB0DE9" w:rsidRPr="00B31FC4" w:rsidRDefault="00FB0DE9" w:rsidP="00FB0DE9">
      <w:pPr>
        <w:pStyle w:val="Title"/>
        <w:spacing w:after="0"/>
        <w:jc w:val="center"/>
        <w:rPr>
          <w:rFonts w:ascii="Calibri" w:hAnsi="Calibri" w:cs="Calibri"/>
          <w:b/>
          <w:color w:val="2E74B5"/>
          <w:sz w:val="28"/>
          <w:szCs w:val="28"/>
        </w:rPr>
      </w:pPr>
      <w:r w:rsidRPr="00B31FC4">
        <w:rPr>
          <w:rFonts w:ascii="Calibri" w:hAnsi="Calibri" w:cs="Calibri"/>
          <w:b/>
          <w:color w:val="2E74B5"/>
          <w:sz w:val="28"/>
          <w:szCs w:val="28"/>
        </w:rPr>
        <w:t>Feedback Summary</w:t>
      </w:r>
    </w:p>
    <w:p w:rsidR="00FB0DE9" w:rsidRPr="00B31FC4"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B31FC4">
        <w:rPr>
          <w:rFonts w:ascii="Times New Roman" w:hAnsi="Times New Roman" w:cs="Times New Roman"/>
          <w:b/>
          <w:bCs/>
          <w:sz w:val="22"/>
          <w:szCs w:val="22"/>
          <w:lang w:val="en-US"/>
        </w:rPr>
        <w:t xml:space="preserve">Date: </w:t>
      </w:r>
      <w:r w:rsidR="0057343E">
        <w:rPr>
          <w:rFonts w:ascii="Times New Roman" w:hAnsi="Times New Roman" w:cs="Times New Roman"/>
          <w:bCs/>
          <w:sz w:val="22"/>
          <w:szCs w:val="22"/>
          <w:lang w:val="en-US"/>
        </w:rPr>
        <w:t>March 1, 2016</w:t>
      </w: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B31FC4">
        <w:rPr>
          <w:rFonts w:ascii="Times New Roman" w:hAnsi="Times New Roman" w:cs="Times New Roman"/>
          <w:b/>
          <w:bCs/>
          <w:sz w:val="22"/>
          <w:szCs w:val="22"/>
          <w:lang w:val="en-US"/>
        </w:rPr>
        <w:t xml:space="preserve">Location: </w:t>
      </w:r>
      <w:r w:rsidR="0057343E">
        <w:rPr>
          <w:rFonts w:ascii="Times New Roman" w:hAnsi="Times New Roman" w:cs="Times New Roman"/>
          <w:bCs/>
          <w:sz w:val="22"/>
          <w:szCs w:val="22"/>
          <w:lang w:val="en-US"/>
        </w:rPr>
        <w:t>Brasilia, Brazil</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B31FC4">
        <w:rPr>
          <w:rFonts w:ascii="Times New Roman" w:hAnsi="Times New Roman" w:cs="Times New Roman"/>
          <w:b/>
          <w:bCs/>
          <w:sz w:val="22"/>
          <w:szCs w:val="22"/>
          <w:lang w:val="en-US"/>
        </w:rPr>
        <w:t>Audience</w:t>
      </w:r>
      <w:r w:rsidR="00944F46" w:rsidRPr="00B31FC4">
        <w:rPr>
          <w:rFonts w:ascii="Times New Roman" w:hAnsi="Times New Roman" w:cs="Times New Roman"/>
          <w:b/>
          <w:bCs/>
          <w:sz w:val="22"/>
          <w:szCs w:val="22"/>
          <w:lang w:val="en-US"/>
        </w:rPr>
        <w:t xml:space="preserve">: </w:t>
      </w:r>
      <w:r w:rsidR="0057343E">
        <w:rPr>
          <w:rFonts w:ascii="Times New Roman" w:hAnsi="Times New Roman" w:cs="Times New Roman"/>
          <w:bCs/>
          <w:sz w:val="22"/>
          <w:szCs w:val="22"/>
          <w:lang w:val="en-US"/>
        </w:rPr>
        <w:t>Government</w:t>
      </w:r>
    </w:p>
    <w:p w:rsidR="00A72906" w:rsidRDefault="00A7290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450"/>
        <w:gridCol w:w="5659"/>
        <w:gridCol w:w="5516"/>
      </w:tblGrid>
      <w:tr w:rsidR="001120A9" w:rsidRPr="00B31FC4" w:rsidTr="000D75F5">
        <w:tc>
          <w:tcPr>
            <w:tcW w:w="339"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ESF</w:t>
            </w:r>
          </w:p>
        </w:tc>
        <w:tc>
          <w:tcPr>
            <w:tcW w:w="838"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Issue</w:t>
            </w:r>
          </w:p>
        </w:tc>
        <w:tc>
          <w:tcPr>
            <w:tcW w:w="1936"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Items</w:t>
            </w:r>
          </w:p>
        </w:tc>
        <w:tc>
          <w:tcPr>
            <w:tcW w:w="1886" w:type="pct"/>
            <w:shd w:val="clear" w:color="auto" w:fill="D9D9D9"/>
          </w:tcPr>
          <w:p w:rsidR="00944F46" w:rsidRPr="009B02C3" w:rsidRDefault="00944F46" w:rsidP="001E6381">
            <w:pPr>
              <w:spacing w:before="120" w:after="0" w:line="240" w:lineRule="auto"/>
              <w:jc w:val="center"/>
              <w:rPr>
                <w:rFonts w:ascii="Times New Roman" w:hAnsi="Times New Roman" w:cs="Times New Roman"/>
                <w:b/>
                <w:sz w:val="24"/>
                <w:szCs w:val="24"/>
              </w:rPr>
            </w:pPr>
            <w:r w:rsidRPr="009B02C3">
              <w:rPr>
                <w:rFonts w:ascii="Times New Roman" w:hAnsi="Times New Roman" w:cs="Times New Roman"/>
                <w:b/>
                <w:sz w:val="24"/>
                <w:szCs w:val="24"/>
              </w:rPr>
              <w:t>Feedback</w:t>
            </w: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Vision</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 xml:space="preserve">Human Rights </w:t>
            </w:r>
          </w:p>
        </w:tc>
        <w:tc>
          <w:tcPr>
            <w:tcW w:w="1936" w:type="pct"/>
            <w:shd w:val="clear" w:color="auto" w:fill="E7E6E6"/>
          </w:tcPr>
          <w:p w:rsidR="00944F46" w:rsidRPr="000E223C" w:rsidRDefault="004A1E31" w:rsidP="001120A9">
            <w:pPr>
              <w:pStyle w:val="ColorfulList-Accent11"/>
              <w:numPr>
                <w:ilvl w:val="0"/>
                <w:numId w:val="11"/>
              </w:numPr>
              <w:ind w:left="342"/>
              <w:rPr>
                <w:rFonts w:ascii="Times New Roman" w:hAnsi="Times New Roman"/>
                <w:color w:val="000000"/>
                <w:sz w:val="24"/>
                <w:szCs w:val="24"/>
                <w:lang w:val="en-US"/>
              </w:rPr>
            </w:pPr>
            <w:r w:rsidRPr="000E223C">
              <w:rPr>
                <w:rFonts w:ascii="Times New Roman" w:hAnsi="Times New Roman"/>
                <w:color w:val="000000"/>
                <w:sz w:val="24"/>
                <w:szCs w:val="24"/>
                <w:lang w:val="en-US"/>
              </w:rPr>
              <w:t xml:space="preserve">Approach to human rights </w:t>
            </w:r>
            <w:r w:rsidR="00944F46" w:rsidRPr="000E223C">
              <w:rPr>
                <w:rFonts w:ascii="Times New Roman" w:hAnsi="Times New Roman"/>
                <w:color w:val="000000"/>
                <w:sz w:val="24"/>
                <w:szCs w:val="24"/>
                <w:lang w:val="en-US"/>
              </w:rPr>
              <w:t xml:space="preserve">in the ESF </w:t>
            </w:r>
          </w:p>
        </w:tc>
        <w:tc>
          <w:tcPr>
            <w:tcW w:w="1886" w:type="pct"/>
            <w:shd w:val="clear" w:color="auto" w:fill="auto"/>
          </w:tcPr>
          <w:p w:rsidR="008148BB" w:rsidRPr="000E223C" w:rsidRDefault="009B02C3" w:rsidP="009B02C3">
            <w:pPr>
              <w:pStyle w:val="ColorfulList-Accent11"/>
              <w:numPr>
                <w:ilvl w:val="0"/>
                <w:numId w:val="41"/>
              </w:numPr>
              <w:spacing w:before="120"/>
              <w:ind w:left="378"/>
              <w:jc w:val="both"/>
              <w:rPr>
                <w:rFonts w:ascii="Times New Roman" w:hAnsi="Times New Roman"/>
                <w:color w:val="000000"/>
                <w:sz w:val="24"/>
                <w:szCs w:val="24"/>
                <w:lang w:val="en-US"/>
              </w:rPr>
            </w:pPr>
            <w:r w:rsidRPr="000E223C">
              <w:rPr>
                <w:rFonts w:ascii="Times New Roman" w:hAnsi="Times New Roman"/>
                <w:sz w:val="24"/>
                <w:szCs w:val="24"/>
                <w:lang w:val="en-US"/>
              </w:rPr>
              <w:t xml:space="preserve">Participants welcomed the inclusion of the human rights language </w:t>
            </w:r>
            <w:r w:rsidR="00C07D9D" w:rsidRPr="000E223C">
              <w:rPr>
                <w:rFonts w:ascii="Times New Roman" w:hAnsi="Times New Roman"/>
                <w:sz w:val="24"/>
                <w:szCs w:val="24"/>
                <w:lang w:val="en-US"/>
              </w:rPr>
              <w:t>in the proposed ESF</w:t>
            </w:r>
            <w:r w:rsidRPr="000E223C">
              <w:rPr>
                <w:rFonts w:ascii="Times New Roman" w:hAnsi="Times New Roman"/>
                <w:sz w:val="24"/>
                <w:szCs w:val="24"/>
                <w:lang w:val="en-US"/>
              </w:rPr>
              <w:t>.</w:t>
            </w:r>
          </w:p>
          <w:p w:rsidR="00B0542D" w:rsidRPr="000E223C" w:rsidRDefault="00B0542D" w:rsidP="00B0542D">
            <w:pPr>
              <w:pStyle w:val="ColorfulList-Accent11"/>
              <w:spacing w:before="120"/>
              <w:ind w:left="18"/>
              <w:jc w:val="both"/>
              <w:rPr>
                <w:rFonts w:ascii="Times New Roman" w:hAnsi="Times New Roman"/>
                <w:color w:val="000000"/>
                <w:sz w:val="24"/>
                <w:szCs w:val="24"/>
                <w:lang w:val="en-US"/>
              </w:rPr>
            </w:pPr>
          </w:p>
        </w:tc>
      </w:tr>
      <w:tr w:rsidR="001120A9" w:rsidRPr="00B31FC4" w:rsidTr="000D75F5">
        <w:tc>
          <w:tcPr>
            <w:tcW w:w="339"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ESP/</w:t>
            </w:r>
          </w:p>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Non-discrimination and vulnerable groups</w:t>
            </w:r>
          </w:p>
        </w:tc>
        <w:tc>
          <w:tcPr>
            <w:tcW w:w="1936" w:type="pct"/>
            <w:shd w:val="clear" w:color="auto" w:fill="E7E6E6"/>
          </w:tcPr>
          <w:p w:rsidR="00BC3E92"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Specific aspects of the non-discrimination principle in complex social and political contexts, including where recognition of certain groups is not in accordance with national law</w:t>
            </w:r>
          </w:p>
        </w:tc>
        <w:tc>
          <w:tcPr>
            <w:tcW w:w="1886" w:type="pct"/>
            <w:shd w:val="clear" w:color="auto" w:fill="auto"/>
          </w:tcPr>
          <w:p w:rsidR="000D75F5" w:rsidRPr="000E223C" w:rsidRDefault="000D75F5" w:rsidP="009B02C3">
            <w:pPr>
              <w:pStyle w:val="ColorfulList-Accent11"/>
              <w:numPr>
                <w:ilvl w:val="0"/>
                <w:numId w:val="25"/>
              </w:numPr>
              <w:spacing w:before="120"/>
              <w:ind w:left="378"/>
              <w:rPr>
                <w:rFonts w:ascii="Times New Roman" w:hAnsi="Times New Roman"/>
                <w:sz w:val="24"/>
                <w:szCs w:val="24"/>
                <w:lang w:val="en-US"/>
              </w:rPr>
            </w:pPr>
            <w:r w:rsidRPr="000E223C">
              <w:rPr>
                <w:rFonts w:ascii="Times New Roman" w:hAnsi="Times New Roman"/>
                <w:sz w:val="24"/>
                <w:szCs w:val="24"/>
                <w:lang w:val="en-US"/>
              </w:rPr>
              <w:t xml:space="preserve">Participants were supportive of explicitly including of the language regarding sexual </w:t>
            </w:r>
            <w:r w:rsidR="00C875C6" w:rsidRPr="000E223C">
              <w:rPr>
                <w:rFonts w:ascii="Times New Roman" w:hAnsi="Times New Roman"/>
                <w:sz w:val="24"/>
                <w:szCs w:val="24"/>
                <w:lang w:val="en-US"/>
              </w:rPr>
              <w:t xml:space="preserve">identity and </w:t>
            </w:r>
            <w:r w:rsidRPr="000E223C">
              <w:rPr>
                <w:rFonts w:ascii="Times New Roman" w:hAnsi="Times New Roman"/>
                <w:sz w:val="24"/>
                <w:szCs w:val="24"/>
                <w:lang w:val="en-US"/>
              </w:rPr>
              <w:t xml:space="preserve">orientation in the language of the </w:t>
            </w:r>
            <w:r w:rsidR="006359DD" w:rsidRPr="000E223C">
              <w:rPr>
                <w:rFonts w:ascii="Times New Roman" w:hAnsi="Times New Roman"/>
                <w:sz w:val="24"/>
                <w:szCs w:val="24"/>
                <w:lang w:val="en-US"/>
              </w:rPr>
              <w:t xml:space="preserve">proposed </w:t>
            </w:r>
            <w:r w:rsidRPr="000E223C">
              <w:rPr>
                <w:rFonts w:ascii="Times New Roman" w:hAnsi="Times New Roman"/>
                <w:sz w:val="24"/>
                <w:szCs w:val="24"/>
                <w:lang w:val="en-US"/>
              </w:rPr>
              <w:t>ESF concerning vulnerable groups.</w:t>
            </w: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Use of Borrower’s Environmental and Social Framework</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Approach for making decision on the use of </w:t>
            </w:r>
            <w:r w:rsidRPr="000E223C">
              <w:rPr>
                <w:rFonts w:ascii="Times New Roman" w:hAnsi="Times New Roman"/>
                <w:sz w:val="24"/>
                <w:szCs w:val="24"/>
                <w:lang w:val="en-US"/>
              </w:rPr>
              <w:lastRenderedPageBreak/>
              <w:t>Borrower frameworks, including the methodology for assessing where frameworks will allow projects to achieve objectives materially consistent with the ESSs, and the exercise of Bank discretion</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Role of Borrower frameworks in high and substantial risk projects</w:t>
            </w:r>
          </w:p>
        </w:tc>
        <w:tc>
          <w:tcPr>
            <w:tcW w:w="1886" w:type="pct"/>
            <w:shd w:val="clear" w:color="auto" w:fill="auto"/>
          </w:tcPr>
          <w:p w:rsidR="007C49C8" w:rsidRPr="000E223C" w:rsidRDefault="00044449" w:rsidP="00B0542D">
            <w:pPr>
              <w:pStyle w:val="ColorfulList-Accent11"/>
              <w:numPr>
                <w:ilvl w:val="0"/>
                <w:numId w:val="27"/>
              </w:numPr>
              <w:spacing w:before="120"/>
              <w:ind w:left="378" w:hanging="378"/>
              <w:rPr>
                <w:rFonts w:ascii="Times New Roman" w:hAnsi="Times New Roman"/>
                <w:sz w:val="24"/>
                <w:szCs w:val="24"/>
                <w:lang w:val="en-US"/>
              </w:rPr>
            </w:pPr>
            <w:r w:rsidRPr="000E223C">
              <w:rPr>
                <w:rFonts w:ascii="Times New Roman" w:hAnsi="Times New Roman"/>
                <w:sz w:val="24"/>
                <w:szCs w:val="24"/>
                <w:lang w:val="en-US"/>
              </w:rPr>
              <w:lastRenderedPageBreak/>
              <w:t xml:space="preserve">Participants stated that use of country/Borrower frameworks should be an integral part of the </w:t>
            </w:r>
            <w:r w:rsidR="006359DD" w:rsidRPr="000E223C">
              <w:rPr>
                <w:rFonts w:ascii="Times New Roman" w:hAnsi="Times New Roman"/>
                <w:sz w:val="24"/>
                <w:szCs w:val="24"/>
                <w:lang w:val="en-US"/>
              </w:rPr>
              <w:t xml:space="preserve">proposed </w:t>
            </w:r>
            <w:r w:rsidRPr="000E223C">
              <w:rPr>
                <w:rFonts w:ascii="Times New Roman" w:hAnsi="Times New Roman"/>
                <w:sz w:val="24"/>
                <w:szCs w:val="24"/>
                <w:lang w:val="en-US"/>
              </w:rPr>
              <w:t xml:space="preserve">ESF, which should include clear </w:t>
            </w:r>
            <w:r w:rsidR="007C49C8" w:rsidRPr="000E223C">
              <w:rPr>
                <w:rFonts w:ascii="Times New Roman" w:hAnsi="Times New Roman"/>
                <w:sz w:val="24"/>
                <w:szCs w:val="24"/>
                <w:lang w:val="en-US"/>
              </w:rPr>
              <w:t xml:space="preserve">statements </w:t>
            </w:r>
            <w:r w:rsidRPr="000E223C">
              <w:rPr>
                <w:rFonts w:ascii="Times New Roman" w:hAnsi="Times New Roman"/>
                <w:sz w:val="24"/>
                <w:szCs w:val="24"/>
                <w:lang w:val="en-US"/>
              </w:rPr>
              <w:t>about encouragement of the use of Borrower frame</w:t>
            </w:r>
            <w:r w:rsidR="003B3DC9" w:rsidRPr="000E223C">
              <w:rPr>
                <w:rFonts w:ascii="Times New Roman" w:hAnsi="Times New Roman"/>
                <w:sz w:val="24"/>
                <w:szCs w:val="24"/>
                <w:lang w:val="en-US"/>
              </w:rPr>
              <w:t xml:space="preserve">works </w:t>
            </w:r>
            <w:r w:rsidRPr="000E223C">
              <w:rPr>
                <w:rFonts w:ascii="Times New Roman" w:hAnsi="Times New Roman"/>
                <w:sz w:val="24"/>
                <w:szCs w:val="24"/>
                <w:lang w:val="en-US"/>
              </w:rPr>
              <w:t>as well as stress the importance of Borrower capacity buildin</w:t>
            </w:r>
            <w:r w:rsidR="007C49C8" w:rsidRPr="000E223C">
              <w:rPr>
                <w:rFonts w:ascii="Times New Roman" w:hAnsi="Times New Roman"/>
                <w:sz w:val="24"/>
                <w:szCs w:val="24"/>
                <w:lang w:val="en-US"/>
              </w:rPr>
              <w:t>g.</w:t>
            </w:r>
          </w:p>
          <w:p w:rsidR="007C49C8" w:rsidRPr="000E223C" w:rsidRDefault="007C49C8" w:rsidP="001E6381">
            <w:pPr>
              <w:pStyle w:val="ColorfulList-Accent11"/>
              <w:numPr>
                <w:ilvl w:val="0"/>
                <w:numId w:val="27"/>
              </w:numPr>
              <w:spacing w:before="120"/>
              <w:ind w:left="468" w:hanging="450"/>
              <w:rPr>
                <w:rFonts w:ascii="Times New Roman" w:hAnsi="Times New Roman"/>
                <w:sz w:val="24"/>
                <w:szCs w:val="24"/>
                <w:lang w:val="en-US"/>
              </w:rPr>
            </w:pPr>
            <w:r w:rsidRPr="000E223C">
              <w:rPr>
                <w:rFonts w:ascii="Times New Roman" w:hAnsi="Times New Roman"/>
                <w:sz w:val="24"/>
                <w:szCs w:val="24"/>
                <w:lang w:val="en-US"/>
              </w:rPr>
              <w:lastRenderedPageBreak/>
              <w:t>Participants highlighted the fact that national regulatory systems are, in any case, mandatory in any country.</w:t>
            </w:r>
          </w:p>
          <w:p w:rsidR="00044449" w:rsidRPr="000E223C" w:rsidRDefault="00044449" w:rsidP="001E6381">
            <w:pPr>
              <w:pStyle w:val="ColorfulList-Accent11"/>
              <w:numPr>
                <w:ilvl w:val="0"/>
                <w:numId w:val="27"/>
              </w:numPr>
              <w:spacing w:before="120"/>
              <w:ind w:left="468" w:hanging="450"/>
              <w:rPr>
                <w:rFonts w:ascii="Times New Roman" w:hAnsi="Times New Roman"/>
                <w:sz w:val="24"/>
                <w:szCs w:val="24"/>
                <w:lang w:val="en-US"/>
              </w:rPr>
            </w:pPr>
            <w:r w:rsidRPr="000E223C">
              <w:rPr>
                <w:rFonts w:ascii="Times New Roman" w:hAnsi="Times New Roman"/>
                <w:sz w:val="24"/>
                <w:szCs w:val="24"/>
                <w:lang w:val="en-US"/>
              </w:rPr>
              <w:t>Participants stressed the need for more flexibility</w:t>
            </w:r>
            <w:r w:rsidR="00CE1B80" w:rsidRPr="000E223C">
              <w:rPr>
                <w:rFonts w:ascii="Times New Roman" w:hAnsi="Times New Roman"/>
                <w:sz w:val="24"/>
                <w:szCs w:val="24"/>
                <w:lang w:val="en-US"/>
              </w:rPr>
              <w:t xml:space="preserve"> with regard to Borrower frameworks</w:t>
            </w:r>
            <w:r w:rsidRPr="000E223C">
              <w:rPr>
                <w:rFonts w:ascii="Times New Roman" w:hAnsi="Times New Roman"/>
                <w:sz w:val="24"/>
                <w:szCs w:val="24"/>
                <w:lang w:val="en-US"/>
              </w:rPr>
              <w:t xml:space="preserve">, for example supporting the use of </w:t>
            </w:r>
            <w:r w:rsidR="00CE1B80" w:rsidRPr="000E223C">
              <w:rPr>
                <w:rFonts w:ascii="Times New Roman" w:hAnsi="Times New Roman"/>
                <w:sz w:val="24"/>
                <w:szCs w:val="24"/>
                <w:lang w:val="en-US"/>
              </w:rPr>
              <w:t>such</w:t>
            </w:r>
            <w:r w:rsidRPr="000E223C">
              <w:rPr>
                <w:rFonts w:ascii="Times New Roman" w:hAnsi="Times New Roman"/>
                <w:sz w:val="24"/>
                <w:szCs w:val="24"/>
                <w:lang w:val="en-US"/>
              </w:rPr>
              <w:t xml:space="preserve"> frameworks for</w:t>
            </w:r>
            <w:r w:rsidR="00704163" w:rsidRPr="000E223C">
              <w:rPr>
                <w:rFonts w:ascii="Times New Roman" w:hAnsi="Times New Roman"/>
                <w:sz w:val="24"/>
                <w:szCs w:val="24"/>
                <w:lang w:val="en-US"/>
              </w:rPr>
              <w:t xml:space="preserve"> all</w:t>
            </w:r>
            <w:r w:rsidRPr="000E223C">
              <w:rPr>
                <w:rFonts w:ascii="Times New Roman" w:hAnsi="Times New Roman"/>
                <w:sz w:val="24"/>
                <w:szCs w:val="24"/>
                <w:lang w:val="en-US"/>
              </w:rPr>
              <w:t xml:space="preserve"> projects</w:t>
            </w:r>
            <w:r w:rsidR="00704163" w:rsidRPr="000E223C">
              <w:rPr>
                <w:rFonts w:ascii="Times New Roman" w:hAnsi="Times New Roman"/>
                <w:sz w:val="24"/>
                <w:szCs w:val="24"/>
                <w:lang w:val="en-US"/>
              </w:rPr>
              <w:t>, including high and substantial risk,</w:t>
            </w:r>
            <w:r w:rsidRPr="000E223C">
              <w:rPr>
                <w:rFonts w:ascii="Times New Roman" w:hAnsi="Times New Roman"/>
                <w:sz w:val="24"/>
                <w:szCs w:val="24"/>
                <w:lang w:val="en-US"/>
              </w:rPr>
              <w:t xml:space="preserve"> instead of applying the ESSs.</w:t>
            </w:r>
          </w:p>
          <w:p w:rsidR="00044449" w:rsidRPr="000E223C" w:rsidRDefault="00044449" w:rsidP="001A35A6">
            <w:pPr>
              <w:pStyle w:val="ColorfulList-Accent11"/>
              <w:spacing w:before="120"/>
              <w:ind w:left="468"/>
              <w:jc w:val="both"/>
              <w:rPr>
                <w:rFonts w:ascii="Times New Roman" w:hAnsi="Times New Roman"/>
                <w:sz w:val="24"/>
                <w:szCs w:val="24"/>
                <w:lang w:val="en-US"/>
              </w:rPr>
            </w:pP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Co-financing/ common approach</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Arrangements on E&amp;S standards in co-financing situations where the co-financier’s standards are different from those of the Bank</w:t>
            </w:r>
          </w:p>
        </w:tc>
        <w:tc>
          <w:tcPr>
            <w:tcW w:w="1886" w:type="pct"/>
            <w:shd w:val="clear" w:color="auto" w:fill="auto"/>
          </w:tcPr>
          <w:p w:rsidR="00944F46" w:rsidRPr="000E223C" w:rsidRDefault="00265F44" w:rsidP="00B0542D">
            <w:pPr>
              <w:pStyle w:val="ColorfulList-Accent11"/>
              <w:numPr>
                <w:ilvl w:val="0"/>
                <w:numId w:val="39"/>
              </w:numPr>
              <w:spacing w:before="120"/>
              <w:ind w:left="468" w:hanging="450"/>
              <w:rPr>
                <w:rFonts w:ascii="Times New Roman" w:hAnsi="Times New Roman"/>
                <w:sz w:val="24"/>
                <w:szCs w:val="24"/>
                <w:lang w:val="en-US"/>
              </w:rPr>
            </w:pPr>
            <w:r w:rsidRPr="000E223C">
              <w:rPr>
                <w:rFonts w:ascii="Times New Roman" w:hAnsi="Times New Roman"/>
                <w:sz w:val="24"/>
                <w:szCs w:val="24"/>
                <w:lang w:val="en-US"/>
              </w:rPr>
              <w:t>Participants inquired about the degree of alignment of the ESSs with the Equator Principles and IFC Performance Standards.</w:t>
            </w:r>
          </w:p>
          <w:p w:rsidR="00265F44" w:rsidRPr="000E223C" w:rsidRDefault="00265F44" w:rsidP="001E6381">
            <w:pPr>
              <w:pStyle w:val="ColorfulList-Accent11"/>
              <w:spacing w:before="120"/>
              <w:ind w:left="342"/>
              <w:jc w:val="both"/>
              <w:rPr>
                <w:rFonts w:ascii="Times New Roman" w:hAnsi="Times New Roman"/>
                <w:sz w:val="24"/>
                <w:szCs w:val="24"/>
                <w:lang w:val="en-US"/>
              </w:rPr>
            </w:pP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Adaptive risk management</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Approach to monitoring E&amp;S compliance and changes to the project during implementation</w:t>
            </w:r>
          </w:p>
        </w:tc>
        <w:tc>
          <w:tcPr>
            <w:tcW w:w="1886" w:type="pct"/>
            <w:shd w:val="clear" w:color="auto" w:fill="auto"/>
          </w:tcPr>
          <w:p w:rsidR="00944F46" w:rsidRPr="000E223C" w:rsidRDefault="00371BF5" w:rsidP="00B0542D">
            <w:pPr>
              <w:pStyle w:val="ColorfulList-Accent11"/>
              <w:numPr>
                <w:ilvl w:val="0"/>
                <w:numId w:val="38"/>
              </w:numPr>
              <w:spacing w:before="120"/>
              <w:ind w:left="378"/>
              <w:rPr>
                <w:rFonts w:ascii="Times New Roman" w:hAnsi="Times New Roman"/>
                <w:sz w:val="24"/>
                <w:szCs w:val="24"/>
                <w:lang w:val="en-US"/>
              </w:rPr>
            </w:pPr>
            <w:r w:rsidRPr="000E223C">
              <w:rPr>
                <w:rFonts w:ascii="Times New Roman" w:hAnsi="Times New Roman"/>
                <w:sz w:val="24"/>
                <w:szCs w:val="24"/>
                <w:lang w:val="en-US"/>
              </w:rPr>
              <w:t xml:space="preserve">Participants stated that while they are supportive of the concept of adaptive risk management, any changes to ESCP and project legal agreement may make it difficult in practice and, therefore, Bank should provide a way for this to be managed efficiently. </w:t>
            </w:r>
          </w:p>
          <w:p w:rsidR="00371BF5" w:rsidRPr="000E223C" w:rsidRDefault="00371BF5" w:rsidP="00371BF5">
            <w:pPr>
              <w:pStyle w:val="ColorfulList-Accent11"/>
              <w:spacing w:before="120"/>
              <w:ind w:left="18"/>
              <w:jc w:val="both"/>
              <w:rPr>
                <w:rFonts w:ascii="Times New Roman" w:hAnsi="Times New Roman"/>
                <w:sz w:val="24"/>
                <w:szCs w:val="24"/>
                <w:lang w:val="en-US"/>
              </w:rPr>
            </w:pP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Risk classification</w:t>
            </w:r>
          </w:p>
        </w:tc>
        <w:tc>
          <w:tcPr>
            <w:tcW w:w="1936" w:type="pct"/>
            <w:shd w:val="clear" w:color="auto" w:fill="E7E6E6"/>
          </w:tcPr>
          <w:p w:rsidR="00944F46" w:rsidRPr="000E223C" w:rsidDel="00EF3E5D"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Approach to determining and reviewing the risk level of a project</w:t>
            </w:r>
          </w:p>
        </w:tc>
        <w:tc>
          <w:tcPr>
            <w:tcW w:w="1886" w:type="pct"/>
            <w:shd w:val="clear" w:color="auto" w:fill="auto"/>
          </w:tcPr>
          <w:p w:rsidR="001309B3" w:rsidRPr="000E223C" w:rsidRDefault="00040057" w:rsidP="00371BF5">
            <w:pPr>
              <w:pStyle w:val="ColorfulList-Accent11"/>
              <w:numPr>
                <w:ilvl w:val="0"/>
                <w:numId w:val="37"/>
              </w:numPr>
              <w:spacing w:before="120"/>
              <w:ind w:left="378"/>
              <w:rPr>
                <w:rFonts w:ascii="Times New Roman" w:hAnsi="Times New Roman"/>
                <w:sz w:val="24"/>
                <w:szCs w:val="24"/>
                <w:lang w:val="en-US"/>
              </w:rPr>
            </w:pPr>
            <w:r w:rsidRPr="000E223C">
              <w:rPr>
                <w:rFonts w:ascii="Times New Roman" w:hAnsi="Times New Roman"/>
                <w:sz w:val="24"/>
                <w:szCs w:val="24"/>
                <w:lang w:val="en-US"/>
              </w:rPr>
              <w:t>Participants raised a question on whether it might be more effective to maintain risk classification that is more aligned with what many countries have in place (i.e. 3-point scale).</w:t>
            </w:r>
          </w:p>
          <w:p w:rsidR="00040057" w:rsidRPr="000E223C" w:rsidRDefault="00040057" w:rsidP="00D31F60">
            <w:pPr>
              <w:pStyle w:val="ColorfulList-Accent11"/>
              <w:spacing w:before="120"/>
              <w:ind w:left="18"/>
              <w:jc w:val="both"/>
              <w:rPr>
                <w:rFonts w:ascii="Times New Roman" w:hAnsi="Times New Roman"/>
                <w:sz w:val="24"/>
                <w:szCs w:val="24"/>
                <w:lang w:val="en-US"/>
              </w:rPr>
            </w:pPr>
          </w:p>
        </w:tc>
      </w:tr>
      <w:tr w:rsidR="001120A9" w:rsidRPr="00B31FC4" w:rsidTr="000D75F5">
        <w:tc>
          <w:tcPr>
            <w:tcW w:w="339" w:type="pct"/>
            <w:vMerge w:val="restar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4A022A" w:rsidRPr="00B31FC4" w:rsidRDefault="004A022A" w:rsidP="001120A9">
            <w:pPr>
              <w:spacing w:after="0" w:line="240" w:lineRule="auto"/>
              <w:rPr>
                <w:rFonts w:ascii="Times New Roman" w:hAnsi="Times New Roman" w:cs="Times New Roman"/>
                <w:sz w:val="24"/>
                <w:szCs w:val="24"/>
              </w:rPr>
            </w:pP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Assessment and management of environmental and social risks and impacts</w:t>
            </w:r>
          </w:p>
        </w:tc>
        <w:tc>
          <w:tcPr>
            <w:tcW w:w="1936" w:type="pct"/>
            <w:shd w:val="clear" w:color="auto" w:fill="E7E6E6"/>
          </w:tcPr>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Assessment and nature of cumulative and indirect impacts to be taken into account</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Treatment of cumulative and indirect impacts when identified in the assessment of the project</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Establishing project boundaries and the applicability of the ESSs to Associated Facilities, contractors, primary suppliers, FI subprojects and directly funded sub-projects</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lastRenderedPageBreak/>
              <w:t>Circumstances under which the Bank will determine whether the Borrower will be required to retain independent third party specialists</w:t>
            </w:r>
          </w:p>
        </w:tc>
        <w:tc>
          <w:tcPr>
            <w:tcW w:w="1886" w:type="pct"/>
            <w:shd w:val="clear" w:color="auto" w:fill="auto"/>
          </w:tcPr>
          <w:p w:rsidR="00B67B71" w:rsidRPr="000E223C" w:rsidRDefault="009B02C3" w:rsidP="009B02C3">
            <w:pPr>
              <w:pStyle w:val="ColorfulList-Accent11"/>
              <w:spacing w:before="120"/>
              <w:ind w:left="0"/>
              <w:jc w:val="both"/>
              <w:rPr>
                <w:rFonts w:ascii="Times New Roman" w:hAnsi="Times New Roman"/>
                <w:sz w:val="24"/>
                <w:szCs w:val="24"/>
                <w:lang w:val="en-US"/>
              </w:rPr>
            </w:pPr>
            <w:r w:rsidRPr="000E223C">
              <w:rPr>
                <w:rFonts w:ascii="Times New Roman" w:hAnsi="Times New Roman"/>
                <w:sz w:val="24"/>
                <w:szCs w:val="24"/>
                <w:lang w:val="en-US"/>
              </w:rPr>
              <w:lastRenderedPageBreak/>
              <w:t>Not discussed in detail</w:t>
            </w:r>
          </w:p>
        </w:tc>
      </w:tr>
      <w:tr w:rsidR="001120A9" w:rsidRPr="00B31FC4" w:rsidTr="000D75F5">
        <w:tc>
          <w:tcPr>
            <w:tcW w:w="339" w:type="pct"/>
            <w:vMerge/>
            <w:shd w:val="clear" w:color="auto" w:fill="E7E6E6"/>
          </w:tcPr>
          <w:p w:rsidR="004A022A" w:rsidRPr="00B31FC4" w:rsidRDefault="004A022A" w:rsidP="001120A9">
            <w:pPr>
              <w:spacing w:after="0" w:line="240" w:lineRule="auto"/>
              <w:rPr>
                <w:rFonts w:ascii="Times New Roman" w:hAnsi="Times New Roman" w:cs="Times New Roman"/>
                <w:sz w:val="24"/>
                <w:szCs w:val="24"/>
              </w:rPr>
            </w:pP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Environmental and Social Commitment Plan (ESCP)</w:t>
            </w:r>
          </w:p>
        </w:tc>
        <w:tc>
          <w:tcPr>
            <w:tcW w:w="1936" w:type="pct"/>
            <w:shd w:val="clear" w:color="auto" w:fill="E7E6E6"/>
          </w:tcPr>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Legal standing of the ESCP and implications of changes to the ESCP as part of the legal agreement</w:t>
            </w:r>
          </w:p>
        </w:tc>
        <w:tc>
          <w:tcPr>
            <w:tcW w:w="1886" w:type="pct"/>
            <w:shd w:val="clear" w:color="auto" w:fill="auto"/>
          </w:tcPr>
          <w:p w:rsidR="00D96E2B" w:rsidRPr="000E223C" w:rsidRDefault="006F638B" w:rsidP="001E6381">
            <w:pPr>
              <w:pStyle w:val="ListParagraph"/>
              <w:numPr>
                <w:ilvl w:val="0"/>
                <w:numId w:val="30"/>
              </w:numPr>
              <w:spacing w:before="120" w:after="0" w:line="240" w:lineRule="auto"/>
              <w:ind w:left="378"/>
              <w:contextualSpacing w:val="0"/>
              <w:rPr>
                <w:rFonts w:ascii="Times New Roman" w:hAnsi="Times New Roman"/>
                <w:sz w:val="24"/>
                <w:szCs w:val="24"/>
              </w:rPr>
            </w:pPr>
            <w:r w:rsidRPr="000E223C">
              <w:rPr>
                <w:rFonts w:ascii="Times New Roman" w:hAnsi="Times New Roman"/>
                <w:sz w:val="24"/>
                <w:szCs w:val="24"/>
              </w:rPr>
              <w:t xml:space="preserve">Participants expressed concern about costs </w:t>
            </w:r>
            <w:r w:rsidR="001B1FF6" w:rsidRPr="000E223C">
              <w:rPr>
                <w:rFonts w:ascii="Times New Roman" w:hAnsi="Times New Roman"/>
                <w:sz w:val="24"/>
                <w:szCs w:val="24"/>
              </w:rPr>
              <w:t xml:space="preserve">and complexities </w:t>
            </w:r>
            <w:r w:rsidRPr="000E223C">
              <w:rPr>
                <w:rFonts w:ascii="Times New Roman" w:hAnsi="Times New Roman"/>
                <w:sz w:val="24"/>
                <w:szCs w:val="24"/>
              </w:rPr>
              <w:t xml:space="preserve">of preparation and periodical review of the ESCP and, in particular, the impact of reviewing the ESCP if it is included as part of the project legal agreement (i.e. the need to submit </w:t>
            </w:r>
            <w:r w:rsidR="007252D2" w:rsidRPr="000E223C">
              <w:rPr>
                <w:rFonts w:ascii="Times New Roman" w:hAnsi="Times New Roman"/>
                <w:sz w:val="24"/>
                <w:szCs w:val="24"/>
              </w:rPr>
              <w:t xml:space="preserve">at any time </w:t>
            </w:r>
            <w:r w:rsidRPr="000E223C">
              <w:rPr>
                <w:rFonts w:ascii="Times New Roman" w:hAnsi="Times New Roman"/>
                <w:sz w:val="24"/>
                <w:szCs w:val="24"/>
              </w:rPr>
              <w:t>the revised ESCP to approval by Brazilian authorities, such as GTEC-COFIEX).</w:t>
            </w:r>
            <w:r w:rsidR="00D96E2B" w:rsidRPr="000E223C">
              <w:rPr>
                <w:rFonts w:ascii="Times New Roman" w:hAnsi="Times New Roman"/>
                <w:sz w:val="24"/>
                <w:szCs w:val="24"/>
              </w:rPr>
              <w:t xml:space="preserve"> </w:t>
            </w:r>
          </w:p>
          <w:p w:rsidR="001B1FF6" w:rsidRPr="000E223C" w:rsidRDefault="00D96E2B" w:rsidP="001E6381">
            <w:pPr>
              <w:pStyle w:val="ListParagraph"/>
              <w:numPr>
                <w:ilvl w:val="0"/>
                <w:numId w:val="30"/>
              </w:numPr>
              <w:spacing w:before="120" w:after="0" w:line="240" w:lineRule="auto"/>
              <w:ind w:left="378"/>
              <w:contextualSpacing w:val="0"/>
              <w:rPr>
                <w:rFonts w:ascii="Times New Roman" w:hAnsi="Times New Roman"/>
                <w:sz w:val="24"/>
                <w:szCs w:val="24"/>
              </w:rPr>
            </w:pPr>
            <w:r w:rsidRPr="000E223C">
              <w:rPr>
                <w:rFonts w:ascii="Times New Roman" w:hAnsi="Times New Roman"/>
                <w:sz w:val="24"/>
                <w:szCs w:val="24"/>
              </w:rPr>
              <w:t xml:space="preserve">Participants stressed that in Brazil, any change to the legal agreement </w:t>
            </w:r>
            <w:r w:rsidR="001B1FF6" w:rsidRPr="000E223C">
              <w:rPr>
                <w:rFonts w:ascii="Times New Roman" w:hAnsi="Times New Roman"/>
                <w:sz w:val="24"/>
                <w:szCs w:val="24"/>
              </w:rPr>
              <w:t xml:space="preserve">– including ESCP – </w:t>
            </w:r>
            <w:r w:rsidRPr="000E223C">
              <w:rPr>
                <w:rFonts w:ascii="Times New Roman" w:hAnsi="Times New Roman"/>
                <w:sz w:val="24"/>
                <w:szCs w:val="24"/>
              </w:rPr>
              <w:t>may be considered restructuring</w:t>
            </w:r>
            <w:r w:rsidR="001B1FF6" w:rsidRPr="000E223C">
              <w:rPr>
                <w:rFonts w:ascii="Times New Roman" w:hAnsi="Times New Roman"/>
                <w:sz w:val="24"/>
                <w:szCs w:val="24"/>
              </w:rPr>
              <w:t xml:space="preserve"> as it constitutes a set of legally binding commitments</w:t>
            </w:r>
            <w:r w:rsidRPr="000E223C">
              <w:rPr>
                <w:rFonts w:ascii="Times New Roman" w:hAnsi="Times New Roman"/>
                <w:sz w:val="24"/>
                <w:szCs w:val="24"/>
              </w:rPr>
              <w:t xml:space="preserve">. </w:t>
            </w:r>
            <w:r w:rsidR="001B1FF6" w:rsidRPr="000E223C">
              <w:rPr>
                <w:rFonts w:ascii="Times New Roman" w:hAnsi="Times New Roman"/>
                <w:sz w:val="24"/>
                <w:szCs w:val="24"/>
              </w:rPr>
              <w:t>For example, if a critical habitat is found in relation to a project after the legal agreement is signed, a</w:t>
            </w:r>
            <w:r w:rsidR="008F6BCD" w:rsidRPr="000E223C">
              <w:rPr>
                <w:rFonts w:ascii="Times New Roman" w:hAnsi="Times New Roman"/>
                <w:sz w:val="24"/>
                <w:szCs w:val="24"/>
              </w:rPr>
              <w:t>nd this merits a change in the ESCP, including a</w:t>
            </w:r>
            <w:r w:rsidR="001B1FF6" w:rsidRPr="000E223C">
              <w:rPr>
                <w:rFonts w:ascii="Times New Roman" w:hAnsi="Times New Roman"/>
                <w:sz w:val="24"/>
                <w:szCs w:val="24"/>
              </w:rPr>
              <w:t xml:space="preserve"> new commitment to manage the associated risks and impacts</w:t>
            </w:r>
            <w:r w:rsidR="008F6BCD" w:rsidRPr="000E223C">
              <w:rPr>
                <w:rFonts w:ascii="Times New Roman" w:hAnsi="Times New Roman"/>
                <w:sz w:val="24"/>
                <w:szCs w:val="24"/>
              </w:rPr>
              <w:t>, it will constitute a</w:t>
            </w:r>
            <w:r w:rsidR="001B1FF6" w:rsidRPr="000E223C">
              <w:rPr>
                <w:rFonts w:ascii="Times New Roman" w:hAnsi="Times New Roman"/>
                <w:sz w:val="24"/>
                <w:szCs w:val="24"/>
              </w:rPr>
              <w:t xml:space="preserve"> project restructuring. </w:t>
            </w:r>
          </w:p>
          <w:p w:rsidR="006F638B" w:rsidRPr="000E223C" w:rsidRDefault="001B1FF6" w:rsidP="001E6381">
            <w:pPr>
              <w:pStyle w:val="ListParagraph"/>
              <w:numPr>
                <w:ilvl w:val="0"/>
                <w:numId w:val="30"/>
              </w:numPr>
              <w:spacing w:before="120" w:after="0" w:line="240" w:lineRule="auto"/>
              <w:ind w:left="378"/>
              <w:contextualSpacing w:val="0"/>
              <w:rPr>
                <w:rFonts w:ascii="Times New Roman" w:hAnsi="Times New Roman"/>
                <w:sz w:val="24"/>
                <w:szCs w:val="24"/>
              </w:rPr>
            </w:pPr>
            <w:r w:rsidRPr="000E223C">
              <w:rPr>
                <w:rFonts w:ascii="Times New Roman" w:hAnsi="Times New Roman"/>
                <w:sz w:val="24"/>
                <w:szCs w:val="24"/>
              </w:rPr>
              <w:t xml:space="preserve">Participants also </w:t>
            </w:r>
            <w:r w:rsidR="00D96E2B" w:rsidRPr="000E223C">
              <w:rPr>
                <w:rFonts w:ascii="Times New Roman" w:hAnsi="Times New Roman"/>
                <w:sz w:val="24"/>
                <w:szCs w:val="24"/>
              </w:rPr>
              <w:t>strongly suggested that</w:t>
            </w:r>
            <w:r w:rsidR="00490B17" w:rsidRPr="000E223C">
              <w:rPr>
                <w:rFonts w:ascii="Times New Roman" w:hAnsi="Times New Roman"/>
                <w:sz w:val="24"/>
                <w:szCs w:val="24"/>
              </w:rPr>
              <w:t>,</w:t>
            </w:r>
            <w:r w:rsidR="00D96E2B" w:rsidRPr="000E223C">
              <w:rPr>
                <w:rFonts w:ascii="Times New Roman" w:hAnsi="Times New Roman"/>
                <w:sz w:val="24"/>
                <w:szCs w:val="24"/>
              </w:rPr>
              <w:t xml:space="preserve"> </w:t>
            </w:r>
            <w:r w:rsidR="00490B17" w:rsidRPr="000E223C">
              <w:rPr>
                <w:rFonts w:ascii="Times New Roman" w:hAnsi="Times New Roman"/>
                <w:sz w:val="24"/>
                <w:szCs w:val="24"/>
              </w:rPr>
              <w:t xml:space="preserve">as proposed, </w:t>
            </w:r>
            <w:r w:rsidR="00D96E2B" w:rsidRPr="000E223C">
              <w:rPr>
                <w:rFonts w:ascii="Times New Roman" w:hAnsi="Times New Roman"/>
                <w:sz w:val="24"/>
                <w:szCs w:val="24"/>
              </w:rPr>
              <w:t xml:space="preserve">ESCP should form part of the overall project negotiations before Board approval and be formulated </w:t>
            </w:r>
            <w:r w:rsidR="0022094F" w:rsidRPr="000E223C">
              <w:rPr>
                <w:rFonts w:ascii="Times New Roman" w:hAnsi="Times New Roman"/>
                <w:sz w:val="24"/>
                <w:szCs w:val="24"/>
              </w:rPr>
              <w:t xml:space="preserve">and managed </w:t>
            </w:r>
            <w:r w:rsidR="00D96E2B" w:rsidRPr="000E223C">
              <w:rPr>
                <w:rFonts w:ascii="Times New Roman" w:hAnsi="Times New Roman"/>
                <w:sz w:val="24"/>
                <w:szCs w:val="24"/>
              </w:rPr>
              <w:t xml:space="preserve">in a way that would help avoid subsequent </w:t>
            </w:r>
            <w:r w:rsidR="0022094F" w:rsidRPr="000E223C">
              <w:rPr>
                <w:rFonts w:ascii="Times New Roman" w:hAnsi="Times New Roman"/>
                <w:sz w:val="24"/>
                <w:szCs w:val="24"/>
              </w:rPr>
              <w:t xml:space="preserve">changes to the legal agreement and therefore sending it back to the WB Board or to country authorities. </w:t>
            </w:r>
          </w:p>
          <w:p w:rsidR="006F638B" w:rsidRPr="000E223C" w:rsidRDefault="006F638B" w:rsidP="001E6381">
            <w:pPr>
              <w:pStyle w:val="ListParagraph"/>
              <w:numPr>
                <w:ilvl w:val="0"/>
                <w:numId w:val="30"/>
              </w:numPr>
              <w:spacing w:before="120" w:after="0" w:line="240" w:lineRule="auto"/>
              <w:ind w:left="378"/>
              <w:contextualSpacing w:val="0"/>
              <w:rPr>
                <w:rFonts w:ascii="Times New Roman" w:hAnsi="Times New Roman"/>
                <w:sz w:val="24"/>
                <w:szCs w:val="24"/>
              </w:rPr>
            </w:pPr>
            <w:r w:rsidRPr="000E223C">
              <w:rPr>
                <w:rFonts w:ascii="Times New Roman" w:hAnsi="Times New Roman"/>
                <w:sz w:val="24"/>
                <w:szCs w:val="24"/>
              </w:rPr>
              <w:t>Participants requested to provide more clarity in</w:t>
            </w:r>
            <w:r w:rsidR="008F6BCD" w:rsidRPr="000E223C">
              <w:rPr>
                <w:rFonts w:ascii="Times New Roman" w:hAnsi="Times New Roman"/>
                <w:sz w:val="24"/>
                <w:szCs w:val="24"/>
              </w:rPr>
              <w:t xml:space="preserve"> the justification for</w:t>
            </w:r>
            <w:r w:rsidRPr="000E223C">
              <w:rPr>
                <w:rFonts w:ascii="Times New Roman" w:hAnsi="Times New Roman"/>
                <w:sz w:val="24"/>
                <w:szCs w:val="24"/>
              </w:rPr>
              <w:t xml:space="preserve"> the </w:t>
            </w:r>
            <w:r w:rsidR="006359DD" w:rsidRPr="000E223C">
              <w:rPr>
                <w:rFonts w:ascii="Times New Roman" w:hAnsi="Times New Roman"/>
                <w:sz w:val="24"/>
                <w:szCs w:val="24"/>
              </w:rPr>
              <w:t xml:space="preserve">proposed </w:t>
            </w:r>
            <w:r w:rsidRPr="000E223C">
              <w:rPr>
                <w:rFonts w:ascii="Times New Roman" w:hAnsi="Times New Roman"/>
                <w:sz w:val="24"/>
                <w:szCs w:val="24"/>
              </w:rPr>
              <w:t xml:space="preserve">ESF on who would </w:t>
            </w:r>
            <w:r w:rsidR="008F6BCD" w:rsidRPr="000E223C">
              <w:rPr>
                <w:rFonts w:ascii="Times New Roman" w:hAnsi="Times New Roman"/>
                <w:sz w:val="24"/>
                <w:szCs w:val="24"/>
              </w:rPr>
              <w:t>benefit from the inclusion of the ESCP as part of the legal agreement as regard to eventual revisions</w:t>
            </w:r>
            <w:r w:rsidRPr="000E223C">
              <w:rPr>
                <w:rFonts w:ascii="Times New Roman" w:hAnsi="Times New Roman"/>
                <w:sz w:val="24"/>
                <w:szCs w:val="24"/>
              </w:rPr>
              <w:t>.</w:t>
            </w:r>
          </w:p>
          <w:p w:rsidR="008004DF" w:rsidRPr="009B02C3" w:rsidRDefault="008004DF" w:rsidP="008004DF">
            <w:pPr>
              <w:spacing w:before="120" w:after="0" w:line="240" w:lineRule="auto"/>
              <w:ind w:left="18"/>
              <w:rPr>
                <w:rFonts w:ascii="Times New Roman" w:hAnsi="Times New Roman" w:cs="Times New Roman"/>
                <w:sz w:val="24"/>
                <w:szCs w:val="24"/>
              </w:rPr>
            </w:pPr>
          </w:p>
        </w:tc>
      </w:tr>
      <w:tr w:rsidR="001120A9" w:rsidRPr="00B31FC4" w:rsidTr="000D75F5">
        <w:tc>
          <w:tcPr>
            <w:tcW w:w="339"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ESS2</w:t>
            </w: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Labor and working conditions</w:t>
            </w:r>
          </w:p>
        </w:tc>
        <w:tc>
          <w:tcPr>
            <w:tcW w:w="1936" w:type="pct"/>
            <w:shd w:val="clear" w:color="auto" w:fill="E7E6E6"/>
          </w:tcPr>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Definition and necessity of and requirements for managing labor employed by certain third parties (brokers, agents and intermediaries)  </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lastRenderedPageBreak/>
              <w:t xml:space="preserve">Application and implementation impacts of certain labor requirements to contractors, community and voluntary labor and primary suppliers </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Constraints in making grievance mechanisms available to all project workers</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Referencing national law in the objective of supporting freedom of association and collective bargaining</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Operationalization of an alternative mechanism relating to freedom of association and collective bargaining where national law does not recognize such rights</w:t>
            </w:r>
          </w:p>
          <w:p w:rsidR="004A022A" w:rsidRPr="000E223C" w:rsidRDefault="004A022A"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Issues in operationalizing the Occupational Health and Safety (OHS) provisions/standards</w:t>
            </w:r>
          </w:p>
        </w:tc>
        <w:tc>
          <w:tcPr>
            <w:tcW w:w="1886" w:type="pct"/>
            <w:shd w:val="clear" w:color="auto" w:fill="auto"/>
          </w:tcPr>
          <w:p w:rsidR="004A022A" w:rsidRPr="000E223C" w:rsidRDefault="009B02C3" w:rsidP="009B02C3">
            <w:pPr>
              <w:pStyle w:val="ColorfulList-Accent11"/>
              <w:spacing w:before="120"/>
              <w:ind w:left="-18"/>
              <w:jc w:val="both"/>
              <w:rPr>
                <w:rFonts w:ascii="Times New Roman" w:hAnsi="Times New Roman"/>
                <w:sz w:val="24"/>
                <w:szCs w:val="24"/>
                <w:lang w:val="en-US"/>
              </w:rPr>
            </w:pPr>
            <w:r w:rsidRPr="000E223C">
              <w:rPr>
                <w:rFonts w:ascii="Times New Roman" w:hAnsi="Times New Roman"/>
                <w:sz w:val="24"/>
                <w:szCs w:val="24"/>
                <w:lang w:val="en-US"/>
              </w:rPr>
              <w:lastRenderedPageBreak/>
              <w:t>Not discussed in detail</w:t>
            </w:r>
          </w:p>
        </w:tc>
      </w:tr>
      <w:tr w:rsidR="001120A9" w:rsidRPr="00B31FC4" w:rsidTr="000D75F5">
        <w:tc>
          <w:tcPr>
            <w:tcW w:w="339"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ESS3</w:t>
            </w:r>
          </w:p>
        </w:tc>
        <w:tc>
          <w:tcPr>
            <w:tcW w:w="838"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Climate change and GHG emissions</w:t>
            </w:r>
          </w:p>
        </w:tc>
        <w:tc>
          <w:tcPr>
            <w:tcW w:w="1936" w:type="pct"/>
            <w:shd w:val="clear" w:color="auto" w:fill="E7E6E6"/>
          </w:tcPr>
          <w:p w:rsidR="00C87D2F" w:rsidRPr="000E223C" w:rsidRDefault="00C87D2F"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The relation between provisions on climate change in the ESF and broader climate change commitments, specifically UNFCCC</w:t>
            </w:r>
          </w:p>
          <w:p w:rsidR="00C87D2F" w:rsidRPr="000E223C" w:rsidRDefault="00C87D2F"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Proposed</w:t>
            </w:r>
            <w:r w:rsidRPr="000E223C" w:rsidDel="001341BB">
              <w:rPr>
                <w:rFonts w:ascii="Times New Roman" w:hAnsi="Times New Roman"/>
                <w:sz w:val="24"/>
                <w:szCs w:val="24"/>
                <w:lang w:val="en-US"/>
              </w:rPr>
              <w:t xml:space="preserve"> </w:t>
            </w:r>
            <w:r w:rsidRPr="000E223C">
              <w:rPr>
                <w:rFonts w:ascii="Times New Roman" w:hAnsi="Times New Roman"/>
                <w:sz w:val="24"/>
                <w:szCs w:val="24"/>
                <w:lang w:val="en-US"/>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0E223C" w:rsidRDefault="00C87D2F"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Implications required for the Borrower of estimating and reducing GHG emissions for Bank projects, in line with the proposed standard</w:t>
            </w:r>
          </w:p>
        </w:tc>
        <w:tc>
          <w:tcPr>
            <w:tcW w:w="1886" w:type="pct"/>
            <w:shd w:val="clear" w:color="auto" w:fill="auto"/>
          </w:tcPr>
          <w:p w:rsidR="000D4D94" w:rsidRPr="000E223C" w:rsidRDefault="00192026" w:rsidP="00192026">
            <w:pPr>
              <w:pStyle w:val="ColorfulList-Accent11"/>
              <w:numPr>
                <w:ilvl w:val="0"/>
                <w:numId w:val="33"/>
              </w:numPr>
              <w:spacing w:before="120"/>
              <w:ind w:left="378" w:hanging="378"/>
              <w:rPr>
                <w:rFonts w:ascii="Times New Roman" w:hAnsi="Times New Roman"/>
                <w:sz w:val="24"/>
                <w:szCs w:val="24"/>
                <w:lang w:val="en-US"/>
              </w:rPr>
            </w:pPr>
            <w:r w:rsidRPr="000E223C">
              <w:rPr>
                <w:rFonts w:ascii="Times New Roman" w:hAnsi="Times New Roman"/>
                <w:sz w:val="24"/>
                <w:szCs w:val="24"/>
                <w:lang w:val="en-US"/>
              </w:rPr>
              <w:t xml:space="preserve">Participants emphasized that the aspect of resilience is fundamental and should be addressed in the </w:t>
            </w:r>
            <w:r w:rsidR="006359DD" w:rsidRPr="000E223C">
              <w:rPr>
                <w:rFonts w:ascii="Times New Roman" w:hAnsi="Times New Roman"/>
                <w:sz w:val="24"/>
                <w:szCs w:val="24"/>
                <w:lang w:val="en-US"/>
              </w:rPr>
              <w:t xml:space="preserve">proposed </w:t>
            </w:r>
            <w:r w:rsidRPr="000E223C">
              <w:rPr>
                <w:rFonts w:ascii="Times New Roman" w:hAnsi="Times New Roman"/>
                <w:sz w:val="24"/>
                <w:szCs w:val="24"/>
                <w:lang w:val="en-US"/>
              </w:rPr>
              <w:t>ESF in more detail as this is critical for the SDGs and sustainable development overall.</w:t>
            </w:r>
          </w:p>
          <w:p w:rsidR="00192026" w:rsidRPr="000E223C" w:rsidRDefault="00F517D4" w:rsidP="00192026">
            <w:pPr>
              <w:pStyle w:val="ColorfulList-Accent11"/>
              <w:numPr>
                <w:ilvl w:val="0"/>
                <w:numId w:val="33"/>
              </w:numPr>
              <w:spacing w:before="120"/>
              <w:ind w:left="378" w:hanging="378"/>
              <w:rPr>
                <w:rFonts w:ascii="Times New Roman" w:hAnsi="Times New Roman"/>
                <w:sz w:val="24"/>
                <w:szCs w:val="24"/>
                <w:lang w:val="en-US"/>
              </w:rPr>
            </w:pPr>
            <w:r w:rsidRPr="000E223C">
              <w:rPr>
                <w:rFonts w:ascii="Times New Roman" w:hAnsi="Times New Roman"/>
                <w:sz w:val="24"/>
                <w:szCs w:val="24"/>
                <w:lang w:val="en-US"/>
              </w:rPr>
              <w:t>Participants requested that the new draft of the ESF better r</w:t>
            </w:r>
            <w:r w:rsidR="00F54163" w:rsidRPr="000E223C">
              <w:rPr>
                <w:rFonts w:ascii="Times New Roman" w:hAnsi="Times New Roman"/>
                <w:sz w:val="24"/>
                <w:szCs w:val="24"/>
                <w:lang w:val="en-US"/>
              </w:rPr>
              <w:t>eflect</w:t>
            </w:r>
            <w:r w:rsidRPr="000E223C">
              <w:rPr>
                <w:rFonts w:ascii="Times New Roman" w:hAnsi="Times New Roman"/>
                <w:sz w:val="24"/>
                <w:szCs w:val="24"/>
                <w:lang w:val="en-US"/>
              </w:rPr>
              <w:t xml:space="preserve"> various climate-related agreements, in particular those </w:t>
            </w:r>
            <w:r w:rsidR="00903840" w:rsidRPr="000E223C">
              <w:rPr>
                <w:rFonts w:ascii="Times New Roman" w:hAnsi="Times New Roman"/>
                <w:sz w:val="24"/>
                <w:szCs w:val="24"/>
                <w:lang w:val="en-US"/>
              </w:rPr>
              <w:t>reached during COP21 in</w:t>
            </w:r>
            <w:r w:rsidRPr="000E223C">
              <w:rPr>
                <w:rFonts w:ascii="Times New Roman" w:hAnsi="Times New Roman"/>
                <w:sz w:val="24"/>
                <w:szCs w:val="24"/>
                <w:lang w:val="en-US"/>
              </w:rPr>
              <w:t xml:space="preserve"> Paris.</w:t>
            </w:r>
          </w:p>
          <w:p w:rsidR="00F517D4" w:rsidRPr="000E223C" w:rsidRDefault="00B91C45" w:rsidP="00192026">
            <w:pPr>
              <w:pStyle w:val="ColorfulList-Accent11"/>
              <w:numPr>
                <w:ilvl w:val="0"/>
                <w:numId w:val="33"/>
              </w:numPr>
              <w:spacing w:before="120"/>
              <w:ind w:left="378" w:hanging="378"/>
              <w:rPr>
                <w:rFonts w:ascii="Times New Roman" w:hAnsi="Times New Roman"/>
                <w:sz w:val="24"/>
                <w:szCs w:val="24"/>
                <w:lang w:val="en-US"/>
              </w:rPr>
            </w:pPr>
            <w:r w:rsidRPr="000E223C">
              <w:rPr>
                <w:rFonts w:ascii="Times New Roman" w:hAnsi="Times New Roman"/>
                <w:sz w:val="24"/>
                <w:szCs w:val="24"/>
                <w:lang w:val="en-US"/>
              </w:rPr>
              <w:t>Participants mentioned cost as a key issue with measurement of GHG emissions and subsequent application of measures to reduce them in projects.</w:t>
            </w:r>
          </w:p>
          <w:p w:rsidR="00B91C45" w:rsidRPr="000E223C" w:rsidRDefault="00B91C45" w:rsidP="00192026">
            <w:pPr>
              <w:pStyle w:val="ColorfulList-Accent11"/>
              <w:numPr>
                <w:ilvl w:val="0"/>
                <w:numId w:val="33"/>
              </w:numPr>
              <w:spacing w:before="120"/>
              <w:ind w:left="378" w:hanging="378"/>
              <w:rPr>
                <w:rFonts w:ascii="Times New Roman" w:hAnsi="Times New Roman"/>
                <w:sz w:val="24"/>
                <w:szCs w:val="24"/>
                <w:lang w:val="en-US"/>
              </w:rPr>
            </w:pPr>
            <w:r w:rsidRPr="000E223C">
              <w:rPr>
                <w:rFonts w:ascii="Times New Roman" w:hAnsi="Times New Roman"/>
                <w:sz w:val="24"/>
                <w:szCs w:val="24"/>
                <w:lang w:val="en-US"/>
              </w:rPr>
              <w:t xml:space="preserve">Participants further suggested an explicit reference to the use of national technologies as opposed to best available technologies on the global scale (e.g. European technologies). </w:t>
            </w:r>
          </w:p>
          <w:p w:rsidR="00192026" w:rsidRPr="000E223C" w:rsidRDefault="00192026" w:rsidP="00192026">
            <w:pPr>
              <w:pStyle w:val="ColorfulList-Accent11"/>
              <w:spacing w:before="120"/>
              <w:ind w:left="0"/>
              <w:jc w:val="both"/>
              <w:rPr>
                <w:rFonts w:ascii="Times New Roman" w:hAnsi="Times New Roman"/>
                <w:sz w:val="24"/>
                <w:szCs w:val="24"/>
                <w:lang w:val="en-US"/>
              </w:rPr>
            </w:pP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ESS5</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Land acquisition and involuntary resettlement</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Treatment and rights of informal occupants and approach to forced evictions in situations unrelated to land acquisitions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Interpretation of the concept of resettlement as a </w:t>
            </w:r>
            <w:r w:rsidRPr="000E223C">
              <w:rPr>
                <w:rFonts w:ascii="Times New Roman" w:hAnsi="Times New Roman"/>
                <w:sz w:val="24"/>
                <w:szCs w:val="24"/>
                <w:lang w:val="en-US"/>
              </w:rPr>
              <w:lastRenderedPageBreak/>
              <w:t xml:space="preserve">“development opportunity” in different project circumstances </w:t>
            </w:r>
          </w:p>
        </w:tc>
        <w:tc>
          <w:tcPr>
            <w:tcW w:w="1886" w:type="pct"/>
            <w:shd w:val="clear" w:color="auto" w:fill="auto"/>
          </w:tcPr>
          <w:p w:rsidR="00FE1A4B" w:rsidRPr="000E223C" w:rsidRDefault="009B02C3" w:rsidP="001E6381">
            <w:pPr>
              <w:pStyle w:val="ColorfulList-Accent11"/>
              <w:spacing w:before="120"/>
              <w:ind w:left="360" w:hanging="432"/>
              <w:jc w:val="both"/>
              <w:rPr>
                <w:rFonts w:ascii="Times New Roman" w:hAnsi="Times New Roman"/>
                <w:sz w:val="24"/>
                <w:szCs w:val="24"/>
                <w:lang w:val="en-US"/>
              </w:rPr>
            </w:pPr>
            <w:r w:rsidRPr="000E223C">
              <w:rPr>
                <w:rFonts w:ascii="Times New Roman" w:hAnsi="Times New Roman"/>
                <w:sz w:val="24"/>
                <w:szCs w:val="24"/>
                <w:lang w:val="en-US"/>
              </w:rPr>
              <w:lastRenderedPageBreak/>
              <w:t>Not discussed in detail</w:t>
            </w: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ESS6</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Biodiversity</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Operationalization of the provisions on primary suppliers and ecosystem services, especially in situation with low capacity</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Role of national law with regard to protecting and conserving natural and critical habitats</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Criteria for biodiversity offsets, including consideration of project benefits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Definition and application of net gains for biodiversity</w:t>
            </w:r>
          </w:p>
        </w:tc>
        <w:tc>
          <w:tcPr>
            <w:tcW w:w="1886" w:type="pct"/>
            <w:shd w:val="clear" w:color="auto" w:fill="auto"/>
          </w:tcPr>
          <w:p w:rsidR="00BB6C26" w:rsidRPr="000E223C" w:rsidRDefault="0091156A" w:rsidP="00903840">
            <w:pPr>
              <w:pStyle w:val="ColorfulList-Accent11"/>
              <w:numPr>
                <w:ilvl w:val="0"/>
                <w:numId w:val="28"/>
              </w:numPr>
              <w:spacing w:before="120"/>
              <w:ind w:left="374"/>
              <w:rPr>
                <w:rFonts w:ascii="Times New Roman" w:hAnsi="Times New Roman"/>
                <w:sz w:val="24"/>
                <w:szCs w:val="24"/>
                <w:lang w:val="en-US"/>
              </w:rPr>
            </w:pPr>
            <w:r w:rsidRPr="000E223C">
              <w:rPr>
                <w:rFonts w:ascii="Times New Roman" w:hAnsi="Times New Roman"/>
                <w:sz w:val="24"/>
                <w:szCs w:val="24"/>
                <w:lang w:val="en-US"/>
              </w:rPr>
              <w:t xml:space="preserve">Participants requested that all basic biodiversity concepts and terminology behind </w:t>
            </w:r>
            <w:r w:rsidR="007252D2" w:rsidRPr="000E223C">
              <w:rPr>
                <w:rFonts w:ascii="Times New Roman" w:hAnsi="Times New Roman"/>
                <w:sz w:val="24"/>
                <w:szCs w:val="24"/>
                <w:lang w:val="en-US"/>
              </w:rPr>
              <w:t xml:space="preserve">ESS6 </w:t>
            </w:r>
            <w:r w:rsidRPr="000E223C">
              <w:rPr>
                <w:rFonts w:ascii="Times New Roman" w:hAnsi="Times New Roman"/>
                <w:sz w:val="24"/>
                <w:szCs w:val="24"/>
                <w:lang w:val="en-US"/>
              </w:rPr>
              <w:t>be carefully reviewed when developing the next draft</w:t>
            </w:r>
            <w:r w:rsidR="007252D2" w:rsidRPr="000E223C">
              <w:rPr>
                <w:rFonts w:ascii="Times New Roman" w:hAnsi="Times New Roman"/>
                <w:sz w:val="24"/>
                <w:szCs w:val="24"/>
                <w:lang w:val="en-US"/>
              </w:rPr>
              <w:t xml:space="preserve"> and the translated versions</w:t>
            </w:r>
            <w:r w:rsidRPr="000E223C">
              <w:rPr>
                <w:rFonts w:ascii="Times New Roman" w:hAnsi="Times New Roman"/>
                <w:sz w:val="24"/>
                <w:szCs w:val="24"/>
                <w:lang w:val="en-US"/>
              </w:rPr>
              <w:t>.</w:t>
            </w:r>
            <w:r w:rsidR="00903840" w:rsidRPr="000E223C">
              <w:rPr>
                <w:rFonts w:ascii="Times New Roman" w:hAnsi="Times New Roman"/>
                <w:sz w:val="24"/>
                <w:szCs w:val="24"/>
                <w:lang w:val="en-US"/>
              </w:rPr>
              <w:t xml:space="preserve"> </w:t>
            </w:r>
            <w:r w:rsidRPr="000E223C">
              <w:rPr>
                <w:rFonts w:ascii="Times New Roman" w:hAnsi="Times New Roman"/>
                <w:sz w:val="24"/>
                <w:szCs w:val="24"/>
                <w:lang w:val="en-US"/>
              </w:rPr>
              <w:t xml:space="preserve">For example, </w:t>
            </w:r>
            <w:r w:rsidR="00BB6C26" w:rsidRPr="000E223C">
              <w:rPr>
                <w:rFonts w:ascii="Times New Roman" w:hAnsi="Times New Roman"/>
                <w:sz w:val="24"/>
                <w:szCs w:val="24"/>
                <w:lang w:val="en-US"/>
              </w:rPr>
              <w:t xml:space="preserve">para. 19 vs para. 21 </w:t>
            </w:r>
            <w:r w:rsidR="00940F8D" w:rsidRPr="000E223C">
              <w:rPr>
                <w:rFonts w:ascii="Times New Roman" w:hAnsi="Times New Roman"/>
                <w:color w:val="000000"/>
                <w:sz w:val="24"/>
                <w:szCs w:val="24"/>
                <w:lang w:val="en-US"/>
              </w:rPr>
              <w:t>–</w:t>
            </w:r>
            <w:r w:rsidR="00BB6C26" w:rsidRPr="000E223C">
              <w:rPr>
                <w:rFonts w:ascii="Times New Roman" w:hAnsi="Times New Roman"/>
                <w:sz w:val="24"/>
                <w:szCs w:val="24"/>
                <w:lang w:val="en-US"/>
              </w:rPr>
              <w:t xml:space="preserve">definitions of modified and natural habitat respectively </w:t>
            </w:r>
            <w:r w:rsidR="00797302" w:rsidRPr="000E223C">
              <w:rPr>
                <w:rFonts w:ascii="Times New Roman" w:hAnsi="Times New Roman"/>
                <w:color w:val="000000"/>
                <w:sz w:val="24"/>
                <w:szCs w:val="24"/>
                <w:lang w:val="en-US"/>
              </w:rPr>
              <w:t xml:space="preserve">– </w:t>
            </w:r>
            <w:r w:rsidR="00BB6C26" w:rsidRPr="000E223C">
              <w:rPr>
                <w:rFonts w:ascii="Times New Roman" w:hAnsi="Times New Roman"/>
                <w:sz w:val="24"/>
                <w:szCs w:val="24"/>
                <w:lang w:val="en-US"/>
              </w:rPr>
              <w:t xml:space="preserve">are inconsistent in that para. 19 refers to </w:t>
            </w:r>
            <w:r w:rsidR="00BB6C26" w:rsidRPr="000E223C">
              <w:rPr>
                <w:rFonts w:ascii="Times New Roman" w:hAnsi="Times New Roman"/>
                <w:i/>
                <w:sz w:val="24"/>
                <w:szCs w:val="24"/>
                <w:lang w:val="en-US"/>
              </w:rPr>
              <w:t>substantially</w:t>
            </w:r>
            <w:r w:rsidR="00BB6C26" w:rsidRPr="000E223C">
              <w:rPr>
                <w:rFonts w:ascii="Times New Roman" w:hAnsi="Times New Roman"/>
                <w:sz w:val="24"/>
                <w:szCs w:val="24"/>
                <w:lang w:val="en-US"/>
              </w:rPr>
              <w:t xml:space="preserve"> modifying primary ecological functions while para. 21 refers to (not) </w:t>
            </w:r>
            <w:r w:rsidR="00BB6C26" w:rsidRPr="000E223C">
              <w:rPr>
                <w:rFonts w:ascii="Times New Roman" w:hAnsi="Times New Roman"/>
                <w:i/>
                <w:sz w:val="24"/>
                <w:szCs w:val="24"/>
                <w:lang w:val="en-US"/>
              </w:rPr>
              <w:t>essentially</w:t>
            </w:r>
            <w:r w:rsidR="00BB6C26" w:rsidRPr="000E223C">
              <w:rPr>
                <w:rFonts w:ascii="Times New Roman" w:hAnsi="Times New Roman"/>
                <w:sz w:val="24"/>
                <w:szCs w:val="24"/>
                <w:lang w:val="en-US"/>
              </w:rPr>
              <w:t xml:space="preserve"> modifying primary ecological functions.</w:t>
            </w:r>
          </w:p>
          <w:p w:rsidR="001B5D4F" w:rsidRPr="009B02C3" w:rsidRDefault="00903840" w:rsidP="00903840">
            <w:pPr>
              <w:pStyle w:val="ListParagraph"/>
              <w:numPr>
                <w:ilvl w:val="0"/>
                <w:numId w:val="28"/>
              </w:numPr>
              <w:spacing w:before="120" w:after="0" w:line="240" w:lineRule="auto"/>
              <w:ind w:left="374"/>
              <w:contextualSpacing w:val="0"/>
              <w:rPr>
                <w:rFonts w:ascii="Times New Roman" w:hAnsi="Times New Roman"/>
                <w:sz w:val="24"/>
                <w:szCs w:val="24"/>
              </w:rPr>
            </w:pPr>
            <w:r w:rsidRPr="009B02C3">
              <w:rPr>
                <w:rFonts w:ascii="Times New Roman" w:hAnsi="Times New Roman"/>
                <w:sz w:val="24"/>
                <w:szCs w:val="24"/>
              </w:rPr>
              <w:t>Participants suggested that concepts of biodiversity offsets and net gain</w:t>
            </w:r>
            <w:r w:rsidR="00C875C6" w:rsidRPr="009B02C3">
              <w:rPr>
                <w:rFonts w:ascii="Times New Roman" w:hAnsi="Times New Roman"/>
                <w:sz w:val="24"/>
                <w:szCs w:val="24"/>
              </w:rPr>
              <w:t xml:space="preserve"> </w:t>
            </w:r>
            <w:r w:rsidRPr="009B02C3">
              <w:rPr>
                <w:rFonts w:ascii="Times New Roman" w:hAnsi="Times New Roman"/>
                <w:sz w:val="24"/>
                <w:szCs w:val="24"/>
              </w:rPr>
              <w:t>must take into account not only quantitative but also qualitative parameters.</w:t>
            </w:r>
          </w:p>
          <w:p w:rsidR="00903840" w:rsidRPr="009B02C3" w:rsidRDefault="004D1768" w:rsidP="00903840">
            <w:pPr>
              <w:pStyle w:val="ListParagraph"/>
              <w:numPr>
                <w:ilvl w:val="0"/>
                <w:numId w:val="28"/>
              </w:numPr>
              <w:spacing w:before="120" w:after="0" w:line="240" w:lineRule="auto"/>
              <w:ind w:left="374"/>
              <w:contextualSpacing w:val="0"/>
              <w:rPr>
                <w:rFonts w:ascii="Times New Roman" w:hAnsi="Times New Roman"/>
                <w:sz w:val="24"/>
                <w:szCs w:val="24"/>
              </w:rPr>
            </w:pPr>
            <w:r w:rsidRPr="009B02C3">
              <w:rPr>
                <w:rFonts w:ascii="Times New Roman" w:hAnsi="Times New Roman"/>
                <w:sz w:val="24"/>
                <w:szCs w:val="24"/>
              </w:rPr>
              <w:t xml:space="preserve">Participants emphasized that the concepts of biodiversity offsets and net gain are new concepts, they are not sufficiently tested, and the process of achieving these requirements may be difficult. </w:t>
            </w:r>
          </w:p>
          <w:p w:rsidR="004D1768" w:rsidRPr="009B02C3" w:rsidRDefault="004D1768" w:rsidP="004D1768">
            <w:pPr>
              <w:spacing w:before="120" w:after="0" w:line="240" w:lineRule="auto"/>
              <w:ind w:left="14"/>
              <w:rPr>
                <w:rFonts w:ascii="Times New Roman" w:eastAsia="Calibri" w:hAnsi="Times New Roman" w:cs="Times New Roman"/>
                <w:sz w:val="24"/>
                <w:szCs w:val="24"/>
              </w:rPr>
            </w:pP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ESS7</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Indigenous Peoples</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color w:val="000000"/>
                <w:sz w:val="24"/>
                <w:szCs w:val="24"/>
                <w:lang w:val="en-US"/>
              </w:rPr>
              <w:t xml:space="preserve">Implementation of the Indigenous Peoples standard in complex </w:t>
            </w:r>
            <w:r w:rsidRPr="000E223C">
              <w:rPr>
                <w:rFonts w:ascii="Times New Roman" w:hAnsi="Times New Roman"/>
                <w:sz w:val="24"/>
                <w:szCs w:val="24"/>
                <w:lang w:val="en-US"/>
              </w:rPr>
              <w:t>political and cultural contexts</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Implementation of ESS7 in countries where the constitution does not acknowledge Indigenous Peoples or only recognizes certain groups as indigenous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Possible approaches to reflect alternative terminologies used in different countries to describe Indigenous Peoples</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color w:val="000000"/>
                <w:sz w:val="24"/>
                <w:szCs w:val="24"/>
                <w:lang w:val="en-US"/>
              </w:rPr>
              <w:t xml:space="preserve">Circumstances (e.g. criteria and timing) in which a waiver may be considered and the information to be provided to the Board to inform its decision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color w:val="000000"/>
                <w:sz w:val="24"/>
                <w:szCs w:val="24"/>
                <w:lang w:val="en-US"/>
              </w:rPr>
              <w:t>Criteria for establishing and implementation of Free, Prior and Informed Consent (FPIC)</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Comparison of proposed FPIC with existing requirements on consultation</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color w:val="000000"/>
                <w:sz w:val="24"/>
                <w:szCs w:val="24"/>
                <w:lang w:val="en-US"/>
              </w:rPr>
              <w:lastRenderedPageBreak/>
              <w:t>Application of FPIC to impacts on Indigenous Peoples’ cultural heritage</w:t>
            </w:r>
          </w:p>
        </w:tc>
        <w:tc>
          <w:tcPr>
            <w:tcW w:w="1886" w:type="pct"/>
            <w:shd w:val="clear" w:color="auto" w:fill="auto"/>
          </w:tcPr>
          <w:p w:rsidR="00CF1587" w:rsidRPr="000E223C" w:rsidRDefault="00CF1587"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lastRenderedPageBreak/>
              <w:t>Participants expressed the view that defining the nature of engagement with Indigenous Peoples – particularly ascertaining Free, Prior, Informed Consent – remains a challenge, especially in relation to the countries’ commitments to internationally agreed standards such as ILO Convention 169 and the UN Declaration</w:t>
            </w:r>
            <w:r w:rsidR="00177FE4" w:rsidRPr="000E223C">
              <w:rPr>
                <w:rFonts w:ascii="Times New Roman" w:hAnsi="Times New Roman"/>
                <w:color w:val="000000"/>
                <w:sz w:val="24"/>
                <w:szCs w:val="24"/>
                <w:lang w:val="en-US"/>
              </w:rPr>
              <w:t xml:space="preserve"> on the Rights of Indigenous Peoples (UNDRIP)</w:t>
            </w:r>
            <w:r w:rsidRPr="000E223C">
              <w:rPr>
                <w:rFonts w:ascii="Times New Roman" w:hAnsi="Times New Roman"/>
                <w:color w:val="000000"/>
                <w:sz w:val="24"/>
                <w:szCs w:val="24"/>
                <w:lang w:val="en-US"/>
              </w:rPr>
              <w:t>.</w:t>
            </w:r>
          </w:p>
          <w:p w:rsidR="00B0542D" w:rsidRPr="000E223C" w:rsidRDefault="00B0542D" w:rsidP="00B0542D">
            <w:pPr>
              <w:pStyle w:val="ColorfulList-Accent11"/>
              <w:spacing w:before="120"/>
              <w:ind w:left="468"/>
              <w:rPr>
                <w:rFonts w:ascii="Times New Roman" w:hAnsi="Times New Roman"/>
                <w:color w:val="000000"/>
                <w:sz w:val="24"/>
                <w:szCs w:val="24"/>
                <w:lang w:val="en-US"/>
              </w:rPr>
            </w:pPr>
          </w:p>
          <w:p w:rsidR="000D75F5" w:rsidRPr="000E223C" w:rsidRDefault="000D75F5"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t xml:space="preserve">Participants expressed concerns about the concept of “consent” and a view that “FPIC” is in essence a consultation process, and therefore consultations should be broad and cover all affected stakeholders who should be informed </w:t>
            </w:r>
            <w:r w:rsidRPr="000E223C">
              <w:rPr>
                <w:rFonts w:ascii="Times New Roman" w:hAnsi="Times New Roman"/>
                <w:color w:val="000000"/>
                <w:sz w:val="24"/>
                <w:szCs w:val="24"/>
                <w:lang w:val="en-US"/>
              </w:rPr>
              <w:lastRenderedPageBreak/>
              <w:t xml:space="preserve">about projects in </w:t>
            </w:r>
            <w:r w:rsidR="00B93129" w:rsidRPr="000E223C">
              <w:rPr>
                <w:rFonts w:ascii="Times New Roman" w:hAnsi="Times New Roman"/>
                <w:color w:val="000000"/>
                <w:sz w:val="24"/>
                <w:szCs w:val="24"/>
                <w:lang w:val="en-US"/>
              </w:rPr>
              <w:t xml:space="preserve">a </w:t>
            </w:r>
            <w:r w:rsidRPr="000E223C">
              <w:rPr>
                <w:rFonts w:ascii="Times New Roman" w:hAnsi="Times New Roman"/>
                <w:color w:val="000000"/>
                <w:sz w:val="24"/>
                <w:szCs w:val="24"/>
                <w:lang w:val="en-US"/>
              </w:rPr>
              <w:t xml:space="preserve">consistent manner. </w:t>
            </w:r>
          </w:p>
          <w:p w:rsidR="004A0078" w:rsidRPr="000E223C" w:rsidRDefault="000D75F5"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t>Participants highlighted that “consent” might mean that a specific group of people would have a veto right over the project(s)</w:t>
            </w:r>
            <w:r w:rsidR="00177FE4" w:rsidRPr="000E223C">
              <w:rPr>
                <w:rFonts w:ascii="Times New Roman" w:hAnsi="Times New Roman"/>
                <w:color w:val="000000"/>
                <w:sz w:val="24"/>
                <w:szCs w:val="24"/>
                <w:lang w:val="en-US"/>
              </w:rPr>
              <w:t>, which is not warranted under ILO Convention 169 or UNDRIP</w:t>
            </w:r>
            <w:r w:rsidRPr="000E223C">
              <w:rPr>
                <w:rFonts w:ascii="Times New Roman" w:hAnsi="Times New Roman"/>
                <w:color w:val="000000"/>
                <w:sz w:val="24"/>
                <w:szCs w:val="24"/>
                <w:lang w:val="en-US"/>
              </w:rPr>
              <w:t xml:space="preserve">. </w:t>
            </w:r>
            <w:r w:rsidR="004A0078" w:rsidRPr="000E223C">
              <w:rPr>
                <w:rFonts w:ascii="Times New Roman" w:hAnsi="Times New Roman"/>
                <w:color w:val="000000"/>
                <w:sz w:val="24"/>
                <w:szCs w:val="24"/>
                <w:lang w:val="en-US"/>
              </w:rPr>
              <w:t xml:space="preserve">Participants further stated that </w:t>
            </w:r>
            <w:r w:rsidR="00073845" w:rsidRPr="000E223C">
              <w:rPr>
                <w:rFonts w:ascii="Times New Roman" w:hAnsi="Times New Roman"/>
                <w:color w:val="000000"/>
                <w:sz w:val="24"/>
                <w:szCs w:val="24"/>
                <w:lang w:val="en-US"/>
              </w:rPr>
              <w:t>this requirement may undermine project feasibility.</w:t>
            </w:r>
          </w:p>
          <w:p w:rsidR="00073845" w:rsidRPr="000E223C" w:rsidRDefault="00073845"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t>Participants stressed that the UN has well-established standard</w:t>
            </w:r>
            <w:r w:rsidR="00092776" w:rsidRPr="000E223C">
              <w:rPr>
                <w:rFonts w:ascii="Times New Roman" w:hAnsi="Times New Roman"/>
                <w:color w:val="000000"/>
                <w:sz w:val="24"/>
                <w:szCs w:val="24"/>
                <w:lang w:val="en-US"/>
              </w:rPr>
              <w:t>s</w:t>
            </w:r>
            <w:r w:rsidRPr="000E223C">
              <w:rPr>
                <w:rFonts w:ascii="Times New Roman" w:hAnsi="Times New Roman"/>
                <w:color w:val="000000"/>
                <w:sz w:val="24"/>
                <w:szCs w:val="24"/>
                <w:lang w:val="en-US"/>
              </w:rPr>
              <w:t xml:space="preserve"> for protection of human rights of Indigenous Peoples, i.e. ILO 169 (1989) </w:t>
            </w:r>
            <w:r w:rsidR="00092776" w:rsidRPr="000E223C">
              <w:rPr>
                <w:rFonts w:ascii="Times New Roman" w:hAnsi="Times New Roman"/>
                <w:color w:val="000000"/>
                <w:sz w:val="24"/>
                <w:szCs w:val="24"/>
                <w:lang w:val="en-US"/>
              </w:rPr>
              <w:t>and</w:t>
            </w:r>
            <w:r w:rsidRPr="000E223C">
              <w:rPr>
                <w:rFonts w:ascii="Times New Roman" w:hAnsi="Times New Roman"/>
                <w:color w:val="000000"/>
                <w:sz w:val="24"/>
                <w:szCs w:val="24"/>
                <w:lang w:val="en-US"/>
              </w:rPr>
              <w:t xml:space="preserve"> the UN Declaration on the Rights of Indigenous Peoples. Participants </w:t>
            </w:r>
            <w:r w:rsidR="00B10940" w:rsidRPr="000E223C">
              <w:rPr>
                <w:rFonts w:ascii="Times New Roman" w:hAnsi="Times New Roman"/>
                <w:color w:val="000000"/>
                <w:sz w:val="24"/>
                <w:szCs w:val="24"/>
                <w:lang w:val="en-US"/>
              </w:rPr>
              <w:t>mentioned</w:t>
            </w:r>
            <w:r w:rsidRPr="000E223C">
              <w:rPr>
                <w:rFonts w:ascii="Times New Roman" w:hAnsi="Times New Roman"/>
                <w:color w:val="000000"/>
                <w:sz w:val="24"/>
                <w:szCs w:val="24"/>
                <w:lang w:val="en-US"/>
              </w:rPr>
              <w:t xml:space="preserve"> that Brazil has advanced Indigenous Peoples policies supported by the Constitution and ratified ILO 169, however recognized that few countries ratified this Convention as it is ambitious. </w:t>
            </w:r>
            <w:r w:rsidR="00B35C13" w:rsidRPr="000E223C">
              <w:rPr>
                <w:rFonts w:ascii="Times New Roman" w:hAnsi="Times New Roman"/>
                <w:color w:val="000000"/>
                <w:sz w:val="24"/>
                <w:szCs w:val="24"/>
                <w:lang w:val="en-US"/>
              </w:rPr>
              <w:t>Participants underlined that</w:t>
            </w:r>
            <w:r w:rsidR="007E129E" w:rsidRPr="000E223C">
              <w:rPr>
                <w:rFonts w:ascii="Times New Roman" w:hAnsi="Times New Roman"/>
                <w:color w:val="000000"/>
                <w:sz w:val="24"/>
                <w:szCs w:val="24"/>
                <w:lang w:val="en-US"/>
              </w:rPr>
              <w:t xml:space="preserve"> these instruments do not have an automatic requirement</w:t>
            </w:r>
            <w:r w:rsidR="00B72112" w:rsidRPr="000E223C">
              <w:rPr>
                <w:rFonts w:ascii="Times New Roman" w:hAnsi="Times New Roman"/>
                <w:color w:val="000000"/>
                <w:sz w:val="24"/>
                <w:szCs w:val="24"/>
                <w:lang w:val="en-US"/>
              </w:rPr>
              <w:t xml:space="preserve"> for consent as compared to transparent participation of Indigenous Peoples. </w:t>
            </w:r>
            <w:r w:rsidR="00B35C13" w:rsidRPr="000E223C">
              <w:rPr>
                <w:rFonts w:ascii="Times New Roman" w:hAnsi="Times New Roman"/>
                <w:color w:val="000000"/>
                <w:sz w:val="24"/>
                <w:szCs w:val="24"/>
                <w:lang w:val="en-US"/>
              </w:rPr>
              <w:t xml:space="preserve">Participants </w:t>
            </w:r>
            <w:r w:rsidR="00297B10" w:rsidRPr="000E223C">
              <w:rPr>
                <w:rFonts w:ascii="Times New Roman" w:hAnsi="Times New Roman"/>
                <w:color w:val="000000"/>
                <w:sz w:val="24"/>
                <w:szCs w:val="24"/>
                <w:lang w:val="en-US"/>
              </w:rPr>
              <w:t>further</w:t>
            </w:r>
            <w:r w:rsidR="00B35C13" w:rsidRPr="000E223C">
              <w:rPr>
                <w:rFonts w:ascii="Times New Roman" w:hAnsi="Times New Roman"/>
                <w:color w:val="000000"/>
                <w:sz w:val="24"/>
                <w:szCs w:val="24"/>
                <w:lang w:val="en-US"/>
              </w:rPr>
              <w:t xml:space="preserve"> </w:t>
            </w:r>
            <w:r w:rsidR="00297B10" w:rsidRPr="000E223C">
              <w:rPr>
                <w:rFonts w:ascii="Times New Roman" w:hAnsi="Times New Roman"/>
                <w:color w:val="000000"/>
                <w:sz w:val="24"/>
                <w:szCs w:val="24"/>
                <w:lang w:val="en-US"/>
              </w:rPr>
              <w:t xml:space="preserve">underlined </w:t>
            </w:r>
            <w:r w:rsidR="003C4684" w:rsidRPr="000E223C">
              <w:rPr>
                <w:rFonts w:ascii="Times New Roman" w:hAnsi="Times New Roman"/>
                <w:color w:val="000000"/>
                <w:sz w:val="24"/>
                <w:szCs w:val="24"/>
                <w:lang w:val="en-US"/>
              </w:rPr>
              <w:t xml:space="preserve">their view </w:t>
            </w:r>
            <w:r w:rsidR="00B35C13" w:rsidRPr="000E223C">
              <w:rPr>
                <w:rFonts w:ascii="Times New Roman" w:hAnsi="Times New Roman"/>
                <w:color w:val="000000"/>
                <w:sz w:val="24"/>
                <w:szCs w:val="24"/>
                <w:lang w:val="en-US"/>
              </w:rPr>
              <w:t xml:space="preserve">that these instruments represent a global consensus on what is consent and what is consultation with regard to Indigenous Peoples. </w:t>
            </w:r>
          </w:p>
          <w:p w:rsidR="007E129E" w:rsidRPr="000E223C" w:rsidRDefault="007E129E"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t xml:space="preserve">Participants further stressed that the three instruments – ILO 169, UN Declaration, and the </w:t>
            </w:r>
            <w:r w:rsidR="000E223C" w:rsidRPr="000E223C">
              <w:rPr>
                <w:rFonts w:ascii="Times New Roman" w:hAnsi="Times New Roman"/>
                <w:color w:val="000000"/>
                <w:sz w:val="24"/>
                <w:szCs w:val="24"/>
                <w:lang w:val="en-US"/>
              </w:rPr>
              <w:t>O</w:t>
            </w:r>
            <w:r w:rsidRPr="000E223C">
              <w:rPr>
                <w:rFonts w:ascii="Times New Roman" w:hAnsi="Times New Roman"/>
                <w:color w:val="000000"/>
                <w:sz w:val="24"/>
                <w:szCs w:val="24"/>
                <w:lang w:val="en-US"/>
              </w:rPr>
              <w:t>utcome</w:t>
            </w:r>
            <w:r w:rsidR="000E223C" w:rsidRPr="000E223C">
              <w:rPr>
                <w:rFonts w:ascii="Times New Roman" w:hAnsi="Times New Roman"/>
                <w:color w:val="000000"/>
                <w:sz w:val="24"/>
                <w:szCs w:val="24"/>
                <w:lang w:val="en-US"/>
              </w:rPr>
              <w:t xml:space="preserve"> Document</w:t>
            </w:r>
            <w:r w:rsidRPr="000E223C">
              <w:rPr>
                <w:rFonts w:ascii="Times New Roman" w:hAnsi="Times New Roman"/>
                <w:color w:val="000000"/>
                <w:sz w:val="24"/>
                <w:szCs w:val="24"/>
                <w:lang w:val="en-US"/>
              </w:rPr>
              <w:t xml:space="preserve"> of the World Conference on Indigenous Peoples in 2014 – should be the parameters for the World Bank standards related to Indigenous Peoples and that the World Bank </w:t>
            </w:r>
            <w:r w:rsidR="00D07400" w:rsidRPr="000E223C">
              <w:rPr>
                <w:rFonts w:ascii="Times New Roman" w:hAnsi="Times New Roman"/>
                <w:color w:val="000000"/>
                <w:sz w:val="24"/>
                <w:szCs w:val="24"/>
                <w:lang w:val="en-US"/>
              </w:rPr>
              <w:t>has no mandate for</w:t>
            </w:r>
            <w:r w:rsidRPr="000E223C">
              <w:rPr>
                <w:rFonts w:ascii="Times New Roman" w:hAnsi="Times New Roman"/>
                <w:color w:val="000000"/>
                <w:sz w:val="24"/>
                <w:szCs w:val="24"/>
                <w:lang w:val="en-US"/>
              </w:rPr>
              <w:t xml:space="preserve"> elaborating international standards in this area.</w:t>
            </w:r>
          </w:p>
          <w:p w:rsidR="00CF1587" w:rsidRPr="000E223C" w:rsidRDefault="00CF1587" w:rsidP="001E6381">
            <w:pPr>
              <w:pStyle w:val="ColorfulList-Accent11"/>
              <w:numPr>
                <w:ilvl w:val="0"/>
                <w:numId w:val="24"/>
              </w:numPr>
              <w:spacing w:before="120"/>
              <w:ind w:left="468" w:hanging="468"/>
              <w:rPr>
                <w:rFonts w:ascii="Times New Roman" w:hAnsi="Times New Roman"/>
                <w:color w:val="000000"/>
                <w:sz w:val="24"/>
                <w:szCs w:val="24"/>
                <w:lang w:val="en-US"/>
              </w:rPr>
            </w:pPr>
            <w:r w:rsidRPr="000E223C">
              <w:rPr>
                <w:rFonts w:ascii="Times New Roman" w:hAnsi="Times New Roman"/>
                <w:color w:val="000000"/>
                <w:sz w:val="24"/>
                <w:szCs w:val="24"/>
                <w:lang w:val="en-US"/>
              </w:rPr>
              <w:t xml:space="preserve">Participants </w:t>
            </w:r>
            <w:r w:rsidR="004A0078" w:rsidRPr="000E223C">
              <w:rPr>
                <w:rFonts w:ascii="Times New Roman" w:hAnsi="Times New Roman"/>
                <w:color w:val="000000"/>
                <w:sz w:val="24"/>
                <w:szCs w:val="24"/>
                <w:lang w:val="en-US"/>
              </w:rPr>
              <w:t>raised a</w:t>
            </w:r>
            <w:r w:rsidRPr="000E223C">
              <w:rPr>
                <w:rFonts w:ascii="Times New Roman" w:hAnsi="Times New Roman"/>
                <w:color w:val="000000"/>
                <w:sz w:val="24"/>
                <w:szCs w:val="24"/>
                <w:lang w:val="en-US"/>
              </w:rPr>
              <w:t xml:space="preserve"> </w:t>
            </w:r>
            <w:r w:rsidR="00037EBF" w:rsidRPr="000E223C">
              <w:rPr>
                <w:rFonts w:ascii="Times New Roman" w:hAnsi="Times New Roman"/>
                <w:color w:val="000000"/>
                <w:sz w:val="24"/>
                <w:szCs w:val="24"/>
                <w:lang w:val="en-US"/>
              </w:rPr>
              <w:t xml:space="preserve">concern regarding </w:t>
            </w:r>
            <w:r w:rsidRPr="000E223C">
              <w:rPr>
                <w:rFonts w:ascii="Times New Roman" w:hAnsi="Times New Roman"/>
                <w:color w:val="000000"/>
                <w:sz w:val="24"/>
                <w:szCs w:val="24"/>
                <w:lang w:val="en-US"/>
              </w:rPr>
              <w:t>explicitly addressing the issue of Indigenous Peoples under voluntary isolation</w:t>
            </w:r>
            <w:r w:rsidR="00037EBF" w:rsidRPr="000E223C">
              <w:rPr>
                <w:rFonts w:ascii="Times New Roman" w:hAnsi="Times New Roman"/>
                <w:color w:val="000000"/>
                <w:sz w:val="24"/>
                <w:szCs w:val="24"/>
                <w:lang w:val="en-US"/>
              </w:rPr>
              <w:t>, taking</w:t>
            </w:r>
            <w:r w:rsidR="00037EBF" w:rsidRPr="000E223C">
              <w:rPr>
                <w:sz w:val="22"/>
                <w:szCs w:val="22"/>
                <w:lang w:val="en-US"/>
              </w:rPr>
              <w:t xml:space="preserve"> </w:t>
            </w:r>
            <w:r w:rsidR="00037EBF" w:rsidRPr="000E223C">
              <w:rPr>
                <w:rFonts w:ascii="Times New Roman" w:hAnsi="Times New Roman"/>
                <w:color w:val="000000"/>
                <w:sz w:val="24"/>
                <w:szCs w:val="24"/>
                <w:lang w:val="en-US"/>
              </w:rPr>
              <w:t xml:space="preserve">into account the need to preserve, respect and protect lands, territories, </w:t>
            </w:r>
            <w:r w:rsidR="00037EBF" w:rsidRPr="000E223C">
              <w:rPr>
                <w:rFonts w:ascii="Times New Roman" w:hAnsi="Times New Roman"/>
                <w:color w:val="000000"/>
                <w:sz w:val="24"/>
                <w:szCs w:val="24"/>
                <w:lang w:val="en-US"/>
              </w:rPr>
              <w:lastRenderedPageBreak/>
              <w:t>environment, health and culture, avoiding forced contact with those communities.</w:t>
            </w:r>
          </w:p>
          <w:p w:rsidR="00CF1587" w:rsidRPr="000E223C" w:rsidRDefault="00CF1587" w:rsidP="001E6381">
            <w:pPr>
              <w:pStyle w:val="ColorfulList-Accent11"/>
              <w:spacing w:before="120"/>
              <w:ind w:left="468"/>
              <w:rPr>
                <w:rFonts w:ascii="Times New Roman" w:hAnsi="Times New Roman"/>
                <w:color w:val="000000"/>
                <w:sz w:val="24"/>
                <w:szCs w:val="24"/>
                <w:lang w:val="en-US"/>
              </w:rPr>
            </w:pP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ESS8</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Cultural Heritage</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Treatment of intangible cultural heritage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Application of intangible cultural heritage when the project intends to commercialize such heritage</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Application of cultural heritage requirements when cultural heritage has not been legally protected or previously identified or disturbed</w:t>
            </w:r>
          </w:p>
        </w:tc>
        <w:tc>
          <w:tcPr>
            <w:tcW w:w="1886" w:type="pct"/>
            <w:shd w:val="clear" w:color="auto" w:fill="auto"/>
          </w:tcPr>
          <w:p w:rsidR="00C875C6" w:rsidRPr="009B02C3" w:rsidRDefault="00C875C6" w:rsidP="00C875C6">
            <w:pPr>
              <w:pStyle w:val="ListParagraph"/>
              <w:numPr>
                <w:ilvl w:val="0"/>
                <w:numId w:val="36"/>
              </w:numPr>
              <w:ind w:left="468" w:hanging="450"/>
              <w:rPr>
                <w:rFonts w:ascii="Times New Roman" w:hAnsi="Times New Roman"/>
                <w:color w:val="000000"/>
                <w:sz w:val="24"/>
                <w:szCs w:val="24"/>
              </w:rPr>
            </w:pPr>
            <w:r w:rsidRPr="009B02C3">
              <w:rPr>
                <w:rFonts w:ascii="Times New Roman" w:hAnsi="Times New Roman"/>
                <w:color w:val="000000"/>
                <w:sz w:val="24"/>
                <w:szCs w:val="24"/>
              </w:rPr>
              <w:t xml:space="preserve">Participants suggested that decisions relating to </w:t>
            </w:r>
            <w:r w:rsidR="009E043F" w:rsidRPr="009B02C3">
              <w:rPr>
                <w:rFonts w:ascii="Times New Roman" w:hAnsi="Times New Roman"/>
                <w:color w:val="000000"/>
                <w:sz w:val="24"/>
                <w:szCs w:val="24"/>
              </w:rPr>
              <w:t xml:space="preserve">removal of </w:t>
            </w:r>
            <w:r w:rsidRPr="009B02C3">
              <w:rPr>
                <w:rFonts w:ascii="Times New Roman" w:hAnsi="Times New Roman"/>
                <w:color w:val="000000"/>
                <w:sz w:val="24"/>
                <w:szCs w:val="24"/>
              </w:rPr>
              <w:t>cultural heritage should be made at the country, and not project level.</w:t>
            </w:r>
            <w:r w:rsidR="009E043F" w:rsidRPr="009B02C3">
              <w:rPr>
                <w:rFonts w:ascii="Times New Roman" w:hAnsi="Times New Roman"/>
                <w:color w:val="000000"/>
                <w:sz w:val="24"/>
                <w:szCs w:val="24"/>
              </w:rPr>
              <w:t xml:space="preserve"> More specifically, it was suggested that para. 25 of ESS8 is revised to clarify that relevant cultural heritage authorities in a country will make decisions together with the project borrower</w:t>
            </w:r>
            <w:r w:rsidR="00177FE4">
              <w:rPr>
                <w:rFonts w:ascii="Times New Roman" w:hAnsi="Times New Roman"/>
                <w:color w:val="000000"/>
                <w:sz w:val="24"/>
                <w:szCs w:val="24"/>
              </w:rPr>
              <w:t xml:space="preserve"> (when subnational)</w:t>
            </w:r>
            <w:r w:rsidR="009E043F" w:rsidRPr="009B02C3">
              <w:rPr>
                <w:rFonts w:ascii="Times New Roman" w:hAnsi="Times New Roman"/>
                <w:color w:val="000000"/>
                <w:sz w:val="24"/>
                <w:szCs w:val="24"/>
              </w:rPr>
              <w:t>.</w:t>
            </w:r>
          </w:p>
          <w:p w:rsidR="00944F46" w:rsidRPr="009B02C3" w:rsidRDefault="009E043F" w:rsidP="009E043F">
            <w:pPr>
              <w:pStyle w:val="ListParagraph"/>
              <w:numPr>
                <w:ilvl w:val="0"/>
                <w:numId w:val="36"/>
              </w:numPr>
              <w:ind w:left="468" w:hanging="450"/>
              <w:rPr>
                <w:rFonts w:ascii="Times New Roman" w:hAnsi="Times New Roman"/>
                <w:color w:val="000000"/>
                <w:sz w:val="24"/>
                <w:szCs w:val="24"/>
              </w:rPr>
            </w:pPr>
            <w:r w:rsidRPr="009B02C3">
              <w:rPr>
                <w:rFonts w:ascii="Times New Roman" w:hAnsi="Times New Roman"/>
                <w:color w:val="000000"/>
                <w:sz w:val="24"/>
                <w:szCs w:val="24"/>
              </w:rPr>
              <w:t>Participants suggested that intangible cultural heritage should be given more attention in the proposed ESF.</w:t>
            </w: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ESS9</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Financial Intermediaries</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Application of standard to FI subprojects and resource implications depending on risk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Harmonization of approach with IFC and Equator Banks </w:t>
            </w:r>
          </w:p>
        </w:tc>
        <w:tc>
          <w:tcPr>
            <w:tcW w:w="1886" w:type="pct"/>
            <w:shd w:val="clear" w:color="auto" w:fill="auto"/>
          </w:tcPr>
          <w:p w:rsidR="00944F46" w:rsidRPr="009B02C3" w:rsidRDefault="001A35A6" w:rsidP="001E6381">
            <w:pPr>
              <w:spacing w:before="120" w:after="0" w:line="240" w:lineRule="auto"/>
              <w:ind w:left="-18"/>
              <w:jc w:val="both"/>
              <w:rPr>
                <w:rFonts w:ascii="Times New Roman" w:hAnsi="Times New Roman" w:cs="Times New Roman"/>
                <w:sz w:val="24"/>
                <w:szCs w:val="24"/>
              </w:rPr>
            </w:pPr>
            <w:r w:rsidRPr="009B02C3">
              <w:rPr>
                <w:rFonts w:ascii="Times New Roman" w:hAnsi="Times New Roman" w:cs="Times New Roman"/>
                <w:sz w:val="24"/>
                <w:szCs w:val="24"/>
              </w:rPr>
              <w:t>Not discussed in detail</w:t>
            </w:r>
          </w:p>
        </w:tc>
      </w:tr>
      <w:tr w:rsidR="001120A9" w:rsidRPr="00B31FC4" w:rsidTr="000D75F5">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ESS10</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Stakeholder engagement</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Definition and identification of project stakeholders and nature of engagement</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Role of borrowing countries or implementing agencies in identifying project stakeholders</w:t>
            </w:r>
          </w:p>
        </w:tc>
        <w:tc>
          <w:tcPr>
            <w:tcW w:w="1886" w:type="pct"/>
            <w:shd w:val="clear" w:color="auto" w:fill="auto"/>
          </w:tcPr>
          <w:p w:rsidR="00775851" w:rsidRPr="000E223C" w:rsidRDefault="001A35A6" w:rsidP="001A35A6">
            <w:pPr>
              <w:pStyle w:val="ColorfulList-Accent11"/>
              <w:spacing w:before="120"/>
              <w:ind w:left="0"/>
              <w:jc w:val="both"/>
              <w:rPr>
                <w:rFonts w:ascii="Times New Roman" w:hAnsi="Times New Roman"/>
                <w:sz w:val="24"/>
                <w:szCs w:val="24"/>
                <w:lang w:val="en-US"/>
              </w:rPr>
            </w:pPr>
            <w:r w:rsidRPr="000E223C">
              <w:rPr>
                <w:rFonts w:ascii="Times New Roman" w:hAnsi="Times New Roman"/>
                <w:sz w:val="24"/>
                <w:szCs w:val="24"/>
                <w:lang w:val="en-US"/>
              </w:rPr>
              <w:t>Not discussed in detail</w:t>
            </w:r>
          </w:p>
        </w:tc>
      </w:tr>
      <w:tr w:rsidR="001120A9" w:rsidRPr="00B31FC4" w:rsidTr="000D75F5">
        <w:tc>
          <w:tcPr>
            <w:tcW w:w="339"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General</w:t>
            </w:r>
          </w:p>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 xml:space="preserve"> EHSG and GIIP</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eastAsia="SimSun" w:hAnsi="Times New Roman"/>
                <w:sz w:val="24"/>
                <w:szCs w:val="24"/>
                <w:lang w:val="en-US" w:eastAsia="zh-CN"/>
              </w:rPr>
            </w:pPr>
            <w:r w:rsidRPr="000E223C">
              <w:rPr>
                <w:rFonts w:ascii="Times New Roman" w:hAnsi="Times New Roman"/>
                <w:sz w:val="24"/>
                <w:szCs w:val="24"/>
                <w:lang w:val="en-US"/>
              </w:rPr>
              <w:t>Application of the Environmental, Health and Safety Guidelines (</w:t>
            </w:r>
            <w:r w:rsidRPr="000E223C">
              <w:rPr>
                <w:rFonts w:ascii="Times New Roman" w:eastAsia="SimSun" w:hAnsi="Times New Roman"/>
                <w:sz w:val="24"/>
                <w:szCs w:val="24"/>
                <w:lang w:val="en-US" w:eastAsia="zh-CN"/>
              </w:rPr>
              <w:t xml:space="preserve">EHSGs) and </w:t>
            </w:r>
            <w:r w:rsidRPr="000E223C">
              <w:rPr>
                <w:rFonts w:ascii="Times New Roman" w:hAnsi="Times New Roman"/>
                <w:sz w:val="24"/>
                <w:szCs w:val="24"/>
                <w:lang w:val="en-US"/>
              </w:rPr>
              <w:t>Good International Industry Practice (</w:t>
            </w:r>
            <w:r w:rsidRPr="000E223C">
              <w:rPr>
                <w:rFonts w:ascii="Times New Roman" w:eastAsia="SimSun" w:hAnsi="Times New Roman"/>
                <w:sz w:val="24"/>
                <w:szCs w:val="24"/>
                <w:lang w:val="en-US" w:eastAsia="zh-CN"/>
              </w:rPr>
              <w:t>GIIP), especially when different to national law or where the Borrower has technical or financial constraints and/or in view of project specific circumstances</w:t>
            </w:r>
          </w:p>
        </w:tc>
        <w:tc>
          <w:tcPr>
            <w:tcW w:w="1886" w:type="pct"/>
            <w:shd w:val="clear" w:color="auto" w:fill="auto"/>
          </w:tcPr>
          <w:p w:rsidR="00944F46" w:rsidRPr="000E223C" w:rsidRDefault="001A35A6" w:rsidP="001E6381">
            <w:pPr>
              <w:pStyle w:val="ColorfulList-Accent11"/>
              <w:spacing w:before="120"/>
              <w:ind w:left="-18"/>
              <w:jc w:val="both"/>
              <w:rPr>
                <w:rFonts w:ascii="Times New Roman" w:hAnsi="Times New Roman"/>
                <w:sz w:val="24"/>
                <w:szCs w:val="24"/>
                <w:lang w:val="en-US"/>
              </w:rPr>
            </w:pPr>
            <w:r w:rsidRPr="000E223C">
              <w:rPr>
                <w:rFonts w:ascii="Times New Roman" w:hAnsi="Times New Roman"/>
                <w:sz w:val="24"/>
                <w:szCs w:val="24"/>
                <w:lang w:val="en-US"/>
              </w:rPr>
              <w:t>Not discussed in detail</w:t>
            </w: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Feasibility and resources for implementation</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eastAsia="SimSun" w:hAnsi="Times New Roman"/>
                <w:sz w:val="24"/>
                <w:szCs w:val="24"/>
                <w:lang w:val="en-US" w:eastAsia="zh-CN"/>
              </w:rPr>
            </w:pPr>
            <w:r w:rsidRPr="000E223C">
              <w:rPr>
                <w:rFonts w:ascii="Times New Roman" w:eastAsia="SimSun" w:hAnsi="Times New Roman"/>
                <w:sz w:val="24"/>
                <w:szCs w:val="24"/>
                <w:lang w:val="en-US" w:eastAsia="zh-CN"/>
              </w:rPr>
              <w:t>Implementation and resource implications for Borrowers, taking into account factors such as the expanded scope of the proposed ESF (e.g., labor standard), different Borrower capacities and adaptive management approach</w:t>
            </w:r>
          </w:p>
          <w:p w:rsidR="00944F46" w:rsidRPr="000E223C" w:rsidRDefault="00944F46" w:rsidP="001120A9">
            <w:pPr>
              <w:pStyle w:val="ColorfulList-Accent11"/>
              <w:numPr>
                <w:ilvl w:val="0"/>
                <w:numId w:val="11"/>
              </w:numPr>
              <w:ind w:left="342"/>
              <w:rPr>
                <w:rFonts w:ascii="Times New Roman" w:eastAsia="SimSun" w:hAnsi="Times New Roman"/>
                <w:sz w:val="24"/>
                <w:szCs w:val="24"/>
                <w:lang w:val="en-US" w:eastAsia="zh-CN"/>
              </w:rPr>
            </w:pPr>
            <w:r w:rsidRPr="000E223C">
              <w:rPr>
                <w:rFonts w:ascii="Times New Roman" w:eastAsia="SimSun" w:hAnsi="Times New Roman"/>
                <w:sz w:val="24"/>
                <w:szCs w:val="24"/>
                <w:lang w:val="en-US" w:eastAsia="zh-CN"/>
              </w:rPr>
              <w:t>Mitigation of additional burden and cost and options for improving implementation efficiency while maintaining effectiveness</w:t>
            </w:r>
          </w:p>
        </w:tc>
        <w:tc>
          <w:tcPr>
            <w:tcW w:w="1886" w:type="pct"/>
            <w:shd w:val="clear" w:color="auto" w:fill="auto"/>
          </w:tcPr>
          <w:p w:rsidR="00944F46" w:rsidRPr="000E223C" w:rsidRDefault="003673D6" w:rsidP="00B74AFA">
            <w:pPr>
              <w:pStyle w:val="ListParagraph"/>
              <w:numPr>
                <w:ilvl w:val="0"/>
                <w:numId w:val="34"/>
              </w:numPr>
              <w:spacing w:before="120" w:after="0" w:line="240" w:lineRule="auto"/>
              <w:ind w:left="378"/>
              <w:rPr>
                <w:rFonts w:ascii="Times New Roman" w:hAnsi="Times New Roman"/>
                <w:sz w:val="24"/>
                <w:szCs w:val="24"/>
              </w:rPr>
            </w:pPr>
            <w:r w:rsidRPr="000E223C">
              <w:rPr>
                <w:rFonts w:ascii="Times New Roman" w:hAnsi="Times New Roman"/>
                <w:sz w:val="24"/>
                <w:szCs w:val="24"/>
              </w:rPr>
              <w:t>Participants highlighted that the ESF should be more practical, guarantee effectiveness, promote economic development and sustainability.</w:t>
            </w:r>
          </w:p>
          <w:p w:rsidR="003673D6" w:rsidRPr="000E223C" w:rsidRDefault="00631C33" w:rsidP="00B0542D">
            <w:pPr>
              <w:pStyle w:val="ListParagraph"/>
              <w:numPr>
                <w:ilvl w:val="0"/>
                <w:numId w:val="34"/>
              </w:numPr>
              <w:spacing w:before="120" w:after="0" w:line="240" w:lineRule="auto"/>
              <w:ind w:left="374"/>
              <w:contextualSpacing w:val="0"/>
              <w:rPr>
                <w:rFonts w:ascii="Times New Roman" w:hAnsi="Times New Roman"/>
                <w:sz w:val="24"/>
                <w:szCs w:val="24"/>
              </w:rPr>
            </w:pPr>
            <w:r w:rsidRPr="000E223C">
              <w:rPr>
                <w:rFonts w:ascii="Times New Roman" w:hAnsi="Times New Roman"/>
                <w:sz w:val="24"/>
                <w:szCs w:val="24"/>
              </w:rPr>
              <w:t xml:space="preserve">Participants welcomed the ESF as an important opportunity for Borrowers to develop and to improve their processes, however expressed concern that the requirements are defined in such a </w:t>
            </w:r>
            <w:r w:rsidRPr="000E223C">
              <w:rPr>
                <w:rFonts w:ascii="Times New Roman" w:hAnsi="Times New Roman"/>
                <w:sz w:val="24"/>
                <w:szCs w:val="24"/>
              </w:rPr>
              <w:lastRenderedPageBreak/>
              <w:t>way that the costs of meeting them would be high, and would be time</w:t>
            </w:r>
            <w:r w:rsidR="00177FE4" w:rsidRPr="000E223C">
              <w:rPr>
                <w:rFonts w:ascii="Times New Roman" w:hAnsi="Times New Roman"/>
                <w:sz w:val="24"/>
                <w:szCs w:val="24"/>
              </w:rPr>
              <w:t>-consuming</w:t>
            </w:r>
            <w:r w:rsidRPr="000E223C">
              <w:rPr>
                <w:rFonts w:ascii="Times New Roman" w:hAnsi="Times New Roman"/>
                <w:sz w:val="24"/>
                <w:szCs w:val="24"/>
              </w:rPr>
              <w:t xml:space="preserve"> to prepare projects. </w:t>
            </w:r>
          </w:p>
          <w:p w:rsidR="00547BCE" w:rsidRPr="000E223C" w:rsidRDefault="00547BCE" w:rsidP="00B74AFA">
            <w:pPr>
              <w:pStyle w:val="ListParagraph"/>
              <w:spacing w:before="120" w:after="0" w:line="240" w:lineRule="auto"/>
              <w:ind w:left="378" w:hanging="360"/>
              <w:rPr>
                <w:rFonts w:ascii="Times New Roman" w:hAnsi="Times New Roman"/>
                <w:sz w:val="24"/>
                <w:szCs w:val="24"/>
              </w:rPr>
            </w:pP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Client capacity building and implementation support</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Funding for client capacity building</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 xml:space="preserve">Approaches and areas of </w:t>
            </w:r>
            <w:r w:rsidRPr="000E223C">
              <w:rPr>
                <w:rFonts w:ascii="Times New Roman" w:hAnsi="Times New Roman"/>
                <w:color w:val="000000"/>
                <w:sz w:val="24"/>
                <w:szCs w:val="24"/>
                <w:lang w:val="en-US"/>
              </w:rPr>
              <w:t>focus</w:t>
            </w:r>
            <w:r w:rsidRPr="000E223C">
              <w:rPr>
                <w:rFonts w:ascii="Times New Roman" w:hAnsi="Times New Roman"/>
                <w:sz w:val="24"/>
                <w:szCs w:val="24"/>
                <w:lang w:val="en-US"/>
              </w:rPr>
              <w:t xml:space="preserve"> </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Approach to implementing the ESF in situations with capacity constraints, e.g., FCS, small states and emergency situations</w:t>
            </w:r>
          </w:p>
        </w:tc>
        <w:tc>
          <w:tcPr>
            <w:tcW w:w="1886" w:type="pct"/>
            <w:shd w:val="clear" w:color="auto" w:fill="auto"/>
          </w:tcPr>
          <w:p w:rsidR="001A35A6" w:rsidRPr="000E223C" w:rsidRDefault="001A35A6" w:rsidP="00B74AFA">
            <w:pPr>
              <w:pStyle w:val="ColorfulList-Accent11"/>
              <w:numPr>
                <w:ilvl w:val="0"/>
                <w:numId w:val="31"/>
              </w:numPr>
              <w:spacing w:before="120"/>
              <w:ind w:left="378"/>
              <w:rPr>
                <w:rFonts w:ascii="Times New Roman" w:hAnsi="Times New Roman"/>
                <w:sz w:val="24"/>
                <w:szCs w:val="24"/>
                <w:lang w:val="en-US"/>
              </w:rPr>
            </w:pPr>
            <w:r w:rsidRPr="000E223C">
              <w:rPr>
                <w:rFonts w:ascii="Times New Roman" w:hAnsi="Times New Roman"/>
                <w:sz w:val="24"/>
                <w:szCs w:val="24"/>
                <w:lang w:val="en-US"/>
              </w:rPr>
              <w:t>Participants highlighted the need for financing and technical assistance to strengthen both Borrower capacity and Borrower frameworks/ legislation; this aspect was discussed as one of utmost importance because if the Bank works in most difficult regions in a country that are in need of development, capacity to implement E&amp;S risk mitigation measures will most often be low.</w:t>
            </w:r>
          </w:p>
          <w:p w:rsidR="00B74AFA" w:rsidRPr="009B02C3" w:rsidRDefault="00B74AFA" w:rsidP="00B74AFA">
            <w:pPr>
              <w:pStyle w:val="ListParagraph"/>
              <w:numPr>
                <w:ilvl w:val="0"/>
                <w:numId w:val="31"/>
              </w:numPr>
              <w:spacing w:before="120" w:after="0" w:line="259" w:lineRule="auto"/>
              <w:ind w:left="378"/>
              <w:contextualSpacing w:val="0"/>
              <w:rPr>
                <w:rFonts w:ascii="Times New Roman" w:hAnsi="Times New Roman"/>
                <w:sz w:val="24"/>
                <w:szCs w:val="24"/>
              </w:rPr>
            </w:pPr>
            <w:r w:rsidRPr="009B02C3">
              <w:rPr>
                <w:rFonts w:ascii="Times New Roman" w:hAnsi="Times New Roman"/>
                <w:sz w:val="24"/>
                <w:szCs w:val="24"/>
              </w:rPr>
              <w:t>Participants further explained that states in Brazil have varying capacity for implementation, as do different industry sectors, and that building capacity would take not only financial resources but also time. Participants, therefore, suggested that the Bank should within its vision state a clear commitment to capacity building as a way to alleviate poverty and to reach poor / poorer regions in countries as an objective.</w:t>
            </w:r>
          </w:p>
          <w:p w:rsidR="00937525" w:rsidRPr="000E223C" w:rsidRDefault="00937525" w:rsidP="00B74AFA">
            <w:pPr>
              <w:pStyle w:val="ColorfulList-Accent11"/>
              <w:spacing w:before="120"/>
              <w:ind w:left="378" w:hanging="360"/>
              <w:jc w:val="both"/>
              <w:rPr>
                <w:rFonts w:ascii="Times New Roman" w:hAnsi="Times New Roman"/>
                <w:sz w:val="24"/>
                <w:szCs w:val="24"/>
                <w:lang w:val="en-US"/>
              </w:rPr>
            </w:pP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Disclosure</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Timing of the preparation and disclosure of specific environmental and social impact assessment documents (related to ESS1 and ESS10)</w:t>
            </w:r>
          </w:p>
        </w:tc>
        <w:tc>
          <w:tcPr>
            <w:tcW w:w="1886" w:type="pct"/>
            <w:shd w:val="clear" w:color="auto" w:fill="auto"/>
          </w:tcPr>
          <w:p w:rsidR="00944F46" w:rsidRPr="000E223C" w:rsidRDefault="00EC2546" w:rsidP="001E6381">
            <w:pPr>
              <w:pStyle w:val="ColorfulList-Accent11"/>
              <w:spacing w:before="120"/>
              <w:ind w:left="-18"/>
              <w:jc w:val="both"/>
              <w:rPr>
                <w:rFonts w:ascii="Times New Roman" w:hAnsi="Times New Roman"/>
                <w:sz w:val="24"/>
                <w:szCs w:val="24"/>
                <w:lang w:val="en-US"/>
              </w:rPr>
            </w:pPr>
            <w:r w:rsidRPr="000E223C">
              <w:rPr>
                <w:rFonts w:ascii="Times New Roman" w:hAnsi="Times New Roman"/>
                <w:sz w:val="24"/>
                <w:szCs w:val="24"/>
                <w:lang w:val="en-US"/>
              </w:rPr>
              <w:t>Not discussed in detail</w:t>
            </w:r>
          </w:p>
        </w:tc>
      </w:tr>
      <w:tr w:rsidR="001120A9" w:rsidRPr="00B31FC4" w:rsidTr="000D75F5">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Implementation of the ESF</w:t>
            </w:r>
          </w:p>
        </w:tc>
        <w:tc>
          <w:tcPr>
            <w:tcW w:w="1936" w:type="pct"/>
            <w:shd w:val="clear" w:color="auto" w:fill="E7E6E6"/>
          </w:tcPr>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Bank internal capacity building, resourcing, and behavioral change in order to successfully implement the ESF</w:t>
            </w:r>
          </w:p>
          <w:p w:rsidR="00944F46" w:rsidRPr="000E223C" w:rsidRDefault="00944F46" w:rsidP="001120A9">
            <w:pPr>
              <w:pStyle w:val="ColorfulList-Accent11"/>
              <w:numPr>
                <w:ilvl w:val="0"/>
                <w:numId w:val="11"/>
              </w:numPr>
              <w:ind w:left="342"/>
              <w:rPr>
                <w:rFonts w:ascii="Times New Roman" w:hAnsi="Times New Roman"/>
                <w:sz w:val="24"/>
                <w:szCs w:val="24"/>
                <w:lang w:val="en-US"/>
              </w:rPr>
            </w:pPr>
            <w:r w:rsidRPr="000E223C">
              <w:rPr>
                <w:rFonts w:ascii="Times New Roman" w:hAnsi="Times New Roman"/>
                <w:sz w:val="24"/>
                <w:szCs w:val="24"/>
                <w:lang w:val="en-US"/>
              </w:rPr>
              <w:t>Ways of reaching mutual understanding between Borrower and Bank on issues of difficult interpretation</w:t>
            </w:r>
          </w:p>
        </w:tc>
        <w:tc>
          <w:tcPr>
            <w:tcW w:w="1886" w:type="pct"/>
            <w:shd w:val="clear" w:color="auto" w:fill="auto"/>
          </w:tcPr>
          <w:p w:rsidR="00944F46" w:rsidRPr="000E223C" w:rsidRDefault="00EC2546" w:rsidP="00EC2546">
            <w:pPr>
              <w:pStyle w:val="ColorfulList-Accent11"/>
              <w:spacing w:before="120"/>
              <w:ind w:left="0"/>
              <w:jc w:val="both"/>
              <w:rPr>
                <w:rFonts w:ascii="Times New Roman" w:hAnsi="Times New Roman"/>
                <w:sz w:val="24"/>
                <w:szCs w:val="24"/>
                <w:lang w:val="en-US"/>
              </w:rPr>
            </w:pPr>
            <w:r w:rsidRPr="000E223C">
              <w:rPr>
                <w:rFonts w:ascii="Times New Roman" w:hAnsi="Times New Roman"/>
                <w:sz w:val="24"/>
                <w:szCs w:val="24"/>
                <w:lang w:val="en-US"/>
              </w:rPr>
              <w:t>Not discussed in detail</w:t>
            </w:r>
          </w:p>
        </w:tc>
      </w:tr>
      <w:tr w:rsidR="0073076A" w:rsidRPr="00B31FC4" w:rsidTr="00513EF8">
        <w:tc>
          <w:tcPr>
            <w:tcW w:w="5000" w:type="pct"/>
            <w:gridSpan w:val="4"/>
            <w:shd w:val="clear" w:color="auto" w:fill="E7E6E6"/>
          </w:tcPr>
          <w:p w:rsidR="001973F4" w:rsidRPr="009B02C3" w:rsidRDefault="0073076A" w:rsidP="001E6381">
            <w:pPr>
              <w:spacing w:before="120" w:after="0" w:line="240" w:lineRule="auto"/>
              <w:jc w:val="both"/>
              <w:rPr>
                <w:rFonts w:ascii="Times New Roman" w:hAnsi="Times New Roman" w:cs="Times New Roman"/>
                <w:b/>
                <w:sz w:val="24"/>
                <w:szCs w:val="24"/>
              </w:rPr>
            </w:pPr>
            <w:r w:rsidRPr="009B02C3">
              <w:rPr>
                <w:rFonts w:ascii="Times New Roman" w:hAnsi="Times New Roman" w:cs="Times New Roman"/>
                <w:b/>
                <w:sz w:val="24"/>
                <w:szCs w:val="24"/>
              </w:rPr>
              <w:t>Other issues</w:t>
            </w:r>
            <w:r w:rsidR="00466223" w:rsidRPr="009B02C3">
              <w:rPr>
                <w:rFonts w:ascii="Times New Roman" w:hAnsi="Times New Roman" w:cs="Times New Roman"/>
                <w:b/>
                <w:sz w:val="24"/>
                <w:szCs w:val="24"/>
              </w:rPr>
              <w:t>:</w:t>
            </w:r>
          </w:p>
          <w:p w:rsidR="001120A9" w:rsidRPr="000E223C" w:rsidRDefault="006C40AE" w:rsidP="00466223">
            <w:pPr>
              <w:pStyle w:val="ColorfulList-Accent11"/>
              <w:numPr>
                <w:ilvl w:val="0"/>
                <w:numId w:val="15"/>
              </w:numPr>
              <w:spacing w:before="120"/>
              <w:rPr>
                <w:rFonts w:ascii="Times New Roman" w:hAnsi="Times New Roman"/>
                <w:sz w:val="24"/>
                <w:szCs w:val="24"/>
                <w:lang w:val="en-US"/>
              </w:rPr>
            </w:pPr>
            <w:r w:rsidRPr="000E223C">
              <w:rPr>
                <w:rFonts w:ascii="Times New Roman" w:hAnsi="Times New Roman"/>
                <w:sz w:val="24"/>
                <w:szCs w:val="24"/>
                <w:lang w:val="en-US"/>
              </w:rPr>
              <w:t xml:space="preserve">Participants mentioned that the ESF is a more proactive way of managing E&amp;S issues as compared to the “old” safeguards, and that the </w:t>
            </w:r>
            <w:r w:rsidR="009E043F" w:rsidRPr="000E223C">
              <w:rPr>
                <w:rFonts w:ascii="Times New Roman" w:hAnsi="Times New Roman"/>
                <w:sz w:val="24"/>
                <w:szCs w:val="24"/>
                <w:lang w:val="en-US"/>
              </w:rPr>
              <w:t xml:space="preserve">proposed </w:t>
            </w:r>
            <w:r w:rsidRPr="000E223C">
              <w:rPr>
                <w:rFonts w:ascii="Times New Roman" w:hAnsi="Times New Roman"/>
                <w:sz w:val="24"/>
                <w:szCs w:val="24"/>
                <w:lang w:val="en-US"/>
              </w:rPr>
              <w:t xml:space="preserve">ESF creates a more strategic focus and approach to project design. </w:t>
            </w:r>
          </w:p>
          <w:p w:rsidR="008622EB" w:rsidRPr="000E223C" w:rsidRDefault="004A1E31" w:rsidP="00466223">
            <w:pPr>
              <w:pStyle w:val="ColorfulList-Accent11"/>
              <w:numPr>
                <w:ilvl w:val="0"/>
                <w:numId w:val="15"/>
              </w:numPr>
              <w:spacing w:before="120"/>
              <w:rPr>
                <w:rFonts w:ascii="Times New Roman" w:hAnsi="Times New Roman"/>
                <w:sz w:val="24"/>
                <w:szCs w:val="24"/>
                <w:lang w:val="en-US"/>
              </w:rPr>
            </w:pPr>
            <w:r w:rsidRPr="000E223C">
              <w:rPr>
                <w:rFonts w:ascii="Times New Roman" w:hAnsi="Times New Roman"/>
                <w:sz w:val="24"/>
                <w:szCs w:val="24"/>
                <w:lang w:val="en-US"/>
              </w:rPr>
              <w:lastRenderedPageBreak/>
              <w:t xml:space="preserve">Participants </w:t>
            </w:r>
            <w:r w:rsidR="006C40AE" w:rsidRPr="000E223C">
              <w:rPr>
                <w:rFonts w:ascii="Times New Roman" w:hAnsi="Times New Roman"/>
                <w:sz w:val="24"/>
                <w:szCs w:val="24"/>
                <w:lang w:val="en-US"/>
              </w:rPr>
              <w:t xml:space="preserve">stressed that case </w:t>
            </w:r>
            <w:r w:rsidR="00D66FBE" w:rsidRPr="000E223C">
              <w:rPr>
                <w:rFonts w:ascii="Times New Roman" w:hAnsi="Times New Roman"/>
                <w:sz w:val="24"/>
                <w:szCs w:val="24"/>
                <w:lang w:val="en-US"/>
              </w:rPr>
              <w:t>studies</w:t>
            </w:r>
            <w:r w:rsidRPr="000E223C">
              <w:rPr>
                <w:rFonts w:ascii="Times New Roman" w:hAnsi="Times New Roman"/>
                <w:sz w:val="24"/>
                <w:szCs w:val="24"/>
                <w:lang w:val="en-US"/>
              </w:rPr>
              <w:t xml:space="preserve"> </w:t>
            </w:r>
            <w:r w:rsidR="006C40AE" w:rsidRPr="000E223C">
              <w:rPr>
                <w:rFonts w:ascii="Times New Roman" w:hAnsi="Times New Roman"/>
                <w:sz w:val="24"/>
                <w:szCs w:val="24"/>
                <w:lang w:val="en-US"/>
              </w:rPr>
              <w:t>should be chosen in a way that better highlights major differences between Safeguard polices</w:t>
            </w:r>
            <w:r w:rsidR="006359DD" w:rsidRPr="000E223C">
              <w:rPr>
                <w:rFonts w:ascii="Times New Roman" w:hAnsi="Times New Roman"/>
                <w:sz w:val="24"/>
                <w:szCs w:val="24"/>
                <w:lang w:val="en-US"/>
              </w:rPr>
              <w:t xml:space="preserve"> and the proposed ESF and possibly use projects with national or at least regional impact. </w:t>
            </w:r>
          </w:p>
          <w:p w:rsidR="0010490B" w:rsidRPr="000E223C" w:rsidRDefault="0010490B" w:rsidP="00466223">
            <w:pPr>
              <w:pStyle w:val="ColorfulList-Accent11"/>
              <w:numPr>
                <w:ilvl w:val="0"/>
                <w:numId w:val="15"/>
              </w:numPr>
              <w:spacing w:before="120"/>
              <w:rPr>
                <w:rFonts w:ascii="Times New Roman" w:hAnsi="Times New Roman"/>
                <w:sz w:val="24"/>
                <w:szCs w:val="24"/>
                <w:lang w:val="en-US"/>
              </w:rPr>
            </w:pPr>
          </w:p>
          <w:p w:rsidR="008062D4" w:rsidRPr="009B02C3" w:rsidRDefault="008062D4" w:rsidP="00586D75">
            <w:pPr>
              <w:pStyle w:val="ListParagraph"/>
              <w:numPr>
                <w:ilvl w:val="0"/>
                <w:numId w:val="15"/>
              </w:numPr>
              <w:spacing w:before="120" w:after="0" w:line="240" w:lineRule="auto"/>
              <w:contextualSpacing w:val="0"/>
              <w:rPr>
                <w:rFonts w:ascii="Times New Roman" w:hAnsi="Times New Roman"/>
                <w:sz w:val="24"/>
                <w:szCs w:val="24"/>
              </w:rPr>
            </w:pPr>
            <w:r w:rsidRPr="009B02C3">
              <w:rPr>
                <w:rFonts w:ascii="Times New Roman" w:hAnsi="Times New Roman"/>
                <w:sz w:val="24"/>
                <w:szCs w:val="24"/>
              </w:rPr>
              <w:t xml:space="preserve">Participants asked </w:t>
            </w:r>
            <w:r w:rsidR="00177FE4">
              <w:rPr>
                <w:rFonts w:ascii="Times New Roman" w:hAnsi="Times New Roman"/>
                <w:sz w:val="24"/>
                <w:szCs w:val="24"/>
              </w:rPr>
              <w:t xml:space="preserve">to clarify what is meant by project life-cycle, in order to ascertain the timeframe for applicability of </w:t>
            </w:r>
            <w:r w:rsidR="009E043F" w:rsidRPr="009B02C3">
              <w:rPr>
                <w:rFonts w:ascii="Times New Roman" w:hAnsi="Times New Roman"/>
                <w:sz w:val="24"/>
                <w:szCs w:val="24"/>
              </w:rPr>
              <w:t>the new E&amp;S S</w:t>
            </w:r>
            <w:r w:rsidRPr="009B02C3">
              <w:rPr>
                <w:rFonts w:ascii="Times New Roman" w:hAnsi="Times New Roman"/>
                <w:sz w:val="24"/>
                <w:szCs w:val="24"/>
              </w:rPr>
              <w:t>tandards.</w:t>
            </w:r>
          </w:p>
          <w:p w:rsidR="0073076A" w:rsidRPr="000E223C" w:rsidRDefault="0073076A" w:rsidP="006C40AE">
            <w:pPr>
              <w:pStyle w:val="ColorfulList-Accent11"/>
              <w:spacing w:before="120"/>
              <w:ind w:left="0"/>
              <w:jc w:val="both"/>
              <w:rPr>
                <w:rFonts w:ascii="Times New Roman" w:hAnsi="Times New Roman"/>
                <w:sz w:val="24"/>
                <w:szCs w:val="24"/>
                <w:lang w:val="en-US"/>
              </w:rPr>
            </w:pPr>
          </w:p>
        </w:tc>
      </w:tr>
    </w:tbl>
    <w:p w:rsidR="00F248C2" w:rsidRPr="00B31FC4" w:rsidRDefault="00F248C2" w:rsidP="00F248C2">
      <w:pPr>
        <w:rPr>
          <w:rFonts w:ascii="Times New Roman" w:hAnsi="Times New Roman" w:cs="Times New Roman"/>
          <w:sz w:val="24"/>
          <w:szCs w:val="24"/>
        </w:rPr>
      </w:pPr>
    </w:p>
    <w:sectPr w:rsidR="00F248C2" w:rsidRPr="00B31FC4"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1C" w:rsidRDefault="0022271C" w:rsidP="002A2CFE">
      <w:pPr>
        <w:spacing w:after="0" w:line="240" w:lineRule="auto"/>
      </w:pPr>
      <w:r>
        <w:separator/>
      </w:r>
    </w:p>
  </w:endnote>
  <w:endnote w:type="continuationSeparator" w:id="0">
    <w:p w:rsidR="0022271C" w:rsidRDefault="0022271C" w:rsidP="002A2CFE">
      <w:pPr>
        <w:spacing w:after="0" w:line="240" w:lineRule="auto"/>
      </w:pPr>
      <w:r>
        <w:continuationSeparator/>
      </w:r>
    </w:p>
  </w:endnote>
  <w:endnote w:type="continuationNotice" w:id="1">
    <w:p w:rsidR="0022271C" w:rsidRDefault="00222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F8" w:rsidRDefault="00965FE7" w:rsidP="0064796D">
    <w:pPr>
      <w:pStyle w:val="Footer"/>
      <w:jc w:val="center"/>
    </w:pPr>
    <w:r>
      <w:fldChar w:fldCharType="begin"/>
    </w:r>
    <w:r w:rsidR="002E1EF8">
      <w:instrText xml:space="preserve"> PAGE   \* MERGEFORMAT </w:instrText>
    </w:r>
    <w:r>
      <w:fldChar w:fldCharType="separate"/>
    </w:r>
    <w:r w:rsidR="00C34EA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1C" w:rsidRDefault="0022271C" w:rsidP="002A2CFE">
      <w:pPr>
        <w:spacing w:after="0" w:line="240" w:lineRule="auto"/>
      </w:pPr>
      <w:r>
        <w:separator/>
      </w:r>
    </w:p>
  </w:footnote>
  <w:footnote w:type="continuationSeparator" w:id="0">
    <w:p w:rsidR="0022271C" w:rsidRDefault="0022271C" w:rsidP="002A2CFE">
      <w:pPr>
        <w:spacing w:after="0" w:line="240" w:lineRule="auto"/>
      </w:pPr>
      <w:r>
        <w:continuationSeparator/>
      </w:r>
    </w:p>
  </w:footnote>
  <w:footnote w:type="continuationNotice" w:id="1">
    <w:p w:rsidR="0022271C" w:rsidRDefault="002227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C4F"/>
    <w:multiLevelType w:val="hybridMultilevel"/>
    <w:tmpl w:val="8ED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2B8"/>
    <w:multiLevelType w:val="hybridMultilevel"/>
    <w:tmpl w:val="AC04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F15"/>
    <w:multiLevelType w:val="hybridMultilevel"/>
    <w:tmpl w:val="4B16F9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15742D79"/>
    <w:multiLevelType w:val="hybridMultilevel"/>
    <w:tmpl w:val="6E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10BB"/>
    <w:multiLevelType w:val="hybridMultilevel"/>
    <w:tmpl w:val="F4668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D37D2"/>
    <w:multiLevelType w:val="hybridMultilevel"/>
    <w:tmpl w:val="9A7A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16479"/>
    <w:multiLevelType w:val="hybridMultilevel"/>
    <w:tmpl w:val="D108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D31DC"/>
    <w:multiLevelType w:val="hybridMultilevel"/>
    <w:tmpl w:val="DE1A301A"/>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1"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47F93"/>
    <w:multiLevelType w:val="hybridMultilevel"/>
    <w:tmpl w:val="EA4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D0B12"/>
    <w:multiLevelType w:val="hybridMultilevel"/>
    <w:tmpl w:val="DACC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Calibr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9CF0ACB"/>
    <w:multiLevelType w:val="hybridMultilevel"/>
    <w:tmpl w:val="9720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A5671"/>
    <w:multiLevelType w:val="hybridMultilevel"/>
    <w:tmpl w:val="FE9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51EDB"/>
    <w:multiLevelType w:val="hybridMultilevel"/>
    <w:tmpl w:val="C04489E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3C677A23"/>
    <w:multiLevelType w:val="hybridMultilevel"/>
    <w:tmpl w:val="EC18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6875E1E"/>
    <w:multiLevelType w:val="hybridMultilevel"/>
    <w:tmpl w:val="E3943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548DD"/>
    <w:multiLevelType w:val="hybridMultilevel"/>
    <w:tmpl w:val="1D84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D3A11"/>
    <w:multiLevelType w:val="hybridMultilevel"/>
    <w:tmpl w:val="CA942F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4B304330"/>
    <w:multiLevelType w:val="hybridMultilevel"/>
    <w:tmpl w:val="D73EF630"/>
    <w:lvl w:ilvl="0" w:tplc="8A3494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66805"/>
    <w:multiLevelType w:val="hybridMultilevel"/>
    <w:tmpl w:val="B91017DE"/>
    <w:lvl w:ilvl="0" w:tplc="9EDA86E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F577D"/>
    <w:multiLevelType w:val="hybridMultilevel"/>
    <w:tmpl w:val="32C879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523F12F9"/>
    <w:multiLevelType w:val="hybridMultilevel"/>
    <w:tmpl w:val="FB2E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02B1F"/>
    <w:multiLevelType w:val="hybridMultilevel"/>
    <w:tmpl w:val="F85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04C9E"/>
    <w:multiLevelType w:val="hybridMultilevel"/>
    <w:tmpl w:val="F8D8124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7"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126F0"/>
    <w:multiLevelType w:val="hybridMultilevel"/>
    <w:tmpl w:val="EE7254AE"/>
    <w:lvl w:ilvl="0" w:tplc="0E902A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16"/>
  </w:num>
  <w:num w:numId="5">
    <w:abstractNumId w:val="2"/>
  </w:num>
  <w:num w:numId="6">
    <w:abstractNumId w:val="11"/>
  </w:num>
  <w:num w:numId="7">
    <w:abstractNumId w:val="14"/>
  </w:num>
  <w:num w:numId="8">
    <w:abstractNumId w:val="35"/>
  </w:num>
  <w:num w:numId="9">
    <w:abstractNumId w:val="33"/>
  </w:num>
  <w:num w:numId="10">
    <w:abstractNumId w:val="12"/>
  </w:num>
  <w:num w:numId="11">
    <w:abstractNumId w:val="20"/>
  </w:num>
  <w:num w:numId="12">
    <w:abstractNumId w:val="38"/>
  </w:num>
  <w:num w:numId="13">
    <w:abstractNumId w:val="39"/>
  </w:num>
  <w:num w:numId="14">
    <w:abstractNumId w:val="25"/>
  </w:num>
  <w:num w:numId="15">
    <w:abstractNumId w:val="3"/>
  </w:num>
  <w:num w:numId="16">
    <w:abstractNumId w:val="9"/>
  </w:num>
  <w:num w:numId="17">
    <w:abstractNumId w:val="37"/>
  </w:num>
  <w:num w:numId="18">
    <w:abstractNumId w:val="15"/>
  </w:num>
  <w:num w:numId="19">
    <w:abstractNumId w:val="24"/>
  </w:num>
  <w:num w:numId="20">
    <w:abstractNumId w:val="6"/>
  </w:num>
  <w:num w:numId="21">
    <w:abstractNumId w:val="13"/>
  </w:num>
  <w:num w:numId="22">
    <w:abstractNumId w:val="5"/>
  </w:num>
  <w:num w:numId="23">
    <w:abstractNumId w:val="36"/>
  </w:num>
  <w:num w:numId="24">
    <w:abstractNumId w:val="23"/>
  </w:num>
  <w:num w:numId="25">
    <w:abstractNumId w:val="7"/>
  </w:num>
  <w:num w:numId="26">
    <w:abstractNumId w:val="34"/>
  </w:num>
  <w:num w:numId="27">
    <w:abstractNumId w:val="1"/>
  </w:num>
  <w:num w:numId="28">
    <w:abstractNumId w:val="22"/>
  </w:num>
  <w:num w:numId="29">
    <w:abstractNumId w:val="10"/>
  </w:num>
  <w:num w:numId="30">
    <w:abstractNumId w:val="32"/>
  </w:num>
  <w:num w:numId="31">
    <w:abstractNumId w:val="21"/>
  </w:num>
  <w:num w:numId="32">
    <w:abstractNumId w:val="29"/>
  </w:num>
  <w:num w:numId="33">
    <w:abstractNumId w:val="8"/>
  </w:num>
  <w:num w:numId="34">
    <w:abstractNumId w:val="28"/>
  </w:num>
  <w:num w:numId="35">
    <w:abstractNumId w:val="30"/>
  </w:num>
  <w:num w:numId="36">
    <w:abstractNumId w:val="0"/>
  </w:num>
  <w:num w:numId="37">
    <w:abstractNumId w:val="18"/>
  </w:num>
  <w:num w:numId="38">
    <w:abstractNumId w:val="26"/>
  </w:num>
  <w:num w:numId="39">
    <w:abstractNumId w:val="31"/>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051EA"/>
    <w:rsid w:val="00020167"/>
    <w:rsid w:val="000219AE"/>
    <w:rsid w:val="00025D20"/>
    <w:rsid w:val="000260EF"/>
    <w:rsid w:val="00026364"/>
    <w:rsid w:val="00027054"/>
    <w:rsid w:val="000336A3"/>
    <w:rsid w:val="00034858"/>
    <w:rsid w:val="00036C50"/>
    <w:rsid w:val="00037EBF"/>
    <w:rsid w:val="00037EE7"/>
    <w:rsid w:val="00040057"/>
    <w:rsid w:val="00040B41"/>
    <w:rsid w:val="000419FF"/>
    <w:rsid w:val="00042513"/>
    <w:rsid w:val="00044449"/>
    <w:rsid w:val="00047C4E"/>
    <w:rsid w:val="00053362"/>
    <w:rsid w:val="0005339B"/>
    <w:rsid w:val="00055656"/>
    <w:rsid w:val="00057600"/>
    <w:rsid w:val="00071885"/>
    <w:rsid w:val="00071BD2"/>
    <w:rsid w:val="00073845"/>
    <w:rsid w:val="00073D66"/>
    <w:rsid w:val="000811A8"/>
    <w:rsid w:val="0008254A"/>
    <w:rsid w:val="000830BB"/>
    <w:rsid w:val="000833C2"/>
    <w:rsid w:val="00091E8A"/>
    <w:rsid w:val="00092776"/>
    <w:rsid w:val="000932B4"/>
    <w:rsid w:val="00095B65"/>
    <w:rsid w:val="000A1089"/>
    <w:rsid w:val="000A17BB"/>
    <w:rsid w:val="000A1CA2"/>
    <w:rsid w:val="000A318E"/>
    <w:rsid w:val="000A3A99"/>
    <w:rsid w:val="000B33E5"/>
    <w:rsid w:val="000B6D97"/>
    <w:rsid w:val="000C2C9A"/>
    <w:rsid w:val="000C379E"/>
    <w:rsid w:val="000D0EC9"/>
    <w:rsid w:val="000D207A"/>
    <w:rsid w:val="000D289A"/>
    <w:rsid w:val="000D4D94"/>
    <w:rsid w:val="000D5C4B"/>
    <w:rsid w:val="000D6F58"/>
    <w:rsid w:val="000D75F5"/>
    <w:rsid w:val="000E223C"/>
    <w:rsid w:val="000E5D23"/>
    <w:rsid w:val="000E6821"/>
    <w:rsid w:val="000F4BFE"/>
    <w:rsid w:val="000F4D29"/>
    <w:rsid w:val="000F7552"/>
    <w:rsid w:val="000F7A6B"/>
    <w:rsid w:val="0010080C"/>
    <w:rsid w:val="00101984"/>
    <w:rsid w:val="0010490B"/>
    <w:rsid w:val="00105808"/>
    <w:rsid w:val="001120A9"/>
    <w:rsid w:val="00113501"/>
    <w:rsid w:val="00122172"/>
    <w:rsid w:val="0012279D"/>
    <w:rsid w:val="001309B3"/>
    <w:rsid w:val="00131B64"/>
    <w:rsid w:val="001341BB"/>
    <w:rsid w:val="00135480"/>
    <w:rsid w:val="001409EF"/>
    <w:rsid w:val="00140C91"/>
    <w:rsid w:val="00143016"/>
    <w:rsid w:val="00143AFC"/>
    <w:rsid w:val="00144F04"/>
    <w:rsid w:val="001459D8"/>
    <w:rsid w:val="00156559"/>
    <w:rsid w:val="00163038"/>
    <w:rsid w:val="00171F36"/>
    <w:rsid w:val="00177FE4"/>
    <w:rsid w:val="00182A56"/>
    <w:rsid w:val="00182DAA"/>
    <w:rsid w:val="0018639F"/>
    <w:rsid w:val="00192026"/>
    <w:rsid w:val="00193D0E"/>
    <w:rsid w:val="001973F4"/>
    <w:rsid w:val="00197F14"/>
    <w:rsid w:val="001A2374"/>
    <w:rsid w:val="001A289A"/>
    <w:rsid w:val="001A2EB8"/>
    <w:rsid w:val="001A35A6"/>
    <w:rsid w:val="001A3767"/>
    <w:rsid w:val="001A695B"/>
    <w:rsid w:val="001A7B3C"/>
    <w:rsid w:val="001B1506"/>
    <w:rsid w:val="001B1FF6"/>
    <w:rsid w:val="001B467B"/>
    <w:rsid w:val="001B5D4F"/>
    <w:rsid w:val="001C5B10"/>
    <w:rsid w:val="001D3DB1"/>
    <w:rsid w:val="001D4666"/>
    <w:rsid w:val="001D7A18"/>
    <w:rsid w:val="001E01A5"/>
    <w:rsid w:val="001E55D1"/>
    <w:rsid w:val="001E61A5"/>
    <w:rsid w:val="001E6381"/>
    <w:rsid w:val="00202567"/>
    <w:rsid w:val="00205480"/>
    <w:rsid w:val="002066A2"/>
    <w:rsid w:val="0020711F"/>
    <w:rsid w:val="00210A16"/>
    <w:rsid w:val="00215E83"/>
    <w:rsid w:val="00217107"/>
    <w:rsid w:val="0022094F"/>
    <w:rsid w:val="0022271C"/>
    <w:rsid w:val="00224D63"/>
    <w:rsid w:val="00226BE3"/>
    <w:rsid w:val="00226FD0"/>
    <w:rsid w:val="002338A2"/>
    <w:rsid w:val="0023659A"/>
    <w:rsid w:val="00236812"/>
    <w:rsid w:val="00237CDD"/>
    <w:rsid w:val="00240ED9"/>
    <w:rsid w:val="00242AD8"/>
    <w:rsid w:val="00243F3E"/>
    <w:rsid w:val="00250D57"/>
    <w:rsid w:val="002513D5"/>
    <w:rsid w:val="002530B6"/>
    <w:rsid w:val="00262E1C"/>
    <w:rsid w:val="00265F44"/>
    <w:rsid w:val="002736E5"/>
    <w:rsid w:val="002744A1"/>
    <w:rsid w:val="00276204"/>
    <w:rsid w:val="002771B1"/>
    <w:rsid w:val="00282F1B"/>
    <w:rsid w:val="00287A07"/>
    <w:rsid w:val="0029188A"/>
    <w:rsid w:val="0029739D"/>
    <w:rsid w:val="00297B10"/>
    <w:rsid w:val="002A096A"/>
    <w:rsid w:val="002A2CFE"/>
    <w:rsid w:val="002B0486"/>
    <w:rsid w:val="002B19ED"/>
    <w:rsid w:val="002B3D8A"/>
    <w:rsid w:val="002B4214"/>
    <w:rsid w:val="002B5F16"/>
    <w:rsid w:val="002D2B62"/>
    <w:rsid w:val="002D5BA1"/>
    <w:rsid w:val="002E1EF8"/>
    <w:rsid w:val="002E34B9"/>
    <w:rsid w:val="002E7855"/>
    <w:rsid w:val="002F2CD2"/>
    <w:rsid w:val="002F45A4"/>
    <w:rsid w:val="00300C38"/>
    <w:rsid w:val="003013C8"/>
    <w:rsid w:val="00315C22"/>
    <w:rsid w:val="00317F45"/>
    <w:rsid w:val="003202FE"/>
    <w:rsid w:val="00327EC9"/>
    <w:rsid w:val="00331568"/>
    <w:rsid w:val="00331AB4"/>
    <w:rsid w:val="003331DA"/>
    <w:rsid w:val="003351F7"/>
    <w:rsid w:val="00336C7E"/>
    <w:rsid w:val="0035406A"/>
    <w:rsid w:val="00355F4A"/>
    <w:rsid w:val="00356796"/>
    <w:rsid w:val="0036682B"/>
    <w:rsid w:val="00366948"/>
    <w:rsid w:val="003673D6"/>
    <w:rsid w:val="00371BF5"/>
    <w:rsid w:val="003804E0"/>
    <w:rsid w:val="00381278"/>
    <w:rsid w:val="0038135A"/>
    <w:rsid w:val="00381AD4"/>
    <w:rsid w:val="00383C66"/>
    <w:rsid w:val="003852D6"/>
    <w:rsid w:val="00394CA5"/>
    <w:rsid w:val="003A3AFF"/>
    <w:rsid w:val="003A647D"/>
    <w:rsid w:val="003A6D1B"/>
    <w:rsid w:val="003B0F7B"/>
    <w:rsid w:val="003B155E"/>
    <w:rsid w:val="003B3DBC"/>
    <w:rsid w:val="003B3DC9"/>
    <w:rsid w:val="003B5F46"/>
    <w:rsid w:val="003C4684"/>
    <w:rsid w:val="003D11E6"/>
    <w:rsid w:val="003D2EB9"/>
    <w:rsid w:val="003D4281"/>
    <w:rsid w:val="003D4A7B"/>
    <w:rsid w:val="003D76B6"/>
    <w:rsid w:val="003E3CBF"/>
    <w:rsid w:val="003E4EC3"/>
    <w:rsid w:val="003E7BBA"/>
    <w:rsid w:val="003F1223"/>
    <w:rsid w:val="00402D23"/>
    <w:rsid w:val="00404676"/>
    <w:rsid w:val="00412FE5"/>
    <w:rsid w:val="00420CFF"/>
    <w:rsid w:val="00423CF6"/>
    <w:rsid w:val="004241C3"/>
    <w:rsid w:val="004256AD"/>
    <w:rsid w:val="00426441"/>
    <w:rsid w:val="004269B4"/>
    <w:rsid w:val="00426EAF"/>
    <w:rsid w:val="004303EE"/>
    <w:rsid w:val="0043075D"/>
    <w:rsid w:val="00432368"/>
    <w:rsid w:val="00444D49"/>
    <w:rsid w:val="00446F4F"/>
    <w:rsid w:val="00447B65"/>
    <w:rsid w:val="004520AE"/>
    <w:rsid w:val="00452976"/>
    <w:rsid w:val="0045723F"/>
    <w:rsid w:val="004646E2"/>
    <w:rsid w:val="00466223"/>
    <w:rsid w:val="004716A6"/>
    <w:rsid w:val="00477137"/>
    <w:rsid w:val="004808FE"/>
    <w:rsid w:val="004814D4"/>
    <w:rsid w:val="00490B17"/>
    <w:rsid w:val="0049193E"/>
    <w:rsid w:val="00493231"/>
    <w:rsid w:val="004A0078"/>
    <w:rsid w:val="004A022A"/>
    <w:rsid w:val="004A11BC"/>
    <w:rsid w:val="004A1E31"/>
    <w:rsid w:val="004A5C78"/>
    <w:rsid w:val="004A6E79"/>
    <w:rsid w:val="004A7E4C"/>
    <w:rsid w:val="004B014C"/>
    <w:rsid w:val="004B42DC"/>
    <w:rsid w:val="004B75C6"/>
    <w:rsid w:val="004C660E"/>
    <w:rsid w:val="004C788C"/>
    <w:rsid w:val="004D1768"/>
    <w:rsid w:val="004D1AC7"/>
    <w:rsid w:val="004D1AE5"/>
    <w:rsid w:val="004E15D0"/>
    <w:rsid w:val="004E20E5"/>
    <w:rsid w:val="004E259C"/>
    <w:rsid w:val="004E3AAD"/>
    <w:rsid w:val="004F0E90"/>
    <w:rsid w:val="004F11ED"/>
    <w:rsid w:val="004F3CC6"/>
    <w:rsid w:val="00500892"/>
    <w:rsid w:val="005032BD"/>
    <w:rsid w:val="005039CD"/>
    <w:rsid w:val="0051172F"/>
    <w:rsid w:val="00513EF8"/>
    <w:rsid w:val="0052271E"/>
    <w:rsid w:val="00523D1A"/>
    <w:rsid w:val="005277C3"/>
    <w:rsid w:val="00527CA3"/>
    <w:rsid w:val="00543594"/>
    <w:rsid w:val="00546001"/>
    <w:rsid w:val="00547BCE"/>
    <w:rsid w:val="005566FF"/>
    <w:rsid w:val="00557376"/>
    <w:rsid w:val="00562511"/>
    <w:rsid w:val="00563E22"/>
    <w:rsid w:val="00566F76"/>
    <w:rsid w:val="00570D27"/>
    <w:rsid w:val="0057343E"/>
    <w:rsid w:val="005806D3"/>
    <w:rsid w:val="005818DD"/>
    <w:rsid w:val="00586B31"/>
    <w:rsid w:val="00586D75"/>
    <w:rsid w:val="00587688"/>
    <w:rsid w:val="00587E9E"/>
    <w:rsid w:val="005907B4"/>
    <w:rsid w:val="00595937"/>
    <w:rsid w:val="005A23F8"/>
    <w:rsid w:val="005A2B56"/>
    <w:rsid w:val="005B3439"/>
    <w:rsid w:val="005D31D7"/>
    <w:rsid w:val="005D3B1D"/>
    <w:rsid w:val="005D6FC2"/>
    <w:rsid w:val="005E1823"/>
    <w:rsid w:val="005E4057"/>
    <w:rsid w:val="005E4F6B"/>
    <w:rsid w:val="005E6F14"/>
    <w:rsid w:val="005E7DDD"/>
    <w:rsid w:val="005F7AF0"/>
    <w:rsid w:val="00600956"/>
    <w:rsid w:val="00601D29"/>
    <w:rsid w:val="00603436"/>
    <w:rsid w:val="006170B3"/>
    <w:rsid w:val="006225ED"/>
    <w:rsid w:val="00624C2C"/>
    <w:rsid w:val="00626FC2"/>
    <w:rsid w:val="00631C33"/>
    <w:rsid w:val="006359DD"/>
    <w:rsid w:val="00635FF7"/>
    <w:rsid w:val="006371F8"/>
    <w:rsid w:val="00641839"/>
    <w:rsid w:val="006433EC"/>
    <w:rsid w:val="0064513A"/>
    <w:rsid w:val="0064796D"/>
    <w:rsid w:val="00651B88"/>
    <w:rsid w:val="00651C95"/>
    <w:rsid w:val="00651D5E"/>
    <w:rsid w:val="00651FBA"/>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09DF"/>
    <w:rsid w:val="006A2440"/>
    <w:rsid w:val="006A6802"/>
    <w:rsid w:val="006A6B8C"/>
    <w:rsid w:val="006B5B90"/>
    <w:rsid w:val="006C013F"/>
    <w:rsid w:val="006C40AE"/>
    <w:rsid w:val="006C6925"/>
    <w:rsid w:val="006D0315"/>
    <w:rsid w:val="006D0C7A"/>
    <w:rsid w:val="006E0FC0"/>
    <w:rsid w:val="006E5E73"/>
    <w:rsid w:val="006F10AD"/>
    <w:rsid w:val="006F1287"/>
    <w:rsid w:val="006F1C19"/>
    <w:rsid w:val="006F2A8E"/>
    <w:rsid w:val="006F5414"/>
    <w:rsid w:val="006F5842"/>
    <w:rsid w:val="006F638B"/>
    <w:rsid w:val="006F72CE"/>
    <w:rsid w:val="00701A96"/>
    <w:rsid w:val="00703AE3"/>
    <w:rsid w:val="00704163"/>
    <w:rsid w:val="007162E0"/>
    <w:rsid w:val="00722EE5"/>
    <w:rsid w:val="007252D2"/>
    <w:rsid w:val="007259D5"/>
    <w:rsid w:val="0073076A"/>
    <w:rsid w:val="00732E9B"/>
    <w:rsid w:val="007465BB"/>
    <w:rsid w:val="0074685A"/>
    <w:rsid w:val="00746F70"/>
    <w:rsid w:val="007507AB"/>
    <w:rsid w:val="00752A48"/>
    <w:rsid w:val="00754617"/>
    <w:rsid w:val="0075613B"/>
    <w:rsid w:val="007563DC"/>
    <w:rsid w:val="00762055"/>
    <w:rsid w:val="00762E8F"/>
    <w:rsid w:val="0076753E"/>
    <w:rsid w:val="0077044E"/>
    <w:rsid w:val="007745C8"/>
    <w:rsid w:val="00775851"/>
    <w:rsid w:val="00775C67"/>
    <w:rsid w:val="0077675F"/>
    <w:rsid w:val="00777774"/>
    <w:rsid w:val="00777D96"/>
    <w:rsid w:val="007803DC"/>
    <w:rsid w:val="007815E1"/>
    <w:rsid w:val="00783E13"/>
    <w:rsid w:val="00784151"/>
    <w:rsid w:val="0078467C"/>
    <w:rsid w:val="007901C3"/>
    <w:rsid w:val="00797302"/>
    <w:rsid w:val="007A67B8"/>
    <w:rsid w:val="007B23CA"/>
    <w:rsid w:val="007B366F"/>
    <w:rsid w:val="007C160B"/>
    <w:rsid w:val="007C49C8"/>
    <w:rsid w:val="007C52D6"/>
    <w:rsid w:val="007D5A1B"/>
    <w:rsid w:val="007E129E"/>
    <w:rsid w:val="007E2DB1"/>
    <w:rsid w:val="007F1591"/>
    <w:rsid w:val="007F3ABA"/>
    <w:rsid w:val="007F3C78"/>
    <w:rsid w:val="007F6B25"/>
    <w:rsid w:val="007F6E34"/>
    <w:rsid w:val="008004DF"/>
    <w:rsid w:val="008062D4"/>
    <w:rsid w:val="008065AA"/>
    <w:rsid w:val="0080724A"/>
    <w:rsid w:val="008076E7"/>
    <w:rsid w:val="008141AA"/>
    <w:rsid w:val="008148BB"/>
    <w:rsid w:val="00816846"/>
    <w:rsid w:val="008168A3"/>
    <w:rsid w:val="008177C2"/>
    <w:rsid w:val="00817CF6"/>
    <w:rsid w:val="00826DB0"/>
    <w:rsid w:val="00830847"/>
    <w:rsid w:val="008314EB"/>
    <w:rsid w:val="00832199"/>
    <w:rsid w:val="0083299A"/>
    <w:rsid w:val="008341D1"/>
    <w:rsid w:val="00835B5D"/>
    <w:rsid w:val="00835F54"/>
    <w:rsid w:val="008366C3"/>
    <w:rsid w:val="0085517B"/>
    <w:rsid w:val="00861101"/>
    <w:rsid w:val="008622EB"/>
    <w:rsid w:val="00862832"/>
    <w:rsid w:val="00866392"/>
    <w:rsid w:val="0086766D"/>
    <w:rsid w:val="00880AE0"/>
    <w:rsid w:val="00880E95"/>
    <w:rsid w:val="00881A95"/>
    <w:rsid w:val="008902BD"/>
    <w:rsid w:val="00895AF5"/>
    <w:rsid w:val="00897C8B"/>
    <w:rsid w:val="008A0685"/>
    <w:rsid w:val="008A3695"/>
    <w:rsid w:val="008A56FD"/>
    <w:rsid w:val="008A7945"/>
    <w:rsid w:val="008B109C"/>
    <w:rsid w:val="008B2BBD"/>
    <w:rsid w:val="008B4BEC"/>
    <w:rsid w:val="008B55B4"/>
    <w:rsid w:val="008B6107"/>
    <w:rsid w:val="008B6CCC"/>
    <w:rsid w:val="008C4949"/>
    <w:rsid w:val="008D11E2"/>
    <w:rsid w:val="008D1F03"/>
    <w:rsid w:val="008D335A"/>
    <w:rsid w:val="008D55C0"/>
    <w:rsid w:val="008E0498"/>
    <w:rsid w:val="008E0747"/>
    <w:rsid w:val="008E22B2"/>
    <w:rsid w:val="008E2333"/>
    <w:rsid w:val="008E3ECC"/>
    <w:rsid w:val="008F2E17"/>
    <w:rsid w:val="008F460C"/>
    <w:rsid w:val="008F6BCD"/>
    <w:rsid w:val="00903840"/>
    <w:rsid w:val="00906E14"/>
    <w:rsid w:val="009079A0"/>
    <w:rsid w:val="0091156A"/>
    <w:rsid w:val="00915308"/>
    <w:rsid w:val="00932AE5"/>
    <w:rsid w:val="00933D3E"/>
    <w:rsid w:val="009371DC"/>
    <w:rsid w:val="00937525"/>
    <w:rsid w:val="00940A95"/>
    <w:rsid w:val="00940AFF"/>
    <w:rsid w:val="00940F8D"/>
    <w:rsid w:val="00944F46"/>
    <w:rsid w:val="00945E1F"/>
    <w:rsid w:val="0094603F"/>
    <w:rsid w:val="00951B42"/>
    <w:rsid w:val="0095441A"/>
    <w:rsid w:val="009558DA"/>
    <w:rsid w:val="009569C5"/>
    <w:rsid w:val="0096383D"/>
    <w:rsid w:val="00965FE7"/>
    <w:rsid w:val="00967DE9"/>
    <w:rsid w:val="00972434"/>
    <w:rsid w:val="00975C6B"/>
    <w:rsid w:val="00976DC5"/>
    <w:rsid w:val="00981104"/>
    <w:rsid w:val="00993083"/>
    <w:rsid w:val="009A1816"/>
    <w:rsid w:val="009A1E16"/>
    <w:rsid w:val="009A403A"/>
    <w:rsid w:val="009A6727"/>
    <w:rsid w:val="009B02C3"/>
    <w:rsid w:val="009B7988"/>
    <w:rsid w:val="009B7C47"/>
    <w:rsid w:val="009C23F0"/>
    <w:rsid w:val="009C3726"/>
    <w:rsid w:val="009C45BC"/>
    <w:rsid w:val="009C7751"/>
    <w:rsid w:val="009C78BE"/>
    <w:rsid w:val="009D6FFE"/>
    <w:rsid w:val="009D7485"/>
    <w:rsid w:val="009E043F"/>
    <w:rsid w:val="009F1495"/>
    <w:rsid w:val="009F4A29"/>
    <w:rsid w:val="00A019CC"/>
    <w:rsid w:val="00A027C9"/>
    <w:rsid w:val="00A07218"/>
    <w:rsid w:val="00A07732"/>
    <w:rsid w:val="00A13098"/>
    <w:rsid w:val="00A2541E"/>
    <w:rsid w:val="00A330FF"/>
    <w:rsid w:val="00A44EF3"/>
    <w:rsid w:val="00A47BD0"/>
    <w:rsid w:val="00A55DB0"/>
    <w:rsid w:val="00A56621"/>
    <w:rsid w:val="00A618FF"/>
    <w:rsid w:val="00A62E2F"/>
    <w:rsid w:val="00A632CF"/>
    <w:rsid w:val="00A6465A"/>
    <w:rsid w:val="00A659DD"/>
    <w:rsid w:val="00A72906"/>
    <w:rsid w:val="00A729C3"/>
    <w:rsid w:val="00A73655"/>
    <w:rsid w:val="00A73745"/>
    <w:rsid w:val="00A73B30"/>
    <w:rsid w:val="00A7696A"/>
    <w:rsid w:val="00A86132"/>
    <w:rsid w:val="00A873B9"/>
    <w:rsid w:val="00A91DA5"/>
    <w:rsid w:val="00A92E95"/>
    <w:rsid w:val="00A95446"/>
    <w:rsid w:val="00A95B3A"/>
    <w:rsid w:val="00A97FC4"/>
    <w:rsid w:val="00AA5EEE"/>
    <w:rsid w:val="00AB062B"/>
    <w:rsid w:val="00AB4A16"/>
    <w:rsid w:val="00AB5991"/>
    <w:rsid w:val="00AB755A"/>
    <w:rsid w:val="00AC6B2C"/>
    <w:rsid w:val="00AD034D"/>
    <w:rsid w:val="00AD0ED6"/>
    <w:rsid w:val="00AD3A3A"/>
    <w:rsid w:val="00AD48E4"/>
    <w:rsid w:val="00AD4C4B"/>
    <w:rsid w:val="00AD5F7D"/>
    <w:rsid w:val="00AD71E2"/>
    <w:rsid w:val="00AE23B0"/>
    <w:rsid w:val="00AE6DDC"/>
    <w:rsid w:val="00AF37F5"/>
    <w:rsid w:val="00B00978"/>
    <w:rsid w:val="00B028FD"/>
    <w:rsid w:val="00B03436"/>
    <w:rsid w:val="00B045EF"/>
    <w:rsid w:val="00B0542D"/>
    <w:rsid w:val="00B056BF"/>
    <w:rsid w:val="00B07361"/>
    <w:rsid w:val="00B10233"/>
    <w:rsid w:val="00B10940"/>
    <w:rsid w:val="00B13C7D"/>
    <w:rsid w:val="00B14DBE"/>
    <w:rsid w:val="00B201CA"/>
    <w:rsid w:val="00B21ECF"/>
    <w:rsid w:val="00B24E47"/>
    <w:rsid w:val="00B30BB6"/>
    <w:rsid w:val="00B30D06"/>
    <w:rsid w:val="00B31FC4"/>
    <w:rsid w:val="00B32950"/>
    <w:rsid w:val="00B3524D"/>
    <w:rsid w:val="00B35C13"/>
    <w:rsid w:val="00B37566"/>
    <w:rsid w:val="00B375E7"/>
    <w:rsid w:val="00B37EDF"/>
    <w:rsid w:val="00B37F96"/>
    <w:rsid w:val="00B4546A"/>
    <w:rsid w:val="00B50635"/>
    <w:rsid w:val="00B649F3"/>
    <w:rsid w:val="00B66CC0"/>
    <w:rsid w:val="00B67B71"/>
    <w:rsid w:val="00B713EC"/>
    <w:rsid w:val="00B72112"/>
    <w:rsid w:val="00B733AD"/>
    <w:rsid w:val="00B733CA"/>
    <w:rsid w:val="00B74AFA"/>
    <w:rsid w:val="00B766E7"/>
    <w:rsid w:val="00B8184D"/>
    <w:rsid w:val="00B81C23"/>
    <w:rsid w:val="00B84AFA"/>
    <w:rsid w:val="00B86DFC"/>
    <w:rsid w:val="00B9160D"/>
    <w:rsid w:val="00B91C45"/>
    <w:rsid w:val="00B91E92"/>
    <w:rsid w:val="00B92914"/>
    <w:rsid w:val="00B93129"/>
    <w:rsid w:val="00BA0C90"/>
    <w:rsid w:val="00BA246A"/>
    <w:rsid w:val="00BA2FC6"/>
    <w:rsid w:val="00BA6FA2"/>
    <w:rsid w:val="00BA6FFD"/>
    <w:rsid w:val="00BA733C"/>
    <w:rsid w:val="00BB2B6D"/>
    <w:rsid w:val="00BB4F61"/>
    <w:rsid w:val="00BB6C26"/>
    <w:rsid w:val="00BC2797"/>
    <w:rsid w:val="00BC3E92"/>
    <w:rsid w:val="00BC40E8"/>
    <w:rsid w:val="00BC7630"/>
    <w:rsid w:val="00BC7E2E"/>
    <w:rsid w:val="00BD181B"/>
    <w:rsid w:val="00BD26DC"/>
    <w:rsid w:val="00BD34F0"/>
    <w:rsid w:val="00BE65B4"/>
    <w:rsid w:val="00BE7E8A"/>
    <w:rsid w:val="00BF4CC7"/>
    <w:rsid w:val="00BF6F2C"/>
    <w:rsid w:val="00C00F05"/>
    <w:rsid w:val="00C02B0F"/>
    <w:rsid w:val="00C03DBB"/>
    <w:rsid w:val="00C03E65"/>
    <w:rsid w:val="00C06A91"/>
    <w:rsid w:val="00C06BA2"/>
    <w:rsid w:val="00C07D9D"/>
    <w:rsid w:val="00C07EA5"/>
    <w:rsid w:val="00C15C04"/>
    <w:rsid w:val="00C204F8"/>
    <w:rsid w:val="00C211D3"/>
    <w:rsid w:val="00C21355"/>
    <w:rsid w:val="00C22AB2"/>
    <w:rsid w:val="00C232FC"/>
    <w:rsid w:val="00C24412"/>
    <w:rsid w:val="00C24AB0"/>
    <w:rsid w:val="00C2589A"/>
    <w:rsid w:val="00C3017B"/>
    <w:rsid w:val="00C30A54"/>
    <w:rsid w:val="00C34EAA"/>
    <w:rsid w:val="00C47725"/>
    <w:rsid w:val="00C534DD"/>
    <w:rsid w:val="00C548D6"/>
    <w:rsid w:val="00C54B7D"/>
    <w:rsid w:val="00C550D1"/>
    <w:rsid w:val="00C56F4F"/>
    <w:rsid w:val="00C572F4"/>
    <w:rsid w:val="00C6112E"/>
    <w:rsid w:val="00C66EF5"/>
    <w:rsid w:val="00C84365"/>
    <w:rsid w:val="00C875C6"/>
    <w:rsid w:val="00C87D2F"/>
    <w:rsid w:val="00C91B3B"/>
    <w:rsid w:val="00C97455"/>
    <w:rsid w:val="00CA0664"/>
    <w:rsid w:val="00CA1068"/>
    <w:rsid w:val="00CA30E3"/>
    <w:rsid w:val="00CC24E3"/>
    <w:rsid w:val="00CD70E7"/>
    <w:rsid w:val="00CE03B4"/>
    <w:rsid w:val="00CE1B80"/>
    <w:rsid w:val="00CE5025"/>
    <w:rsid w:val="00CF01AD"/>
    <w:rsid w:val="00CF1587"/>
    <w:rsid w:val="00CF2C3B"/>
    <w:rsid w:val="00D04802"/>
    <w:rsid w:val="00D07400"/>
    <w:rsid w:val="00D07482"/>
    <w:rsid w:val="00D1296A"/>
    <w:rsid w:val="00D17448"/>
    <w:rsid w:val="00D25BA5"/>
    <w:rsid w:val="00D26D02"/>
    <w:rsid w:val="00D31152"/>
    <w:rsid w:val="00D31F60"/>
    <w:rsid w:val="00D3274E"/>
    <w:rsid w:val="00D36161"/>
    <w:rsid w:val="00D36DA0"/>
    <w:rsid w:val="00D40038"/>
    <w:rsid w:val="00D4178A"/>
    <w:rsid w:val="00D44D6A"/>
    <w:rsid w:val="00D46F6F"/>
    <w:rsid w:val="00D5074E"/>
    <w:rsid w:val="00D52069"/>
    <w:rsid w:val="00D633DD"/>
    <w:rsid w:val="00D66FBE"/>
    <w:rsid w:val="00D672EB"/>
    <w:rsid w:val="00D82F5D"/>
    <w:rsid w:val="00D91E64"/>
    <w:rsid w:val="00D9319E"/>
    <w:rsid w:val="00D93809"/>
    <w:rsid w:val="00D94EFE"/>
    <w:rsid w:val="00D96E2B"/>
    <w:rsid w:val="00DA16E0"/>
    <w:rsid w:val="00DA6AD3"/>
    <w:rsid w:val="00DB1699"/>
    <w:rsid w:val="00DB25EE"/>
    <w:rsid w:val="00DB3B2B"/>
    <w:rsid w:val="00DB5291"/>
    <w:rsid w:val="00DB67A4"/>
    <w:rsid w:val="00DB6D92"/>
    <w:rsid w:val="00DC0170"/>
    <w:rsid w:val="00DC43C2"/>
    <w:rsid w:val="00DE0DEA"/>
    <w:rsid w:val="00DE3335"/>
    <w:rsid w:val="00DE64EF"/>
    <w:rsid w:val="00DE7FB5"/>
    <w:rsid w:val="00DF100E"/>
    <w:rsid w:val="00DF3346"/>
    <w:rsid w:val="00E01E6E"/>
    <w:rsid w:val="00E04CBC"/>
    <w:rsid w:val="00E04FA3"/>
    <w:rsid w:val="00E2042C"/>
    <w:rsid w:val="00E2294C"/>
    <w:rsid w:val="00E3187B"/>
    <w:rsid w:val="00E31D83"/>
    <w:rsid w:val="00E32508"/>
    <w:rsid w:val="00E341D5"/>
    <w:rsid w:val="00E34E6A"/>
    <w:rsid w:val="00E43617"/>
    <w:rsid w:val="00E4794A"/>
    <w:rsid w:val="00E521E9"/>
    <w:rsid w:val="00E65C6C"/>
    <w:rsid w:val="00E66AB8"/>
    <w:rsid w:val="00E7040D"/>
    <w:rsid w:val="00E76A83"/>
    <w:rsid w:val="00E81112"/>
    <w:rsid w:val="00E83F31"/>
    <w:rsid w:val="00E93B9C"/>
    <w:rsid w:val="00E9469D"/>
    <w:rsid w:val="00E94D14"/>
    <w:rsid w:val="00E9586E"/>
    <w:rsid w:val="00EB115B"/>
    <w:rsid w:val="00EB181A"/>
    <w:rsid w:val="00EB311F"/>
    <w:rsid w:val="00EB6992"/>
    <w:rsid w:val="00EC2546"/>
    <w:rsid w:val="00EC5B79"/>
    <w:rsid w:val="00EC625F"/>
    <w:rsid w:val="00EC67EF"/>
    <w:rsid w:val="00EC7F2F"/>
    <w:rsid w:val="00ED5487"/>
    <w:rsid w:val="00ED5AF8"/>
    <w:rsid w:val="00ED63AF"/>
    <w:rsid w:val="00EE7D5C"/>
    <w:rsid w:val="00EF3E5D"/>
    <w:rsid w:val="00F019A5"/>
    <w:rsid w:val="00F023DA"/>
    <w:rsid w:val="00F131D2"/>
    <w:rsid w:val="00F15007"/>
    <w:rsid w:val="00F16393"/>
    <w:rsid w:val="00F17728"/>
    <w:rsid w:val="00F20FCE"/>
    <w:rsid w:val="00F21CA0"/>
    <w:rsid w:val="00F22A72"/>
    <w:rsid w:val="00F22DEC"/>
    <w:rsid w:val="00F23BF9"/>
    <w:rsid w:val="00F248C2"/>
    <w:rsid w:val="00F26484"/>
    <w:rsid w:val="00F36BA2"/>
    <w:rsid w:val="00F36D84"/>
    <w:rsid w:val="00F438B7"/>
    <w:rsid w:val="00F44503"/>
    <w:rsid w:val="00F461C8"/>
    <w:rsid w:val="00F4670D"/>
    <w:rsid w:val="00F46783"/>
    <w:rsid w:val="00F46C09"/>
    <w:rsid w:val="00F50A31"/>
    <w:rsid w:val="00F517D4"/>
    <w:rsid w:val="00F54163"/>
    <w:rsid w:val="00F55E20"/>
    <w:rsid w:val="00F61213"/>
    <w:rsid w:val="00F620E2"/>
    <w:rsid w:val="00F63E16"/>
    <w:rsid w:val="00F6592E"/>
    <w:rsid w:val="00F73A65"/>
    <w:rsid w:val="00F93A41"/>
    <w:rsid w:val="00FB0AFA"/>
    <w:rsid w:val="00FB0DE9"/>
    <w:rsid w:val="00FB26B2"/>
    <w:rsid w:val="00FB494F"/>
    <w:rsid w:val="00FC10BF"/>
    <w:rsid w:val="00FC1C64"/>
    <w:rsid w:val="00FC2E27"/>
    <w:rsid w:val="00FC31A5"/>
    <w:rsid w:val="00FC58B8"/>
    <w:rsid w:val="00FC5C8B"/>
    <w:rsid w:val="00FC64DA"/>
    <w:rsid w:val="00FD02A3"/>
    <w:rsid w:val="00FD0445"/>
    <w:rsid w:val="00FD59FF"/>
    <w:rsid w:val="00FD7599"/>
    <w:rsid w:val="00FE1A4B"/>
    <w:rsid w:val="00FE5629"/>
    <w:rsid w:val="00FE6FA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20B1567-76AD-4C56-BD73-06F003D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DF"/>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Citation List,본문(내용),List Paragraph (numbered (a)),123 List Paragraph,Numbered Paragraph,Main numbered paragraph,References,Numbered List Paragraph,List Paragraph nowy,Liste 1,List_Paragraph,Multilevel para_II,List Paragraph1"/>
    <w:basedOn w:val="Normal"/>
    <w:link w:val="ColorfulList-Accent1Char"/>
    <w:uiPriority w:val="34"/>
    <w:qFormat/>
    <w:rsid w:val="00F248C2"/>
    <w:pPr>
      <w:spacing w:after="0" w:line="240" w:lineRule="auto"/>
      <w:ind w:left="720"/>
    </w:pPr>
    <w:rPr>
      <w:rFonts w:eastAsia="Calibri" w:cs="Times New Roman"/>
      <w:sz w:val="20"/>
      <w:szCs w:val="20"/>
      <w:lang w:val="x-none" w:eastAsia="en-US"/>
    </w:rPr>
  </w:style>
  <w:style w:type="character" w:customStyle="1" w:styleId="ColorfulList-Accent1Char">
    <w:name w:val="Colorful List - Accent 1 Char"/>
    <w:aliases w:val="Citation List Char,본문(내용) Char,List Paragraph (numbered (a)) Char,123 List Paragraph Char,Numbered Paragraph Char,Main numbered paragraph Char,References Char,Numbered List Paragraph Char,List Paragraph nowy Char"/>
    <w:link w:val="ColorfulList-Accent11"/>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unhideWhenUsed/>
    <w:rsid w:val="00975C6B"/>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sid w:val="00F4670D"/>
    <w:rPr>
      <w:color w:val="0563C1"/>
      <w:u w:val="single"/>
    </w:rPr>
  </w:style>
  <w:style w:type="paragraph" w:styleId="ListParagraph">
    <w:name w:val="List Paragraph"/>
    <w:basedOn w:val="Normal"/>
    <w:uiPriority w:val="34"/>
    <w:qFormat/>
    <w:rsid w:val="00044449"/>
    <w:pPr>
      <w:spacing w:line="252" w:lineRule="auto"/>
      <w:ind w:left="720"/>
      <w:contextualSpacing/>
    </w:pPr>
    <w:rPr>
      <w:rFonts w:eastAsia="Calibri" w:cs="Times New Roman"/>
      <w:lang w:eastAsia="en-US"/>
    </w:rPr>
  </w:style>
  <w:style w:type="character" w:customStyle="1" w:styleId="tgc">
    <w:name w:val="_tgc"/>
    <w:basedOn w:val="DefaultParagraphFont"/>
    <w:rsid w:val="0007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505">
      <w:bodyDiv w:val="1"/>
      <w:marLeft w:val="0"/>
      <w:marRight w:val="0"/>
      <w:marTop w:val="0"/>
      <w:marBottom w:val="0"/>
      <w:divBdr>
        <w:top w:val="none" w:sz="0" w:space="0" w:color="auto"/>
        <w:left w:val="none" w:sz="0" w:space="0" w:color="auto"/>
        <w:bottom w:val="none" w:sz="0" w:space="0" w:color="auto"/>
        <w:right w:val="none" w:sz="0" w:space="0" w:color="auto"/>
      </w:divBdr>
    </w:div>
    <w:div w:id="424107809">
      <w:bodyDiv w:val="1"/>
      <w:marLeft w:val="0"/>
      <w:marRight w:val="0"/>
      <w:marTop w:val="0"/>
      <w:marBottom w:val="0"/>
      <w:divBdr>
        <w:top w:val="none" w:sz="0" w:space="0" w:color="auto"/>
        <w:left w:val="none" w:sz="0" w:space="0" w:color="auto"/>
        <w:bottom w:val="none" w:sz="0" w:space="0" w:color="auto"/>
        <w:right w:val="none" w:sz="0" w:space="0" w:color="auto"/>
      </w:divBdr>
    </w:div>
    <w:div w:id="426998733">
      <w:bodyDiv w:val="1"/>
      <w:marLeft w:val="0"/>
      <w:marRight w:val="0"/>
      <w:marTop w:val="0"/>
      <w:marBottom w:val="0"/>
      <w:divBdr>
        <w:top w:val="none" w:sz="0" w:space="0" w:color="auto"/>
        <w:left w:val="none" w:sz="0" w:space="0" w:color="auto"/>
        <w:bottom w:val="none" w:sz="0" w:space="0" w:color="auto"/>
        <w:right w:val="none" w:sz="0" w:space="0" w:color="auto"/>
      </w:divBdr>
    </w:div>
    <w:div w:id="18590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0174-0F75-42C6-8820-B24C83CD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13727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U.S. Department of the Treasury</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cp:lastModifiedBy>Jennifer Chato</cp:lastModifiedBy>
  <cp:revision>3</cp:revision>
  <cp:lastPrinted>2016-04-12T15:47:00Z</cp:lastPrinted>
  <dcterms:created xsi:type="dcterms:W3CDTF">2016-04-12T15:47:00Z</dcterms:created>
  <dcterms:modified xsi:type="dcterms:W3CDTF">2016-04-12T15:48:00Z</dcterms:modified>
</cp:coreProperties>
</file>