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394766">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394766">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394766">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257952" w:rsidRPr="00EE6B61">
        <w:rPr>
          <w:rFonts w:asciiTheme="majorBidi" w:hAnsiTheme="majorBidi" w:cstheme="majorBidi"/>
          <w:bCs/>
          <w:sz w:val="22"/>
          <w:szCs w:val="22"/>
          <w:lang w:val="en-US"/>
        </w:rPr>
        <w:t>December 1, 2015</w:t>
      </w:r>
    </w:p>
    <w:p w:rsidR="00944F46" w:rsidRPr="00944F46" w:rsidRDefault="00257952"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Location</w:t>
      </w:r>
      <w:r w:rsidR="00944F46" w:rsidRPr="00944F46">
        <w:rPr>
          <w:rFonts w:asciiTheme="majorBidi" w:hAnsiTheme="majorBidi" w:cstheme="majorBidi"/>
          <w:b/>
          <w:bCs/>
          <w:sz w:val="22"/>
          <w:szCs w:val="22"/>
          <w:lang w:val="en-US"/>
        </w:rPr>
        <w:t xml:space="preserve">: </w:t>
      </w:r>
      <w:r w:rsidRPr="00EE6B61">
        <w:rPr>
          <w:rFonts w:asciiTheme="majorBidi" w:hAnsiTheme="majorBidi" w:cstheme="majorBidi"/>
          <w:bCs/>
          <w:sz w:val="22"/>
          <w:szCs w:val="22"/>
          <w:lang w:val="en-US"/>
        </w:rPr>
        <w:t>Pretoria, South Africa</w:t>
      </w:r>
      <w:r>
        <w:rPr>
          <w:rFonts w:asciiTheme="majorBidi" w:hAnsiTheme="majorBidi" w:cstheme="majorBidi"/>
          <w:b/>
          <w:bCs/>
          <w:sz w:val="22"/>
          <w:szCs w:val="22"/>
          <w:lang w:val="en-US"/>
        </w:rPr>
        <w:t xml:space="preserve"> </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w:t>
      </w:r>
      <w:r w:rsidR="00257952">
        <w:rPr>
          <w:rFonts w:asciiTheme="majorBidi" w:hAnsiTheme="majorBidi" w:cstheme="majorBidi"/>
          <w:b/>
          <w:bCs/>
          <w:sz w:val="22"/>
          <w:szCs w:val="22"/>
          <w:lang w:val="en-US"/>
        </w:rPr>
        <w:t>ience</w:t>
      </w:r>
      <w:r w:rsidR="00944F46" w:rsidRPr="00944F46">
        <w:rPr>
          <w:rFonts w:asciiTheme="majorBidi" w:hAnsiTheme="majorBidi" w:cstheme="majorBidi"/>
          <w:b/>
          <w:bCs/>
          <w:sz w:val="22"/>
          <w:szCs w:val="22"/>
          <w:lang w:val="en-US"/>
        </w:rPr>
        <w:t xml:space="preserve">: </w:t>
      </w:r>
      <w:r w:rsidR="00F61A9B">
        <w:rPr>
          <w:rFonts w:asciiTheme="majorBidi" w:hAnsiTheme="majorBidi" w:cstheme="majorBidi"/>
          <w:bCs/>
          <w:sz w:val="22"/>
          <w:szCs w:val="22"/>
          <w:lang w:val="en-US"/>
        </w:rPr>
        <w:t xml:space="preserve">Multi-Stakeholder, Civil Society Groups </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035" w:type="dxa"/>
        <w:jc w:val="center"/>
        <w:tblLayout w:type="fixed"/>
        <w:tblLook w:val="04A0" w:firstRow="1" w:lastRow="0" w:firstColumn="1" w:lastColumn="0" w:noHBand="0" w:noVBand="1"/>
      </w:tblPr>
      <w:tblGrid>
        <w:gridCol w:w="985"/>
        <w:gridCol w:w="1980"/>
        <w:gridCol w:w="4770"/>
        <w:gridCol w:w="6300"/>
      </w:tblGrid>
      <w:tr w:rsidR="00944F46" w:rsidRPr="0076192E" w:rsidTr="0076192E">
        <w:trPr>
          <w:jc w:val="center"/>
        </w:trPr>
        <w:tc>
          <w:tcPr>
            <w:tcW w:w="985" w:type="dxa"/>
            <w:shd w:val="clear" w:color="auto" w:fill="D9D9D9" w:themeFill="background1" w:themeFillShade="D9"/>
          </w:tcPr>
          <w:p w:rsidR="00944F46" w:rsidRPr="0076192E" w:rsidRDefault="00944F46" w:rsidP="00944F46">
            <w:pPr>
              <w:jc w:val="center"/>
              <w:rPr>
                <w:rFonts w:ascii="Times New Roman" w:hAnsi="Times New Roman" w:cs="Times New Roman"/>
                <w:b/>
              </w:rPr>
            </w:pPr>
            <w:r w:rsidRPr="0076192E">
              <w:rPr>
                <w:rFonts w:ascii="Times New Roman" w:hAnsi="Times New Roman" w:cs="Times New Roman"/>
                <w:b/>
              </w:rPr>
              <w:t>ESF</w:t>
            </w:r>
          </w:p>
        </w:tc>
        <w:tc>
          <w:tcPr>
            <w:tcW w:w="1980" w:type="dxa"/>
            <w:shd w:val="clear" w:color="auto" w:fill="D9D9D9" w:themeFill="background1" w:themeFillShade="D9"/>
          </w:tcPr>
          <w:p w:rsidR="00944F46" w:rsidRPr="0076192E" w:rsidRDefault="00944F46" w:rsidP="00944F46">
            <w:pPr>
              <w:jc w:val="center"/>
              <w:rPr>
                <w:rFonts w:ascii="Times New Roman" w:hAnsi="Times New Roman" w:cs="Times New Roman"/>
                <w:b/>
              </w:rPr>
            </w:pPr>
            <w:r w:rsidRPr="0076192E">
              <w:rPr>
                <w:rFonts w:ascii="Times New Roman" w:hAnsi="Times New Roman" w:cs="Times New Roman"/>
                <w:b/>
              </w:rPr>
              <w:t>Issue</w:t>
            </w:r>
          </w:p>
        </w:tc>
        <w:tc>
          <w:tcPr>
            <w:tcW w:w="4770" w:type="dxa"/>
            <w:shd w:val="clear" w:color="auto" w:fill="D9D9D9" w:themeFill="background1" w:themeFillShade="D9"/>
          </w:tcPr>
          <w:p w:rsidR="00944F46" w:rsidRPr="0076192E" w:rsidRDefault="00944F46" w:rsidP="00944F46">
            <w:pPr>
              <w:jc w:val="center"/>
              <w:rPr>
                <w:rFonts w:ascii="Times New Roman" w:hAnsi="Times New Roman" w:cs="Times New Roman"/>
                <w:b/>
              </w:rPr>
            </w:pPr>
            <w:r w:rsidRPr="0076192E">
              <w:rPr>
                <w:rFonts w:ascii="Times New Roman" w:hAnsi="Times New Roman" w:cs="Times New Roman"/>
                <w:b/>
              </w:rPr>
              <w:t>Items</w:t>
            </w:r>
          </w:p>
        </w:tc>
        <w:tc>
          <w:tcPr>
            <w:tcW w:w="6300" w:type="dxa"/>
            <w:shd w:val="clear" w:color="auto" w:fill="D9D9D9" w:themeFill="background1" w:themeFillShade="D9"/>
          </w:tcPr>
          <w:p w:rsidR="00944F46" w:rsidRPr="0076192E" w:rsidRDefault="00944F46" w:rsidP="00944F46">
            <w:pPr>
              <w:jc w:val="center"/>
              <w:rPr>
                <w:rFonts w:ascii="Times New Roman" w:hAnsi="Times New Roman" w:cs="Times New Roman"/>
                <w:b/>
              </w:rPr>
            </w:pPr>
            <w:r w:rsidRPr="0076192E">
              <w:rPr>
                <w:rFonts w:ascii="Times New Roman" w:hAnsi="Times New Roman" w:cs="Times New Roman"/>
                <w:b/>
              </w:rPr>
              <w:t>Feedback</w:t>
            </w:r>
          </w:p>
        </w:tc>
      </w:tr>
      <w:tr w:rsidR="00944F46" w:rsidRPr="0076192E" w:rsidTr="0076192E">
        <w:trPr>
          <w:jc w:val="center"/>
        </w:trPr>
        <w:tc>
          <w:tcPr>
            <w:tcW w:w="985" w:type="dxa"/>
            <w:shd w:val="clear" w:color="auto" w:fill="E7E6E6" w:themeFill="background2"/>
          </w:tcPr>
          <w:p w:rsidR="00944F46" w:rsidRPr="0076192E" w:rsidRDefault="00944F46" w:rsidP="00F248C2">
            <w:pPr>
              <w:rPr>
                <w:rFonts w:ascii="Times New Roman" w:hAnsi="Times New Roman" w:cs="Times New Roman"/>
                <w:color w:val="000000"/>
              </w:rPr>
            </w:pPr>
            <w:r w:rsidRPr="0076192E">
              <w:rPr>
                <w:rFonts w:ascii="Times New Roman" w:hAnsi="Times New Roman" w:cs="Times New Roman"/>
                <w:color w:val="000000"/>
              </w:rPr>
              <w:t>Vision</w:t>
            </w:r>
          </w:p>
        </w:tc>
        <w:tc>
          <w:tcPr>
            <w:tcW w:w="1980" w:type="dxa"/>
            <w:shd w:val="clear" w:color="auto" w:fill="E7E6E6" w:themeFill="background2"/>
          </w:tcPr>
          <w:p w:rsidR="00944F46" w:rsidRPr="0076192E" w:rsidRDefault="00944F46" w:rsidP="00F248C2">
            <w:pPr>
              <w:rPr>
                <w:rFonts w:ascii="Times New Roman" w:hAnsi="Times New Roman" w:cs="Times New Roman"/>
                <w:color w:val="000000"/>
              </w:rPr>
            </w:pPr>
            <w:r w:rsidRPr="0076192E">
              <w:rPr>
                <w:rFonts w:ascii="Times New Roman" w:hAnsi="Times New Roman" w:cs="Times New Roman"/>
                <w:color w:val="000000"/>
              </w:rPr>
              <w:t xml:space="preserve">Human Rights </w:t>
            </w:r>
          </w:p>
        </w:tc>
        <w:tc>
          <w:tcPr>
            <w:tcW w:w="4770" w:type="dxa"/>
            <w:shd w:val="clear" w:color="auto" w:fill="E7E6E6" w:themeFill="background2"/>
          </w:tcPr>
          <w:p w:rsidR="00944F46" w:rsidRPr="0076192E" w:rsidRDefault="00944F46" w:rsidP="001C5B10">
            <w:pPr>
              <w:pStyle w:val="ListParagraph"/>
              <w:numPr>
                <w:ilvl w:val="0"/>
                <w:numId w:val="11"/>
              </w:numPr>
              <w:ind w:left="342"/>
              <w:rPr>
                <w:rFonts w:ascii="Times New Roman" w:hAnsi="Times New Roman"/>
                <w:color w:val="000000"/>
              </w:rPr>
            </w:pPr>
            <w:r w:rsidRPr="0076192E">
              <w:rPr>
                <w:rFonts w:ascii="Times New Roman" w:hAnsi="Times New Roman"/>
                <w:color w:val="000000"/>
              </w:rPr>
              <w:t xml:space="preserve">Approach to  human rights  in the ESF </w:t>
            </w:r>
          </w:p>
        </w:tc>
        <w:tc>
          <w:tcPr>
            <w:tcW w:w="6300" w:type="dxa"/>
          </w:tcPr>
          <w:p w:rsidR="00F61A9B" w:rsidRPr="0076192E" w:rsidRDefault="00F61A9B" w:rsidP="00F61A9B">
            <w:pPr>
              <w:pStyle w:val="ListParagraph"/>
              <w:numPr>
                <w:ilvl w:val="0"/>
                <w:numId w:val="14"/>
              </w:numPr>
              <w:jc w:val="both"/>
              <w:rPr>
                <w:rFonts w:ascii="Times New Roman" w:hAnsi="Times New Roman"/>
                <w:color w:val="000000"/>
              </w:rPr>
            </w:pPr>
            <w:r w:rsidRPr="0076192E">
              <w:rPr>
                <w:rFonts w:ascii="Times New Roman" w:hAnsi="Times New Roman"/>
                <w:color w:val="000000"/>
              </w:rPr>
              <w:t xml:space="preserve">As a specialized agency of the United Nations the Bank has a responsibility to promote the realization of human rights in its member countries. </w:t>
            </w:r>
          </w:p>
          <w:p w:rsidR="00944F46" w:rsidRDefault="00C937B5" w:rsidP="0076192E">
            <w:pPr>
              <w:pStyle w:val="ListParagraph"/>
              <w:numPr>
                <w:ilvl w:val="0"/>
                <w:numId w:val="14"/>
              </w:numPr>
              <w:jc w:val="both"/>
              <w:rPr>
                <w:rFonts w:ascii="Times New Roman" w:hAnsi="Times New Roman"/>
                <w:color w:val="000000"/>
              </w:rPr>
            </w:pPr>
            <w:r w:rsidRPr="0076192E">
              <w:rPr>
                <w:rFonts w:ascii="Times New Roman" w:hAnsi="Times New Roman"/>
                <w:color w:val="000000"/>
              </w:rPr>
              <w:t xml:space="preserve">The Bank has an important role to play and it would be helpful to </w:t>
            </w:r>
            <w:r w:rsidR="00DA7174" w:rsidRPr="0076192E">
              <w:rPr>
                <w:rFonts w:ascii="Times New Roman" w:hAnsi="Times New Roman"/>
                <w:color w:val="000000"/>
              </w:rPr>
              <w:t xml:space="preserve">spell out in more concrete terms </w:t>
            </w:r>
            <w:r w:rsidRPr="0076192E">
              <w:rPr>
                <w:rFonts w:ascii="Times New Roman" w:hAnsi="Times New Roman"/>
                <w:color w:val="000000"/>
              </w:rPr>
              <w:t xml:space="preserve">exactly </w:t>
            </w:r>
            <w:r w:rsidR="00DA7174" w:rsidRPr="0076192E">
              <w:rPr>
                <w:rFonts w:ascii="Times New Roman" w:hAnsi="Times New Roman"/>
                <w:color w:val="000000"/>
              </w:rPr>
              <w:t xml:space="preserve">how the Bank’s work contributes towards or </w:t>
            </w:r>
            <w:r w:rsidRPr="0076192E">
              <w:rPr>
                <w:rFonts w:ascii="Times New Roman" w:hAnsi="Times New Roman"/>
                <w:color w:val="000000"/>
              </w:rPr>
              <w:t>promote</w:t>
            </w:r>
            <w:r w:rsidR="00DA7174" w:rsidRPr="0076192E">
              <w:rPr>
                <w:rFonts w:ascii="Times New Roman" w:hAnsi="Times New Roman"/>
                <w:color w:val="000000"/>
              </w:rPr>
              <w:t>s</w:t>
            </w:r>
            <w:r w:rsidRPr="0076192E">
              <w:rPr>
                <w:rFonts w:ascii="Times New Roman" w:hAnsi="Times New Roman"/>
                <w:color w:val="000000"/>
              </w:rPr>
              <w:t xml:space="preserve"> human rights. </w:t>
            </w:r>
          </w:p>
          <w:p w:rsidR="0076192E" w:rsidRPr="0076192E" w:rsidRDefault="0076192E" w:rsidP="0076192E">
            <w:pPr>
              <w:pStyle w:val="ListParagraph"/>
              <w:ind w:left="360"/>
              <w:jc w:val="both"/>
              <w:rPr>
                <w:rFonts w:ascii="Times New Roman" w:hAnsi="Times New Roman"/>
                <w:color w:val="000000"/>
              </w:rPr>
            </w:pPr>
          </w:p>
        </w:tc>
      </w:tr>
      <w:tr w:rsidR="00F61A9B" w:rsidRPr="0076192E" w:rsidTr="0076192E">
        <w:trPr>
          <w:trHeight w:val="3140"/>
          <w:jc w:val="center"/>
        </w:trPr>
        <w:tc>
          <w:tcPr>
            <w:tcW w:w="985" w:type="dxa"/>
            <w:vMerge w:val="restart"/>
            <w:shd w:val="clear" w:color="auto" w:fill="E7E6E6" w:themeFill="background2"/>
          </w:tcPr>
          <w:p w:rsidR="00F61A9B" w:rsidRPr="0076192E" w:rsidRDefault="00F61A9B" w:rsidP="00895AF5">
            <w:pPr>
              <w:rPr>
                <w:rFonts w:ascii="Times New Roman" w:hAnsi="Times New Roman" w:cs="Times New Roman"/>
              </w:rPr>
            </w:pPr>
            <w:r w:rsidRPr="0076192E">
              <w:rPr>
                <w:rFonts w:ascii="Times New Roman" w:hAnsi="Times New Roman" w:cs="Times New Roman"/>
              </w:rPr>
              <w:t>ESP/</w:t>
            </w:r>
          </w:p>
          <w:p w:rsidR="00F61A9B" w:rsidRPr="0076192E" w:rsidRDefault="00F61A9B" w:rsidP="00895AF5">
            <w:pPr>
              <w:rPr>
                <w:rFonts w:ascii="Times New Roman" w:hAnsi="Times New Roman" w:cs="Times New Roman"/>
              </w:rPr>
            </w:pPr>
            <w:r w:rsidRPr="0076192E">
              <w:rPr>
                <w:rFonts w:ascii="Times New Roman" w:hAnsi="Times New Roman" w:cs="Times New Roman"/>
              </w:rPr>
              <w:t>ESS1</w:t>
            </w:r>
          </w:p>
          <w:p w:rsidR="00F61A9B" w:rsidRPr="0076192E" w:rsidRDefault="00F61A9B" w:rsidP="00444D49">
            <w:pPr>
              <w:rPr>
                <w:rFonts w:ascii="Times New Roman" w:hAnsi="Times New Roman" w:cs="Times New Roman"/>
              </w:rPr>
            </w:pPr>
          </w:p>
        </w:tc>
        <w:tc>
          <w:tcPr>
            <w:tcW w:w="1980" w:type="dxa"/>
            <w:vMerge w:val="restart"/>
            <w:shd w:val="clear" w:color="auto" w:fill="E7E6E6" w:themeFill="background2"/>
          </w:tcPr>
          <w:p w:rsidR="00F61A9B" w:rsidRPr="0076192E" w:rsidRDefault="00F61A9B" w:rsidP="00895AF5">
            <w:pPr>
              <w:rPr>
                <w:rFonts w:ascii="Times New Roman" w:hAnsi="Times New Roman" w:cs="Times New Roman"/>
              </w:rPr>
            </w:pPr>
            <w:r w:rsidRPr="0076192E">
              <w:rPr>
                <w:rFonts w:ascii="Times New Roman" w:hAnsi="Times New Roman" w:cs="Times New Roman"/>
                <w:color w:val="000000"/>
              </w:rPr>
              <w:t>Use of Borrower’s Environmental and Social Framework</w:t>
            </w:r>
          </w:p>
        </w:tc>
        <w:tc>
          <w:tcPr>
            <w:tcW w:w="4770" w:type="dxa"/>
            <w:vMerge w:val="restart"/>
            <w:shd w:val="clear" w:color="auto" w:fill="E7E6E6" w:themeFill="background2"/>
          </w:tcPr>
          <w:p w:rsidR="00F61A9B" w:rsidRPr="0076192E" w:rsidRDefault="00F61A9B" w:rsidP="001C5B10">
            <w:pPr>
              <w:pStyle w:val="ListParagraph"/>
              <w:numPr>
                <w:ilvl w:val="0"/>
                <w:numId w:val="11"/>
              </w:numPr>
              <w:ind w:left="342"/>
              <w:rPr>
                <w:rFonts w:ascii="Times New Roman" w:hAnsi="Times New Roman"/>
              </w:rPr>
            </w:pPr>
            <w:r w:rsidRPr="0076192E">
              <w:rPr>
                <w:rFonts w:ascii="Times New Roman" w:hAnsi="Times New Roman"/>
              </w:rPr>
              <w:t xml:space="preserve">Role of Borrower frameworks in the management and assessment of environmental and social (E&amp;S) risks and impacts where these will allow projects to achieve objectives materially consistent with Environmental and Social Standards (ESSs) </w:t>
            </w:r>
          </w:p>
          <w:p w:rsidR="00F61A9B" w:rsidRPr="0076192E" w:rsidRDefault="00F61A9B" w:rsidP="001C5B10">
            <w:pPr>
              <w:pStyle w:val="ListParagraph"/>
              <w:numPr>
                <w:ilvl w:val="0"/>
                <w:numId w:val="11"/>
              </w:numPr>
              <w:ind w:left="342"/>
              <w:rPr>
                <w:rFonts w:ascii="Times New Roman" w:hAnsi="Times New Roman"/>
              </w:rPr>
            </w:pPr>
            <w:r w:rsidRPr="0076192E">
              <w:rPr>
                <w:rFonts w:ascii="Times New Roman" w:hAnsi="Times New Roman"/>
              </w:rPr>
              <w:t>Approach for making decision on the use of Borrower frameworks, including the methodology for assessing where frameworks will allow projects to achieve objectives materially consistent with the ESSs, and the exercise of Bank discretion</w:t>
            </w:r>
          </w:p>
          <w:p w:rsidR="00F61A9B" w:rsidRPr="0076192E" w:rsidRDefault="00F61A9B" w:rsidP="001C5B10">
            <w:pPr>
              <w:pStyle w:val="ListParagraph"/>
              <w:numPr>
                <w:ilvl w:val="0"/>
                <w:numId w:val="11"/>
              </w:numPr>
              <w:ind w:left="342"/>
              <w:rPr>
                <w:rFonts w:ascii="Times New Roman" w:hAnsi="Times New Roman"/>
              </w:rPr>
            </w:pPr>
            <w:r w:rsidRPr="0076192E">
              <w:rPr>
                <w:rFonts w:ascii="Times New Roman" w:hAnsi="Times New Roman"/>
              </w:rPr>
              <w:lastRenderedPageBreak/>
              <w:t>Role of Borrower frameworks in high and substantial risk projects</w:t>
            </w:r>
          </w:p>
        </w:tc>
        <w:tc>
          <w:tcPr>
            <w:tcW w:w="6300" w:type="dxa"/>
          </w:tcPr>
          <w:p w:rsidR="00F61A9B" w:rsidRPr="0076192E" w:rsidRDefault="00F61A9B" w:rsidP="00F61A9B">
            <w:pPr>
              <w:pStyle w:val="ListParagraph"/>
              <w:numPr>
                <w:ilvl w:val="0"/>
                <w:numId w:val="20"/>
              </w:numPr>
              <w:jc w:val="both"/>
              <w:rPr>
                <w:rFonts w:ascii="Times New Roman" w:hAnsi="Times New Roman"/>
              </w:rPr>
            </w:pPr>
            <w:r w:rsidRPr="0076192E">
              <w:rPr>
                <w:rFonts w:ascii="Times New Roman" w:hAnsi="Times New Roman"/>
              </w:rPr>
              <w:lastRenderedPageBreak/>
              <w:t xml:space="preserve">Borrower frameworks </w:t>
            </w:r>
            <w:r w:rsidR="00DA7174" w:rsidRPr="0076192E">
              <w:rPr>
                <w:rFonts w:ascii="Times New Roman" w:hAnsi="Times New Roman"/>
              </w:rPr>
              <w:t xml:space="preserve">are often inadequate or not comprehensive enough or not well enforced. In these situations, the </w:t>
            </w:r>
            <w:r w:rsidRPr="0076192E">
              <w:rPr>
                <w:rFonts w:ascii="Times New Roman" w:hAnsi="Times New Roman"/>
              </w:rPr>
              <w:t>Bank</w:t>
            </w:r>
            <w:r w:rsidR="00655FD4" w:rsidRPr="0076192E">
              <w:rPr>
                <w:rFonts w:ascii="Times New Roman" w:hAnsi="Times New Roman"/>
              </w:rPr>
              <w:t xml:space="preserve">’s role </w:t>
            </w:r>
            <w:r w:rsidR="00DA7174" w:rsidRPr="0076192E">
              <w:rPr>
                <w:rFonts w:ascii="Times New Roman" w:hAnsi="Times New Roman"/>
              </w:rPr>
              <w:t>ought to</w:t>
            </w:r>
            <w:r w:rsidR="00655FD4" w:rsidRPr="0076192E">
              <w:rPr>
                <w:rFonts w:ascii="Times New Roman" w:hAnsi="Times New Roman"/>
              </w:rPr>
              <w:t xml:space="preserve"> be to bring its resources and knowledge to bear and to work with the client closely until the systems are </w:t>
            </w:r>
            <w:r w:rsidR="00DA7174" w:rsidRPr="0076192E">
              <w:rPr>
                <w:rFonts w:ascii="Times New Roman" w:hAnsi="Times New Roman"/>
              </w:rPr>
              <w:t xml:space="preserve">improved and </w:t>
            </w:r>
            <w:r w:rsidR="00655FD4" w:rsidRPr="0076192E">
              <w:rPr>
                <w:rFonts w:ascii="Times New Roman" w:hAnsi="Times New Roman"/>
              </w:rPr>
              <w:t xml:space="preserve">strengthened. </w:t>
            </w:r>
            <w:r w:rsidR="00DA7174" w:rsidRPr="0076192E">
              <w:rPr>
                <w:rFonts w:ascii="Times New Roman" w:hAnsi="Times New Roman"/>
              </w:rPr>
              <w:t xml:space="preserve">This should be reflected in the Environmental and Social Framework not merely as an aspiration but as an objective. </w:t>
            </w:r>
            <w:r w:rsidR="00655FD4" w:rsidRPr="0076192E">
              <w:rPr>
                <w:rFonts w:ascii="Times New Roman" w:hAnsi="Times New Roman"/>
              </w:rPr>
              <w:t xml:space="preserve">The Bank should take responsibility for this since it </w:t>
            </w:r>
            <w:r w:rsidR="00DA7174" w:rsidRPr="0076192E">
              <w:rPr>
                <w:rFonts w:ascii="Times New Roman" w:hAnsi="Times New Roman"/>
              </w:rPr>
              <w:t xml:space="preserve">is always best placed in assessing and managing the short, medium and long term risks of the operations that it finances. </w:t>
            </w:r>
            <w:r w:rsidR="00655FD4" w:rsidRPr="0076192E">
              <w:rPr>
                <w:rFonts w:ascii="Times New Roman" w:hAnsi="Times New Roman"/>
              </w:rPr>
              <w:t xml:space="preserve"> </w:t>
            </w:r>
            <w:r w:rsidRPr="0076192E">
              <w:rPr>
                <w:rFonts w:ascii="Times New Roman" w:hAnsi="Times New Roman"/>
              </w:rPr>
              <w:t xml:space="preserve"> </w:t>
            </w:r>
          </w:p>
          <w:p w:rsidR="00F61A9B" w:rsidRPr="0076192E" w:rsidRDefault="00F61A9B" w:rsidP="00DA7174">
            <w:pPr>
              <w:pStyle w:val="ListParagraph"/>
              <w:numPr>
                <w:ilvl w:val="0"/>
                <w:numId w:val="20"/>
              </w:numPr>
              <w:jc w:val="both"/>
              <w:rPr>
                <w:rFonts w:ascii="Times New Roman" w:hAnsi="Times New Roman"/>
              </w:rPr>
            </w:pPr>
            <w:r w:rsidRPr="0076192E">
              <w:rPr>
                <w:rFonts w:ascii="Times New Roman" w:hAnsi="Times New Roman"/>
              </w:rPr>
              <w:t>The Bank must conduct adequate due diligence on the use of borrower frameworks and build on this experience going forward.</w:t>
            </w:r>
            <w:r w:rsidR="00655FD4" w:rsidRPr="0076192E">
              <w:rPr>
                <w:rFonts w:ascii="Times New Roman" w:hAnsi="Times New Roman"/>
              </w:rPr>
              <w:t xml:space="preserve"> There needs to be complete</w:t>
            </w:r>
            <w:r w:rsidR="00DA7174" w:rsidRPr="0076192E">
              <w:rPr>
                <w:rFonts w:ascii="Times New Roman" w:hAnsi="Times New Roman"/>
              </w:rPr>
              <w:t xml:space="preserve"> clarity as to how far back to go in looking at implementation track records. </w:t>
            </w:r>
            <w:r w:rsidR="00655FD4" w:rsidRPr="0076192E">
              <w:rPr>
                <w:rFonts w:ascii="Times New Roman" w:hAnsi="Times New Roman"/>
              </w:rPr>
              <w:t xml:space="preserve"> </w:t>
            </w:r>
          </w:p>
        </w:tc>
      </w:tr>
      <w:tr w:rsidR="00F61A9B" w:rsidRPr="0076192E" w:rsidTr="0076192E">
        <w:trPr>
          <w:jc w:val="center"/>
        </w:trPr>
        <w:tc>
          <w:tcPr>
            <w:tcW w:w="985" w:type="dxa"/>
            <w:vMerge/>
            <w:shd w:val="clear" w:color="auto" w:fill="E7E6E6" w:themeFill="background2"/>
          </w:tcPr>
          <w:p w:rsidR="00F61A9B" w:rsidRPr="0076192E" w:rsidRDefault="00F61A9B" w:rsidP="00444D49">
            <w:pPr>
              <w:rPr>
                <w:rFonts w:ascii="Times New Roman" w:hAnsi="Times New Roman" w:cs="Times New Roman"/>
                <w:color w:val="000000"/>
              </w:rPr>
            </w:pPr>
          </w:p>
        </w:tc>
        <w:tc>
          <w:tcPr>
            <w:tcW w:w="1980" w:type="dxa"/>
            <w:vMerge/>
            <w:shd w:val="clear" w:color="auto" w:fill="E7E6E6" w:themeFill="background2"/>
          </w:tcPr>
          <w:p w:rsidR="00F61A9B" w:rsidRPr="0076192E" w:rsidRDefault="00F61A9B" w:rsidP="00895AF5">
            <w:pPr>
              <w:rPr>
                <w:rFonts w:ascii="Times New Roman" w:hAnsi="Times New Roman" w:cs="Times New Roman"/>
              </w:rPr>
            </w:pPr>
          </w:p>
        </w:tc>
        <w:tc>
          <w:tcPr>
            <w:tcW w:w="4770" w:type="dxa"/>
            <w:vMerge/>
            <w:shd w:val="clear" w:color="auto" w:fill="E7E6E6" w:themeFill="background2"/>
          </w:tcPr>
          <w:p w:rsidR="00F61A9B" w:rsidRPr="0076192E" w:rsidRDefault="00F61A9B" w:rsidP="001C5B10">
            <w:pPr>
              <w:pStyle w:val="ListParagraph"/>
              <w:numPr>
                <w:ilvl w:val="0"/>
                <w:numId w:val="11"/>
              </w:numPr>
              <w:ind w:left="342"/>
              <w:rPr>
                <w:rFonts w:ascii="Times New Roman" w:hAnsi="Times New Roman"/>
              </w:rPr>
            </w:pPr>
          </w:p>
        </w:tc>
        <w:tc>
          <w:tcPr>
            <w:tcW w:w="6300" w:type="dxa"/>
          </w:tcPr>
          <w:p w:rsidR="00F61A9B" w:rsidRPr="0076192E" w:rsidRDefault="00F61A9B" w:rsidP="00F61A9B">
            <w:pPr>
              <w:pStyle w:val="ListParagraph"/>
              <w:ind w:left="360"/>
              <w:jc w:val="both"/>
              <w:rPr>
                <w:rFonts w:ascii="Times New Roman" w:hAnsi="Times New Roman"/>
              </w:rPr>
            </w:pPr>
            <w:r w:rsidRPr="0076192E">
              <w:rPr>
                <w:rFonts w:ascii="Times New Roman" w:hAnsi="Times New Roman"/>
              </w:rPr>
              <w:t xml:space="preserve"> </w:t>
            </w:r>
          </w:p>
        </w:tc>
      </w:tr>
      <w:tr w:rsidR="004A022A" w:rsidRPr="0076192E" w:rsidTr="0076192E">
        <w:trPr>
          <w:jc w:val="center"/>
        </w:trPr>
        <w:tc>
          <w:tcPr>
            <w:tcW w:w="985" w:type="dxa"/>
            <w:shd w:val="clear" w:color="auto" w:fill="E7E6E6" w:themeFill="background2"/>
          </w:tcPr>
          <w:p w:rsidR="004A022A" w:rsidRPr="0076192E" w:rsidRDefault="004A022A" w:rsidP="00444D49">
            <w:pPr>
              <w:rPr>
                <w:rFonts w:ascii="Times New Roman" w:hAnsi="Times New Roman" w:cs="Times New Roman"/>
              </w:rPr>
            </w:pPr>
            <w:r w:rsidRPr="0076192E">
              <w:rPr>
                <w:rFonts w:ascii="Times New Roman" w:hAnsi="Times New Roman" w:cs="Times New Roman"/>
              </w:rPr>
              <w:lastRenderedPageBreak/>
              <w:t>ESS1</w:t>
            </w:r>
          </w:p>
          <w:p w:rsidR="004A022A" w:rsidRPr="0076192E" w:rsidRDefault="004A022A" w:rsidP="00444D49">
            <w:pPr>
              <w:rPr>
                <w:rFonts w:ascii="Times New Roman" w:hAnsi="Times New Roman" w:cs="Times New Roman"/>
              </w:rPr>
            </w:pPr>
          </w:p>
        </w:tc>
        <w:tc>
          <w:tcPr>
            <w:tcW w:w="1980" w:type="dxa"/>
            <w:shd w:val="clear" w:color="auto" w:fill="E7E6E6" w:themeFill="background2"/>
          </w:tcPr>
          <w:p w:rsidR="004A022A" w:rsidRPr="0076192E" w:rsidRDefault="004A022A" w:rsidP="00D9319E">
            <w:pPr>
              <w:rPr>
                <w:rFonts w:ascii="Times New Roman" w:hAnsi="Times New Roman" w:cs="Times New Roman"/>
              </w:rPr>
            </w:pPr>
            <w:r w:rsidRPr="0076192E">
              <w:rPr>
                <w:rFonts w:ascii="Times New Roman" w:hAnsi="Times New Roman" w:cs="Times New Roman"/>
              </w:rPr>
              <w:t>Assessment and management of environmental and social risks and impacts</w:t>
            </w:r>
          </w:p>
        </w:tc>
        <w:tc>
          <w:tcPr>
            <w:tcW w:w="4770" w:type="dxa"/>
            <w:shd w:val="clear" w:color="auto" w:fill="E7E6E6" w:themeFill="background2"/>
          </w:tcPr>
          <w:p w:rsidR="004A022A" w:rsidRPr="0076192E" w:rsidRDefault="004A022A" w:rsidP="001C5B10">
            <w:pPr>
              <w:pStyle w:val="ListParagraph"/>
              <w:numPr>
                <w:ilvl w:val="0"/>
                <w:numId w:val="11"/>
              </w:numPr>
              <w:ind w:left="342"/>
              <w:rPr>
                <w:rFonts w:ascii="Times New Roman" w:hAnsi="Times New Roman"/>
              </w:rPr>
            </w:pPr>
            <w:r w:rsidRPr="0076192E">
              <w:rPr>
                <w:rFonts w:ascii="Times New Roman" w:hAnsi="Times New Roman"/>
              </w:rPr>
              <w:t>Assessment and nature of cumulative and indirect impacts to be taken into account</w:t>
            </w:r>
          </w:p>
          <w:p w:rsidR="004A022A" w:rsidRPr="0076192E" w:rsidRDefault="004A022A" w:rsidP="001C5B10">
            <w:pPr>
              <w:pStyle w:val="ListParagraph"/>
              <w:numPr>
                <w:ilvl w:val="0"/>
                <w:numId w:val="11"/>
              </w:numPr>
              <w:ind w:left="342"/>
              <w:rPr>
                <w:rFonts w:ascii="Times New Roman" w:hAnsi="Times New Roman"/>
              </w:rPr>
            </w:pPr>
            <w:r w:rsidRPr="0076192E">
              <w:rPr>
                <w:rFonts w:ascii="Times New Roman" w:hAnsi="Times New Roman"/>
              </w:rPr>
              <w:t>Treatment of cumulative and indirect impacts when identified in the assessment of the project</w:t>
            </w:r>
          </w:p>
          <w:p w:rsidR="004A022A" w:rsidRPr="0076192E" w:rsidRDefault="004A022A" w:rsidP="001C5B10">
            <w:pPr>
              <w:pStyle w:val="ListParagraph"/>
              <w:numPr>
                <w:ilvl w:val="0"/>
                <w:numId w:val="11"/>
              </w:numPr>
              <w:ind w:left="342"/>
              <w:rPr>
                <w:rFonts w:ascii="Times New Roman" w:hAnsi="Times New Roman"/>
              </w:rPr>
            </w:pPr>
            <w:r w:rsidRPr="0076192E">
              <w:rPr>
                <w:rFonts w:ascii="Times New Roman" w:hAnsi="Times New Roman"/>
              </w:rPr>
              <w:t>Establishing project boundaries and the applicability of the ESSs to Associated Facilities, contractors, primary suppliers, FI subprojects and directly funded sub-projects</w:t>
            </w:r>
          </w:p>
          <w:p w:rsidR="004A022A" w:rsidRPr="0076192E" w:rsidRDefault="004A022A" w:rsidP="001C5B10">
            <w:pPr>
              <w:pStyle w:val="ListParagraph"/>
              <w:numPr>
                <w:ilvl w:val="0"/>
                <w:numId w:val="11"/>
              </w:numPr>
              <w:ind w:left="342"/>
              <w:rPr>
                <w:rFonts w:ascii="Times New Roman" w:hAnsi="Times New Roman"/>
              </w:rPr>
            </w:pPr>
            <w:r w:rsidRPr="0076192E">
              <w:rPr>
                <w:rFonts w:ascii="Times New Roman" w:hAnsi="Times New Roman"/>
              </w:rPr>
              <w:t>Circumstances under which the Bank will determine whether the Borrower will be required to retain independent third party specialists</w:t>
            </w:r>
          </w:p>
        </w:tc>
        <w:tc>
          <w:tcPr>
            <w:tcW w:w="6300" w:type="dxa"/>
          </w:tcPr>
          <w:p w:rsidR="004A022A" w:rsidRPr="0076192E" w:rsidRDefault="00DA7174" w:rsidP="00517F15">
            <w:pPr>
              <w:pStyle w:val="ListParagraph"/>
              <w:numPr>
                <w:ilvl w:val="0"/>
                <w:numId w:val="16"/>
              </w:numPr>
              <w:jc w:val="both"/>
              <w:rPr>
                <w:rFonts w:ascii="Times New Roman" w:hAnsi="Times New Roman"/>
              </w:rPr>
            </w:pPr>
            <w:r w:rsidRPr="0076192E">
              <w:rPr>
                <w:rFonts w:ascii="Times New Roman" w:hAnsi="Times New Roman"/>
              </w:rPr>
              <w:t>The Framework needs clarity regarding the</w:t>
            </w:r>
            <w:r w:rsidR="00517F15" w:rsidRPr="0076192E">
              <w:rPr>
                <w:rFonts w:ascii="Times New Roman" w:hAnsi="Times New Roman"/>
              </w:rPr>
              <w:t xml:space="preserve"> circumstances</w:t>
            </w:r>
            <w:r w:rsidRPr="0076192E">
              <w:rPr>
                <w:rFonts w:ascii="Times New Roman" w:hAnsi="Times New Roman"/>
              </w:rPr>
              <w:t xml:space="preserve"> under which</w:t>
            </w:r>
            <w:r w:rsidR="00517F15" w:rsidRPr="0076192E">
              <w:rPr>
                <w:rFonts w:ascii="Times New Roman" w:hAnsi="Times New Roman"/>
              </w:rPr>
              <w:t xml:space="preserve"> independent specialists will be involved in project preparation and supervision and confirm if there will be further guidance on the involvement of independent specialists. </w:t>
            </w:r>
            <w:r w:rsidRPr="0076192E">
              <w:rPr>
                <w:rFonts w:ascii="Times New Roman" w:hAnsi="Times New Roman"/>
              </w:rPr>
              <w:t xml:space="preserve">It also needs clarity with regard to </w:t>
            </w:r>
            <w:r w:rsidR="00517F15" w:rsidRPr="0076192E">
              <w:rPr>
                <w:rFonts w:ascii="Times New Roman" w:hAnsi="Times New Roman"/>
              </w:rPr>
              <w:t xml:space="preserve">whether the Bank will play a more active role in project supervision under the new Framework. </w:t>
            </w:r>
          </w:p>
          <w:p w:rsidR="00517F15" w:rsidRPr="0076192E" w:rsidRDefault="001701C8" w:rsidP="00517F15">
            <w:pPr>
              <w:pStyle w:val="ListParagraph"/>
              <w:numPr>
                <w:ilvl w:val="0"/>
                <w:numId w:val="16"/>
              </w:numPr>
              <w:jc w:val="both"/>
              <w:rPr>
                <w:rFonts w:ascii="Times New Roman" w:hAnsi="Times New Roman"/>
              </w:rPr>
            </w:pPr>
            <w:r w:rsidRPr="0076192E">
              <w:rPr>
                <w:rFonts w:ascii="Times New Roman" w:hAnsi="Times New Roman"/>
              </w:rPr>
              <w:t xml:space="preserve">Clarify whether the Bank would address long-term pollution from beyond the project area such as acid mine drainage, solid waste and radioactive materials. </w:t>
            </w:r>
          </w:p>
          <w:p w:rsidR="00A73932" w:rsidRPr="0076192E" w:rsidRDefault="004A0BCA" w:rsidP="00131164">
            <w:pPr>
              <w:pStyle w:val="ListParagraph"/>
              <w:numPr>
                <w:ilvl w:val="0"/>
                <w:numId w:val="16"/>
              </w:numPr>
              <w:jc w:val="both"/>
              <w:rPr>
                <w:rFonts w:ascii="Times New Roman" w:hAnsi="Times New Roman"/>
              </w:rPr>
            </w:pPr>
            <w:r w:rsidRPr="0076192E">
              <w:rPr>
                <w:rFonts w:ascii="Times New Roman" w:hAnsi="Times New Roman"/>
              </w:rPr>
              <w:t xml:space="preserve">Clarify if intelligence services are covered in the scope of “security personnel” to whom ESS-4 applies. Indicate what clarifications were issues in this regard. </w:t>
            </w:r>
            <w:r w:rsidR="00912477" w:rsidRPr="0076192E">
              <w:rPr>
                <w:rFonts w:ascii="Times New Roman" w:hAnsi="Times New Roman"/>
              </w:rPr>
              <w:t xml:space="preserve">If they are not foreseen as part of the definition of “security personnel” under the Environmental and Social Framework, they ought to be included since they play a critical role in supporting security operations and are often used to repress the views of potentially affected peoples in project areas. </w:t>
            </w:r>
          </w:p>
        </w:tc>
      </w:tr>
      <w:tr w:rsidR="004A022A" w:rsidRPr="0076192E" w:rsidTr="0076192E">
        <w:trPr>
          <w:jc w:val="center"/>
        </w:trPr>
        <w:tc>
          <w:tcPr>
            <w:tcW w:w="985" w:type="dxa"/>
            <w:shd w:val="clear" w:color="auto" w:fill="E7E6E6" w:themeFill="background2"/>
          </w:tcPr>
          <w:p w:rsidR="004A022A" w:rsidRPr="0076192E" w:rsidRDefault="004A022A" w:rsidP="00444D49">
            <w:pPr>
              <w:rPr>
                <w:rFonts w:ascii="Times New Roman" w:hAnsi="Times New Roman" w:cs="Times New Roman"/>
              </w:rPr>
            </w:pPr>
            <w:r w:rsidRPr="0076192E">
              <w:rPr>
                <w:rFonts w:ascii="Times New Roman" w:hAnsi="Times New Roman" w:cs="Times New Roman"/>
              </w:rPr>
              <w:t>ESS2</w:t>
            </w:r>
          </w:p>
        </w:tc>
        <w:tc>
          <w:tcPr>
            <w:tcW w:w="1980" w:type="dxa"/>
            <w:shd w:val="clear" w:color="auto" w:fill="E7E6E6" w:themeFill="background2"/>
          </w:tcPr>
          <w:p w:rsidR="004A022A" w:rsidRPr="0076192E" w:rsidRDefault="004A022A" w:rsidP="00444D49">
            <w:pPr>
              <w:rPr>
                <w:rFonts w:ascii="Times New Roman" w:hAnsi="Times New Roman" w:cs="Times New Roman"/>
              </w:rPr>
            </w:pPr>
            <w:r w:rsidRPr="0076192E">
              <w:rPr>
                <w:rFonts w:ascii="Times New Roman" w:hAnsi="Times New Roman" w:cs="Times New Roman"/>
              </w:rPr>
              <w:t>Labor and working conditions</w:t>
            </w:r>
          </w:p>
        </w:tc>
        <w:tc>
          <w:tcPr>
            <w:tcW w:w="4770" w:type="dxa"/>
            <w:shd w:val="clear" w:color="auto" w:fill="E7E6E6" w:themeFill="background2"/>
          </w:tcPr>
          <w:p w:rsidR="004A022A" w:rsidRPr="0076192E" w:rsidRDefault="004A022A" w:rsidP="001C5B10">
            <w:pPr>
              <w:pStyle w:val="ListParagraph"/>
              <w:numPr>
                <w:ilvl w:val="0"/>
                <w:numId w:val="11"/>
              </w:numPr>
              <w:ind w:left="342"/>
              <w:rPr>
                <w:rFonts w:ascii="Times New Roman" w:hAnsi="Times New Roman"/>
              </w:rPr>
            </w:pPr>
            <w:r w:rsidRPr="0076192E">
              <w:rPr>
                <w:rFonts w:ascii="Times New Roman" w:hAnsi="Times New Roman"/>
              </w:rPr>
              <w:t xml:space="preserve">Definition and necessity of and requirements for managing labor employed by certain third parties (brokers, agents and intermediaries)  </w:t>
            </w:r>
          </w:p>
          <w:p w:rsidR="004A022A" w:rsidRPr="0076192E" w:rsidRDefault="004A022A" w:rsidP="001C5B10">
            <w:pPr>
              <w:pStyle w:val="ListParagraph"/>
              <w:numPr>
                <w:ilvl w:val="0"/>
                <w:numId w:val="11"/>
              </w:numPr>
              <w:ind w:left="342"/>
              <w:rPr>
                <w:rFonts w:ascii="Times New Roman" w:hAnsi="Times New Roman"/>
              </w:rPr>
            </w:pPr>
            <w:r w:rsidRPr="0076192E">
              <w:rPr>
                <w:rFonts w:ascii="Times New Roman" w:hAnsi="Times New Roman"/>
              </w:rPr>
              <w:t xml:space="preserve">Application and implementation impacts of certain labor requirements to contractors, community and voluntary labor and primary suppliers </w:t>
            </w:r>
          </w:p>
          <w:p w:rsidR="004A022A" w:rsidRPr="0076192E" w:rsidRDefault="004A022A" w:rsidP="001C5B10">
            <w:pPr>
              <w:pStyle w:val="ListParagraph"/>
              <w:numPr>
                <w:ilvl w:val="0"/>
                <w:numId w:val="11"/>
              </w:numPr>
              <w:ind w:left="342"/>
              <w:rPr>
                <w:rFonts w:ascii="Times New Roman" w:hAnsi="Times New Roman"/>
              </w:rPr>
            </w:pPr>
            <w:r w:rsidRPr="0076192E">
              <w:rPr>
                <w:rFonts w:ascii="Times New Roman" w:hAnsi="Times New Roman"/>
              </w:rPr>
              <w:t>Constraints in making grievance mechanisms available to all project workers</w:t>
            </w:r>
          </w:p>
          <w:p w:rsidR="00394766" w:rsidRPr="0076192E" w:rsidRDefault="004A022A" w:rsidP="00394766">
            <w:pPr>
              <w:pStyle w:val="ListParagraph"/>
              <w:numPr>
                <w:ilvl w:val="0"/>
                <w:numId w:val="11"/>
              </w:numPr>
              <w:ind w:left="342"/>
              <w:rPr>
                <w:rFonts w:ascii="Times New Roman" w:hAnsi="Times New Roman"/>
              </w:rPr>
            </w:pPr>
            <w:r w:rsidRPr="0076192E">
              <w:rPr>
                <w:rFonts w:ascii="Times New Roman" w:hAnsi="Times New Roman"/>
              </w:rPr>
              <w:t>Referencing national law in the objective of supporting freedom of association and collective bargaining</w:t>
            </w:r>
            <w:r w:rsidR="00394766" w:rsidRPr="0076192E">
              <w:rPr>
                <w:rFonts w:ascii="Times New Roman" w:hAnsi="Times New Roman"/>
              </w:rPr>
              <w:t xml:space="preserve">. </w:t>
            </w:r>
          </w:p>
        </w:tc>
        <w:tc>
          <w:tcPr>
            <w:tcW w:w="6300" w:type="dxa"/>
          </w:tcPr>
          <w:p w:rsidR="004A022A" w:rsidRPr="0076192E" w:rsidRDefault="004D73E4" w:rsidP="00517F15">
            <w:pPr>
              <w:pStyle w:val="ListParagraph"/>
              <w:numPr>
                <w:ilvl w:val="0"/>
                <w:numId w:val="17"/>
              </w:numPr>
              <w:jc w:val="both"/>
              <w:rPr>
                <w:rFonts w:ascii="Times New Roman" w:hAnsi="Times New Roman"/>
              </w:rPr>
            </w:pPr>
            <w:r w:rsidRPr="0076192E">
              <w:rPr>
                <w:rFonts w:ascii="Times New Roman" w:hAnsi="Times New Roman"/>
              </w:rPr>
              <w:t xml:space="preserve">Clarify the compliance mechanism that the Bank has in place for adverse impacts that may occur </w:t>
            </w:r>
            <w:r w:rsidR="00912477" w:rsidRPr="0076192E">
              <w:rPr>
                <w:rFonts w:ascii="Times New Roman" w:hAnsi="Times New Roman"/>
              </w:rPr>
              <w:t xml:space="preserve">at all stages of project design and </w:t>
            </w:r>
            <w:r w:rsidRPr="0076192E">
              <w:rPr>
                <w:rFonts w:ascii="Times New Roman" w:hAnsi="Times New Roman"/>
              </w:rPr>
              <w:t>during project implementation</w:t>
            </w:r>
            <w:r w:rsidR="00912477" w:rsidRPr="0076192E">
              <w:rPr>
                <w:rFonts w:ascii="Times New Roman" w:hAnsi="Times New Roman"/>
              </w:rPr>
              <w:t xml:space="preserve">. The </w:t>
            </w:r>
            <w:r w:rsidRPr="0076192E">
              <w:rPr>
                <w:rFonts w:ascii="Times New Roman" w:hAnsi="Times New Roman"/>
              </w:rPr>
              <w:t xml:space="preserve">Environmental and Social Framework should clarify the consequences for any </w:t>
            </w:r>
            <w:r w:rsidR="00912477" w:rsidRPr="0076192E">
              <w:rPr>
                <w:rFonts w:ascii="Times New Roman" w:hAnsi="Times New Roman"/>
              </w:rPr>
              <w:t>affirmative</w:t>
            </w:r>
            <w:r w:rsidRPr="0076192E">
              <w:rPr>
                <w:rFonts w:ascii="Times New Roman" w:hAnsi="Times New Roman"/>
              </w:rPr>
              <w:t xml:space="preserve"> findings of adverse impacts</w:t>
            </w:r>
            <w:r w:rsidR="00912477" w:rsidRPr="0076192E">
              <w:rPr>
                <w:rFonts w:ascii="Times New Roman" w:hAnsi="Times New Roman"/>
              </w:rPr>
              <w:t xml:space="preserve"> on communities because of project activities</w:t>
            </w:r>
            <w:r w:rsidRPr="0076192E">
              <w:rPr>
                <w:rFonts w:ascii="Times New Roman" w:hAnsi="Times New Roman"/>
              </w:rPr>
              <w:t>. Other MDBs such as the European Investment Bank have compliance mechanisms and it would good to understand the eq</w:t>
            </w:r>
            <w:r w:rsidR="00912477" w:rsidRPr="0076192E">
              <w:rPr>
                <w:rFonts w:ascii="Times New Roman" w:hAnsi="Times New Roman"/>
              </w:rPr>
              <w:t xml:space="preserve">uivalent mechanism in the Bank and whether it is provided for in the Framework </w:t>
            </w:r>
          </w:p>
          <w:p w:rsidR="001701C8" w:rsidRPr="0076192E" w:rsidRDefault="001701C8" w:rsidP="00912477">
            <w:pPr>
              <w:pStyle w:val="ListParagraph"/>
              <w:numPr>
                <w:ilvl w:val="0"/>
                <w:numId w:val="17"/>
              </w:numPr>
              <w:jc w:val="both"/>
              <w:rPr>
                <w:rFonts w:ascii="Times New Roman" w:hAnsi="Times New Roman"/>
              </w:rPr>
            </w:pPr>
            <w:r w:rsidRPr="0076192E">
              <w:rPr>
                <w:rFonts w:ascii="Times New Roman" w:hAnsi="Times New Roman"/>
              </w:rPr>
              <w:t>Clarify whether the Environmental and Social Framework</w:t>
            </w:r>
            <w:r w:rsidR="00912477" w:rsidRPr="0076192E">
              <w:rPr>
                <w:rFonts w:ascii="Times New Roman" w:hAnsi="Times New Roman"/>
              </w:rPr>
              <w:t xml:space="preserve"> has been </w:t>
            </w:r>
            <w:r w:rsidRPr="0076192E">
              <w:rPr>
                <w:rFonts w:ascii="Times New Roman" w:hAnsi="Times New Roman"/>
              </w:rPr>
              <w:t>benchmarked against ILO core labor standard and the extent to which brokers and agents who may be procuring workers illegally would be covered under the Framework.</w:t>
            </w:r>
            <w:r w:rsidR="00912477" w:rsidRPr="0076192E">
              <w:rPr>
                <w:rFonts w:ascii="Times New Roman" w:hAnsi="Times New Roman"/>
              </w:rPr>
              <w:t xml:space="preserve"> There ought to be references to the international standards that the ILO has developed and especially since many of these standards are already reflected within national law and therefore binding on the South Africa. </w:t>
            </w:r>
          </w:p>
        </w:tc>
      </w:tr>
      <w:tr w:rsidR="00C87D2F" w:rsidRPr="0076192E" w:rsidTr="0076192E">
        <w:trPr>
          <w:trHeight w:val="3005"/>
          <w:jc w:val="center"/>
        </w:trPr>
        <w:tc>
          <w:tcPr>
            <w:tcW w:w="985" w:type="dxa"/>
            <w:shd w:val="clear" w:color="auto" w:fill="E7E6E6" w:themeFill="background2"/>
          </w:tcPr>
          <w:p w:rsidR="00C87D2F" w:rsidRPr="0076192E" w:rsidRDefault="00C87D2F" w:rsidP="00444D49">
            <w:pPr>
              <w:rPr>
                <w:rFonts w:ascii="Times New Roman" w:hAnsi="Times New Roman" w:cs="Times New Roman"/>
              </w:rPr>
            </w:pPr>
            <w:r w:rsidRPr="0076192E">
              <w:rPr>
                <w:rFonts w:ascii="Times New Roman" w:hAnsi="Times New Roman" w:cs="Times New Roman"/>
              </w:rPr>
              <w:lastRenderedPageBreak/>
              <w:t>ESS3</w:t>
            </w:r>
          </w:p>
        </w:tc>
        <w:tc>
          <w:tcPr>
            <w:tcW w:w="1980" w:type="dxa"/>
            <w:shd w:val="clear" w:color="auto" w:fill="E7E6E6" w:themeFill="background2"/>
          </w:tcPr>
          <w:p w:rsidR="00C87D2F" w:rsidRPr="0076192E" w:rsidRDefault="00C87D2F" w:rsidP="00444D49">
            <w:pPr>
              <w:rPr>
                <w:rFonts w:ascii="Times New Roman" w:hAnsi="Times New Roman" w:cs="Times New Roman"/>
              </w:rPr>
            </w:pPr>
            <w:r w:rsidRPr="0076192E">
              <w:rPr>
                <w:rFonts w:ascii="Times New Roman" w:hAnsi="Times New Roman" w:cs="Times New Roman"/>
              </w:rPr>
              <w:t>Climate change and GHG emissions</w:t>
            </w:r>
          </w:p>
        </w:tc>
        <w:tc>
          <w:tcPr>
            <w:tcW w:w="4770" w:type="dxa"/>
            <w:shd w:val="clear" w:color="auto" w:fill="E7E6E6" w:themeFill="background2"/>
          </w:tcPr>
          <w:p w:rsidR="00C87D2F" w:rsidRPr="0076192E" w:rsidRDefault="00C87D2F" w:rsidP="001C5B10">
            <w:pPr>
              <w:pStyle w:val="ListParagraph"/>
              <w:numPr>
                <w:ilvl w:val="0"/>
                <w:numId w:val="11"/>
              </w:numPr>
              <w:ind w:left="342"/>
              <w:rPr>
                <w:rFonts w:ascii="Times New Roman" w:hAnsi="Times New Roman"/>
              </w:rPr>
            </w:pPr>
            <w:r w:rsidRPr="0076192E">
              <w:rPr>
                <w:rFonts w:ascii="Times New Roman" w:hAnsi="Times New Roman"/>
              </w:rPr>
              <w:t>The relation between provisions on climate change in the ESF and broader climate change commitments, specifically UNFCCC</w:t>
            </w:r>
          </w:p>
          <w:p w:rsidR="00C87D2F" w:rsidRPr="0076192E" w:rsidRDefault="00C87D2F" w:rsidP="001C5B10">
            <w:pPr>
              <w:pStyle w:val="ListParagraph"/>
              <w:numPr>
                <w:ilvl w:val="0"/>
                <w:numId w:val="11"/>
              </w:numPr>
              <w:ind w:left="342"/>
              <w:rPr>
                <w:rFonts w:ascii="Times New Roman" w:hAnsi="Times New Roman"/>
              </w:rPr>
            </w:pPr>
            <w:r w:rsidRPr="0076192E">
              <w:rPr>
                <w:rFonts w:ascii="Times New Roman" w:hAnsi="Times New Roman"/>
              </w:rPr>
              <w:t>Proposed</w:t>
            </w:r>
            <w:r w:rsidRPr="0076192E" w:rsidDel="001341BB">
              <w:rPr>
                <w:rFonts w:ascii="Times New Roman" w:hAnsi="Times New Roman"/>
              </w:rPr>
              <w:t xml:space="preserve"> </w:t>
            </w:r>
            <w:r w:rsidRPr="0076192E">
              <w:rPr>
                <w:rFonts w:ascii="Times New Roman" w:hAnsi="Times New Roman"/>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76192E" w:rsidRDefault="00C87D2F" w:rsidP="001C5B10">
            <w:pPr>
              <w:pStyle w:val="ListParagraph"/>
              <w:numPr>
                <w:ilvl w:val="0"/>
                <w:numId w:val="11"/>
              </w:numPr>
              <w:ind w:left="342"/>
              <w:rPr>
                <w:rFonts w:ascii="Times New Roman" w:hAnsi="Times New Roman"/>
              </w:rPr>
            </w:pPr>
            <w:r w:rsidRPr="0076192E">
              <w:rPr>
                <w:rFonts w:ascii="Times New Roman" w:hAnsi="Times New Roman"/>
              </w:rPr>
              <w:t>Implications required for the Borrower of estimating and reducing GHG emissions for Bank projects, in line with the proposed standard</w:t>
            </w:r>
          </w:p>
        </w:tc>
        <w:tc>
          <w:tcPr>
            <w:tcW w:w="6300" w:type="dxa"/>
          </w:tcPr>
          <w:p w:rsidR="00C87D2F" w:rsidRPr="0076192E" w:rsidRDefault="00912477" w:rsidP="00C937B5">
            <w:pPr>
              <w:pStyle w:val="ListParagraph"/>
              <w:numPr>
                <w:ilvl w:val="0"/>
                <w:numId w:val="14"/>
              </w:numPr>
              <w:jc w:val="both"/>
              <w:rPr>
                <w:rFonts w:ascii="Times New Roman" w:hAnsi="Times New Roman"/>
              </w:rPr>
            </w:pPr>
            <w:r w:rsidRPr="0076192E">
              <w:rPr>
                <w:rFonts w:ascii="Times New Roman" w:hAnsi="Times New Roman"/>
              </w:rPr>
              <w:t xml:space="preserve">In ESS-3, it is unclear </w:t>
            </w:r>
            <w:r w:rsidR="00C937B5" w:rsidRPr="0076192E">
              <w:rPr>
                <w:rFonts w:ascii="Times New Roman" w:hAnsi="Times New Roman"/>
              </w:rPr>
              <w:t xml:space="preserve">how is the statement “where technically and financially feasible” </w:t>
            </w:r>
            <w:r w:rsidRPr="0076192E">
              <w:rPr>
                <w:rFonts w:ascii="Times New Roman" w:hAnsi="Times New Roman"/>
              </w:rPr>
              <w:t xml:space="preserve">is </w:t>
            </w:r>
            <w:r w:rsidR="00C937B5" w:rsidRPr="0076192E">
              <w:rPr>
                <w:rFonts w:ascii="Times New Roman" w:hAnsi="Times New Roman"/>
              </w:rPr>
              <w:t>consistent with the approaches to and notions of “Best Available Technology” and the “Best Pr</w:t>
            </w:r>
            <w:r w:rsidRPr="0076192E">
              <w:rPr>
                <w:rFonts w:ascii="Times New Roman" w:hAnsi="Times New Roman"/>
              </w:rPr>
              <w:t xml:space="preserve">acticable Environmental Option” in environmental and social impact analysis. It would have been easier to understand if either one of these standards was reflected in the Environmental and Social Standards Framework instead of the current formulation which is rather vague. South Africa has already moved to the “Best Practicable Environmental Option.” </w:t>
            </w:r>
          </w:p>
          <w:p w:rsidR="00444166" w:rsidRPr="0076192E" w:rsidRDefault="001701C8" w:rsidP="00C937B5">
            <w:pPr>
              <w:pStyle w:val="ListParagraph"/>
              <w:numPr>
                <w:ilvl w:val="0"/>
                <w:numId w:val="14"/>
              </w:numPr>
              <w:jc w:val="both"/>
              <w:rPr>
                <w:rFonts w:ascii="Times New Roman" w:hAnsi="Times New Roman"/>
              </w:rPr>
            </w:pPr>
            <w:r w:rsidRPr="0076192E">
              <w:rPr>
                <w:rFonts w:ascii="Times New Roman" w:hAnsi="Times New Roman"/>
              </w:rPr>
              <w:t xml:space="preserve">ESS-3 refers to </w:t>
            </w:r>
            <w:r w:rsidR="00912477" w:rsidRPr="0076192E">
              <w:rPr>
                <w:rFonts w:ascii="Times New Roman" w:hAnsi="Times New Roman"/>
              </w:rPr>
              <w:t>“</w:t>
            </w:r>
            <w:r w:rsidRPr="0076192E">
              <w:rPr>
                <w:rFonts w:ascii="Times New Roman" w:hAnsi="Times New Roman"/>
              </w:rPr>
              <w:t>long-lived and short-lived climate pollutants</w:t>
            </w:r>
            <w:r w:rsidR="00912477" w:rsidRPr="0076192E">
              <w:rPr>
                <w:rFonts w:ascii="Times New Roman" w:hAnsi="Times New Roman"/>
              </w:rPr>
              <w:t>” and it would appear that the use of the term “climate” in this context narrows the scope of obligations. It would be better to rephrase and use the term “environmental” pollutants since it is broader and in line with the comprehensive approach to risk assessment reflected in the Environmental and Social Framework.</w:t>
            </w:r>
          </w:p>
          <w:p w:rsidR="004A0BCA" w:rsidRPr="0076192E" w:rsidRDefault="009924BC" w:rsidP="00C937B5">
            <w:pPr>
              <w:pStyle w:val="ListParagraph"/>
              <w:numPr>
                <w:ilvl w:val="0"/>
                <w:numId w:val="14"/>
              </w:numPr>
              <w:jc w:val="both"/>
              <w:rPr>
                <w:rFonts w:ascii="Times New Roman" w:hAnsi="Times New Roman"/>
              </w:rPr>
            </w:pPr>
            <w:r w:rsidRPr="0076192E">
              <w:rPr>
                <w:rFonts w:ascii="Times New Roman" w:hAnsi="Times New Roman"/>
              </w:rPr>
              <w:t xml:space="preserve">It is not clear </w:t>
            </w:r>
            <w:r w:rsidR="004A0BCA" w:rsidRPr="0076192E">
              <w:rPr>
                <w:rFonts w:ascii="Times New Roman" w:hAnsi="Times New Roman"/>
              </w:rPr>
              <w:t xml:space="preserve">if the Bank would </w:t>
            </w:r>
            <w:r w:rsidRPr="0076192E">
              <w:rPr>
                <w:rFonts w:ascii="Times New Roman" w:hAnsi="Times New Roman"/>
              </w:rPr>
              <w:t xml:space="preserve">continue to </w:t>
            </w:r>
            <w:r w:rsidR="004A0BCA" w:rsidRPr="0076192E">
              <w:rPr>
                <w:rFonts w:ascii="Times New Roman" w:hAnsi="Times New Roman"/>
              </w:rPr>
              <w:t xml:space="preserve">finance </w:t>
            </w:r>
            <w:r w:rsidRPr="0076192E">
              <w:rPr>
                <w:rFonts w:ascii="Times New Roman" w:hAnsi="Times New Roman"/>
              </w:rPr>
              <w:t xml:space="preserve">a project if it became clear that by going ahead with such financing, this would lead to </w:t>
            </w:r>
            <w:r w:rsidR="004A0BCA" w:rsidRPr="0076192E">
              <w:rPr>
                <w:rFonts w:ascii="Times New Roman" w:hAnsi="Times New Roman"/>
              </w:rPr>
              <w:t>high G</w:t>
            </w:r>
            <w:r w:rsidRPr="0076192E">
              <w:rPr>
                <w:rFonts w:ascii="Times New Roman" w:hAnsi="Times New Roman"/>
              </w:rPr>
              <w:t>reen House Gas e</w:t>
            </w:r>
            <w:r w:rsidR="004A0BCA" w:rsidRPr="0076192E">
              <w:rPr>
                <w:rFonts w:ascii="Times New Roman" w:hAnsi="Times New Roman"/>
              </w:rPr>
              <w:t>missions</w:t>
            </w:r>
            <w:r w:rsidRPr="0076192E">
              <w:rPr>
                <w:rFonts w:ascii="Times New Roman" w:hAnsi="Times New Roman"/>
              </w:rPr>
              <w:t>. What the Bank would do needs to be documented in the Framework</w:t>
            </w:r>
            <w:r w:rsidR="004A0BCA" w:rsidRPr="0076192E">
              <w:rPr>
                <w:rFonts w:ascii="Times New Roman" w:hAnsi="Times New Roman"/>
              </w:rPr>
              <w:t xml:space="preserve"> considering that climate change is a major global threat. </w:t>
            </w:r>
          </w:p>
          <w:p w:rsidR="004A0BCA" w:rsidRPr="0076192E" w:rsidRDefault="00A73932" w:rsidP="00C937B5">
            <w:pPr>
              <w:pStyle w:val="ListParagraph"/>
              <w:numPr>
                <w:ilvl w:val="0"/>
                <w:numId w:val="14"/>
              </w:numPr>
              <w:jc w:val="both"/>
              <w:rPr>
                <w:rFonts w:ascii="Times New Roman" w:hAnsi="Times New Roman"/>
              </w:rPr>
            </w:pPr>
            <w:r w:rsidRPr="0076192E">
              <w:rPr>
                <w:rFonts w:ascii="Times New Roman" w:hAnsi="Times New Roman"/>
              </w:rPr>
              <w:t>We recommend that the cap on daily water consumption by projects for water st</w:t>
            </w:r>
            <w:r w:rsidR="001A72B6" w:rsidRPr="0076192E">
              <w:rPr>
                <w:rFonts w:ascii="Times New Roman" w:hAnsi="Times New Roman"/>
              </w:rPr>
              <w:t>ressed countries be reinstated in the Environmental and Social Framework. South Africa is an extremely water stressed country and caps by sector or by industry would be a useful tool for sustainably managing water use by stakeholders</w:t>
            </w:r>
            <w:r w:rsidR="005B7AA9" w:rsidRPr="0076192E">
              <w:rPr>
                <w:rFonts w:ascii="Times New Roman" w:hAnsi="Times New Roman"/>
              </w:rPr>
              <w:t>, including big users such as Eskom</w:t>
            </w:r>
            <w:r w:rsidR="001A72B6" w:rsidRPr="0076192E">
              <w:rPr>
                <w:rFonts w:ascii="Times New Roman" w:hAnsi="Times New Roman"/>
              </w:rPr>
              <w:t xml:space="preserve">. </w:t>
            </w:r>
          </w:p>
          <w:p w:rsidR="004F2239" w:rsidRPr="0076192E" w:rsidRDefault="004F2239" w:rsidP="00C937B5">
            <w:pPr>
              <w:pStyle w:val="ListParagraph"/>
              <w:numPr>
                <w:ilvl w:val="0"/>
                <w:numId w:val="14"/>
              </w:numPr>
              <w:jc w:val="both"/>
              <w:rPr>
                <w:rFonts w:ascii="Times New Roman" w:hAnsi="Times New Roman"/>
              </w:rPr>
            </w:pPr>
            <w:r w:rsidRPr="0076192E">
              <w:rPr>
                <w:rFonts w:ascii="Times New Roman" w:hAnsi="Times New Roman"/>
              </w:rPr>
              <w:t xml:space="preserve">Clarify whether </w:t>
            </w:r>
            <w:r w:rsidR="005B7AA9" w:rsidRPr="0076192E">
              <w:rPr>
                <w:rFonts w:ascii="Times New Roman" w:hAnsi="Times New Roman"/>
              </w:rPr>
              <w:t xml:space="preserve">compliance with the </w:t>
            </w:r>
            <w:r w:rsidRPr="0076192E">
              <w:rPr>
                <w:rFonts w:ascii="Times New Roman" w:hAnsi="Times New Roman"/>
              </w:rPr>
              <w:t xml:space="preserve">Environmental and Social Framework </w:t>
            </w:r>
            <w:r w:rsidR="005B7AA9" w:rsidRPr="0076192E">
              <w:rPr>
                <w:rFonts w:ascii="Times New Roman" w:hAnsi="Times New Roman"/>
              </w:rPr>
              <w:t>would include an</w:t>
            </w:r>
            <w:r w:rsidRPr="0076192E">
              <w:rPr>
                <w:rFonts w:ascii="Times New Roman" w:hAnsi="Times New Roman"/>
              </w:rPr>
              <w:t xml:space="preserve"> assessment of </w:t>
            </w:r>
            <w:r w:rsidR="005B7AA9" w:rsidRPr="0076192E">
              <w:rPr>
                <w:rFonts w:ascii="Times New Roman" w:hAnsi="Times New Roman"/>
              </w:rPr>
              <w:t>the financially stressed situation of Eskom at the moment. In our view, this is important since it would show whether Eskom can im</w:t>
            </w:r>
            <w:r w:rsidRPr="0076192E">
              <w:rPr>
                <w:rFonts w:ascii="Times New Roman" w:hAnsi="Times New Roman"/>
              </w:rPr>
              <w:t>prove energy access</w:t>
            </w:r>
            <w:r w:rsidR="005B7AA9" w:rsidRPr="0076192E">
              <w:rPr>
                <w:rFonts w:ascii="Times New Roman" w:hAnsi="Times New Roman"/>
              </w:rPr>
              <w:t xml:space="preserve"> and promote</w:t>
            </w:r>
            <w:r w:rsidRPr="0076192E">
              <w:rPr>
                <w:rFonts w:ascii="Times New Roman" w:hAnsi="Times New Roman"/>
              </w:rPr>
              <w:t xml:space="preserve"> greener and renewable energy.</w:t>
            </w:r>
          </w:p>
          <w:p w:rsidR="004F2239" w:rsidRPr="0076192E" w:rsidRDefault="004F2239" w:rsidP="00C937B5">
            <w:pPr>
              <w:pStyle w:val="ListParagraph"/>
              <w:numPr>
                <w:ilvl w:val="0"/>
                <w:numId w:val="14"/>
              </w:numPr>
              <w:jc w:val="both"/>
              <w:rPr>
                <w:rFonts w:ascii="Times New Roman" w:hAnsi="Times New Roman"/>
              </w:rPr>
            </w:pPr>
            <w:r w:rsidRPr="0076192E">
              <w:rPr>
                <w:rFonts w:ascii="Times New Roman" w:hAnsi="Times New Roman"/>
              </w:rPr>
              <w:t>Clarify compliance with air quality emission requirements as per South African standards for Eskom in view of its postponement application for F</w:t>
            </w:r>
            <w:r w:rsidR="00D814D0" w:rsidRPr="0076192E">
              <w:rPr>
                <w:rFonts w:ascii="Times New Roman" w:hAnsi="Times New Roman"/>
              </w:rPr>
              <w:t xml:space="preserve">lu Gas </w:t>
            </w:r>
            <w:r w:rsidR="00597F60" w:rsidRPr="0076192E">
              <w:rPr>
                <w:rFonts w:ascii="Times New Roman" w:hAnsi="Times New Roman"/>
              </w:rPr>
              <w:t>Desulphurization</w:t>
            </w:r>
            <w:r w:rsidRPr="0076192E">
              <w:rPr>
                <w:rFonts w:ascii="Times New Roman" w:hAnsi="Times New Roman"/>
              </w:rPr>
              <w:t xml:space="preserve"> commissioning</w:t>
            </w:r>
            <w:r w:rsidR="009E5490" w:rsidRPr="0076192E">
              <w:rPr>
                <w:rFonts w:ascii="Times New Roman" w:hAnsi="Times New Roman"/>
              </w:rPr>
              <w:t xml:space="preserve"> at Medupi and water stressed environment.</w:t>
            </w:r>
          </w:p>
          <w:p w:rsidR="001701C8" w:rsidRPr="0076192E" w:rsidRDefault="003F25ED" w:rsidP="005B7AA9">
            <w:pPr>
              <w:pStyle w:val="ListParagraph"/>
              <w:numPr>
                <w:ilvl w:val="0"/>
                <w:numId w:val="14"/>
              </w:numPr>
              <w:jc w:val="both"/>
              <w:rPr>
                <w:rFonts w:ascii="Times New Roman" w:hAnsi="Times New Roman"/>
              </w:rPr>
            </w:pPr>
            <w:r w:rsidRPr="0076192E">
              <w:rPr>
                <w:rFonts w:ascii="Times New Roman" w:hAnsi="Times New Roman"/>
              </w:rPr>
              <w:t xml:space="preserve">Clarify how </w:t>
            </w:r>
            <w:r w:rsidR="005B7AA9" w:rsidRPr="0076192E">
              <w:rPr>
                <w:rFonts w:ascii="Times New Roman" w:hAnsi="Times New Roman"/>
              </w:rPr>
              <w:t xml:space="preserve">the </w:t>
            </w:r>
            <w:r w:rsidRPr="0076192E">
              <w:rPr>
                <w:rFonts w:ascii="Times New Roman" w:hAnsi="Times New Roman"/>
              </w:rPr>
              <w:t>Environmental and Social Framework will address the issue of acid mine drainage in the Waterbug District where Eskom reportedly has a mine.</w:t>
            </w:r>
          </w:p>
        </w:tc>
      </w:tr>
      <w:tr w:rsidR="00944F46" w:rsidRPr="0076192E" w:rsidTr="0076192E">
        <w:trPr>
          <w:jc w:val="center"/>
        </w:trPr>
        <w:tc>
          <w:tcPr>
            <w:tcW w:w="985"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rPr>
              <w:lastRenderedPageBreak/>
              <w:t>ESS5</w:t>
            </w:r>
          </w:p>
        </w:tc>
        <w:tc>
          <w:tcPr>
            <w:tcW w:w="1980"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rPr>
              <w:t>Land acquisition and involuntary resettlement</w:t>
            </w:r>
          </w:p>
        </w:tc>
        <w:tc>
          <w:tcPr>
            <w:tcW w:w="4770" w:type="dxa"/>
            <w:shd w:val="clear" w:color="auto" w:fill="E7E6E6" w:themeFill="background2"/>
          </w:tcPr>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 xml:space="preserve">Treatment and rights of informal occupants and approach to forced evictions in situations unrelated to land acquisitions </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 xml:space="preserve">Interpretation of the concept of resettlement as a “development opportunity” in different project circumstances </w:t>
            </w:r>
          </w:p>
        </w:tc>
        <w:tc>
          <w:tcPr>
            <w:tcW w:w="6300" w:type="dxa"/>
          </w:tcPr>
          <w:p w:rsidR="00444166" w:rsidRPr="0076192E" w:rsidRDefault="00D814D0" w:rsidP="00D814D0">
            <w:pPr>
              <w:pStyle w:val="ListParagraph"/>
              <w:numPr>
                <w:ilvl w:val="0"/>
                <w:numId w:val="14"/>
              </w:numPr>
              <w:jc w:val="both"/>
              <w:rPr>
                <w:rFonts w:ascii="Times New Roman" w:hAnsi="Times New Roman"/>
              </w:rPr>
            </w:pPr>
            <w:r w:rsidRPr="0076192E">
              <w:rPr>
                <w:rFonts w:ascii="Times New Roman" w:hAnsi="Times New Roman"/>
              </w:rPr>
              <w:t xml:space="preserve">In the context of </w:t>
            </w:r>
            <w:r w:rsidR="00C937B5" w:rsidRPr="0076192E">
              <w:rPr>
                <w:rFonts w:ascii="Times New Roman" w:hAnsi="Times New Roman"/>
              </w:rPr>
              <w:t>ESS-5</w:t>
            </w:r>
            <w:r w:rsidRPr="0076192E">
              <w:rPr>
                <w:rFonts w:ascii="Times New Roman" w:hAnsi="Times New Roman"/>
              </w:rPr>
              <w:t>, it is worth considering that</w:t>
            </w:r>
            <w:r w:rsidR="00C937B5" w:rsidRPr="0076192E">
              <w:rPr>
                <w:rFonts w:ascii="Times New Roman" w:hAnsi="Times New Roman"/>
              </w:rPr>
              <w:t xml:space="preserve"> traditional leaders are gatekeepers and they may not always reflect or represent the views of the communities concerned. This raises the issue of </w:t>
            </w:r>
            <w:r w:rsidRPr="0076192E">
              <w:rPr>
                <w:rFonts w:ascii="Times New Roman" w:hAnsi="Times New Roman"/>
              </w:rPr>
              <w:t>the representation and elite capture and the degree to which such leaders represent the interests of the communities. W</w:t>
            </w:r>
            <w:r w:rsidR="00444166" w:rsidRPr="0076192E">
              <w:rPr>
                <w:rFonts w:ascii="Times New Roman" w:hAnsi="Times New Roman"/>
              </w:rPr>
              <w:t xml:space="preserve">orking through traditional leaders </w:t>
            </w:r>
            <w:r w:rsidRPr="0076192E">
              <w:rPr>
                <w:rFonts w:ascii="Times New Roman" w:hAnsi="Times New Roman"/>
              </w:rPr>
              <w:t xml:space="preserve">in consultations on land-related issues would make a lot of sense if it were clear that they are truly </w:t>
            </w:r>
            <w:r w:rsidR="00444166" w:rsidRPr="0076192E">
              <w:rPr>
                <w:rFonts w:ascii="Times New Roman" w:hAnsi="Times New Roman"/>
              </w:rPr>
              <w:t xml:space="preserve">representative </w:t>
            </w:r>
            <w:r w:rsidRPr="0076192E">
              <w:rPr>
                <w:rFonts w:ascii="Times New Roman" w:hAnsi="Times New Roman"/>
              </w:rPr>
              <w:t xml:space="preserve">of community views. We recommend that ESS-5 make clear that </w:t>
            </w:r>
            <w:r w:rsidR="00444166" w:rsidRPr="0076192E">
              <w:rPr>
                <w:rFonts w:ascii="Times New Roman" w:hAnsi="Times New Roman"/>
              </w:rPr>
              <w:t>consultation processes should reach the stakeholders directly.</w:t>
            </w:r>
          </w:p>
          <w:p w:rsidR="004540ED" w:rsidRPr="0076192E" w:rsidRDefault="004540ED" w:rsidP="00C937B5">
            <w:pPr>
              <w:pStyle w:val="ListParagraph"/>
              <w:numPr>
                <w:ilvl w:val="0"/>
                <w:numId w:val="14"/>
              </w:numPr>
              <w:jc w:val="both"/>
              <w:rPr>
                <w:rFonts w:ascii="Times New Roman" w:hAnsi="Times New Roman"/>
              </w:rPr>
            </w:pPr>
            <w:r w:rsidRPr="0076192E">
              <w:rPr>
                <w:rFonts w:ascii="Times New Roman" w:hAnsi="Times New Roman"/>
              </w:rPr>
              <w:t xml:space="preserve">With regard to gender, the Bank needs to clarify what has been reflected in ESS-5 to </w:t>
            </w:r>
            <w:r w:rsidR="00D814D0" w:rsidRPr="0076192E">
              <w:rPr>
                <w:rFonts w:ascii="Times New Roman" w:hAnsi="Times New Roman"/>
              </w:rPr>
              <w:t xml:space="preserve">make it more gender responsive and how it fits within the broader agenda of taking gender issues into account in the development process. </w:t>
            </w:r>
          </w:p>
        </w:tc>
      </w:tr>
      <w:tr w:rsidR="00944F46" w:rsidRPr="0076192E" w:rsidTr="0076192E">
        <w:trPr>
          <w:jc w:val="center"/>
        </w:trPr>
        <w:tc>
          <w:tcPr>
            <w:tcW w:w="985"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rPr>
              <w:t>ESS6</w:t>
            </w:r>
          </w:p>
        </w:tc>
        <w:tc>
          <w:tcPr>
            <w:tcW w:w="1980"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rPr>
              <w:t>Biodiversity</w:t>
            </w:r>
          </w:p>
        </w:tc>
        <w:tc>
          <w:tcPr>
            <w:tcW w:w="4770" w:type="dxa"/>
            <w:shd w:val="clear" w:color="auto" w:fill="E7E6E6" w:themeFill="background2"/>
          </w:tcPr>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Operationalization of the provisions on primary suppliers and ecosystem services, especially in situation with low capacity</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Role of national law with regard to protecting and conserving natural and critical habitats</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 xml:space="preserve">Criteria for biodiversity offsets, including consideration of project benefits </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Definition and application of net gains for biodiversity</w:t>
            </w:r>
          </w:p>
        </w:tc>
        <w:tc>
          <w:tcPr>
            <w:tcW w:w="6300" w:type="dxa"/>
          </w:tcPr>
          <w:p w:rsidR="00944F46" w:rsidRPr="0076192E" w:rsidRDefault="00C937B5" w:rsidP="00C937B5">
            <w:pPr>
              <w:pStyle w:val="ListParagraph"/>
              <w:numPr>
                <w:ilvl w:val="0"/>
                <w:numId w:val="15"/>
              </w:numPr>
              <w:jc w:val="both"/>
              <w:rPr>
                <w:rFonts w:ascii="Times New Roman" w:hAnsi="Times New Roman"/>
              </w:rPr>
            </w:pPr>
            <w:r w:rsidRPr="0076192E">
              <w:rPr>
                <w:rFonts w:ascii="Times New Roman" w:hAnsi="Times New Roman"/>
              </w:rPr>
              <w:t>In the mitigation hierarchy, we understand that offset is a last resort. Looking at most African countries there may be no national policy or law on offsetting. In this case the Bank standards would be more stringent and ought to be applicable in order to realize a good quality offset outcome.</w:t>
            </w:r>
          </w:p>
          <w:p w:rsidR="00A66E30" w:rsidRPr="0076192E" w:rsidRDefault="00A66E30" w:rsidP="00C937B5">
            <w:pPr>
              <w:pStyle w:val="ListParagraph"/>
              <w:numPr>
                <w:ilvl w:val="0"/>
                <w:numId w:val="15"/>
              </w:numPr>
              <w:jc w:val="both"/>
              <w:rPr>
                <w:rFonts w:ascii="Times New Roman" w:hAnsi="Times New Roman"/>
              </w:rPr>
            </w:pPr>
            <w:r w:rsidRPr="0076192E">
              <w:rPr>
                <w:rFonts w:ascii="Times New Roman" w:hAnsi="Times New Roman"/>
              </w:rPr>
              <w:t xml:space="preserve">It is important for the Bank to take into account livelihoods issues and impacts on such livelihoods including attention to medium and long-term impacts. </w:t>
            </w:r>
            <w:r w:rsidR="00436658" w:rsidRPr="0076192E">
              <w:rPr>
                <w:rFonts w:ascii="Times New Roman" w:hAnsi="Times New Roman"/>
              </w:rPr>
              <w:t>We therefore welcome the greater emphasis on broader social risk analysis including in the context of biodiversity</w:t>
            </w:r>
          </w:p>
        </w:tc>
      </w:tr>
      <w:tr w:rsidR="00944F46" w:rsidRPr="0076192E" w:rsidTr="0076192E">
        <w:trPr>
          <w:jc w:val="center"/>
        </w:trPr>
        <w:tc>
          <w:tcPr>
            <w:tcW w:w="985" w:type="dxa"/>
            <w:shd w:val="clear" w:color="auto" w:fill="E7E6E6" w:themeFill="background2"/>
          </w:tcPr>
          <w:p w:rsidR="00944F46" w:rsidRPr="0076192E" w:rsidRDefault="00944F46" w:rsidP="00444D49">
            <w:pPr>
              <w:rPr>
                <w:rFonts w:ascii="Times New Roman" w:hAnsi="Times New Roman" w:cs="Times New Roman"/>
                <w:color w:val="000000"/>
              </w:rPr>
            </w:pPr>
            <w:r w:rsidRPr="0076192E">
              <w:rPr>
                <w:rFonts w:ascii="Times New Roman" w:hAnsi="Times New Roman" w:cs="Times New Roman"/>
                <w:color w:val="000000"/>
              </w:rPr>
              <w:t>ESS7</w:t>
            </w:r>
          </w:p>
        </w:tc>
        <w:tc>
          <w:tcPr>
            <w:tcW w:w="1980"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color w:val="000000"/>
              </w:rPr>
              <w:t>Indigenous Peoples</w:t>
            </w:r>
          </w:p>
        </w:tc>
        <w:tc>
          <w:tcPr>
            <w:tcW w:w="4770" w:type="dxa"/>
            <w:shd w:val="clear" w:color="auto" w:fill="E7E6E6" w:themeFill="background2"/>
          </w:tcPr>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color w:val="000000"/>
              </w:rPr>
              <w:t xml:space="preserve">Implementation of the Indigenous Peoples standard in complex </w:t>
            </w:r>
            <w:r w:rsidRPr="0076192E">
              <w:rPr>
                <w:rFonts w:ascii="Times New Roman" w:hAnsi="Times New Roman"/>
              </w:rPr>
              <w:t>political and cultural contexts</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 xml:space="preserve">Implementation of ESS7 in countries where the constitution does not acknowledge Indigenous Peoples or only recognizes certain groups as indigenous </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Possible approaches to reflect alternative terminologies used in different countries to describe Indigenous Peoples</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color w:val="000000"/>
              </w:rPr>
              <w:t>Criteria for establishing and implementation of Free, Prior and Informed Consent (FPIC)</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color w:val="000000"/>
              </w:rPr>
              <w:t>Application of FPIC to impacts on Indigenous Peoples’ cultural heritage</w:t>
            </w:r>
          </w:p>
        </w:tc>
        <w:tc>
          <w:tcPr>
            <w:tcW w:w="6300" w:type="dxa"/>
          </w:tcPr>
          <w:p w:rsidR="00A92E95" w:rsidRPr="0076192E" w:rsidRDefault="00C81F84" w:rsidP="00C81F84">
            <w:pPr>
              <w:pStyle w:val="ListParagraph"/>
              <w:numPr>
                <w:ilvl w:val="0"/>
                <w:numId w:val="18"/>
              </w:numPr>
              <w:jc w:val="both"/>
              <w:rPr>
                <w:rFonts w:ascii="Times New Roman" w:hAnsi="Times New Roman"/>
                <w:color w:val="000000"/>
              </w:rPr>
            </w:pPr>
            <w:r w:rsidRPr="0076192E">
              <w:rPr>
                <w:rFonts w:ascii="Times New Roman" w:hAnsi="Times New Roman"/>
                <w:color w:val="000000"/>
              </w:rPr>
              <w:t xml:space="preserve">Explain whether there will be further guidance on the operationalization of FPIC in a project context and whether such guidance will be tailored to relevant regional circumstances. Please clarify whether such guidance will be mandatory. </w:t>
            </w:r>
          </w:p>
          <w:p w:rsidR="00DC6529" w:rsidRPr="0076192E" w:rsidRDefault="00DC6529" w:rsidP="00C81F84">
            <w:pPr>
              <w:pStyle w:val="ListParagraph"/>
              <w:numPr>
                <w:ilvl w:val="0"/>
                <w:numId w:val="18"/>
              </w:numPr>
              <w:jc w:val="both"/>
              <w:rPr>
                <w:rFonts w:ascii="Times New Roman" w:hAnsi="Times New Roman"/>
                <w:color w:val="000000"/>
              </w:rPr>
            </w:pPr>
            <w:r w:rsidRPr="0076192E">
              <w:rPr>
                <w:rFonts w:ascii="Times New Roman" w:hAnsi="Times New Roman"/>
                <w:color w:val="000000"/>
              </w:rPr>
              <w:t xml:space="preserve">Clarify whether the Bank’s </w:t>
            </w:r>
            <w:r w:rsidRPr="0076192E">
              <w:rPr>
                <w:rFonts w:ascii="Times New Roman" w:hAnsi="Times New Roman"/>
              </w:rPr>
              <w:t xml:space="preserve">Environmental and Social Framework </w:t>
            </w:r>
            <w:r w:rsidR="00E70677" w:rsidRPr="0076192E">
              <w:rPr>
                <w:rFonts w:ascii="Times New Roman" w:hAnsi="Times New Roman"/>
              </w:rPr>
              <w:t xml:space="preserve">would </w:t>
            </w:r>
            <w:r w:rsidRPr="0076192E">
              <w:rPr>
                <w:rFonts w:ascii="Times New Roman" w:hAnsi="Times New Roman"/>
              </w:rPr>
              <w:t>sup</w:t>
            </w:r>
            <w:r w:rsidR="00E70677" w:rsidRPr="0076192E">
              <w:rPr>
                <w:rFonts w:ascii="Times New Roman" w:hAnsi="Times New Roman"/>
              </w:rPr>
              <w:t xml:space="preserve">plant or override national law and what this means for those countries that do not require FPIC particularly for projects in the mining or extractives sector.  </w:t>
            </w:r>
          </w:p>
          <w:p w:rsidR="00655FD4" w:rsidRPr="0076192E" w:rsidRDefault="00655FD4" w:rsidP="00E70677">
            <w:pPr>
              <w:pStyle w:val="ListParagraph"/>
              <w:numPr>
                <w:ilvl w:val="0"/>
                <w:numId w:val="18"/>
              </w:numPr>
              <w:jc w:val="both"/>
              <w:rPr>
                <w:rFonts w:ascii="Times New Roman" w:hAnsi="Times New Roman"/>
                <w:color w:val="000000"/>
              </w:rPr>
            </w:pPr>
            <w:r w:rsidRPr="0076192E">
              <w:rPr>
                <w:rFonts w:ascii="Times New Roman" w:hAnsi="Times New Roman"/>
              </w:rPr>
              <w:t xml:space="preserve">Collaboration and exchange with the African Commission on Human and Peoples’ Rights would be </w:t>
            </w:r>
            <w:r w:rsidR="00E70677" w:rsidRPr="0076192E">
              <w:rPr>
                <w:rFonts w:ascii="Times New Roman" w:hAnsi="Times New Roman"/>
              </w:rPr>
              <w:t>important</w:t>
            </w:r>
            <w:r w:rsidRPr="0076192E">
              <w:rPr>
                <w:rFonts w:ascii="Times New Roman" w:hAnsi="Times New Roman"/>
              </w:rPr>
              <w:t xml:space="preserve"> and there are good lessons to draw which may ultimately prove useful in implementing the proposed Environmental and Social Framework. </w:t>
            </w:r>
          </w:p>
        </w:tc>
      </w:tr>
      <w:tr w:rsidR="00944F46" w:rsidRPr="0076192E" w:rsidTr="0076192E">
        <w:trPr>
          <w:jc w:val="center"/>
        </w:trPr>
        <w:tc>
          <w:tcPr>
            <w:tcW w:w="985"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rPr>
              <w:lastRenderedPageBreak/>
              <w:t>ESS8</w:t>
            </w:r>
          </w:p>
        </w:tc>
        <w:tc>
          <w:tcPr>
            <w:tcW w:w="1980"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rPr>
              <w:t>Cultural Heritage</w:t>
            </w:r>
          </w:p>
        </w:tc>
        <w:tc>
          <w:tcPr>
            <w:tcW w:w="4770" w:type="dxa"/>
            <w:shd w:val="clear" w:color="auto" w:fill="E7E6E6" w:themeFill="background2"/>
          </w:tcPr>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 xml:space="preserve">Treatment of intangible cultural heritage </w:t>
            </w:r>
          </w:p>
          <w:p w:rsidR="00944F46" w:rsidRPr="0076192E" w:rsidRDefault="00944F46" w:rsidP="00F33086">
            <w:pPr>
              <w:pStyle w:val="ListParagraph"/>
              <w:numPr>
                <w:ilvl w:val="0"/>
                <w:numId w:val="11"/>
              </w:numPr>
              <w:ind w:left="342"/>
              <w:rPr>
                <w:rFonts w:ascii="Times New Roman" w:hAnsi="Times New Roman"/>
              </w:rPr>
            </w:pPr>
            <w:r w:rsidRPr="0076192E">
              <w:rPr>
                <w:rFonts w:ascii="Times New Roman" w:hAnsi="Times New Roman"/>
              </w:rPr>
              <w:t>Application of intangible cultural heritage when the project intends to commercialize such heritage</w:t>
            </w:r>
            <w:r w:rsidR="00F33086" w:rsidRPr="0076192E">
              <w:rPr>
                <w:rFonts w:ascii="Times New Roman" w:hAnsi="Times New Roman"/>
              </w:rPr>
              <w:t xml:space="preserve">. </w:t>
            </w:r>
          </w:p>
        </w:tc>
        <w:tc>
          <w:tcPr>
            <w:tcW w:w="6300" w:type="dxa"/>
          </w:tcPr>
          <w:p w:rsidR="00944F46" w:rsidRPr="0076192E" w:rsidRDefault="00A73932" w:rsidP="00E70677">
            <w:pPr>
              <w:pStyle w:val="ListParagraph"/>
              <w:numPr>
                <w:ilvl w:val="0"/>
                <w:numId w:val="19"/>
              </w:numPr>
              <w:jc w:val="both"/>
              <w:rPr>
                <w:rFonts w:ascii="Times New Roman" w:hAnsi="Times New Roman"/>
              </w:rPr>
            </w:pPr>
            <w:r w:rsidRPr="0076192E">
              <w:rPr>
                <w:rFonts w:ascii="Times New Roman" w:hAnsi="Times New Roman"/>
              </w:rPr>
              <w:t xml:space="preserve">Explain what the Bank would do to handle the </w:t>
            </w:r>
            <w:r w:rsidR="00E70677" w:rsidRPr="0076192E">
              <w:rPr>
                <w:rFonts w:ascii="Times New Roman" w:hAnsi="Times New Roman"/>
              </w:rPr>
              <w:t xml:space="preserve">still outstanding </w:t>
            </w:r>
            <w:r w:rsidRPr="0076192E">
              <w:rPr>
                <w:rFonts w:ascii="Times New Roman" w:hAnsi="Times New Roman"/>
              </w:rPr>
              <w:t xml:space="preserve">issue of sacred graves in the Medupi site identified during </w:t>
            </w:r>
            <w:r w:rsidR="00F35989" w:rsidRPr="0076192E">
              <w:rPr>
                <w:rFonts w:ascii="Times New Roman" w:hAnsi="Times New Roman"/>
              </w:rPr>
              <w:t xml:space="preserve">the </w:t>
            </w:r>
            <w:r w:rsidRPr="0076192E">
              <w:rPr>
                <w:rFonts w:ascii="Times New Roman" w:hAnsi="Times New Roman"/>
              </w:rPr>
              <w:t>implementation</w:t>
            </w:r>
            <w:r w:rsidR="00F35989" w:rsidRPr="0076192E">
              <w:rPr>
                <w:rFonts w:ascii="Times New Roman" w:hAnsi="Times New Roman"/>
              </w:rPr>
              <w:t xml:space="preserve"> of the Eskom project</w:t>
            </w:r>
            <w:r w:rsidRPr="0076192E">
              <w:rPr>
                <w:rFonts w:ascii="Times New Roman" w:hAnsi="Times New Roman"/>
              </w:rPr>
              <w:t xml:space="preserve">. </w:t>
            </w:r>
          </w:p>
        </w:tc>
      </w:tr>
      <w:tr w:rsidR="00944F46" w:rsidRPr="0076192E" w:rsidTr="0076192E">
        <w:trPr>
          <w:jc w:val="center"/>
        </w:trPr>
        <w:tc>
          <w:tcPr>
            <w:tcW w:w="985" w:type="dxa"/>
            <w:shd w:val="clear" w:color="auto" w:fill="E7E6E6" w:themeFill="background2"/>
          </w:tcPr>
          <w:p w:rsidR="00944F46" w:rsidRPr="0076192E" w:rsidRDefault="00944F46" w:rsidP="00444D49">
            <w:pPr>
              <w:rPr>
                <w:rFonts w:ascii="Times New Roman" w:hAnsi="Times New Roman" w:cs="Times New Roman"/>
              </w:rPr>
            </w:pPr>
            <w:r w:rsidRPr="0076192E">
              <w:rPr>
                <w:rFonts w:ascii="Times New Roman" w:hAnsi="Times New Roman" w:cs="Times New Roman"/>
              </w:rPr>
              <w:t>ESS10</w:t>
            </w:r>
          </w:p>
        </w:tc>
        <w:tc>
          <w:tcPr>
            <w:tcW w:w="1980" w:type="dxa"/>
            <w:shd w:val="clear" w:color="auto" w:fill="E7E6E6" w:themeFill="background2"/>
          </w:tcPr>
          <w:p w:rsidR="00944F46" w:rsidRPr="0076192E" w:rsidRDefault="00944F46" w:rsidP="00071BD2">
            <w:pPr>
              <w:rPr>
                <w:rFonts w:ascii="Times New Roman" w:hAnsi="Times New Roman" w:cs="Times New Roman"/>
              </w:rPr>
            </w:pPr>
            <w:r w:rsidRPr="0076192E">
              <w:rPr>
                <w:rFonts w:ascii="Times New Roman" w:hAnsi="Times New Roman" w:cs="Times New Roman"/>
              </w:rPr>
              <w:t>Stakeholder engagement</w:t>
            </w:r>
          </w:p>
        </w:tc>
        <w:tc>
          <w:tcPr>
            <w:tcW w:w="4770" w:type="dxa"/>
            <w:shd w:val="clear" w:color="auto" w:fill="E7E6E6" w:themeFill="background2"/>
          </w:tcPr>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Definition and identification of project stakeholders and nature of engagement</w:t>
            </w:r>
          </w:p>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Role of borrowing countries or implementing agencies in identifying project stakeholders</w:t>
            </w:r>
          </w:p>
        </w:tc>
        <w:tc>
          <w:tcPr>
            <w:tcW w:w="6300" w:type="dxa"/>
          </w:tcPr>
          <w:p w:rsidR="00944F46" w:rsidRPr="0076192E" w:rsidRDefault="00C937B5" w:rsidP="00C937B5">
            <w:pPr>
              <w:pStyle w:val="ListParagraph"/>
              <w:numPr>
                <w:ilvl w:val="0"/>
                <w:numId w:val="15"/>
              </w:numPr>
              <w:jc w:val="both"/>
              <w:rPr>
                <w:rFonts w:ascii="Times New Roman" w:hAnsi="Times New Roman"/>
              </w:rPr>
            </w:pPr>
            <w:r w:rsidRPr="0076192E">
              <w:rPr>
                <w:rFonts w:ascii="Times New Roman" w:hAnsi="Times New Roman"/>
              </w:rPr>
              <w:t>Affected stakeholders need to be included in conversations such as this. There are imbalances in terms of access to information for rural communities and people on the ground level may not access to such infor</w:t>
            </w:r>
            <w:r w:rsidR="00F33086" w:rsidRPr="0076192E">
              <w:rPr>
                <w:rFonts w:ascii="Times New Roman" w:hAnsi="Times New Roman"/>
              </w:rPr>
              <w:t xml:space="preserve">mation. Additional channels of communication are vitally important </w:t>
            </w:r>
            <w:r w:rsidRPr="0076192E">
              <w:rPr>
                <w:rFonts w:ascii="Times New Roman" w:hAnsi="Times New Roman"/>
              </w:rPr>
              <w:t xml:space="preserve">in such situations and </w:t>
            </w:r>
            <w:r w:rsidR="00F33086" w:rsidRPr="0076192E">
              <w:rPr>
                <w:rFonts w:ascii="Times New Roman" w:hAnsi="Times New Roman"/>
              </w:rPr>
              <w:t xml:space="preserve">ought to be </w:t>
            </w:r>
            <w:r w:rsidRPr="0076192E">
              <w:rPr>
                <w:rFonts w:ascii="Times New Roman" w:hAnsi="Times New Roman"/>
              </w:rPr>
              <w:t>reflected in the Environmental and Social Framework.</w:t>
            </w:r>
          </w:p>
          <w:p w:rsidR="00E0061B" w:rsidRPr="0076192E" w:rsidRDefault="00B066A7" w:rsidP="00F33086">
            <w:pPr>
              <w:pStyle w:val="ListParagraph"/>
              <w:numPr>
                <w:ilvl w:val="0"/>
                <w:numId w:val="15"/>
              </w:numPr>
              <w:jc w:val="both"/>
              <w:rPr>
                <w:rFonts w:ascii="Times New Roman" w:hAnsi="Times New Roman"/>
              </w:rPr>
            </w:pPr>
            <w:r w:rsidRPr="0076192E">
              <w:rPr>
                <w:rFonts w:ascii="Times New Roman" w:hAnsi="Times New Roman"/>
              </w:rPr>
              <w:t xml:space="preserve">Impacted communities should be directly consulted through the </w:t>
            </w:r>
            <w:r w:rsidR="00F33086" w:rsidRPr="0076192E">
              <w:rPr>
                <w:rFonts w:ascii="Times New Roman" w:hAnsi="Times New Roman"/>
              </w:rPr>
              <w:t xml:space="preserve">stakeholder engagement process spelt out in the </w:t>
            </w:r>
            <w:r w:rsidRPr="0076192E">
              <w:rPr>
                <w:rFonts w:ascii="Times New Roman" w:hAnsi="Times New Roman"/>
              </w:rPr>
              <w:t xml:space="preserve">Environmental and Social Framework because these stakeholders are the only ones that understand project impacts first-hand. </w:t>
            </w:r>
            <w:r w:rsidR="00F33086" w:rsidRPr="0076192E">
              <w:rPr>
                <w:rFonts w:ascii="Times New Roman" w:hAnsi="Times New Roman"/>
              </w:rPr>
              <w:t>For example,</w:t>
            </w:r>
            <w:r w:rsidRPr="0076192E">
              <w:rPr>
                <w:rFonts w:ascii="Times New Roman" w:hAnsi="Times New Roman"/>
              </w:rPr>
              <w:t xml:space="preserve"> </w:t>
            </w:r>
            <w:r w:rsidR="00F33086" w:rsidRPr="0076192E">
              <w:rPr>
                <w:rFonts w:ascii="Times New Roman" w:hAnsi="Times New Roman"/>
              </w:rPr>
              <w:t xml:space="preserve">the communities affected by the </w:t>
            </w:r>
            <w:r w:rsidRPr="0076192E">
              <w:rPr>
                <w:rFonts w:ascii="Times New Roman" w:hAnsi="Times New Roman"/>
              </w:rPr>
              <w:t>Lesotho Highlands Water Project</w:t>
            </w:r>
            <w:r w:rsidR="00F33086" w:rsidRPr="0076192E">
              <w:rPr>
                <w:rFonts w:ascii="Times New Roman" w:hAnsi="Times New Roman"/>
              </w:rPr>
              <w:t xml:space="preserve"> are not represented at this consultations and they ought to be</w:t>
            </w:r>
            <w:r w:rsidRPr="0076192E">
              <w:rPr>
                <w:rFonts w:ascii="Times New Roman" w:hAnsi="Times New Roman"/>
              </w:rPr>
              <w:t xml:space="preserve">. </w:t>
            </w:r>
            <w:r w:rsidR="00F635F5" w:rsidRPr="0076192E">
              <w:rPr>
                <w:rFonts w:ascii="Times New Roman" w:hAnsi="Times New Roman"/>
              </w:rPr>
              <w:t xml:space="preserve">It is an injustice </w:t>
            </w:r>
            <w:r w:rsidR="00500A59" w:rsidRPr="0076192E">
              <w:rPr>
                <w:rFonts w:ascii="Times New Roman" w:hAnsi="Times New Roman"/>
              </w:rPr>
              <w:t xml:space="preserve">not to have brought in affected communities. </w:t>
            </w:r>
          </w:p>
        </w:tc>
      </w:tr>
      <w:tr w:rsidR="00944F46" w:rsidRPr="0076192E" w:rsidTr="0076192E">
        <w:trPr>
          <w:jc w:val="center"/>
        </w:trPr>
        <w:tc>
          <w:tcPr>
            <w:tcW w:w="985" w:type="dxa"/>
            <w:shd w:val="clear" w:color="auto" w:fill="E7E6E6" w:themeFill="background2"/>
          </w:tcPr>
          <w:p w:rsidR="00394766" w:rsidRPr="0076192E" w:rsidRDefault="00394766" w:rsidP="00394766">
            <w:pPr>
              <w:rPr>
                <w:rFonts w:ascii="Times New Roman" w:hAnsi="Times New Roman" w:cs="Times New Roman"/>
              </w:rPr>
            </w:pPr>
            <w:r w:rsidRPr="0076192E">
              <w:rPr>
                <w:rFonts w:ascii="Times New Roman" w:hAnsi="Times New Roman" w:cs="Times New Roman"/>
              </w:rPr>
              <w:t>General</w:t>
            </w:r>
          </w:p>
          <w:p w:rsidR="00944F46" w:rsidRPr="0076192E" w:rsidRDefault="00944F46" w:rsidP="00F019A5">
            <w:pPr>
              <w:rPr>
                <w:rFonts w:ascii="Times New Roman" w:hAnsi="Times New Roman" w:cs="Times New Roman"/>
                <w:color w:val="000000"/>
              </w:rPr>
            </w:pPr>
          </w:p>
        </w:tc>
        <w:tc>
          <w:tcPr>
            <w:tcW w:w="1980" w:type="dxa"/>
            <w:shd w:val="clear" w:color="auto" w:fill="E7E6E6" w:themeFill="background2"/>
          </w:tcPr>
          <w:p w:rsidR="00944F46" w:rsidRPr="0076192E" w:rsidRDefault="00944F46" w:rsidP="00F019A5">
            <w:pPr>
              <w:rPr>
                <w:rFonts w:ascii="Times New Roman" w:hAnsi="Times New Roman" w:cs="Times New Roman"/>
                <w:color w:val="000000"/>
              </w:rPr>
            </w:pPr>
            <w:r w:rsidRPr="0076192E">
              <w:rPr>
                <w:rFonts w:ascii="Times New Roman" w:hAnsi="Times New Roman" w:cs="Times New Roman"/>
                <w:color w:val="000000"/>
              </w:rPr>
              <w:t>Disclosure</w:t>
            </w:r>
          </w:p>
        </w:tc>
        <w:tc>
          <w:tcPr>
            <w:tcW w:w="4770" w:type="dxa"/>
            <w:shd w:val="clear" w:color="auto" w:fill="E7E6E6" w:themeFill="background2"/>
          </w:tcPr>
          <w:p w:rsidR="00944F46" w:rsidRPr="0076192E" w:rsidRDefault="00944F46" w:rsidP="001C5B10">
            <w:pPr>
              <w:pStyle w:val="ListParagraph"/>
              <w:numPr>
                <w:ilvl w:val="0"/>
                <w:numId w:val="11"/>
              </w:numPr>
              <w:ind w:left="342"/>
              <w:rPr>
                <w:rFonts w:ascii="Times New Roman" w:hAnsi="Times New Roman"/>
              </w:rPr>
            </w:pPr>
            <w:r w:rsidRPr="0076192E">
              <w:rPr>
                <w:rFonts w:ascii="Times New Roman" w:hAnsi="Times New Roman"/>
              </w:rPr>
              <w:t>Timing of the preparation and disclosure of specific environmental and social impact assessment documents (related to ESS1 and ESS10)</w:t>
            </w:r>
          </w:p>
        </w:tc>
        <w:tc>
          <w:tcPr>
            <w:tcW w:w="6300" w:type="dxa"/>
          </w:tcPr>
          <w:p w:rsidR="00944F46" w:rsidRPr="0076192E" w:rsidRDefault="00C937B5" w:rsidP="00C937B5">
            <w:pPr>
              <w:pStyle w:val="ListParagraph"/>
              <w:numPr>
                <w:ilvl w:val="0"/>
                <w:numId w:val="9"/>
              </w:numPr>
              <w:jc w:val="both"/>
              <w:rPr>
                <w:rFonts w:ascii="Times New Roman" w:hAnsi="Times New Roman"/>
              </w:rPr>
            </w:pPr>
            <w:r w:rsidRPr="0076192E">
              <w:rPr>
                <w:rFonts w:ascii="Times New Roman" w:hAnsi="Times New Roman"/>
              </w:rPr>
              <w:t>South Africa has comprehensive laws but</w:t>
            </w:r>
            <w:r w:rsidR="006342D8" w:rsidRPr="0076192E">
              <w:rPr>
                <w:rFonts w:ascii="Times New Roman" w:hAnsi="Times New Roman"/>
              </w:rPr>
              <w:t xml:space="preserve"> it</w:t>
            </w:r>
            <w:r w:rsidRPr="0076192E">
              <w:rPr>
                <w:rFonts w:ascii="Times New Roman" w:hAnsi="Times New Roman"/>
              </w:rPr>
              <w:t xml:space="preserve"> is often not possible to obtain </w:t>
            </w:r>
            <w:r w:rsidR="006342D8" w:rsidRPr="0076192E">
              <w:rPr>
                <w:rFonts w:ascii="Times New Roman" w:hAnsi="Times New Roman"/>
              </w:rPr>
              <w:t xml:space="preserve">basic </w:t>
            </w:r>
            <w:r w:rsidRPr="0076192E">
              <w:rPr>
                <w:rFonts w:ascii="Times New Roman" w:hAnsi="Times New Roman"/>
              </w:rPr>
              <w:t>information</w:t>
            </w:r>
            <w:r w:rsidR="006342D8" w:rsidRPr="0076192E">
              <w:rPr>
                <w:rFonts w:ascii="Times New Roman" w:hAnsi="Times New Roman"/>
              </w:rPr>
              <w:t xml:space="preserve"> about the Eskom project or any information in general</w:t>
            </w:r>
            <w:r w:rsidRPr="0076192E">
              <w:rPr>
                <w:rFonts w:ascii="Times New Roman" w:hAnsi="Times New Roman"/>
              </w:rPr>
              <w:t>. Sometimes project-specific reports may not be available and even when requested, they are not made available. On-site information sources are critical.</w:t>
            </w:r>
          </w:p>
        </w:tc>
      </w:tr>
      <w:tr w:rsidR="00071885" w:rsidRPr="0076192E" w:rsidTr="0076192E">
        <w:trPr>
          <w:jc w:val="center"/>
        </w:trPr>
        <w:tc>
          <w:tcPr>
            <w:tcW w:w="7735" w:type="dxa"/>
            <w:gridSpan w:val="3"/>
            <w:shd w:val="clear" w:color="auto" w:fill="E7E6E6" w:themeFill="background2"/>
          </w:tcPr>
          <w:p w:rsidR="00071885" w:rsidRPr="0076192E" w:rsidRDefault="00071885" w:rsidP="00071885">
            <w:pPr>
              <w:jc w:val="both"/>
              <w:rPr>
                <w:rFonts w:ascii="Times New Roman" w:hAnsi="Times New Roman" w:cs="Times New Roman"/>
              </w:rPr>
            </w:pPr>
            <w:r w:rsidRPr="0076192E">
              <w:rPr>
                <w:rFonts w:ascii="Times New Roman" w:hAnsi="Times New Roman" w:cs="Times New Roman"/>
              </w:rPr>
              <w:t>Other issues</w:t>
            </w:r>
          </w:p>
          <w:p w:rsidR="00071885" w:rsidRPr="0076192E" w:rsidRDefault="00071885" w:rsidP="00071885">
            <w:pPr>
              <w:jc w:val="both"/>
              <w:rPr>
                <w:rFonts w:ascii="Times New Roman" w:hAnsi="Times New Roman" w:cs="Times New Roman"/>
              </w:rPr>
            </w:pPr>
          </w:p>
          <w:p w:rsidR="00071885" w:rsidRPr="0076192E" w:rsidRDefault="00071885" w:rsidP="00071885">
            <w:pPr>
              <w:jc w:val="both"/>
              <w:rPr>
                <w:rFonts w:ascii="Times New Roman" w:hAnsi="Times New Roman" w:cs="Times New Roman"/>
              </w:rPr>
            </w:pPr>
          </w:p>
        </w:tc>
        <w:tc>
          <w:tcPr>
            <w:tcW w:w="6300" w:type="dxa"/>
          </w:tcPr>
          <w:p w:rsidR="00FD7599" w:rsidRPr="0076192E" w:rsidRDefault="00C937B5" w:rsidP="00C937B5">
            <w:pPr>
              <w:pStyle w:val="ListParagraph"/>
              <w:numPr>
                <w:ilvl w:val="0"/>
                <w:numId w:val="9"/>
              </w:numPr>
              <w:jc w:val="both"/>
              <w:rPr>
                <w:rFonts w:ascii="Times New Roman" w:hAnsi="Times New Roman"/>
              </w:rPr>
            </w:pPr>
            <w:r w:rsidRPr="0076192E">
              <w:rPr>
                <w:rFonts w:ascii="Times New Roman" w:hAnsi="Times New Roman"/>
              </w:rPr>
              <w:t>The World Bank is one of the biggest financiers of development projects. It is however not clear what the overriding ob</w:t>
            </w:r>
            <w:r w:rsidR="006342D8" w:rsidRPr="0076192E">
              <w:rPr>
                <w:rFonts w:ascii="Times New Roman" w:hAnsi="Times New Roman"/>
              </w:rPr>
              <w:t>jective behind the standards is–</w:t>
            </w:r>
            <w:r w:rsidRPr="0076192E">
              <w:rPr>
                <w:rFonts w:ascii="Times New Roman" w:hAnsi="Times New Roman"/>
              </w:rPr>
              <w:t>is</w:t>
            </w:r>
            <w:r w:rsidR="006342D8" w:rsidRPr="0076192E">
              <w:rPr>
                <w:rFonts w:ascii="Times New Roman" w:hAnsi="Times New Roman"/>
              </w:rPr>
              <w:t xml:space="preserve"> it</w:t>
            </w:r>
            <w:r w:rsidRPr="0076192E">
              <w:rPr>
                <w:rFonts w:ascii="Times New Roman" w:hAnsi="Times New Roman"/>
              </w:rPr>
              <w:t xml:space="preserve"> about global standard setting or </w:t>
            </w:r>
            <w:r w:rsidR="006342D8" w:rsidRPr="0076192E">
              <w:rPr>
                <w:rFonts w:ascii="Times New Roman" w:hAnsi="Times New Roman"/>
              </w:rPr>
              <w:t xml:space="preserve">is it </w:t>
            </w:r>
            <w:r w:rsidRPr="0076192E">
              <w:rPr>
                <w:rFonts w:ascii="Times New Roman" w:hAnsi="Times New Roman"/>
              </w:rPr>
              <w:t>aimed at Bank financed projects and compliance thereof.</w:t>
            </w:r>
          </w:p>
          <w:p w:rsidR="00C937B5" w:rsidRPr="0076192E" w:rsidRDefault="00B066A7" w:rsidP="00C937B5">
            <w:pPr>
              <w:pStyle w:val="ListParagraph"/>
              <w:numPr>
                <w:ilvl w:val="0"/>
                <w:numId w:val="9"/>
              </w:numPr>
              <w:jc w:val="both"/>
              <w:rPr>
                <w:rFonts w:ascii="Times New Roman" w:hAnsi="Times New Roman"/>
              </w:rPr>
            </w:pPr>
            <w:r w:rsidRPr="0076192E">
              <w:rPr>
                <w:rFonts w:ascii="Times New Roman" w:hAnsi="Times New Roman"/>
              </w:rPr>
              <w:t xml:space="preserve">It would important to understand and to clarify how the bank defines ‘sustainable development’ including whether the Bank would reject the financing of projects if they contribute to increasing poverty and unsustainable development. </w:t>
            </w:r>
          </w:p>
          <w:p w:rsidR="001D06ED" w:rsidRPr="0076192E" w:rsidRDefault="001D06ED" w:rsidP="00C937B5">
            <w:pPr>
              <w:pStyle w:val="ListParagraph"/>
              <w:numPr>
                <w:ilvl w:val="0"/>
                <w:numId w:val="9"/>
              </w:numPr>
              <w:jc w:val="both"/>
              <w:rPr>
                <w:rFonts w:ascii="Times New Roman" w:hAnsi="Times New Roman"/>
              </w:rPr>
            </w:pPr>
            <w:r w:rsidRPr="0076192E">
              <w:rPr>
                <w:rFonts w:ascii="Times New Roman" w:hAnsi="Times New Roman"/>
              </w:rPr>
              <w:t>Attention should be paid to irreversible impacts by mining projects and it would</w:t>
            </w:r>
            <w:r w:rsidR="00264A3C" w:rsidRPr="0076192E">
              <w:rPr>
                <w:rFonts w:ascii="Times New Roman" w:hAnsi="Times New Roman"/>
              </w:rPr>
              <w:t xml:space="preserve"> be</w:t>
            </w:r>
            <w:r w:rsidRPr="0076192E">
              <w:rPr>
                <w:rFonts w:ascii="Times New Roman" w:hAnsi="Times New Roman"/>
              </w:rPr>
              <w:t xml:space="preserve"> useful to get clarity as to whether the Bank would be able to make the decision not to finance a project that is not economically viable because of the triple bottomline. </w:t>
            </w:r>
          </w:p>
          <w:p w:rsidR="00296813" w:rsidRPr="0076192E" w:rsidRDefault="00296813" w:rsidP="00C937B5">
            <w:pPr>
              <w:pStyle w:val="ListParagraph"/>
              <w:numPr>
                <w:ilvl w:val="0"/>
                <w:numId w:val="9"/>
              </w:numPr>
              <w:jc w:val="both"/>
              <w:rPr>
                <w:rFonts w:ascii="Times New Roman" w:hAnsi="Times New Roman"/>
              </w:rPr>
            </w:pPr>
            <w:r w:rsidRPr="0076192E">
              <w:rPr>
                <w:rFonts w:ascii="Times New Roman" w:hAnsi="Times New Roman"/>
              </w:rPr>
              <w:t>The Bank should conduct economic analysis in particular on low income households who were not sufficiently consulted in the context of the Bujagali Project. It would useful to know what the Bank doing to ad</w:t>
            </w:r>
            <w:r w:rsidR="00517F15" w:rsidRPr="0076192E">
              <w:rPr>
                <w:rFonts w:ascii="Times New Roman" w:hAnsi="Times New Roman"/>
              </w:rPr>
              <w:t>dress cases such as this. Explain what</w:t>
            </w:r>
            <w:r w:rsidRPr="0076192E">
              <w:rPr>
                <w:rFonts w:ascii="Times New Roman" w:hAnsi="Times New Roman"/>
              </w:rPr>
              <w:t xml:space="preserve"> is in the </w:t>
            </w:r>
            <w:r w:rsidRPr="0076192E">
              <w:rPr>
                <w:rFonts w:ascii="Times New Roman" w:hAnsi="Times New Roman"/>
              </w:rPr>
              <w:lastRenderedPageBreak/>
              <w:t xml:space="preserve">Environmental and Social Framework regarding the requirement to conduct economic impact analysis at the household level. </w:t>
            </w:r>
          </w:p>
          <w:p w:rsidR="001701C8" w:rsidRPr="0076192E" w:rsidRDefault="001701C8" w:rsidP="00C937B5">
            <w:pPr>
              <w:pStyle w:val="ListParagraph"/>
              <w:numPr>
                <w:ilvl w:val="0"/>
                <w:numId w:val="9"/>
              </w:numPr>
              <w:jc w:val="both"/>
              <w:rPr>
                <w:rFonts w:ascii="Times New Roman" w:hAnsi="Times New Roman"/>
              </w:rPr>
            </w:pPr>
            <w:r w:rsidRPr="0076192E">
              <w:rPr>
                <w:rFonts w:ascii="Times New Roman" w:hAnsi="Times New Roman"/>
              </w:rPr>
              <w:t>Please clarify the criteria that you used in selecting the countries in which you are undertaking consultations in Africa.</w:t>
            </w:r>
          </w:p>
          <w:p w:rsidR="00655FD4" w:rsidRPr="0076192E" w:rsidRDefault="00655FD4" w:rsidP="00C937B5">
            <w:pPr>
              <w:pStyle w:val="ListParagraph"/>
              <w:numPr>
                <w:ilvl w:val="0"/>
                <w:numId w:val="9"/>
              </w:numPr>
              <w:jc w:val="both"/>
              <w:rPr>
                <w:rFonts w:ascii="Times New Roman" w:hAnsi="Times New Roman"/>
              </w:rPr>
            </w:pPr>
            <w:r w:rsidRPr="0076192E">
              <w:rPr>
                <w:rFonts w:ascii="Times New Roman" w:hAnsi="Times New Roman"/>
              </w:rPr>
              <w:t xml:space="preserve">Please explain how the Bank has been working with the Special Rapporteur for Human Rights and whether his most recent report on human rights and the work of the World Bank is being factored into the review process. </w:t>
            </w:r>
          </w:p>
        </w:tc>
      </w:tr>
    </w:tbl>
    <w:p w:rsidR="00F248C2" w:rsidRPr="00F248C2" w:rsidRDefault="00F248C2" w:rsidP="00F248C2">
      <w:pPr>
        <w:rPr>
          <w:rFonts w:ascii="Times New Roman" w:hAnsi="Times New Roman" w:cs="Times New Roman"/>
          <w:sz w:val="24"/>
          <w:szCs w:val="24"/>
        </w:rPr>
      </w:pPr>
    </w:p>
    <w:sectPr w:rsidR="00F248C2" w:rsidRPr="00F248C2" w:rsidSect="00F61A9B">
      <w:headerReference w:type="default" r:id="rId9"/>
      <w:footerReference w:type="default" r:id="rId10"/>
      <w:pgSz w:w="15840" w:h="12240" w:orient="landscape"/>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BC" w:rsidRDefault="00FB69BC" w:rsidP="002A2CFE">
      <w:pPr>
        <w:spacing w:after="0" w:line="240" w:lineRule="auto"/>
      </w:pPr>
      <w:r>
        <w:separator/>
      </w:r>
    </w:p>
  </w:endnote>
  <w:endnote w:type="continuationSeparator" w:id="0">
    <w:p w:rsidR="00FB69BC" w:rsidRDefault="00FB69BC" w:rsidP="002A2CFE">
      <w:pPr>
        <w:spacing w:after="0" w:line="240" w:lineRule="auto"/>
      </w:pPr>
      <w:r>
        <w:continuationSeparator/>
      </w:r>
    </w:p>
  </w:endnote>
  <w:endnote w:type="continuationNotice" w:id="1">
    <w:p w:rsidR="00FB69BC" w:rsidRDefault="00FB6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621053">
          <w:rPr>
            <w:rFonts w:ascii="Times New Roman" w:hAnsi="Times New Roman" w:cs="Times New Roman"/>
            <w:noProof/>
            <w:sz w:val="20"/>
            <w:szCs w:val="20"/>
          </w:rPr>
          <w:t>6</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BC" w:rsidRDefault="00FB69BC" w:rsidP="002A2CFE">
      <w:pPr>
        <w:spacing w:after="0" w:line="240" w:lineRule="auto"/>
      </w:pPr>
      <w:r>
        <w:separator/>
      </w:r>
    </w:p>
  </w:footnote>
  <w:footnote w:type="continuationSeparator" w:id="0">
    <w:p w:rsidR="00FB69BC" w:rsidRDefault="00FB69BC" w:rsidP="002A2CFE">
      <w:pPr>
        <w:spacing w:after="0" w:line="240" w:lineRule="auto"/>
      </w:pPr>
      <w:r>
        <w:continuationSeparator/>
      </w:r>
    </w:p>
  </w:footnote>
  <w:footnote w:type="continuationNotice" w:id="1">
    <w:p w:rsidR="00FB69BC" w:rsidRDefault="00FB69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657A2"/>
    <w:multiLevelType w:val="hybridMultilevel"/>
    <w:tmpl w:val="26CA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C0350"/>
    <w:multiLevelType w:val="hybridMultilevel"/>
    <w:tmpl w:val="6B98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7EB5703"/>
    <w:multiLevelType w:val="hybridMultilevel"/>
    <w:tmpl w:val="C99A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21163E"/>
    <w:multiLevelType w:val="hybridMultilevel"/>
    <w:tmpl w:val="65CCC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A5FE7"/>
    <w:multiLevelType w:val="hybridMultilevel"/>
    <w:tmpl w:val="CD3AD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783CF3"/>
    <w:multiLevelType w:val="hybridMultilevel"/>
    <w:tmpl w:val="0402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01CE2"/>
    <w:multiLevelType w:val="hybridMultilevel"/>
    <w:tmpl w:val="9EFC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96470"/>
    <w:multiLevelType w:val="hybridMultilevel"/>
    <w:tmpl w:val="C68E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0"/>
  </w:num>
  <w:num w:numId="6">
    <w:abstractNumId w:val="4"/>
  </w:num>
  <w:num w:numId="7">
    <w:abstractNumId w:val="6"/>
  </w:num>
  <w:num w:numId="8">
    <w:abstractNumId w:val="16"/>
  </w:num>
  <w:num w:numId="9">
    <w:abstractNumId w:val="12"/>
  </w:num>
  <w:num w:numId="10">
    <w:abstractNumId w:val="5"/>
  </w:num>
  <w:num w:numId="11">
    <w:abstractNumId w:val="10"/>
  </w:num>
  <w:num w:numId="12">
    <w:abstractNumId w:val="18"/>
  </w:num>
  <w:num w:numId="13">
    <w:abstractNumId w:val="19"/>
  </w:num>
  <w:num w:numId="14">
    <w:abstractNumId w:val="14"/>
  </w:num>
  <w:num w:numId="15">
    <w:abstractNumId w:val="2"/>
  </w:num>
  <w:num w:numId="16">
    <w:abstractNumId w:val="3"/>
  </w:num>
  <w:num w:numId="17">
    <w:abstractNumId w:val="17"/>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1164"/>
    <w:rsid w:val="001341BB"/>
    <w:rsid w:val="00135480"/>
    <w:rsid w:val="001409EF"/>
    <w:rsid w:val="00143016"/>
    <w:rsid w:val="00143AFC"/>
    <w:rsid w:val="00144F04"/>
    <w:rsid w:val="001459D8"/>
    <w:rsid w:val="00163038"/>
    <w:rsid w:val="001701C8"/>
    <w:rsid w:val="00171F36"/>
    <w:rsid w:val="00182A56"/>
    <w:rsid w:val="0018639F"/>
    <w:rsid w:val="00193D0E"/>
    <w:rsid w:val="00197F14"/>
    <w:rsid w:val="001A2EB8"/>
    <w:rsid w:val="001A72B6"/>
    <w:rsid w:val="001B467B"/>
    <w:rsid w:val="001C5B10"/>
    <w:rsid w:val="001D06ED"/>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57952"/>
    <w:rsid w:val="00262E1C"/>
    <w:rsid w:val="00264A3C"/>
    <w:rsid w:val="002736E5"/>
    <w:rsid w:val="002744A1"/>
    <w:rsid w:val="00276204"/>
    <w:rsid w:val="00282F1B"/>
    <w:rsid w:val="0029188A"/>
    <w:rsid w:val="00296813"/>
    <w:rsid w:val="002A096A"/>
    <w:rsid w:val="002A2CFE"/>
    <w:rsid w:val="002B19ED"/>
    <w:rsid w:val="002B3D8A"/>
    <w:rsid w:val="002B4214"/>
    <w:rsid w:val="002B5F16"/>
    <w:rsid w:val="002D5BA1"/>
    <w:rsid w:val="002E7855"/>
    <w:rsid w:val="002F2CD2"/>
    <w:rsid w:val="002F45A4"/>
    <w:rsid w:val="00300C38"/>
    <w:rsid w:val="00315C22"/>
    <w:rsid w:val="003202FE"/>
    <w:rsid w:val="00327EC9"/>
    <w:rsid w:val="00331AB4"/>
    <w:rsid w:val="0035406A"/>
    <w:rsid w:val="00355F4A"/>
    <w:rsid w:val="00356796"/>
    <w:rsid w:val="00366948"/>
    <w:rsid w:val="00381278"/>
    <w:rsid w:val="00381AD4"/>
    <w:rsid w:val="00383C66"/>
    <w:rsid w:val="003852D6"/>
    <w:rsid w:val="00394766"/>
    <w:rsid w:val="00394CA5"/>
    <w:rsid w:val="003A3AFF"/>
    <w:rsid w:val="003A647D"/>
    <w:rsid w:val="003B0F7B"/>
    <w:rsid w:val="003B155E"/>
    <w:rsid w:val="003B3DBC"/>
    <w:rsid w:val="003B5F46"/>
    <w:rsid w:val="003D11E6"/>
    <w:rsid w:val="003D4A7B"/>
    <w:rsid w:val="003E4EC3"/>
    <w:rsid w:val="003E7BBA"/>
    <w:rsid w:val="003F1223"/>
    <w:rsid w:val="003F25ED"/>
    <w:rsid w:val="00404676"/>
    <w:rsid w:val="00412FE5"/>
    <w:rsid w:val="00420CFF"/>
    <w:rsid w:val="004241C3"/>
    <w:rsid w:val="004256AD"/>
    <w:rsid w:val="00426441"/>
    <w:rsid w:val="004269B4"/>
    <w:rsid w:val="00426EAF"/>
    <w:rsid w:val="0043075D"/>
    <w:rsid w:val="00432368"/>
    <w:rsid w:val="00436658"/>
    <w:rsid w:val="00440A54"/>
    <w:rsid w:val="00444166"/>
    <w:rsid w:val="00444D49"/>
    <w:rsid w:val="00446F4F"/>
    <w:rsid w:val="00447B65"/>
    <w:rsid w:val="00452976"/>
    <w:rsid w:val="004540ED"/>
    <w:rsid w:val="004646E2"/>
    <w:rsid w:val="00470EDE"/>
    <w:rsid w:val="004716A6"/>
    <w:rsid w:val="00477137"/>
    <w:rsid w:val="004808FE"/>
    <w:rsid w:val="0049193E"/>
    <w:rsid w:val="00493231"/>
    <w:rsid w:val="004A022A"/>
    <w:rsid w:val="004A0BCA"/>
    <w:rsid w:val="004A7E4C"/>
    <w:rsid w:val="004B014C"/>
    <w:rsid w:val="004B42DC"/>
    <w:rsid w:val="004B75C6"/>
    <w:rsid w:val="004C660E"/>
    <w:rsid w:val="004C788C"/>
    <w:rsid w:val="004D1AC7"/>
    <w:rsid w:val="004D1AE5"/>
    <w:rsid w:val="004D73E4"/>
    <w:rsid w:val="004E15D0"/>
    <w:rsid w:val="004E3AAD"/>
    <w:rsid w:val="004F11ED"/>
    <w:rsid w:val="004F2239"/>
    <w:rsid w:val="00500A59"/>
    <w:rsid w:val="005032BD"/>
    <w:rsid w:val="005039CD"/>
    <w:rsid w:val="005063B0"/>
    <w:rsid w:val="0051172F"/>
    <w:rsid w:val="00517F15"/>
    <w:rsid w:val="0052229E"/>
    <w:rsid w:val="00523D1A"/>
    <w:rsid w:val="005277C3"/>
    <w:rsid w:val="00527CA3"/>
    <w:rsid w:val="005566FF"/>
    <w:rsid w:val="00557376"/>
    <w:rsid w:val="00566F76"/>
    <w:rsid w:val="00570D27"/>
    <w:rsid w:val="005818DD"/>
    <w:rsid w:val="00586B31"/>
    <w:rsid w:val="00587E9E"/>
    <w:rsid w:val="005907B4"/>
    <w:rsid w:val="00597F60"/>
    <w:rsid w:val="005A2B56"/>
    <w:rsid w:val="005B7AA9"/>
    <w:rsid w:val="005D31D7"/>
    <w:rsid w:val="005D3B1D"/>
    <w:rsid w:val="005D6FC2"/>
    <w:rsid w:val="005E4057"/>
    <w:rsid w:val="005E4F6B"/>
    <w:rsid w:val="005E6F14"/>
    <w:rsid w:val="005E7DDD"/>
    <w:rsid w:val="005F7AF0"/>
    <w:rsid w:val="00600956"/>
    <w:rsid w:val="00601D29"/>
    <w:rsid w:val="00621053"/>
    <w:rsid w:val="00624C2C"/>
    <w:rsid w:val="00626FC2"/>
    <w:rsid w:val="006342D8"/>
    <w:rsid w:val="00635FF7"/>
    <w:rsid w:val="00641839"/>
    <w:rsid w:val="0064513A"/>
    <w:rsid w:val="00651B88"/>
    <w:rsid w:val="00651C95"/>
    <w:rsid w:val="0065255F"/>
    <w:rsid w:val="006552FD"/>
    <w:rsid w:val="00655F4D"/>
    <w:rsid w:val="00655FD4"/>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6192E"/>
    <w:rsid w:val="00762E8F"/>
    <w:rsid w:val="0076753E"/>
    <w:rsid w:val="0077044E"/>
    <w:rsid w:val="00775C67"/>
    <w:rsid w:val="0077675F"/>
    <w:rsid w:val="00777D96"/>
    <w:rsid w:val="007815E1"/>
    <w:rsid w:val="00784151"/>
    <w:rsid w:val="007901C3"/>
    <w:rsid w:val="007A67B8"/>
    <w:rsid w:val="007B23CA"/>
    <w:rsid w:val="007B366F"/>
    <w:rsid w:val="007C52D6"/>
    <w:rsid w:val="007D5A1B"/>
    <w:rsid w:val="007F1591"/>
    <w:rsid w:val="007F3C78"/>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2477"/>
    <w:rsid w:val="00915308"/>
    <w:rsid w:val="00933D3E"/>
    <w:rsid w:val="009371DC"/>
    <w:rsid w:val="00940AFF"/>
    <w:rsid w:val="00944F46"/>
    <w:rsid w:val="0095441A"/>
    <w:rsid w:val="009558DA"/>
    <w:rsid w:val="0096383D"/>
    <w:rsid w:val="00967DE9"/>
    <w:rsid w:val="00972434"/>
    <w:rsid w:val="00975C6B"/>
    <w:rsid w:val="009924BC"/>
    <w:rsid w:val="00993083"/>
    <w:rsid w:val="009A1E16"/>
    <w:rsid w:val="009A6727"/>
    <w:rsid w:val="009C23F0"/>
    <w:rsid w:val="009C3726"/>
    <w:rsid w:val="009C7751"/>
    <w:rsid w:val="009C78BE"/>
    <w:rsid w:val="009D6FFE"/>
    <w:rsid w:val="009D7485"/>
    <w:rsid w:val="009E5490"/>
    <w:rsid w:val="009F4A29"/>
    <w:rsid w:val="00A027C9"/>
    <w:rsid w:val="00A07218"/>
    <w:rsid w:val="00A13098"/>
    <w:rsid w:val="00A2541E"/>
    <w:rsid w:val="00A47BD0"/>
    <w:rsid w:val="00A55DB0"/>
    <w:rsid w:val="00A56621"/>
    <w:rsid w:val="00A618FF"/>
    <w:rsid w:val="00A62E2F"/>
    <w:rsid w:val="00A6465A"/>
    <w:rsid w:val="00A66E30"/>
    <w:rsid w:val="00A73655"/>
    <w:rsid w:val="00A73745"/>
    <w:rsid w:val="00A73932"/>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066A7"/>
    <w:rsid w:val="00B10233"/>
    <w:rsid w:val="00B13C7D"/>
    <w:rsid w:val="00B14DBE"/>
    <w:rsid w:val="00B201CA"/>
    <w:rsid w:val="00B21ECF"/>
    <w:rsid w:val="00B24E47"/>
    <w:rsid w:val="00B30BB6"/>
    <w:rsid w:val="00B30D06"/>
    <w:rsid w:val="00B32950"/>
    <w:rsid w:val="00B3524D"/>
    <w:rsid w:val="00B375E7"/>
    <w:rsid w:val="00B40E69"/>
    <w:rsid w:val="00B4546A"/>
    <w:rsid w:val="00B50635"/>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81F84"/>
    <w:rsid w:val="00C84365"/>
    <w:rsid w:val="00C87D2F"/>
    <w:rsid w:val="00C91B3B"/>
    <w:rsid w:val="00C937B5"/>
    <w:rsid w:val="00C97455"/>
    <w:rsid w:val="00CA0664"/>
    <w:rsid w:val="00CA30E3"/>
    <w:rsid w:val="00CC24E3"/>
    <w:rsid w:val="00CE03B4"/>
    <w:rsid w:val="00CE5025"/>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814D0"/>
    <w:rsid w:val="00D915D2"/>
    <w:rsid w:val="00D91E64"/>
    <w:rsid w:val="00D9319E"/>
    <w:rsid w:val="00D93809"/>
    <w:rsid w:val="00D94EFE"/>
    <w:rsid w:val="00DA16E0"/>
    <w:rsid w:val="00DA7174"/>
    <w:rsid w:val="00DB1699"/>
    <w:rsid w:val="00DB3B2B"/>
    <w:rsid w:val="00DB5291"/>
    <w:rsid w:val="00DB67A4"/>
    <w:rsid w:val="00DB6D92"/>
    <w:rsid w:val="00DC0170"/>
    <w:rsid w:val="00DC6529"/>
    <w:rsid w:val="00DE0DEA"/>
    <w:rsid w:val="00DE3335"/>
    <w:rsid w:val="00DF100E"/>
    <w:rsid w:val="00DF3346"/>
    <w:rsid w:val="00E0061B"/>
    <w:rsid w:val="00E01E6E"/>
    <w:rsid w:val="00E04CBC"/>
    <w:rsid w:val="00E04FA3"/>
    <w:rsid w:val="00E2042C"/>
    <w:rsid w:val="00E2294C"/>
    <w:rsid w:val="00E3187B"/>
    <w:rsid w:val="00E32508"/>
    <w:rsid w:val="00E34E6A"/>
    <w:rsid w:val="00E43617"/>
    <w:rsid w:val="00E4794A"/>
    <w:rsid w:val="00E70677"/>
    <w:rsid w:val="00E76A83"/>
    <w:rsid w:val="00E81112"/>
    <w:rsid w:val="00E83F31"/>
    <w:rsid w:val="00E93B9C"/>
    <w:rsid w:val="00E9469D"/>
    <w:rsid w:val="00E94D14"/>
    <w:rsid w:val="00E9586E"/>
    <w:rsid w:val="00EA5AAE"/>
    <w:rsid w:val="00EB181A"/>
    <w:rsid w:val="00EB311F"/>
    <w:rsid w:val="00EB6992"/>
    <w:rsid w:val="00EC625F"/>
    <w:rsid w:val="00EC7F2F"/>
    <w:rsid w:val="00ED5487"/>
    <w:rsid w:val="00ED5AF8"/>
    <w:rsid w:val="00ED63AF"/>
    <w:rsid w:val="00EE6B61"/>
    <w:rsid w:val="00EE7D5C"/>
    <w:rsid w:val="00EF3E5D"/>
    <w:rsid w:val="00F019A5"/>
    <w:rsid w:val="00F023DA"/>
    <w:rsid w:val="00F131D2"/>
    <w:rsid w:val="00F15007"/>
    <w:rsid w:val="00F17728"/>
    <w:rsid w:val="00F20FCE"/>
    <w:rsid w:val="00F22DEC"/>
    <w:rsid w:val="00F248C2"/>
    <w:rsid w:val="00F26484"/>
    <w:rsid w:val="00F33086"/>
    <w:rsid w:val="00F35989"/>
    <w:rsid w:val="00F36D84"/>
    <w:rsid w:val="00F438B7"/>
    <w:rsid w:val="00F44503"/>
    <w:rsid w:val="00F461C8"/>
    <w:rsid w:val="00F46783"/>
    <w:rsid w:val="00F46C09"/>
    <w:rsid w:val="00F55E20"/>
    <w:rsid w:val="00F61213"/>
    <w:rsid w:val="00F61A9B"/>
    <w:rsid w:val="00F635F5"/>
    <w:rsid w:val="00F63E16"/>
    <w:rsid w:val="00F93A41"/>
    <w:rsid w:val="00FB0AFA"/>
    <w:rsid w:val="00FB0DE9"/>
    <w:rsid w:val="00FB26B2"/>
    <w:rsid w:val="00FB494F"/>
    <w:rsid w:val="00FB69BC"/>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D3AA-B606-414D-91C0-617DB39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2016-01-11T20:19:00Z</dcterms:created>
  <dcterms:modified xsi:type="dcterms:W3CDTF">2016-01-11T20:19:00Z</dcterms:modified>
</cp:coreProperties>
</file>