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C0" w:rsidRPr="0016113C" w:rsidRDefault="00E4256B" w:rsidP="00AC41BC">
      <w:pPr>
        <w:spacing w:line="240" w:lineRule="auto"/>
        <w:jc w:val="center"/>
        <w:rPr>
          <w:rFonts w:asciiTheme="minorHAnsi" w:hAnsiTheme="minorHAnsi" w:cstheme="minorHAnsi"/>
        </w:rPr>
      </w:pPr>
      <w:bookmarkStart w:id="0" w:name="_GoBack"/>
      <w:bookmarkEnd w:id="0"/>
      <w:r w:rsidRPr="0016113C">
        <w:rPr>
          <w:rFonts w:asciiTheme="minorHAnsi" w:hAnsiTheme="minorHAnsi" w:cstheme="minorHAnsi"/>
          <w:noProof/>
        </w:rPr>
        <w:drawing>
          <wp:inline distT="0" distB="0" distL="0" distR="0">
            <wp:extent cx="2165731" cy="490779"/>
            <wp:effectExtent l="0" t="0" r="6350" b="5080"/>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95" cy="490703"/>
                    </a:xfrm>
                    <a:prstGeom prst="rect">
                      <a:avLst/>
                    </a:prstGeom>
                    <a:noFill/>
                    <a:ln>
                      <a:noFill/>
                    </a:ln>
                  </pic:spPr>
                </pic:pic>
              </a:graphicData>
            </a:graphic>
          </wp:inline>
        </w:drawing>
      </w:r>
      <w:r w:rsidR="00053E81" w:rsidRPr="0016113C">
        <w:rPr>
          <w:rFonts w:asciiTheme="minorHAnsi" w:hAnsiTheme="minorHAnsi" w:cstheme="minorHAnsi"/>
          <w:noProof/>
        </w:rPr>
        <w:drawing>
          <wp:inline distT="0" distB="0" distL="0" distR="0">
            <wp:extent cx="2165731" cy="490779"/>
            <wp:effectExtent l="0" t="0" r="6350" b="5080"/>
            <wp:docPr id="3" name="Picture 3"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95" cy="490703"/>
                    </a:xfrm>
                    <a:prstGeom prst="rect">
                      <a:avLst/>
                    </a:prstGeom>
                    <a:noFill/>
                    <a:ln>
                      <a:noFill/>
                    </a:ln>
                  </pic:spPr>
                </pic:pic>
              </a:graphicData>
            </a:graphic>
          </wp:inline>
        </w:drawing>
      </w:r>
    </w:p>
    <w:p w:rsidR="00BF53B7" w:rsidRPr="0016113C" w:rsidRDefault="00BF53B7" w:rsidP="00E35427">
      <w:pPr>
        <w:suppressAutoHyphens/>
        <w:spacing w:after="0" w:line="100" w:lineRule="atLeast"/>
        <w:jc w:val="center"/>
        <w:rPr>
          <w:rFonts w:asciiTheme="minorHAnsi" w:eastAsia="Times New Roman" w:hAnsiTheme="minorHAnsi" w:cstheme="minorHAnsi"/>
          <w:b/>
          <w:color w:val="365F91" w:themeColor="accent1" w:themeShade="BF"/>
          <w:spacing w:val="5"/>
          <w:kern w:val="28"/>
        </w:rPr>
      </w:pPr>
      <w:r w:rsidRPr="0016113C">
        <w:rPr>
          <w:rFonts w:asciiTheme="minorHAnsi" w:eastAsia="Times New Roman" w:hAnsiTheme="minorHAnsi" w:cstheme="minorHAnsi"/>
          <w:b/>
          <w:color w:val="365F91" w:themeColor="accent1" w:themeShade="BF"/>
          <w:spacing w:val="5"/>
          <w:kern w:val="28"/>
        </w:rPr>
        <w:t xml:space="preserve">The World Bank </w:t>
      </w:r>
    </w:p>
    <w:p w:rsidR="00BF53B7" w:rsidRPr="0016113C" w:rsidRDefault="00BF53B7" w:rsidP="00E35427">
      <w:pPr>
        <w:suppressAutoHyphens/>
        <w:spacing w:after="0" w:line="100" w:lineRule="atLeast"/>
        <w:jc w:val="center"/>
        <w:rPr>
          <w:rFonts w:asciiTheme="minorHAnsi" w:eastAsia="Times New Roman" w:hAnsiTheme="minorHAnsi" w:cstheme="minorHAnsi"/>
          <w:b/>
          <w:color w:val="365F91" w:themeColor="accent1" w:themeShade="BF"/>
          <w:kern w:val="1"/>
          <w:lang w:val="es-CO" w:eastAsia="hi-IN" w:bidi="hi-IN"/>
        </w:rPr>
      </w:pPr>
      <w:proofErr w:type="spellStart"/>
      <w:r w:rsidRPr="0016113C">
        <w:rPr>
          <w:rFonts w:asciiTheme="minorHAnsi" w:eastAsia="Times New Roman" w:hAnsiTheme="minorHAnsi" w:cstheme="minorHAnsi"/>
          <w:b/>
          <w:color w:val="365F91" w:themeColor="accent1" w:themeShade="BF"/>
          <w:kern w:val="1"/>
          <w:lang w:val="es-CO" w:eastAsia="hi-IN" w:bidi="hi-IN"/>
        </w:rPr>
        <w:t>Review</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and </w:t>
      </w:r>
      <w:proofErr w:type="spellStart"/>
      <w:r w:rsidRPr="0016113C">
        <w:rPr>
          <w:rFonts w:asciiTheme="minorHAnsi" w:eastAsia="Times New Roman" w:hAnsiTheme="minorHAnsi" w:cstheme="minorHAnsi"/>
          <w:b/>
          <w:color w:val="365F91" w:themeColor="accent1" w:themeShade="BF"/>
          <w:kern w:val="1"/>
          <w:lang w:val="es-CO" w:eastAsia="hi-IN" w:bidi="hi-IN"/>
        </w:rPr>
        <w:t>Update</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of </w:t>
      </w:r>
      <w:proofErr w:type="spellStart"/>
      <w:r w:rsidRPr="0016113C">
        <w:rPr>
          <w:rFonts w:asciiTheme="minorHAnsi" w:eastAsia="Times New Roman" w:hAnsiTheme="minorHAnsi" w:cstheme="minorHAnsi"/>
          <w:b/>
          <w:color w:val="365F91" w:themeColor="accent1" w:themeShade="BF"/>
          <w:kern w:val="1"/>
          <w:lang w:val="es-CO" w:eastAsia="hi-IN" w:bidi="hi-IN"/>
        </w:rPr>
        <w:t>the</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World</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Bank’s</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Environmental</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and Social </w:t>
      </w:r>
      <w:proofErr w:type="spellStart"/>
      <w:r w:rsidRPr="0016113C">
        <w:rPr>
          <w:rFonts w:asciiTheme="minorHAnsi" w:eastAsia="Times New Roman" w:hAnsiTheme="minorHAnsi" w:cstheme="minorHAnsi"/>
          <w:b/>
          <w:color w:val="365F91" w:themeColor="accent1" w:themeShade="BF"/>
          <w:kern w:val="1"/>
          <w:lang w:val="es-CO" w:eastAsia="hi-IN" w:bidi="hi-IN"/>
        </w:rPr>
        <w:t>Safeguard</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Policies</w:t>
      </w:r>
      <w:proofErr w:type="spellEnd"/>
    </w:p>
    <w:p w:rsidR="00B462EB" w:rsidRPr="0016113C" w:rsidRDefault="00B462EB" w:rsidP="00E35427">
      <w:pPr>
        <w:suppressAutoHyphens/>
        <w:spacing w:after="0" w:line="100" w:lineRule="atLeast"/>
        <w:jc w:val="center"/>
        <w:rPr>
          <w:rFonts w:asciiTheme="minorHAnsi" w:eastAsia="Times New Roman" w:hAnsiTheme="minorHAnsi" w:cstheme="minorHAnsi"/>
          <w:b/>
          <w:color w:val="365F91" w:themeColor="accent1" w:themeShade="BF"/>
          <w:kern w:val="1"/>
          <w:lang w:val="es-CO" w:eastAsia="hi-IN" w:bidi="hi-IN"/>
        </w:rPr>
      </w:pPr>
    </w:p>
    <w:p w:rsidR="0027061F" w:rsidRPr="0016113C" w:rsidRDefault="00BF53B7" w:rsidP="00E35427">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proofErr w:type="spellStart"/>
      <w:r w:rsidRPr="0016113C">
        <w:rPr>
          <w:rFonts w:asciiTheme="minorHAnsi" w:eastAsia="Times New Roman" w:hAnsiTheme="minorHAnsi" w:cstheme="minorHAnsi"/>
          <w:b/>
          <w:color w:val="365F91" w:themeColor="accent1" w:themeShade="BF"/>
          <w:kern w:val="1"/>
          <w:lang w:val="es-CO" w:eastAsia="hi-IN" w:bidi="hi-IN"/>
        </w:rPr>
        <w:t>Consultation</w:t>
      </w:r>
      <w:proofErr w:type="spellEnd"/>
      <w:r w:rsidRPr="0016113C">
        <w:rPr>
          <w:rFonts w:asciiTheme="minorHAnsi" w:eastAsia="Times New Roman" w:hAnsiTheme="minorHAnsi" w:cstheme="minorHAnsi"/>
          <w:b/>
          <w:color w:val="365F91" w:themeColor="accent1" w:themeShade="BF"/>
          <w:kern w:val="1"/>
          <w:lang w:val="es-CO" w:eastAsia="hi-IN" w:bidi="hi-IN"/>
        </w:rPr>
        <w:t xml:space="preserve"> Meeting</w:t>
      </w:r>
      <w:r w:rsidR="0027061F"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0027061F" w:rsidRPr="0016113C">
        <w:rPr>
          <w:rFonts w:asciiTheme="minorHAnsi" w:eastAsia="Times New Roman" w:hAnsiTheme="minorHAnsi" w:cstheme="minorHAnsi"/>
          <w:b/>
          <w:color w:val="365F91" w:themeColor="accent1" w:themeShade="BF"/>
          <w:kern w:val="1"/>
          <w:lang w:val="es-CO" w:eastAsia="hi-IN" w:bidi="hi-IN"/>
        </w:rPr>
        <w:t>with</w:t>
      </w:r>
      <w:proofErr w:type="spellEnd"/>
      <w:r w:rsidR="0027061F" w:rsidRPr="0016113C">
        <w:rPr>
          <w:rFonts w:asciiTheme="minorHAnsi" w:eastAsia="Times New Roman" w:hAnsiTheme="minorHAnsi" w:cstheme="minorHAnsi"/>
          <w:b/>
          <w:color w:val="365F91" w:themeColor="accent1" w:themeShade="BF"/>
          <w:kern w:val="1"/>
          <w:lang w:val="es-CO" w:eastAsia="hi-IN" w:bidi="hi-IN"/>
        </w:rPr>
        <w:t xml:space="preserve"> </w:t>
      </w:r>
      <w:r w:rsidR="00AC41BC" w:rsidRPr="0016113C">
        <w:rPr>
          <w:rFonts w:asciiTheme="minorHAnsi" w:eastAsia="Times New Roman" w:hAnsiTheme="minorHAnsi" w:cstheme="minorHAnsi"/>
          <w:b/>
          <w:color w:val="365F91" w:themeColor="accent1" w:themeShade="BF"/>
          <w:kern w:val="1"/>
          <w:lang w:val="es-CO" w:eastAsia="hi-IN" w:bidi="hi-IN"/>
        </w:rPr>
        <w:t xml:space="preserve">Civil </w:t>
      </w:r>
      <w:proofErr w:type="spellStart"/>
      <w:r w:rsidR="00AC41BC" w:rsidRPr="0016113C">
        <w:rPr>
          <w:rFonts w:asciiTheme="minorHAnsi" w:eastAsia="Times New Roman" w:hAnsiTheme="minorHAnsi" w:cstheme="minorHAnsi"/>
          <w:b/>
          <w:color w:val="365F91" w:themeColor="accent1" w:themeShade="BF"/>
          <w:kern w:val="1"/>
          <w:lang w:val="es-CO" w:eastAsia="hi-IN" w:bidi="hi-IN"/>
        </w:rPr>
        <w:t>Society</w:t>
      </w:r>
      <w:proofErr w:type="spellEnd"/>
      <w:r w:rsidR="00AC41BC" w:rsidRPr="0016113C">
        <w:rPr>
          <w:rFonts w:asciiTheme="minorHAnsi" w:eastAsia="Times New Roman" w:hAnsiTheme="minorHAnsi" w:cstheme="minorHAnsi"/>
          <w:b/>
          <w:color w:val="365F91" w:themeColor="accent1" w:themeShade="BF"/>
          <w:kern w:val="1"/>
          <w:lang w:val="es-CO" w:eastAsia="hi-IN" w:bidi="hi-IN"/>
        </w:rPr>
        <w:t xml:space="preserve"> and Academ</w:t>
      </w:r>
      <w:r w:rsidR="00484AAC" w:rsidRPr="0016113C">
        <w:rPr>
          <w:rFonts w:asciiTheme="minorHAnsi" w:eastAsia="Times New Roman" w:hAnsiTheme="minorHAnsi" w:cstheme="minorHAnsi"/>
          <w:b/>
          <w:color w:val="365F91" w:themeColor="accent1" w:themeShade="BF"/>
          <w:kern w:val="1"/>
          <w:lang w:val="es-CO" w:eastAsia="hi-IN" w:bidi="hi-IN"/>
        </w:rPr>
        <w:t>ia</w:t>
      </w:r>
    </w:p>
    <w:p w:rsidR="0016113C" w:rsidRPr="0016113C" w:rsidRDefault="00BF53B7" w:rsidP="00E35427">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proofErr w:type="gramStart"/>
      <w:r w:rsidRPr="0016113C">
        <w:rPr>
          <w:rFonts w:asciiTheme="minorHAnsi" w:eastAsia="Times New Roman" w:hAnsiTheme="minorHAnsi" w:cstheme="minorHAnsi"/>
          <w:b/>
          <w:color w:val="365F91" w:themeColor="accent1" w:themeShade="BF"/>
          <w:kern w:val="1"/>
          <w:lang w:val="es-CO" w:eastAsia="hi-IN" w:bidi="hi-IN"/>
        </w:rPr>
        <w:t>at</w:t>
      </w:r>
      <w:proofErr w:type="gramEnd"/>
      <w:r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Pr="0016113C">
        <w:rPr>
          <w:rFonts w:asciiTheme="minorHAnsi" w:eastAsia="Times New Roman" w:hAnsiTheme="minorHAnsi" w:cstheme="minorHAnsi"/>
          <w:b/>
          <w:color w:val="365F91" w:themeColor="accent1" w:themeShade="BF"/>
          <w:kern w:val="1"/>
          <w:lang w:val="es-CO" w:eastAsia="hi-IN" w:bidi="hi-IN"/>
        </w:rPr>
        <w:t>the</w:t>
      </w:r>
      <w:proofErr w:type="spellEnd"/>
      <w:r w:rsidR="0027061F" w:rsidRPr="0016113C">
        <w:rPr>
          <w:rFonts w:asciiTheme="minorHAnsi" w:eastAsia="Times New Roman" w:hAnsiTheme="minorHAnsi" w:cstheme="minorHAnsi"/>
          <w:b/>
          <w:color w:val="365F91" w:themeColor="accent1" w:themeShade="BF"/>
          <w:kern w:val="1"/>
          <w:lang w:val="es-CO" w:eastAsia="hi-IN" w:bidi="hi-IN"/>
        </w:rPr>
        <w:t xml:space="preserve"> </w:t>
      </w:r>
      <w:proofErr w:type="spellStart"/>
      <w:r w:rsidR="0027061F" w:rsidRPr="0016113C">
        <w:rPr>
          <w:rFonts w:asciiTheme="minorHAnsi" w:eastAsia="Times New Roman" w:hAnsiTheme="minorHAnsi" w:cstheme="minorHAnsi"/>
          <w:b/>
          <w:color w:val="365F91" w:themeColor="accent1" w:themeShade="BF"/>
          <w:kern w:val="1"/>
          <w:lang w:val="es-CO" w:eastAsia="hi-IN" w:bidi="hi-IN"/>
        </w:rPr>
        <w:t>World</w:t>
      </w:r>
      <w:proofErr w:type="spellEnd"/>
      <w:r w:rsidR="0027061F" w:rsidRPr="0016113C">
        <w:rPr>
          <w:rFonts w:asciiTheme="minorHAnsi" w:eastAsia="Times New Roman" w:hAnsiTheme="minorHAnsi" w:cstheme="minorHAnsi"/>
          <w:b/>
          <w:color w:val="365F91" w:themeColor="accent1" w:themeShade="BF"/>
          <w:kern w:val="1"/>
          <w:lang w:val="es-CO" w:eastAsia="hi-IN" w:bidi="hi-IN"/>
        </w:rPr>
        <w:t xml:space="preserve"> Bank Paris Office</w:t>
      </w:r>
    </w:p>
    <w:p w:rsidR="002B6717" w:rsidRPr="0016113C" w:rsidRDefault="00BF53B7" w:rsidP="00E35427">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r w:rsidRPr="0016113C">
        <w:rPr>
          <w:rFonts w:asciiTheme="minorHAnsi" w:eastAsia="Times New Roman" w:hAnsiTheme="minorHAnsi" w:cstheme="minorHAnsi"/>
          <w:b/>
          <w:color w:val="365F91" w:themeColor="accent1" w:themeShade="BF"/>
          <w:kern w:val="1"/>
          <w:lang w:val="es-CO" w:eastAsia="hi-IN" w:bidi="hi-IN"/>
        </w:rPr>
        <w:br/>
      </w:r>
    </w:p>
    <w:p w:rsidR="005E2FC0" w:rsidRPr="00053E81" w:rsidRDefault="00BC6A6F" w:rsidP="00511743">
      <w:pPr>
        <w:spacing w:line="240" w:lineRule="auto"/>
        <w:rPr>
          <w:rFonts w:asciiTheme="minorHAnsi" w:hAnsiTheme="minorHAnsi" w:cstheme="minorHAnsi"/>
          <w:sz w:val="20"/>
          <w:szCs w:val="20"/>
        </w:rPr>
      </w:pPr>
      <w:r w:rsidRPr="00053E81">
        <w:rPr>
          <w:rFonts w:asciiTheme="minorHAnsi" w:hAnsiTheme="minorHAnsi" w:cstheme="minorHAnsi"/>
          <w:sz w:val="20"/>
          <w:szCs w:val="20"/>
        </w:rPr>
        <w:t>The consultation meeting</w:t>
      </w:r>
      <w:r w:rsidR="00C83796" w:rsidRPr="00053E81">
        <w:rPr>
          <w:rFonts w:asciiTheme="minorHAnsi" w:hAnsiTheme="minorHAnsi" w:cstheme="minorHAnsi"/>
          <w:sz w:val="20"/>
          <w:szCs w:val="20"/>
        </w:rPr>
        <w:t xml:space="preserve"> held on December </w:t>
      </w:r>
      <w:r w:rsidR="0027061F" w:rsidRPr="00053E81">
        <w:rPr>
          <w:rFonts w:asciiTheme="minorHAnsi" w:hAnsiTheme="minorHAnsi" w:cstheme="minorHAnsi"/>
          <w:sz w:val="20"/>
          <w:szCs w:val="20"/>
        </w:rPr>
        <w:t>3</w:t>
      </w:r>
      <w:r w:rsidR="00C83796" w:rsidRPr="00053E81">
        <w:rPr>
          <w:rFonts w:asciiTheme="minorHAnsi" w:hAnsiTheme="minorHAnsi" w:cstheme="minorHAnsi"/>
          <w:sz w:val="20"/>
          <w:szCs w:val="20"/>
        </w:rPr>
        <w:t xml:space="preserve">, 2012 </w:t>
      </w:r>
      <w:r w:rsidR="004C787E" w:rsidRPr="00053E81">
        <w:rPr>
          <w:rFonts w:asciiTheme="minorHAnsi" w:hAnsiTheme="minorHAnsi" w:cstheme="minorHAnsi"/>
          <w:sz w:val="20"/>
          <w:szCs w:val="20"/>
        </w:rPr>
        <w:t>was chaired</w:t>
      </w:r>
      <w:r w:rsidR="005E2FC0" w:rsidRPr="00053E81">
        <w:rPr>
          <w:rFonts w:asciiTheme="minorHAnsi" w:hAnsiTheme="minorHAnsi" w:cstheme="minorHAnsi"/>
          <w:sz w:val="20"/>
          <w:szCs w:val="20"/>
        </w:rPr>
        <w:t xml:space="preserve"> by </w:t>
      </w:r>
      <w:r w:rsidR="0027061F" w:rsidRPr="00053E81">
        <w:rPr>
          <w:rFonts w:asciiTheme="minorHAnsi" w:hAnsiTheme="minorHAnsi" w:cstheme="minorHAnsi"/>
          <w:sz w:val="20"/>
          <w:szCs w:val="20"/>
        </w:rPr>
        <w:t>Julia Nielson, World Bank Acting Director for Europe</w:t>
      </w:r>
      <w:r w:rsidR="005E2FC0" w:rsidRPr="00053E81">
        <w:rPr>
          <w:rFonts w:asciiTheme="minorHAnsi" w:hAnsiTheme="minorHAnsi" w:cstheme="minorHAnsi"/>
          <w:sz w:val="20"/>
          <w:szCs w:val="20"/>
        </w:rPr>
        <w:t xml:space="preserve">. </w:t>
      </w:r>
      <w:r w:rsidRPr="00053E81">
        <w:rPr>
          <w:rFonts w:asciiTheme="minorHAnsi" w:hAnsiTheme="minorHAnsi" w:cstheme="minorHAnsi"/>
          <w:sz w:val="20"/>
          <w:szCs w:val="20"/>
        </w:rPr>
        <w:t xml:space="preserve">Participants were primarily from </w:t>
      </w:r>
      <w:r w:rsidR="00AC41BC" w:rsidRPr="00053E81">
        <w:rPr>
          <w:rFonts w:asciiTheme="minorHAnsi" w:hAnsiTheme="minorHAnsi" w:cstheme="minorHAnsi"/>
          <w:sz w:val="20"/>
          <w:szCs w:val="20"/>
        </w:rPr>
        <w:t>French and international development CSOs, and French research institutions</w:t>
      </w:r>
      <w:r w:rsidR="00995765" w:rsidRPr="00053E81">
        <w:rPr>
          <w:rFonts w:asciiTheme="minorHAnsi" w:hAnsiTheme="minorHAnsi" w:cstheme="minorHAnsi"/>
          <w:sz w:val="20"/>
          <w:szCs w:val="20"/>
        </w:rPr>
        <w:t xml:space="preserve"> (see Annex)</w:t>
      </w:r>
      <w:r w:rsidRPr="00053E81">
        <w:rPr>
          <w:rFonts w:asciiTheme="minorHAnsi" w:hAnsiTheme="minorHAnsi" w:cstheme="minorHAnsi"/>
          <w:sz w:val="20"/>
          <w:szCs w:val="20"/>
        </w:rPr>
        <w:t xml:space="preserve">. </w:t>
      </w:r>
    </w:p>
    <w:p w:rsidR="00546FB4" w:rsidRPr="0016113C" w:rsidRDefault="0016113C" w:rsidP="00511743">
      <w:pPr>
        <w:pStyle w:val="NormalWeb"/>
        <w:spacing w:before="0" w:beforeAutospacing="0" w:after="0" w:afterAutospacing="0"/>
        <w:jc w:val="both"/>
        <w:rPr>
          <w:rStyle w:val="st"/>
          <w:rFonts w:asciiTheme="minorHAnsi" w:hAnsiTheme="minorHAnsi" w:cstheme="minorHAnsi"/>
          <w:sz w:val="22"/>
          <w:szCs w:val="22"/>
          <w:lang w:val="en-GB"/>
        </w:rPr>
      </w:pPr>
      <w:r w:rsidRPr="0016113C">
        <w:rPr>
          <w:rStyle w:val="st"/>
          <w:rFonts w:asciiTheme="minorHAnsi" w:hAnsiTheme="minorHAnsi" w:cstheme="minorHAnsi"/>
          <w:b/>
          <w:color w:val="17365D" w:themeColor="text2" w:themeShade="BF"/>
          <w:sz w:val="22"/>
          <w:szCs w:val="22"/>
          <w:lang w:val="en-GB"/>
        </w:rPr>
        <w:t>SUMMARY</w:t>
      </w:r>
      <w:r w:rsidR="00546FB4" w:rsidRPr="0016113C">
        <w:rPr>
          <w:rStyle w:val="st"/>
          <w:rFonts w:asciiTheme="minorHAnsi" w:hAnsiTheme="minorHAnsi" w:cstheme="minorHAnsi"/>
          <w:sz w:val="22"/>
          <w:szCs w:val="22"/>
          <w:lang w:val="en-GB"/>
        </w:rPr>
        <w:t xml:space="preserve">: </w:t>
      </w:r>
    </w:p>
    <w:p w:rsidR="00511743" w:rsidRPr="0016113C" w:rsidRDefault="00511743" w:rsidP="00511743">
      <w:pPr>
        <w:pStyle w:val="NormalWeb"/>
        <w:spacing w:before="0" w:beforeAutospacing="0" w:after="0" w:afterAutospacing="0"/>
        <w:jc w:val="both"/>
        <w:rPr>
          <w:rFonts w:asciiTheme="minorHAnsi" w:hAnsiTheme="minorHAnsi" w:cstheme="minorHAnsi"/>
          <w:sz w:val="22"/>
          <w:szCs w:val="22"/>
          <w:lang w:val="en-GB"/>
        </w:rPr>
      </w:pPr>
    </w:p>
    <w:p w:rsidR="00E25920" w:rsidRPr="00053E81" w:rsidRDefault="0016113C" w:rsidP="0016113C">
      <w:pPr>
        <w:pStyle w:val="ListParagraph"/>
        <w:numPr>
          <w:ilvl w:val="0"/>
          <w:numId w:val="9"/>
        </w:numPr>
        <w:spacing w:after="0" w:line="240" w:lineRule="auto"/>
        <w:rPr>
          <w:rFonts w:asciiTheme="minorHAnsi" w:hAnsiTheme="minorHAnsi" w:cstheme="minorHAnsi"/>
          <w:sz w:val="20"/>
          <w:szCs w:val="20"/>
        </w:rPr>
      </w:pPr>
      <w:r w:rsidRPr="00053E81">
        <w:rPr>
          <w:rFonts w:asciiTheme="minorHAnsi" w:hAnsiTheme="minorHAnsi" w:cstheme="minorHAnsi"/>
          <w:sz w:val="20"/>
          <w:szCs w:val="20"/>
        </w:rPr>
        <w:t>Unclear w</w:t>
      </w:r>
      <w:r w:rsidR="00405149" w:rsidRPr="00053E81">
        <w:rPr>
          <w:rFonts w:asciiTheme="minorHAnsi" w:hAnsiTheme="minorHAnsi" w:cstheme="minorHAnsi"/>
          <w:sz w:val="20"/>
          <w:szCs w:val="20"/>
        </w:rPr>
        <w:t xml:space="preserve">hy Development Policy Lending (DPL) </w:t>
      </w:r>
      <w:r w:rsidRPr="00053E81">
        <w:rPr>
          <w:rFonts w:asciiTheme="minorHAnsi" w:hAnsiTheme="minorHAnsi" w:cstheme="minorHAnsi"/>
          <w:sz w:val="20"/>
          <w:szCs w:val="20"/>
        </w:rPr>
        <w:t xml:space="preserve">is </w:t>
      </w:r>
      <w:r w:rsidR="00405149" w:rsidRPr="00053E81">
        <w:rPr>
          <w:rFonts w:asciiTheme="minorHAnsi" w:hAnsiTheme="minorHAnsi" w:cstheme="minorHAnsi"/>
          <w:sz w:val="20"/>
          <w:szCs w:val="20"/>
        </w:rPr>
        <w:t xml:space="preserve">not covered by the Safeguards </w:t>
      </w:r>
      <w:r w:rsidR="00484AAC" w:rsidRPr="00053E81">
        <w:rPr>
          <w:rFonts w:asciiTheme="minorHAnsi" w:hAnsiTheme="minorHAnsi" w:cstheme="minorHAnsi"/>
          <w:sz w:val="20"/>
          <w:szCs w:val="20"/>
        </w:rPr>
        <w:t>r</w:t>
      </w:r>
      <w:r w:rsidR="00405149" w:rsidRPr="00053E81">
        <w:rPr>
          <w:rFonts w:asciiTheme="minorHAnsi" w:hAnsiTheme="minorHAnsi" w:cstheme="minorHAnsi"/>
          <w:sz w:val="20"/>
          <w:szCs w:val="20"/>
        </w:rPr>
        <w:t xml:space="preserve">eview and </w:t>
      </w:r>
      <w:r w:rsidR="00484AAC" w:rsidRPr="00053E81">
        <w:rPr>
          <w:rFonts w:asciiTheme="minorHAnsi" w:hAnsiTheme="minorHAnsi" w:cstheme="minorHAnsi"/>
          <w:sz w:val="20"/>
          <w:szCs w:val="20"/>
        </w:rPr>
        <w:t>u</w:t>
      </w:r>
      <w:r w:rsidR="00405149" w:rsidRPr="00053E81">
        <w:rPr>
          <w:rFonts w:asciiTheme="minorHAnsi" w:hAnsiTheme="minorHAnsi" w:cstheme="minorHAnsi"/>
          <w:sz w:val="20"/>
          <w:szCs w:val="20"/>
        </w:rPr>
        <w:t>pdate</w:t>
      </w:r>
      <w:r w:rsidRPr="00053E81">
        <w:rPr>
          <w:rFonts w:asciiTheme="minorHAnsi" w:hAnsiTheme="minorHAnsi" w:cstheme="minorHAnsi"/>
          <w:sz w:val="20"/>
          <w:szCs w:val="20"/>
        </w:rPr>
        <w:t>.</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405149"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There is interest among French researchers, who have strong operational experience in Africa and other regions, in participating in the Focus Group meetings. How can they be involved? How can their expertise (e.g., reviews of experience, analyses) be applied? Can they nominate experts for the panels of experts on the emerging issues? </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876652" w:rsidP="00E25920">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How will the Focus Groups</w:t>
      </w:r>
      <w:r w:rsidR="00DE7F57" w:rsidRPr="00053E81">
        <w:rPr>
          <w:rFonts w:asciiTheme="minorHAnsi" w:hAnsiTheme="minorHAnsi" w:cstheme="minorHAnsi"/>
          <w:sz w:val="20"/>
          <w:szCs w:val="20"/>
        </w:rPr>
        <w:t xml:space="preserve"> for affected communities</w:t>
      </w:r>
      <w:r w:rsidRPr="00053E81">
        <w:rPr>
          <w:rFonts w:asciiTheme="minorHAnsi" w:hAnsiTheme="minorHAnsi" w:cstheme="minorHAnsi"/>
          <w:sz w:val="20"/>
          <w:szCs w:val="20"/>
        </w:rPr>
        <w:t xml:space="preserve"> be chosen? Will the Bank consult only those who have </w:t>
      </w:r>
      <w:r w:rsidR="00300F43" w:rsidRPr="00053E81">
        <w:rPr>
          <w:rFonts w:asciiTheme="minorHAnsi" w:hAnsiTheme="minorHAnsi" w:cstheme="minorHAnsi"/>
          <w:sz w:val="20"/>
          <w:szCs w:val="20"/>
        </w:rPr>
        <w:t xml:space="preserve">been affected by Bank projects </w:t>
      </w:r>
      <w:r w:rsidRPr="00053E81">
        <w:rPr>
          <w:rFonts w:asciiTheme="minorHAnsi" w:hAnsiTheme="minorHAnsi" w:cstheme="minorHAnsi"/>
          <w:sz w:val="20"/>
          <w:szCs w:val="20"/>
        </w:rPr>
        <w:t>or</w:t>
      </w:r>
      <w:r w:rsidR="00300F43" w:rsidRPr="00053E81">
        <w:rPr>
          <w:rFonts w:asciiTheme="minorHAnsi" w:hAnsiTheme="minorHAnsi" w:cstheme="minorHAnsi"/>
          <w:sz w:val="20"/>
          <w:szCs w:val="20"/>
        </w:rPr>
        <w:t xml:space="preserve"> who</w:t>
      </w:r>
      <w:r w:rsidRPr="00053E81">
        <w:rPr>
          <w:rFonts w:asciiTheme="minorHAnsi" w:hAnsiTheme="minorHAnsi" w:cstheme="minorHAnsi"/>
          <w:sz w:val="20"/>
          <w:szCs w:val="20"/>
        </w:rPr>
        <w:t xml:space="preserve"> are already involved in formal consultative groups/processes, or is there scope for involving other </w:t>
      </w:r>
      <w:r w:rsidR="00717EDF" w:rsidRPr="00053E81">
        <w:rPr>
          <w:rFonts w:asciiTheme="minorHAnsi" w:hAnsiTheme="minorHAnsi" w:cstheme="minorHAnsi"/>
          <w:sz w:val="20"/>
          <w:szCs w:val="20"/>
        </w:rPr>
        <w:t>Indigenous</w:t>
      </w:r>
      <w:r w:rsidR="00464F56" w:rsidRPr="00053E81">
        <w:rPr>
          <w:rFonts w:asciiTheme="minorHAnsi" w:hAnsiTheme="minorHAnsi" w:cstheme="minorHAnsi"/>
          <w:sz w:val="20"/>
          <w:szCs w:val="20"/>
        </w:rPr>
        <w:t xml:space="preserve"> </w:t>
      </w:r>
      <w:r w:rsidRPr="00053E81">
        <w:rPr>
          <w:rFonts w:asciiTheme="minorHAnsi" w:hAnsiTheme="minorHAnsi" w:cstheme="minorHAnsi"/>
          <w:sz w:val="20"/>
          <w:szCs w:val="20"/>
        </w:rPr>
        <w:t>P</w:t>
      </w:r>
      <w:r w:rsidR="00717EDF" w:rsidRPr="00053E81">
        <w:rPr>
          <w:rFonts w:asciiTheme="minorHAnsi" w:hAnsiTheme="minorHAnsi" w:cstheme="minorHAnsi"/>
          <w:sz w:val="20"/>
          <w:szCs w:val="20"/>
        </w:rPr>
        <w:t>eoples</w:t>
      </w:r>
      <w:r w:rsidR="00410619" w:rsidRPr="00053E81">
        <w:rPr>
          <w:rFonts w:asciiTheme="minorHAnsi" w:hAnsiTheme="minorHAnsi" w:cstheme="minorHAnsi"/>
          <w:sz w:val="20"/>
          <w:szCs w:val="20"/>
        </w:rPr>
        <w:t>’</w:t>
      </w:r>
      <w:r w:rsidRPr="00053E81">
        <w:rPr>
          <w:rFonts w:asciiTheme="minorHAnsi" w:hAnsiTheme="minorHAnsi" w:cstheme="minorHAnsi"/>
          <w:sz w:val="20"/>
          <w:szCs w:val="20"/>
        </w:rPr>
        <w:t xml:space="preserve"> voices?</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876652" w:rsidP="00E25920">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Inclusive Development </w:t>
      </w:r>
      <w:r w:rsidR="0046103A" w:rsidRPr="00053E81">
        <w:rPr>
          <w:rFonts w:asciiTheme="minorHAnsi" w:hAnsiTheme="minorHAnsi" w:cstheme="minorHAnsi"/>
          <w:sz w:val="20"/>
          <w:szCs w:val="20"/>
        </w:rPr>
        <w:t xml:space="preserve">International </w:t>
      </w:r>
      <w:r w:rsidRPr="00053E81">
        <w:rPr>
          <w:rFonts w:asciiTheme="minorHAnsi" w:hAnsiTheme="minorHAnsi" w:cstheme="minorHAnsi"/>
          <w:sz w:val="20"/>
          <w:szCs w:val="20"/>
        </w:rPr>
        <w:t xml:space="preserve">and others are troubled that the Safeguards </w:t>
      </w:r>
      <w:r w:rsidR="00484AAC" w:rsidRPr="00053E81">
        <w:rPr>
          <w:rFonts w:asciiTheme="minorHAnsi" w:hAnsiTheme="minorHAnsi" w:cstheme="minorHAnsi"/>
          <w:sz w:val="20"/>
          <w:szCs w:val="20"/>
        </w:rPr>
        <w:t>r</w:t>
      </w:r>
      <w:r w:rsidRPr="00053E81">
        <w:rPr>
          <w:rFonts w:asciiTheme="minorHAnsi" w:hAnsiTheme="minorHAnsi" w:cstheme="minorHAnsi"/>
          <w:sz w:val="20"/>
          <w:szCs w:val="20"/>
        </w:rPr>
        <w:t xml:space="preserve">eview and </w:t>
      </w:r>
      <w:r w:rsidR="00484AAC" w:rsidRPr="00053E81">
        <w:rPr>
          <w:rFonts w:asciiTheme="minorHAnsi" w:hAnsiTheme="minorHAnsi" w:cstheme="minorHAnsi"/>
          <w:sz w:val="20"/>
          <w:szCs w:val="20"/>
        </w:rPr>
        <w:t>u</w:t>
      </w:r>
      <w:r w:rsidRPr="00053E81">
        <w:rPr>
          <w:rFonts w:asciiTheme="minorHAnsi" w:hAnsiTheme="minorHAnsi" w:cstheme="minorHAnsi"/>
          <w:sz w:val="20"/>
          <w:szCs w:val="20"/>
        </w:rPr>
        <w:t xml:space="preserve">pdate has been launched, when there has been no comprehensive study on the impacts of Involuntary Resettlement since 1994. </w:t>
      </w:r>
      <w:r w:rsidR="00464F56" w:rsidRPr="00053E81">
        <w:rPr>
          <w:rFonts w:asciiTheme="minorHAnsi" w:hAnsiTheme="minorHAnsi" w:cstheme="minorHAnsi"/>
          <w:sz w:val="20"/>
          <w:szCs w:val="20"/>
        </w:rPr>
        <w:t>On w</w:t>
      </w:r>
      <w:r w:rsidRPr="00053E81">
        <w:rPr>
          <w:rFonts w:asciiTheme="minorHAnsi" w:hAnsiTheme="minorHAnsi" w:cstheme="minorHAnsi"/>
          <w:sz w:val="20"/>
          <w:szCs w:val="20"/>
        </w:rPr>
        <w:t>hat aggregated data will the review of the Involuntary Resettlement policy be based?</w:t>
      </w:r>
      <w:r w:rsidR="00985E57" w:rsidRPr="00053E81">
        <w:rPr>
          <w:rFonts w:asciiTheme="minorHAnsi" w:hAnsiTheme="minorHAnsi" w:cstheme="minorHAnsi"/>
          <w:sz w:val="20"/>
          <w:szCs w:val="20"/>
        </w:rPr>
        <w:t xml:space="preserve"> Will the Bank’s internal review be completed and disclosed in time to inform the Safeguards </w:t>
      </w:r>
      <w:r w:rsidR="00484AAC" w:rsidRPr="00053E81">
        <w:rPr>
          <w:rFonts w:asciiTheme="minorHAnsi" w:hAnsiTheme="minorHAnsi" w:cstheme="minorHAnsi"/>
          <w:sz w:val="20"/>
          <w:szCs w:val="20"/>
        </w:rPr>
        <w:t>r</w:t>
      </w:r>
      <w:r w:rsidR="00985E57" w:rsidRPr="00053E81">
        <w:rPr>
          <w:rFonts w:asciiTheme="minorHAnsi" w:hAnsiTheme="minorHAnsi" w:cstheme="minorHAnsi"/>
          <w:sz w:val="20"/>
          <w:szCs w:val="20"/>
        </w:rPr>
        <w:t xml:space="preserve">eview and </w:t>
      </w:r>
      <w:r w:rsidR="00484AAC" w:rsidRPr="00053E81">
        <w:rPr>
          <w:rFonts w:asciiTheme="minorHAnsi" w:hAnsiTheme="minorHAnsi" w:cstheme="minorHAnsi"/>
          <w:sz w:val="20"/>
          <w:szCs w:val="20"/>
        </w:rPr>
        <w:t>u</w:t>
      </w:r>
      <w:r w:rsidR="00985E57" w:rsidRPr="00053E81">
        <w:rPr>
          <w:rFonts w:asciiTheme="minorHAnsi" w:hAnsiTheme="minorHAnsi" w:cstheme="minorHAnsi"/>
          <w:sz w:val="20"/>
          <w:szCs w:val="20"/>
        </w:rPr>
        <w:t>pdate process?</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A50D69" w:rsidRPr="00053E81" w:rsidRDefault="00985E57">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Inclusive Development </w:t>
      </w:r>
      <w:r w:rsidR="0046103A" w:rsidRPr="00053E81">
        <w:rPr>
          <w:rFonts w:asciiTheme="minorHAnsi" w:hAnsiTheme="minorHAnsi" w:cstheme="minorHAnsi"/>
          <w:sz w:val="20"/>
          <w:szCs w:val="20"/>
        </w:rPr>
        <w:t xml:space="preserve">International </w:t>
      </w:r>
      <w:r w:rsidRPr="00053E81">
        <w:rPr>
          <w:rFonts w:asciiTheme="minorHAnsi" w:hAnsiTheme="minorHAnsi" w:cstheme="minorHAnsi"/>
          <w:sz w:val="20"/>
          <w:szCs w:val="20"/>
        </w:rPr>
        <w:t>is working on case studies</w:t>
      </w:r>
      <w:r w:rsidR="000A20EB" w:rsidRPr="00053E81">
        <w:rPr>
          <w:rFonts w:asciiTheme="minorHAnsi" w:hAnsiTheme="minorHAnsi" w:cstheme="minorHAnsi"/>
          <w:sz w:val="20"/>
          <w:szCs w:val="20"/>
        </w:rPr>
        <w:t xml:space="preserve"> on involuntary resettlement (</w:t>
      </w:r>
      <w:r w:rsidR="0046103A" w:rsidRPr="00053E81">
        <w:rPr>
          <w:rFonts w:asciiTheme="minorHAnsi" w:hAnsiTheme="minorHAnsi" w:cstheme="minorHAnsi"/>
          <w:sz w:val="20"/>
          <w:szCs w:val="20"/>
        </w:rPr>
        <w:t xml:space="preserve">including </w:t>
      </w:r>
      <w:r w:rsidR="000A20EB" w:rsidRPr="00053E81">
        <w:rPr>
          <w:rFonts w:asciiTheme="minorHAnsi" w:hAnsiTheme="minorHAnsi" w:cstheme="minorHAnsi"/>
          <w:sz w:val="20"/>
          <w:szCs w:val="20"/>
        </w:rPr>
        <w:t>in Cambodia)</w:t>
      </w:r>
      <w:r w:rsidRPr="00053E81">
        <w:rPr>
          <w:rFonts w:asciiTheme="minorHAnsi" w:hAnsiTheme="minorHAnsi" w:cstheme="minorHAnsi"/>
          <w:sz w:val="20"/>
          <w:szCs w:val="20"/>
        </w:rPr>
        <w:t xml:space="preserve"> that should be taken into account.</w:t>
      </w:r>
      <w:r w:rsidR="00405149" w:rsidRPr="00053E81">
        <w:rPr>
          <w:rFonts w:asciiTheme="minorHAnsi" w:hAnsiTheme="minorHAnsi" w:cstheme="minorHAnsi"/>
          <w:sz w:val="20"/>
          <w:szCs w:val="20"/>
        </w:rPr>
        <w:t xml:space="preserve"> Inclusive Development </w:t>
      </w:r>
      <w:r w:rsidR="0046103A" w:rsidRPr="00053E81">
        <w:rPr>
          <w:rFonts w:asciiTheme="minorHAnsi" w:hAnsiTheme="minorHAnsi" w:cstheme="minorHAnsi"/>
          <w:sz w:val="20"/>
          <w:szCs w:val="20"/>
        </w:rPr>
        <w:t>International</w:t>
      </w:r>
      <w:r w:rsidR="00DE7F57" w:rsidRPr="00053E81">
        <w:rPr>
          <w:rFonts w:asciiTheme="minorHAnsi" w:hAnsiTheme="minorHAnsi" w:cstheme="minorHAnsi"/>
          <w:sz w:val="20"/>
          <w:szCs w:val="20"/>
        </w:rPr>
        <w:t xml:space="preserve"> and Oxfam International</w:t>
      </w:r>
      <w:r w:rsidR="0046103A" w:rsidRPr="00053E81">
        <w:rPr>
          <w:rFonts w:asciiTheme="minorHAnsi" w:hAnsiTheme="minorHAnsi" w:cstheme="minorHAnsi"/>
          <w:sz w:val="20"/>
          <w:szCs w:val="20"/>
        </w:rPr>
        <w:t xml:space="preserve"> </w:t>
      </w:r>
      <w:r w:rsidR="00405149" w:rsidRPr="00053E81">
        <w:rPr>
          <w:rFonts w:asciiTheme="minorHAnsi" w:hAnsiTheme="minorHAnsi" w:cstheme="minorHAnsi"/>
          <w:sz w:val="20"/>
          <w:szCs w:val="20"/>
        </w:rPr>
        <w:t>will submit a specific proposal for a Safeguard Policy on land tenure</w:t>
      </w:r>
      <w:r w:rsidR="00DE7F57" w:rsidRPr="00053E81">
        <w:rPr>
          <w:rFonts w:asciiTheme="minorHAnsi" w:hAnsiTheme="minorHAnsi" w:cstheme="minorHAnsi"/>
          <w:sz w:val="20"/>
          <w:szCs w:val="20"/>
        </w:rPr>
        <w:t>, as well as a detailed submission with policy recommendations, together with International Accountability Project, Bank Information Center and Housing and Land Rights Network</w:t>
      </w:r>
      <w:r w:rsidR="00405149" w:rsidRPr="00053E81">
        <w:rPr>
          <w:rFonts w:asciiTheme="minorHAnsi" w:hAnsiTheme="minorHAnsi" w:cstheme="minorHAnsi"/>
          <w:sz w:val="20"/>
          <w:szCs w:val="20"/>
        </w:rPr>
        <w:t>.</w:t>
      </w:r>
    </w:p>
    <w:p w:rsidR="00A50D69" w:rsidRPr="00053E81" w:rsidRDefault="00A50D69">
      <w:pPr>
        <w:tabs>
          <w:tab w:val="num" w:pos="720"/>
        </w:tabs>
        <w:spacing w:after="0" w:line="240" w:lineRule="auto"/>
        <w:ind w:left="720" w:hanging="360"/>
        <w:rPr>
          <w:rFonts w:asciiTheme="minorHAnsi" w:hAnsiTheme="minorHAnsi" w:cstheme="minorHAnsi"/>
          <w:sz w:val="20"/>
          <w:szCs w:val="20"/>
        </w:rPr>
      </w:pPr>
    </w:p>
    <w:p w:rsidR="00A50D69" w:rsidRPr="00053E81" w:rsidRDefault="00985E57">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Will the Focus Group meetings be conducted as consultations on the full range of questions, or will they cent</w:t>
      </w:r>
      <w:r w:rsidR="00484AAC" w:rsidRPr="00053E81">
        <w:rPr>
          <w:rFonts w:asciiTheme="minorHAnsi" w:hAnsiTheme="minorHAnsi" w:cstheme="minorHAnsi"/>
          <w:sz w:val="20"/>
          <w:szCs w:val="20"/>
        </w:rPr>
        <w:t>e</w:t>
      </w:r>
      <w:r w:rsidRPr="00053E81">
        <w:rPr>
          <w:rFonts w:asciiTheme="minorHAnsi" w:hAnsiTheme="minorHAnsi" w:cstheme="minorHAnsi"/>
          <w:sz w:val="20"/>
          <w:szCs w:val="20"/>
        </w:rPr>
        <w:t>r on specific issues? Will global expertise inform these Focus Group meetings and how?</w:t>
      </w:r>
      <w:r w:rsidR="00DE7F57" w:rsidRPr="00053E81">
        <w:rPr>
          <w:rFonts w:asciiTheme="minorHAnsi" w:hAnsiTheme="minorHAnsi" w:cstheme="minorHAnsi"/>
          <w:sz w:val="20"/>
          <w:szCs w:val="20"/>
        </w:rPr>
        <w:t xml:space="preserve">  Why aren't there expert meetings on the existing policies, e.g., Involuntary Resettlement?</w:t>
      </w:r>
    </w:p>
    <w:p w:rsidR="00A50D69" w:rsidRPr="00053E81" w:rsidRDefault="00A50D69">
      <w:pPr>
        <w:tabs>
          <w:tab w:val="num" w:pos="720"/>
        </w:tabs>
        <w:spacing w:after="0" w:line="240" w:lineRule="auto"/>
        <w:ind w:left="720" w:hanging="360"/>
        <w:rPr>
          <w:rFonts w:asciiTheme="minorHAnsi" w:hAnsiTheme="minorHAnsi" w:cstheme="minorHAnsi"/>
          <w:sz w:val="20"/>
          <w:szCs w:val="20"/>
        </w:rPr>
      </w:pPr>
    </w:p>
    <w:p w:rsidR="00E25920" w:rsidRPr="00053E81" w:rsidRDefault="00985E57" w:rsidP="00E25920">
      <w:pPr>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The International Disabi</w:t>
      </w:r>
      <w:r w:rsidR="000A20EB" w:rsidRPr="00053E81">
        <w:rPr>
          <w:rFonts w:asciiTheme="minorHAnsi" w:hAnsiTheme="minorHAnsi" w:cstheme="minorHAnsi"/>
          <w:sz w:val="20"/>
          <w:szCs w:val="20"/>
        </w:rPr>
        <w:t xml:space="preserve">lity Alliance is concerned about the Safeguards </w:t>
      </w:r>
      <w:r w:rsidR="00EC13E1" w:rsidRPr="00053E81">
        <w:rPr>
          <w:rFonts w:asciiTheme="minorHAnsi" w:hAnsiTheme="minorHAnsi" w:cstheme="minorHAnsi"/>
          <w:sz w:val="20"/>
          <w:szCs w:val="20"/>
        </w:rPr>
        <w:t>r</w:t>
      </w:r>
      <w:r w:rsidR="000A20EB" w:rsidRPr="00053E81">
        <w:rPr>
          <w:rFonts w:asciiTheme="minorHAnsi" w:hAnsiTheme="minorHAnsi" w:cstheme="minorHAnsi"/>
          <w:sz w:val="20"/>
          <w:szCs w:val="20"/>
        </w:rPr>
        <w:t xml:space="preserve">eview and </w:t>
      </w:r>
      <w:r w:rsidR="00EC13E1" w:rsidRPr="00053E81">
        <w:rPr>
          <w:rFonts w:asciiTheme="minorHAnsi" w:hAnsiTheme="minorHAnsi" w:cstheme="minorHAnsi"/>
          <w:sz w:val="20"/>
          <w:szCs w:val="20"/>
        </w:rPr>
        <w:t>u</w:t>
      </w:r>
      <w:r w:rsidR="000A20EB" w:rsidRPr="00053E81">
        <w:rPr>
          <w:rFonts w:asciiTheme="minorHAnsi" w:hAnsiTheme="minorHAnsi" w:cstheme="minorHAnsi"/>
          <w:sz w:val="20"/>
          <w:szCs w:val="20"/>
        </w:rPr>
        <w:t>pdate leading to expanded use of country systems as many countries (including OECD members) do not have disability standards.</w:t>
      </w:r>
      <w:r w:rsidR="00464F56" w:rsidRPr="00053E81">
        <w:rPr>
          <w:rFonts w:asciiTheme="minorHAnsi" w:hAnsiTheme="minorHAnsi" w:cstheme="minorHAnsi"/>
          <w:sz w:val="20"/>
          <w:szCs w:val="20"/>
        </w:rPr>
        <w:t xml:space="preserve"> </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Special measures must be taken to include disabled groups at the local level in the consultation process, because they generally have no access to their Ministries of Finance and other relevant Bank counterparts, and are </w:t>
      </w:r>
      <w:r w:rsidR="00EC13E1" w:rsidRPr="00053E81">
        <w:rPr>
          <w:rFonts w:asciiTheme="minorHAnsi" w:hAnsiTheme="minorHAnsi" w:cstheme="minorHAnsi"/>
          <w:sz w:val="20"/>
          <w:szCs w:val="20"/>
        </w:rPr>
        <w:t xml:space="preserve">often </w:t>
      </w:r>
      <w:r w:rsidRPr="00053E81">
        <w:rPr>
          <w:rFonts w:asciiTheme="minorHAnsi" w:hAnsiTheme="minorHAnsi" w:cstheme="minorHAnsi"/>
          <w:sz w:val="20"/>
          <w:szCs w:val="20"/>
        </w:rPr>
        <w:t>neither inclined nor organized to participate actively in consultations.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142422"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It is not enough for the Bank to include disability groups in the consultations, or to respond to demands for disability certification, which currently accounts for the bulk of the Bank’s work on disability. If the Bank sees disability as an </w:t>
      </w:r>
      <w:r w:rsidR="00963A7D" w:rsidRPr="00053E81">
        <w:rPr>
          <w:rFonts w:asciiTheme="minorHAnsi" w:hAnsiTheme="minorHAnsi" w:cstheme="minorHAnsi"/>
          <w:sz w:val="20"/>
          <w:szCs w:val="20"/>
        </w:rPr>
        <w:t>“</w:t>
      </w:r>
      <w:r w:rsidRPr="00053E81">
        <w:rPr>
          <w:rFonts w:asciiTheme="minorHAnsi" w:hAnsiTheme="minorHAnsi" w:cstheme="minorHAnsi"/>
          <w:sz w:val="20"/>
          <w:szCs w:val="20"/>
        </w:rPr>
        <w:t>emerging issue</w:t>
      </w:r>
      <w:r w:rsidR="00963A7D" w:rsidRPr="00053E81">
        <w:rPr>
          <w:rFonts w:asciiTheme="minorHAnsi" w:hAnsiTheme="minorHAnsi" w:cstheme="minorHAnsi"/>
          <w:sz w:val="20"/>
          <w:szCs w:val="20"/>
        </w:rPr>
        <w:t>”</w:t>
      </w:r>
      <w:r w:rsidRPr="00053E81">
        <w:rPr>
          <w:rFonts w:asciiTheme="minorHAnsi" w:hAnsiTheme="minorHAnsi" w:cstheme="minorHAnsi"/>
          <w:sz w:val="20"/>
          <w:szCs w:val="20"/>
        </w:rPr>
        <w:t>—i.e., an issue where there should be sign</w:t>
      </w:r>
      <w:r w:rsidR="008F54E4" w:rsidRPr="00053E81">
        <w:rPr>
          <w:rFonts w:asciiTheme="minorHAnsi" w:hAnsiTheme="minorHAnsi" w:cstheme="minorHAnsi"/>
          <w:sz w:val="20"/>
          <w:szCs w:val="20"/>
        </w:rPr>
        <w:t xml:space="preserve">ificant improvement </w:t>
      </w:r>
      <w:r w:rsidR="008F54E4" w:rsidRPr="00053E81">
        <w:rPr>
          <w:rFonts w:asciiTheme="minorHAnsi" w:hAnsiTheme="minorHAnsi" w:cstheme="minorHAnsi"/>
          <w:sz w:val="20"/>
          <w:szCs w:val="20"/>
        </w:rPr>
        <w:lastRenderedPageBreak/>
        <w:t>in the next 10 years, then t</w:t>
      </w:r>
      <w:r w:rsidRPr="00053E81">
        <w:rPr>
          <w:rFonts w:asciiTheme="minorHAnsi" w:hAnsiTheme="minorHAnsi" w:cstheme="minorHAnsi"/>
          <w:sz w:val="20"/>
          <w:szCs w:val="20"/>
        </w:rPr>
        <w:t xml:space="preserve">he Bank needs to raise its ambition to expanding access to countries’ transport systems, </w:t>
      </w:r>
      <w:r w:rsidR="008F54E4" w:rsidRPr="00053E81">
        <w:rPr>
          <w:rFonts w:asciiTheme="minorHAnsi" w:hAnsiTheme="minorHAnsi" w:cstheme="minorHAnsi"/>
          <w:sz w:val="20"/>
          <w:szCs w:val="20"/>
        </w:rPr>
        <w:t>resettlement and other social</w:t>
      </w:r>
      <w:r w:rsidRPr="00053E81">
        <w:rPr>
          <w:rFonts w:asciiTheme="minorHAnsi" w:hAnsiTheme="minorHAnsi" w:cstheme="minorHAnsi"/>
          <w:sz w:val="20"/>
          <w:szCs w:val="20"/>
        </w:rPr>
        <w:t xml:space="preserve"> programs, etc.</w:t>
      </w:r>
      <w:r w:rsidR="00464F56" w:rsidRPr="00053E81">
        <w:rPr>
          <w:rFonts w:asciiTheme="minorHAnsi" w:hAnsiTheme="minorHAnsi" w:cstheme="minorHAnsi"/>
          <w:sz w:val="20"/>
          <w:szCs w:val="20"/>
        </w:rPr>
        <w:t xml:space="preserve"> </w:t>
      </w:r>
    </w:p>
    <w:p w:rsidR="00E25920" w:rsidRPr="00053E81" w:rsidRDefault="00E25920" w:rsidP="00E25920">
      <w:pPr>
        <w:tabs>
          <w:tab w:val="num" w:pos="720"/>
        </w:tabs>
        <w:spacing w:after="0" w:line="240" w:lineRule="auto"/>
        <w:ind w:left="720" w:hanging="360"/>
        <w:rPr>
          <w:rFonts w:asciiTheme="minorHAnsi" w:hAnsiTheme="minorHAnsi" w:cstheme="minorHAnsi"/>
          <w:sz w:val="20"/>
          <w:szCs w:val="20"/>
        </w:rPr>
      </w:pPr>
    </w:p>
    <w:p w:rsidR="00E25920" w:rsidRPr="00053E81" w:rsidRDefault="00142422"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The resulting </w:t>
      </w:r>
      <w:r w:rsidR="00EC13E1" w:rsidRPr="00053E81">
        <w:rPr>
          <w:rFonts w:asciiTheme="minorHAnsi" w:hAnsiTheme="minorHAnsi" w:cstheme="minorHAnsi"/>
          <w:sz w:val="20"/>
          <w:szCs w:val="20"/>
        </w:rPr>
        <w:t>i</w:t>
      </w:r>
      <w:r w:rsidRPr="00053E81">
        <w:rPr>
          <w:rFonts w:asciiTheme="minorHAnsi" w:hAnsiTheme="minorHAnsi" w:cstheme="minorHAnsi"/>
          <w:sz w:val="20"/>
          <w:szCs w:val="20"/>
        </w:rPr>
        <w:t xml:space="preserve">ntegrated </w:t>
      </w:r>
      <w:r w:rsidR="00EC13E1" w:rsidRPr="00053E81">
        <w:rPr>
          <w:rFonts w:asciiTheme="minorHAnsi" w:hAnsiTheme="minorHAnsi" w:cstheme="minorHAnsi"/>
          <w:sz w:val="20"/>
          <w:szCs w:val="20"/>
        </w:rPr>
        <w:t>f</w:t>
      </w:r>
      <w:r w:rsidRPr="00053E81">
        <w:rPr>
          <w:rFonts w:asciiTheme="minorHAnsi" w:hAnsiTheme="minorHAnsi" w:cstheme="minorHAnsi"/>
          <w:sz w:val="20"/>
          <w:szCs w:val="20"/>
        </w:rPr>
        <w:t>ramework should have fairly specific (if not lengthy) elements on disability and other areas of compliance.</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The I</w:t>
      </w:r>
      <w:r w:rsidR="00963A7D" w:rsidRPr="00053E81">
        <w:rPr>
          <w:rFonts w:asciiTheme="minorHAnsi" w:hAnsiTheme="minorHAnsi" w:cstheme="minorHAnsi"/>
          <w:sz w:val="20"/>
          <w:szCs w:val="20"/>
        </w:rPr>
        <w:t xml:space="preserve">nternational </w:t>
      </w:r>
      <w:r w:rsidRPr="00053E81">
        <w:rPr>
          <w:rFonts w:asciiTheme="minorHAnsi" w:hAnsiTheme="minorHAnsi" w:cstheme="minorHAnsi"/>
          <w:sz w:val="20"/>
          <w:szCs w:val="20"/>
        </w:rPr>
        <w:t>T</w:t>
      </w:r>
      <w:r w:rsidR="00963A7D" w:rsidRPr="00053E81">
        <w:rPr>
          <w:rFonts w:asciiTheme="minorHAnsi" w:hAnsiTheme="minorHAnsi" w:cstheme="minorHAnsi"/>
          <w:sz w:val="20"/>
          <w:szCs w:val="20"/>
        </w:rPr>
        <w:t xml:space="preserve">rade </w:t>
      </w:r>
      <w:r w:rsidRPr="00053E81">
        <w:rPr>
          <w:rFonts w:asciiTheme="minorHAnsi" w:hAnsiTheme="minorHAnsi" w:cstheme="minorHAnsi"/>
          <w:sz w:val="20"/>
          <w:szCs w:val="20"/>
        </w:rPr>
        <w:t>U</w:t>
      </w:r>
      <w:r w:rsidR="00963A7D" w:rsidRPr="00053E81">
        <w:rPr>
          <w:rFonts w:asciiTheme="minorHAnsi" w:hAnsiTheme="minorHAnsi" w:cstheme="minorHAnsi"/>
          <w:sz w:val="20"/>
          <w:szCs w:val="20"/>
        </w:rPr>
        <w:t xml:space="preserve">nion </w:t>
      </w:r>
      <w:r w:rsidRPr="00053E81">
        <w:rPr>
          <w:rFonts w:asciiTheme="minorHAnsi" w:hAnsiTheme="minorHAnsi" w:cstheme="minorHAnsi"/>
          <w:sz w:val="20"/>
          <w:szCs w:val="20"/>
        </w:rPr>
        <w:t>C</w:t>
      </w:r>
      <w:r w:rsidR="00963A7D" w:rsidRPr="00053E81">
        <w:rPr>
          <w:rFonts w:asciiTheme="minorHAnsi" w:hAnsiTheme="minorHAnsi" w:cstheme="minorHAnsi"/>
          <w:sz w:val="20"/>
          <w:szCs w:val="20"/>
        </w:rPr>
        <w:t>onfederation</w:t>
      </w:r>
      <w:r w:rsidRPr="00053E81">
        <w:rPr>
          <w:rFonts w:asciiTheme="minorHAnsi" w:hAnsiTheme="minorHAnsi" w:cstheme="minorHAnsi"/>
          <w:sz w:val="20"/>
          <w:szCs w:val="20"/>
        </w:rPr>
        <w:t xml:space="preserve"> </w:t>
      </w:r>
      <w:r w:rsidR="00963A7D" w:rsidRPr="00053E81">
        <w:rPr>
          <w:rFonts w:asciiTheme="minorHAnsi" w:hAnsiTheme="minorHAnsi" w:cstheme="minorHAnsi"/>
          <w:sz w:val="20"/>
          <w:szCs w:val="20"/>
        </w:rPr>
        <w:t xml:space="preserve">(ITUC) </w:t>
      </w:r>
      <w:r w:rsidRPr="00053E81">
        <w:rPr>
          <w:rFonts w:asciiTheme="minorHAnsi" w:hAnsiTheme="minorHAnsi" w:cstheme="minorHAnsi"/>
          <w:sz w:val="20"/>
          <w:szCs w:val="20"/>
        </w:rPr>
        <w:t xml:space="preserve">is pleased that the Safeguards </w:t>
      </w:r>
      <w:r w:rsidR="00963A7D" w:rsidRPr="00053E81">
        <w:rPr>
          <w:rFonts w:asciiTheme="minorHAnsi" w:hAnsiTheme="minorHAnsi" w:cstheme="minorHAnsi"/>
          <w:sz w:val="20"/>
          <w:szCs w:val="20"/>
        </w:rPr>
        <w:t>r</w:t>
      </w:r>
      <w:r w:rsidRPr="00053E81">
        <w:rPr>
          <w:rFonts w:asciiTheme="minorHAnsi" w:hAnsiTheme="minorHAnsi" w:cstheme="minorHAnsi"/>
          <w:sz w:val="20"/>
          <w:szCs w:val="20"/>
        </w:rPr>
        <w:t xml:space="preserve">eview and </w:t>
      </w:r>
      <w:r w:rsidR="00963A7D" w:rsidRPr="00053E81">
        <w:rPr>
          <w:rFonts w:asciiTheme="minorHAnsi" w:hAnsiTheme="minorHAnsi" w:cstheme="minorHAnsi"/>
          <w:sz w:val="20"/>
          <w:szCs w:val="20"/>
        </w:rPr>
        <w:t>u</w:t>
      </w:r>
      <w:r w:rsidRPr="00053E81">
        <w:rPr>
          <w:rFonts w:asciiTheme="minorHAnsi" w:hAnsiTheme="minorHAnsi" w:cstheme="minorHAnsi"/>
          <w:sz w:val="20"/>
          <w:szCs w:val="20"/>
        </w:rPr>
        <w:t>pdate process is putting labor standards and occupational safety on the table; the ITUC would like to see a stand-alone Safeguard Policy on these issues, similar to the IFC Performance Standard 2 (on labor and working conditions).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The ILO and labor unions should be involved throughout the consultation process.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0A20EB"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Beyond respecting core labor standards, </w:t>
      </w:r>
      <w:r w:rsidR="00300F43" w:rsidRPr="00053E81">
        <w:rPr>
          <w:rFonts w:asciiTheme="minorHAnsi" w:hAnsiTheme="minorHAnsi" w:cstheme="minorHAnsi"/>
          <w:sz w:val="20"/>
          <w:szCs w:val="20"/>
        </w:rPr>
        <w:t xml:space="preserve">the </w:t>
      </w:r>
      <w:r w:rsidRPr="00053E81">
        <w:rPr>
          <w:rFonts w:asciiTheme="minorHAnsi" w:hAnsiTheme="minorHAnsi" w:cstheme="minorHAnsi"/>
          <w:sz w:val="20"/>
          <w:szCs w:val="20"/>
        </w:rPr>
        <w:t>Safeguard Policies should promote this agenda. This means the Bank should not rely on expanded use of country systems, since many countries do not have the regulations and/or capacity to enforce core labor standards.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A50D69" w:rsidRPr="00053E81" w:rsidRDefault="00841E05">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While the IFC’s expanded coverage of issues was a step in the right direction, CSOs disagree that the implementation mechanisms were an improvement; there is too much self-reporting. </w:t>
      </w:r>
      <w:r w:rsidR="0025654F" w:rsidRPr="00053E81">
        <w:rPr>
          <w:rFonts w:asciiTheme="minorHAnsi" w:hAnsiTheme="minorHAnsi" w:cstheme="minorHAnsi"/>
          <w:sz w:val="20"/>
          <w:szCs w:val="20"/>
        </w:rPr>
        <w:t xml:space="preserve">CSOs </w:t>
      </w:r>
      <w:r w:rsidR="00DE7F57" w:rsidRPr="00053E81">
        <w:rPr>
          <w:rFonts w:asciiTheme="minorHAnsi" w:hAnsiTheme="minorHAnsi" w:cstheme="minorHAnsi"/>
          <w:sz w:val="20"/>
          <w:szCs w:val="20"/>
        </w:rPr>
        <w:t xml:space="preserve">prefer the architecture of the </w:t>
      </w:r>
      <w:r w:rsidR="0025654F" w:rsidRPr="00053E81">
        <w:rPr>
          <w:rFonts w:asciiTheme="minorHAnsi" w:hAnsiTheme="minorHAnsi" w:cstheme="minorHAnsi"/>
          <w:sz w:val="20"/>
          <w:szCs w:val="20"/>
        </w:rPr>
        <w:t xml:space="preserve">Asian Development Bank’s </w:t>
      </w:r>
      <w:r w:rsidR="00DE7F57" w:rsidRPr="00053E81">
        <w:rPr>
          <w:rFonts w:asciiTheme="minorHAnsi" w:hAnsiTheme="minorHAnsi" w:cstheme="minorHAnsi"/>
          <w:sz w:val="20"/>
          <w:szCs w:val="20"/>
        </w:rPr>
        <w:t xml:space="preserve">Safeguards Policy Statement to the IFC Performance Standards, because there is an overarching policy with key principles and specific safeguard requirements on, </w:t>
      </w:r>
      <w:r w:rsidR="0025654F" w:rsidRPr="00053E81">
        <w:rPr>
          <w:rFonts w:asciiTheme="minorHAnsi" w:hAnsiTheme="minorHAnsi" w:cstheme="minorHAnsi"/>
          <w:sz w:val="20"/>
          <w:szCs w:val="20"/>
        </w:rPr>
        <w:t xml:space="preserve">for example, </w:t>
      </w:r>
      <w:r w:rsidR="00DE7F57" w:rsidRPr="00053E81">
        <w:rPr>
          <w:rFonts w:asciiTheme="minorHAnsi" w:hAnsiTheme="minorHAnsi" w:cstheme="minorHAnsi"/>
          <w:sz w:val="20"/>
          <w:szCs w:val="20"/>
        </w:rPr>
        <w:t>Involuntary Resettlement in the appendix</w:t>
      </w:r>
      <w:r w:rsidR="0025654F" w:rsidRPr="00053E81">
        <w:rPr>
          <w:rFonts w:asciiTheme="minorHAnsi" w:hAnsiTheme="minorHAnsi" w:cstheme="minorHAnsi"/>
          <w:sz w:val="20"/>
          <w:szCs w:val="20"/>
        </w:rPr>
        <w:t>,</w:t>
      </w:r>
      <w:r w:rsidR="00DE7F57" w:rsidRPr="00053E81">
        <w:rPr>
          <w:rFonts w:asciiTheme="minorHAnsi" w:hAnsiTheme="minorHAnsi" w:cstheme="minorHAnsi"/>
          <w:sz w:val="20"/>
          <w:szCs w:val="20"/>
        </w:rPr>
        <w:t xml:space="preserve"> with a decent level of detail/explanation about step-by-step requirements for each phase of the resettlement process. These steps need to be binding policy requirements. Too many important points in </w:t>
      </w:r>
      <w:r w:rsidR="0025654F" w:rsidRPr="00053E81">
        <w:rPr>
          <w:rFonts w:asciiTheme="minorHAnsi" w:hAnsiTheme="minorHAnsi" w:cstheme="minorHAnsi"/>
          <w:sz w:val="20"/>
          <w:szCs w:val="20"/>
        </w:rPr>
        <w:t xml:space="preserve">the </w:t>
      </w:r>
      <w:r w:rsidR="00DE7F57" w:rsidRPr="00053E81">
        <w:rPr>
          <w:rFonts w:asciiTheme="minorHAnsi" w:hAnsiTheme="minorHAnsi" w:cstheme="minorHAnsi"/>
          <w:sz w:val="20"/>
          <w:szCs w:val="20"/>
        </w:rPr>
        <w:t xml:space="preserve">IFC model are in non-binding guidance notes. </w:t>
      </w:r>
      <w:r w:rsidR="0025654F" w:rsidRPr="00053E81">
        <w:rPr>
          <w:rFonts w:asciiTheme="minorHAnsi" w:hAnsiTheme="minorHAnsi" w:cstheme="minorHAnsi"/>
          <w:sz w:val="20"/>
          <w:szCs w:val="20"/>
        </w:rPr>
        <w:t xml:space="preserve">The CSOs attending </w:t>
      </w:r>
      <w:r w:rsidR="00DE7F57" w:rsidRPr="00053E81">
        <w:rPr>
          <w:rFonts w:asciiTheme="minorHAnsi" w:hAnsiTheme="minorHAnsi" w:cstheme="minorHAnsi"/>
          <w:sz w:val="20"/>
          <w:szCs w:val="20"/>
        </w:rPr>
        <w:t xml:space="preserve">reject the IFC model of self-reporting (‘fox guarding the chicken coop’) as </w:t>
      </w:r>
      <w:r w:rsidR="0025654F" w:rsidRPr="00053E81">
        <w:rPr>
          <w:rFonts w:asciiTheme="minorHAnsi" w:hAnsiTheme="minorHAnsi" w:cstheme="minorHAnsi"/>
          <w:sz w:val="20"/>
          <w:szCs w:val="20"/>
        </w:rPr>
        <w:t xml:space="preserve">they </w:t>
      </w:r>
      <w:r w:rsidR="00DE7F57" w:rsidRPr="00053E81">
        <w:rPr>
          <w:rFonts w:asciiTheme="minorHAnsi" w:hAnsiTheme="minorHAnsi" w:cstheme="minorHAnsi"/>
          <w:sz w:val="20"/>
          <w:szCs w:val="20"/>
        </w:rPr>
        <w:t xml:space="preserve">see very poor implementation of </w:t>
      </w:r>
      <w:r w:rsidR="0025654F" w:rsidRPr="00053E81">
        <w:rPr>
          <w:rFonts w:asciiTheme="minorHAnsi" w:hAnsiTheme="minorHAnsi" w:cstheme="minorHAnsi"/>
          <w:sz w:val="20"/>
          <w:szCs w:val="20"/>
        </w:rPr>
        <w:t xml:space="preserve">the </w:t>
      </w:r>
      <w:r w:rsidR="00DE7F57" w:rsidRPr="00053E81">
        <w:rPr>
          <w:rFonts w:asciiTheme="minorHAnsi" w:hAnsiTheme="minorHAnsi" w:cstheme="minorHAnsi"/>
          <w:sz w:val="20"/>
          <w:szCs w:val="20"/>
        </w:rPr>
        <w:t xml:space="preserve">Performance Standards from IFC clients, exemplified by the high number of </w:t>
      </w:r>
      <w:r w:rsidR="0025654F" w:rsidRPr="00053E81">
        <w:rPr>
          <w:rFonts w:asciiTheme="minorHAnsi" w:hAnsiTheme="minorHAnsi" w:cstheme="minorHAnsi"/>
          <w:sz w:val="20"/>
          <w:szCs w:val="20"/>
        </w:rPr>
        <w:t xml:space="preserve">complaints to the </w:t>
      </w:r>
      <w:r w:rsidR="00DE7F57" w:rsidRPr="00053E81">
        <w:rPr>
          <w:rFonts w:asciiTheme="minorHAnsi" w:hAnsiTheme="minorHAnsi" w:cstheme="minorHAnsi"/>
          <w:sz w:val="20"/>
          <w:szCs w:val="20"/>
        </w:rPr>
        <w:t xml:space="preserve">CAO.  </w:t>
      </w:r>
      <w:r w:rsidR="008F54E4" w:rsidRPr="00053E81">
        <w:rPr>
          <w:rFonts w:asciiTheme="minorHAnsi" w:hAnsiTheme="minorHAnsi" w:cstheme="minorHAnsi"/>
          <w:sz w:val="20"/>
          <w:szCs w:val="20"/>
        </w:rPr>
        <w:t>Compliance should come first, problem-solving later.</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A50D69" w:rsidRPr="00053E81" w:rsidRDefault="00841E05">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CSOs support a compliance-based approach over a risk-management approach, partly because the Bank has yet to demonstrate that it is doing well or well enough on risk assessment.</w:t>
      </w:r>
      <w:r w:rsidR="008F54E4" w:rsidRPr="00053E81">
        <w:rPr>
          <w:rFonts w:asciiTheme="minorHAnsi" w:hAnsiTheme="minorHAnsi" w:cstheme="minorHAnsi"/>
          <w:sz w:val="20"/>
          <w:szCs w:val="20"/>
        </w:rPr>
        <w:t xml:space="preserve"> </w:t>
      </w:r>
      <w:r w:rsidR="00DE7F57" w:rsidRPr="00053E81">
        <w:rPr>
          <w:rFonts w:asciiTheme="minorHAnsi" w:hAnsiTheme="minorHAnsi" w:cstheme="minorHAnsi"/>
          <w:sz w:val="20"/>
          <w:szCs w:val="20"/>
        </w:rPr>
        <w:t>IDI pointed to the Ethiopia PBS project, currently being considered by the Inspection Panel, as an example.</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841E05"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While it is true that third-party monitoring/inspection has not proved to be a more effective model for ensuring compliance, there should be acknowledgement that </w:t>
      </w:r>
      <w:r w:rsidR="00142422" w:rsidRPr="00053E81">
        <w:rPr>
          <w:rFonts w:asciiTheme="minorHAnsi" w:hAnsiTheme="minorHAnsi" w:cstheme="minorHAnsi"/>
          <w:sz w:val="20"/>
          <w:szCs w:val="20"/>
        </w:rPr>
        <w:t xml:space="preserve">no single </w:t>
      </w:r>
      <w:r w:rsidRPr="00053E81">
        <w:rPr>
          <w:rFonts w:asciiTheme="minorHAnsi" w:hAnsiTheme="minorHAnsi" w:cstheme="minorHAnsi"/>
          <w:sz w:val="20"/>
          <w:szCs w:val="20"/>
        </w:rPr>
        <w:t xml:space="preserve">specific </w:t>
      </w:r>
      <w:r w:rsidR="00142422" w:rsidRPr="00053E81">
        <w:rPr>
          <w:rFonts w:asciiTheme="minorHAnsi" w:hAnsiTheme="minorHAnsi" w:cstheme="minorHAnsi"/>
          <w:sz w:val="20"/>
          <w:szCs w:val="20"/>
        </w:rPr>
        <w:t>mechanism or model</w:t>
      </w:r>
      <w:r w:rsidRPr="00053E81">
        <w:rPr>
          <w:rFonts w:asciiTheme="minorHAnsi" w:hAnsiTheme="minorHAnsi" w:cstheme="minorHAnsi"/>
          <w:sz w:val="20"/>
          <w:szCs w:val="20"/>
        </w:rPr>
        <w:t>—e.g., an exclusively</w:t>
      </w:r>
      <w:r w:rsidR="00142422" w:rsidRPr="00053E81">
        <w:rPr>
          <w:rFonts w:asciiTheme="minorHAnsi" w:hAnsiTheme="minorHAnsi" w:cstheme="minorHAnsi"/>
          <w:sz w:val="20"/>
          <w:szCs w:val="20"/>
        </w:rPr>
        <w:t xml:space="preserve"> self-reporting model or</w:t>
      </w:r>
      <w:r w:rsidRPr="00053E81">
        <w:rPr>
          <w:rFonts w:asciiTheme="minorHAnsi" w:hAnsiTheme="minorHAnsi" w:cstheme="minorHAnsi"/>
          <w:sz w:val="20"/>
          <w:szCs w:val="20"/>
        </w:rPr>
        <w:t xml:space="preserve"> risk</w:t>
      </w:r>
      <w:r w:rsidR="00142422" w:rsidRPr="00053E81">
        <w:rPr>
          <w:rFonts w:asciiTheme="minorHAnsi" w:hAnsiTheme="minorHAnsi" w:cstheme="minorHAnsi"/>
          <w:sz w:val="20"/>
          <w:szCs w:val="20"/>
        </w:rPr>
        <w:t xml:space="preserve">-management </w:t>
      </w:r>
      <w:r w:rsidRPr="00053E81">
        <w:rPr>
          <w:rFonts w:asciiTheme="minorHAnsi" w:hAnsiTheme="minorHAnsi" w:cstheme="minorHAnsi"/>
          <w:sz w:val="20"/>
          <w:szCs w:val="20"/>
        </w:rPr>
        <w:t>approach—</w:t>
      </w:r>
      <w:r w:rsidR="00963A7D" w:rsidRPr="00053E81">
        <w:rPr>
          <w:rFonts w:asciiTheme="minorHAnsi" w:hAnsiTheme="minorHAnsi" w:cstheme="minorHAnsi"/>
          <w:sz w:val="20"/>
          <w:szCs w:val="20"/>
        </w:rPr>
        <w:t>will re</w:t>
      </w:r>
      <w:r w:rsidRPr="00053E81">
        <w:rPr>
          <w:rFonts w:asciiTheme="minorHAnsi" w:hAnsiTheme="minorHAnsi" w:cstheme="minorHAnsi"/>
          <w:sz w:val="20"/>
          <w:szCs w:val="20"/>
        </w:rPr>
        <w:t xml:space="preserve">solve the issue. </w:t>
      </w:r>
      <w:r w:rsidR="00142422" w:rsidRPr="00053E81">
        <w:rPr>
          <w:rFonts w:asciiTheme="minorHAnsi" w:hAnsiTheme="minorHAnsi" w:cstheme="minorHAnsi"/>
          <w:sz w:val="20"/>
          <w:szCs w:val="20"/>
        </w:rPr>
        <w:t>It will take a combination of things, and third-party monitoring should not be excluded.</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142422"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For </w:t>
      </w:r>
      <w:r w:rsidR="008F54E4" w:rsidRPr="00053E81">
        <w:rPr>
          <w:rFonts w:asciiTheme="minorHAnsi" w:hAnsiTheme="minorHAnsi" w:cstheme="minorHAnsi"/>
          <w:sz w:val="20"/>
          <w:szCs w:val="20"/>
        </w:rPr>
        <w:t xml:space="preserve">ensuring compliance on </w:t>
      </w:r>
      <w:r w:rsidRPr="00053E81">
        <w:rPr>
          <w:rFonts w:asciiTheme="minorHAnsi" w:hAnsiTheme="minorHAnsi" w:cstheme="minorHAnsi"/>
          <w:sz w:val="20"/>
          <w:szCs w:val="20"/>
        </w:rPr>
        <w:t>labor standards, the ILO should be involved in Monitoring and Evaluation (not only the Bank and companies).</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8F54E4"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The Bank should develop an enforceable right to remedy as part of the Safeguards </w:t>
      </w:r>
      <w:r w:rsidR="00963A7D" w:rsidRPr="00053E81">
        <w:rPr>
          <w:rFonts w:asciiTheme="minorHAnsi" w:hAnsiTheme="minorHAnsi" w:cstheme="minorHAnsi"/>
          <w:sz w:val="20"/>
          <w:szCs w:val="20"/>
        </w:rPr>
        <w:t>r</w:t>
      </w:r>
      <w:r w:rsidRPr="00053E81">
        <w:rPr>
          <w:rFonts w:asciiTheme="minorHAnsi" w:hAnsiTheme="minorHAnsi" w:cstheme="minorHAnsi"/>
          <w:sz w:val="20"/>
          <w:szCs w:val="20"/>
        </w:rPr>
        <w:t xml:space="preserve">eview and </w:t>
      </w:r>
      <w:r w:rsidR="00963A7D" w:rsidRPr="00053E81">
        <w:rPr>
          <w:rFonts w:asciiTheme="minorHAnsi" w:hAnsiTheme="minorHAnsi" w:cstheme="minorHAnsi"/>
          <w:sz w:val="20"/>
          <w:szCs w:val="20"/>
        </w:rPr>
        <w:t>u</w:t>
      </w:r>
      <w:r w:rsidRPr="00053E81">
        <w:rPr>
          <w:rFonts w:asciiTheme="minorHAnsi" w:hAnsiTheme="minorHAnsi" w:cstheme="minorHAnsi"/>
          <w:sz w:val="20"/>
          <w:szCs w:val="20"/>
        </w:rPr>
        <w:t>pdate; otherwise, what is the point of having an Inspection Panel or even Safeguard Policies? When governments are non-cooperative, the Bank should be able to lean on them to address grievances and implement remedies, or there should be ways for the Bank to compensate the aggrieved unilaterally</w:t>
      </w:r>
      <w:r w:rsidR="00841E05" w:rsidRPr="00053E81">
        <w:rPr>
          <w:rFonts w:asciiTheme="minorHAnsi" w:hAnsiTheme="minorHAnsi" w:cstheme="minorHAnsi"/>
          <w:sz w:val="20"/>
          <w:szCs w:val="20"/>
        </w:rPr>
        <w:t>.</w:t>
      </w:r>
      <w:r w:rsidR="00464F56" w:rsidRPr="00053E81">
        <w:rPr>
          <w:rFonts w:asciiTheme="minorHAnsi" w:hAnsiTheme="minorHAnsi" w:cstheme="minorHAnsi"/>
          <w:sz w:val="20"/>
          <w:szCs w:val="20"/>
        </w:rPr>
        <w:t xml:space="preserve"> </w:t>
      </w:r>
    </w:p>
    <w:p w:rsidR="00E25920" w:rsidRPr="00053E81" w:rsidRDefault="00E25920" w:rsidP="00E25920">
      <w:pPr>
        <w:pStyle w:val="ListParagraph"/>
        <w:tabs>
          <w:tab w:val="num" w:pos="720"/>
        </w:tabs>
        <w:ind w:hanging="360"/>
        <w:rPr>
          <w:rFonts w:asciiTheme="minorHAnsi" w:hAnsiTheme="minorHAnsi" w:cstheme="minorHAnsi"/>
          <w:sz w:val="20"/>
          <w:szCs w:val="20"/>
        </w:rPr>
      </w:pPr>
    </w:p>
    <w:p w:rsidR="00E25920" w:rsidRPr="00053E81" w:rsidRDefault="008F54E4" w:rsidP="00E25920">
      <w:pPr>
        <w:pStyle w:val="ListParagraph"/>
        <w:numPr>
          <w:ilvl w:val="0"/>
          <w:numId w:val="8"/>
        </w:numPr>
        <w:tabs>
          <w:tab w:val="clear" w:pos="360"/>
          <w:tab w:val="num" w:pos="720"/>
        </w:tabs>
        <w:spacing w:after="0" w:line="240" w:lineRule="auto"/>
        <w:ind w:left="720"/>
        <w:rPr>
          <w:rFonts w:asciiTheme="minorHAnsi" w:hAnsiTheme="minorHAnsi" w:cstheme="minorHAnsi"/>
          <w:sz w:val="20"/>
          <w:szCs w:val="20"/>
        </w:rPr>
      </w:pPr>
      <w:r w:rsidRPr="00053E81">
        <w:rPr>
          <w:rFonts w:asciiTheme="minorHAnsi" w:hAnsiTheme="minorHAnsi" w:cstheme="minorHAnsi"/>
          <w:sz w:val="20"/>
          <w:szCs w:val="20"/>
        </w:rPr>
        <w:t xml:space="preserve">Even if there are no clear proposals yet on how to develop meaningful compensation for aggrieved parties, the </w:t>
      </w:r>
      <w:r w:rsidR="00405149" w:rsidRPr="00053E81">
        <w:rPr>
          <w:rFonts w:asciiTheme="minorHAnsi" w:hAnsiTheme="minorHAnsi" w:cstheme="minorHAnsi"/>
          <w:i/>
          <w:sz w:val="20"/>
          <w:szCs w:val="20"/>
        </w:rPr>
        <w:t>right</w:t>
      </w:r>
      <w:r w:rsidR="00405149" w:rsidRPr="00053E81">
        <w:rPr>
          <w:rFonts w:asciiTheme="minorHAnsi" w:hAnsiTheme="minorHAnsi" w:cstheme="minorHAnsi"/>
          <w:sz w:val="20"/>
          <w:szCs w:val="20"/>
        </w:rPr>
        <w:t xml:space="preserve"> to remedy should be clearly stipulated in the new framework.</w:t>
      </w:r>
      <w:r w:rsidR="00464F56" w:rsidRPr="00053E81">
        <w:rPr>
          <w:rFonts w:asciiTheme="minorHAnsi" w:hAnsiTheme="minorHAnsi" w:cstheme="minorHAnsi"/>
          <w:sz w:val="20"/>
          <w:szCs w:val="20"/>
        </w:rPr>
        <w:t xml:space="preserve"> </w:t>
      </w:r>
      <w:r w:rsidRPr="00053E81">
        <w:rPr>
          <w:rFonts w:asciiTheme="minorHAnsi" w:hAnsiTheme="minorHAnsi" w:cstheme="minorHAnsi"/>
          <w:sz w:val="20"/>
          <w:szCs w:val="20"/>
        </w:rPr>
        <w:t>This is a question of the Bank’s accountability.</w:t>
      </w:r>
    </w:p>
    <w:p w:rsidR="00C83796" w:rsidRPr="0016113C" w:rsidRDefault="00C83796" w:rsidP="00511743">
      <w:pPr>
        <w:spacing w:after="0" w:line="240" w:lineRule="auto"/>
        <w:rPr>
          <w:rFonts w:asciiTheme="minorHAnsi" w:hAnsiTheme="minorHAnsi" w:cstheme="minorHAnsi"/>
        </w:rPr>
      </w:pPr>
    </w:p>
    <w:p w:rsidR="00BF53B7" w:rsidRPr="0016113C" w:rsidRDefault="00BF53B7" w:rsidP="00511743">
      <w:pPr>
        <w:spacing w:after="0" w:line="240" w:lineRule="auto"/>
        <w:rPr>
          <w:rFonts w:asciiTheme="minorHAnsi" w:hAnsiTheme="minorHAnsi" w:cstheme="minorHAnsi"/>
        </w:rPr>
      </w:pPr>
      <w:r w:rsidRPr="0016113C">
        <w:rPr>
          <w:rFonts w:asciiTheme="minorHAnsi" w:hAnsiTheme="minorHAnsi" w:cstheme="minorHAnsi"/>
        </w:rPr>
        <w:br w:type="page"/>
      </w:r>
    </w:p>
    <w:p w:rsidR="00C83796" w:rsidRPr="0016113C" w:rsidRDefault="004C787E" w:rsidP="00511743">
      <w:pPr>
        <w:jc w:val="center"/>
        <w:rPr>
          <w:rFonts w:asciiTheme="minorHAnsi" w:hAnsiTheme="minorHAnsi" w:cstheme="minorHAnsi"/>
          <w:b/>
          <w:color w:val="365F91" w:themeColor="accent1" w:themeShade="BF"/>
        </w:rPr>
      </w:pPr>
      <w:r w:rsidRPr="0016113C">
        <w:rPr>
          <w:rFonts w:asciiTheme="minorHAnsi" w:hAnsiTheme="minorHAnsi" w:cstheme="minorHAnsi"/>
          <w:b/>
          <w:color w:val="365F91" w:themeColor="accent1" w:themeShade="BF"/>
        </w:rPr>
        <w:lastRenderedPageBreak/>
        <w:t>Annex</w:t>
      </w:r>
    </w:p>
    <w:p w:rsidR="004C787E" w:rsidRPr="0016113C" w:rsidRDefault="004C787E" w:rsidP="00511743">
      <w:pPr>
        <w:jc w:val="center"/>
        <w:rPr>
          <w:rFonts w:asciiTheme="minorHAnsi" w:hAnsiTheme="minorHAnsi" w:cstheme="minorHAnsi"/>
          <w:b/>
          <w:color w:val="17365D" w:themeColor="text2" w:themeShade="BF"/>
          <w:spacing w:val="5"/>
          <w:kern w:val="28"/>
        </w:rPr>
      </w:pPr>
      <w:r w:rsidRPr="0016113C">
        <w:rPr>
          <w:rFonts w:asciiTheme="minorHAnsi" w:hAnsiTheme="minorHAnsi" w:cstheme="minorHAnsi"/>
          <w:noProof/>
          <w:color w:val="000000"/>
        </w:rPr>
        <w:drawing>
          <wp:inline distT="0" distB="0" distL="0" distR="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4C787E" w:rsidRPr="0016113C" w:rsidRDefault="004C787E" w:rsidP="00511743">
      <w:pPr>
        <w:spacing w:after="0"/>
        <w:jc w:val="center"/>
        <w:rPr>
          <w:rFonts w:asciiTheme="minorHAnsi" w:hAnsiTheme="minorHAnsi" w:cstheme="minorHAnsi"/>
          <w:b/>
          <w:color w:val="365F91" w:themeColor="accent1" w:themeShade="BF"/>
          <w:spacing w:val="5"/>
          <w:kern w:val="28"/>
        </w:rPr>
      </w:pPr>
      <w:r w:rsidRPr="0016113C">
        <w:rPr>
          <w:rFonts w:asciiTheme="minorHAnsi" w:hAnsiTheme="minorHAnsi" w:cstheme="minorHAnsi"/>
          <w:b/>
          <w:color w:val="365F91" w:themeColor="accent1" w:themeShade="BF"/>
          <w:spacing w:val="5"/>
          <w:kern w:val="28"/>
        </w:rPr>
        <w:t xml:space="preserve">The World Bank </w:t>
      </w:r>
    </w:p>
    <w:p w:rsidR="00B462EB" w:rsidRPr="0016113C" w:rsidRDefault="00B462EB" w:rsidP="00511743">
      <w:pPr>
        <w:spacing w:after="0"/>
        <w:jc w:val="center"/>
        <w:rPr>
          <w:rFonts w:asciiTheme="minorHAnsi" w:hAnsiTheme="minorHAnsi" w:cstheme="minorHAnsi"/>
          <w:b/>
          <w:color w:val="365F91" w:themeColor="accent1" w:themeShade="BF"/>
        </w:rPr>
      </w:pPr>
    </w:p>
    <w:p w:rsidR="004C787E" w:rsidRPr="0016113C" w:rsidRDefault="004C787E" w:rsidP="00511743">
      <w:pPr>
        <w:spacing w:after="0"/>
        <w:jc w:val="center"/>
        <w:rPr>
          <w:rFonts w:asciiTheme="minorHAnsi" w:hAnsiTheme="minorHAnsi" w:cstheme="minorHAnsi"/>
          <w:b/>
          <w:color w:val="365F91" w:themeColor="accent1" w:themeShade="BF"/>
        </w:rPr>
      </w:pPr>
      <w:r w:rsidRPr="0016113C">
        <w:rPr>
          <w:rFonts w:asciiTheme="minorHAnsi" w:hAnsiTheme="minorHAnsi" w:cstheme="minorHAnsi"/>
          <w:b/>
          <w:color w:val="365F91" w:themeColor="accent1" w:themeShade="BF"/>
        </w:rPr>
        <w:t>Review and Update of the World Bank’s Environmental and Social Safeguard Policies</w:t>
      </w:r>
    </w:p>
    <w:p w:rsidR="00B462EB" w:rsidRPr="0016113C" w:rsidRDefault="00B462EB" w:rsidP="00511743">
      <w:pPr>
        <w:pStyle w:val="Title"/>
        <w:spacing w:after="0"/>
        <w:jc w:val="center"/>
        <w:rPr>
          <w:rFonts w:asciiTheme="minorHAnsi" w:hAnsiTheme="minorHAnsi" w:cstheme="minorHAnsi"/>
          <w:b/>
          <w:color w:val="365F91" w:themeColor="accent1" w:themeShade="BF"/>
          <w:sz w:val="22"/>
          <w:szCs w:val="22"/>
        </w:rPr>
      </w:pPr>
    </w:p>
    <w:p w:rsidR="004C787E" w:rsidRPr="0016113C" w:rsidRDefault="004C787E" w:rsidP="00511743">
      <w:pPr>
        <w:pStyle w:val="Title"/>
        <w:spacing w:after="0"/>
        <w:jc w:val="center"/>
        <w:rPr>
          <w:rFonts w:asciiTheme="minorHAnsi" w:hAnsiTheme="minorHAnsi" w:cstheme="minorHAnsi"/>
          <w:b/>
          <w:color w:val="365F91" w:themeColor="accent1" w:themeShade="BF"/>
          <w:sz w:val="22"/>
          <w:szCs w:val="22"/>
        </w:rPr>
      </w:pPr>
      <w:r w:rsidRPr="0016113C">
        <w:rPr>
          <w:rFonts w:asciiTheme="minorHAnsi" w:hAnsiTheme="minorHAnsi" w:cstheme="minorHAnsi"/>
          <w:b/>
          <w:color w:val="365F91" w:themeColor="accent1" w:themeShade="BF"/>
          <w:sz w:val="22"/>
          <w:szCs w:val="22"/>
        </w:rPr>
        <w:t>Consultation Meeting – Participant List</w:t>
      </w:r>
    </w:p>
    <w:p w:rsidR="00B462EB" w:rsidRPr="0016113C"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bCs/>
          <w:sz w:val="22"/>
          <w:szCs w:val="22"/>
          <w:lang w:val="en-US"/>
        </w:rPr>
      </w:pPr>
    </w:p>
    <w:p w:rsidR="004C787E" w:rsidRPr="00053E81"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 w:val="20"/>
          <w:lang w:val="en-US"/>
        </w:rPr>
      </w:pPr>
      <w:r w:rsidRPr="00053E81">
        <w:rPr>
          <w:rFonts w:asciiTheme="minorHAnsi" w:hAnsiTheme="minorHAnsi" w:cstheme="minorHAnsi"/>
          <w:b/>
          <w:bCs/>
          <w:sz w:val="20"/>
          <w:lang w:val="en-US"/>
        </w:rPr>
        <w:t xml:space="preserve">Date: </w:t>
      </w:r>
      <w:r w:rsidRPr="00053E81">
        <w:rPr>
          <w:rFonts w:asciiTheme="minorHAnsi" w:hAnsiTheme="minorHAnsi" w:cstheme="minorHAnsi"/>
          <w:bCs/>
          <w:sz w:val="20"/>
          <w:lang w:val="en-US"/>
        </w:rPr>
        <w:t xml:space="preserve">December </w:t>
      </w:r>
      <w:r w:rsidR="0027061F" w:rsidRPr="00053E81">
        <w:rPr>
          <w:rFonts w:asciiTheme="minorHAnsi" w:hAnsiTheme="minorHAnsi" w:cstheme="minorHAnsi"/>
          <w:bCs/>
          <w:sz w:val="20"/>
          <w:lang w:val="en-US"/>
        </w:rPr>
        <w:t>3</w:t>
      </w:r>
      <w:r w:rsidRPr="00053E81">
        <w:rPr>
          <w:rFonts w:asciiTheme="minorHAnsi" w:hAnsiTheme="minorHAnsi" w:cstheme="minorHAnsi"/>
          <w:bCs/>
          <w:sz w:val="20"/>
          <w:lang w:val="en-US"/>
        </w:rPr>
        <w:t>, 2012</w:t>
      </w:r>
    </w:p>
    <w:p w:rsidR="004C787E" w:rsidRPr="00053E81"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bCs/>
          <w:sz w:val="20"/>
          <w:lang w:val="en-US"/>
        </w:rPr>
      </w:pPr>
      <w:r w:rsidRPr="00053E81">
        <w:rPr>
          <w:rFonts w:asciiTheme="minorHAnsi" w:hAnsiTheme="minorHAnsi" w:cstheme="minorHAnsi"/>
          <w:b/>
          <w:bCs/>
          <w:sz w:val="20"/>
          <w:lang w:val="en-US"/>
        </w:rPr>
        <w:t xml:space="preserve">Venue: </w:t>
      </w:r>
      <w:r w:rsidR="0027061F" w:rsidRPr="00053E81">
        <w:rPr>
          <w:rFonts w:asciiTheme="minorHAnsi" w:hAnsiTheme="minorHAnsi" w:cstheme="minorHAnsi"/>
          <w:bCs/>
          <w:sz w:val="20"/>
          <w:lang w:val="en-US"/>
        </w:rPr>
        <w:t>World Bank Paris Office</w:t>
      </w:r>
      <w:r w:rsidRPr="00053E81">
        <w:rPr>
          <w:rFonts w:asciiTheme="minorHAnsi" w:hAnsiTheme="minorHAnsi" w:cstheme="minorHAnsi"/>
          <w:bCs/>
          <w:sz w:val="20"/>
          <w:lang w:val="en-US"/>
        </w:rPr>
        <w:t xml:space="preserve"> (</w:t>
      </w:r>
      <w:r w:rsidR="00AC41BC" w:rsidRPr="00053E81">
        <w:rPr>
          <w:rFonts w:asciiTheme="minorHAnsi" w:hAnsiTheme="minorHAnsi" w:cstheme="minorHAnsi"/>
          <w:bCs/>
          <w:sz w:val="20"/>
          <w:lang w:val="en-US"/>
        </w:rPr>
        <w:t>Civil society and academic stakeholders meeting</w:t>
      </w:r>
      <w:r w:rsidRPr="00053E81">
        <w:rPr>
          <w:rFonts w:asciiTheme="minorHAnsi" w:hAnsiTheme="minorHAnsi" w:cstheme="minorHAnsi"/>
          <w:bCs/>
          <w:sz w:val="20"/>
          <w:lang w:val="en-US"/>
        </w:rPr>
        <w:t>)</w:t>
      </w:r>
    </w:p>
    <w:p w:rsidR="004C787E" w:rsidRPr="00053E81"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lang w:val="en-US"/>
        </w:rPr>
      </w:pPr>
      <w:r w:rsidRPr="00053E81">
        <w:rPr>
          <w:rFonts w:asciiTheme="minorHAnsi" w:hAnsiTheme="minorHAnsi" w:cstheme="minorHAnsi"/>
          <w:b/>
          <w:bCs/>
          <w:sz w:val="20"/>
          <w:lang w:val="en-US"/>
        </w:rPr>
        <w:t>Total Number of Participants</w:t>
      </w:r>
      <w:r w:rsidRPr="00053E81">
        <w:rPr>
          <w:rFonts w:asciiTheme="minorHAnsi" w:hAnsiTheme="minorHAnsi" w:cstheme="minorHAnsi"/>
          <w:b/>
          <w:sz w:val="20"/>
          <w:lang w:val="en-US"/>
        </w:rPr>
        <w:t xml:space="preserve">: </w:t>
      </w:r>
      <w:r w:rsidR="00AC41BC" w:rsidRPr="00053E81">
        <w:rPr>
          <w:rFonts w:asciiTheme="minorHAnsi" w:hAnsiTheme="minorHAnsi" w:cstheme="minorHAnsi"/>
          <w:b/>
          <w:sz w:val="20"/>
          <w:lang w:val="en-US"/>
        </w:rPr>
        <w:t>6</w:t>
      </w:r>
    </w:p>
    <w:p w:rsidR="004C787E" w:rsidRPr="0016113C"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rPr>
      </w:pPr>
    </w:p>
    <w:tbl>
      <w:tblPr>
        <w:tblStyle w:val="TableGrid"/>
        <w:tblW w:w="9410" w:type="dxa"/>
        <w:tblInd w:w="108" w:type="dxa"/>
        <w:tblLook w:val="04A0" w:firstRow="1" w:lastRow="0" w:firstColumn="1" w:lastColumn="0" w:noHBand="0" w:noVBand="1"/>
      </w:tblPr>
      <w:tblGrid>
        <w:gridCol w:w="587"/>
        <w:gridCol w:w="1833"/>
        <w:gridCol w:w="3610"/>
        <w:gridCol w:w="1710"/>
        <w:gridCol w:w="1670"/>
      </w:tblGrid>
      <w:tr w:rsidR="00B462EB" w:rsidRPr="00053E81" w:rsidTr="00D00523">
        <w:trPr>
          <w:tblHeader/>
        </w:trPr>
        <w:tc>
          <w:tcPr>
            <w:tcW w:w="587"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No.</w:t>
            </w:r>
          </w:p>
        </w:tc>
        <w:tc>
          <w:tcPr>
            <w:tcW w:w="1833"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Participant Name</w:t>
            </w:r>
          </w:p>
        </w:tc>
        <w:tc>
          <w:tcPr>
            <w:tcW w:w="3610"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 xml:space="preserve">Organization/Institution Represented </w:t>
            </w:r>
          </w:p>
        </w:tc>
        <w:tc>
          <w:tcPr>
            <w:tcW w:w="1710" w:type="dxa"/>
            <w:shd w:val="clear" w:color="auto" w:fill="DBE5F1" w:themeFill="accent1" w:themeFillTint="33"/>
          </w:tcPr>
          <w:p w:rsidR="00B462EB" w:rsidRPr="00053E81" w:rsidRDefault="001963A4"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Organization Type</w:t>
            </w:r>
          </w:p>
        </w:tc>
        <w:tc>
          <w:tcPr>
            <w:tcW w:w="1670" w:type="dxa"/>
            <w:shd w:val="clear" w:color="auto" w:fill="DBE5F1" w:themeFill="accent1" w:themeFillTint="33"/>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0"/>
              </w:rPr>
            </w:pPr>
            <w:r w:rsidRPr="00053E81">
              <w:rPr>
                <w:rFonts w:asciiTheme="minorHAnsi" w:hAnsiTheme="minorHAnsi" w:cstheme="minorHAnsi"/>
                <w:b/>
                <w:sz w:val="20"/>
              </w:rPr>
              <w:t>Country</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1</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 xml:space="preserve">Dominique </w:t>
            </w:r>
            <w:proofErr w:type="spellStart"/>
            <w:r w:rsidRPr="00053E81">
              <w:rPr>
                <w:rFonts w:asciiTheme="minorHAnsi" w:hAnsiTheme="minorHAnsi" w:cstheme="minorHAnsi"/>
                <w:sz w:val="20"/>
              </w:rPr>
              <w:t>Guillaud</w:t>
            </w:r>
            <w:proofErr w:type="spellEnd"/>
          </w:p>
        </w:tc>
        <w:tc>
          <w:tcPr>
            <w:tcW w:w="36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Institut de Recherche pour le Développement (IRD)</w:t>
            </w:r>
          </w:p>
        </w:tc>
        <w:tc>
          <w:tcPr>
            <w:tcW w:w="1710" w:type="dxa"/>
          </w:tcPr>
          <w:p w:rsidR="00B462EB" w:rsidRPr="00053E81" w:rsidRDefault="00C42C3F"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proofErr w:type="spellStart"/>
            <w:r w:rsidRPr="00053E81">
              <w:rPr>
                <w:rFonts w:asciiTheme="minorHAnsi" w:hAnsiTheme="minorHAnsi" w:cstheme="minorHAnsi"/>
                <w:sz w:val="20"/>
                <w:lang w:val="fr-FR"/>
              </w:rPr>
              <w:t>Academic</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research</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institute</w:t>
            </w:r>
            <w:proofErr w:type="spellEnd"/>
            <w:r w:rsidRPr="00053E81">
              <w:rPr>
                <w:rFonts w:asciiTheme="minorHAnsi" w:hAnsiTheme="minorHAnsi" w:cstheme="minorHAnsi"/>
                <w:sz w:val="20"/>
                <w:lang w:val="fr-FR"/>
              </w:rPr>
              <w:t xml:space="preserve"> </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France</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2</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Reiko Hasegawa</w:t>
            </w:r>
          </w:p>
        </w:tc>
        <w:tc>
          <w:tcPr>
            <w:tcW w:w="3610" w:type="dxa"/>
          </w:tcPr>
          <w:p w:rsidR="00B462EB" w:rsidRPr="00053E81" w:rsidRDefault="00B462EB" w:rsidP="00405149">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Institut du Développement durable et des Relations internationales (IDDRI)</w:t>
            </w:r>
          </w:p>
        </w:tc>
        <w:tc>
          <w:tcPr>
            <w:tcW w:w="1710" w:type="dxa"/>
          </w:tcPr>
          <w:p w:rsidR="00B462EB" w:rsidRPr="00053E81" w:rsidRDefault="00C42C3F"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proofErr w:type="spellStart"/>
            <w:r w:rsidRPr="00053E81">
              <w:rPr>
                <w:rFonts w:asciiTheme="minorHAnsi" w:hAnsiTheme="minorHAnsi" w:cstheme="minorHAnsi"/>
                <w:sz w:val="20"/>
                <w:lang w:val="fr-FR"/>
              </w:rPr>
              <w:t>Academic</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research</w:t>
            </w:r>
            <w:proofErr w:type="spellEnd"/>
            <w:r w:rsidRPr="00053E81">
              <w:rPr>
                <w:rFonts w:asciiTheme="minorHAnsi" w:hAnsiTheme="minorHAnsi" w:cstheme="minorHAnsi"/>
                <w:sz w:val="20"/>
                <w:lang w:val="fr-FR"/>
              </w:rPr>
              <w:t xml:space="preserve"> </w:t>
            </w:r>
            <w:proofErr w:type="spellStart"/>
            <w:r w:rsidRPr="00053E81">
              <w:rPr>
                <w:rFonts w:asciiTheme="minorHAnsi" w:hAnsiTheme="minorHAnsi" w:cstheme="minorHAnsi"/>
                <w:sz w:val="20"/>
                <w:lang w:val="fr-FR"/>
              </w:rPr>
              <w:t>institute</w:t>
            </w:r>
            <w:proofErr w:type="spellEnd"/>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France</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3</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 xml:space="preserve">Edina </w:t>
            </w:r>
            <w:proofErr w:type="spellStart"/>
            <w:r w:rsidRPr="00053E81">
              <w:rPr>
                <w:rFonts w:asciiTheme="minorHAnsi" w:hAnsiTheme="minorHAnsi" w:cstheme="minorHAnsi"/>
                <w:sz w:val="20"/>
              </w:rPr>
              <w:t>Ifticene</w:t>
            </w:r>
            <w:proofErr w:type="spellEnd"/>
          </w:p>
        </w:tc>
        <w:tc>
          <w:tcPr>
            <w:tcW w:w="36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 xml:space="preserve">WWF </w:t>
            </w:r>
            <w:r w:rsidR="00D00523" w:rsidRPr="00053E81">
              <w:rPr>
                <w:rFonts w:asciiTheme="minorHAnsi" w:hAnsiTheme="minorHAnsi" w:cstheme="minorHAnsi"/>
                <w:sz w:val="20"/>
                <w:lang w:val="fr-FR"/>
              </w:rPr>
              <w:t>France</w:t>
            </w:r>
          </w:p>
        </w:tc>
        <w:tc>
          <w:tcPr>
            <w:tcW w:w="17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NGO</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fr-FR"/>
              </w:rPr>
            </w:pPr>
            <w:r w:rsidRPr="00053E81">
              <w:rPr>
                <w:rFonts w:asciiTheme="minorHAnsi" w:hAnsiTheme="minorHAnsi" w:cstheme="minorHAnsi"/>
                <w:sz w:val="20"/>
                <w:lang w:val="fr-FR"/>
              </w:rPr>
              <w:t>France</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4</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proofErr w:type="spellStart"/>
            <w:r w:rsidRPr="00053E81">
              <w:rPr>
                <w:rFonts w:asciiTheme="minorHAnsi" w:hAnsiTheme="minorHAnsi" w:cstheme="minorHAnsi"/>
                <w:sz w:val="20"/>
              </w:rPr>
              <w:t>Alexandre</w:t>
            </w:r>
            <w:proofErr w:type="spellEnd"/>
            <w:r w:rsidRPr="00053E81">
              <w:rPr>
                <w:rFonts w:asciiTheme="minorHAnsi" w:hAnsiTheme="minorHAnsi" w:cstheme="minorHAnsi"/>
                <w:sz w:val="20"/>
              </w:rPr>
              <w:t xml:space="preserve"> Côte</w:t>
            </w:r>
          </w:p>
        </w:tc>
        <w:tc>
          <w:tcPr>
            <w:tcW w:w="3610" w:type="dxa"/>
          </w:tcPr>
          <w:p w:rsidR="00B462EB" w:rsidRPr="00053E81" w:rsidRDefault="00B462EB" w:rsidP="00876652">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International Disability Alliance (Secretariat)</w:t>
            </w:r>
          </w:p>
        </w:tc>
        <w:tc>
          <w:tcPr>
            <w:tcW w:w="17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en-US"/>
              </w:rPr>
            </w:pPr>
            <w:r w:rsidRPr="00053E81">
              <w:rPr>
                <w:rFonts w:asciiTheme="minorHAnsi" w:hAnsiTheme="minorHAnsi" w:cstheme="minorHAnsi"/>
                <w:sz w:val="20"/>
                <w:lang w:val="en-US"/>
              </w:rPr>
              <w:t>NGO</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lang w:val="en-US"/>
              </w:rPr>
            </w:pPr>
            <w:r w:rsidRPr="00053E81">
              <w:rPr>
                <w:rFonts w:asciiTheme="minorHAnsi" w:hAnsiTheme="minorHAnsi" w:cstheme="minorHAnsi"/>
                <w:sz w:val="20"/>
                <w:lang w:val="en-US"/>
              </w:rPr>
              <w:t>France</w:t>
            </w:r>
          </w:p>
        </w:tc>
      </w:tr>
      <w:tr w:rsidR="00B462EB" w:rsidRPr="00053E81" w:rsidTr="00D00523">
        <w:tc>
          <w:tcPr>
            <w:tcW w:w="587" w:type="dxa"/>
          </w:tcPr>
          <w:p w:rsidR="00B462EB" w:rsidRPr="00053E81" w:rsidRDefault="00E2592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5</w:t>
            </w:r>
          </w:p>
        </w:tc>
        <w:tc>
          <w:tcPr>
            <w:tcW w:w="1833" w:type="dxa"/>
          </w:tcPr>
          <w:p w:rsidR="00B462EB" w:rsidRPr="00053E81" w:rsidRDefault="00E2592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proofErr w:type="spellStart"/>
            <w:r w:rsidRPr="00053E81">
              <w:rPr>
                <w:rFonts w:asciiTheme="minorHAnsi" w:hAnsiTheme="minorHAnsi" w:cstheme="minorHAnsi"/>
                <w:sz w:val="20"/>
              </w:rPr>
              <w:t>Carolin</w:t>
            </w:r>
            <w:proofErr w:type="spellEnd"/>
            <w:r w:rsidRPr="00053E81">
              <w:rPr>
                <w:rFonts w:asciiTheme="minorHAnsi" w:hAnsiTheme="minorHAnsi" w:cstheme="minorHAnsi"/>
                <w:sz w:val="20"/>
              </w:rPr>
              <w:t xml:space="preserve"> </w:t>
            </w:r>
            <w:proofErr w:type="spellStart"/>
            <w:r w:rsidRPr="00053E81">
              <w:rPr>
                <w:rFonts w:asciiTheme="minorHAnsi" w:hAnsiTheme="minorHAnsi" w:cstheme="minorHAnsi"/>
                <w:sz w:val="20"/>
              </w:rPr>
              <w:t>Vollman</w:t>
            </w:r>
            <w:r w:rsidR="00C42C3F" w:rsidRPr="00053E81">
              <w:rPr>
                <w:rFonts w:asciiTheme="minorHAnsi" w:hAnsiTheme="minorHAnsi" w:cstheme="minorHAnsi"/>
                <w:sz w:val="20"/>
              </w:rPr>
              <w:t>n</w:t>
            </w:r>
            <w:proofErr w:type="spellEnd"/>
          </w:p>
        </w:tc>
        <w:tc>
          <w:tcPr>
            <w:tcW w:w="3610" w:type="dxa"/>
          </w:tcPr>
          <w:p w:rsidR="00B462EB" w:rsidRPr="00053E81" w:rsidRDefault="00E25920" w:rsidP="00AC41BC">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International Trade Union Confederation (ITUC)</w:t>
            </w:r>
          </w:p>
        </w:tc>
        <w:tc>
          <w:tcPr>
            <w:tcW w:w="1710" w:type="dxa"/>
          </w:tcPr>
          <w:p w:rsidR="00B462EB" w:rsidRPr="00053E81" w:rsidRDefault="00C42C3F"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Trade union confederation</w:t>
            </w:r>
          </w:p>
        </w:tc>
        <w:tc>
          <w:tcPr>
            <w:tcW w:w="1670" w:type="dxa"/>
          </w:tcPr>
          <w:p w:rsidR="00B462EB" w:rsidRPr="00053E81" w:rsidRDefault="00E2592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Belgium</w:t>
            </w:r>
          </w:p>
        </w:tc>
      </w:tr>
      <w:tr w:rsidR="00B462EB" w:rsidRPr="00053E81" w:rsidTr="00D00523">
        <w:tc>
          <w:tcPr>
            <w:tcW w:w="587"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6</w:t>
            </w:r>
          </w:p>
        </w:tc>
        <w:tc>
          <w:tcPr>
            <w:tcW w:w="1833"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 xml:space="preserve">David </w:t>
            </w:r>
            <w:proofErr w:type="spellStart"/>
            <w:r w:rsidRPr="00053E81">
              <w:rPr>
                <w:rFonts w:asciiTheme="minorHAnsi" w:hAnsiTheme="minorHAnsi" w:cstheme="minorHAnsi"/>
                <w:sz w:val="20"/>
              </w:rPr>
              <w:t>Pred</w:t>
            </w:r>
            <w:proofErr w:type="spellEnd"/>
          </w:p>
        </w:tc>
        <w:tc>
          <w:tcPr>
            <w:tcW w:w="361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Inclusive Development</w:t>
            </w:r>
            <w:r w:rsidR="00484AAC" w:rsidRPr="00053E81">
              <w:rPr>
                <w:rFonts w:asciiTheme="minorHAnsi" w:hAnsiTheme="minorHAnsi" w:cstheme="minorHAnsi"/>
                <w:sz w:val="20"/>
              </w:rPr>
              <w:t xml:space="preserve"> International</w:t>
            </w:r>
          </w:p>
        </w:tc>
        <w:tc>
          <w:tcPr>
            <w:tcW w:w="1710" w:type="dxa"/>
          </w:tcPr>
          <w:p w:rsidR="00B462EB" w:rsidRPr="00053E81" w:rsidRDefault="00484AAC"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NGO</w:t>
            </w:r>
          </w:p>
        </w:tc>
        <w:tc>
          <w:tcPr>
            <w:tcW w:w="1670" w:type="dxa"/>
          </w:tcPr>
          <w:p w:rsidR="00B462EB" w:rsidRPr="00053E81" w:rsidRDefault="00B462E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0"/>
              </w:rPr>
            </w:pPr>
            <w:r w:rsidRPr="00053E81">
              <w:rPr>
                <w:rFonts w:asciiTheme="minorHAnsi" w:hAnsiTheme="minorHAnsi" w:cstheme="minorHAnsi"/>
                <w:sz w:val="20"/>
              </w:rPr>
              <w:t>US/Cambodia</w:t>
            </w:r>
          </w:p>
        </w:tc>
      </w:tr>
    </w:tbl>
    <w:p w:rsidR="00C83796" w:rsidRPr="0016113C" w:rsidRDefault="00C83796" w:rsidP="00511743">
      <w:pPr>
        <w:spacing w:line="240" w:lineRule="auto"/>
        <w:rPr>
          <w:rFonts w:asciiTheme="minorHAnsi" w:hAnsiTheme="minorHAnsi" w:cstheme="minorHAnsi"/>
        </w:rPr>
      </w:pPr>
    </w:p>
    <w:sectPr w:rsidR="00C83796" w:rsidRPr="0016113C" w:rsidSect="00053E81">
      <w:footerReference w:type="defaul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76" w:rsidRDefault="00897776" w:rsidP="00053E81">
      <w:pPr>
        <w:spacing w:after="0" w:line="240" w:lineRule="auto"/>
      </w:pPr>
      <w:r>
        <w:separator/>
      </w:r>
    </w:p>
  </w:endnote>
  <w:endnote w:type="continuationSeparator" w:id="0">
    <w:p w:rsidR="00897776" w:rsidRDefault="00897776" w:rsidP="0005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29513"/>
      <w:docPartObj>
        <w:docPartGallery w:val="Page Numbers (Bottom of Page)"/>
        <w:docPartUnique/>
      </w:docPartObj>
    </w:sdtPr>
    <w:sdtEndPr>
      <w:rPr>
        <w:noProof/>
        <w:sz w:val="18"/>
        <w:szCs w:val="18"/>
      </w:rPr>
    </w:sdtEndPr>
    <w:sdtContent>
      <w:p w:rsidR="00053E81" w:rsidRPr="00053E81" w:rsidRDefault="004D6EFE">
        <w:pPr>
          <w:pStyle w:val="Footer"/>
          <w:jc w:val="right"/>
          <w:rPr>
            <w:sz w:val="18"/>
            <w:szCs w:val="18"/>
          </w:rPr>
        </w:pPr>
        <w:r w:rsidRPr="00053E81">
          <w:rPr>
            <w:sz w:val="18"/>
            <w:szCs w:val="18"/>
          </w:rPr>
          <w:fldChar w:fldCharType="begin"/>
        </w:r>
        <w:r w:rsidR="00053E81" w:rsidRPr="00053E81">
          <w:rPr>
            <w:sz w:val="18"/>
            <w:szCs w:val="18"/>
          </w:rPr>
          <w:instrText xml:space="preserve"> PAGE   \* MERGEFORMAT </w:instrText>
        </w:r>
        <w:r w:rsidRPr="00053E81">
          <w:rPr>
            <w:sz w:val="18"/>
            <w:szCs w:val="18"/>
          </w:rPr>
          <w:fldChar w:fldCharType="separate"/>
        </w:r>
        <w:r w:rsidR="002C5298">
          <w:rPr>
            <w:noProof/>
            <w:sz w:val="18"/>
            <w:szCs w:val="18"/>
          </w:rPr>
          <w:t>1</w:t>
        </w:r>
        <w:r w:rsidRPr="00053E81">
          <w:rPr>
            <w:noProof/>
            <w:sz w:val="18"/>
            <w:szCs w:val="18"/>
          </w:rPr>
          <w:fldChar w:fldCharType="end"/>
        </w:r>
      </w:p>
    </w:sdtContent>
  </w:sdt>
  <w:p w:rsidR="00053E81" w:rsidRDefault="00053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76" w:rsidRDefault="00897776" w:rsidP="00053E81">
      <w:pPr>
        <w:spacing w:after="0" w:line="240" w:lineRule="auto"/>
      </w:pPr>
      <w:r>
        <w:separator/>
      </w:r>
    </w:p>
  </w:footnote>
  <w:footnote w:type="continuationSeparator" w:id="0">
    <w:p w:rsidR="00897776" w:rsidRDefault="00897776" w:rsidP="0005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FD87280"/>
    <w:multiLevelType w:val="hybridMultilevel"/>
    <w:tmpl w:val="F09C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7"/>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3E81"/>
    <w:rsid w:val="0005441A"/>
    <w:rsid w:val="000548B0"/>
    <w:rsid w:val="000552B2"/>
    <w:rsid w:val="00060E78"/>
    <w:rsid w:val="0006368C"/>
    <w:rsid w:val="00063962"/>
    <w:rsid w:val="00070120"/>
    <w:rsid w:val="00072285"/>
    <w:rsid w:val="00073410"/>
    <w:rsid w:val="00074B18"/>
    <w:rsid w:val="00075206"/>
    <w:rsid w:val="00076EBA"/>
    <w:rsid w:val="000804BC"/>
    <w:rsid w:val="0008247F"/>
    <w:rsid w:val="000840E3"/>
    <w:rsid w:val="000846D8"/>
    <w:rsid w:val="00084786"/>
    <w:rsid w:val="00084F23"/>
    <w:rsid w:val="00087EFD"/>
    <w:rsid w:val="00090ABD"/>
    <w:rsid w:val="000911A4"/>
    <w:rsid w:val="000949E3"/>
    <w:rsid w:val="0009653F"/>
    <w:rsid w:val="000A0706"/>
    <w:rsid w:val="000A1025"/>
    <w:rsid w:val="000A1D09"/>
    <w:rsid w:val="000A20EB"/>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565"/>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3828"/>
    <w:rsid w:val="000F6121"/>
    <w:rsid w:val="0010310B"/>
    <w:rsid w:val="00103FF9"/>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42422"/>
    <w:rsid w:val="001425F1"/>
    <w:rsid w:val="001446A4"/>
    <w:rsid w:val="001473D8"/>
    <w:rsid w:val="00150FF5"/>
    <w:rsid w:val="00151385"/>
    <w:rsid w:val="00152A4F"/>
    <w:rsid w:val="00152A50"/>
    <w:rsid w:val="00154946"/>
    <w:rsid w:val="00157C22"/>
    <w:rsid w:val="00160866"/>
    <w:rsid w:val="0016095E"/>
    <w:rsid w:val="0016113C"/>
    <w:rsid w:val="00164796"/>
    <w:rsid w:val="00164D86"/>
    <w:rsid w:val="001659F5"/>
    <w:rsid w:val="00167922"/>
    <w:rsid w:val="001732E5"/>
    <w:rsid w:val="00173DB1"/>
    <w:rsid w:val="0017514C"/>
    <w:rsid w:val="00176E03"/>
    <w:rsid w:val="00181C7B"/>
    <w:rsid w:val="00191FEC"/>
    <w:rsid w:val="00193F74"/>
    <w:rsid w:val="00194B41"/>
    <w:rsid w:val="001963A4"/>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4DC8"/>
    <w:rsid w:val="00235E30"/>
    <w:rsid w:val="00236B1E"/>
    <w:rsid w:val="00236BBB"/>
    <w:rsid w:val="0024071F"/>
    <w:rsid w:val="00241392"/>
    <w:rsid w:val="00242481"/>
    <w:rsid w:val="00243325"/>
    <w:rsid w:val="00247024"/>
    <w:rsid w:val="00247D4B"/>
    <w:rsid w:val="002504DB"/>
    <w:rsid w:val="00251053"/>
    <w:rsid w:val="002530C3"/>
    <w:rsid w:val="0025654F"/>
    <w:rsid w:val="0025726F"/>
    <w:rsid w:val="00257CBD"/>
    <w:rsid w:val="00260B02"/>
    <w:rsid w:val="00260CAF"/>
    <w:rsid w:val="00262E45"/>
    <w:rsid w:val="00263C9B"/>
    <w:rsid w:val="00266E73"/>
    <w:rsid w:val="00267E4F"/>
    <w:rsid w:val="0027061F"/>
    <w:rsid w:val="00271E83"/>
    <w:rsid w:val="002741B0"/>
    <w:rsid w:val="00275EEC"/>
    <w:rsid w:val="002769A5"/>
    <w:rsid w:val="00276E87"/>
    <w:rsid w:val="00277242"/>
    <w:rsid w:val="00277B2B"/>
    <w:rsid w:val="0028364D"/>
    <w:rsid w:val="002847BC"/>
    <w:rsid w:val="0028482B"/>
    <w:rsid w:val="00290851"/>
    <w:rsid w:val="002916F7"/>
    <w:rsid w:val="00292218"/>
    <w:rsid w:val="0029293A"/>
    <w:rsid w:val="002A084F"/>
    <w:rsid w:val="002A3523"/>
    <w:rsid w:val="002A6937"/>
    <w:rsid w:val="002A6E57"/>
    <w:rsid w:val="002A720E"/>
    <w:rsid w:val="002B1198"/>
    <w:rsid w:val="002B41F2"/>
    <w:rsid w:val="002B5756"/>
    <w:rsid w:val="002B5E51"/>
    <w:rsid w:val="002B6717"/>
    <w:rsid w:val="002C14F2"/>
    <w:rsid w:val="002C433F"/>
    <w:rsid w:val="002C5298"/>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0F43"/>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2B1C"/>
    <w:rsid w:val="003B6AC9"/>
    <w:rsid w:val="003B6F24"/>
    <w:rsid w:val="003B7836"/>
    <w:rsid w:val="003B7ABF"/>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29AC"/>
    <w:rsid w:val="003F51A0"/>
    <w:rsid w:val="003F5300"/>
    <w:rsid w:val="003F534D"/>
    <w:rsid w:val="003F7514"/>
    <w:rsid w:val="003F77BE"/>
    <w:rsid w:val="0040036D"/>
    <w:rsid w:val="00400EBD"/>
    <w:rsid w:val="0040324C"/>
    <w:rsid w:val="00404271"/>
    <w:rsid w:val="00405149"/>
    <w:rsid w:val="004055EE"/>
    <w:rsid w:val="00405E63"/>
    <w:rsid w:val="00406D76"/>
    <w:rsid w:val="00410619"/>
    <w:rsid w:val="004117EB"/>
    <w:rsid w:val="00420CB8"/>
    <w:rsid w:val="00421E83"/>
    <w:rsid w:val="00423539"/>
    <w:rsid w:val="00423A4F"/>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03A"/>
    <w:rsid w:val="00461322"/>
    <w:rsid w:val="0046332B"/>
    <w:rsid w:val="00463429"/>
    <w:rsid w:val="00464F56"/>
    <w:rsid w:val="00465B74"/>
    <w:rsid w:val="0046743E"/>
    <w:rsid w:val="00467BE2"/>
    <w:rsid w:val="00471F6F"/>
    <w:rsid w:val="00474448"/>
    <w:rsid w:val="004747CC"/>
    <w:rsid w:val="00476F7C"/>
    <w:rsid w:val="00480749"/>
    <w:rsid w:val="00480B90"/>
    <w:rsid w:val="0048208C"/>
    <w:rsid w:val="004827DA"/>
    <w:rsid w:val="004842F6"/>
    <w:rsid w:val="00484AAC"/>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D5D40"/>
    <w:rsid w:val="004D6EFE"/>
    <w:rsid w:val="004E0DE6"/>
    <w:rsid w:val="004E2902"/>
    <w:rsid w:val="004E4F9E"/>
    <w:rsid w:val="004E740B"/>
    <w:rsid w:val="004F285D"/>
    <w:rsid w:val="004F344D"/>
    <w:rsid w:val="004F3883"/>
    <w:rsid w:val="004F42C2"/>
    <w:rsid w:val="004F6C98"/>
    <w:rsid w:val="0050097E"/>
    <w:rsid w:val="00503048"/>
    <w:rsid w:val="00504D63"/>
    <w:rsid w:val="005056F0"/>
    <w:rsid w:val="005078BE"/>
    <w:rsid w:val="00511743"/>
    <w:rsid w:val="00512372"/>
    <w:rsid w:val="0051263E"/>
    <w:rsid w:val="00513230"/>
    <w:rsid w:val="00513BF7"/>
    <w:rsid w:val="005170EF"/>
    <w:rsid w:val="00526722"/>
    <w:rsid w:val="00527B8E"/>
    <w:rsid w:val="005302B7"/>
    <w:rsid w:val="00530496"/>
    <w:rsid w:val="00530C5F"/>
    <w:rsid w:val="00535201"/>
    <w:rsid w:val="00542C8E"/>
    <w:rsid w:val="005452F5"/>
    <w:rsid w:val="0054605B"/>
    <w:rsid w:val="00546FB4"/>
    <w:rsid w:val="0054705D"/>
    <w:rsid w:val="005506FD"/>
    <w:rsid w:val="0055301B"/>
    <w:rsid w:val="00553989"/>
    <w:rsid w:val="0055506D"/>
    <w:rsid w:val="00555582"/>
    <w:rsid w:val="00555B05"/>
    <w:rsid w:val="00557307"/>
    <w:rsid w:val="00560118"/>
    <w:rsid w:val="0056052F"/>
    <w:rsid w:val="00560A2C"/>
    <w:rsid w:val="005627C4"/>
    <w:rsid w:val="0056415B"/>
    <w:rsid w:val="00565247"/>
    <w:rsid w:val="00565477"/>
    <w:rsid w:val="00565FCF"/>
    <w:rsid w:val="00567B85"/>
    <w:rsid w:val="005709A1"/>
    <w:rsid w:val="005730D4"/>
    <w:rsid w:val="005737B3"/>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755"/>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D09"/>
    <w:rsid w:val="006B2E6C"/>
    <w:rsid w:val="006B42AE"/>
    <w:rsid w:val="006B59E4"/>
    <w:rsid w:val="006C08D2"/>
    <w:rsid w:val="006C0FE9"/>
    <w:rsid w:val="006C103B"/>
    <w:rsid w:val="006C3366"/>
    <w:rsid w:val="006C5D05"/>
    <w:rsid w:val="006D1D4B"/>
    <w:rsid w:val="006D283D"/>
    <w:rsid w:val="006D2ADC"/>
    <w:rsid w:val="006D352F"/>
    <w:rsid w:val="006D4863"/>
    <w:rsid w:val="006D76E9"/>
    <w:rsid w:val="006E1D7C"/>
    <w:rsid w:val="006E1FFE"/>
    <w:rsid w:val="006E3053"/>
    <w:rsid w:val="006E372D"/>
    <w:rsid w:val="006E392D"/>
    <w:rsid w:val="006E6151"/>
    <w:rsid w:val="006E7A9B"/>
    <w:rsid w:val="006F3692"/>
    <w:rsid w:val="006F69CB"/>
    <w:rsid w:val="006F783B"/>
    <w:rsid w:val="007013BF"/>
    <w:rsid w:val="00703D47"/>
    <w:rsid w:val="0070428B"/>
    <w:rsid w:val="00706892"/>
    <w:rsid w:val="0071179F"/>
    <w:rsid w:val="00713445"/>
    <w:rsid w:val="0071361F"/>
    <w:rsid w:val="0071514D"/>
    <w:rsid w:val="00716842"/>
    <w:rsid w:val="00716EA3"/>
    <w:rsid w:val="00717EDF"/>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6992"/>
    <w:rsid w:val="00756A93"/>
    <w:rsid w:val="007574A5"/>
    <w:rsid w:val="00757C0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90B"/>
    <w:rsid w:val="007E31A6"/>
    <w:rsid w:val="007E41A0"/>
    <w:rsid w:val="007E50EC"/>
    <w:rsid w:val="007E6244"/>
    <w:rsid w:val="007E7603"/>
    <w:rsid w:val="007E7BA4"/>
    <w:rsid w:val="007F0684"/>
    <w:rsid w:val="007F2303"/>
    <w:rsid w:val="007F25F3"/>
    <w:rsid w:val="008028A2"/>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05"/>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652"/>
    <w:rsid w:val="00876E51"/>
    <w:rsid w:val="00884F89"/>
    <w:rsid w:val="00885CF3"/>
    <w:rsid w:val="008910A9"/>
    <w:rsid w:val="00891BF3"/>
    <w:rsid w:val="00896564"/>
    <w:rsid w:val="00897776"/>
    <w:rsid w:val="008A0A78"/>
    <w:rsid w:val="008A15C6"/>
    <w:rsid w:val="008A308C"/>
    <w:rsid w:val="008A35A6"/>
    <w:rsid w:val="008A3B5C"/>
    <w:rsid w:val="008A3F0A"/>
    <w:rsid w:val="008A446E"/>
    <w:rsid w:val="008B529F"/>
    <w:rsid w:val="008B619D"/>
    <w:rsid w:val="008B6FA4"/>
    <w:rsid w:val="008C038A"/>
    <w:rsid w:val="008C0E97"/>
    <w:rsid w:val="008C1073"/>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4E4"/>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CF8"/>
    <w:rsid w:val="00925A99"/>
    <w:rsid w:val="00925FB8"/>
    <w:rsid w:val="00927BF7"/>
    <w:rsid w:val="00927DA4"/>
    <w:rsid w:val="00933126"/>
    <w:rsid w:val="009332E9"/>
    <w:rsid w:val="00937127"/>
    <w:rsid w:val="00941BAF"/>
    <w:rsid w:val="00942BF3"/>
    <w:rsid w:val="00943C12"/>
    <w:rsid w:val="00947657"/>
    <w:rsid w:val="009528FD"/>
    <w:rsid w:val="00954741"/>
    <w:rsid w:val="00954766"/>
    <w:rsid w:val="00957281"/>
    <w:rsid w:val="00957F0A"/>
    <w:rsid w:val="00963A7D"/>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5E57"/>
    <w:rsid w:val="00986495"/>
    <w:rsid w:val="00987052"/>
    <w:rsid w:val="009908F0"/>
    <w:rsid w:val="00991D61"/>
    <w:rsid w:val="00991F4F"/>
    <w:rsid w:val="00993FE3"/>
    <w:rsid w:val="00995765"/>
    <w:rsid w:val="0099712C"/>
    <w:rsid w:val="0099741A"/>
    <w:rsid w:val="00997FB9"/>
    <w:rsid w:val="009A26E0"/>
    <w:rsid w:val="009A54B7"/>
    <w:rsid w:val="009A7971"/>
    <w:rsid w:val="009B28D3"/>
    <w:rsid w:val="009B3AA8"/>
    <w:rsid w:val="009B3FA7"/>
    <w:rsid w:val="009B43FC"/>
    <w:rsid w:val="009B4C84"/>
    <w:rsid w:val="009B50A1"/>
    <w:rsid w:val="009C0632"/>
    <w:rsid w:val="009C19B8"/>
    <w:rsid w:val="009C35B6"/>
    <w:rsid w:val="009C3DFB"/>
    <w:rsid w:val="009C75CB"/>
    <w:rsid w:val="009D10C4"/>
    <w:rsid w:val="009D13FD"/>
    <w:rsid w:val="009D4567"/>
    <w:rsid w:val="009E0086"/>
    <w:rsid w:val="009E0A1F"/>
    <w:rsid w:val="009E4152"/>
    <w:rsid w:val="009F003E"/>
    <w:rsid w:val="009F117A"/>
    <w:rsid w:val="009F2351"/>
    <w:rsid w:val="009F496F"/>
    <w:rsid w:val="009F4CAC"/>
    <w:rsid w:val="009F6226"/>
    <w:rsid w:val="009F6728"/>
    <w:rsid w:val="009F6912"/>
    <w:rsid w:val="009F6ED7"/>
    <w:rsid w:val="009F7174"/>
    <w:rsid w:val="009F747E"/>
    <w:rsid w:val="00A022A1"/>
    <w:rsid w:val="00A0251D"/>
    <w:rsid w:val="00A12A5E"/>
    <w:rsid w:val="00A14370"/>
    <w:rsid w:val="00A160A1"/>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0D69"/>
    <w:rsid w:val="00A51147"/>
    <w:rsid w:val="00A53791"/>
    <w:rsid w:val="00A5542C"/>
    <w:rsid w:val="00A557E5"/>
    <w:rsid w:val="00A569BC"/>
    <w:rsid w:val="00A60231"/>
    <w:rsid w:val="00A630B5"/>
    <w:rsid w:val="00A65885"/>
    <w:rsid w:val="00A669F7"/>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2C6B"/>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CC4"/>
    <w:rsid w:val="00AC1A67"/>
    <w:rsid w:val="00AC41BC"/>
    <w:rsid w:val="00AC4ACC"/>
    <w:rsid w:val="00AC664A"/>
    <w:rsid w:val="00AD12F9"/>
    <w:rsid w:val="00AD3CF0"/>
    <w:rsid w:val="00AD4A1E"/>
    <w:rsid w:val="00AE21AF"/>
    <w:rsid w:val="00AE3D6A"/>
    <w:rsid w:val="00AE5364"/>
    <w:rsid w:val="00AE6845"/>
    <w:rsid w:val="00AF0442"/>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2EB"/>
    <w:rsid w:val="00B464FA"/>
    <w:rsid w:val="00B530B9"/>
    <w:rsid w:val="00B557DE"/>
    <w:rsid w:val="00B55C84"/>
    <w:rsid w:val="00B567A4"/>
    <w:rsid w:val="00B571EF"/>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A2D"/>
    <w:rsid w:val="00BF2E60"/>
    <w:rsid w:val="00BF4CBC"/>
    <w:rsid w:val="00BF53B7"/>
    <w:rsid w:val="00BF57CF"/>
    <w:rsid w:val="00BF5857"/>
    <w:rsid w:val="00BF7098"/>
    <w:rsid w:val="00C0019D"/>
    <w:rsid w:val="00C00BD1"/>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2C3F"/>
    <w:rsid w:val="00C432B0"/>
    <w:rsid w:val="00C43537"/>
    <w:rsid w:val="00C436F7"/>
    <w:rsid w:val="00C46257"/>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2D74"/>
    <w:rsid w:val="00CB469E"/>
    <w:rsid w:val="00CB4AB1"/>
    <w:rsid w:val="00CB55FA"/>
    <w:rsid w:val="00CB6ACD"/>
    <w:rsid w:val="00CB7945"/>
    <w:rsid w:val="00CC24A3"/>
    <w:rsid w:val="00CC3CDC"/>
    <w:rsid w:val="00CC401B"/>
    <w:rsid w:val="00CC7479"/>
    <w:rsid w:val="00CD1311"/>
    <w:rsid w:val="00CD3F11"/>
    <w:rsid w:val="00CD65EC"/>
    <w:rsid w:val="00CE5665"/>
    <w:rsid w:val="00CE6773"/>
    <w:rsid w:val="00CF5107"/>
    <w:rsid w:val="00CF618B"/>
    <w:rsid w:val="00D00523"/>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0E65"/>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94F9F"/>
    <w:rsid w:val="00DA193F"/>
    <w:rsid w:val="00DA3632"/>
    <w:rsid w:val="00DA66C0"/>
    <w:rsid w:val="00DB119B"/>
    <w:rsid w:val="00DB31BF"/>
    <w:rsid w:val="00DB3F55"/>
    <w:rsid w:val="00DC3DAF"/>
    <w:rsid w:val="00DC7802"/>
    <w:rsid w:val="00DD2D92"/>
    <w:rsid w:val="00DD3019"/>
    <w:rsid w:val="00DD3969"/>
    <w:rsid w:val="00DD4188"/>
    <w:rsid w:val="00DD5FE6"/>
    <w:rsid w:val="00DE4758"/>
    <w:rsid w:val="00DE7F57"/>
    <w:rsid w:val="00DE7FDB"/>
    <w:rsid w:val="00DF0216"/>
    <w:rsid w:val="00DF1C2A"/>
    <w:rsid w:val="00DF2221"/>
    <w:rsid w:val="00DF2D2D"/>
    <w:rsid w:val="00E01986"/>
    <w:rsid w:val="00E01AF8"/>
    <w:rsid w:val="00E02350"/>
    <w:rsid w:val="00E02ACE"/>
    <w:rsid w:val="00E04046"/>
    <w:rsid w:val="00E05D9A"/>
    <w:rsid w:val="00E13F74"/>
    <w:rsid w:val="00E14491"/>
    <w:rsid w:val="00E1604E"/>
    <w:rsid w:val="00E21702"/>
    <w:rsid w:val="00E24315"/>
    <w:rsid w:val="00E252A1"/>
    <w:rsid w:val="00E25920"/>
    <w:rsid w:val="00E27794"/>
    <w:rsid w:val="00E3364C"/>
    <w:rsid w:val="00E35427"/>
    <w:rsid w:val="00E3680D"/>
    <w:rsid w:val="00E418B2"/>
    <w:rsid w:val="00E41CE5"/>
    <w:rsid w:val="00E4256B"/>
    <w:rsid w:val="00E42AEF"/>
    <w:rsid w:val="00E44AEA"/>
    <w:rsid w:val="00E45327"/>
    <w:rsid w:val="00E46264"/>
    <w:rsid w:val="00E50636"/>
    <w:rsid w:val="00E52735"/>
    <w:rsid w:val="00E57ACD"/>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B7F52"/>
    <w:rsid w:val="00EC13E1"/>
    <w:rsid w:val="00EC6759"/>
    <w:rsid w:val="00EC71FB"/>
    <w:rsid w:val="00ED1445"/>
    <w:rsid w:val="00ED3F10"/>
    <w:rsid w:val="00ED4856"/>
    <w:rsid w:val="00ED53B3"/>
    <w:rsid w:val="00ED65C9"/>
    <w:rsid w:val="00EE24A9"/>
    <w:rsid w:val="00EE33DF"/>
    <w:rsid w:val="00EE37B8"/>
    <w:rsid w:val="00EE49D9"/>
    <w:rsid w:val="00EE4B48"/>
    <w:rsid w:val="00EE4C46"/>
    <w:rsid w:val="00EE5836"/>
    <w:rsid w:val="00EE6CA8"/>
    <w:rsid w:val="00EF0327"/>
    <w:rsid w:val="00EF13BB"/>
    <w:rsid w:val="00EF4196"/>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05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81"/>
    <w:rPr>
      <w:lang w:val="en-US" w:eastAsia="en-US"/>
    </w:rPr>
  </w:style>
  <w:style w:type="paragraph" w:styleId="Footer">
    <w:name w:val="footer"/>
    <w:basedOn w:val="Normal"/>
    <w:link w:val="FooterChar"/>
    <w:uiPriority w:val="99"/>
    <w:unhideWhenUsed/>
    <w:rsid w:val="0005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8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05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81"/>
    <w:rPr>
      <w:lang w:val="en-US" w:eastAsia="en-US"/>
    </w:rPr>
  </w:style>
  <w:style w:type="paragraph" w:styleId="Footer">
    <w:name w:val="footer"/>
    <w:basedOn w:val="Normal"/>
    <w:link w:val="FooterChar"/>
    <w:uiPriority w:val="99"/>
    <w:unhideWhenUsed/>
    <w:rsid w:val="0005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8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149AB-525B-4427-8F9F-D73A7CAE3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AC3A6-6427-495B-9245-C1A61E93D95C}">
  <ds:schemaRefs>
    <ds:schemaRef ds:uri="http://schemas.microsoft.com/sharepoint/v3/contenttype/forms"/>
  </ds:schemaRefs>
</ds:datastoreItem>
</file>

<file path=customXml/itemProps3.xml><?xml version="1.0" encoding="utf-8"?>
<ds:datastoreItem xmlns:ds="http://schemas.openxmlformats.org/officeDocument/2006/customXml" ds:itemID="{D2FE691D-6E9D-4807-9955-BF268E304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Ida Mori</cp:lastModifiedBy>
  <cp:revision>2</cp:revision>
  <dcterms:created xsi:type="dcterms:W3CDTF">2013-06-03T13:19:00Z</dcterms:created>
  <dcterms:modified xsi:type="dcterms:W3CDTF">2013-06-03T13:19:00Z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