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97FDBF" w14:textId="77777777" w:rsidR="00EB75B9" w:rsidRPr="00DD4CC3" w:rsidRDefault="00EB75B9" w:rsidP="00EB75B9">
      <w:pPr>
        <w:jc w:val="center"/>
        <w:rPr>
          <w:rFonts w:asciiTheme="majorHAnsi" w:hAnsiTheme="majorHAnsi"/>
        </w:rPr>
      </w:pPr>
    </w:p>
    <w:p w14:paraId="1CEE6E5E" w14:textId="77777777" w:rsidR="00A35D65" w:rsidRPr="00A35D65" w:rsidRDefault="00A35D65" w:rsidP="00A35D65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A35D65">
        <w:rPr>
          <w:rFonts w:asciiTheme="minorHAnsi" w:hAnsiTheme="minorHAnsi" w:cstheme="minorHAnsi"/>
          <w:b/>
          <w:bCs/>
        </w:rPr>
        <w:t>Review and Update of the World Bank’s Environmental and Social Safeguard Policies</w:t>
      </w:r>
    </w:p>
    <w:p w14:paraId="020CC7DF" w14:textId="77777777" w:rsidR="00A35D65" w:rsidRPr="00A35D65" w:rsidRDefault="008C0E8A" w:rsidP="00C1018B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Phase </w:t>
      </w:r>
      <w:r w:rsidR="00C1018B">
        <w:rPr>
          <w:rFonts w:asciiTheme="minorHAnsi" w:hAnsiTheme="minorHAnsi" w:cstheme="minorHAnsi"/>
          <w:b/>
          <w:bCs/>
        </w:rPr>
        <w:t>3</w:t>
      </w:r>
    </w:p>
    <w:p w14:paraId="3F5C6092" w14:textId="77777777" w:rsidR="003E2779" w:rsidRPr="00A35D65" w:rsidRDefault="00A35D65" w:rsidP="00A35D65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 w:rsidRPr="00A35D65">
        <w:rPr>
          <w:rFonts w:asciiTheme="minorHAnsi" w:hAnsiTheme="minorHAnsi"/>
          <w:b/>
          <w:bCs/>
          <w:color w:val="auto"/>
          <w:sz w:val="24"/>
          <w:szCs w:val="24"/>
        </w:rPr>
        <w:t>F</w:t>
      </w:r>
      <w:r w:rsidR="003E2779" w:rsidRPr="00A35D65">
        <w:rPr>
          <w:rFonts w:asciiTheme="minorHAnsi" w:hAnsiTheme="minorHAnsi"/>
          <w:b/>
          <w:bCs/>
          <w:color w:val="auto"/>
          <w:sz w:val="24"/>
          <w:szCs w:val="24"/>
        </w:rPr>
        <w:t>eedback Summary</w:t>
      </w:r>
    </w:p>
    <w:p w14:paraId="55F1A179" w14:textId="14A2DB75" w:rsidR="00093B2C" w:rsidRPr="00025C8B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A35D65">
        <w:rPr>
          <w:rFonts w:asciiTheme="minorHAnsi" w:hAnsiTheme="minorHAnsi" w:cs="Times New Roman"/>
          <w:b/>
          <w:bCs/>
          <w:sz w:val="22"/>
          <w:szCs w:val="22"/>
          <w:lang w:val="en-US"/>
        </w:rPr>
        <w:t>Date</w:t>
      </w:r>
      <w:r w:rsidRPr="00025C8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: </w:t>
      </w:r>
      <w:r w:rsidR="00C83576" w:rsidRPr="00025C8B">
        <w:rPr>
          <w:rFonts w:asciiTheme="minorHAnsi" w:hAnsiTheme="minorHAnsi" w:cs="Times New Roman"/>
          <w:b/>
          <w:sz w:val="22"/>
          <w:szCs w:val="22"/>
          <w:lang w:val="en-US"/>
        </w:rPr>
        <w:t>November</w:t>
      </w:r>
      <w:r w:rsidR="00E628AE" w:rsidRPr="00025C8B">
        <w:rPr>
          <w:rFonts w:asciiTheme="minorHAnsi" w:hAnsiTheme="minorHAnsi" w:cs="Times New Roman"/>
          <w:b/>
          <w:sz w:val="22"/>
          <w:szCs w:val="22"/>
          <w:lang w:val="en-US"/>
        </w:rPr>
        <w:t xml:space="preserve"> 5</w:t>
      </w:r>
      <w:r w:rsidR="00C83576" w:rsidRPr="00025C8B">
        <w:rPr>
          <w:rFonts w:asciiTheme="minorHAnsi" w:hAnsiTheme="minorHAnsi" w:cs="Times New Roman"/>
          <w:b/>
          <w:sz w:val="22"/>
          <w:szCs w:val="22"/>
          <w:lang w:val="en-US"/>
        </w:rPr>
        <w:t>, 2015</w:t>
      </w:r>
    </w:p>
    <w:p w14:paraId="31CC8709" w14:textId="6F2843B1" w:rsidR="0028355B" w:rsidRPr="00025C8B" w:rsidRDefault="002E23E9" w:rsidP="00F85E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025C8B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025C8B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 w:rsidR="00124BBE" w:rsidRPr="00025C8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1661D3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New </w:t>
      </w:r>
      <w:bookmarkStart w:id="0" w:name="_GoBack"/>
      <w:bookmarkEnd w:id="0"/>
      <w:r w:rsidR="00CE30A7" w:rsidRPr="00025C8B">
        <w:rPr>
          <w:rFonts w:asciiTheme="minorHAnsi" w:hAnsiTheme="minorHAnsi" w:cs="Times New Roman"/>
          <w:b/>
          <w:sz w:val="22"/>
          <w:szCs w:val="22"/>
          <w:lang w:val="en-US"/>
        </w:rPr>
        <w:t>Delhi</w:t>
      </w:r>
      <w:r w:rsidR="00124BBE" w:rsidRPr="00025C8B">
        <w:rPr>
          <w:rFonts w:asciiTheme="minorHAnsi" w:hAnsiTheme="minorHAnsi" w:cs="Times New Roman"/>
          <w:b/>
          <w:sz w:val="22"/>
          <w:szCs w:val="22"/>
          <w:lang w:val="en-US"/>
        </w:rPr>
        <w:t xml:space="preserve">, </w:t>
      </w:r>
      <w:r w:rsidR="00F85E73" w:rsidRPr="00025C8B">
        <w:rPr>
          <w:rFonts w:asciiTheme="minorHAnsi" w:hAnsiTheme="minorHAnsi" w:cs="Times New Roman"/>
          <w:b/>
          <w:sz w:val="22"/>
          <w:szCs w:val="22"/>
          <w:lang w:val="en-US"/>
        </w:rPr>
        <w:t>India</w:t>
      </w:r>
      <w:r w:rsidR="00093B2C" w:rsidRPr="00025C8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</w:p>
    <w:p w14:paraId="0E652336" w14:textId="7A9D55F7" w:rsidR="0028355B" w:rsidRDefault="0028355B" w:rsidP="00936F2E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Audience </w:t>
      </w:r>
      <w:r w:rsidR="00375CB9">
        <w:rPr>
          <w:rFonts w:asciiTheme="minorHAnsi" w:hAnsiTheme="minorHAnsi" w:cs="Times New Roman"/>
          <w:b/>
          <w:bCs/>
          <w:sz w:val="22"/>
          <w:szCs w:val="22"/>
          <w:lang w:val="en-US"/>
        </w:rPr>
        <w:t>(Government, Multi-stakeholders</w:t>
      </w:r>
      <w:r>
        <w:rPr>
          <w:rFonts w:asciiTheme="minorHAnsi" w:hAnsiTheme="minorHAnsi" w:cs="Times New Roman"/>
          <w:b/>
          <w:bCs/>
          <w:sz w:val="22"/>
          <w:szCs w:val="22"/>
          <w:lang w:val="en-US"/>
        </w:rPr>
        <w:t>, etc.):</w:t>
      </w:r>
      <w:r w:rsidR="00F17F6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375CB9">
        <w:rPr>
          <w:rFonts w:asciiTheme="minorHAnsi" w:hAnsiTheme="minorHAnsi" w:cs="Times New Roman"/>
          <w:b/>
          <w:bCs/>
          <w:sz w:val="22"/>
          <w:szCs w:val="22"/>
          <w:lang w:val="en-US"/>
        </w:rPr>
        <w:t>Multi-stakeholders</w:t>
      </w:r>
    </w:p>
    <w:p w14:paraId="07CD0AB2" w14:textId="77777777" w:rsidR="001E3244" w:rsidRPr="00451E08" w:rsidRDefault="001E3244" w:rsidP="00936F2E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A35D65" w14:paraId="20527E1D" w14:textId="77777777" w:rsidTr="002C093B"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59049845" w14:textId="77777777" w:rsidR="00B16E9C" w:rsidRPr="008B074D" w:rsidRDefault="00A35D65" w:rsidP="00005E1C">
            <w:pPr>
              <w:pStyle w:val="BodyText2"/>
              <w:snapToGrid w:val="0"/>
              <w:spacing w:line="100" w:lineRule="atLeast"/>
              <w:ind w:right="0"/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</w:rPr>
            </w:pPr>
            <w:r w:rsidRPr="008B074D"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</w:rPr>
              <w:t xml:space="preserve">Specific </w:t>
            </w:r>
            <w:r w:rsidR="00B16E9C" w:rsidRPr="008B074D"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</w:rPr>
              <w:t>Feedback from Stakeholders</w:t>
            </w:r>
          </w:p>
        </w:tc>
      </w:tr>
      <w:tr w:rsidR="0013530E" w:rsidRPr="00A35D65" w14:paraId="42EB4217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17BCD95B" w14:textId="77777777" w:rsidR="0013530E" w:rsidRPr="008B074D" w:rsidRDefault="008B074D" w:rsidP="00502B14">
            <w:pPr>
              <w:pStyle w:val="ListParagraph"/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sz w:val="22"/>
                <w:szCs w:val="22"/>
              </w:rPr>
            </w:pPr>
            <w:r w:rsidRPr="008B074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General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Comments</w:t>
            </w:r>
          </w:p>
        </w:tc>
      </w:tr>
      <w:tr w:rsidR="002E23E9" w:rsidRPr="00A35D65" w14:paraId="7CF5534D" w14:textId="77777777" w:rsidTr="008B074D">
        <w:trPr>
          <w:trHeight w:val="458"/>
        </w:trPr>
        <w:tc>
          <w:tcPr>
            <w:tcW w:w="13320" w:type="dxa"/>
            <w:shd w:val="clear" w:color="auto" w:fill="auto"/>
          </w:tcPr>
          <w:p w14:paraId="56533183" w14:textId="77777777" w:rsidR="00AA5C68" w:rsidRDefault="00AA5C68" w:rsidP="00AA5C68">
            <w:pPr>
              <w:suppressAutoHyphens w:val="0"/>
              <w:spacing w:after="0" w:line="276" w:lineRule="auto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AA5C68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Comments and recommendations</w:t>
            </w:r>
          </w:p>
          <w:p w14:paraId="509F6187" w14:textId="7EACF2E5" w:rsidR="00CE30A7" w:rsidRDefault="00800F18" w:rsidP="00890D80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76" w:lineRule="auto"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There are many people who have not been invited to this consultation. </w:t>
            </w:r>
            <w:r w:rsidR="00AE1D8C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Bank should make more effort to </w:t>
            </w:r>
            <w:r w:rsidR="00AE1D8C"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make consultations more inclusive</w:t>
            </w:r>
            <w:r w:rsidR="00AE1D8C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.</w:t>
            </w:r>
            <w:r w:rsidR="00890D80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It is unfortunate that the Bank has not prepared the </w:t>
            </w:r>
            <w:r w:rsidR="00890D80"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Hindi translation</w:t>
            </w:r>
            <w:r w:rsid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of the proposed Environmental and Social </w:t>
            </w:r>
            <w:r w:rsidR="00890D80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F</w:t>
            </w:r>
            <w:r w:rsid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ramework (ESF)</w:t>
            </w:r>
            <w:r w:rsidR="00890D80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. </w:t>
            </w:r>
          </w:p>
          <w:p w14:paraId="0D6D6A50" w14:textId="7641C75C" w:rsidR="008D47BA" w:rsidRDefault="008D47BA" w:rsidP="00890D80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76" w:lineRule="auto"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This consultation is being held in a hotel in Delhi</w:t>
            </w:r>
            <w:r w:rsidR="00A67197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;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the Bank </w:t>
            </w:r>
            <w:r w:rsidR="00A67197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is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not reach</w:t>
            </w:r>
            <w:r w:rsidR="00A67197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ing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out </w:t>
            </w:r>
            <w:r w:rsidR="00A67197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to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poor and vulnerable people such as landless and informal sector people in rural areas.  </w:t>
            </w:r>
          </w:p>
          <w:p w14:paraId="3994329D" w14:textId="34FCD579" w:rsidR="00890D80" w:rsidRDefault="00890D80" w:rsidP="00890D80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76" w:lineRule="auto"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ESF is filled with </w:t>
            </w:r>
            <w:r w:rsidR="00A67197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“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weasel</w:t>
            </w:r>
            <w:r w:rsidR="00A67197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”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 xml:space="preserve"> word</w:t>
            </w:r>
            <w:r w:rsidR="00A67197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s</w:t>
            </w:r>
            <w:r w:rsidR="000B5DDE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,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</w:t>
            </w:r>
            <w:r w:rsidR="000B5DD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the definitions of which are open to interpretation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.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A</w:t>
            </w:r>
            <w:r w:rsidR="001A2593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sian Infrastructure Investment Bank (A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IIB</w:t>
            </w:r>
            <w:r w:rsidR="001A2593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)</w:t>
            </w:r>
            <w:r w:rsidR="000B5DD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’s Framework is following the same approach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. The Bank is the benchmark of </w:t>
            </w:r>
            <w:r w:rsid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other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</w:t>
            </w:r>
            <w:r w:rsid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Multi-lateral Development Banks (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MDBs</w:t>
            </w:r>
            <w:r w:rsid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)</w:t>
            </w:r>
            <w:r w:rsidR="000B5DD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,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so the ESF should be </w:t>
            </w:r>
            <w:r w:rsidR="000B5DD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careful to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</w:t>
            </w:r>
            <w:r w:rsidR="000B5DD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have </w:t>
            </w:r>
            <w:r w:rsidR="00A3512A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high standards</w:t>
            </w:r>
            <w:r w:rsidR="000B5DD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in its final version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. </w:t>
            </w:r>
          </w:p>
          <w:p w14:paraId="056689AE" w14:textId="27524846" w:rsidR="00CE30A7" w:rsidRPr="001A4C05" w:rsidRDefault="001A4C05" w:rsidP="001A4C05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76" w:lineRule="auto"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ESF </w:t>
            </w:r>
            <w:r w:rsidR="000B5DD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makes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no mention </w:t>
            </w:r>
            <w:r w:rsidR="000B5DD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of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 xml:space="preserve">Sustainable </w:t>
            </w:r>
            <w:r w:rsidR="001A2593"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Development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 xml:space="preserve"> Goals (SDG)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. The Bank should find ways to internalize </w:t>
            </w:r>
            <w:r w:rsidR="000B5DD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them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in the ESF. </w:t>
            </w:r>
            <w:r w:rsidR="00CE30A7" w:rsidRPr="001A4C0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 </w:t>
            </w:r>
          </w:p>
          <w:p w14:paraId="49BC871E" w14:textId="5D32488F" w:rsidR="00CF63DE" w:rsidRDefault="00B94A3E" w:rsidP="00B94A3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The ESF is just a piece of paper if it is not im</w:t>
            </w:r>
            <w:r w:rsidR="000B5DD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plemented on the ground. In 90 percent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of water and sanitation projects in India, there is no access to </w:t>
            </w:r>
            <w:r w:rsidR="000B5DD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a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water supply and disposal system. The aspect of implementation on the ground needs far more attention. </w:t>
            </w:r>
          </w:p>
          <w:p w14:paraId="6098587F" w14:textId="11D3DE29" w:rsidR="00354ADB" w:rsidRDefault="00E72881" w:rsidP="00B94A3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T</w:t>
            </w:r>
            <w:r w:rsidR="00354ADB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he philosophy behind the ESF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is unclear. </w:t>
            </w:r>
            <w:r w:rsidR="00354ADB" w:rsidRPr="00354ADB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T</w:t>
            </w:r>
            <w:r w:rsidR="00354ADB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he ESF could be a </w:t>
            </w:r>
            <w:r w:rsidR="00354ADB"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more crisp, short and user-friendly</w:t>
            </w:r>
            <w:r w:rsidR="00354ADB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document. It should also have more focus on </w:t>
            </w:r>
            <w:r w:rsidR="00354ADB"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doing good</w:t>
            </w:r>
            <w:r w:rsidR="000B5DD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, rather than just doing no </w:t>
            </w:r>
            <w:r w:rsidR="00354ADB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harm. </w:t>
            </w:r>
          </w:p>
          <w:p w14:paraId="4F87EEBB" w14:textId="3AF78C5D" w:rsidR="00E72881" w:rsidRDefault="000B5DDE" w:rsidP="00B94A3E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</w:t>
            </w:r>
            <w:r w:rsidR="00E72881"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Tata Mundra project</w:t>
            </w:r>
            <w:r w:rsidR="00E7288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is financed by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</w:t>
            </w:r>
            <w:r w:rsid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International Finance Corporation (</w:t>
            </w:r>
            <w:r w:rsidR="00E7288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IFC</w:t>
            </w:r>
            <w:r w:rsid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)</w:t>
            </w:r>
            <w:r w:rsidR="00E7288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,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but </w:t>
            </w:r>
            <w:r w:rsidR="00E7288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transmission lines for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it are </w:t>
            </w:r>
            <w:r w:rsidR="00E7288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financed by The Bank. The IFC and the Bank are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both contributing to </w:t>
            </w:r>
            <w:r w:rsidR="00E7288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conditions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of </w:t>
            </w:r>
            <w:r w:rsidR="00E7288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affected communities.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participant speaking noted that they had protested </w:t>
            </w:r>
            <w:r w:rsidR="00F51ECA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against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this </w:t>
            </w:r>
            <w:r w:rsidR="00E7288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project and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was </w:t>
            </w:r>
            <w:r w:rsidR="00E7288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jail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ed</w:t>
            </w:r>
            <w:r w:rsidR="00E7288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for 28 days. </w:t>
            </w:r>
          </w:p>
          <w:p w14:paraId="2CDE59AC" w14:textId="6DCBA5B2" w:rsidR="00DA7646" w:rsidRDefault="000B5DDE" w:rsidP="00DA7646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Some of the participants noted that they had </w:t>
            </w:r>
            <w:r w:rsidR="00E7288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protested at the Bank’s phase 1 consultation in India, because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they believed that </w:t>
            </w:r>
            <w:r w:rsidR="00E7288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Bank would not listen to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them</w:t>
            </w:r>
            <w:r w:rsidR="00E7288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.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</w:t>
            </w:r>
            <w:r w:rsidR="00DD7BB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argument that th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e Bank as a UN organization can</w:t>
            </w:r>
            <w:r w:rsidR="00DD7BB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not abide by </w:t>
            </w:r>
            <w:r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the UN D</w:t>
            </w:r>
            <w:r w:rsidR="00DD7BB5"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eclaration on Human Rights</w:t>
            </w:r>
            <w:r w:rsidR="00DD7BB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and </w:t>
            </w:r>
            <w:r w:rsidR="00DD7BB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lastRenderedPageBreak/>
              <w:t>related UN conventions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is unfair</w:t>
            </w:r>
            <w:r w:rsidR="00DD7BB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. Despite its goals, the Bank does not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provide </w:t>
            </w:r>
            <w:r w:rsidR="00DD7BB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poor people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with an opportunity </w:t>
            </w:r>
            <w:r w:rsidR="00DD7BB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for development.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participants noted that they would be </w:t>
            </w:r>
            <w:r w:rsidR="00DD7BB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happy if the Bank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left </w:t>
            </w:r>
            <w:r w:rsidR="00DD7BB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India</w:t>
            </w:r>
            <w:r w:rsidR="00DA7646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.</w:t>
            </w:r>
          </w:p>
          <w:p w14:paraId="6922D7E0" w14:textId="30DE9792" w:rsidR="001F412D" w:rsidRDefault="001F412D" w:rsidP="00DA7646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Bank should take </w:t>
            </w:r>
            <w:r w:rsidR="008B516C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another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step forward for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human rights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. It is a funny argument that the Bank supports </w:t>
            </w:r>
            <w:r w:rsidR="008B516C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human rights principles but can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not articulate </w:t>
            </w:r>
            <w:r w:rsidR="008B516C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this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in the ESF.</w:t>
            </w:r>
          </w:p>
          <w:p w14:paraId="78C095A5" w14:textId="77777777" w:rsidR="00C40B57" w:rsidRDefault="00C40B57" w:rsidP="00DA7646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Bank should stick to non-negotiable standards, such as human rights. </w:t>
            </w:r>
          </w:p>
          <w:p w14:paraId="0F39E304" w14:textId="1719E275" w:rsidR="00C40B57" w:rsidRDefault="00C40B57" w:rsidP="00B147D5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 w:rsidRPr="00C40B57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Bank should help the country recognize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water as a commodity and community good</w:t>
            </w:r>
            <w:r w:rsidRPr="00C40B57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. The rights of riparian communities,</w:t>
            </w:r>
            <w:r w:rsidR="008B516C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small traditional farmers and l</w:t>
            </w:r>
            <w:r w:rsidRPr="00C40B57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and holders should be recognized</w:t>
            </w:r>
            <w:r w:rsidR="008B516C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, along with the rights of </w:t>
            </w:r>
            <w:r w:rsidR="008B516C" w:rsidRPr="00C40B57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Indigenous Peo</w:t>
            </w:r>
            <w:r w:rsidR="008B516C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p</w:t>
            </w:r>
            <w:r w:rsidR="008B516C" w:rsidRPr="00C40B57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les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. </w:t>
            </w:r>
          </w:p>
          <w:p w14:paraId="3AC6BE89" w14:textId="77777777" w:rsidR="00DA7646" w:rsidRPr="00C40B57" w:rsidRDefault="00DA7646" w:rsidP="00B147D5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Capacity building</w:t>
            </w:r>
            <w:r w:rsidRPr="00C40B57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for the client is very important, including for local government. </w:t>
            </w:r>
          </w:p>
          <w:p w14:paraId="75885C71" w14:textId="51E52FC8" w:rsidR="00C40B57" w:rsidRPr="006A2191" w:rsidRDefault="008B516C" w:rsidP="006A2191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 w:rsidRPr="008B516C">
              <w:rPr>
                <w:rFonts w:ascii="Calibri" w:eastAsia="MS Mincho" w:hAnsi="Calibri" w:cs="Arial"/>
                <w:bCs/>
                <w:kern w:val="0"/>
                <w:sz w:val="22"/>
                <w:szCs w:val="22"/>
                <w:lang w:eastAsia="ja-JP" w:bidi="ar-SA"/>
              </w:rPr>
              <w:t>The</w:t>
            </w:r>
            <w:r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 xml:space="preserve"> g</w:t>
            </w:r>
            <w:r w:rsidR="00DA7646"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ender</w:t>
            </w:r>
            <w:r w:rsidR="00DA7646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perspective should be introduced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in </w:t>
            </w:r>
            <w:r w:rsidR="00DA7646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all aspects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of the ESF</w:t>
            </w:r>
            <w:r w:rsidR="00DA7646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. This is also important for local governance.</w:t>
            </w:r>
          </w:p>
          <w:p w14:paraId="0B4F509E" w14:textId="5FC42120" w:rsidR="00E72881" w:rsidRPr="00DA7646" w:rsidRDefault="00DA7646" w:rsidP="00DA7646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Since </w:t>
            </w:r>
            <w:r w:rsidR="008B516C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the 1990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s, the Bank has been effectively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influencing national legislation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to the detriment of people. It still has the capacity to change </w:t>
            </w:r>
            <w:r w:rsidR="008B516C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p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olicy</w:t>
            </w:r>
            <w:r w:rsidR="008B516C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in India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.  </w:t>
            </w:r>
            <w:r w:rsidR="00DD7BB5" w:rsidRPr="00DA7646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 </w:t>
            </w:r>
            <w:r w:rsidR="00E72881" w:rsidRPr="00DA7646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</w:t>
            </w:r>
          </w:p>
          <w:p w14:paraId="7CD470B9" w14:textId="77777777" w:rsidR="00C537FF" w:rsidRPr="00DD7BB5" w:rsidRDefault="00DA7646" w:rsidP="00DD7BB5">
            <w:pPr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ESF should have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country specific guidelines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. </w:t>
            </w:r>
          </w:p>
        </w:tc>
      </w:tr>
      <w:tr w:rsidR="00A840E8" w:rsidRPr="00A35D65" w14:paraId="4089CFA5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6A89B8F7" w14:textId="77777777" w:rsidR="00A840E8" w:rsidRPr="008B074D" w:rsidRDefault="008B074D" w:rsidP="00502B14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 xml:space="preserve">A </w:t>
            </w: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Vision 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for </w:t>
            </w:r>
            <w:r w:rsidR="00C537F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Sustainable Development</w:t>
            </w:r>
          </w:p>
        </w:tc>
      </w:tr>
      <w:tr w:rsidR="002E23E9" w:rsidRPr="00A35D65" w14:paraId="66A6D875" w14:textId="77777777" w:rsidTr="008B074D">
        <w:trPr>
          <w:trHeight w:val="395"/>
        </w:trPr>
        <w:tc>
          <w:tcPr>
            <w:tcW w:w="13320" w:type="dxa"/>
            <w:shd w:val="clear" w:color="auto" w:fill="auto"/>
          </w:tcPr>
          <w:p w14:paraId="01EFC6B6" w14:textId="3AAC8BE2" w:rsidR="002E23E9" w:rsidRPr="0028355B" w:rsidRDefault="008B23EE" w:rsidP="008B23EE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statement on human rights in the second draft</w:t>
            </w:r>
            <w:r w:rsidR="00A3512A">
              <w:rPr>
                <w:rFonts w:asciiTheme="minorHAnsi" w:hAnsiTheme="minorHAnsi"/>
                <w:sz w:val="22"/>
                <w:szCs w:val="22"/>
              </w:rPr>
              <w:t xml:space="preserve"> has gone backward. The </w:t>
            </w:r>
            <w:r w:rsidR="001A2593">
              <w:rPr>
                <w:rFonts w:asciiTheme="minorHAnsi" w:hAnsiTheme="minorHAnsi"/>
                <w:sz w:val="22"/>
                <w:szCs w:val="22"/>
              </w:rPr>
              <w:t>language</w:t>
            </w:r>
            <w:r w:rsidR="00A3512A">
              <w:rPr>
                <w:rFonts w:asciiTheme="minorHAnsi" w:hAnsiTheme="minorHAnsi"/>
                <w:sz w:val="22"/>
                <w:szCs w:val="22"/>
              </w:rPr>
              <w:t xml:space="preserve"> in the first draft should be used. The qualification “in a manner consistent with the </w:t>
            </w:r>
            <w:r w:rsidR="00A3512A"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Articles of Agreement</w:t>
            </w:r>
            <w:r w:rsidR="00A3512A">
              <w:rPr>
                <w:rFonts w:asciiTheme="minorHAnsi" w:hAnsiTheme="minorHAnsi"/>
                <w:sz w:val="22"/>
                <w:szCs w:val="22"/>
              </w:rPr>
              <w:t xml:space="preserve">” should be removed.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41C03" w:rsidRPr="00A35D65" w14:paraId="66B4244E" w14:textId="77777777" w:rsidTr="002C093B">
        <w:tblPrEx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13320" w:type="dxa"/>
            <w:shd w:val="clear" w:color="auto" w:fill="DBE5F1" w:themeFill="accent1" w:themeFillTint="33"/>
          </w:tcPr>
          <w:p w14:paraId="29CADE05" w14:textId="77777777" w:rsidR="00941C03" w:rsidRPr="008B074D" w:rsidRDefault="008B074D" w:rsidP="00502B14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bCs/>
                <w:sz w:val="22"/>
                <w:szCs w:val="22"/>
              </w:rPr>
            </w:pPr>
            <w:r w:rsidRPr="008B074D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World Bank Environmental and Social Policy</w:t>
            </w:r>
          </w:p>
        </w:tc>
      </w:tr>
      <w:tr w:rsidR="002E23E9" w:rsidRPr="00A35D65" w14:paraId="372E0FE0" w14:textId="77777777" w:rsidTr="008B074D">
        <w:trPr>
          <w:trHeight w:val="422"/>
        </w:trPr>
        <w:tc>
          <w:tcPr>
            <w:tcW w:w="13320" w:type="dxa"/>
            <w:shd w:val="clear" w:color="auto" w:fill="auto"/>
          </w:tcPr>
          <w:p w14:paraId="27E1B0E9" w14:textId="77777777" w:rsidR="00CE30A7" w:rsidRPr="00746099" w:rsidRDefault="00CE30A7" w:rsidP="00CE30A7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eastAsia="Batang" w:hAnsiTheme="minorHAnsi"/>
                <w:i/>
                <w:iCs/>
                <w:sz w:val="22"/>
                <w:szCs w:val="22"/>
              </w:rPr>
              <w:t>Comments and recommendations</w:t>
            </w:r>
          </w:p>
          <w:p w14:paraId="184C95B1" w14:textId="3F5BD24A" w:rsidR="004D50DE" w:rsidRPr="004D50DE" w:rsidRDefault="002F5A0D" w:rsidP="002F5A0D">
            <w:pPr>
              <w:pStyle w:val="ListParagraph"/>
              <w:numPr>
                <w:ilvl w:val="0"/>
                <w:numId w:val="21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Bank should have a </w:t>
            </w:r>
            <w:r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due diligence mechanism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to verify</w:t>
            </w:r>
            <w:r w:rsidR="00F51ECA">
              <w:rPr>
                <w:rFonts w:asciiTheme="minorHAnsi" w:hAnsiTheme="minorHAnsi" w:cs="Times New Roman"/>
                <w:sz w:val="22"/>
                <w:szCs w:val="22"/>
              </w:rPr>
              <w:t xml:space="preserve"> environmental and social </w:t>
            </w:r>
            <w:r w:rsidR="001A2593">
              <w:rPr>
                <w:rFonts w:asciiTheme="minorHAnsi" w:hAnsiTheme="minorHAnsi" w:cs="Times New Roman"/>
                <w:sz w:val="22"/>
                <w:szCs w:val="22"/>
              </w:rPr>
              <w:t>assessments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conducted by the Borrower.</w:t>
            </w:r>
          </w:p>
          <w:p w14:paraId="4D175FDF" w14:textId="7EAD268E" w:rsidR="001A4C05" w:rsidRPr="001A4C05" w:rsidRDefault="00DA7FA5" w:rsidP="00890D80">
            <w:pPr>
              <w:pStyle w:val="ListParagraph"/>
              <w:numPr>
                <w:ilvl w:val="0"/>
                <w:numId w:val="21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The Bank should conduct a detailed gap analysis f</w:t>
            </w:r>
            <w:r w:rsidR="004D50DE">
              <w:rPr>
                <w:rFonts w:asciiTheme="minorHAnsi" w:hAnsiTheme="minorHAnsi" w:cs="Times New Roman"/>
                <w:sz w:val="22"/>
                <w:szCs w:val="22"/>
              </w:rPr>
              <w:t xml:space="preserve">or the </w:t>
            </w:r>
            <w:r w:rsidR="004D50DE"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use of borrower’s ES </w:t>
            </w:r>
            <w:r w:rsidR="001A4C05"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f</w:t>
            </w:r>
            <w:r w:rsidR="004D50DE"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ramework</w:t>
            </w:r>
            <w:r w:rsidR="00890D80">
              <w:rPr>
                <w:rFonts w:asciiTheme="minorHAnsi" w:hAnsiTheme="minorHAnsi" w:cs="Times New Roman"/>
                <w:sz w:val="22"/>
                <w:szCs w:val="22"/>
              </w:rPr>
              <w:t>. The Bank should examine not o</w:t>
            </w:r>
            <w:r w:rsidR="001A4C05">
              <w:rPr>
                <w:rFonts w:asciiTheme="minorHAnsi" w:hAnsiTheme="minorHAnsi" w:cs="Times New Roman"/>
                <w:sz w:val="22"/>
                <w:szCs w:val="22"/>
              </w:rPr>
              <w:t>nly the</w:t>
            </w:r>
            <w:r w:rsidR="00890D80">
              <w:rPr>
                <w:rFonts w:asciiTheme="minorHAnsi" w:hAnsiTheme="minorHAnsi" w:cs="Times New Roman"/>
                <w:sz w:val="22"/>
                <w:szCs w:val="22"/>
              </w:rPr>
              <w:t xml:space="preserve"> language of the legislation, but also how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the law is implemented</w:t>
            </w:r>
            <w:r w:rsidR="00890D80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14C5CD2C" w14:textId="77777777" w:rsidR="002E23E9" w:rsidRPr="00A3512A" w:rsidRDefault="001A4C05" w:rsidP="00890D80">
            <w:pPr>
              <w:pStyle w:val="ListParagraph"/>
              <w:numPr>
                <w:ilvl w:val="0"/>
                <w:numId w:val="21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Where the borrower’s ES framework is weak, the Bank’s standards should be used as default. </w:t>
            </w:r>
            <w:r w:rsidR="00890D8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35CDEB0" w14:textId="7CFFB5C6" w:rsidR="00A3512A" w:rsidRPr="00FE450C" w:rsidRDefault="00DA7FA5" w:rsidP="00A3512A">
            <w:pPr>
              <w:pStyle w:val="ListParagraph"/>
              <w:numPr>
                <w:ilvl w:val="0"/>
                <w:numId w:val="21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If the </w:t>
            </w:r>
            <w:r w:rsidR="001A2593">
              <w:rPr>
                <w:rFonts w:asciiTheme="minorHAnsi" w:hAnsiTheme="minorHAnsi" w:cs="Times New Roman"/>
                <w:sz w:val="22"/>
                <w:szCs w:val="22"/>
              </w:rPr>
              <w:t>Borrower’s environmental and social</w:t>
            </w:r>
            <w:r w:rsidR="00A3512A">
              <w:rPr>
                <w:rFonts w:asciiTheme="minorHAnsi" w:hAnsiTheme="minorHAnsi" w:cs="Times New Roman"/>
                <w:sz w:val="22"/>
                <w:szCs w:val="22"/>
              </w:rPr>
              <w:t xml:space="preserve"> framework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is used</w:t>
            </w:r>
            <w:r w:rsidR="00A3512A">
              <w:rPr>
                <w:rFonts w:asciiTheme="minorHAnsi" w:hAnsiTheme="minorHAnsi" w:cs="Times New Roman"/>
                <w:sz w:val="22"/>
                <w:szCs w:val="22"/>
              </w:rPr>
              <w:t xml:space="preserve">, it should be as protective as the ESF. The Bank should maintain adequate due diligence even when the Borrower’s framework is used. </w:t>
            </w:r>
          </w:p>
          <w:p w14:paraId="1CD7C747" w14:textId="77777777" w:rsidR="00FE450C" w:rsidRPr="009717EA" w:rsidRDefault="00FE450C" w:rsidP="00A3512A">
            <w:pPr>
              <w:pStyle w:val="ListParagraph"/>
              <w:numPr>
                <w:ilvl w:val="0"/>
                <w:numId w:val="21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It should be clarified how</w:t>
            </w:r>
            <w:r w:rsidR="00DA7FA5">
              <w:rPr>
                <w:rFonts w:asciiTheme="minorHAnsi" w:hAnsiTheme="minorHAnsi" w:cs="Times New Roman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Inspection Panel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will undertake its compliance function when </w:t>
            </w:r>
            <w:r w:rsidR="00DA7FA5">
              <w:rPr>
                <w:rFonts w:asciiTheme="minorHAnsi" w:hAnsiTheme="minorHAnsi" w:cs="Times New Roman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Borrower’s framework is used. </w:t>
            </w:r>
          </w:p>
          <w:p w14:paraId="1D04B142" w14:textId="7C2C7DB6" w:rsidR="00FE450C" w:rsidRPr="00FE450C" w:rsidRDefault="00DA7FA5" w:rsidP="00FE450C">
            <w:pPr>
              <w:pStyle w:val="ListParagraph"/>
              <w:numPr>
                <w:ilvl w:val="0"/>
                <w:numId w:val="21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</w:t>
            </w:r>
            <w:r w:rsidR="009717EA">
              <w:rPr>
                <w:rFonts w:asciiTheme="minorHAnsi" w:hAnsiTheme="minorHAnsi" w:cs="Times New Roman"/>
                <w:sz w:val="22"/>
                <w:szCs w:val="22"/>
              </w:rPr>
              <w:t xml:space="preserve">Indian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Executive Director </w:t>
            </w:r>
            <w:r w:rsidR="009717EA">
              <w:rPr>
                <w:rFonts w:asciiTheme="minorHAnsi" w:hAnsiTheme="minorHAnsi" w:cs="Times New Roman"/>
                <w:sz w:val="22"/>
                <w:szCs w:val="22"/>
              </w:rPr>
              <w:t xml:space="preserve">of the Bank says that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India’s </w:t>
            </w:r>
            <w:r w:rsidR="009717EA">
              <w:rPr>
                <w:rFonts w:asciiTheme="minorHAnsi" w:hAnsiTheme="minorHAnsi" w:cs="Times New Roman"/>
                <w:sz w:val="22"/>
                <w:szCs w:val="22"/>
              </w:rPr>
              <w:t xml:space="preserve">country framework should be used. It should be clarified how a case like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</w:t>
            </w:r>
            <w:r w:rsidR="009717EA">
              <w:rPr>
                <w:rFonts w:asciiTheme="minorHAnsi" w:hAnsiTheme="minorHAnsi" w:cs="Times New Roman"/>
                <w:sz w:val="22"/>
                <w:szCs w:val="22"/>
              </w:rPr>
              <w:t xml:space="preserve">Tata Mundra project can be resolved through the use of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Borrower’s </w:t>
            </w:r>
            <w:r w:rsidR="009717EA">
              <w:rPr>
                <w:rFonts w:asciiTheme="minorHAnsi" w:hAnsiTheme="minorHAnsi" w:cs="Times New Roman"/>
                <w:sz w:val="22"/>
                <w:szCs w:val="22"/>
              </w:rPr>
              <w:t xml:space="preserve">framework.   </w:t>
            </w:r>
          </w:p>
          <w:p w14:paraId="5810E8DF" w14:textId="22DC01EB" w:rsidR="009717EA" w:rsidRPr="00FE450C" w:rsidRDefault="009717EA" w:rsidP="00FE450C">
            <w:pPr>
              <w:pStyle w:val="ListParagraph"/>
              <w:numPr>
                <w:ilvl w:val="0"/>
                <w:numId w:val="21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Fishermen live on the coast</w:t>
            </w:r>
            <w:r w:rsidR="00DA7FA5">
              <w:rPr>
                <w:rFonts w:asciiTheme="minorHAnsi" w:hAnsiTheme="minorHAnsi" w:cs="Times New Roman"/>
                <w:sz w:val="22"/>
                <w:szCs w:val="22"/>
              </w:rPr>
              <w:t>al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area of </w:t>
            </w:r>
            <w:r w:rsidR="00DA7FA5">
              <w:rPr>
                <w:rFonts w:asciiTheme="minorHAnsi" w:hAnsiTheme="minorHAnsi" w:cs="Times New Roman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Tata Mundra project only 6 months </w:t>
            </w:r>
            <w:r w:rsidR="00DA7FA5">
              <w:rPr>
                <w:rFonts w:asciiTheme="minorHAnsi" w:hAnsiTheme="minorHAnsi" w:cs="Times New Roman"/>
                <w:sz w:val="22"/>
                <w:szCs w:val="22"/>
              </w:rPr>
              <w:t xml:space="preserve">per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year. </w:t>
            </w:r>
            <w:r w:rsidR="00DA7FA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ecause they do not live there permanently, the project did not recognize the impact on their common resources.</w:t>
            </w:r>
            <w:r w:rsidR="00C40B57" w:rsidRPr="00FE450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BC2A02F" w14:textId="35A1C636" w:rsidR="00C537FF" w:rsidRPr="00C537FF" w:rsidRDefault="002A1810" w:rsidP="009717EA">
            <w:pPr>
              <w:pStyle w:val="ListParagraph"/>
              <w:numPr>
                <w:ilvl w:val="0"/>
                <w:numId w:val="21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The ESF should be applied to all instruments of the Bank, including </w:t>
            </w:r>
            <w:r w:rsidR="001A2593" w:rsidRPr="001A259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Program for Results</w:t>
            </w:r>
            <w:r w:rsidR="001A2593">
              <w:rPr>
                <w:rFonts w:asciiTheme="minorHAnsi" w:hAnsiTheme="minorHAnsi" w:cs="Times New Roman"/>
                <w:sz w:val="22"/>
                <w:szCs w:val="22"/>
              </w:rPr>
              <w:t xml:space="preserve"> (</w:t>
            </w:r>
            <w:r w:rsidR="00C40B57"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PforR</w:t>
            </w:r>
            <w:r w:rsidR="001A259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)</w:t>
            </w:r>
            <w:r w:rsidR="00C40B57"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, </w:t>
            </w:r>
            <w:r w:rsidR="001A259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Development Policy Lending (</w:t>
            </w:r>
            <w:r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DPL</w:t>
            </w:r>
            <w:r w:rsidR="001A259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)</w:t>
            </w:r>
            <w:r w:rsidR="00C40B57"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and </w:t>
            </w:r>
            <w:r w:rsidR="001A259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Financial Intermediaries (</w:t>
            </w:r>
            <w:r w:rsidR="00C40B57"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FIs</w:t>
            </w:r>
            <w:r w:rsidR="001A259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C537F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487F781" w14:textId="6F34828A" w:rsidR="002A1810" w:rsidRPr="00C537FF" w:rsidRDefault="00C537FF" w:rsidP="009717EA">
            <w:pPr>
              <w:pStyle w:val="ListParagraph"/>
              <w:numPr>
                <w:ilvl w:val="0"/>
                <w:numId w:val="21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ESF should be also applied to </w:t>
            </w:r>
            <w:r w:rsidR="00DA7FA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technical assistance </w:t>
            </w:r>
            <w:r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and Bank executed trust fund</w:t>
            </w:r>
            <w:r w:rsidR="00DA7FA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to </w:t>
            </w:r>
            <w:r w:rsidR="00DA7FA5">
              <w:rPr>
                <w:rFonts w:asciiTheme="minorHAnsi" w:hAnsiTheme="minorHAnsi" w:cs="Times New Roman"/>
                <w:sz w:val="22"/>
                <w:szCs w:val="22"/>
              </w:rPr>
              <w:t xml:space="preserve">close any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loopholes.  </w:t>
            </w:r>
          </w:p>
          <w:p w14:paraId="3F2ECDD4" w14:textId="042DCD4E" w:rsidR="00C537FF" w:rsidRPr="00E01D7E" w:rsidRDefault="00C537FF" w:rsidP="009717EA">
            <w:pPr>
              <w:pStyle w:val="ListParagraph"/>
              <w:numPr>
                <w:ilvl w:val="0"/>
                <w:numId w:val="21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Bank should have an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independent due diligence mechanism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to verify </w:t>
            </w:r>
            <w:r w:rsidR="00DA7FA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the Borrower’s ES assessment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and its implementation.  </w:t>
            </w:r>
          </w:p>
          <w:p w14:paraId="019B202D" w14:textId="170B6AC2" w:rsidR="00E01D7E" w:rsidRPr="00CE30A7" w:rsidRDefault="00E01D7E" w:rsidP="00DA7FA5">
            <w:pPr>
              <w:pStyle w:val="ListParagraph"/>
              <w:numPr>
                <w:ilvl w:val="0"/>
                <w:numId w:val="21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Policy, para 58, appears to read that project-affected communities cannot directly go to </w:t>
            </w:r>
            <w:r w:rsidR="00DA7FA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Inspection Panel</w:t>
            </w:r>
            <w:r w:rsidR="00F771B0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without using the </w:t>
            </w:r>
            <w:r w:rsidR="00DA7FA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Bank’s </w:t>
            </w:r>
            <w:r w:rsidR="00F771B0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Grievant Redress Mechanism (</w:t>
            </w:r>
            <w:r w:rsidR="00F771B0"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GRS)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.</w:t>
            </w:r>
            <w:r w:rsidR="00F771B0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If </w:t>
            </w:r>
            <w:r w:rsidR="00DA7FA5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that </w:t>
            </w:r>
            <w:r w:rsidR="00F771B0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is not the case, the wording should be revised.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</w:t>
            </w:r>
          </w:p>
        </w:tc>
      </w:tr>
      <w:tr w:rsidR="00173E2F" w:rsidRPr="00A35D65" w14:paraId="646F9CD9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7D23E0AF" w14:textId="77777777" w:rsidR="00173E2F" w:rsidRPr="008B074D" w:rsidRDefault="008B074D" w:rsidP="00502B14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Batang" w:hAnsiTheme="minorHAnsi"/>
                <w:sz w:val="22"/>
                <w:szCs w:val="22"/>
              </w:rPr>
              <w:lastRenderedPageBreak/>
              <w:t xml:space="preserve"> </w:t>
            </w: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1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(ESS1)</w:t>
            </w: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: Assessment and Management of Environmental and Social Risks and Impacts</w:t>
            </w:r>
          </w:p>
        </w:tc>
      </w:tr>
      <w:tr w:rsidR="002E23E9" w:rsidRPr="00A35D65" w14:paraId="56608303" w14:textId="77777777" w:rsidTr="008B074D">
        <w:trPr>
          <w:trHeight w:val="413"/>
        </w:trPr>
        <w:tc>
          <w:tcPr>
            <w:tcW w:w="13320" w:type="dxa"/>
            <w:shd w:val="clear" w:color="auto" w:fill="auto"/>
          </w:tcPr>
          <w:p w14:paraId="28E113AA" w14:textId="77777777" w:rsidR="00AA5C68" w:rsidRPr="00746099" w:rsidRDefault="00C436E7" w:rsidP="00AA5C68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eastAsia="Batang" w:hAnsiTheme="minorHAnsi"/>
                <w:i/>
                <w:iCs/>
                <w:sz w:val="22"/>
                <w:szCs w:val="22"/>
              </w:rPr>
              <w:t>Comments and recommendations</w:t>
            </w:r>
          </w:p>
          <w:p w14:paraId="5DBC2AA3" w14:textId="2C0B4721" w:rsidR="009D47DD" w:rsidRDefault="004D50DE" w:rsidP="00E233BB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People with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disability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are affected by all issues raised in the ESF. They are at the bottom of society. The Bank should consider how to protect people with disability. </w:t>
            </w:r>
          </w:p>
          <w:p w14:paraId="16BC8CCE" w14:textId="77777777" w:rsidR="00A3512A" w:rsidRDefault="00A3512A" w:rsidP="00E233BB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“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Politica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l” is missing among vulnerable groups. This should be added. </w:t>
            </w:r>
          </w:p>
          <w:p w14:paraId="7DEE4E67" w14:textId="77777777" w:rsidR="001A2593" w:rsidRDefault="004D50DE" w:rsidP="007A6949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 w:rsidRPr="001A2593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Downstream impact</w:t>
            </w:r>
            <w:r w:rsidRP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is not covered by ESS5. In ESS1, it appears that it is only addressed where technic</w:t>
            </w:r>
            <w:r w:rsidR="00295169" w:rsidRP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ally and financially feasible. </w:t>
            </w:r>
            <w:r w:rsidRP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This is not sufficient. </w:t>
            </w:r>
          </w:p>
          <w:p w14:paraId="423B5E9A" w14:textId="3A42B882" w:rsidR="001A2593" w:rsidRPr="001A2593" w:rsidRDefault="001A2593" w:rsidP="007A6949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 w:rsidRPr="001A2593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Downstream impact</w:t>
            </w:r>
            <w:r w:rsidRP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must be reviewed by all stakeholders and highlighted.</w:t>
            </w:r>
          </w:p>
          <w:p w14:paraId="723E2D65" w14:textId="74D4A2A7" w:rsidR="001A4C05" w:rsidRPr="001F412D" w:rsidRDefault="004D50DE" w:rsidP="001F412D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Bank should introduce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human right</w:t>
            </w:r>
            <w:r w:rsidR="00295169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s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 xml:space="preserve"> impact assessment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, including </w:t>
            </w:r>
            <w:r w:rsidR="00F51ECA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right to food and education. </w:t>
            </w:r>
          </w:p>
        </w:tc>
      </w:tr>
      <w:tr w:rsidR="002717AA" w:rsidRPr="00A35D65" w14:paraId="380FF008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4F8EE5BA" w14:textId="77777777" w:rsidR="002717AA" w:rsidRPr="008B074D" w:rsidRDefault="008B074D" w:rsidP="00502B14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ironmental and Social Standard 2 (ESS2)</w:t>
            </w: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Labor and Working Conditions</w:t>
            </w:r>
          </w:p>
        </w:tc>
      </w:tr>
      <w:tr w:rsidR="002E23E9" w:rsidRPr="00A35D65" w14:paraId="5A5B241D" w14:textId="77777777" w:rsidTr="008B074D">
        <w:trPr>
          <w:trHeight w:val="395"/>
        </w:trPr>
        <w:tc>
          <w:tcPr>
            <w:tcW w:w="13320" w:type="dxa"/>
            <w:shd w:val="clear" w:color="auto" w:fill="auto"/>
          </w:tcPr>
          <w:p w14:paraId="5678261E" w14:textId="77777777" w:rsidR="00502B14" w:rsidRPr="00CE30A7" w:rsidRDefault="00CE30A7" w:rsidP="00CE30A7">
            <w:p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E30A7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2A7906" w:rsidRPr="00A35D65" w14:paraId="17620619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758556DB" w14:textId="77777777" w:rsidR="002A7906" w:rsidRPr="008B074D" w:rsidRDefault="008B074D" w:rsidP="00502B14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ironmental and Social Standard 3 (ESS3)</w:t>
            </w: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9F18AA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Resource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Efficiency and Pollution Prevention</w:t>
            </w:r>
          </w:p>
        </w:tc>
      </w:tr>
      <w:tr w:rsidR="002E23E9" w:rsidRPr="00A35D65" w14:paraId="479EE280" w14:textId="77777777" w:rsidTr="008B074D">
        <w:trPr>
          <w:trHeight w:val="485"/>
        </w:trPr>
        <w:tc>
          <w:tcPr>
            <w:tcW w:w="13320" w:type="dxa"/>
            <w:shd w:val="clear" w:color="auto" w:fill="auto"/>
          </w:tcPr>
          <w:p w14:paraId="2690AE59" w14:textId="77777777" w:rsidR="002E23E9" w:rsidRDefault="00F85E73" w:rsidP="00502B14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C</w:t>
            </w:r>
            <w:r w:rsidR="00502B14">
              <w:rPr>
                <w:rFonts w:asciiTheme="minorHAnsi" w:hAnsiTheme="minorHAnsi"/>
                <w:i/>
                <w:iCs/>
                <w:sz w:val="22"/>
                <w:szCs w:val="22"/>
              </w:rPr>
              <w:t>omments and recommendations</w:t>
            </w:r>
          </w:p>
          <w:p w14:paraId="177D47D4" w14:textId="19897745" w:rsidR="00502B14" w:rsidRDefault="00295169" w:rsidP="000C2A8A">
            <w:pPr>
              <w:pStyle w:val="ListParagraph"/>
              <w:numPr>
                <w:ilvl w:val="0"/>
                <w:numId w:val="6"/>
              </w:numPr>
              <w:suppressAutoHyphens w:val="0"/>
              <w:spacing w:after="200" w:line="276" w:lineRule="auto"/>
              <w:ind w:left="70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Participants were </w:t>
            </w:r>
            <w:r w:rsidR="000C2A8A">
              <w:rPr>
                <w:rFonts w:asciiTheme="minorHAnsi" w:hAnsiTheme="minorHAnsi"/>
                <w:sz w:val="22"/>
                <w:szCs w:val="22"/>
              </w:rPr>
              <w:t xml:space="preserve">very concerned about the push for </w:t>
            </w:r>
            <w:r w:rsidR="000C2A8A"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hydro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power</w:t>
            </w:r>
            <w:r w:rsidR="000C2A8A"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dams</w:t>
            </w:r>
            <w:r w:rsidR="000C2A8A">
              <w:rPr>
                <w:rFonts w:asciiTheme="minorHAnsi" w:hAnsiTheme="minorHAnsi"/>
                <w:sz w:val="22"/>
                <w:szCs w:val="22"/>
              </w:rPr>
              <w:t>. Dams have become points of stress and conflict. Supporting hydro</w:t>
            </w:r>
            <w:r>
              <w:rPr>
                <w:rFonts w:asciiTheme="minorHAnsi" w:hAnsiTheme="minorHAnsi"/>
                <w:sz w:val="22"/>
                <w:szCs w:val="22"/>
              </w:rPr>
              <w:t>power</w:t>
            </w:r>
            <w:r w:rsidR="000C2A8A">
              <w:rPr>
                <w:rFonts w:asciiTheme="minorHAnsi" w:hAnsiTheme="minorHAnsi"/>
                <w:sz w:val="22"/>
                <w:szCs w:val="22"/>
              </w:rPr>
              <w:t xml:space="preserve"> dams is violent engagement, rather than peaceful engagement. The Bank should be more concerned about pollution and the impact on downstream livelihood such as fisheries. </w:t>
            </w:r>
          </w:p>
          <w:p w14:paraId="3C394C09" w14:textId="304FDC79" w:rsidR="00B87CAA" w:rsidRDefault="00B87CAA" w:rsidP="00354ADB">
            <w:pPr>
              <w:pStyle w:val="ListParagraph"/>
              <w:numPr>
                <w:ilvl w:val="0"/>
                <w:numId w:val="6"/>
              </w:numPr>
              <w:suppressAutoHyphens w:val="0"/>
              <w:spacing w:after="200" w:line="276" w:lineRule="auto"/>
              <w:ind w:left="70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While the Bank argues that the project level effort to address 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climate change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is necessarily limited, a large scale project such as </w:t>
            </w:r>
            <w:r w:rsidR="00295169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Tata </w:t>
            </w:r>
            <w:r w:rsidR="00354ADB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undra project supported by IFC has a huge </w:t>
            </w:r>
            <w:r w:rsidR="00295169">
              <w:rPr>
                <w:rFonts w:asciiTheme="minorHAnsi" w:hAnsiTheme="minorHAnsi"/>
                <w:sz w:val="22"/>
                <w:szCs w:val="22"/>
              </w:rPr>
              <w:t>greenhouse gas (</w:t>
            </w:r>
            <w:r>
              <w:rPr>
                <w:rFonts w:asciiTheme="minorHAnsi" w:hAnsiTheme="minorHAnsi"/>
                <w:sz w:val="22"/>
                <w:szCs w:val="22"/>
              </w:rPr>
              <w:t>GHG</w:t>
            </w:r>
            <w:r w:rsidR="00295169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impact. While the threshold of 25,000</w:t>
            </w:r>
            <w:r w:rsidR="002951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ton</w:t>
            </w:r>
            <w:r w:rsidR="005D09DA">
              <w:rPr>
                <w:rFonts w:asciiTheme="minorHAnsi" w:hAnsiTheme="minorHAnsi"/>
                <w:sz w:val="22"/>
                <w:szCs w:val="22"/>
              </w:rPr>
              <w:t>ne</w:t>
            </w:r>
            <w:r w:rsidR="00295169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the estimation of GHG emissions has been removed in the second draft ESF, the Bank should </w:t>
            </w:r>
            <w:r w:rsidR="00295169">
              <w:rPr>
                <w:rFonts w:asciiTheme="minorHAnsi" w:hAnsiTheme="minorHAnsi"/>
                <w:sz w:val="22"/>
                <w:szCs w:val="22"/>
              </w:rPr>
              <w:t xml:space="preserve">still provide </w:t>
            </w:r>
            <w:r>
              <w:rPr>
                <w:rFonts w:asciiTheme="minorHAnsi" w:hAnsiTheme="minorHAnsi"/>
                <w:sz w:val="22"/>
                <w:szCs w:val="22"/>
              </w:rPr>
              <w:t>some guidance on this.</w:t>
            </w:r>
          </w:p>
          <w:p w14:paraId="7D26BBB3" w14:textId="77777777" w:rsidR="004C02EC" w:rsidRDefault="00B87CAA" w:rsidP="004C02EC">
            <w:pPr>
              <w:pStyle w:val="ListParagraph"/>
              <w:numPr>
                <w:ilvl w:val="0"/>
                <w:numId w:val="6"/>
              </w:numPr>
              <w:suppressAutoHyphens w:val="0"/>
              <w:spacing w:after="200" w:line="276" w:lineRule="auto"/>
              <w:ind w:left="70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section on 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air pollution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ESS3 </w:t>
            </w:r>
            <w:r w:rsidR="004C02EC">
              <w:rPr>
                <w:rFonts w:asciiTheme="minorHAnsi" w:hAnsiTheme="minorHAnsi"/>
                <w:sz w:val="22"/>
                <w:szCs w:val="22"/>
              </w:rPr>
              <w:t xml:space="preserve">is very thin.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It should also address Particulate Matter (PM).  </w:t>
            </w:r>
          </w:p>
          <w:p w14:paraId="51FBB857" w14:textId="13505701" w:rsidR="003D1967" w:rsidRDefault="004C02EC" w:rsidP="004C02EC">
            <w:pPr>
              <w:pStyle w:val="ListParagraph"/>
              <w:numPr>
                <w:ilvl w:val="0"/>
                <w:numId w:val="6"/>
              </w:numPr>
              <w:suppressAutoHyphens w:val="0"/>
              <w:spacing w:after="200" w:line="276" w:lineRule="auto"/>
              <w:ind w:left="70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Use of </w:t>
            </w:r>
            <w:r w:rsidR="00295169">
              <w:rPr>
                <w:rFonts w:asciiTheme="minorHAnsi" w:hAnsiTheme="minorHAnsi"/>
                <w:b/>
                <w:bCs/>
                <w:sz w:val="22"/>
                <w:szCs w:val="22"/>
              </w:rPr>
              <w:t>clean</w:t>
            </w:r>
            <w:r w:rsidR="005D09DA">
              <w:rPr>
                <w:rFonts w:asciiTheme="minorHAnsi" w:hAnsiTheme="minorHAnsi"/>
                <w:b/>
                <w:bCs/>
                <w:sz w:val="22"/>
                <w:szCs w:val="22"/>
              </w:rPr>
              <w:t>er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energy alternative</w:t>
            </w:r>
            <w:r w:rsidR="00295169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should be promoted. Environmental protection and industrialization should go hand in hand. </w:t>
            </w:r>
            <w:r w:rsidR="00B87C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0DBB440" w14:textId="37DF5856" w:rsidR="00B87CAA" w:rsidRPr="00FE06F5" w:rsidRDefault="00AC2757" w:rsidP="00295169">
            <w:pPr>
              <w:pStyle w:val="ListParagraph"/>
              <w:numPr>
                <w:ilvl w:val="0"/>
                <w:numId w:val="6"/>
              </w:numPr>
              <w:suppressAutoHyphens w:val="0"/>
              <w:spacing w:after="200" w:line="276" w:lineRule="auto"/>
              <w:ind w:left="70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It is welcome that ESS3, para 4, requires the Borrower to consider ambient conditions and apply technically and financially feasible </w:t>
            </w:r>
            <w:r w:rsidRPr="0016528C">
              <w:rPr>
                <w:rFonts w:asciiTheme="minorHAnsi" w:hAnsiTheme="minorHAnsi"/>
                <w:b/>
                <w:bCs/>
                <w:sz w:val="22"/>
                <w:szCs w:val="22"/>
              </w:rPr>
              <w:t>resource efficiency and pollution prevention measures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A stronger requirement would be better, for example, to consider all possible options for such measures. </w:t>
            </w:r>
            <w:r w:rsidR="00295169">
              <w:rPr>
                <w:rFonts w:asciiTheme="minorHAnsi" w:hAnsiTheme="minorHAnsi"/>
                <w:sz w:val="22"/>
                <w:szCs w:val="22"/>
              </w:rPr>
              <w:t xml:space="preserve">This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should be also embedded in project design and </w:t>
            </w:r>
            <w:r w:rsidR="00295169">
              <w:rPr>
                <w:rFonts w:asciiTheme="minorHAnsi" w:hAnsiTheme="minorHAnsi"/>
                <w:sz w:val="22"/>
                <w:szCs w:val="22"/>
              </w:rPr>
              <w:t>operations</w:t>
            </w:r>
            <w:r w:rsidR="005D09DA">
              <w:rPr>
                <w:rFonts w:asciiTheme="minorHAnsi" w:hAnsiTheme="minorHAnsi"/>
                <w:sz w:val="22"/>
                <w:szCs w:val="22"/>
              </w:rPr>
              <w:t xml:space="preserve"> including maintenance</w:t>
            </w:r>
            <w:r>
              <w:rPr>
                <w:rFonts w:asciiTheme="minorHAnsi" w:hAnsiTheme="minorHAnsi"/>
                <w:sz w:val="22"/>
                <w:szCs w:val="22"/>
              </w:rPr>
              <w:t>. This will not cost much but have a good impact.</w:t>
            </w:r>
            <w:r w:rsidR="00B87C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94D12" w:rsidRPr="00A35D65" w14:paraId="5F40E15C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35642DE1" w14:textId="77777777" w:rsidR="00594D12" w:rsidRPr="008B074D" w:rsidRDefault="008B074D" w:rsidP="00502B14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Env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ironmental and Social Standard 4 (ESS4)</w:t>
            </w: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Community Health and Safety</w:t>
            </w:r>
          </w:p>
        </w:tc>
      </w:tr>
      <w:tr w:rsidR="002E23E9" w:rsidRPr="00A35D65" w14:paraId="1C06E78E" w14:textId="77777777" w:rsidTr="008B074D">
        <w:trPr>
          <w:trHeight w:val="485"/>
        </w:trPr>
        <w:tc>
          <w:tcPr>
            <w:tcW w:w="13320" w:type="dxa"/>
            <w:shd w:val="clear" w:color="auto" w:fill="auto"/>
          </w:tcPr>
          <w:p w14:paraId="57127158" w14:textId="77777777" w:rsidR="00562D03" w:rsidRPr="00C436E7" w:rsidRDefault="00562D03" w:rsidP="00562D03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  <w:r w:rsidRPr="00C436E7">
              <w:rPr>
                <w:rFonts w:asciiTheme="minorHAnsi" w:eastAsia="Batang" w:hAnsiTheme="minorHAnsi"/>
                <w:i/>
                <w:iCs/>
                <w:sz w:val="22"/>
                <w:szCs w:val="22"/>
              </w:rPr>
              <w:t>Comments and recommendations</w:t>
            </w:r>
          </w:p>
          <w:p w14:paraId="79931E86" w14:textId="0E4CBCE1" w:rsidR="002E23E9" w:rsidRPr="001F412D" w:rsidRDefault="00562D03" w:rsidP="00575A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proposed ESS4, para 5, states that the Borrower will evaluate the risks and impacts of the project </w:t>
            </w:r>
            <w:r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during the project life-cycle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. This is </w:t>
            </w:r>
            <w:r w:rsidR="00295169">
              <w:rPr>
                <w:rFonts w:asciiTheme="minorHAnsi" w:hAnsiTheme="minorHAnsi" w:cs="Times New Roman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very important statement. Currently, project risks and impacts are evaluated at the preparation stage only, and there is no credible monitoring. The Bank must establish a monitoring mechanism to ensure risk management throughout the project life-cycle.  </w:t>
            </w:r>
          </w:p>
        </w:tc>
      </w:tr>
      <w:tr w:rsidR="00A21FB6" w:rsidRPr="00A35D65" w14:paraId="74328A65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4FEDE337" w14:textId="77777777" w:rsidR="00A21FB6" w:rsidRPr="008B074D" w:rsidRDefault="008B074D" w:rsidP="00502B14">
            <w:pPr>
              <w:numPr>
                <w:ilvl w:val="0"/>
                <w:numId w:val="1"/>
              </w:numPr>
              <w:snapToGrid w:val="0"/>
              <w:ind w:left="540"/>
              <w:rPr>
                <w:rFonts w:asciiTheme="minorHAnsi" w:eastAsia="Batang" w:hAnsiTheme="minorHAnsi"/>
                <w:sz w:val="22"/>
                <w:szCs w:val="22"/>
              </w:rPr>
            </w:pP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ironmental and Social Standard 5 (ESS5)</w:t>
            </w: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Land Acquisition, Restriction on Land Use and Involuntary Resettlement</w:t>
            </w:r>
          </w:p>
        </w:tc>
      </w:tr>
      <w:tr w:rsidR="002E23E9" w:rsidRPr="00A35D65" w14:paraId="1D059094" w14:textId="77777777" w:rsidTr="008B074D">
        <w:trPr>
          <w:trHeight w:val="350"/>
        </w:trPr>
        <w:tc>
          <w:tcPr>
            <w:tcW w:w="13320" w:type="dxa"/>
            <w:shd w:val="clear" w:color="auto" w:fill="auto"/>
          </w:tcPr>
          <w:p w14:paraId="51F44797" w14:textId="77777777" w:rsidR="00F1485B" w:rsidRPr="00C436E7" w:rsidRDefault="00F1485B" w:rsidP="00F1485B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  <w:r w:rsidRPr="00C436E7">
              <w:rPr>
                <w:rFonts w:asciiTheme="minorHAnsi" w:eastAsia="Batang" w:hAnsiTheme="minorHAnsi"/>
                <w:i/>
                <w:iCs/>
                <w:sz w:val="22"/>
                <w:szCs w:val="22"/>
              </w:rPr>
              <w:t>Comments and recommendations</w:t>
            </w:r>
          </w:p>
          <w:p w14:paraId="236B5249" w14:textId="1E74C21A" w:rsidR="00562D03" w:rsidRPr="00562D03" w:rsidRDefault="00562D03" w:rsidP="00FE06F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proposed ESS5 allows </w:t>
            </w:r>
            <w:r w:rsidR="005D09DA">
              <w:rPr>
                <w:rFonts w:asciiTheme="minorHAnsi" w:hAnsiTheme="minorHAnsi" w:cs="Times New Roman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option of </w:t>
            </w:r>
            <w:r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cash compensation</w:t>
            </w:r>
            <w:r w:rsidR="00575AA2">
              <w:rPr>
                <w:rFonts w:asciiTheme="minorHAnsi" w:hAnsiTheme="minorHAnsi" w:cs="Times New Roman"/>
                <w:sz w:val="22"/>
                <w:szCs w:val="22"/>
              </w:rPr>
              <w:t xml:space="preserve">. This leaves the door open to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large scale corruption. All cash compensation should be removed. Indian laws do not support it. </w:t>
            </w:r>
          </w:p>
          <w:p w14:paraId="6740799B" w14:textId="422C4AB8" w:rsidR="003B0290" w:rsidRPr="003B0290" w:rsidRDefault="003B0290" w:rsidP="003B029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In many urban projects, </w:t>
            </w:r>
            <w:r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informal settlers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are pushe</w:t>
            </w:r>
            <w:r w:rsidR="00575AA2"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out without any compensation. Like land for land, the principle of livelihood for livelihood compensation is important. Gender is also important in </w:t>
            </w:r>
            <w:r w:rsidR="002F5A0D">
              <w:rPr>
                <w:rFonts w:asciiTheme="minorHAnsi" w:hAnsiTheme="minorHAnsi" w:cs="Times New Roman"/>
                <w:sz w:val="22"/>
                <w:szCs w:val="22"/>
              </w:rPr>
              <w:t>deciding the method of compensation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2F862D44" w14:textId="77777777" w:rsidR="004D50DE" w:rsidRDefault="004D50DE" w:rsidP="00FE06F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Informal occupants should continue to be protected under the ESF.</w:t>
            </w:r>
          </w:p>
          <w:p w14:paraId="49834A24" w14:textId="383B4FA9" w:rsidR="004D50DE" w:rsidRDefault="00575AA2" w:rsidP="00FE06F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575AA2">
              <w:rPr>
                <w:rFonts w:asciiTheme="minorHAnsi" w:hAnsiTheme="minorHAnsi" w:cs="Times New Roman"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n</w:t>
            </w:r>
            <w:r w:rsidR="004D50DE"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atural resource management program</w:t>
            </w:r>
            <w:r w:rsidR="004D50DE">
              <w:rPr>
                <w:rFonts w:asciiTheme="minorHAnsi" w:hAnsiTheme="minorHAnsi" w:cs="Times New Roman"/>
                <w:sz w:val="22"/>
                <w:szCs w:val="22"/>
              </w:rPr>
              <w:t xml:space="preserve"> should be covered under</w:t>
            </w:r>
            <w:r w:rsidR="005D09D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D50DE">
              <w:rPr>
                <w:rFonts w:asciiTheme="minorHAnsi" w:hAnsiTheme="minorHAnsi" w:cs="Times New Roman"/>
                <w:sz w:val="22"/>
                <w:szCs w:val="22"/>
              </w:rPr>
              <w:t xml:space="preserve">ESS5. </w:t>
            </w:r>
          </w:p>
          <w:p w14:paraId="4CC02902" w14:textId="566BCDF3" w:rsidR="002F5A0D" w:rsidRDefault="004D50DE" w:rsidP="00FE06F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Resettlement action plans (RAP)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should be prepared before Board approval.  </w:t>
            </w:r>
          </w:p>
          <w:p w14:paraId="02F21B14" w14:textId="77777777" w:rsidR="002F5A0D" w:rsidRPr="008B074D" w:rsidRDefault="00890D80" w:rsidP="001F412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6A2191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Forced eviction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should be prohibited with much stronger wording. </w:t>
            </w:r>
          </w:p>
        </w:tc>
      </w:tr>
      <w:tr w:rsidR="002E23E9" w:rsidRPr="00A35D65" w14:paraId="7D28AE68" w14:textId="77777777" w:rsidTr="0028355B">
        <w:trPr>
          <w:trHeight w:val="39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9884E17" w14:textId="77777777" w:rsidR="002E23E9" w:rsidRPr="008B074D" w:rsidRDefault="008B074D" w:rsidP="00502B14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eastAsia="Batang" w:hAnsiTheme="minorHAnsi"/>
                <w:b/>
                <w:sz w:val="22"/>
                <w:szCs w:val="22"/>
              </w:rPr>
            </w:pP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ironmental and Social Standard 6 (ESS6)</w:t>
            </w: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8355B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Biodiversity Conservation and Sustainable Management of Living Natural Resources</w:t>
            </w:r>
          </w:p>
        </w:tc>
      </w:tr>
      <w:tr w:rsidR="002E23E9" w:rsidRPr="00A35D65" w14:paraId="644B02F5" w14:textId="77777777" w:rsidTr="0028355B">
        <w:trPr>
          <w:trHeight w:val="53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B4E8" w14:textId="77777777" w:rsidR="006D12A1" w:rsidRPr="00C436E7" w:rsidRDefault="006D12A1" w:rsidP="006D12A1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  <w:r w:rsidRPr="00C436E7">
              <w:rPr>
                <w:rFonts w:asciiTheme="minorHAnsi" w:eastAsia="Batang" w:hAnsiTheme="minorHAnsi"/>
                <w:i/>
                <w:iCs/>
                <w:sz w:val="22"/>
                <w:szCs w:val="22"/>
              </w:rPr>
              <w:t>Comments and recommendations</w:t>
            </w:r>
          </w:p>
          <w:p w14:paraId="4EA3FC20" w14:textId="3CF01391" w:rsidR="00FE06F5" w:rsidRDefault="00562D03" w:rsidP="00562D03">
            <w:pPr>
              <w:pStyle w:val="ListParagraph"/>
              <w:numPr>
                <w:ilvl w:val="0"/>
                <w:numId w:val="17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 appreciate that the second draft ESF has improved, clarifying that </w:t>
            </w:r>
            <w:r w:rsidR="00575AA2">
              <w:rPr>
                <w:rFonts w:asciiTheme="minorHAnsi" w:hAnsiTheme="minorHAnsi"/>
                <w:b/>
                <w:bCs/>
                <w:sz w:val="22"/>
                <w:szCs w:val="22"/>
              </w:rPr>
              <w:t>biodiversity off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set</w:t>
            </w:r>
            <w:r w:rsidR="005D09DA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09DA">
              <w:rPr>
                <w:rFonts w:asciiTheme="minorHAnsi" w:hAnsiTheme="minorHAnsi"/>
                <w:sz w:val="22"/>
                <w:szCs w:val="22"/>
              </w:rPr>
              <w:t xml:space="preserve">are to be considered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as a last resort. However, even scientists do not really know about biodiversity content. </w:t>
            </w:r>
            <w:r w:rsidR="00575AA2">
              <w:rPr>
                <w:rFonts w:asciiTheme="minorHAnsi" w:hAnsiTheme="minorHAnsi"/>
                <w:sz w:val="22"/>
                <w:szCs w:val="22"/>
              </w:rPr>
              <w:t>The 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iodiversity offset </w:t>
            </w:r>
            <w:r w:rsidR="00575AA2">
              <w:rPr>
                <w:rFonts w:asciiTheme="minorHAnsi" w:hAnsiTheme="minorHAnsi"/>
                <w:sz w:val="22"/>
                <w:szCs w:val="22"/>
              </w:rPr>
              <w:t xml:space="preserve">remains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very dangerous approach.  </w:t>
            </w:r>
          </w:p>
          <w:p w14:paraId="040C3B49" w14:textId="4994764F" w:rsidR="002E23E9" w:rsidRPr="001F412D" w:rsidRDefault="00B94A3E" w:rsidP="00575AA2">
            <w:pPr>
              <w:pStyle w:val="ListParagraph"/>
              <w:numPr>
                <w:ilvl w:val="0"/>
                <w:numId w:val="17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 appreciate that the second draft ESS6 has incorporated “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critical habitats</w:t>
            </w:r>
            <w:r w:rsidR="00575AA2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575AA2">
              <w:rPr>
                <w:rFonts w:asciiTheme="minorHAnsi" w:hAnsi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However, the Bank should </w:t>
            </w:r>
            <w:r w:rsidR="00575AA2">
              <w:rPr>
                <w:rFonts w:asciiTheme="minorHAnsi" w:hAnsiTheme="minorHAnsi"/>
                <w:sz w:val="22"/>
                <w:szCs w:val="22"/>
              </w:rPr>
              <w:t xml:space="preserve">examine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its criteria further. </w:t>
            </w:r>
            <w:r w:rsidR="00575AA2">
              <w:rPr>
                <w:rFonts w:asciiTheme="minorHAnsi" w:hAnsiTheme="minorHAnsi"/>
                <w:sz w:val="22"/>
                <w:szCs w:val="22"/>
              </w:rPr>
              <w:t xml:space="preserve">The ESF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lacks clarification </w:t>
            </w:r>
            <w:r w:rsidR="00575AA2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sz w:val="22"/>
                <w:szCs w:val="22"/>
              </w:rPr>
              <w:t>definitions such as “significant impact</w:t>
            </w:r>
            <w:r w:rsidR="00575AA2">
              <w:rPr>
                <w:rFonts w:asciiTheme="minorHAnsi" w:hAnsiTheme="minorHAnsi"/>
                <w:sz w:val="22"/>
                <w:szCs w:val="22"/>
              </w:rPr>
              <w:t>,”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“due process</w:t>
            </w:r>
            <w:r w:rsidR="00575AA2">
              <w:rPr>
                <w:rFonts w:asciiTheme="minorHAnsi" w:hAnsiTheme="minorHAnsi"/>
                <w:sz w:val="22"/>
                <w:szCs w:val="22"/>
              </w:rPr>
              <w:t>,”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“viable alternative</w:t>
            </w:r>
            <w:r w:rsidR="00575AA2">
              <w:rPr>
                <w:rFonts w:asciiTheme="minorHAnsi" w:hAnsiTheme="minorHAnsi"/>
                <w:sz w:val="22"/>
                <w:szCs w:val="22"/>
              </w:rPr>
              <w:t>,”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“measurable impact.” It should also clarify the process when such criteria for critical habitat are not met </w:t>
            </w:r>
            <w:r w:rsidR="00575AA2">
              <w:rPr>
                <w:rFonts w:asciiTheme="minorHAnsi" w:hAnsiTheme="minorHAnsi"/>
                <w:sz w:val="22"/>
                <w:szCs w:val="22"/>
              </w:rPr>
              <w:t xml:space="preserve">during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implementation.     </w:t>
            </w:r>
          </w:p>
        </w:tc>
      </w:tr>
      <w:tr w:rsidR="002E23E9" w:rsidRPr="00A35D65" w14:paraId="7A31357C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CBD6DFC" w14:textId="77777777" w:rsidR="002E23E9" w:rsidRPr="008B074D" w:rsidRDefault="0028355B" w:rsidP="00502B14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Env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ironmental and Social Standard 7 (ESS7)</w:t>
            </w: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Indigenous Peoples </w:t>
            </w:r>
          </w:p>
        </w:tc>
      </w:tr>
      <w:tr w:rsidR="002E23E9" w:rsidRPr="00A35D65" w14:paraId="606BB882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C730" w14:textId="77777777" w:rsidR="0066646A" w:rsidRPr="00C436E7" w:rsidRDefault="0066646A" w:rsidP="0066646A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  <w:r w:rsidRPr="00C436E7">
              <w:rPr>
                <w:rFonts w:asciiTheme="minorHAnsi" w:eastAsia="Batang" w:hAnsiTheme="minorHAnsi"/>
                <w:i/>
                <w:iCs/>
                <w:sz w:val="22"/>
                <w:szCs w:val="22"/>
              </w:rPr>
              <w:t>Comments and recommendations</w:t>
            </w:r>
          </w:p>
          <w:p w14:paraId="732F6110" w14:textId="77777777" w:rsidR="009717EA" w:rsidRPr="009717EA" w:rsidRDefault="009717EA" w:rsidP="00E233BB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We appreciate that many of the comments we made in phase 2 consultations have been incor</w:t>
            </w:r>
            <w:r w:rsidR="006A219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porated in the second draft </w:t>
            </w:r>
            <w:r w:rsidR="00575AA2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of </w:t>
            </w:r>
            <w:r w:rsidR="006A2191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ESS7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.</w:t>
            </w:r>
          </w:p>
          <w:p w14:paraId="7BABA0D7" w14:textId="14DA4D93" w:rsidR="009717EA" w:rsidRPr="009717EA" w:rsidRDefault="00DA5092" w:rsidP="00E233BB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When </w:t>
            </w:r>
            <w:r w:rsidR="009717EA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government argues that the ESF will delay the project, </w:t>
            </w:r>
            <w:r w:rsidR="009717EA"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capacity building</w:t>
            </w:r>
            <w:r w:rsidR="009717EA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should be provided to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government staff</w:t>
            </w:r>
            <w:r w:rsidR="009717EA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, in particular on ESS7. </w:t>
            </w:r>
          </w:p>
          <w:p w14:paraId="02464608" w14:textId="3274AF10" w:rsidR="008B23EE" w:rsidRPr="008B23EE" w:rsidRDefault="009717EA" w:rsidP="009717EA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In addition to lands </w:t>
            </w:r>
            <w:r w:rsidR="00DA5092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and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trees, Indigenous Peoples </w:t>
            </w:r>
            <w:r w:rsidR="00DA5092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can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lose </w:t>
            </w:r>
            <w:r w:rsidR="00DA5092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much of their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cultural network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. Civil engineers </w:t>
            </w:r>
            <w:r w:rsidR="00DA5092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and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government official </w:t>
            </w:r>
            <w:r w:rsidR="00DA5092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often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do not undertstand this. </w:t>
            </w:r>
            <w:r w:rsidR="00DA5092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I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 is very important to develop an action plan </w:t>
            </w:r>
            <w:r w:rsidR="008B23E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for ea</w:t>
            </w:r>
            <w:r w:rsidR="00DA5092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ch project to contexualize the</w:t>
            </w:r>
            <w:r w:rsidR="008B23EE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circumstances. </w:t>
            </w:r>
          </w:p>
          <w:p w14:paraId="5CF94000" w14:textId="416CC756" w:rsidR="008B23EE" w:rsidRPr="008B23EE" w:rsidRDefault="008B23EE" w:rsidP="009717EA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Regarding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identification of Indigenous Peoples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under ESS7, para 8, Indigenous Peoples should also </w:t>
            </w:r>
            <w:r w:rsidR="00DA5092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be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involved</w:t>
            </w:r>
            <w:r w:rsidR="005D09DA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in the decision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.</w:t>
            </w:r>
          </w:p>
          <w:p w14:paraId="61192873" w14:textId="38C17C39" w:rsidR="008B23EE" w:rsidRPr="008B23EE" w:rsidRDefault="008B23EE" w:rsidP="009717EA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As mentioned in ESS7, para 9, </w:t>
            </w:r>
            <w:r w:rsid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Indigenous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Peoples should participate in the determination of project design, not just implementation.</w:t>
            </w:r>
          </w:p>
          <w:p w14:paraId="1D31BC90" w14:textId="5C86B30F" w:rsidR="008B23EE" w:rsidRPr="008B23EE" w:rsidRDefault="008B23EE" w:rsidP="008B23EE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While the so-called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alternative approach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has been removed, the revised para 19 of ESS7 on </w:t>
            </w:r>
            <w:r w:rsid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Free, Prior and Informed Consent (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FPIC</w:t>
            </w:r>
            <w:r w:rsid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)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appears to have the same function </w:t>
            </w:r>
            <w:r w:rsidR="00DA5092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as the 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alternative approach. The Bank and the government should stick to the principle of FPIC, which has been recognized in </w:t>
            </w:r>
            <w:r w:rsid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UN Declaration on the Rights of Indigenous Peoples (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UNDRIP</w:t>
            </w:r>
            <w:r w:rsidR="001A2593"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)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. </w:t>
            </w:r>
          </w:p>
          <w:p w14:paraId="181BB2A9" w14:textId="77777777" w:rsidR="008B23EE" w:rsidRPr="008B23EE" w:rsidRDefault="008B23EE" w:rsidP="008B23EE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The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grievance mechanism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 under ESS7, para 29, should clarify that resolution of any grievance made by IPs is the condition of proceeding with the project.   </w:t>
            </w:r>
          </w:p>
          <w:p w14:paraId="79A1C8C5" w14:textId="1FD70D3C" w:rsidR="002E23E9" w:rsidRDefault="008B23EE" w:rsidP="009717EA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 xml:space="preserve">We are concerned that </w:t>
            </w:r>
            <w:r w:rsidRPr="006A2191">
              <w:rPr>
                <w:rFonts w:ascii="Calibri" w:eastAsia="MS Mincho" w:hAnsi="Calibri" w:cs="Arial"/>
                <w:b/>
                <w:bCs/>
                <w:kern w:val="0"/>
                <w:sz w:val="22"/>
                <w:szCs w:val="22"/>
                <w:lang w:eastAsia="ja-JP" w:bidi="ar-SA"/>
              </w:rPr>
              <w:t>phase 3 consu</w:t>
            </w: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ltations do not sufficiently involve Indigenous Peoples. In particular, the Bank should conduct a dedicated consultation with Asian IPs.</w:t>
            </w:r>
            <w:r w:rsidR="008464FD" w:rsidRPr="005D09DA">
              <w:rPr>
                <w:rFonts w:asciiTheme="minorHAnsi" w:hAnsiTheme="minorHAnsi"/>
                <w:sz w:val="22"/>
              </w:rPr>
              <w:t xml:space="preserve"> </w:t>
            </w:r>
          </w:p>
          <w:p w14:paraId="4EA0236E" w14:textId="0977F095" w:rsidR="002A1810" w:rsidRDefault="002A1810" w:rsidP="009717EA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FPIC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should be applied to other vulnerable groups, such as </w:t>
            </w:r>
            <w:r w:rsidR="001A2593"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Dalit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It should </w:t>
            </w:r>
            <w:r w:rsidR="00DA5092">
              <w:rPr>
                <w:rFonts w:asciiTheme="minorHAnsi" w:hAnsiTheme="minorHAnsi"/>
                <w:sz w:val="22"/>
                <w:szCs w:val="22"/>
              </w:rPr>
              <w:t xml:space="preserve">also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 applied to all project-affected communities. </w:t>
            </w:r>
          </w:p>
          <w:p w14:paraId="707C0228" w14:textId="1C6C4EEC" w:rsidR="00B82CD9" w:rsidRPr="008464FD" w:rsidRDefault="00B82CD9" w:rsidP="00DA5092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Bank should recognize the totality of 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human rights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Indigenous Peoples. This will give </w:t>
            </w:r>
            <w:r w:rsidR="00DA5092">
              <w:rPr>
                <w:rFonts w:asciiTheme="minorHAnsi" w:hAnsiTheme="minorHAnsi"/>
                <w:sz w:val="22"/>
                <w:szCs w:val="22"/>
              </w:rPr>
              <w:t xml:space="preserve">them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more level-playing field with government and business. This would not lead to project delay, rather better project implementation.  </w:t>
            </w:r>
          </w:p>
        </w:tc>
      </w:tr>
      <w:tr w:rsidR="0028355B" w:rsidRPr="008B074D" w14:paraId="473C26D0" w14:textId="77777777" w:rsidTr="00FD2A5B">
        <w:trPr>
          <w:trHeight w:val="48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F92365C" w14:textId="77777777" w:rsidR="0028355B" w:rsidRPr="008B074D" w:rsidRDefault="00FB3BA9" w:rsidP="00502B14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8355B"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</w:t>
            </w:r>
            <w:r w:rsidR="0028355B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ironmental and Social Standard 8 (ESS8)</w:t>
            </w:r>
            <w:r w:rsidR="0028355B"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:</w:t>
            </w:r>
            <w:r w:rsidR="0028355B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Cultural Heritage </w:t>
            </w:r>
          </w:p>
        </w:tc>
      </w:tr>
      <w:tr w:rsidR="0028355B" w:rsidRPr="008B074D" w14:paraId="31373E14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C6A9" w14:textId="77777777" w:rsidR="0028355B" w:rsidRPr="00277E63" w:rsidRDefault="006D12A1" w:rsidP="006D12A1">
            <w:pPr>
              <w:suppressAutoHyphens w:val="0"/>
              <w:spacing w:after="200" w:line="276" w:lineRule="auto"/>
              <w:contextualSpacing/>
              <w:jc w:val="left"/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Calibri" w:eastAsia="MS Mincho" w:hAnsi="Calibri" w:cs="Arial"/>
                <w:kern w:val="0"/>
                <w:sz w:val="22"/>
                <w:szCs w:val="22"/>
                <w:lang w:eastAsia="ja-JP" w:bidi="ar-SA"/>
              </w:rPr>
              <w:t>N/A</w:t>
            </w:r>
          </w:p>
        </w:tc>
      </w:tr>
      <w:tr w:rsidR="0028355B" w:rsidRPr="008B074D" w14:paraId="74DE9223" w14:textId="77777777" w:rsidTr="006A7606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F554255" w14:textId="77777777" w:rsidR="0028355B" w:rsidRPr="008B074D" w:rsidRDefault="0028355B" w:rsidP="00502B14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ironmental and Social Standard 9 (ESS9)</w:t>
            </w: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Financial Intermediaries </w:t>
            </w:r>
          </w:p>
        </w:tc>
      </w:tr>
      <w:tr w:rsidR="0028355B" w:rsidRPr="008B074D" w14:paraId="25EAA2EB" w14:textId="77777777" w:rsidTr="0028355B">
        <w:trPr>
          <w:trHeight w:val="53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5210" w14:textId="77777777" w:rsidR="00007A6E" w:rsidRPr="00C436E7" w:rsidRDefault="00007A6E" w:rsidP="00007A6E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  <w:r w:rsidRPr="00C436E7">
              <w:rPr>
                <w:rFonts w:asciiTheme="minorHAnsi" w:eastAsia="Batang" w:hAnsiTheme="minorHAnsi"/>
                <w:i/>
                <w:iCs/>
                <w:sz w:val="22"/>
                <w:szCs w:val="22"/>
              </w:rPr>
              <w:t>Comments and recommendations</w:t>
            </w:r>
          </w:p>
          <w:p w14:paraId="29EDE157" w14:textId="54755A06" w:rsidR="0028355B" w:rsidRPr="006D12A1" w:rsidRDefault="003B0290" w:rsidP="00F53FA0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ESS9 is not sufficient for 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monitoring </w:t>
            </w:r>
            <w:r w:rsidR="001A2593">
              <w:rPr>
                <w:rFonts w:asciiTheme="minorHAnsi" w:hAnsiTheme="minorHAnsi"/>
                <w:b/>
                <w:bCs/>
                <w:sz w:val="22"/>
                <w:szCs w:val="22"/>
              </w:rPr>
              <w:t>Financial Intermediaries (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FIs</w:t>
            </w:r>
            <w:r w:rsidR="001A2593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As shown in </w:t>
            </w:r>
            <w:r w:rsidR="00DA5092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5D09DA">
              <w:rPr>
                <w:rFonts w:asciiTheme="minorHAnsi" w:hAnsiTheme="minorHAnsi"/>
                <w:sz w:val="22"/>
                <w:szCs w:val="22"/>
              </w:rPr>
              <w:t>Tata Mund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ra project, if FIs </w:t>
            </w:r>
            <w:r w:rsidR="00DA5092">
              <w:rPr>
                <w:rFonts w:asciiTheme="minorHAnsi" w:hAnsiTheme="minorHAnsi"/>
                <w:sz w:val="22"/>
                <w:szCs w:val="22"/>
              </w:rPr>
              <w:t>determine</w:t>
            </w:r>
            <w:r w:rsidR="00F53FA0">
              <w:rPr>
                <w:rFonts w:asciiTheme="minorHAnsi" w:hAnsiTheme="minorHAnsi"/>
                <w:sz w:val="22"/>
                <w:szCs w:val="22"/>
              </w:rPr>
              <w:t>s</w:t>
            </w:r>
            <w:r w:rsidR="00DA50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3FA0">
              <w:rPr>
                <w:rFonts w:asciiTheme="minorHAnsi" w:hAnsiTheme="minorHAnsi"/>
                <w:sz w:val="22"/>
                <w:szCs w:val="22"/>
              </w:rPr>
              <w:t xml:space="preserve">who are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stakeholders, they </w:t>
            </w:r>
            <w:r w:rsidR="00F53FA0">
              <w:rPr>
                <w:rFonts w:asciiTheme="minorHAnsi" w:hAnsiTheme="minorHAnsi"/>
                <w:sz w:val="22"/>
                <w:szCs w:val="22"/>
              </w:rPr>
              <w:t xml:space="preserve">may not reach all vulnerable people, for example, in this case, local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fishermen. The Bank should not transfer its </w:t>
            </w:r>
            <w:r w:rsidR="00DA5092">
              <w:rPr>
                <w:rFonts w:asciiTheme="minorHAnsi" w:hAnsiTheme="minorHAnsi"/>
                <w:sz w:val="22"/>
                <w:szCs w:val="22"/>
              </w:rPr>
              <w:t xml:space="preserve">monitoring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responsibility to FIs.   </w:t>
            </w:r>
          </w:p>
        </w:tc>
      </w:tr>
      <w:tr w:rsidR="0028355B" w:rsidRPr="008B074D" w14:paraId="79A256C5" w14:textId="77777777" w:rsidTr="006A7606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578E2D2" w14:textId="77777777" w:rsidR="0028355B" w:rsidRPr="008B074D" w:rsidRDefault="0028355B" w:rsidP="00502B14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Env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ironmental and Social Standard 10 (ESS10)</w:t>
            </w:r>
            <w:r w:rsidRPr="008B074D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Information Disclosure and Stakeholder Engagement </w:t>
            </w:r>
          </w:p>
        </w:tc>
      </w:tr>
      <w:tr w:rsidR="0028355B" w:rsidRPr="008B074D" w14:paraId="4C78E728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C484" w14:textId="77777777" w:rsidR="00801460" w:rsidRDefault="00801460" w:rsidP="00277E63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eastAsia="Batang" w:hAnsiTheme="minorHAnsi"/>
                <w:i/>
                <w:iCs/>
                <w:sz w:val="22"/>
                <w:szCs w:val="22"/>
              </w:rPr>
              <w:t>Clarifications</w:t>
            </w:r>
          </w:p>
          <w:p w14:paraId="4D6AED05" w14:textId="7328C3CA" w:rsidR="00801460" w:rsidRPr="00801460" w:rsidRDefault="00801460" w:rsidP="00E233BB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01460">
              <w:rPr>
                <w:rFonts w:asciiTheme="minorHAnsi" w:hAnsiTheme="minorHAnsi"/>
                <w:sz w:val="22"/>
                <w:szCs w:val="22"/>
              </w:rPr>
              <w:t>Clarification was sought on</w:t>
            </w:r>
            <w:r w:rsidR="003B0290">
              <w:rPr>
                <w:rFonts w:asciiTheme="minorHAnsi" w:hAnsiTheme="minorHAnsi"/>
                <w:sz w:val="22"/>
                <w:szCs w:val="22"/>
              </w:rPr>
              <w:t xml:space="preserve"> the definition of </w:t>
            </w:r>
            <w:r w:rsidR="003B0290"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meaningful consultation</w:t>
            </w:r>
            <w:r w:rsidR="003B0290">
              <w:rPr>
                <w:rFonts w:asciiTheme="minorHAnsi" w:hAnsiTheme="minorHAnsi"/>
                <w:sz w:val="22"/>
                <w:szCs w:val="22"/>
              </w:rPr>
              <w:t>.</w:t>
            </w:r>
            <w:r w:rsidR="002F5A0D">
              <w:rPr>
                <w:rFonts w:asciiTheme="minorHAnsi" w:hAnsiTheme="minorHAnsi"/>
                <w:sz w:val="22"/>
                <w:szCs w:val="22"/>
              </w:rPr>
              <w:t xml:space="preserve"> Gender should be included in the definition. </w:t>
            </w:r>
          </w:p>
          <w:p w14:paraId="1A13B654" w14:textId="77777777" w:rsidR="00277E63" w:rsidRPr="00C436E7" w:rsidRDefault="00277E63" w:rsidP="00277E63">
            <w:pPr>
              <w:jc w:val="left"/>
              <w:rPr>
                <w:rFonts w:asciiTheme="minorHAnsi" w:eastAsia="Batang" w:hAnsiTheme="minorHAnsi"/>
                <w:i/>
                <w:iCs/>
                <w:sz w:val="22"/>
                <w:szCs w:val="22"/>
              </w:rPr>
            </w:pPr>
            <w:r w:rsidRPr="00C436E7">
              <w:rPr>
                <w:rFonts w:asciiTheme="minorHAnsi" w:eastAsia="Batang" w:hAnsiTheme="minorHAnsi"/>
                <w:i/>
                <w:iCs/>
                <w:sz w:val="22"/>
                <w:szCs w:val="22"/>
              </w:rPr>
              <w:t>Comments and recommendations</w:t>
            </w:r>
          </w:p>
          <w:p w14:paraId="0146825F" w14:textId="7DEC02A8" w:rsidR="002F5A0D" w:rsidRPr="002F5A0D" w:rsidRDefault="004C02EC" w:rsidP="005D09DA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IN"/>
              </w:rPr>
              <w:t xml:space="preserve">The Bank should give more attention to 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  <w:lang w:val="en-IN"/>
              </w:rPr>
              <w:t>local government</w:t>
            </w:r>
            <w:r>
              <w:rPr>
                <w:rFonts w:asciiTheme="minorHAnsi" w:hAnsiTheme="minorHAnsi"/>
                <w:sz w:val="22"/>
                <w:szCs w:val="22"/>
                <w:lang w:val="en-IN"/>
              </w:rPr>
              <w:t xml:space="preserve"> </w:t>
            </w:r>
            <w:r w:rsidR="005D09DA">
              <w:rPr>
                <w:rFonts w:asciiTheme="minorHAnsi" w:hAnsiTheme="minorHAnsi"/>
                <w:sz w:val="22"/>
                <w:szCs w:val="22"/>
                <w:lang w:val="en-IN"/>
              </w:rPr>
              <w:t>for</w:t>
            </w:r>
            <w:r>
              <w:rPr>
                <w:rFonts w:asciiTheme="minorHAnsi" w:hAnsiTheme="minorHAnsi"/>
                <w:sz w:val="22"/>
                <w:szCs w:val="22"/>
                <w:lang w:val="en-IN"/>
              </w:rPr>
              <w:t xml:space="preserve"> listen</w:t>
            </w:r>
            <w:r w:rsidR="005D09DA">
              <w:rPr>
                <w:rFonts w:asciiTheme="minorHAnsi" w:hAnsiTheme="minorHAnsi"/>
                <w:sz w:val="22"/>
                <w:szCs w:val="22"/>
                <w:lang w:val="en-IN"/>
              </w:rPr>
              <w:t>ing</w:t>
            </w:r>
            <w:r>
              <w:rPr>
                <w:rFonts w:asciiTheme="minorHAnsi" w:hAnsiTheme="minorHAnsi"/>
                <w:sz w:val="22"/>
                <w:szCs w:val="22"/>
                <w:lang w:val="en-IN"/>
              </w:rPr>
              <w:t xml:space="preserve"> to </w:t>
            </w:r>
            <w:r w:rsidR="00F53FA0">
              <w:rPr>
                <w:rFonts w:asciiTheme="minorHAnsi" w:hAnsiTheme="minorHAnsi"/>
                <w:sz w:val="22"/>
                <w:szCs w:val="22"/>
                <w:lang w:val="en-IN"/>
              </w:rPr>
              <w:t xml:space="preserve">local voices at the </w:t>
            </w:r>
            <w:r>
              <w:rPr>
                <w:rFonts w:asciiTheme="minorHAnsi" w:hAnsiTheme="minorHAnsi"/>
                <w:sz w:val="22"/>
                <w:szCs w:val="22"/>
                <w:lang w:val="en-IN"/>
              </w:rPr>
              <w:t xml:space="preserve">grass-root level. </w:t>
            </w:r>
          </w:p>
          <w:p w14:paraId="09041F6D" w14:textId="77777777" w:rsidR="00000213" w:rsidRDefault="00000213" w:rsidP="00000213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Bank should distinguish between 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project-affected communities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other stakeholders. The Bank should focus more on consultation with project-affected communities. </w:t>
            </w:r>
          </w:p>
          <w:p w14:paraId="7E3652D1" w14:textId="622EE4FC" w:rsidR="00A3512A" w:rsidRDefault="00A3512A" w:rsidP="005D09DA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meaningful consultation for high risk projects, the Bank should require the use of 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independent expert</w:t>
            </w:r>
            <w:r w:rsidR="00F53FA0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so that participation </w:t>
            </w:r>
            <w:r w:rsidR="005D09DA">
              <w:rPr>
                <w:rFonts w:asciiTheme="minorHAnsi" w:hAnsiTheme="minorHAnsi"/>
                <w:sz w:val="22"/>
                <w:szCs w:val="22"/>
              </w:rPr>
              <w:t xml:space="preserve">free of interference and intimidation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is ensured, including </w:t>
            </w:r>
            <w:r w:rsidR="00F53FA0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vulnerable groups. </w:t>
            </w:r>
          </w:p>
          <w:p w14:paraId="05140671" w14:textId="33321EC7" w:rsidR="00000213" w:rsidRDefault="00A3512A" w:rsidP="00A3512A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Bank should make sure that stakeholders are not intimidated by 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punishment or </w:t>
            </w:r>
            <w:r w:rsidR="001A2593"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retaliation</w:t>
            </w:r>
            <w:r>
              <w:rPr>
                <w:rFonts w:asciiTheme="minorHAnsi" w:hAnsiTheme="minorHAnsi"/>
                <w:sz w:val="22"/>
                <w:szCs w:val="22"/>
              </w:rPr>
              <w:t>. The Bank should have a mechanism to investigate and remedy such retaliation.</w:t>
            </w:r>
          </w:p>
          <w:p w14:paraId="6C47C523" w14:textId="77777777" w:rsidR="00F771B0" w:rsidRDefault="00F771B0" w:rsidP="00A3512A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ESS10 should require the Borrower to inform project-affected parties that the 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Inspection Panel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is available to them.</w:t>
            </w:r>
          </w:p>
          <w:p w14:paraId="1862B060" w14:textId="52E5DE22" w:rsidR="0028355B" w:rsidRPr="00FE450C" w:rsidRDefault="00F771B0" w:rsidP="001F412D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</w:pPr>
            <w:r>
              <w:rPr>
                <w:rFonts w:asciiTheme="minorHAnsi" w:hAnsiTheme="minorHAnsi"/>
                <w:sz w:val="22"/>
                <w:szCs w:val="22"/>
              </w:rPr>
              <w:t>The grievance mechanism under ESS10 should have concrete procedure</w:t>
            </w:r>
            <w:r w:rsidR="00F53FA0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mechanism</w:t>
            </w:r>
            <w:r w:rsidR="00F53FA0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prevent </w:t>
            </w:r>
            <w:r w:rsidR="005E1FDC"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any 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reprisal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 </w:t>
            </w:r>
          </w:p>
          <w:p w14:paraId="1D1512A4" w14:textId="2C6C1B61" w:rsidR="00FE450C" w:rsidRPr="00801460" w:rsidRDefault="00FE450C" w:rsidP="00592F76">
            <w:pPr>
              <w:pStyle w:val="ListParagraph"/>
              <w:numPr>
                <w:ilvl w:val="0"/>
                <w:numId w:val="3"/>
              </w:numPr>
              <w:suppressAutoHyphens w:val="0"/>
              <w:spacing w:after="200" w:line="276" w:lineRule="auto"/>
              <w:jc w:val="lef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grievance mechanism under ESS10 does not appear to have any participation of local people or affected communities. As shown in </w:t>
            </w:r>
            <w:r w:rsidR="00F53FA0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Tata Mundra project, there is </w:t>
            </w:r>
            <w:r w:rsidR="00592F76">
              <w:rPr>
                <w:rFonts w:asciiTheme="minorHAnsi" w:hAnsiTheme="minorHAnsi"/>
                <w:sz w:val="22"/>
                <w:szCs w:val="22"/>
              </w:rPr>
              <w:t xml:space="preserve">a risk of 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disconnect</w:t>
            </w:r>
            <w:r w:rsidR="00592F76">
              <w:rPr>
                <w:rFonts w:asciiTheme="minorHAnsi" w:hAnsiTheme="minorHAnsi"/>
                <w:b/>
                <w:bCs/>
                <w:sz w:val="22"/>
                <w:szCs w:val="22"/>
              </w:rPr>
              <w:t>ion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between local communities and </w:t>
            </w:r>
            <w:r w:rsidR="00592F7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those implementing and monitoring the </w:t>
            </w:r>
            <w:r w:rsidRPr="006A2191">
              <w:rPr>
                <w:rFonts w:asciiTheme="minorHAnsi" w:hAnsiTheme="minorHAnsi"/>
                <w:b/>
                <w:bCs/>
                <w:sz w:val="22"/>
                <w:szCs w:val="22"/>
              </w:rPr>
              <w:t>project</w:t>
            </w:r>
            <w:r>
              <w:rPr>
                <w:rFonts w:asciiTheme="minorHAnsi" w:hAnsiTheme="minorHAnsi"/>
                <w:sz w:val="22"/>
                <w:szCs w:val="22"/>
              </w:rPr>
              <w:t>. Local communities</w:t>
            </w:r>
            <w:r w:rsidR="00592F76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including vulnerable groups</w:t>
            </w:r>
            <w:r w:rsidR="00592F76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must be involved. </w:t>
            </w:r>
          </w:p>
        </w:tc>
      </w:tr>
    </w:tbl>
    <w:p w14:paraId="5548D19B" w14:textId="77777777" w:rsidR="0041268A" w:rsidRPr="00A35D65" w:rsidRDefault="0041268A" w:rsidP="00AC78CB">
      <w:pPr>
        <w:rPr>
          <w:rFonts w:asciiTheme="minorHAnsi" w:hAnsiTheme="minorHAnsi"/>
          <w:sz w:val="22"/>
          <w:szCs w:val="22"/>
        </w:rPr>
      </w:pPr>
    </w:p>
    <w:sectPr w:rsidR="0041268A" w:rsidRPr="00A35D65" w:rsidSect="00841140">
      <w:headerReference w:type="default" r:id="rId11"/>
      <w:footerReference w:type="even" r:id="rId12"/>
      <w:footerReference w:type="default" r:id="rId13"/>
      <w:pgSz w:w="15840" w:h="12240" w:orient="landscape"/>
      <w:pgMar w:top="1440" w:right="1440" w:bottom="1440" w:left="1440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ABCCD" w14:textId="77777777" w:rsidR="009E72DD" w:rsidRDefault="009E72DD">
      <w:pPr>
        <w:spacing w:after="0" w:line="240" w:lineRule="auto"/>
      </w:pPr>
      <w:r>
        <w:separator/>
      </w:r>
    </w:p>
  </w:endnote>
  <w:endnote w:type="continuationSeparator" w:id="0">
    <w:p w14:paraId="020672BA" w14:textId="77777777" w:rsidR="009E72DD" w:rsidRDefault="009E72DD">
      <w:pPr>
        <w:spacing w:after="0" w:line="240" w:lineRule="auto"/>
      </w:pPr>
      <w:r>
        <w:continuationSeparator/>
      </w:r>
    </w:p>
  </w:endnote>
  <w:endnote w:type="continuationNotice" w:id="1">
    <w:p w14:paraId="6453787E" w14:textId="77777777" w:rsidR="009E72DD" w:rsidRDefault="009E72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510C" w14:textId="77777777" w:rsidR="00BE1A8F" w:rsidRDefault="00BE1A8F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C0B0CC2" w14:textId="77777777" w:rsidR="00BE1A8F" w:rsidRDefault="00BE1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4E18B452" w14:textId="77777777" w:rsidR="00BE1A8F" w:rsidRPr="00150B6C" w:rsidRDefault="00BE1A8F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1661D3">
          <w:rPr>
            <w:rFonts w:asciiTheme="minorHAnsi" w:hAnsiTheme="minorHAnsi"/>
            <w:noProof/>
            <w:sz w:val="20"/>
            <w:szCs w:val="20"/>
          </w:rPr>
          <w:t>6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24CA823C" w14:textId="77777777" w:rsidR="00BE1A8F" w:rsidRDefault="00BE1A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DE43C" w14:textId="77777777" w:rsidR="009E72DD" w:rsidRDefault="009E72DD">
      <w:pPr>
        <w:spacing w:after="0" w:line="240" w:lineRule="auto"/>
      </w:pPr>
      <w:r>
        <w:separator/>
      </w:r>
    </w:p>
  </w:footnote>
  <w:footnote w:type="continuationSeparator" w:id="0">
    <w:p w14:paraId="5255F240" w14:textId="77777777" w:rsidR="009E72DD" w:rsidRDefault="009E72DD">
      <w:pPr>
        <w:spacing w:after="0" w:line="240" w:lineRule="auto"/>
      </w:pPr>
      <w:r>
        <w:continuationSeparator/>
      </w:r>
    </w:p>
  </w:footnote>
  <w:footnote w:type="continuationNotice" w:id="1">
    <w:p w14:paraId="6D563C35" w14:textId="77777777" w:rsidR="009E72DD" w:rsidRDefault="009E72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4709" w14:textId="77777777" w:rsidR="00F51ECA" w:rsidRDefault="00F51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32353"/>
    <w:multiLevelType w:val="hybridMultilevel"/>
    <w:tmpl w:val="76FC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3100"/>
    <w:multiLevelType w:val="hybridMultilevel"/>
    <w:tmpl w:val="0868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561C"/>
    <w:multiLevelType w:val="hybridMultilevel"/>
    <w:tmpl w:val="6824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0CC8"/>
    <w:multiLevelType w:val="hybridMultilevel"/>
    <w:tmpl w:val="02AA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914C0"/>
    <w:multiLevelType w:val="hybridMultilevel"/>
    <w:tmpl w:val="6B3660D0"/>
    <w:lvl w:ilvl="0" w:tplc="78106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2D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47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AE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A4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A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41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5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CA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AC28F9"/>
    <w:multiLevelType w:val="hybridMultilevel"/>
    <w:tmpl w:val="1C5EA62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11B3319A"/>
    <w:multiLevelType w:val="hybridMultilevel"/>
    <w:tmpl w:val="24BE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26275"/>
    <w:multiLevelType w:val="hybridMultilevel"/>
    <w:tmpl w:val="F4C0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A4413"/>
    <w:multiLevelType w:val="hybridMultilevel"/>
    <w:tmpl w:val="C37A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0FBB"/>
    <w:multiLevelType w:val="hybridMultilevel"/>
    <w:tmpl w:val="69DE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84AA1"/>
    <w:multiLevelType w:val="hybridMultilevel"/>
    <w:tmpl w:val="967A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7F5A"/>
    <w:multiLevelType w:val="hybridMultilevel"/>
    <w:tmpl w:val="D53A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B7530"/>
    <w:multiLevelType w:val="hybridMultilevel"/>
    <w:tmpl w:val="440C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F4C13"/>
    <w:multiLevelType w:val="hybridMultilevel"/>
    <w:tmpl w:val="27262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654CD"/>
    <w:multiLevelType w:val="hybridMultilevel"/>
    <w:tmpl w:val="110E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DD0"/>
    <w:multiLevelType w:val="hybridMultilevel"/>
    <w:tmpl w:val="92E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36CC"/>
    <w:multiLevelType w:val="hybridMultilevel"/>
    <w:tmpl w:val="4DD6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E3C69"/>
    <w:multiLevelType w:val="hybridMultilevel"/>
    <w:tmpl w:val="796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970A4"/>
    <w:multiLevelType w:val="hybridMultilevel"/>
    <w:tmpl w:val="0E86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B2043"/>
    <w:multiLevelType w:val="hybridMultilevel"/>
    <w:tmpl w:val="A98A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4465D"/>
    <w:multiLevelType w:val="hybridMultilevel"/>
    <w:tmpl w:val="FC2E14B0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6CA71613"/>
    <w:multiLevelType w:val="hybridMultilevel"/>
    <w:tmpl w:val="374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2190D"/>
    <w:multiLevelType w:val="hybridMultilevel"/>
    <w:tmpl w:val="7F8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D290F"/>
    <w:multiLevelType w:val="hybridMultilevel"/>
    <w:tmpl w:val="0A92F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116600"/>
    <w:multiLevelType w:val="hybridMultilevel"/>
    <w:tmpl w:val="00CAB6F6"/>
    <w:lvl w:ilvl="0" w:tplc="10A84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7"/>
  </w:num>
  <w:num w:numId="5">
    <w:abstractNumId w:val="9"/>
  </w:num>
  <w:num w:numId="6">
    <w:abstractNumId w:val="24"/>
  </w:num>
  <w:num w:numId="7">
    <w:abstractNumId w:val="16"/>
  </w:num>
  <w:num w:numId="8">
    <w:abstractNumId w:val="19"/>
  </w:num>
  <w:num w:numId="9">
    <w:abstractNumId w:val="14"/>
  </w:num>
  <w:num w:numId="10">
    <w:abstractNumId w:val="22"/>
  </w:num>
  <w:num w:numId="11">
    <w:abstractNumId w:val="10"/>
  </w:num>
  <w:num w:numId="12">
    <w:abstractNumId w:val="2"/>
  </w:num>
  <w:num w:numId="13">
    <w:abstractNumId w:val="23"/>
  </w:num>
  <w:num w:numId="14">
    <w:abstractNumId w:val="18"/>
  </w:num>
  <w:num w:numId="15">
    <w:abstractNumId w:val="20"/>
  </w:num>
  <w:num w:numId="16">
    <w:abstractNumId w:val="13"/>
  </w:num>
  <w:num w:numId="17">
    <w:abstractNumId w:val="4"/>
  </w:num>
  <w:num w:numId="18">
    <w:abstractNumId w:val="11"/>
  </w:num>
  <w:num w:numId="19">
    <w:abstractNumId w:val="15"/>
  </w:num>
  <w:num w:numId="20">
    <w:abstractNumId w:val="8"/>
  </w:num>
  <w:num w:numId="21">
    <w:abstractNumId w:val="17"/>
  </w:num>
  <w:num w:numId="22">
    <w:abstractNumId w:val="3"/>
  </w:num>
  <w:num w:numId="23">
    <w:abstractNumId w:val="21"/>
  </w:num>
  <w:num w:numId="24">
    <w:abstractNumId w:val="5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0213"/>
    <w:rsid w:val="0000255A"/>
    <w:rsid w:val="00005E1C"/>
    <w:rsid w:val="00007A6E"/>
    <w:rsid w:val="00007DA4"/>
    <w:rsid w:val="00014E36"/>
    <w:rsid w:val="00017022"/>
    <w:rsid w:val="000225BA"/>
    <w:rsid w:val="0002336F"/>
    <w:rsid w:val="00024DD6"/>
    <w:rsid w:val="00025C8B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3E09"/>
    <w:rsid w:val="00045515"/>
    <w:rsid w:val="00046FD1"/>
    <w:rsid w:val="00050278"/>
    <w:rsid w:val="00052126"/>
    <w:rsid w:val="00052A60"/>
    <w:rsid w:val="000568E5"/>
    <w:rsid w:val="00057DE1"/>
    <w:rsid w:val="000615B0"/>
    <w:rsid w:val="000623E7"/>
    <w:rsid w:val="000701AB"/>
    <w:rsid w:val="000744EF"/>
    <w:rsid w:val="000768E8"/>
    <w:rsid w:val="00081AF6"/>
    <w:rsid w:val="00083CB4"/>
    <w:rsid w:val="00092809"/>
    <w:rsid w:val="00093B2C"/>
    <w:rsid w:val="00097805"/>
    <w:rsid w:val="000A1804"/>
    <w:rsid w:val="000A68F9"/>
    <w:rsid w:val="000A6D16"/>
    <w:rsid w:val="000A7F3E"/>
    <w:rsid w:val="000B2DE8"/>
    <w:rsid w:val="000B3468"/>
    <w:rsid w:val="000B5DDE"/>
    <w:rsid w:val="000C05A5"/>
    <w:rsid w:val="000C228B"/>
    <w:rsid w:val="000C2A8A"/>
    <w:rsid w:val="000C51A0"/>
    <w:rsid w:val="000C60DE"/>
    <w:rsid w:val="000D0B99"/>
    <w:rsid w:val="000D1AEB"/>
    <w:rsid w:val="000D2C0A"/>
    <w:rsid w:val="000D5950"/>
    <w:rsid w:val="000D65F8"/>
    <w:rsid w:val="000D742B"/>
    <w:rsid w:val="000E2D39"/>
    <w:rsid w:val="000E45DC"/>
    <w:rsid w:val="000E4A9F"/>
    <w:rsid w:val="000E5A24"/>
    <w:rsid w:val="000E5F00"/>
    <w:rsid w:val="000E6546"/>
    <w:rsid w:val="000E6B6A"/>
    <w:rsid w:val="000F19FA"/>
    <w:rsid w:val="000F3983"/>
    <w:rsid w:val="000F3E02"/>
    <w:rsid w:val="000F4254"/>
    <w:rsid w:val="000F42AD"/>
    <w:rsid w:val="000F70D2"/>
    <w:rsid w:val="00101AD6"/>
    <w:rsid w:val="00112D59"/>
    <w:rsid w:val="00116045"/>
    <w:rsid w:val="0011630F"/>
    <w:rsid w:val="0011666B"/>
    <w:rsid w:val="001223AF"/>
    <w:rsid w:val="00124BBE"/>
    <w:rsid w:val="0012738A"/>
    <w:rsid w:val="0013530E"/>
    <w:rsid w:val="00142F67"/>
    <w:rsid w:val="0014341F"/>
    <w:rsid w:val="00143686"/>
    <w:rsid w:val="00144343"/>
    <w:rsid w:val="001453DE"/>
    <w:rsid w:val="001467E0"/>
    <w:rsid w:val="00150B6C"/>
    <w:rsid w:val="00151BE0"/>
    <w:rsid w:val="00155228"/>
    <w:rsid w:val="001603D5"/>
    <w:rsid w:val="0016528C"/>
    <w:rsid w:val="00165F5F"/>
    <w:rsid w:val="001661D3"/>
    <w:rsid w:val="00166F32"/>
    <w:rsid w:val="00170112"/>
    <w:rsid w:val="0017095E"/>
    <w:rsid w:val="001725DE"/>
    <w:rsid w:val="001737D3"/>
    <w:rsid w:val="00173A55"/>
    <w:rsid w:val="00173E2F"/>
    <w:rsid w:val="0017439C"/>
    <w:rsid w:val="00174746"/>
    <w:rsid w:val="00180399"/>
    <w:rsid w:val="00185589"/>
    <w:rsid w:val="0018566C"/>
    <w:rsid w:val="00186EF1"/>
    <w:rsid w:val="001877F2"/>
    <w:rsid w:val="00187B91"/>
    <w:rsid w:val="001958FD"/>
    <w:rsid w:val="00195AA9"/>
    <w:rsid w:val="00196734"/>
    <w:rsid w:val="001969FB"/>
    <w:rsid w:val="001A131C"/>
    <w:rsid w:val="001A2593"/>
    <w:rsid w:val="001A2DA4"/>
    <w:rsid w:val="001A4C05"/>
    <w:rsid w:val="001A5291"/>
    <w:rsid w:val="001A6224"/>
    <w:rsid w:val="001A70E7"/>
    <w:rsid w:val="001A7BD2"/>
    <w:rsid w:val="001B3819"/>
    <w:rsid w:val="001B3D64"/>
    <w:rsid w:val="001B5314"/>
    <w:rsid w:val="001B5FD2"/>
    <w:rsid w:val="001B6254"/>
    <w:rsid w:val="001C0DF8"/>
    <w:rsid w:val="001C12BD"/>
    <w:rsid w:val="001C4A97"/>
    <w:rsid w:val="001D02F0"/>
    <w:rsid w:val="001D0A26"/>
    <w:rsid w:val="001D3762"/>
    <w:rsid w:val="001D4E40"/>
    <w:rsid w:val="001D76AD"/>
    <w:rsid w:val="001E1432"/>
    <w:rsid w:val="001E1CA7"/>
    <w:rsid w:val="001E22F3"/>
    <w:rsid w:val="001E2A55"/>
    <w:rsid w:val="001E3244"/>
    <w:rsid w:val="001E55B8"/>
    <w:rsid w:val="001E74A3"/>
    <w:rsid w:val="001F1E85"/>
    <w:rsid w:val="001F412D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21376"/>
    <w:rsid w:val="002248F1"/>
    <w:rsid w:val="002253F7"/>
    <w:rsid w:val="00225F7C"/>
    <w:rsid w:val="00227180"/>
    <w:rsid w:val="00232712"/>
    <w:rsid w:val="0023392A"/>
    <w:rsid w:val="00236099"/>
    <w:rsid w:val="0023669B"/>
    <w:rsid w:val="0024205F"/>
    <w:rsid w:val="00246675"/>
    <w:rsid w:val="00255132"/>
    <w:rsid w:val="002648AA"/>
    <w:rsid w:val="002679D9"/>
    <w:rsid w:val="00267DF3"/>
    <w:rsid w:val="002705F9"/>
    <w:rsid w:val="00270ADB"/>
    <w:rsid w:val="002717AA"/>
    <w:rsid w:val="0027488F"/>
    <w:rsid w:val="00277E63"/>
    <w:rsid w:val="002801FD"/>
    <w:rsid w:val="0028355B"/>
    <w:rsid w:val="00283919"/>
    <w:rsid w:val="00284432"/>
    <w:rsid w:val="0028464A"/>
    <w:rsid w:val="0029187C"/>
    <w:rsid w:val="00292E6E"/>
    <w:rsid w:val="00295169"/>
    <w:rsid w:val="00295A21"/>
    <w:rsid w:val="002A1810"/>
    <w:rsid w:val="002A46B2"/>
    <w:rsid w:val="002A53A4"/>
    <w:rsid w:val="002A5680"/>
    <w:rsid w:val="002A673A"/>
    <w:rsid w:val="002A6B80"/>
    <w:rsid w:val="002A7906"/>
    <w:rsid w:val="002B67F6"/>
    <w:rsid w:val="002C02C4"/>
    <w:rsid w:val="002C093B"/>
    <w:rsid w:val="002C1A68"/>
    <w:rsid w:val="002C26F1"/>
    <w:rsid w:val="002D786E"/>
    <w:rsid w:val="002D7C3E"/>
    <w:rsid w:val="002E061F"/>
    <w:rsid w:val="002E1692"/>
    <w:rsid w:val="002E23E9"/>
    <w:rsid w:val="002E3DC8"/>
    <w:rsid w:val="002E42A9"/>
    <w:rsid w:val="002E7551"/>
    <w:rsid w:val="002E7FA4"/>
    <w:rsid w:val="002F017A"/>
    <w:rsid w:val="002F0F6D"/>
    <w:rsid w:val="002F156A"/>
    <w:rsid w:val="002F5A0D"/>
    <w:rsid w:val="002F5B95"/>
    <w:rsid w:val="0030042C"/>
    <w:rsid w:val="00302EDA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535"/>
    <w:rsid w:val="0031691C"/>
    <w:rsid w:val="00317279"/>
    <w:rsid w:val="00317578"/>
    <w:rsid w:val="00320395"/>
    <w:rsid w:val="00320F96"/>
    <w:rsid w:val="0032103C"/>
    <w:rsid w:val="00323CE8"/>
    <w:rsid w:val="00327933"/>
    <w:rsid w:val="00337BD2"/>
    <w:rsid w:val="003402AA"/>
    <w:rsid w:val="00344222"/>
    <w:rsid w:val="00345D6C"/>
    <w:rsid w:val="003507ED"/>
    <w:rsid w:val="00352D9C"/>
    <w:rsid w:val="00353D85"/>
    <w:rsid w:val="00353E83"/>
    <w:rsid w:val="00354731"/>
    <w:rsid w:val="00354ADB"/>
    <w:rsid w:val="003559C0"/>
    <w:rsid w:val="0035744E"/>
    <w:rsid w:val="00361A5B"/>
    <w:rsid w:val="0036531B"/>
    <w:rsid w:val="00367E63"/>
    <w:rsid w:val="00372BAA"/>
    <w:rsid w:val="003739E9"/>
    <w:rsid w:val="00374DAC"/>
    <w:rsid w:val="00374FDF"/>
    <w:rsid w:val="00375CB9"/>
    <w:rsid w:val="003811B9"/>
    <w:rsid w:val="00384DB5"/>
    <w:rsid w:val="00386344"/>
    <w:rsid w:val="00387008"/>
    <w:rsid w:val="00387FFD"/>
    <w:rsid w:val="0039156C"/>
    <w:rsid w:val="003918B3"/>
    <w:rsid w:val="003942AC"/>
    <w:rsid w:val="00394329"/>
    <w:rsid w:val="00394346"/>
    <w:rsid w:val="003946C3"/>
    <w:rsid w:val="003A366A"/>
    <w:rsid w:val="003B013D"/>
    <w:rsid w:val="003B0290"/>
    <w:rsid w:val="003B06D5"/>
    <w:rsid w:val="003B14C5"/>
    <w:rsid w:val="003B34CF"/>
    <w:rsid w:val="003C06E1"/>
    <w:rsid w:val="003C798A"/>
    <w:rsid w:val="003D1475"/>
    <w:rsid w:val="003D1587"/>
    <w:rsid w:val="003D1967"/>
    <w:rsid w:val="003D4776"/>
    <w:rsid w:val="003D5011"/>
    <w:rsid w:val="003D686C"/>
    <w:rsid w:val="003E0D04"/>
    <w:rsid w:val="003E1AAE"/>
    <w:rsid w:val="003E2779"/>
    <w:rsid w:val="003E32AF"/>
    <w:rsid w:val="003E372A"/>
    <w:rsid w:val="003F2F60"/>
    <w:rsid w:val="003F309E"/>
    <w:rsid w:val="00400675"/>
    <w:rsid w:val="00406C98"/>
    <w:rsid w:val="0040761E"/>
    <w:rsid w:val="0041268A"/>
    <w:rsid w:val="00416EDE"/>
    <w:rsid w:val="00424C82"/>
    <w:rsid w:val="00426B51"/>
    <w:rsid w:val="00431D5F"/>
    <w:rsid w:val="00436033"/>
    <w:rsid w:val="00436082"/>
    <w:rsid w:val="00442D97"/>
    <w:rsid w:val="00443EEF"/>
    <w:rsid w:val="00446D15"/>
    <w:rsid w:val="00451E08"/>
    <w:rsid w:val="00453CD4"/>
    <w:rsid w:val="00456133"/>
    <w:rsid w:val="00457F6D"/>
    <w:rsid w:val="0046032B"/>
    <w:rsid w:val="004604F5"/>
    <w:rsid w:val="00463FC7"/>
    <w:rsid w:val="004656F0"/>
    <w:rsid w:val="00466CE3"/>
    <w:rsid w:val="0047328B"/>
    <w:rsid w:val="00473315"/>
    <w:rsid w:val="00474F9B"/>
    <w:rsid w:val="00481ACF"/>
    <w:rsid w:val="00491A35"/>
    <w:rsid w:val="00491D90"/>
    <w:rsid w:val="00492159"/>
    <w:rsid w:val="0049389F"/>
    <w:rsid w:val="00496A48"/>
    <w:rsid w:val="00497432"/>
    <w:rsid w:val="004A35AD"/>
    <w:rsid w:val="004A61A6"/>
    <w:rsid w:val="004B0E26"/>
    <w:rsid w:val="004B2020"/>
    <w:rsid w:val="004B2825"/>
    <w:rsid w:val="004B695A"/>
    <w:rsid w:val="004B69B8"/>
    <w:rsid w:val="004C02EC"/>
    <w:rsid w:val="004C2A58"/>
    <w:rsid w:val="004C34CD"/>
    <w:rsid w:val="004C3573"/>
    <w:rsid w:val="004C37E8"/>
    <w:rsid w:val="004C4524"/>
    <w:rsid w:val="004C6BA6"/>
    <w:rsid w:val="004C76CB"/>
    <w:rsid w:val="004C7E29"/>
    <w:rsid w:val="004C7FCA"/>
    <w:rsid w:val="004D40AB"/>
    <w:rsid w:val="004D4CBA"/>
    <w:rsid w:val="004D50DE"/>
    <w:rsid w:val="004D6875"/>
    <w:rsid w:val="004D68F9"/>
    <w:rsid w:val="004E0D4C"/>
    <w:rsid w:val="004E61B9"/>
    <w:rsid w:val="004E7DAF"/>
    <w:rsid w:val="004F2672"/>
    <w:rsid w:val="004F3586"/>
    <w:rsid w:val="004F4615"/>
    <w:rsid w:val="004F551D"/>
    <w:rsid w:val="004F5D6B"/>
    <w:rsid w:val="004F78BE"/>
    <w:rsid w:val="00502B14"/>
    <w:rsid w:val="00503AC3"/>
    <w:rsid w:val="005065C7"/>
    <w:rsid w:val="00507646"/>
    <w:rsid w:val="005103D5"/>
    <w:rsid w:val="005108C6"/>
    <w:rsid w:val="00517A78"/>
    <w:rsid w:val="00521046"/>
    <w:rsid w:val="005214D1"/>
    <w:rsid w:val="0052371D"/>
    <w:rsid w:val="0053116B"/>
    <w:rsid w:val="00535DE9"/>
    <w:rsid w:val="005409E3"/>
    <w:rsid w:val="005420E0"/>
    <w:rsid w:val="00542D82"/>
    <w:rsid w:val="00544F7A"/>
    <w:rsid w:val="00551E85"/>
    <w:rsid w:val="00555A56"/>
    <w:rsid w:val="00560F42"/>
    <w:rsid w:val="00561582"/>
    <w:rsid w:val="00562369"/>
    <w:rsid w:val="00562D03"/>
    <w:rsid w:val="0056581D"/>
    <w:rsid w:val="00566924"/>
    <w:rsid w:val="00567698"/>
    <w:rsid w:val="005703C8"/>
    <w:rsid w:val="00572220"/>
    <w:rsid w:val="0057243A"/>
    <w:rsid w:val="00575AA2"/>
    <w:rsid w:val="0057765C"/>
    <w:rsid w:val="00580742"/>
    <w:rsid w:val="00581F5B"/>
    <w:rsid w:val="00582C42"/>
    <w:rsid w:val="00586525"/>
    <w:rsid w:val="00590F1D"/>
    <w:rsid w:val="005926E0"/>
    <w:rsid w:val="00592B56"/>
    <w:rsid w:val="00592F76"/>
    <w:rsid w:val="005941F6"/>
    <w:rsid w:val="00594D12"/>
    <w:rsid w:val="00595239"/>
    <w:rsid w:val="005A323D"/>
    <w:rsid w:val="005B1D7C"/>
    <w:rsid w:val="005B5868"/>
    <w:rsid w:val="005C2BD1"/>
    <w:rsid w:val="005C3028"/>
    <w:rsid w:val="005C478A"/>
    <w:rsid w:val="005C4A5E"/>
    <w:rsid w:val="005C4C50"/>
    <w:rsid w:val="005C56F1"/>
    <w:rsid w:val="005D07F3"/>
    <w:rsid w:val="005D09DA"/>
    <w:rsid w:val="005D0D38"/>
    <w:rsid w:val="005D0EF7"/>
    <w:rsid w:val="005D1984"/>
    <w:rsid w:val="005D1DBC"/>
    <w:rsid w:val="005D3858"/>
    <w:rsid w:val="005E1FDC"/>
    <w:rsid w:val="005E6733"/>
    <w:rsid w:val="005F0290"/>
    <w:rsid w:val="005F4373"/>
    <w:rsid w:val="00600DA8"/>
    <w:rsid w:val="006020DB"/>
    <w:rsid w:val="00602C11"/>
    <w:rsid w:val="00604794"/>
    <w:rsid w:val="00605513"/>
    <w:rsid w:val="00606340"/>
    <w:rsid w:val="00611441"/>
    <w:rsid w:val="00612154"/>
    <w:rsid w:val="00612622"/>
    <w:rsid w:val="0061401B"/>
    <w:rsid w:val="00614E58"/>
    <w:rsid w:val="006211B9"/>
    <w:rsid w:val="006255FB"/>
    <w:rsid w:val="006275E8"/>
    <w:rsid w:val="0062765B"/>
    <w:rsid w:val="00627EC8"/>
    <w:rsid w:val="00633799"/>
    <w:rsid w:val="006340F6"/>
    <w:rsid w:val="00634A99"/>
    <w:rsid w:val="0064715C"/>
    <w:rsid w:val="00650D62"/>
    <w:rsid w:val="006522E7"/>
    <w:rsid w:val="0065484E"/>
    <w:rsid w:val="00657085"/>
    <w:rsid w:val="006657CD"/>
    <w:rsid w:val="00665A65"/>
    <w:rsid w:val="00665F7F"/>
    <w:rsid w:val="0066646A"/>
    <w:rsid w:val="0067308A"/>
    <w:rsid w:val="00674EEA"/>
    <w:rsid w:val="00676077"/>
    <w:rsid w:val="00676792"/>
    <w:rsid w:val="00677147"/>
    <w:rsid w:val="006806B1"/>
    <w:rsid w:val="006810E8"/>
    <w:rsid w:val="006833BD"/>
    <w:rsid w:val="006846AC"/>
    <w:rsid w:val="006855A9"/>
    <w:rsid w:val="006904D1"/>
    <w:rsid w:val="00694CBC"/>
    <w:rsid w:val="00695C15"/>
    <w:rsid w:val="00696B3E"/>
    <w:rsid w:val="00697FED"/>
    <w:rsid w:val="006A1A6E"/>
    <w:rsid w:val="006A2191"/>
    <w:rsid w:val="006A248B"/>
    <w:rsid w:val="006A26A0"/>
    <w:rsid w:val="006A7606"/>
    <w:rsid w:val="006B1A71"/>
    <w:rsid w:val="006B1E56"/>
    <w:rsid w:val="006B3516"/>
    <w:rsid w:val="006B36BF"/>
    <w:rsid w:val="006B4543"/>
    <w:rsid w:val="006B4F12"/>
    <w:rsid w:val="006B56D8"/>
    <w:rsid w:val="006B640E"/>
    <w:rsid w:val="006B6FD0"/>
    <w:rsid w:val="006B7CB0"/>
    <w:rsid w:val="006C292F"/>
    <w:rsid w:val="006C2934"/>
    <w:rsid w:val="006C50F0"/>
    <w:rsid w:val="006C5C91"/>
    <w:rsid w:val="006D12A1"/>
    <w:rsid w:val="006D4EB1"/>
    <w:rsid w:val="006D5D8B"/>
    <w:rsid w:val="006E058F"/>
    <w:rsid w:val="006E4401"/>
    <w:rsid w:val="006E68C8"/>
    <w:rsid w:val="006E698B"/>
    <w:rsid w:val="006F2DEB"/>
    <w:rsid w:val="006F41D7"/>
    <w:rsid w:val="006F5B2A"/>
    <w:rsid w:val="006F7CE9"/>
    <w:rsid w:val="00700002"/>
    <w:rsid w:val="00703DDF"/>
    <w:rsid w:val="00704CDA"/>
    <w:rsid w:val="00706D64"/>
    <w:rsid w:val="00711C8A"/>
    <w:rsid w:val="00712242"/>
    <w:rsid w:val="00721455"/>
    <w:rsid w:val="00734456"/>
    <w:rsid w:val="007355BC"/>
    <w:rsid w:val="00744F1D"/>
    <w:rsid w:val="007455FD"/>
    <w:rsid w:val="00745D52"/>
    <w:rsid w:val="00746099"/>
    <w:rsid w:val="00746FCA"/>
    <w:rsid w:val="00750583"/>
    <w:rsid w:val="00751874"/>
    <w:rsid w:val="0075193E"/>
    <w:rsid w:val="0075214B"/>
    <w:rsid w:val="007522AA"/>
    <w:rsid w:val="00752E65"/>
    <w:rsid w:val="0075679B"/>
    <w:rsid w:val="00762FF6"/>
    <w:rsid w:val="007641B0"/>
    <w:rsid w:val="00764AF0"/>
    <w:rsid w:val="0076500E"/>
    <w:rsid w:val="00765BAF"/>
    <w:rsid w:val="007711E0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C7F17"/>
    <w:rsid w:val="007D5511"/>
    <w:rsid w:val="007D5F89"/>
    <w:rsid w:val="007D6AF1"/>
    <w:rsid w:val="007E20C5"/>
    <w:rsid w:val="007E2AEC"/>
    <w:rsid w:val="007E3BB0"/>
    <w:rsid w:val="007E6044"/>
    <w:rsid w:val="007E65A1"/>
    <w:rsid w:val="007E67F9"/>
    <w:rsid w:val="007F3629"/>
    <w:rsid w:val="008007BC"/>
    <w:rsid w:val="00800F18"/>
    <w:rsid w:val="00801272"/>
    <w:rsid w:val="00801460"/>
    <w:rsid w:val="00801D0B"/>
    <w:rsid w:val="0080225B"/>
    <w:rsid w:val="008052F1"/>
    <w:rsid w:val="008064A6"/>
    <w:rsid w:val="00815AF9"/>
    <w:rsid w:val="0082090B"/>
    <w:rsid w:val="008240DE"/>
    <w:rsid w:val="00826F47"/>
    <w:rsid w:val="008308F0"/>
    <w:rsid w:val="00830E06"/>
    <w:rsid w:val="00831DE1"/>
    <w:rsid w:val="00832B88"/>
    <w:rsid w:val="008340FA"/>
    <w:rsid w:val="008341F0"/>
    <w:rsid w:val="00837F2B"/>
    <w:rsid w:val="00841140"/>
    <w:rsid w:val="00841DF7"/>
    <w:rsid w:val="00842296"/>
    <w:rsid w:val="008464FD"/>
    <w:rsid w:val="008470F1"/>
    <w:rsid w:val="00847402"/>
    <w:rsid w:val="008564C4"/>
    <w:rsid w:val="00873220"/>
    <w:rsid w:val="00875B03"/>
    <w:rsid w:val="00877B95"/>
    <w:rsid w:val="00877C0B"/>
    <w:rsid w:val="00885E07"/>
    <w:rsid w:val="008878D2"/>
    <w:rsid w:val="00890492"/>
    <w:rsid w:val="00890D80"/>
    <w:rsid w:val="00895C16"/>
    <w:rsid w:val="008967BD"/>
    <w:rsid w:val="008A0F2A"/>
    <w:rsid w:val="008A533C"/>
    <w:rsid w:val="008B0531"/>
    <w:rsid w:val="008B074D"/>
    <w:rsid w:val="008B23EE"/>
    <w:rsid w:val="008B4648"/>
    <w:rsid w:val="008B516C"/>
    <w:rsid w:val="008B5CEC"/>
    <w:rsid w:val="008B7264"/>
    <w:rsid w:val="008B7469"/>
    <w:rsid w:val="008C0E8A"/>
    <w:rsid w:val="008C35AB"/>
    <w:rsid w:val="008C5FCF"/>
    <w:rsid w:val="008C648D"/>
    <w:rsid w:val="008D3B62"/>
    <w:rsid w:val="008D45EA"/>
    <w:rsid w:val="008D47BA"/>
    <w:rsid w:val="008D5294"/>
    <w:rsid w:val="008D6E46"/>
    <w:rsid w:val="008E3CAB"/>
    <w:rsid w:val="008E60CF"/>
    <w:rsid w:val="008E6553"/>
    <w:rsid w:val="008E663F"/>
    <w:rsid w:val="008E6961"/>
    <w:rsid w:val="008F4648"/>
    <w:rsid w:val="008F514A"/>
    <w:rsid w:val="008F5409"/>
    <w:rsid w:val="009015A5"/>
    <w:rsid w:val="00901980"/>
    <w:rsid w:val="0090569B"/>
    <w:rsid w:val="0090611C"/>
    <w:rsid w:val="00906582"/>
    <w:rsid w:val="009066A1"/>
    <w:rsid w:val="00910F92"/>
    <w:rsid w:val="0091180A"/>
    <w:rsid w:val="00912D3B"/>
    <w:rsid w:val="0091341A"/>
    <w:rsid w:val="0091629E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36F2E"/>
    <w:rsid w:val="00940764"/>
    <w:rsid w:val="00941C03"/>
    <w:rsid w:val="00941EF6"/>
    <w:rsid w:val="009434EC"/>
    <w:rsid w:val="00943A1C"/>
    <w:rsid w:val="00944D38"/>
    <w:rsid w:val="009511DD"/>
    <w:rsid w:val="00951AC1"/>
    <w:rsid w:val="0095294E"/>
    <w:rsid w:val="00953A10"/>
    <w:rsid w:val="00954B0D"/>
    <w:rsid w:val="009571C1"/>
    <w:rsid w:val="0096419A"/>
    <w:rsid w:val="0096494B"/>
    <w:rsid w:val="0096558C"/>
    <w:rsid w:val="009717EA"/>
    <w:rsid w:val="009724B0"/>
    <w:rsid w:val="00972C54"/>
    <w:rsid w:val="00980635"/>
    <w:rsid w:val="00981BE5"/>
    <w:rsid w:val="00990B5E"/>
    <w:rsid w:val="00993EAB"/>
    <w:rsid w:val="00994D19"/>
    <w:rsid w:val="009A09F1"/>
    <w:rsid w:val="009A343C"/>
    <w:rsid w:val="009A4357"/>
    <w:rsid w:val="009A732F"/>
    <w:rsid w:val="009B2BF4"/>
    <w:rsid w:val="009B36E2"/>
    <w:rsid w:val="009C0FFD"/>
    <w:rsid w:val="009C16BB"/>
    <w:rsid w:val="009C27DD"/>
    <w:rsid w:val="009C295B"/>
    <w:rsid w:val="009C509A"/>
    <w:rsid w:val="009D047E"/>
    <w:rsid w:val="009D4713"/>
    <w:rsid w:val="009D47DD"/>
    <w:rsid w:val="009D4938"/>
    <w:rsid w:val="009D7BF5"/>
    <w:rsid w:val="009E4E07"/>
    <w:rsid w:val="009E5FD0"/>
    <w:rsid w:val="009E60A4"/>
    <w:rsid w:val="009E6AC5"/>
    <w:rsid w:val="009E72DD"/>
    <w:rsid w:val="009F14D6"/>
    <w:rsid w:val="009F18AA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512A"/>
    <w:rsid w:val="00A35D65"/>
    <w:rsid w:val="00A3603A"/>
    <w:rsid w:val="00A37BF2"/>
    <w:rsid w:val="00A430A5"/>
    <w:rsid w:val="00A44601"/>
    <w:rsid w:val="00A51AC5"/>
    <w:rsid w:val="00A51B0F"/>
    <w:rsid w:val="00A55954"/>
    <w:rsid w:val="00A6050C"/>
    <w:rsid w:val="00A61A33"/>
    <w:rsid w:val="00A67197"/>
    <w:rsid w:val="00A7218B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2C36"/>
    <w:rsid w:val="00A942D0"/>
    <w:rsid w:val="00A94A3F"/>
    <w:rsid w:val="00A9542C"/>
    <w:rsid w:val="00A9590E"/>
    <w:rsid w:val="00A9794C"/>
    <w:rsid w:val="00AA044A"/>
    <w:rsid w:val="00AA23E1"/>
    <w:rsid w:val="00AA3017"/>
    <w:rsid w:val="00AA5C68"/>
    <w:rsid w:val="00AA7CA7"/>
    <w:rsid w:val="00AA7FC7"/>
    <w:rsid w:val="00AB0A31"/>
    <w:rsid w:val="00AB1D59"/>
    <w:rsid w:val="00AB26C6"/>
    <w:rsid w:val="00AB2C51"/>
    <w:rsid w:val="00AB3901"/>
    <w:rsid w:val="00AB7365"/>
    <w:rsid w:val="00AC1D0B"/>
    <w:rsid w:val="00AC2757"/>
    <w:rsid w:val="00AC35E9"/>
    <w:rsid w:val="00AC6935"/>
    <w:rsid w:val="00AC6A20"/>
    <w:rsid w:val="00AC71AD"/>
    <w:rsid w:val="00AC78CB"/>
    <w:rsid w:val="00AD199B"/>
    <w:rsid w:val="00AD288F"/>
    <w:rsid w:val="00AD3704"/>
    <w:rsid w:val="00AD3706"/>
    <w:rsid w:val="00AD3968"/>
    <w:rsid w:val="00AE1D8C"/>
    <w:rsid w:val="00AE30D9"/>
    <w:rsid w:val="00AF0A93"/>
    <w:rsid w:val="00AF1D2F"/>
    <w:rsid w:val="00AF31AE"/>
    <w:rsid w:val="00AF52DA"/>
    <w:rsid w:val="00AF61A2"/>
    <w:rsid w:val="00AF6ED0"/>
    <w:rsid w:val="00B00B8D"/>
    <w:rsid w:val="00B00C48"/>
    <w:rsid w:val="00B046A5"/>
    <w:rsid w:val="00B06E1C"/>
    <w:rsid w:val="00B075C5"/>
    <w:rsid w:val="00B12479"/>
    <w:rsid w:val="00B13307"/>
    <w:rsid w:val="00B14A42"/>
    <w:rsid w:val="00B166F0"/>
    <w:rsid w:val="00B16E9C"/>
    <w:rsid w:val="00B204DC"/>
    <w:rsid w:val="00B210B9"/>
    <w:rsid w:val="00B24A84"/>
    <w:rsid w:val="00B30A0D"/>
    <w:rsid w:val="00B35BCE"/>
    <w:rsid w:val="00B41123"/>
    <w:rsid w:val="00B43AEA"/>
    <w:rsid w:val="00B43E13"/>
    <w:rsid w:val="00B44438"/>
    <w:rsid w:val="00B447E7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6A3A"/>
    <w:rsid w:val="00B7734C"/>
    <w:rsid w:val="00B82CD9"/>
    <w:rsid w:val="00B87220"/>
    <w:rsid w:val="00B87CAA"/>
    <w:rsid w:val="00B90D46"/>
    <w:rsid w:val="00B91042"/>
    <w:rsid w:val="00B94095"/>
    <w:rsid w:val="00B947D5"/>
    <w:rsid w:val="00B94A3E"/>
    <w:rsid w:val="00B955F3"/>
    <w:rsid w:val="00B96DCE"/>
    <w:rsid w:val="00BA0194"/>
    <w:rsid w:val="00BA0C1E"/>
    <w:rsid w:val="00BA3BA6"/>
    <w:rsid w:val="00BA494C"/>
    <w:rsid w:val="00BA52B0"/>
    <w:rsid w:val="00BB1F9B"/>
    <w:rsid w:val="00BB62D4"/>
    <w:rsid w:val="00BB6990"/>
    <w:rsid w:val="00BC0E42"/>
    <w:rsid w:val="00BC1A8B"/>
    <w:rsid w:val="00BC454A"/>
    <w:rsid w:val="00BD2277"/>
    <w:rsid w:val="00BD34C2"/>
    <w:rsid w:val="00BD45B9"/>
    <w:rsid w:val="00BD7218"/>
    <w:rsid w:val="00BD7415"/>
    <w:rsid w:val="00BE1A8F"/>
    <w:rsid w:val="00BE2842"/>
    <w:rsid w:val="00BF18CB"/>
    <w:rsid w:val="00BF209B"/>
    <w:rsid w:val="00BF32BF"/>
    <w:rsid w:val="00BF360C"/>
    <w:rsid w:val="00BF3D87"/>
    <w:rsid w:val="00BF5F0F"/>
    <w:rsid w:val="00C012EC"/>
    <w:rsid w:val="00C050F3"/>
    <w:rsid w:val="00C1018B"/>
    <w:rsid w:val="00C10A79"/>
    <w:rsid w:val="00C1318A"/>
    <w:rsid w:val="00C1490D"/>
    <w:rsid w:val="00C14B81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0B57"/>
    <w:rsid w:val="00C436E7"/>
    <w:rsid w:val="00C4631D"/>
    <w:rsid w:val="00C532C2"/>
    <w:rsid w:val="00C537FF"/>
    <w:rsid w:val="00C53915"/>
    <w:rsid w:val="00C56076"/>
    <w:rsid w:val="00C56288"/>
    <w:rsid w:val="00C56F67"/>
    <w:rsid w:val="00C606C1"/>
    <w:rsid w:val="00C63B05"/>
    <w:rsid w:val="00C63B45"/>
    <w:rsid w:val="00C64909"/>
    <w:rsid w:val="00C70B3C"/>
    <w:rsid w:val="00C71EDA"/>
    <w:rsid w:val="00C73230"/>
    <w:rsid w:val="00C7347F"/>
    <w:rsid w:val="00C737A1"/>
    <w:rsid w:val="00C737FB"/>
    <w:rsid w:val="00C7465C"/>
    <w:rsid w:val="00C83576"/>
    <w:rsid w:val="00C84887"/>
    <w:rsid w:val="00C86E31"/>
    <w:rsid w:val="00C87BDA"/>
    <w:rsid w:val="00C920B4"/>
    <w:rsid w:val="00C93F48"/>
    <w:rsid w:val="00C960AE"/>
    <w:rsid w:val="00C96854"/>
    <w:rsid w:val="00CA31EC"/>
    <w:rsid w:val="00CA35E0"/>
    <w:rsid w:val="00CA53DF"/>
    <w:rsid w:val="00CA7E99"/>
    <w:rsid w:val="00CB1BC5"/>
    <w:rsid w:val="00CB25DF"/>
    <w:rsid w:val="00CB7BBA"/>
    <w:rsid w:val="00CC0149"/>
    <w:rsid w:val="00CC1ADB"/>
    <w:rsid w:val="00CD05E9"/>
    <w:rsid w:val="00CD37EF"/>
    <w:rsid w:val="00CD481A"/>
    <w:rsid w:val="00CE24E4"/>
    <w:rsid w:val="00CE30A7"/>
    <w:rsid w:val="00CE3AFE"/>
    <w:rsid w:val="00CE69A0"/>
    <w:rsid w:val="00CE71B7"/>
    <w:rsid w:val="00CF0E4C"/>
    <w:rsid w:val="00CF2430"/>
    <w:rsid w:val="00CF3100"/>
    <w:rsid w:val="00CF4060"/>
    <w:rsid w:val="00CF47F9"/>
    <w:rsid w:val="00CF63DE"/>
    <w:rsid w:val="00D04A80"/>
    <w:rsid w:val="00D06820"/>
    <w:rsid w:val="00D1038F"/>
    <w:rsid w:val="00D13458"/>
    <w:rsid w:val="00D15331"/>
    <w:rsid w:val="00D1654D"/>
    <w:rsid w:val="00D22538"/>
    <w:rsid w:val="00D23A7D"/>
    <w:rsid w:val="00D23E72"/>
    <w:rsid w:val="00D2506E"/>
    <w:rsid w:val="00D26D70"/>
    <w:rsid w:val="00D27B79"/>
    <w:rsid w:val="00D30DCF"/>
    <w:rsid w:val="00D31C38"/>
    <w:rsid w:val="00D35AFB"/>
    <w:rsid w:val="00D363D5"/>
    <w:rsid w:val="00D4184B"/>
    <w:rsid w:val="00D43358"/>
    <w:rsid w:val="00D446EB"/>
    <w:rsid w:val="00D46F8D"/>
    <w:rsid w:val="00D53C61"/>
    <w:rsid w:val="00D61D4C"/>
    <w:rsid w:val="00D6380F"/>
    <w:rsid w:val="00D71DD0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EC4"/>
    <w:rsid w:val="00DA1005"/>
    <w:rsid w:val="00DA12D0"/>
    <w:rsid w:val="00DA4A01"/>
    <w:rsid w:val="00DA4F42"/>
    <w:rsid w:val="00DA5092"/>
    <w:rsid w:val="00DA7646"/>
    <w:rsid w:val="00DA7FA5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5738"/>
    <w:rsid w:val="00DC7363"/>
    <w:rsid w:val="00DD079D"/>
    <w:rsid w:val="00DD4053"/>
    <w:rsid w:val="00DD4CC3"/>
    <w:rsid w:val="00DD575B"/>
    <w:rsid w:val="00DD719B"/>
    <w:rsid w:val="00DD7BB5"/>
    <w:rsid w:val="00DE075F"/>
    <w:rsid w:val="00DE5D8E"/>
    <w:rsid w:val="00DE7249"/>
    <w:rsid w:val="00DE7778"/>
    <w:rsid w:val="00DF2005"/>
    <w:rsid w:val="00DF35D7"/>
    <w:rsid w:val="00DF5CC8"/>
    <w:rsid w:val="00DF6F60"/>
    <w:rsid w:val="00E01D7E"/>
    <w:rsid w:val="00E06FA3"/>
    <w:rsid w:val="00E07492"/>
    <w:rsid w:val="00E07CFD"/>
    <w:rsid w:val="00E108B1"/>
    <w:rsid w:val="00E11AD2"/>
    <w:rsid w:val="00E12E4D"/>
    <w:rsid w:val="00E148DA"/>
    <w:rsid w:val="00E162CA"/>
    <w:rsid w:val="00E16BFD"/>
    <w:rsid w:val="00E17702"/>
    <w:rsid w:val="00E17DBB"/>
    <w:rsid w:val="00E21B7A"/>
    <w:rsid w:val="00E233BB"/>
    <w:rsid w:val="00E2597F"/>
    <w:rsid w:val="00E25A71"/>
    <w:rsid w:val="00E27FE0"/>
    <w:rsid w:val="00E31B10"/>
    <w:rsid w:val="00E32B1F"/>
    <w:rsid w:val="00E35122"/>
    <w:rsid w:val="00E3579B"/>
    <w:rsid w:val="00E35894"/>
    <w:rsid w:val="00E42005"/>
    <w:rsid w:val="00E42104"/>
    <w:rsid w:val="00E43819"/>
    <w:rsid w:val="00E44704"/>
    <w:rsid w:val="00E44E0D"/>
    <w:rsid w:val="00E468E8"/>
    <w:rsid w:val="00E501D5"/>
    <w:rsid w:val="00E510B0"/>
    <w:rsid w:val="00E51C96"/>
    <w:rsid w:val="00E52769"/>
    <w:rsid w:val="00E528E3"/>
    <w:rsid w:val="00E52D71"/>
    <w:rsid w:val="00E5378A"/>
    <w:rsid w:val="00E55FE0"/>
    <w:rsid w:val="00E628AE"/>
    <w:rsid w:val="00E62F90"/>
    <w:rsid w:val="00E64D6C"/>
    <w:rsid w:val="00E664D1"/>
    <w:rsid w:val="00E724CE"/>
    <w:rsid w:val="00E72881"/>
    <w:rsid w:val="00E72DFF"/>
    <w:rsid w:val="00E7417F"/>
    <w:rsid w:val="00E76D91"/>
    <w:rsid w:val="00E77D18"/>
    <w:rsid w:val="00E805E8"/>
    <w:rsid w:val="00E81311"/>
    <w:rsid w:val="00E8252A"/>
    <w:rsid w:val="00E83A0B"/>
    <w:rsid w:val="00E84A10"/>
    <w:rsid w:val="00E84C03"/>
    <w:rsid w:val="00E85331"/>
    <w:rsid w:val="00E8757D"/>
    <w:rsid w:val="00E94BCB"/>
    <w:rsid w:val="00E960EA"/>
    <w:rsid w:val="00EA0243"/>
    <w:rsid w:val="00EA1859"/>
    <w:rsid w:val="00EA2EF0"/>
    <w:rsid w:val="00EA526C"/>
    <w:rsid w:val="00EA671C"/>
    <w:rsid w:val="00EB1ED9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D41F8"/>
    <w:rsid w:val="00EE0C22"/>
    <w:rsid w:val="00EE11EB"/>
    <w:rsid w:val="00EE5D78"/>
    <w:rsid w:val="00EE68BE"/>
    <w:rsid w:val="00EE7FBC"/>
    <w:rsid w:val="00EF17AD"/>
    <w:rsid w:val="00EF252F"/>
    <w:rsid w:val="00EF2849"/>
    <w:rsid w:val="00EF7C0B"/>
    <w:rsid w:val="00F00E8D"/>
    <w:rsid w:val="00F0583F"/>
    <w:rsid w:val="00F066E5"/>
    <w:rsid w:val="00F10288"/>
    <w:rsid w:val="00F11331"/>
    <w:rsid w:val="00F1485B"/>
    <w:rsid w:val="00F14AC8"/>
    <w:rsid w:val="00F17E83"/>
    <w:rsid w:val="00F17F6C"/>
    <w:rsid w:val="00F203A0"/>
    <w:rsid w:val="00F20726"/>
    <w:rsid w:val="00F2350E"/>
    <w:rsid w:val="00F25D92"/>
    <w:rsid w:val="00F25FCC"/>
    <w:rsid w:val="00F266AD"/>
    <w:rsid w:val="00F27D66"/>
    <w:rsid w:val="00F32AD1"/>
    <w:rsid w:val="00F34040"/>
    <w:rsid w:val="00F37144"/>
    <w:rsid w:val="00F461D2"/>
    <w:rsid w:val="00F47482"/>
    <w:rsid w:val="00F47FAA"/>
    <w:rsid w:val="00F507C8"/>
    <w:rsid w:val="00F513F4"/>
    <w:rsid w:val="00F51ECA"/>
    <w:rsid w:val="00F530EE"/>
    <w:rsid w:val="00F532D3"/>
    <w:rsid w:val="00F535CC"/>
    <w:rsid w:val="00F53FA0"/>
    <w:rsid w:val="00F56B67"/>
    <w:rsid w:val="00F62562"/>
    <w:rsid w:val="00F662F9"/>
    <w:rsid w:val="00F66383"/>
    <w:rsid w:val="00F7045E"/>
    <w:rsid w:val="00F75151"/>
    <w:rsid w:val="00F762E5"/>
    <w:rsid w:val="00F7686D"/>
    <w:rsid w:val="00F771B0"/>
    <w:rsid w:val="00F805D4"/>
    <w:rsid w:val="00F81989"/>
    <w:rsid w:val="00F81BFF"/>
    <w:rsid w:val="00F84F35"/>
    <w:rsid w:val="00F85E73"/>
    <w:rsid w:val="00F86F77"/>
    <w:rsid w:val="00F910C3"/>
    <w:rsid w:val="00F923A8"/>
    <w:rsid w:val="00F92DFB"/>
    <w:rsid w:val="00F97155"/>
    <w:rsid w:val="00FA06BE"/>
    <w:rsid w:val="00FA0B42"/>
    <w:rsid w:val="00FA4C5D"/>
    <w:rsid w:val="00FB3B45"/>
    <w:rsid w:val="00FB3BA9"/>
    <w:rsid w:val="00FB480B"/>
    <w:rsid w:val="00FB49CA"/>
    <w:rsid w:val="00FB5402"/>
    <w:rsid w:val="00FC1DE3"/>
    <w:rsid w:val="00FC3F39"/>
    <w:rsid w:val="00FC492B"/>
    <w:rsid w:val="00FC5AEC"/>
    <w:rsid w:val="00FC61C1"/>
    <w:rsid w:val="00FC6E39"/>
    <w:rsid w:val="00FD0726"/>
    <w:rsid w:val="00FD292C"/>
    <w:rsid w:val="00FD2A5B"/>
    <w:rsid w:val="00FD2A81"/>
    <w:rsid w:val="00FD53F3"/>
    <w:rsid w:val="00FD73AE"/>
    <w:rsid w:val="00FE0189"/>
    <w:rsid w:val="00FE06F5"/>
    <w:rsid w:val="00FE1957"/>
    <w:rsid w:val="00FE278A"/>
    <w:rsid w:val="00FE450C"/>
    <w:rsid w:val="00FE60A5"/>
    <w:rsid w:val="00FE6120"/>
    <w:rsid w:val="00FE6123"/>
    <w:rsid w:val="00FE6B76"/>
    <w:rsid w:val="00FE7AFE"/>
    <w:rsid w:val="00FF2217"/>
    <w:rsid w:val="00FF2A87"/>
    <w:rsid w:val="00FF4B12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A23D93"/>
  <w15:docId w15:val="{C076F43A-642E-4288-9978-1942321B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50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58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583"/>
    <w:rPr>
      <w:rFonts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583"/>
    <w:rPr>
      <w:rFonts w:cs="Mangal"/>
      <w:b/>
      <w:bCs/>
      <w:kern w:val="1"/>
      <w:szCs w:val="18"/>
      <w:lang w:eastAsia="hi-IN" w:bidi="hi-IN"/>
    </w:rPr>
  </w:style>
  <w:style w:type="paragraph" w:styleId="Revision">
    <w:name w:val="Revision"/>
    <w:hidden/>
    <w:uiPriority w:val="99"/>
    <w:semiHidden/>
    <w:rsid w:val="00750583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64CF9B-9B6C-451B-A8AA-776BDD48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4</cp:revision>
  <cp:lastPrinted>2014-09-10T16:30:00Z</cp:lastPrinted>
  <dcterms:created xsi:type="dcterms:W3CDTF">2016-01-05T18:46:00Z</dcterms:created>
  <dcterms:modified xsi:type="dcterms:W3CDTF">2016-01-05T19:11:00Z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