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7C5679" w:rsidRDefault="00A35D65" w:rsidP="00BF4D81">
      <w:pPr>
        <w:spacing w:line="240" w:lineRule="auto"/>
        <w:jc w:val="center"/>
        <w:rPr>
          <w:rFonts w:asciiTheme="minorHAnsi" w:hAnsiTheme="minorHAnsi" w:cstheme="minorHAnsi"/>
          <w:sz w:val="22"/>
          <w:szCs w:val="22"/>
        </w:rPr>
      </w:pPr>
      <w:bookmarkStart w:id="0" w:name="_GoBack"/>
      <w:bookmarkEnd w:id="0"/>
      <w:r w:rsidRPr="007C5679">
        <w:rPr>
          <w:rFonts w:asciiTheme="minorHAnsi" w:hAnsiTheme="minorHAnsi" w:cstheme="minorHAnsi"/>
          <w:noProof/>
          <w:color w:val="000000"/>
          <w:sz w:val="22"/>
          <w:szCs w:val="22"/>
          <w:lang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888572"/>
                    </a:xfrm>
                    <a:prstGeom prst="rect">
                      <a:avLst/>
                    </a:prstGeom>
                    <a:noFill/>
                    <a:ln>
                      <a:noFill/>
                    </a:ln>
                  </pic:spPr>
                </pic:pic>
              </a:graphicData>
            </a:graphic>
          </wp:inline>
        </w:drawing>
      </w:r>
    </w:p>
    <w:p w:rsidR="00EA11EF" w:rsidRPr="007C5679" w:rsidRDefault="00EA11EF" w:rsidP="00EA11EF">
      <w:pPr>
        <w:spacing w:line="240" w:lineRule="auto"/>
        <w:jc w:val="center"/>
        <w:rPr>
          <w:rFonts w:asciiTheme="minorHAnsi" w:hAnsiTheme="minorHAnsi" w:cstheme="minorHAnsi"/>
          <w:b/>
          <w:bCs/>
          <w:sz w:val="22"/>
          <w:szCs w:val="22"/>
        </w:rPr>
      </w:pPr>
      <w:r w:rsidRPr="007C5679">
        <w:rPr>
          <w:rFonts w:asciiTheme="minorHAnsi" w:hAnsiTheme="minorHAnsi" w:cstheme="minorHAnsi"/>
          <w:b/>
          <w:bCs/>
          <w:sz w:val="22"/>
          <w:szCs w:val="22"/>
        </w:rPr>
        <w:t>Review and Update of the World Bank’s Environmental and Social Safeguard Policies</w:t>
      </w:r>
    </w:p>
    <w:p w:rsidR="00EA11EF" w:rsidRPr="007C5679" w:rsidRDefault="00EA11EF" w:rsidP="00EA11EF">
      <w:pPr>
        <w:pStyle w:val="Title"/>
        <w:spacing w:after="120"/>
        <w:contextualSpacing w:val="0"/>
        <w:jc w:val="center"/>
        <w:rPr>
          <w:rFonts w:asciiTheme="minorHAnsi" w:hAnsiTheme="minorHAnsi" w:cstheme="minorHAnsi"/>
          <w:color w:val="auto"/>
          <w:sz w:val="22"/>
          <w:szCs w:val="22"/>
        </w:rPr>
      </w:pPr>
      <w:r w:rsidRPr="007C5679">
        <w:rPr>
          <w:rFonts w:asciiTheme="minorHAnsi" w:hAnsiTheme="minorHAnsi" w:cstheme="minorHAnsi"/>
          <w:b/>
          <w:bCs/>
          <w:color w:val="auto"/>
          <w:spacing w:val="0"/>
          <w:kern w:val="1"/>
          <w:sz w:val="22"/>
          <w:szCs w:val="22"/>
          <w:lang w:eastAsia="hi-IN" w:bidi="hi-IN"/>
        </w:rPr>
        <w:t xml:space="preserve">Phase 2 Consultations </w:t>
      </w:r>
      <w:r w:rsidRPr="007C5679">
        <w:rPr>
          <w:rFonts w:asciiTheme="minorHAnsi" w:hAnsiTheme="minorHAnsi" w:cstheme="minorHAnsi"/>
          <w:b/>
          <w:bCs/>
          <w:color w:val="auto"/>
          <w:spacing w:val="0"/>
          <w:kern w:val="1"/>
          <w:sz w:val="22"/>
          <w:szCs w:val="22"/>
          <w:lang w:eastAsia="hi-IN" w:bidi="hi-IN"/>
        </w:rPr>
        <w:sym w:font="Symbol" w:char="F02D"/>
      </w:r>
      <w:r w:rsidRPr="007C5679">
        <w:rPr>
          <w:rFonts w:asciiTheme="minorHAnsi" w:hAnsiTheme="minorHAnsi" w:cstheme="minorHAnsi"/>
          <w:b/>
          <w:bCs/>
          <w:color w:val="auto"/>
          <w:spacing w:val="0"/>
          <w:kern w:val="1"/>
          <w:sz w:val="22"/>
          <w:szCs w:val="22"/>
          <w:lang w:eastAsia="hi-IN" w:bidi="hi-IN"/>
        </w:rPr>
        <w:t xml:space="preserve"> Feedback</w:t>
      </w:r>
      <w:r w:rsidRPr="007C5679">
        <w:rPr>
          <w:rFonts w:asciiTheme="minorHAnsi" w:hAnsiTheme="minorHAnsi" w:cstheme="minorHAnsi"/>
          <w:b/>
          <w:bCs/>
          <w:color w:val="auto"/>
          <w:sz w:val="22"/>
          <w:szCs w:val="22"/>
        </w:rPr>
        <w:t xml:space="preserve"> Summary</w:t>
      </w:r>
    </w:p>
    <w:p w:rsidR="00093B2C" w:rsidRPr="007C5679" w:rsidRDefault="00093B2C" w:rsidP="00BF4D81">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rPr>
          <w:rFonts w:asciiTheme="minorHAnsi" w:hAnsiTheme="minorHAnsi" w:cstheme="minorHAnsi"/>
          <w:b/>
          <w:sz w:val="22"/>
          <w:szCs w:val="22"/>
          <w:lang w:val="en-US"/>
        </w:rPr>
      </w:pPr>
      <w:r w:rsidRPr="007C5679">
        <w:rPr>
          <w:rFonts w:asciiTheme="minorHAnsi" w:hAnsiTheme="minorHAnsi" w:cstheme="minorHAnsi"/>
          <w:b/>
          <w:bCs/>
          <w:sz w:val="22"/>
          <w:szCs w:val="22"/>
          <w:lang w:val="en-US"/>
        </w:rPr>
        <w:t xml:space="preserve">Date: </w:t>
      </w:r>
      <w:r w:rsidR="00AE3BFA" w:rsidRPr="007C5679">
        <w:rPr>
          <w:rFonts w:asciiTheme="minorHAnsi" w:hAnsiTheme="minorHAnsi" w:cstheme="minorHAnsi"/>
          <w:b/>
          <w:bCs/>
          <w:sz w:val="22"/>
          <w:szCs w:val="22"/>
          <w:lang w:val="en-US"/>
        </w:rPr>
        <w:t>September 25, 2014</w:t>
      </w:r>
    </w:p>
    <w:p w:rsidR="0028355B" w:rsidRPr="007C5679" w:rsidRDefault="002E23E9" w:rsidP="00BF4D81">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rPr>
          <w:rFonts w:asciiTheme="minorHAnsi" w:hAnsiTheme="minorHAnsi" w:cstheme="minorHAnsi"/>
          <w:b/>
          <w:bCs/>
          <w:sz w:val="22"/>
          <w:szCs w:val="22"/>
          <w:lang w:val="en-US"/>
        </w:rPr>
      </w:pPr>
      <w:r w:rsidRPr="007C5679">
        <w:rPr>
          <w:rFonts w:asciiTheme="minorHAnsi" w:hAnsiTheme="minorHAnsi" w:cstheme="minorHAnsi"/>
          <w:b/>
          <w:bCs/>
          <w:sz w:val="22"/>
          <w:szCs w:val="22"/>
          <w:lang w:val="en-US"/>
        </w:rPr>
        <w:t>Location (City, Country)</w:t>
      </w:r>
      <w:r w:rsidR="00093B2C" w:rsidRPr="007C5679">
        <w:rPr>
          <w:rFonts w:asciiTheme="minorHAnsi" w:hAnsiTheme="minorHAnsi" w:cstheme="minorHAnsi"/>
          <w:b/>
          <w:bCs/>
          <w:sz w:val="22"/>
          <w:szCs w:val="22"/>
          <w:lang w:val="en-US"/>
        </w:rPr>
        <w:t xml:space="preserve">: </w:t>
      </w:r>
      <w:r w:rsidR="00AE3BFA" w:rsidRPr="007C5679">
        <w:rPr>
          <w:rFonts w:asciiTheme="minorHAnsi" w:hAnsiTheme="minorHAnsi" w:cstheme="minorHAnsi"/>
          <w:b/>
          <w:bCs/>
          <w:sz w:val="22"/>
          <w:szCs w:val="22"/>
          <w:lang w:val="en-US"/>
        </w:rPr>
        <w:t>Tbilisi, Georgia</w:t>
      </w:r>
    </w:p>
    <w:p w:rsidR="0028355B" w:rsidRPr="007C5679" w:rsidRDefault="0028355B" w:rsidP="00BF4D81">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rPr>
          <w:rFonts w:asciiTheme="minorHAnsi" w:hAnsiTheme="minorHAnsi" w:cstheme="minorHAnsi"/>
          <w:b/>
          <w:bCs/>
          <w:sz w:val="22"/>
          <w:szCs w:val="22"/>
          <w:lang w:val="en-US"/>
        </w:rPr>
      </w:pPr>
      <w:r w:rsidRPr="007C5679">
        <w:rPr>
          <w:rFonts w:asciiTheme="minorHAnsi" w:hAnsiTheme="minorHAnsi" w:cstheme="minorHAnsi"/>
          <w:b/>
          <w:bCs/>
          <w:sz w:val="22"/>
          <w:szCs w:val="22"/>
          <w:lang w:val="en-US"/>
        </w:rPr>
        <w:t>Audience (Government, CSO, etc.):</w:t>
      </w:r>
      <w:r w:rsidR="00AE3BFA" w:rsidRPr="007C5679">
        <w:rPr>
          <w:rFonts w:asciiTheme="minorHAnsi" w:hAnsiTheme="minorHAnsi" w:cstheme="minorHAnsi"/>
          <w:b/>
          <w:bCs/>
          <w:sz w:val="22"/>
          <w:szCs w:val="22"/>
          <w:lang w:val="en-US"/>
        </w:rPr>
        <w:t xml:space="preserve"> Regional Civil Society and Private Sector</w:t>
      </w:r>
    </w:p>
    <w:p w:rsidR="00B16E9C" w:rsidRPr="007C5679" w:rsidRDefault="00B16E9C" w:rsidP="00BF4D81">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sz w:val="22"/>
          <w:szCs w:val="22"/>
        </w:rPr>
      </w:pPr>
      <w:r w:rsidRPr="007C5679">
        <w:rPr>
          <w:rFonts w:asciiTheme="minorHAnsi" w:hAnsiTheme="minorHAnsi" w:cstheme="minorHAnsi"/>
          <w:b/>
          <w:sz w:val="22"/>
          <w:szCs w:val="22"/>
        </w:rPr>
        <w:t xml:space="preserve">Overview and </w:t>
      </w:r>
      <w:r w:rsidR="00A35D65" w:rsidRPr="007C5679">
        <w:rPr>
          <w:rFonts w:asciiTheme="minorHAnsi" w:hAnsiTheme="minorHAnsi" w:cstheme="minorHAnsi"/>
          <w:b/>
          <w:sz w:val="22"/>
          <w:szCs w:val="22"/>
        </w:rPr>
        <w:t>Key Issues Discussed</w:t>
      </w:r>
      <w:r w:rsidR="005C56F1" w:rsidRPr="007C5679">
        <w:rPr>
          <w:rFonts w:asciiTheme="minorHAnsi" w:hAnsiTheme="minorHAnsi" w:cstheme="minorHAnsi"/>
          <w:b/>
          <w:sz w:val="22"/>
          <w:szCs w:val="22"/>
        </w:rPr>
        <w:t>:</w:t>
      </w:r>
      <w:r w:rsidRPr="007C5679">
        <w:rPr>
          <w:rFonts w:asciiTheme="minorHAnsi" w:hAnsiTheme="minorHAnsi" w:cstheme="minorHAnsi"/>
          <w:b/>
          <w:sz w:val="22"/>
          <w:szCs w:val="22"/>
        </w:rPr>
        <w:t xml:space="preserve"> </w:t>
      </w:r>
    </w:p>
    <w:p w:rsidR="00AE3BFA" w:rsidRPr="007C5679" w:rsidRDefault="00AE3BFA" w:rsidP="00BF4D81">
      <w:pPr>
        <w:spacing w:line="240" w:lineRule="auto"/>
        <w:jc w:val="left"/>
        <w:rPr>
          <w:rFonts w:asciiTheme="minorHAnsi" w:hAnsiTheme="minorHAnsi" w:cstheme="minorHAnsi"/>
          <w:sz w:val="22"/>
          <w:szCs w:val="22"/>
        </w:rPr>
      </w:pPr>
      <w:r w:rsidRPr="007C5679">
        <w:rPr>
          <w:rFonts w:asciiTheme="minorHAnsi" w:hAnsiTheme="minorHAnsi" w:cstheme="minorHAnsi"/>
          <w:iCs/>
          <w:sz w:val="22"/>
          <w:szCs w:val="22"/>
        </w:rPr>
        <w:t>Bank representatives</w:t>
      </w:r>
      <w:r w:rsidRPr="007C5679">
        <w:rPr>
          <w:rFonts w:asciiTheme="minorHAnsi" w:hAnsiTheme="minorHAnsi" w:cstheme="minorHAnsi"/>
          <w:i/>
          <w:sz w:val="22"/>
          <w:szCs w:val="22"/>
        </w:rPr>
        <w:t xml:space="preserve"> </w:t>
      </w:r>
      <w:r w:rsidRPr="007C5679">
        <w:rPr>
          <w:rFonts w:asciiTheme="minorHAnsi" w:hAnsiTheme="minorHAnsi" w:cstheme="minorHAnsi"/>
          <w:sz w:val="22"/>
          <w:szCs w:val="22"/>
        </w:rPr>
        <w:t xml:space="preserve">welcomed the participants present in Georgia and via video conference from Armenia and Ukraine. They presented an </w:t>
      </w:r>
      <w:hyperlink r:id="rId13" w:history="1">
        <w:r w:rsidRPr="007C5679">
          <w:rPr>
            <w:rStyle w:val="Hyperlink"/>
            <w:rFonts w:asciiTheme="minorHAnsi" w:hAnsiTheme="minorHAnsi" w:cstheme="minorHAnsi"/>
            <w:sz w:val="22"/>
            <w:szCs w:val="22"/>
          </w:rPr>
          <w:t>overview</w:t>
        </w:r>
      </w:hyperlink>
      <w:r w:rsidRPr="007C5679">
        <w:rPr>
          <w:rFonts w:asciiTheme="minorHAnsi" w:hAnsiTheme="minorHAnsi" w:cstheme="minorHAnsi"/>
          <w:sz w:val="22"/>
          <w:szCs w:val="22"/>
        </w:rPr>
        <w:t xml:space="preserve"> of the process undertaken to date on the review and update of the policies and presented the draft “Environmental and Social Framework: Setting Standards for Sustainable Development.” Participants were then invited to ask questions and express their views.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B16E9C" w:rsidRPr="007C5679" w:rsidTr="00EA11EF">
        <w:trPr>
          <w:tblHeader/>
        </w:trPr>
        <w:tc>
          <w:tcPr>
            <w:tcW w:w="9180" w:type="dxa"/>
            <w:shd w:val="clear" w:color="auto" w:fill="DBE5F1" w:themeFill="accent1" w:themeFillTint="33"/>
            <w:tcMar>
              <w:top w:w="29" w:type="dxa"/>
              <w:bottom w:w="29" w:type="dxa"/>
            </w:tcMar>
          </w:tcPr>
          <w:p w:rsidR="00B16E9C" w:rsidRPr="007C5679" w:rsidRDefault="00A35D65" w:rsidP="00BF4D81">
            <w:pPr>
              <w:pStyle w:val="BodyText2"/>
              <w:snapToGrid w:val="0"/>
              <w:spacing w:line="240" w:lineRule="auto"/>
              <w:ind w:right="0"/>
              <w:rPr>
                <w:rFonts w:asciiTheme="minorHAnsi" w:eastAsia="Batang" w:hAnsiTheme="minorHAnsi" w:cstheme="minorHAnsi"/>
                <w:b/>
                <w:color w:val="auto"/>
                <w:sz w:val="22"/>
                <w:szCs w:val="22"/>
              </w:rPr>
            </w:pPr>
            <w:r w:rsidRPr="007C5679">
              <w:rPr>
                <w:rFonts w:asciiTheme="minorHAnsi" w:eastAsia="Batang" w:hAnsiTheme="minorHAnsi" w:cstheme="minorHAnsi"/>
                <w:b/>
                <w:color w:val="auto"/>
                <w:sz w:val="22"/>
                <w:szCs w:val="22"/>
              </w:rPr>
              <w:t xml:space="preserve">Specific </w:t>
            </w:r>
            <w:r w:rsidR="00B16E9C" w:rsidRPr="007C5679">
              <w:rPr>
                <w:rFonts w:asciiTheme="minorHAnsi" w:eastAsia="Batang" w:hAnsiTheme="minorHAnsi" w:cstheme="minorHAnsi"/>
                <w:b/>
                <w:color w:val="auto"/>
                <w:sz w:val="22"/>
                <w:szCs w:val="22"/>
              </w:rPr>
              <w:t>Feedback from Stakeholders</w:t>
            </w:r>
          </w:p>
        </w:tc>
      </w:tr>
      <w:tr w:rsidR="0013530E"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13530E" w:rsidRPr="007C5679" w:rsidRDefault="008B074D" w:rsidP="00BF4D81">
            <w:pPr>
              <w:pStyle w:val="ListParagraph"/>
              <w:numPr>
                <w:ilvl w:val="0"/>
                <w:numId w:val="30"/>
              </w:numPr>
              <w:snapToGrid w:val="0"/>
              <w:spacing w:after="0" w:line="240" w:lineRule="auto"/>
              <w:ind w:left="540" w:right="180"/>
              <w:contextualSpacing w:val="0"/>
              <w:rPr>
                <w:rFonts w:asciiTheme="minorHAnsi" w:eastAsia="Batang" w:hAnsiTheme="minorHAnsi" w:cstheme="minorHAnsi"/>
                <w:b/>
                <w:sz w:val="22"/>
                <w:szCs w:val="22"/>
              </w:rPr>
            </w:pPr>
            <w:r w:rsidRPr="007C5679">
              <w:rPr>
                <w:rFonts w:asciiTheme="minorHAnsi" w:hAnsiTheme="minorHAnsi" w:cstheme="minorHAnsi"/>
                <w:b/>
                <w:bCs/>
                <w:sz w:val="22"/>
                <w:szCs w:val="22"/>
              </w:rPr>
              <w:t>General Comments</w:t>
            </w:r>
          </w:p>
        </w:tc>
      </w:tr>
      <w:tr w:rsidR="002E23E9" w:rsidRPr="007C5679" w:rsidTr="00BF4D81">
        <w:tc>
          <w:tcPr>
            <w:tcW w:w="9180" w:type="dxa"/>
            <w:shd w:val="clear" w:color="auto" w:fill="auto"/>
            <w:tcMar>
              <w:top w:w="29" w:type="dxa"/>
              <w:bottom w:w="29" w:type="dxa"/>
            </w:tcMar>
          </w:tcPr>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Comments: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The efforts of the Bank to develop the new framework are highly appreciated.</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There are high expectations placed on Bank projects for the value they may bring, and this should not be underestimated.</w:t>
            </w:r>
          </w:p>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Recommendations:</w:t>
            </w:r>
          </w:p>
          <w:p w:rsidR="0028355B"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More training and workshops are needed on the new policies and procedures.</w:t>
            </w:r>
          </w:p>
        </w:tc>
      </w:tr>
      <w:tr w:rsidR="00A840E8"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A840E8" w:rsidRPr="007C5679" w:rsidRDefault="008B074D" w:rsidP="00BF4D81">
            <w:pPr>
              <w:numPr>
                <w:ilvl w:val="0"/>
                <w:numId w:val="30"/>
              </w:numPr>
              <w:snapToGrid w:val="0"/>
              <w:spacing w:after="0" w:line="240" w:lineRule="auto"/>
              <w:ind w:left="540" w:right="180"/>
              <w:rPr>
                <w:rFonts w:asciiTheme="minorHAnsi" w:eastAsia="Batang" w:hAnsiTheme="minorHAnsi" w:cstheme="minorHAnsi"/>
                <w:b/>
                <w:i/>
                <w:iCs/>
                <w:sz w:val="22"/>
                <w:szCs w:val="22"/>
              </w:rPr>
            </w:pPr>
            <w:r w:rsidRPr="007C5679">
              <w:rPr>
                <w:rFonts w:asciiTheme="minorHAnsi" w:eastAsia="Batang" w:hAnsiTheme="minorHAnsi" w:cstheme="minorHAnsi"/>
                <w:b/>
                <w:bCs/>
                <w:i/>
                <w:iCs/>
                <w:sz w:val="22"/>
                <w:szCs w:val="22"/>
              </w:rPr>
              <w:t>A Vision for Sustainable Development</w:t>
            </w:r>
          </w:p>
        </w:tc>
      </w:tr>
      <w:tr w:rsidR="002E23E9" w:rsidRPr="007C5679" w:rsidTr="00BF4D81">
        <w:tc>
          <w:tcPr>
            <w:tcW w:w="9180" w:type="dxa"/>
            <w:shd w:val="clear" w:color="auto" w:fill="auto"/>
            <w:tcMar>
              <w:top w:w="29" w:type="dxa"/>
              <w:bottom w:w="29" w:type="dxa"/>
            </w:tcMar>
          </w:tcPr>
          <w:p w:rsidR="002E23E9" w:rsidRPr="007C5679" w:rsidRDefault="002E23E9" w:rsidP="00BF4D81">
            <w:pPr>
              <w:spacing w:after="0" w:line="240" w:lineRule="auto"/>
              <w:jc w:val="left"/>
              <w:rPr>
                <w:rFonts w:asciiTheme="minorHAnsi" w:hAnsiTheme="minorHAnsi" w:cstheme="minorHAnsi"/>
                <w:sz w:val="22"/>
                <w:szCs w:val="22"/>
              </w:rPr>
            </w:pPr>
          </w:p>
        </w:tc>
      </w:tr>
      <w:tr w:rsidR="00941C03"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941C03" w:rsidRPr="007C5679" w:rsidRDefault="008B074D" w:rsidP="00BF4D81">
            <w:pPr>
              <w:numPr>
                <w:ilvl w:val="0"/>
                <w:numId w:val="30"/>
              </w:numPr>
              <w:snapToGrid w:val="0"/>
              <w:spacing w:after="0" w:line="240" w:lineRule="auto"/>
              <w:ind w:left="540" w:right="180"/>
              <w:rPr>
                <w:rFonts w:asciiTheme="minorHAnsi" w:eastAsia="Batang" w:hAnsiTheme="minorHAnsi" w:cstheme="minorHAnsi"/>
                <w:b/>
                <w:bCs/>
                <w:sz w:val="22"/>
                <w:szCs w:val="22"/>
              </w:rPr>
            </w:pPr>
            <w:r w:rsidRPr="007C5679">
              <w:rPr>
                <w:rFonts w:asciiTheme="minorHAnsi" w:hAnsiTheme="minorHAnsi" w:cstheme="minorHAnsi"/>
                <w:b/>
                <w:bCs/>
                <w:i/>
                <w:sz w:val="22"/>
                <w:szCs w:val="22"/>
              </w:rPr>
              <w:t>World Bank Environmental and Social Policy</w:t>
            </w:r>
          </w:p>
        </w:tc>
      </w:tr>
      <w:tr w:rsidR="002E23E9" w:rsidRPr="007C5679" w:rsidTr="00BF4D81">
        <w:tc>
          <w:tcPr>
            <w:tcW w:w="9180" w:type="dxa"/>
            <w:shd w:val="clear" w:color="auto" w:fill="auto"/>
            <w:tcMar>
              <w:top w:w="29" w:type="dxa"/>
              <w:bottom w:w="29" w:type="dxa"/>
            </w:tcMar>
          </w:tcPr>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Clarifications:</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Clarification was sought on how the Bank plans to implement protection against discrimination – in this example sexual orientation – when it is a sensitive issue in a country or even against national law. </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Clarification was sought on how CSOs would monitor project conditionalities.</w:t>
            </w:r>
          </w:p>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Comments: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It seems that under the new framework, there will be more focus on infrastructure (projects) and less on policy (working to change governance).</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The draft Framework seems to be a dilution of current clear requirements for environmental assessment, placing greater dependence on subjective judgment of World Bank staff. How transparent will the World Bank’s risk assessment </w:t>
            </w:r>
            <w:proofErr w:type="gramStart"/>
            <w:r w:rsidRPr="007C5679">
              <w:rPr>
                <w:rFonts w:asciiTheme="minorHAnsi" w:hAnsiTheme="minorHAnsi" w:cstheme="minorHAnsi"/>
                <w:sz w:val="22"/>
                <w:szCs w:val="22"/>
              </w:rPr>
              <w:t>be</w:t>
            </w:r>
            <w:proofErr w:type="gramEnd"/>
            <w:r w:rsidRPr="007C5679">
              <w:rPr>
                <w:rFonts w:asciiTheme="minorHAnsi" w:hAnsiTheme="minorHAnsi" w:cstheme="minorHAnsi"/>
                <w:sz w:val="22"/>
                <w:szCs w:val="22"/>
              </w:rPr>
              <w:t>?</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If the Bank does not feel national law is adequate, then it should rely on its own requirements. </w:t>
            </w:r>
          </w:p>
          <w:p w:rsidR="00AE3BFA" w:rsidRPr="007C5679" w:rsidRDefault="00AE3BFA" w:rsidP="00EA11EF">
            <w:pPr>
              <w:keepNext/>
              <w:keepLines/>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Recommendations:</w:t>
            </w:r>
          </w:p>
          <w:p w:rsidR="00AE3BFA" w:rsidRPr="007C5679" w:rsidRDefault="00AE3BFA" w:rsidP="00EA11EF">
            <w:pPr>
              <w:pStyle w:val="ListParagraph"/>
              <w:keepNext/>
              <w:keepLines/>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Civil society organizations need a platform to send complaints or recommendations, whether through the country/regional offices or headquarters. </w:t>
            </w:r>
          </w:p>
          <w:p w:rsidR="002E23E9"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lastRenderedPageBreak/>
              <w:t>The Bank appears to be moving toward more high risk projects; there should be clarity on how risks will be classified and managed.</w:t>
            </w:r>
          </w:p>
        </w:tc>
      </w:tr>
      <w:tr w:rsidR="00173E2F"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173E2F" w:rsidRPr="007C5679" w:rsidRDefault="008B074D" w:rsidP="00BF4D81">
            <w:pPr>
              <w:numPr>
                <w:ilvl w:val="0"/>
                <w:numId w:val="30"/>
              </w:numPr>
              <w:snapToGrid w:val="0"/>
              <w:spacing w:after="0" w:line="240" w:lineRule="auto"/>
              <w:ind w:left="540" w:right="180"/>
              <w:rPr>
                <w:rFonts w:asciiTheme="minorHAnsi" w:eastAsia="Batang" w:hAnsiTheme="minorHAnsi" w:cstheme="minorHAnsi"/>
                <w:b/>
                <w:bCs/>
                <w:i/>
                <w:iCs/>
                <w:sz w:val="22"/>
                <w:szCs w:val="22"/>
              </w:rPr>
            </w:pPr>
            <w:r w:rsidRPr="007C5679">
              <w:rPr>
                <w:rFonts w:asciiTheme="minorHAnsi" w:eastAsia="Batang" w:hAnsiTheme="minorHAnsi" w:cstheme="minorHAnsi"/>
                <w:sz w:val="22"/>
                <w:szCs w:val="22"/>
              </w:rPr>
              <w:lastRenderedPageBreak/>
              <w:t xml:space="preserve"> </w:t>
            </w:r>
            <w:r w:rsidRPr="007C5679">
              <w:rPr>
                <w:rFonts w:asciiTheme="minorHAnsi" w:eastAsia="Batang" w:hAnsiTheme="minorHAnsi" w:cstheme="minorHAnsi"/>
                <w:b/>
                <w:bCs/>
                <w:i/>
                <w:iCs/>
                <w:sz w:val="22"/>
                <w:szCs w:val="22"/>
              </w:rPr>
              <w:t>Environmental and Social Standard 1 (ESS1): Assessment and Management of Environmental and Social Risks and Impacts</w:t>
            </w:r>
          </w:p>
        </w:tc>
      </w:tr>
      <w:tr w:rsidR="002E23E9" w:rsidRPr="007C5679" w:rsidTr="00BF4D81">
        <w:tc>
          <w:tcPr>
            <w:tcW w:w="9180" w:type="dxa"/>
            <w:shd w:val="clear" w:color="auto" w:fill="auto"/>
            <w:tcMar>
              <w:top w:w="29" w:type="dxa"/>
              <w:bottom w:w="29" w:type="dxa"/>
            </w:tcMar>
          </w:tcPr>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Clarifications:</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Participants sought clarification on implementation under the new framework, regarding use of the Borrower’s environmental and social system, new instruments, risk classification and internal Bank reorganization.</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Participants sought clarification on how elements of the ESCP could be implemented successfully when they take place several years after project approval (such as resettlement plans). Current policy contains specific requirements, whereas the new policy only has a commitment, which can change over time.</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Clarification was sought on the type of technical instruments that can be used in the ESCP to establish how plans will be implemented later in the project’s life and to determine who will be responsible. </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Participants sought clarification on who would have responsibility, and how social issues might be addressed, if such issues are identified during a project but do not relate specifically to it. </w:t>
            </w:r>
          </w:p>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Comments:</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The current policies are very concrete; the new policies have become much more fluid. It is not clear that this is a good thing, particularly in countries that do not have strong environmental or social legislation.</w:t>
            </w:r>
          </w:p>
          <w:p w:rsidR="00AE3BFA"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It is difficult as a practitioner to determine efficiency of resource use; this can vary from country to country and sector to sector. It may be too much to incorporate into a policy. It seems that it will be more subjective – not standardized – more related to the Board’s opinion and less quantified. It is difficult to imagine how it will work. For instance, if SEIA is not used to develop a country hydropower master plan because each project will have an environmental assessment at a later date, this will be problematic. It is important not to skip this stage, since governments may be happy to do so.</w:t>
            </w:r>
          </w:p>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Recommendations:</w:t>
            </w:r>
          </w:p>
          <w:p w:rsidR="002E23E9" w:rsidRPr="007C5679" w:rsidRDefault="00AE3BFA" w:rsidP="00BF4D81">
            <w:pPr>
              <w:pStyle w:val="ListParagraph"/>
              <w:numPr>
                <w:ilvl w:val="0"/>
                <w:numId w:val="44"/>
              </w:numPr>
              <w:suppressAutoHyphens w:val="0"/>
              <w:spacing w:after="0" w:line="240" w:lineRule="auto"/>
              <w:ind w:left="360"/>
              <w:contextualSpacing w:val="0"/>
              <w:jc w:val="left"/>
              <w:rPr>
                <w:rFonts w:asciiTheme="minorHAnsi" w:hAnsiTheme="minorHAnsi" w:cstheme="minorHAnsi"/>
                <w:sz w:val="22"/>
                <w:szCs w:val="22"/>
              </w:rPr>
            </w:pPr>
            <w:proofErr w:type="gramStart"/>
            <w:r w:rsidRPr="007C5679">
              <w:rPr>
                <w:rFonts w:asciiTheme="minorHAnsi" w:hAnsiTheme="minorHAnsi" w:cstheme="minorHAnsi"/>
                <w:sz w:val="22"/>
                <w:szCs w:val="22"/>
              </w:rPr>
              <w:t>A human</w:t>
            </w:r>
            <w:proofErr w:type="gramEnd"/>
            <w:r w:rsidRPr="007C5679">
              <w:rPr>
                <w:rFonts w:asciiTheme="minorHAnsi" w:hAnsiTheme="minorHAnsi" w:cstheme="minorHAnsi"/>
                <w:sz w:val="22"/>
                <w:szCs w:val="22"/>
              </w:rPr>
              <w:t xml:space="preserve"> rights assessment should be developed before, not during a project, so that it is well understood how human rights will be impacted, otherwise the Board will not have enough information for approval.</w:t>
            </w:r>
          </w:p>
        </w:tc>
      </w:tr>
      <w:tr w:rsidR="002717AA"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2717AA" w:rsidRPr="007C5679" w:rsidRDefault="008B074D" w:rsidP="00BF4D81">
            <w:pPr>
              <w:numPr>
                <w:ilvl w:val="0"/>
                <w:numId w:val="30"/>
              </w:numPr>
              <w:snapToGrid w:val="0"/>
              <w:spacing w:after="0" w:line="240" w:lineRule="auto"/>
              <w:ind w:left="540" w:right="180"/>
              <w:rPr>
                <w:rFonts w:asciiTheme="minorHAnsi" w:eastAsia="Batang" w:hAnsiTheme="minorHAnsi" w:cstheme="minorHAnsi"/>
                <w:sz w:val="22"/>
                <w:szCs w:val="22"/>
              </w:rPr>
            </w:pPr>
            <w:r w:rsidRPr="007C5679">
              <w:rPr>
                <w:rFonts w:asciiTheme="minorHAnsi" w:eastAsia="Batang" w:hAnsiTheme="minorHAnsi" w:cstheme="minorHAnsi"/>
                <w:b/>
                <w:bCs/>
                <w:i/>
                <w:iCs/>
                <w:sz w:val="22"/>
                <w:szCs w:val="22"/>
              </w:rPr>
              <w:t>Environmental and Social Standard 2 (ESS2): Labor and Working Conditions</w:t>
            </w:r>
          </w:p>
        </w:tc>
      </w:tr>
      <w:tr w:rsidR="002E23E9" w:rsidRPr="007C5679" w:rsidTr="00BF4D81">
        <w:tc>
          <w:tcPr>
            <w:tcW w:w="9180" w:type="dxa"/>
            <w:shd w:val="clear" w:color="auto" w:fill="auto"/>
            <w:tcMar>
              <w:top w:w="29" w:type="dxa"/>
              <w:bottom w:w="29" w:type="dxa"/>
            </w:tcMar>
          </w:tcPr>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Clarifications: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Clarification was sought on which requirements would apply – the Bank’s or the national labor law (noting the difficulties that could arise if different standards were applied to staff working for a Bank-financed project or a Government project without external financing)</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Clarification was sought on how the Bank’s requirements would apply in the context of the public sector – which employees would be covered. </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Clarification was sought regarding exemption of certain categories of workers.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Clarification was sought regarding countries whose laws do not meet international standards (specific reference was made to text of Paragraph 11 of ESS2, which seems to support workers’ rights to organize and bargain collectively only where such a right is recognized by national law). </w:t>
            </w:r>
          </w:p>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Comments: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i/>
                <w:sz w:val="22"/>
                <w:szCs w:val="22"/>
              </w:rPr>
            </w:pPr>
            <w:r w:rsidRPr="007C5679" w:rsidDel="00480406">
              <w:rPr>
                <w:rFonts w:asciiTheme="minorHAnsi" w:hAnsiTheme="minorHAnsi" w:cstheme="minorHAnsi"/>
                <w:sz w:val="22"/>
                <w:szCs w:val="22"/>
              </w:rPr>
              <w:t xml:space="preserve"> </w:t>
            </w:r>
            <w:r w:rsidRPr="007C5679">
              <w:rPr>
                <w:rFonts w:asciiTheme="minorHAnsi" w:hAnsiTheme="minorHAnsi" w:cstheme="minorHAnsi"/>
                <w:sz w:val="22"/>
                <w:szCs w:val="22"/>
              </w:rPr>
              <w:t xml:space="preserve">The Bank’s policies should help countries to develop in broader terms, including labor </w:t>
            </w:r>
            <w:r w:rsidRPr="007C5679">
              <w:rPr>
                <w:rFonts w:asciiTheme="minorHAnsi" w:hAnsiTheme="minorHAnsi" w:cstheme="minorHAnsi"/>
                <w:sz w:val="22"/>
                <w:szCs w:val="22"/>
              </w:rPr>
              <w:lastRenderedPageBreak/>
              <w:t>conditions.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i/>
                <w:sz w:val="22"/>
                <w:szCs w:val="22"/>
              </w:rPr>
            </w:pPr>
            <w:r w:rsidRPr="007C5679">
              <w:rPr>
                <w:rFonts w:asciiTheme="minorHAnsi" w:hAnsiTheme="minorHAnsi" w:cstheme="minorHAnsi"/>
                <w:sz w:val="22"/>
                <w:szCs w:val="22"/>
              </w:rPr>
              <w:t>“Fair treatment” objective cannot be achieved through the existing draft of ESS2.</w:t>
            </w:r>
          </w:p>
          <w:p w:rsidR="00AE3BFA" w:rsidRPr="007C5679" w:rsidRDefault="00AE3BFA" w:rsidP="00EA11EF">
            <w:pPr>
              <w:suppressAutoHyphens w:val="0"/>
              <w:spacing w:after="0" w:line="240" w:lineRule="auto"/>
              <w:jc w:val="left"/>
              <w:rPr>
                <w:rFonts w:asciiTheme="minorHAnsi" w:hAnsiTheme="minorHAnsi" w:cstheme="minorHAnsi"/>
                <w:i/>
                <w:sz w:val="22"/>
                <w:szCs w:val="22"/>
              </w:rPr>
            </w:pPr>
            <w:r w:rsidRPr="007C5679">
              <w:rPr>
                <w:rFonts w:asciiTheme="minorHAnsi" w:hAnsiTheme="minorHAnsi" w:cstheme="minorHAnsi"/>
                <w:i/>
                <w:sz w:val="22"/>
                <w:szCs w:val="22"/>
              </w:rPr>
              <w:t>Recommendations: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Training is needed on labor safety issues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ILO Conventions should be adopted as a universal approach, at least for those issues regarded as fundamental, that is – no child/forced labor, freedom of association and collective bargaining – the last two are currently absent from ESS2. </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The objectives of ESS2 refer to fair treatment, but this can’t be achieved with current text. Should refer to ILO.</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Scope of coverage should apply to contract workers, sub-contract workers and supply chains.</w:t>
            </w:r>
          </w:p>
          <w:p w:rsidR="002E23E9"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Civil servants should have equal protections.</w:t>
            </w:r>
          </w:p>
        </w:tc>
      </w:tr>
      <w:tr w:rsidR="002A7906"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2A7906" w:rsidRPr="007C5679" w:rsidRDefault="008B074D" w:rsidP="00BF4D81">
            <w:pPr>
              <w:numPr>
                <w:ilvl w:val="0"/>
                <w:numId w:val="30"/>
              </w:numPr>
              <w:snapToGrid w:val="0"/>
              <w:spacing w:after="0" w:line="240" w:lineRule="auto"/>
              <w:ind w:left="540" w:right="180"/>
              <w:rPr>
                <w:rFonts w:asciiTheme="minorHAnsi" w:eastAsia="Batang" w:hAnsiTheme="minorHAnsi" w:cstheme="minorHAnsi"/>
                <w:sz w:val="22"/>
                <w:szCs w:val="22"/>
              </w:rPr>
            </w:pPr>
            <w:r w:rsidRPr="007C5679">
              <w:rPr>
                <w:rFonts w:asciiTheme="minorHAnsi" w:eastAsia="Batang" w:hAnsiTheme="minorHAnsi" w:cstheme="minorHAnsi"/>
                <w:b/>
                <w:bCs/>
                <w:i/>
                <w:iCs/>
                <w:sz w:val="22"/>
                <w:szCs w:val="22"/>
              </w:rPr>
              <w:lastRenderedPageBreak/>
              <w:t xml:space="preserve">Environmental and Social Standard 3 (ESS3): </w:t>
            </w:r>
            <w:proofErr w:type="spellStart"/>
            <w:r w:rsidRPr="007C5679">
              <w:rPr>
                <w:rFonts w:asciiTheme="minorHAnsi" w:eastAsia="Batang" w:hAnsiTheme="minorHAnsi" w:cstheme="minorHAnsi"/>
                <w:b/>
                <w:bCs/>
                <w:i/>
                <w:iCs/>
                <w:sz w:val="22"/>
                <w:szCs w:val="22"/>
              </w:rPr>
              <w:t>Resoure</w:t>
            </w:r>
            <w:proofErr w:type="spellEnd"/>
            <w:r w:rsidRPr="007C5679">
              <w:rPr>
                <w:rFonts w:asciiTheme="minorHAnsi" w:eastAsia="Batang" w:hAnsiTheme="minorHAnsi" w:cstheme="minorHAnsi"/>
                <w:b/>
                <w:bCs/>
                <w:i/>
                <w:iCs/>
                <w:sz w:val="22"/>
                <w:szCs w:val="22"/>
              </w:rPr>
              <w:t xml:space="preserve"> Efficiency and Pollution Prevention</w:t>
            </w:r>
          </w:p>
        </w:tc>
      </w:tr>
      <w:tr w:rsidR="002E23E9" w:rsidRPr="007C5679" w:rsidTr="00BF4D81">
        <w:tc>
          <w:tcPr>
            <w:tcW w:w="9180" w:type="dxa"/>
            <w:shd w:val="clear" w:color="auto" w:fill="auto"/>
            <w:tcMar>
              <w:top w:w="29" w:type="dxa"/>
              <w:bottom w:w="29" w:type="dxa"/>
            </w:tcMar>
          </w:tcPr>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Recommendations: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Bank approach to climate change should refer to international environmental law.</w:t>
            </w:r>
          </w:p>
          <w:p w:rsidR="002E23E9"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There should be a strong methodology for greenhouse accounting and climate change adaptation for all projects (example was cited of EBRD policy being stronger on this aspect).</w:t>
            </w:r>
          </w:p>
        </w:tc>
      </w:tr>
      <w:tr w:rsidR="00594D12"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594D12" w:rsidRPr="007C5679" w:rsidRDefault="008B074D" w:rsidP="00BF4D81">
            <w:pPr>
              <w:numPr>
                <w:ilvl w:val="0"/>
                <w:numId w:val="30"/>
              </w:numPr>
              <w:snapToGrid w:val="0"/>
              <w:spacing w:after="0" w:line="240" w:lineRule="auto"/>
              <w:ind w:left="540" w:right="180"/>
              <w:rPr>
                <w:rFonts w:asciiTheme="minorHAnsi" w:eastAsia="Batang" w:hAnsiTheme="minorHAnsi" w:cstheme="minorHAnsi"/>
                <w:sz w:val="22"/>
                <w:szCs w:val="22"/>
              </w:rPr>
            </w:pPr>
            <w:r w:rsidRPr="007C5679">
              <w:rPr>
                <w:rFonts w:asciiTheme="minorHAnsi" w:eastAsia="Batang" w:hAnsiTheme="minorHAnsi" w:cstheme="minorHAnsi"/>
                <w:b/>
                <w:bCs/>
                <w:i/>
                <w:iCs/>
                <w:sz w:val="22"/>
                <w:szCs w:val="22"/>
              </w:rPr>
              <w:t>Environmental and Social Standard 4 (ESS4): Community Health and Safety</w:t>
            </w:r>
          </w:p>
        </w:tc>
      </w:tr>
      <w:tr w:rsidR="002E23E9" w:rsidRPr="007C5679" w:rsidTr="00BF4D81">
        <w:tc>
          <w:tcPr>
            <w:tcW w:w="9180" w:type="dxa"/>
            <w:shd w:val="clear" w:color="auto" w:fill="auto"/>
            <w:tcMar>
              <w:top w:w="29" w:type="dxa"/>
              <w:bottom w:w="29" w:type="dxa"/>
            </w:tcMar>
          </w:tcPr>
          <w:p w:rsidR="002E23E9" w:rsidRPr="007C5679" w:rsidRDefault="002E23E9" w:rsidP="00EA11EF">
            <w:pPr>
              <w:spacing w:after="0" w:line="240" w:lineRule="auto"/>
              <w:rPr>
                <w:rFonts w:asciiTheme="minorHAnsi" w:hAnsiTheme="minorHAnsi" w:cstheme="minorHAnsi"/>
                <w:sz w:val="22"/>
                <w:szCs w:val="22"/>
              </w:rPr>
            </w:pPr>
          </w:p>
        </w:tc>
      </w:tr>
      <w:tr w:rsidR="00A21FB6" w:rsidRPr="007C5679" w:rsidTr="00BF4D81">
        <w:tblPrEx>
          <w:tblCellMar>
            <w:left w:w="0" w:type="dxa"/>
            <w:right w:w="0" w:type="dxa"/>
          </w:tblCellMar>
        </w:tblPrEx>
        <w:tc>
          <w:tcPr>
            <w:tcW w:w="9180" w:type="dxa"/>
            <w:shd w:val="clear" w:color="auto" w:fill="DBE5F1" w:themeFill="accent1" w:themeFillTint="33"/>
            <w:tcMar>
              <w:top w:w="29" w:type="dxa"/>
              <w:bottom w:w="29" w:type="dxa"/>
            </w:tcMar>
          </w:tcPr>
          <w:p w:rsidR="00A21FB6" w:rsidRPr="007C5679" w:rsidRDefault="008B074D" w:rsidP="00BF4D81">
            <w:pPr>
              <w:numPr>
                <w:ilvl w:val="0"/>
                <w:numId w:val="30"/>
              </w:numPr>
              <w:snapToGrid w:val="0"/>
              <w:spacing w:after="0" w:line="240" w:lineRule="auto"/>
              <w:ind w:left="540"/>
              <w:rPr>
                <w:rFonts w:asciiTheme="minorHAnsi" w:eastAsia="Batang" w:hAnsiTheme="minorHAnsi" w:cstheme="minorHAnsi"/>
                <w:sz w:val="22"/>
                <w:szCs w:val="22"/>
              </w:rPr>
            </w:pPr>
            <w:r w:rsidRPr="007C5679">
              <w:rPr>
                <w:rFonts w:asciiTheme="minorHAnsi" w:eastAsia="Batang" w:hAnsiTheme="minorHAnsi" w:cstheme="minorHAnsi"/>
                <w:b/>
                <w:bCs/>
                <w:i/>
                <w:iCs/>
                <w:sz w:val="22"/>
                <w:szCs w:val="22"/>
              </w:rPr>
              <w:t>Environmental and Social Standard 5 (ESS5): Land Acquisition, Restriction on Land Use and Involuntary Resettlement</w:t>
            </w:r>
          </w:p>
        </w:tc>
      </w:tr>
      <w:tr w:rsidR="002E23E9" w:rsidRPr="007C5679" w:rsidTr="00BF4D81">
        <w:tc>
          <w:tcPr>
            <w:tcW w:w="9180" w:type="dxa"/>
            <w:shd w:val="clear" w:color="auto" w:fill="auto"/>
            <w:tcMar>
              <w:top w:w="29" w:type="dxa"/>
              <w:bottom w:w="29" w:type="dxa"/>
            </w:tcMar>
          </w:tcPr>
          <w:p w:rsidR="002E23E9" w:rsidRPr="007C5679" w:rsidRDefault="002E23E9" w:rsidP="00EA11EF">
            <w:pPr>
              <w:spacing w:after="0" w:line="240" w:lineRule="auto"/>
              <w:rPr>
                <w:rFonts w:asciiTheme="minorHAnsi" w:hAnsiTheme="minorHAnsi" w:cstheme="minorHAnsi"/>
                <w:sz w:val="22"/>
                <w:szCs w:val="22"/>
              </w:rPr>
            </w:pPr>
          </w:p>
        </w:tc>
      </w:tr>
      <w:tr w:rsidR="002E23E9"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E23E9" w:rsidRPr="007C5679" w:rsidRDefault="008B074D" w:rsidP="00BF4D81">
            <w:pPr>
              <w:numPr>
                <w:ilvl w:val="0"/>
                <w:numId w:val="30"/>
              </w:numPr>
              <w:snapToGrid w:val="0"/>
              <w:spacing w:after="0" w:line="240" w:lineRule="auto"/>
              <w:ind w:left="432"/>
              <w:rPr>
                <w:rFonts w:asciiTheme="minorHAnsi" w:eastAsia="Batang" w:hAnsiTheme="minorHAnsi" w:cstheme="minorHAnsi"/>
                <w:b/>
                <w:sz w:val="22"/>
                <w:szCs w:val="22"/>
              </w:rPr>
            </w:pPr>
            <w:r w:rsidRPr="007C5679">
              <w:rPr>
                <w:rFonts w:asciiTheme="minorHAnsi" w:eastAsia="Batang" w:hAnsiTheme="minorHAnsi" w:cstheme="minorHAnsi"/>
                <w:b/>
                <w:bCs/>
                <w:i/>
                <w:iCs/>
                <w:sz w:val="22"/>
                <w:szCs w:val="22"/>
              </w:rPr>
              <w:t xml:space="preserve">Environmental and Social Standard 6 (ESS6): </w:t>
            </w:r>
            <w:r w:rsidR="0028355B" w:rsidRPr="007C5679">
              <w:rPr>
                <w:rFonts w:asciiTheme="minorHAnsi" w:eastAsia="Batang" w:hAnsiTheme="minorHAnsi" w:cstheme="minorHAnsi"/>
                <w:b/>
                <w:bCs/>
                <w:i/>
                <w:iCs/>
                <w:sz w:val="22"/>
                <w:szCs w:val="22"/>
              </w:rPr>
              <w:t>Biodiversity Conservation and Sustainable Management of Living Natural Resources</w:t>
            </w:r>
          </w:p>
        </w:tc>
      </w:tr>
      <w:tr w:rsidR="002E23E9"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2E23E9" w:rsidRPr="007C5679" w:rsidRDefault="002E23E9" w:rsidP="00EA11EF">
            <w:pPr>
              <w:spacing w:after="0" w:line="240" w:lineRule="auto"/>
              <w:rPr>
                <w:rFonts w:asciiTheme="minorHAnsi" w:hAnsiTheme="minorHAnsi" w:cstheme="minorHAnsi"/>
                <w:sz w:val="22"/>
                <w:szCs w:val="22"/>
              </w:rPr>
            </w:pPr>
          </w:p>
        </w:tc>
      </w:tr>
      <w:tr w:rsidR="002E23E9"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E23E9" w:rsidRPr="007C5679" w:rsidRDefault="0028355B" w:rsidP="00BF4D81">
            <w:pPr>
              <w:numPr>
                <w:ilvl w:val="0"/>
                <w:numId w:val="30"/>
              </w:numPr>
              <w:snapToGrid w:val="0"/>
              <w:spacing w:after="0" w:line="240" w:lineRule="auto"/>
              <w:ind w:left="432"/>
              <w:rPr>
                <w:rFonts w:asciiTheme="minorHAnsi" w:hAnsiTheme="minorHAnsi" w:cstheme="minorHAnsi"/>
                <w:sz w:val="22"/>
                <w:szCs w:val="22"/>
              </w:rPr>
            </w:pPr>
            <w:r w:rsidRPr="007C5679">
              <w:rPr>
                <w:rFonts w:asciiTheme="minorHAnsi" w:eastAsia="Batang" w:hAnsiTheme="minorHAnsi" w:cstheme="minorHAnsi"/>
                <w:b/>
                <w:bCs/>
                <w:i/>
                <w:iCs/>
                <w:sz w:val="22"/>
                <w:szCs w:val="22"/>
              </w:rPr>
              <w:t xml:space="preserve">Environmental and Social Standard 7 (ESS7): Indigenous Peoples </w:t>
            </w:r>
          </w:p>
        </w:tc>
      </w:tr>
      <w:tr w:rsidR="002E23E9"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Comments: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There seems to be some dilution of previous policy. </w:t>
            </w:r>
          </w:p>
          <w:p w:rsidR="00AE3BFA" w:rsidRPr="007C5679" w:rsidRDefault="00AE3BFA" w:rsidP="00BF4D81">
            <w:pPr>
              <w:spacing w:after="0" w:line="240" w:lineRule="auto"/>
              <w:rPr>
                <w:rFonts w:asciiTheme="minorHAnsi" w:hAnsiTheme="minorHAnsi" w:cstheme="minorHAnsi"/>
                <w:i/>
                <w:sz w:val="22"/>
                <w:szCs w:val="22"/>
              </w:rPr>
            </w:pPr>
            <w:r w:rsidRPr="007C5679">
              <w:rPr>
                <w:rFonts w:asciiTheme="minorHAnsi" w:hAnsiTheme="minorHAnsi" w:cstheme="minorHAnsi"/>
                <w:i/>
                <w:sz w:val="22"/>
                <w:szCs w:val="22"/>
              </w:rPr>
              <w:t>Recommendations:</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 xml:space="preserve">Indigenous Peoples should be able to self-identify. </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It is important to be able to protect the rights of all vulnerable people, whether IPs or not.</w:t>
            </w:r>
          </w:p>
          <w:p w:rsidR="00AE3BFA"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An alternative approach should involve a separate policy for disadvantaged ethnic groups, even if they are not minorities; it is important for them to keep their identity</w:t>
            </w:r>
          </w:p>
          <w:p w:rsidR="002E23E9" w:rsidRPr="007C5679" w:rsidRDefault="00AE3BFA" w:rsidP="00BF4D81">
            <w:pPr>
              <w:pStyle w:val="ListParagraph"/>
              <w:numPr>
                <w:ilvl w:val="0"/>
                <w:numId w:val="43"/>
              </w:numPr>
              <w:suppressAutoHyphens w:val="0"/>
              <w:spacing w:after="0" w:line="240" w:lineRule="auto"/>
              <w:ind w:left="360"/>
              <w:contextualSpacing w:val="0"/>
              <w:jc w:val="left"/>
              <w:rPr>
                <w:rFonts w:asciiTheme="minorHAnsi" w:hAnsiTheme="minorHAnsi" w:cstheme="minorHAnsi"/>
                <w:sz w:val="22"/>
                <w:szCs w:val="22"/>
              </w:rPr>
            </w:pPr>
            <w:r w:rsidRPr="007C5679">
              <w:rPr>
                <w:rFonts w:asciiTheme="minorHAnsi" w:hAnsiTheme="minorHAnsi" w:cstheme="minorHAnsi"/>
                <w:sz w:val="22"/>
                <w:szCs w:val="22"/>
              </w:rPr>
              <w:t>Human rights/impact assessments should be done prior to project approval as the Bank’s Board needs this information to assess project risks.</w:t>
            </w:r>
          </w:p>
        </w:tc>
      </w:tr>
      <w:tr w:rsidR="0028355B"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8355B" w:rsidRPr="007C5679" w:rsidRDefault="0028355B" w:rsidP="00BF4D81">
            <w:pPr>
              <w:numPr>
                <w:ilvl w:val="0"/>
                <w:numId w:val="30"/>
              </w:numPr>
              <w:snapToGrid w:val="0"/>
              <w:spacing w:after="0" w:line="240" w:lineRule="auto"/>
              <w:ind w:left="432"/>
              <w:rPr>
                <w:rFonts w:asciiTheme="minorHAnsi" w:hAnsiTheme="minorHAnsi" w:cstheme="minorHAnsi"/>
                <w:sz w:val="22"/>
                <w:szCs w:val="22"/>
              </w:rPr>
            </w:pPr>
            <w:r w:rsidRPr="007C5679">
              <w:rPr>
                <w:rFonts w:asciiTheme="minorHAnsi" w:eastAsia="Batang" w:hAnsiTheme="minorHAnsi" w:cstheme="minorHAnsi"/>
                <w:b/>
                <w:bCs/>
                <w:i/>
                <w:iCs/>
                <w:sz w:val="22"/>
                <w:szCs w:val="22"/>
              </w:rPr>
              <w:t xml:space="preserve">Environmental and Social Standard 8 (ESS8): Cultural Heritage </w:t>
            </w:r>
          </w:p>
        </w:tc>
      </w:tr>
      <w:tr w:rsidR="0028355B"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28355B" w:rsidRPr="007C5679" w:rsidRDefault="0028355B" w:rsidP="00EA11EF">
            <w:pPr>
              <w:spacing w:after="0" w:line="240" w:lineRule="auto"/>
              <w:rPr>
                <w:rFonts w:asciiTheme="minorHAnsi" w:hAnsiTheme="minorHAnsi" w:cstheme="minorHAnsi"/>
                <w:sz w:val="22"/>
                <w:szCs w:val="22"/>
              </w:rPr>
            </w:pPr>
          </w:p>
        </w:tc>
      </w:tr>
      <w:tr w:rsidR="0028355B"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8355B" w:rsidRPr="007C5679" w:rsidRDefault="0028355B" w:rsidP="00BF4D81">
            <w:pPr>
              <w:numPr>
                <w:ilvl w:val="0"/>
                <w:numId w:val="30"/>
              </w:numPr>
              <w:snapToGrid w:val="0"/>
              <w:spacing w:after="0" w:line="240" w:lineRule="auto"/>
              <w:ind w:left="432"/>
              <w:rPr>
                <w:rFonts w:asciiTheme="minorHAnsi" w:hAnsiTheme="minorHAnsi" w:cstheme="minorHAnsi"/>
                <w:sz w:val="22"/>
                <w:szCs w:val="22"/>
              </w:rPr>
            </w:pPr>
            <w:r w:rsidRPr="007C5679">
              <w:rPr>
                <w:rFonts w:asciiTheme="minorHAnsi" w:eastAsia="Batang" w:hAnsiTheme="minorHAnsi" w:cstheme="minorHAnsi"/>
                <w:b/>
                <w:bCs/>
                <w:i/>
                <w:iCs/>
                <w:sz w:val="22"/>
                <w:szCs w:val="22"/>
              </w:rPr>
              <w:t xml:space="preserve">Environmental and Social Standard 9 (ESS9): Financial Intermediaries </w:t>
            </w:r>
          </w:p>
        </w:tc>
      </w:tr>
      <w:tr w:rsidR="0028355B"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28355B" w:rsidRPr="007C5679" w:rsidRDefault="0028355B" w:rsidP="00EA11EF">
            <w:pPr>
              <w:spacing w:after="0" w:line="240" w:lineRule="auto"/>
              <w:rPr>
                <w:rFonts w:asciiTheme="minorHAnsi" w:hAnsiTheme="minorHAnsi" w:cstheme="minorHAnsi"/>
                <w:sz w:val="22"/>
                <w:szCs w:val="22"/>
              </w:rPr>
            </w:pPr>
          </w:p>
        </w:tc>
      </w:tr>
      <w:tr w:rsidR="0028355B"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28355B" w:rsidRPr="007C5679" w:rsidRDefault="0028355B" w:rsidP="00BF4D81">
            <w:pPr>
              <w:numPr>
                <w:ilvl w:val="0"/>
                <w:numId w:val="30"/>
              </w:numPr>
              <w:snapToGrid w:val="0"/>
              <w:spacing w:after="0" w:line="240" w:lineRule="auto"/>
              <w:ind w:left="432"/>
              <w:rPr>
                <w:rFonts w:asciiTheme="minorHAnsi" w:hAnsiTheme="minorHAnsi" w:cstheme="minorHAnsi"/>
                <w:sz w:val="22"/>
                <w:szCs w:val="22"/>
              </w:rPr>
            </w:pPr>
            <w:r w:rsidRPr="007C5679">
              <w:rPr>
                <w:rFonts w:asciiTheme="minorHAnsi" w:eastAsia="Batang" w:hAnsiTheme="minorHAnsi" w:cstheme="minorHAnsi"/>
                <w:b/>
                <w:bCs/>
                <w:i/>
                <w:iCs/>
                <w:sz w:val="22"/>
                <w:szCs w:val="22"/>
              </w:rPr>
              <w:t xml:space="preserve">Environmental and Social Standard 10 (ESS10): Information Disclosure and Stakeholder Engagement </w:t>
            </w:r>
          </w:p>
        </w:tc>
      </w:tr>
      <w:tr w:rsidR="0028355B" w:rsidRPr="007C5679" w:rsidTr="00BF4D81">
        <w:tc>
          <w:tcPr>
            <w:tcW w:w="918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28355B" w:rsidRPr="007C5679" w:rsidRDefault="0028355B" w:rsidP="00EA11EF">
            <w:pPr>
              <w:spacing w:after="0" w:line="240" w:lineRule="auto"/>
              <w:rPr>
                <w:rFonts w:asciiTheme="minorHAnsi" w:hAnsiTheme="minorHAnsi" w:cstheme="minorHAnsi"/>
                <w:sz w:val="22"/>
                <w:szCs w:val="22"/>
              </w:rPr>
            </w:pPr>
          </w:p>
        </w:tc>
      </w:tr>
    </w:tbl>
    <w:p w:rsidR="00AE3BFA" w:rsidRPr="007C5679" w:rsidRDefault="00AE3BFA" w:rsidP="00EA11EF">
      <w:pPr>
        <w:spacing w:before="120" w:line="240" w:lineRule="auto"/>
        <w:jc w:val="left"/>
        <w:rPr>
          <w:rFonts w:asciiTheme="minorHAnsi" w:hAnsiTheme="minorHAnsi" w:cstheme="minorHAnsi"/>
          <w:sz w:val="22"/>
          <w:szCs w:val="22"/>
        </w:rPr>
      </w:pPr>
      <w:r w:rsidRPr="007C5679">
        <w:rPr>
          <w:rFonts w:asciiTheme="minorHAnsi" w:hAnsiTheme="minorHAnsi" w:cstheme="minorHAnsi"/>
          <w:sz w:val="22"/>
          <w:szCs w:val="22"/>
        </w:rPr>
        <w:lastRenderedPageBreak/>
        <w:t xml:space="preserve">Bank representatives thanked everyone for their inputs and encouraged participants to submit written input, in particular on topics that were the subject of much discussion during the consultation, such as addressing the issues of vulnerable people, community engagement, and improving capacity of borrower systems. </w:t>
      </w:r>
    </w:p>
    <w:p w:rsidR="00AE3BFA" w:rsidRPr="007C5679" w:rsidRDefault="00AE3BFA" w:rsidP="00BF4D81">
      <w:pPr>
        <w:spacing w:line="240" w:lineRule="auto"/>
        <w:rPr>
          <w:rFonts w:asciiTheme="minorHAnsi" w:hAnsiTheme="minorHAnsi" w:cstheme="minorHAnsi"/>
          <w:sz w:val="22"/>
          <w:szCs w:val="22"/>
        </w:rPr>
      </w:pPr>
      <w:r w:rsidRPr="007C5679">
        <w:rPr>
          <w:rFonts w:asciiTheme="minorHAnsi" w:hAnsiTheme="minorHAnsi" w:cstheme="minorHAnsi"/>
          <w:sz w:val="22"/>
          <w:szCs w:val="22"/>
        </w:rPr>
        <w:t xml:space="preserve">The address for submitting feedback is: </w:t>
      </w:r>
    </w:p>
    <w:p w:rsidR="00AE3BFA" w:rsidRPr="007C5679" w:rsidRDefault="00554EC6" w:rsidP="00BF4D81">
      <w:pPr>
        <w:spacing w:line="240" w:lineRule="auto"/>
        <w:rPr>
          <w:rFonts w:asciiTheme="minorHAnsi" w:hAnsiTheme="minorHAnsi" w:cstheme="minorHAnsi"/>
          <w:sz w:val="22"/>
          <w:szCs w:val="22"/>
        </w:rPr>
      </w:pPr>
      <w:hyperlink r:id="rId14" w:history="1">
        <w:r w:rsidR="00AE3BFA" w:rsidRPr="007C5679">
          <w:rPr>
            <w:rStyle w:val="Hyperlink"/>
            <w:rFonts w:asciiTheme="minorHAnsi" w:hAnsiTheme="minorHAnsi" w:cstheme="minorHAnsi"/>
            <w:sz w:val="22"/>
            <w:szCs w:val="22"/>
          </w:rPr>
          <w:t>https://consultations.worldbank.org/forums/forum-review-and-update-world-bank-safeguard-policies</w:t>
        </w:r>
      </w:hyperlink>
    </w:p>
    <w:p w:rsidR="00AE3BFA" w:rsidRPr="007C5679" w:rsidRDefault="00AE3BFA" w:rsidP="00BF4D81">
      <w:pPr>
        <w:spacing w:line="240" w:lineRule="auto"/>
        <w:rPr>
          <w:rFonts w:asciiTheme="minorHAnsi" w:hAnsiTheme="minorHAnsi" w:cstheme="minorHAnsi"/>
          <w:sz w:val="22"/>
          <w:szCs w:val="22"/>
        </w:rPr>
      </w:pPr>
      <w:r w:rsidRPr="007C5679">
        <w:rPr>
          <w:rFonts w:asciiTheme="minorHAnsi" w:hAnsiTheme="minorHAnsi" w:cstheme="minorHAnsi"/>
          <w:sz w:val="22"/>
          <w:szCs w:val="22"/>
        </w:rPr>
        <w:t xml:space="preserve">Additional information, including links to the policies, fact sheets on the Framework and a Q&amp;A, can be found at: </w:t>
      </w:r>
      <w:hyperlink r:id="rId15" w:history="1">
        <w:r w:rsidRPr="007C5679">
          <w:rPr>
            <w:rStyle w:val="Hyperlink"/>
            <w:rFonts w:asciiTheme="minorHAnsi" w:hAnsiTheme="minorHAnsi" w:cstheme="minorHAnsi"/>
            <w:sz w:val="22"/>
            <w:szCs w:val="22"/>
          </w:rPr>
          <w:t>http://consultations.worldbank.org/consultation/review-and-update-world-bank-safeguard-policies</w:t>
        </w:r>
      </w:hyperlink>
    </w:p>
    <w:sectPr w:rsidR="00AE3BFA" w:rsidRPr="007C5679" w:rsidSect="00EA11EF">
      <w:headerReference w:type="default" r:id="rId16"/>
      <w:footerReference w:type="even" r:id="rId17"/>
      <w:footerReference w:type="default" r:id="rId18"/>
      <w:footerReference w:type="first" r:id="rId19"/>
      <w:pgSz w:w="12240" w:h="15840"/>
      <w:pgMar w:top="1440" w:right="1440" w:bottom="1440" w:left="1440"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C6" w:rsidRDefault="00554EC6">
      <w:pPr>
        <w:spacing w:after="0" w:line="240" w:lineRule="auto"/>
      </w:pPr>
      <w:r>
        <w:separator/>
      </w:r>
    </w:p>
  </w:endnote>
  <w:endnote w:type="continuationSeparator" w:id="0">
    <w:p w:rsidR="00554EC6" w:rsidRDefault="0055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EE7264">
    <w:pPr>
      <w:pStyle w:val="Footer"/>
    </w:pPr>
    <w:r>
      <w:fldChar w:fldCharType="begin"/>
    </w:r>
    <w:r w:rsidR="008A533C">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D87D07" w:rsidRPr="00BF4D81" w:rsidRDefault="00EE7264" w:rsidP="00BF4D81">
        <w:pPr>
          <w:pStyle w:val="Footer"/>
          <w:jc w:val="center"/>
          <w:rPr>
            <w:rFonts w:asciiTheme="minorHAnsi" w:hAnsiTheme="minorHAnsi"/>
            <w:sz w:val="20"/>
            <w:szCs w:val="20"/>
          </w:rPr>
        </w:pPr>
        <w:r w:rsidRPr="00150B6C">
          <w:rPr>
            <w:rFonts w:asciiTheme="minorHAnsi" w:hAnsiTheme="minorHAnsi"/>
            <w:sz w:val="20"/>
            <w:szCs w:val="20"/>
          </w:rPr>
          <w:fldChar w:fldCharType="begin"/>
        </w:r>
        <w:r w:rsidR="00150B6C"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485273">
          <w:rPr>
            <w:rFonts w:asciiTheme="minorHAnsi" w:hAnsiTheme="minorHAnsi"/>
            <w:noProof/>
            <w:sz w:val="20"/>
            <w:szCs w:val="20"/>
          </w:rPr>
          <w:t>4</w:t>
        </w:r>
        <w:r w:rsidRPr="00150B6C">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7879"/>
      <w:docPartObj>
        <w:docPartGallery w:val="Page Numbers (Bottom of Page)"/>
        <w:docPartUnique/>
      </w:docPartObj>
    </w:sdtPr>
    <w:sdtEndPr>
      <w:rPr>
        <w:rFonts w:asciiTheme="minorHAnsi" w:hAnsiTheme="minorHAnsi" w:cstheme="minorHAnsi"/>
        <w:sz w:val="20"/>
        <w:szCs w:val="20"/>
      </w:rPr>
    </w:sdtEndPr>
    <w:sdtContent>
      <w:p w:rsidR="00EA11EF" w:rsidRPr="00EA11EF" w:rsidRDefault="00EE7264" w:rsidP="00EA11EF">
        <w:pPr>
          <w:pStyle w:val="Footer"/>
          <w:jc w:val="center"/>
          <w:rPr>
            <w:rFonts w:asciiTheme="minorHAnsi" w:hAnsiTheme="minorHAnsi" w:cstheme="minorHAnsi"/>
            <w:sz w:val="20"/>
            <w:szCs w:val="20"/>
          </w:rPr>
        </w:pPr>
        <w:r w:rsidRPr="00EA11EF">
          <w:rPr>
            <w:rFonts w:asciiTheme="minorHAnsi" w:hAnsiTheme="minorHAnsi" w:cstheme="minorHAnsi"/>
            <w:sz w:val="20"/>
            <w:szCs w:val="20"/>
          </w:rPr>
          <w:fldChar w:fldCharType="begin"/>
        </w:r>
        <w:r w:rsidR="00EA11EF" w:rsidRPr="00EA11EF">
          <w:rPr>
            <w:rFonts w:asciiTheme="minorHAnsi" w:hAnsiTheme="minorHAnsi" w:cstheme="minorHAnsi"/>
            <w:sz w:val="20"/>
            <w:szCs w:val="20"/>
          </w:rPr>
          <w:instrText xml:space="preserve"> PAGE   \* MERGEFORMAT </w:instrText>
        </w:r>
        <w:r w:rsidRPr="00EA11EF">
          <w:rPr>
            <w:rFonts w:asciiTheme="minorHAnsi" w:hAnsiTheme="minorHAnsi" w:cstheme="minorHAnsi"/>
            <w:sz w:val="20"/>
            <w:szCs w:val="20"/>
          </w:rPr>
          <w:fldChar w:fldCharType="separate"/>
        </w:r>
        <w:r w:rsidR="00485273">
          <w:rPr>
            <w:rFonts w:asciiTheme="minorHAnsi" w:hAnsiTheme="minorHAnsi" w:cstheme="minorHAnsi"/>
            <w:noProof/>
            <w:sz w:val="20"/>
            <w:szCs w:val="20"/>
          </w:rPr>
          <w:t>1</w:t>
        </w:r>
        <w:r w:rsidRPr="00EA11EF">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C6" w:rsidRDefault="00554EC6">
      <w:pPr>
        <w:spacing w:after="0" w:line="240" w:lineRule="auto"/>
      </w:pPr>
      <w:r>
        <w:separator/>
      </w:r>
    </w:p>
  </w:footnote>
  <w:footnote w:type="continuationSeparator" w:id="0">
    <w:p w:rsidR="00554EC6" w:rsidRDefault="00554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EF" w:rsidRPr="00EA11EF" w:rsidRDefault="00EA11EF" w:rsidP="00EA11EF">
    <w:pPr>
      <w:spacing w:line="240" w:lineRule="auto"/>
      <w:jc w:val="center"/>
      <w:rPr>
        <w:rFonts w:asciiTheme="minorBidi" w:hAnsiTheme="minorBidi" w:cstheme="minorBidi"/>
        <w:b/>
        <w:bCs/>
        <w:i/>
        <w:iCs/>
        <w:sz w:val="18"/>
        <w:szCs w:val="22"/>
      </w:rPr>
    </w:pPr>
    <w:r w:rsidRPr="00EA11EF">
      <w:rPr>
        <w:rFonts w:asciiTheme="minorBidi" w:hAnsiTheme="minorBidi" w:cstheme="minorBidi"/>
        <w:b/>
        <w:bCs/>
        <w:i/>
        <w:iCs/>
        <w:sz w:val="18"/>
        <w:szCs w:val="22"/>
      </w:rPr>
      <w:t>Safeguard Policies</w:t>
    </w:r>
    <w:r>
      <w:rPr>
        <w:rFonts w:asciiTheme="minorBidi" w:hAnsiTheme="minorBidi" w:cstheme="minorBidi"/>
        <w:b/>
        <w:bCs/>
        <w:i/>
        <w:iCs/>
        <w:sz w:val="18"/>
        <w:szCs w:val="22"/>
      </w:rPr>
      <w:t xml:space="preserve"> </w:t>
    </w:r>
    <w:r w:rsidRPr="00EA11EF">
      <w:rPr>
        <w:rFonts w:asciiTheme="minorBidi" w:hAnsiTheme="minorBidi" w:cstheme="minorBidi"/>
        <w:b/>
        <w:bCs/>
        <w:i/>
        <w:iCs/>
        <w:sz w:val="18"/>
        <w:szCs w:val="22"/>
      </w:rPr>
      <w:t xml:space="preserve">Review and Update </w:t>
    </w:r>
    <w:r>
      <w:rPr>
        <w:rFonts w:asciiTheme="minorBidi" w:hAnsiTheme="minorBidi" w:cstheme="minorBidi"/>
        <w:b/>
        <w:bCs/>
        <w:i/>
        <w:iCs/>
        <w:sz w:val="18"/>
        <w:szCs w:val="22"/>
      </w:rPr>
      <w:t xml:space="preserve">- </w:t>
    </w:r>
    <w:r w:rsidRPr="00EA11EF">
      <w:rPr>
        <w:rFonts w:asciiTheme="minorBidi" w:hAnsiTheme="minorBidi" w:cstheme="minorBidi"/>
        <w:b/>
        <w:bCs/>
        <w:i/>
        <w:iCs/>
        <w:sz w:val="18"/>
        <w:szCs w:val="22"/>
      </w:rPr>
      <w:t>Phase 2 Consultations Feedback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132353"/>
    <w:multiLevelType w:val="hybridMultilevel"/>
    <w:tmpl w:val="AF2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8">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7">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77F5A"/>
    <w:multiLevelType w:val="hybridMultilevel"/>
    <w:tmpl w:val="EA0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552B4"/>
    <w:multiLevelType w:val="hybridMultilevel"/>
    <w:tmpl w:val="11E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4">
    <w:nsid w:val="4D8B054E"/>
    <w:multiLevelType w:val="hybridMultilevel"/>
    <w:tmpl w:val="5FD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6">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0">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1">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2">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77336"/>
    <w:multiLevelType w:val="hybridMultilevel"/>
    <w:tmpl w:val="538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8">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C116600"/>
    <w:multiLevelType w:val="hybridMultilevel"/>
    <w:tmpl w:val="00CAB6F6"/>
    <w:lvl w:ilvl="0" w:tplc="10A84C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2"/>
  </w:num>
  <w:num w:numId="2">
    <w:abstractNumId w:val="27"/>
  </w:num>
  <w:num w:numId="3">
    <w:abstractNumId w:val="41"/>
  </w:num>
  <w:num w:numId="4">
    <w:abstractNumId w:val="28"/>
  </w:num>
  <w:num w:numId="5">
    <w:abstractNumId w:val="22"/>
  </w:num>
  <w:num w:numId="6">
    <w:abstractNumId w:val="38"/>
  </w:num>
  <w:num w:numId="7">
    <w:abstractNumId w:val="42"/>
  </w:num>
  <w:num w:numId="8">
    <w:abstractNumId w:val="44"/>
  </w:num>
  <w:num w:numId="9">
    <w:abstractNumId w:val="40"/>
  </w:num>
  <w:num w:numId="10">
    <w:abstractNumId w:val="13"/>
  </w:num>
  <w:num w:numId="11">
    <w:abstractNumId w:val="4"/>
  </w:num>
  <w:num w:numId="12">
    <w:abstractNumId w:val="11"/>
  </w:num>
  <w:num w:numId="13">
    <w:abstractNumId w:val="9"/>
  </w:num>
  <w:num w:numId="14">
    <w:abstractNumId w:val="6"/>
  </w:num>
  <w:num w:numId="15">
    <w:abstractNumId w:val="35"/>
  </w:num>
  <w:num w:numId="16">
    <w:abstractNumId w:val="5"/>
  </w:num>
  <w:num w:numId="17">
    <w:abstractNumId w:val="36"/>
  </w:num>
  <w:num w:numId="18">
    <w:abstractNumId w:val="10"/>
  </w:num>
  <w:num w:numId="19">
    <w:abstractNumId w:val="17"/>
  </w:num>
  <w:num w:numId="20">
    <w:abstractNumId w:val="8"/>
  </w:num>
  <w:num w:numId="21">
    <w:abstractNumId w:val="12"/>
  </w:num>
  <w:num w:numId="22">
    <w:abstractNumId w:val="21"/>
  </w:num>
  <w:num w:numId="23">
    <w:abstractNumId w:val="39"/>
  </w:num>
  <w:num w:numId="24">
    <w:abstractNumId w:val="33"/>
  </w:num>
  <w:num w:numId="25">
    <w:abstractNumId w:val="14"/>
  </w:num>
  <w:num w:numId="26">
    <w:abstractNumId w:val="26"/>
  </w:num>
  <w:num w:numId="27">
    <w:abstractNumId w:val="15"/>
  </w:num>
  <w:num w:numId="28">
    <w:abstractNumId w:val="19"/>
  </w:num>
  <w:num w:numId="29">
    <w:abstractNumId w:val="31"/>
  </w:num>
  <w:num w:numId="30">
    <w:abstractNumId w:val="43"/>
  </w:num>
  <w:num w:numId="31">
    <w:abstractNumId w:val="29"/>
  </w:num>
  <w:num w:numId="32">
    <w:abstractNumId w:val="37"/>
  </w:num>
  <w:num w:numId="33">
    <w:abstractNumId w:val="23"/>
  </w:num>
  <w:num w:numId="34">
    <w:abstractNumId w:val="30"/>
  </w:num>
  <w:num w:numId="35">
    <w:abstractNumId w:val="16"/>
  </w:num>
  <w:num w:numId="36">
    <w:abstractNumId w:val="3"/>
  </w:num>
  <w:num w:numId="37">
    <w:abstractNumId w:val="7"/>
  </w:num>
  <w:num w:numId="38">
    <w:abstractNumId w:val="25"/>
  </w:num>
  <w:num w:numId="39">
    <w:abstractNumId w:val="2"/>
  </w:num>
  <w:num w:numId="40">
    <w:abstractNumId w:val="24"/>
  </w:num>
  <w:num w:numId="41">
    <w:abstractNumId w:val="18"/>
  </w:num>
  <w:num w:numId="42">
    <w:abstractNumId w:val="1"/>
  </w:num>
  <w:num w:numId="43">
    <w:abstractNumId w:val="34"/>
  </w:num>
  <w:num w:numId="4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30F"/>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429A"/>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5F7C"/>
    <w:rsid w:val="00227180"/>
    <w:rsid w:val="00232712"/>
    <w:rsid w:val="0023392A"/>
    <w:rsid w:val="00236099"/>
    <w:rsid w:val="0023669B"/>
    <w:rsid w:val="0024205F"/>
    <w:rsid w:val="00255132"/>
    <w:rsid w:val="002648AA"/>
    <w:rsid w:val="002679D9"/>
    <w:rsid w:val="00267DF3"/>
    <w:rsid w:val="002705F9"/>
    <w:rsid w:val="002717AA"/>
    <w:rsid w:val="0027488F"/>
    <w:rsid w:val="002801FD"/>
    <w:rsid w:val="0028355B"/>
    <w:rsid w:val="00283919"/>
    <w:rsid w:val="0028464A"/>
    <w:rsid w:val="00292E6E"/>
    <w:rsid w:val="00295A21"/>
    <w:rsid w:val="002A53A4"/>
    <w:rsid w:val="002A5680"/>
    <w:rsid w:val="002A673A"/>
    <w:rsid w:val="002A6B80"/>
    <w:rsid w:val="002A7906"/>
    <w:rsid w:val="002B6524"/>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535"/>
    <w:rsid w:val="0031691C"/>
    <w:rsid w:val="00320395"/>
    <w:rsid w:val="00320F96"/>
    <w:rsid w:val="0032103C"/>
    <w:rsid w:val="00321BBF"/>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85273"/>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4EC6"/>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4C7E"/>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A025C"/>
    <w:rsid w:val="007A4F6E"/>
    <w:rsid w:val="007A53B1"/>
    <w:rsid w:val="007A79F4"/>
    <w:rsid w:val="007B1E0E"/>
    <w:rsid w:val="007C4A25"/>
    <w:rsid w:val="007C5679"/>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074D"/>
    <w:rsid w:val="008B4648"/>
    <w:rsid w:val="008B5CEC"/>
    <w:rsid w:val="008B7264"/>
    <w:rsid w:val="008B7469"/>
    <w:rsid w:val="008C0E8A"/>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A4357"/>
    <w:rsid w:val="009B2BF4"/>
    <w:rsid w:val="009B36E2"/>
    <w:rsid w:val="009C0FFD"/>
    <w:rsid w:val="009C16BB"/>
    <w:rsid w:val="009C27DD"/>
    <w:rsid w:val="009C295B"/>
    <w:rsid w:val="009C509A"/>
    <w:rsid w:val="009D047E"/>
    <w:rsid w:val="009D15D4"/>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5D65"/>
    <w:rsid w:val="00A37BF2"/>
    <w:rsid w:val="00A44601"/>
    <w:rsid w:val="00A51AC5"/>
    <w:rsid w:val="00A51B0F"/>
    <w:rsid w:val="00A55954"/>
    <w:rsid w:val="00A6050C"/>
    <w:rsid w:val="00A7218B"/>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E3BFA"/>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4D81"/>
    <w:rsid w:val="00BF5F0F"/>
    <w:rsid w:val="00C050F3"/>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1EF"/>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E7264"/>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C6E39"/>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sultations.worldbank.org/Data/hub/files/consultation-template/review-and-update-world-bank-safeguard-policies/en/meetings/safeguards_consultations_2014_-_annual_meetings_2014.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nsultations.worldbank.org/consultation/review-and-update-world-bank-safeguard-policies"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sultations.worldbank.org/forums/forum-review-and-update-world-bank-safeguar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741CBE-5094-49DE-B3DD-D479A1CC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2014-09-10T16:30:00Z</cp:lastPrinted>
  <dcterms:created xsi:type="dcterms:W3CDTF">2014-12-03T12:47:00Z</dcterms:created>
  <dcterms:modified xsi:type="dcterms:W3CDTF">2014-12-03T12:47:00Z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