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24498C" w:rsidRDefault="001A3F9A" w:rsidP="00FB0DE9">
      <w:pPr>
        <w:pStyle w:val="Title"/>
        <w:jc w:val="center"/>
        <w:rPr>
          <w:rFonts w:ascii="Calibri Light" w:hAnsi="Calibri Light"/>
          <w:color w:val="323E4F"/>
          <w:sz w:val="32"/>
          <w:szCs w:val="32"/>
        </w:rPr>
      </w:pPr>
      <w:r>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is image shows different scenes such as green fields, water, and people." style="width:236.25pt;height:69.75pt;visibility:visible">
            <v:imagedata r:id="rId8" o:title="This image shows different scenes such as green fields, water, and people"/>
          </v:shape>
        </w:pict>
      </w:r>
    </w:p>
    <w:p w:rsidR="00FB0DE9" w:rsidRPr="0024498C" w:rsidRDefault="00FB0DE9" w:rsidP="00FB0DE9">
      <w:pPr>
        <w:spacing w:after="0"/>
        <w:jc w:val="center"/>
        <w:rPr>
          <w:rFonts w:cs="Calibri"/>
          <w:b/>
          <w:color w:val="2E74B5"/>
          <w:sz w:val="28"/>
          <w:szCs w:val="28"/>
        </w:rPr>
      </w:pPr>
      <w:r w:rsidRPr="0024498C">
        <w:rPr>
          <w:rFonts w:cs="Calibri"/>
          <w:b/>
          <w:color w:val="2E74B5"/>
          <w:sz w:val="28"/>
          <w:szCs w:val="28"/>
        </w:rPr>
        <w:t>Review and Update of the World Bank’s Environmental and Social Safeguard Policies</w:t>
      </w:r>
    </w:p>
    <w:p w:rsidR="00FB0DE9" w:rsidRPr="0024498C" w:rsidRDefault="00FB0DE9" w:rsidP="00FB0DE9">
      <w:pPr>
        <w:pStyle w:val="Title"/>
        <w:spacing w:after="0"/>
        <w:jc w:val="center"/>
        <w:rPr>
          <w:rFonts w:ascii="Calibri" w:hAnsi="Calibri" w:cs="Arial"/>
          <w:b/>
          <w:color w:val="2E74B5"/>
          <w:sz w:val="28"/>
          <w:szCs w:val="28"/>
          <w:lang w:bidi="ar-LB"/>
        </w:rPr>
      </w:pPr>
      <w:r w:rsidRPr="0024498C">
        <w:rPr>
          <w:rFonts w:ascii="Calibri" w:hAnsi="Calibri" w:cs="Calibri"/>
          <w:b/>
          <w:color w:val="2E74B5"/>
          <w:sz w:val="28"/>
          <w:szCs w:val="28"/>
        </w:rPr>
        <w:t xml:space="preserve">Phase </w:t>
      </w:r>
      <w:r w:rsidRPr="0024498C">
        <w:rPr>
          <w:rFonts w:ascii="Calibri" w:hAnsi="Calibri" w:cs="Calibri"/>
          <w:bCs/>
          <w:color w:val="2E74B5"/>
          <w:sz w:val="28"/>
          <w:szCs w:val="28"/>
          <w:rtl/>
        </w:rPr>
        <w:t>3</w:t>
      </w:r>
    </w:p>
    <w:p w:rsidR="00FB0DE9" w:rsidRPr="0024498C" w:rsidRDefault="00FB0DE9" w:rsidP="00FB0DE9">
      <w:pPr>
        <w:pStyle w:val="Title"/>
        <w:spacing w:after="0"/>
        <w:jc w:val="center"/>
        <w:rPr>
          <w:rFonts w:ascii="Calibri" w:hAnsi="Calibri" w:cs="Calibri"/>
          <w:b/>
          <w:color w:val="2E74B5"/>
          <w:sz w:val="28"/>
          <w:szCs w:val="28"/>
        </w:rPr>
      </w:pPr>
      <w:r w:rsidRPr="0024498C">
        <w:rPr>
          <w:rFonts w:ascii="Calibri" w:hAnsi="Calibri" w:cs="Calibri"/>
          <w:b/>
          <w:color w:val="2E74B5"/>
          <w:sz w:val="28"/>
          <w:szCs w:val="28"/>
        </w:rPr>
        <w:t>Feedback Summary</w:t>
      </w:r>
    </w:p>
    <w:p w:rsidR="00944F46" w:rsidRPr="0024498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sidRPr="0024498C">
        <w:rPr>
          <w:rFonts w:ascii="Times New Roman" w:hAnsi="Times New Roman" w:cs="Times New Roman"/>
          <w:b/>
          <w:bCs/>
          <w:sz w:val="22"/>
          <w:szCs w:val="22"/>
          <w:lang w:val="en-US"/>
        </w:rPr>
        <w:t xml:space="preserve">Date: </w:t>
      </w:r>
      <w:r w:rsidR="00677272" w:rsidRPr="0024498C">
        <w:rPr>
          <w:rFonts w:ascii="Times New Roman" w:hAnsi="Times New Roman" w:cs="Times New Roman"/>
          <w:bCs/>
          <w:sz w:val="22"/>
          <w:szCs w:val="22"/>
          <w:lang w:val="en-US"/>
        </w:rPr>
        <w:t>November 16 and 17, 2015</w:t>
      </w:r>
    </w:p>
    <w:p w:rsidR="00944F46" w:rsidRPr="0024498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sidRPr="0024498C">
        <w:rPr>
          <w:rFonts w:ascii="Times New Roman" w:hAnsi="Times New Roman" w:cs="Times New Roman"/>
          <w:b/>
          <w:bCs/>
          <w:sz w:val="22"/>
          <w:szCs w:val="22"/>
          <w:lang w:val="en-US"/>
        </w:rPr>
        <w:t xml:space="preserve">Location: </w:t>
      </w:r>
      <w:r w:rsidR="00677272" w:rsidRPr="0024498C">
        <w:rPr>
          <w:rFonts w:ascii="Times New Roman" w:hAnsi="Times New Roman" w:cs="Times New Roman"/>
          <w:bCs/>
          <w:sz w:val="22"/>
          <w:szCs w:val="22"/>
          <w:lang w:val="en-US"/>
        </w:rPr>
        <w:t>Lima, Peru</w:t>
      </w:r>
    </w:p>
    <w:p w:rsidR="00944F46" w:rsidRPr="0024498C"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sidRPr="0024498C">
        <w:rPr>
          <w:rFonts w:ascii="Times New Roman" w:hAnsi="Times New Roman" w:cs="Times New Roman"/>
          <w:b/>
          <w:bCs/>
          <w:sz w:val="22"/>
          <w:szCs w:val="22"/>
          <w:lang w:val="en-US"/>
        </w:rPr>
        <w:t>Audience</w:t>
      </w:r>
      <w:r w:rsidR="00944F46" w:rsidRPr="0024498C">
        <w:rPr>
          <w:rFonts w:ascii="Times New Roman" w:hAnsi="Times New Roman" w:cs="Times New Roman"/>
          <w:b/>
          <w:bCs/>
          <w:sz w:val="22"/>
          <w:szCs w:val="22"/>
          <w:lang w:val="en-US"/>
        </w:rPr>
        <w:t xml:space="preserve">: </w:t>
      </w:r>
      <w:r w:rsidR="00677272" w:rsidRPr="0024498C">
        <w:rPr>
          <w:rFonts w:ascii="Times New Roman" w:hAnsi="Times New Roman" w:cs="Times New Roman"/>
          <w:bCs/>
          <w:sz w:val="22"/>
          <w:szCs w:val="22"/>
          <w:lang w:val="en-US"/>
        </w:rPr>
        <w:t>Government</w:t>
      </w:r>
    </w:p>
    <w:p w:rsidR="00944F46" w:rsidRPr="0024498C"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160"/>
        <w:gridCol w:w="3510"/>
        <w:gridCol w:w="7650"/>
      </w:tblGrid>
      <w:tr w:rsidR="00944F46" w:rsidRPr="0024498C" w:rsidTr="00446B46">
        <w:tc>
          <w:tcPr>
            <w:tcW w:w="985" w:type="dxa"/>
            <w:shd w:val="clear" w:color="auto" w:fill="D9D9D9"/>
          </w:tcPr>
          <w:p w:rsidR="00944F46" w:rsidRPr="0024498C" w:rsidRDefault="00944F46" w:rsidP="00446B46">
            <w:pPr>
              <w:spacing w:after="0" w:line="240" w:lineRule="auto"/>
              <w:jc w:val="center"/>
              <w:rPr>
                <w:rFonts w:ascii="Times New Roman" w:hAnsi="Times New Roman" w:cs="Times New Roman"/>
                <w:b/>
              </w:rPr>
            </w:pPr>
            <w:r w:rsidRPr="0024498C">
              <w:rPr>
                <w:rFonts w:ascii="Times New Roman" w:hAnsi="Times New Roman" w:cs="Times New Roman"/>
                <w:b/>
              </w:rPr>
              <w:t>ESF</w:t>
            </w:r>
          </w:p>
        </w:tc>
        <w:tc>
          <w:tcPr>
            <w:tcW w:w="2160" w:type="dxa"/>
            <w:shd w:val="clear" w:color="auto" w:fill="D9D9D9"/>
          </w:tcPr>
          <w:p w:rsidR="00944F46" w:rsidRPr="0024498C" w:rsidRDefault="00944F46" w:rsidP="00446B46">
            <w:pPr>
              <w:spacing w:after="0" w:line="240" w:lineRule="auto"/>
              <w:jc w:val="center"/>
              <w:rPr>
                <w:rFonts w:ascii="Times New Roman" w:hAnsi="Times New Roman" w:cs="Times New Roman"/>
                <w:b/>
              </w:rPr>
            </w:pPr>
            <w:r w:rsidRPr="0024498C">
              <w:rPr>
                <w:rFonts w:ascii="Times New Roman" w:hAnsi="Times New Roman" w:cs="Times New Roman"/>
                <w:b/>
              </w:rPr>
              <w:t>Issue</w:t>
            </w:r>
          </w:p>
        </w:tc>
        <w:tc>
          <w:tcPr>
            <w:tcW w:w="3510" w:type="dxa"/>
            <w:shd w:val="clear" w:color="auto" w:fill="D9D9D9"/>
          </w:tcPr>
          <w:p w:rsidR="00944F46" w:rsidRPr="0024498C" w:rsidRDefault="00944F46" w:rsidP="00446B46">
            <w:pPr>
              <w:spacing w:after="0" w:line="240" w:lineRule="auto"/>
              <w:jc w:val="center"/>
              <w:rPr>
                <w:rFonts w:ascii="Times New Roman" w:hAnsi="Times New Roman" w:cs="Times New Roman"/>
                <w:b/>
              </w:rPr>
            </w:pPr>
            <w:r w:rsidRPr="0024498C">
              <w:rPr>
                <w:rFonts w:ascii="Times New Roman" w:hAnsi="Times New Roman" w:cs="Times New Roman"/>
                <w:b/>
              </w:rPr>
              <w:t>Items</w:t>
            </w:r>
          </w:p>
        </w:tc>
        <w:tc>
          <w:tcPr>
            <w:tcW w:w="7650" w:type="dxa"/>
            <w:shd w:val="clear" w:color="auto" w:fill="D9D9D9"/>
          </w:tcPr>
          <w:p w:rsidR="00944F46" w:rsidRPr="0024498C" w:rsidRDefault="00944F46" w:rsidP="00446B46">
            <w:pPr>
              <w:spacing w:after="0" w:line="240" w:lineRule="auto"/>
              <w:jc w:val="center"/>
              <w:rPr>
                <w:rFonts w:ascii="Times New Roman" w:hAnsi="Times New Roman" w:cs="Times New Roman"/>
                <w:b/>
              </w:rPr>
            </w:pPr>
            <w:r w:rsidRPr="0024498C">
              <w:rPr>
                <w:rFonts w:ascii="Times New Roman" w:hAnsi="Times New Roman" w:cs="Times New Roman"/>
                <w:b/>
              </w:rPr>
              <w:t>Feedback</w:t>
            </w: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color w:val="000000"/>
              </w:rPr>
            </w:pPr>
            <w:r w:rsidRPr="0024498C">
              <w:rPr>
                <w:rFonts w:ascii="Times New Roman" w:hAnsi="Times New Roman" w:cs="Times New Roman"/>
                <w:color w:val="000000"/>
              </w:rPr>
              <w:t>Vision</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color w:val="000000"/>
              </w:rPr>
            </w:pPr>
            <w:r w:rsidRPr="0024498C">
              <w:rPr>
                <w:rFonts w:ascii="Times New Roman" w:hAnsi="Times New Roman" w:cs="Times New Roman"/>
                <w:color w:val="000000"/>
              </w:rPr>
              <w:t xml:space="preserve">Human Rights </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color w:val="000000"/>
              </w:rPr>
            </w:pPr>
            <w:r w:rsidRPr="0024498C">
              <w:rPr>
                <w:rFonts w:ascii="Times New Roman" w:hAnsi="Times New Roman"/>
                <w:color w:val="000000"/>
              </w:rPr>
              <w:t xml:space="preserve">Approach to  human rights  in the ESF </w:t>
            </w:r>
          </w:p>
        </w:tc>
        <w:tc>
          <w:tcPr>
            <w:tcW w:w="7650" w:type="dxa"/>
            <w:shd w:val="clear" w:color="auto" w:fill="auto"/>
          </w:tcPr>
          <w:p w:rsidR="00944F46" w:rsidRPr="0024498C" w:rsidRDefault="00944F46" w:rsidP="00446B46">
            <w:pPr>
              <w:pStyle w:val="ListParagraph"/>
              <w:ind w:left="342"/>
              <w:jc w:val="both"/>
              <w:rPr>
                <w:rFonts w:ascii="Times New Roman" w:hAnsi="Times New Roman"/>
                <w:color w:val="000000"/>
              </w:rPr>
            </w:pPr>
          </w:p>
        </w:tc>
      </w:tr>
      <w:tr w:rsidR="00944F46" w:rsidRPr="0024498C" w:rsidTr="00446B46">
        <w:tc>
          <w:tcPr>
            <w:tcW w:w="985" w:type="dxa"/>
            <w:vMerge w:val="restart"/>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ESP/</w:t>
            </w:r>
          </w:p>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ESS1</w:t>
            </w:r>
          </w:p>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Non-discrimination and vulnerable groups</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Specific aspects of the non-discrimination principle in complex social and political contexts, including where recognition of certain groups is not in accordance with national law</w:t>
            </w:r>
          </w:p>
        </w:tc>
        <w:tc>
          <w:tcPr>
            <w:tcW w:w="7650" w:type="dxa"/>
            <w:shd w:val="clear" w:color="auto" w:fill="auto"/>
          </w:tcPr>
          <w:p w:rsidR="00944F46" w:rsidRDefault="00944F46"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F47CF0" w:rsidRDefault="00F47CF0"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Pr="0024498C" w:rsidRDefault="005469E1" w:rsidP="00446B46">
            <w:pPr>
              <w:pStyle w:val="ListParagraph"/>
              <w:ind w:left="342"/>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color w:val="000000"/>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color w:val="000000"/>
              </w:rPr>
              <w:t>Use of Borrower’s Environmental and Social Framework</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Approach for making decision on the use of Borrower frameworks, including the methodology for assessing where frameworks will allow projects to achieve objectives materially consistent with the ESSs, and the exercise of Bank discretion</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Role of Borrower frameworks in high and substantial risk projects</w:t>
            </w:r>
          </w:p>
        </w:tc>
        <w:tc>
          <w:tcPr>
            <w:tcW w:w="7650" w:type="dxa"/>
            <w:shd w:val="clear" w:color="auto" w:fill="auto"/>
          </w:tcPr>
          <w:p w:rsidR="00A64629" w:rsidRPr="00267911" w:rsidRDefault="00F47CF0" w:rsidP="00DB775C">
            <w:pPr>
              <w:pStyle w:val="ListParagraph"/>
              <w:numPr>
                <w:ilvl w:val="1"/>
                <w:numId w:val="18"/>
              </w:numPr>
              <w:ind w:left="185" w:hanging="180"/>
              <w:jc w:val="both"/>
              <w:rPr>
                <w:rFonts w:ascii="Times New Roman" w:hAnsi="Times New Roman"/>
              </w:rPr>
            </w:pPr>
            <w:r>
              <w:rPr>
                <w:rFonts w:ascii="Times New Roman" w:hAnsi="Times New Roman"/>
              </w:rPr>
              <w:t xml:space="preserve">Participants </w:t>
            </w:r>
            <w:r w:rsidR="00A64629">
              <w:rPr>
                <w:rFonts w:ascii="Times New Roman" w:hAnsi="Times New Roman"/>
              </w:rPr>
              <w:t xml:space="preserve">inquired when Borrower framework assessments would take place and </w:t>
            </w:r>
            <w:r>
              <w:rPr>
                <w:rFonts w:ascii="Times New Roman" w:hAnsi="Times New Roman"/>
              </w:rPr>
              <w:t xml:space="preserve">stated that if the assessment </w:t>
            </w:r>
            <w:r w:rsidR="00A64629">
              <w:rPr>
                <w:rFonts w:ascii="Times New Roman" w:hAnsi="Times New Roman"/>
              </w:rPr>
              <w:t>happened</w:t>
            </w:r>
            <w:r>
              <w:rPr>
                <w:rFonts w:ascii="Times New Roman" w:hAnsi="Times New Roman"/>
              </w:rPr>
              <w:t xml:space="preserve"> on a </w:t>
            </w:r>
            <w:r w:rsidR="00DB775C" w:rsidRPr="0024498C">
              <w:rPr>
                <w:rFonts w:ascii="Times New Roman" w:hAnsi="Times New Roman"/>
              </w:rPr>
              <w:t>project-by-project basis</w:t>
            </w:r>
            <w:r>
              <w:rPr>
                <w:rFonts w:ascii="Times New Roman" w:hAnsi="Times New Roman"/>
              </w:rPr>
              <w:t xml:space="preserve"> it </w:t>
            </w:r>
            <w:r w:rsidR="00A64629">
              <w:rPr>
                <w:rFonts w:ascii="Times New Roman" w:hAnsi="Times New Roman"/>
              </w:rPr>
              <w:t xml:space="preserve">would </w:t>
            </w:r>
            <w:r w:rsidR="00DB775C" w:rsidRPr="0024498C">
              <w:rPr>
                <w:rFonts w:ascii="Times New Roman" w:hAnsi="Times New Roman"/>
              </w:rPr>
              <w:t>increase the cost for Borrowers</w:t>
            </w:r>
            <w:r w:rsidR="007F7571">
              <w:rPr>
                <w:rFonts w:ascii="Times New Roman" w:hAnsi="Times New Roman"/>
              </w:rPr>
              <w:t xml:space="preserve">, </w:t>
            </w:r>
            <w:r w:rsidR="007F7571" w:rsidRPr="00267911">
              <w:rPr>
                <w:rFonts w:ascii="Times New Roman" w:hAnsi="Times New Roman"/>
              </w:rPr>
              <w:t>who must pay for the higher costs</w:t>
            </w:r>
            <w:r w:rsidR="00A64629" w:rsidRPr="00267911">
              <w:rPr>
                <w:rFonts w:ascii="Times New Roman" w:hAnsi="Times New Roman"/>
              </w:rPr>
              <w:t>.</w:t>
            </w:r>
          </w:p>
          <w:p w:rsidR="00A64629" w:rsidRPr="00267911" w:rsidRDefault="00A64629" w:rsidP="00A64629">
            <w:pPr>
              <w:pStyle w:val="ListParagraph"/>
              <w:ind w:left="185"/>
              <w:jc w:val="both"/>
              <w:rPr>
                <w:rFonts w:ascii="Times New Roman" w:hAnsi="Times New Roman"/>
              </w:rPr>
            </w:pPr>
          </w:p>
          <w:p w:rsidR="00DB775C" w:rsidRDefault="00A64629" w:rsidP="00DB775C">
            <w:pPr>
              <w:pStyle w:val="ListParagraph"/>
              <w:numPr>
                <w:ilvl w:val="1"/>
                <w:numId w:val="18"/>
              </w:numPr>
              <w:ind w:left="185" w:hanging="180"/>
              <w:jc w:val="both"/>
              <w:rPr>
                <w:rFonts w:ascii="Times New Roman" w:hAnsi="Times New Roman"/>
              </w:rPr>
            </w:pPr>
            <w:r>
              <w:rPr>
                <w:rFonts w:ascii="Times New Roman" w:hAnsi="Times New Roman"/>
              </w:rPr>
              <w:t xml:space="preserve">Participants asked if framework assessments would </w:t>
            </w:r>
            <w:r w:rsidR="00DB775C" w:rsidRPr="0024498C">
              <w:rPr>
                <w:rFonts w:ascii="Times New Roman" w:hAnsi="Times New Roman"/>
              </w:rPr>
              <w:t xml:space="preserve">apply to </w:t>
            </w:r>
            <w:r>
              <w:rPr>
                <w:rFonts w:ascii="Times New Roman" w:hAnsi="Times New Roman"/>
              </w:rPr>
              <w:t xml:space="preserve">the entire Borrower framework or if they would only apply to a </w:t>
            </w:r>
            <w:r w:rsidR="00DB775C" w:rsidRPr="0024498C">
              <w:rPr>
                <w:rFonts w:ascii="Times New Roman" w:hAnsi="Times New Roman"/>
              </w:rPr>
              <w:t>specific se</w:t>
            </w:r>
            <w:r w:rsidR="00F47CF0">
              <w:rPr>
                <w:rFonts w:ascii="Times New Roman" w:hAnsi="Times New Roman"/>
              </w:rPr>
              <w:t>ctor?</w:t>
            </w:r>
          </w:p>
          <w:p w:rsidR="00F47CF0" w:rsidRPr="0024498C" w:rsidRDefault="00F47CF0" w:rsidP="00F47CF0">
            <w:pPr>
              <w:pStyle w:val="ListParagraph"/>
              <w:ind w:left="185"/>
              <w:jc w:val="both"/>
              <w:rPr>
                <w:rFonts w:ascii="Times New Roman" w:hAnsi="Times New Roman"/>
              </w:rPr>
            </w:pPr>
          </w:p>
          <w:p w:rsidR="00DB775C" w:rsidRPr="0024498C" w:rsidRDefault="00A64629" w:rsidP="00DB775C">
            <w:pPr>
              <w:pStyle w:val="ListParagraph"/>
              <w:numPr>
                <w:ilvl w:val="1"/>
                <w:numId w:val="18"/>
              </w:numPr>
              <w:ind w:left="185" w:hanging="180"/>
              <w:jc w:val="both"/>
              <w:rPr>
                <w:rFonts w:ascii="Times New Roman" w:hAnsi="Times New Roman"/>
              </w:rPr>
            </w:pPr>
            <w:r>
              <w:rPr>
                <w:rFonts w:ascii="Times New Roman" w:hAnsi="Times New Roman"/>
              </w:rPr>
              <w:t xml:space="preserve">Participants stated that the national </w:t>
            </w:r>
            <w:r w:rsidR="00DB775C" w:rsidRPr="0024498C">
              <w:rPr>
                <w:rFonts w:ascii="Times New Roman" w:hAnsi="Times New Roman"/>
              </w:rPr>
              <w:t>Environmental Impact Assessment System</w:t>
            </w:r>
            <w:r>
              <w:rPr>
                <w:rFonts w:ascii="Times New Roman" w:hAnsi="Times New Roman"/>
              </w:rPr>
              <w:t xml:space="preserve"> was equivalent to the proposed ESF</w:t>
            </w:r>
            <w:r w:rsidR="00DE53EB">
              <w:rPr>
                <w:rFonts w:ascii="Times New Roman" w:hAnsi="Times New Roman"/>
              </w:rPr>
              <w:t>’s</w:t>
            </w:r>
            <w:r>
              <w:rPr>
                <w:rFonts w:ascii="Times New Roman" w:hAnsi="Times New Roman"/>
              </w:rPr>
              <w:t xml:space="preserve"> requirements for impact assessments</w:t>
            </w:r>
            <w:r w:rsidR="00DB775C" w:rsidRPr="0024498C">
              <w:rPr>
                <w:rFonts w:ascii="Times New Roman" w:hAnsi="Times New Roman"/>
              </w:rPr>
              <w:t>.</w:t>
            </w:r>
          </w:p>
          <w:p w:rsidR="009A7DAF" w:rsidRDefault="009A7DAF" w:rsidP="009A7DAF">
            <w:pPr>
              <w:pStyle w:val="ListParagraph"/>
              <w:ind w:left="185"/>
              <w:jc w:val="both"/>
              <w:rPr>
                <w:rFonts w:ascii="Times New Roman" w:hAnsi="Times New Roman"/>
              </w:rPr>
            </w:pPr>
          </w:p>
          <w:p w:rsidR="00DB775C" w:rsidRPr="00267911" w:rsidRDefault="009A7DAF" w:rsidP="00C5695D">
            <w:pPr>
              <w:pStyle w:val="ListParagraph"/>
              <w:numPr>
                <w:ilvl w:val="1"/>
                <w:numId w:val="18"/>
              </w:numPr>
              <w:ind w:left="185" w:hanging="180"/>
              <w:jc w:val="both"/>
              <w:rPr>
                <w:rFonts w:ascii="Times New Roman" w:hAnsi="Times New Roman"/>
              </w:rPr>
            </w:pPr>
            <w:r>
              <w:rPr>
                <w:rFonts w:ascii="Times New Roman" w:hAnsi="Times New Roman"/>
              </w:rPr>
              <w:t xml:space="preserve">Participants stated that the government needed to improve its capacity to </w:t>
            </w:r>
            <w:r w:rsidR="00DE53EB">
              <w:rPr>
                <w:rFonts w:ascii="Times New Roman" w:hAnsi="Times New Roman"/>
              </w:rPr>
              <w:t xml:space="preserve">manage </w:t>
            </w:r>
            <w:r>
              <w:rPr>
                <w:rFonts w:ascii="Times New Roman" w:hAnsi="Times New Roman"/>
              </w:rPr>
              <w:t xml:space="preserve">safeguards; several participants </w:t>
            </w:r>
            <w:r w:rsidR="00356334" w:rsidRPr="0024498C">
              <w:rPr>
                <w:rFonts w:ascii="Times New Roman" w:hAnsi="Times New Roman"/>
              </w:rPr>
              <w:t xml:space="preserve">mentioned </w:t>
            </w:r>
            <w:r w:rsidR="00DE53EB">
              <w:rPr>
                <w:rFonts w:ascii="Times New Roman" w:hAnsi="Times New Roman"/>
              </w:rPr>
              <w:t xml:space="preserve">that </w:t>
            </w:r>
            <w:r w:rsidR="00356334" w:rsidRPr="0024498C">
              <w:rPr>
                <w:rFonts w:ascii="Times New Roman" w:hAnsi="Times New Roman"/>
              </w:rPr>
              <w:t xml:space="preserve">coordination among institutions </w:t>
            </w:r>
            <w:r>
              <w:rPr>
                <w:rFonts w:ascii="Times New Roman" w:hAnsi="Times New Roman"/>
              </w:rPr>
              <w:t>also required improvement</w:t>
            </w:r>
            <w:r w:rsidR="00356334" w:rsidRPr="0024498C">
              <w:rPr>
                <w:rFonts w:ascii="Times New Roman" w:hAnsi="Times New Roman"/>
              </w:rPr>
              <w:t>.</w:t>
            </w:r>
            <w:r w:rsidR="007F7571">
              <w:rPr>
                <w:rFonts w:ascii="Times New Roman" w:hAnsi="Times New Roman"/>
              </w:rPr>
              <w:t xml:space="preserve"> </w:t>
            </w:r>
            <w:r w:rsidR="007F7571" w:rsidRPr="00267911">
              <w:rPr>
                <w:rFonts w:ascii="Times New Roman" w:hAnsi="Times New Roman"/>
              </w:rPr>
              <w:t>Its scope should be shared with the entire public sector.</w:t>
            </w:r>
          </w:p>
          <w:p w:rsidR="00F47CF0" w:rsidRDefault="00F47CF0" w:rsidP="00F47CF0">
            <w:pPr>
              <w:pStyle w:val="ListParagraph"/>
              <w:ind w:left="185"/>
              <w:jc w:val="both"/>
              <w:rPr>
                <w:rFonts w:ascii="Times New Roman" w:hAnsi="Times New Roman"/>
              </w:rPr>
            </w:pPr>
          </w:p>
          <w:p w:rsidR="009A7DAF" w:rsidRDefault="009A7DAF" w:rsidP="00DE53EB">
            <w:pPr>
              <w:pStyle w:val="ListParagraph"/>
              <w:numPr>
                <w:ilvl w:val="1"/>
                <w:numId w:val="18"/>
              </w:numPr>
              <w:ind w:left="185" w:hanging="180"/>
              <w:jc w:val="both"/>
              <w:rPr>
                <w:rFonts w:ascii="Times New Roman" w:hAnsi="Times New Roman"/>
              </w:rPr>
            </w:pPr>
            <w:r>
              <w:rPr>
                <w:rFonts w:ascii="Times New Roman" w:hAnsi="Times New Roman"/>
              </w:rPr>
              <w:t>Part</w:t>
            </w:r>
            <w:r w:rsidR="00DE53EB">
              <w:rPr>
                <w:rFonts w:ascii="Times New Roman" w:hAnsi="Times New Roman"/>
              </w:rPr>
              <w:t xml:space="preserve">icipants stated that because the </w:t>
            </w:r>
            <w:r w:rsidR="00DE53EB" w:rsidRPr="00DE53EB">
              <w:rPr>
                <w:rFonts w:ascii="Times New Roman" w:hAnsi="Times New Roman"/>
              </w:rPr>
              <w:t xml:space="preserve">Strengthening Biodiversity Conservation through the National Protected Areas </w:t>
            </w:r>
            <w:r w:rsidR="00DE53EB">
              <w:rPr>
                <w:rFonts w:ascii="Times New Roman" w:hAnsi="Times New Roman"/>
              </w:rPr>
              <w:t>Project’s (</w:t>
            </w:r>
            <w:r w:rsidRPr="0024498C">
              <w:rPr>
                <w:rFonts w:ascii="Times New Roman" w:hAnsi="Times New Roman"/>
              </w:rPr>
              <w:t>PRONANP</w:t>
            </w:r>
            <w:r w:rsidR="00DE53EB">
              <w:rPr>
                <w:rFonts w:ascii="Times New Roman" w:hAnsi="Times New Roman"/>
              </w:rPr>
              <w:t>, for its acronym in Spanish)</w:t>
            </w:r>
            <w:r w:rsidRPr="0024498C">
              <w:rPr>
                <w:rFonts w:ascii="Times New Roman" w:hAnsi="Times New Roman"/>
              </w:rPr>
              <w:t xml:space="preserve"> </w:t>
            </w:r>
            <w:r>
              <w:rPr>
                <w:rFonts w:ascii="Times New Roman" w:hAnsi="Times New Roman"/>
              </w:rPr>
              <w:t>low to moderate risks, the World Bank should consider</w:t>
            </w:r>
            <w:r w:rsidRPr="0024498C">
              <w:rPr>
                <w:rFonts w:ascii="Times New Roman" w:hAnsi="Times New Roman"/>
              </w:rPr>
              <w:t xml:space="preserve"> </w:t>
            </w:r>
            <w:r>
              <w:rPr>
                <w:rFonts w:ascii="Times New Roman" w:hAnsi="Times New Roman"/>
              </w:rPr>
              <w:t xml:space="preserve">applying </w:t>
            </w:r>
            <w:r w:rsidRPr="0024498C">
              <w:rPr>
                <w:rFonts w:ascii="Times New Roman" w:hAnsi="Times New Roman"/>
              </w:rPr>
              <w:t>the Peruvian Framework</w:t>
            </w:r>
            <w:r>
              <w:rPr>
                <w:rFonts w:ascii="Times New Roman" w:hAnsi="Times New Roman"/>
              </w:rPr>
              <w:t xml:space="preserve"> instead of the Bank’s Environmental and Social </w:t>
            </w:r>
            <w:r w:rsidR="00DE53EB">
              <w:rPr>
                <w:rFonts w:ascii="Times New Roman" w:hAnsi="Times New Roman"/>
              </w:rPr>
              <w:t xml:space="preserve">Safeguards </w:t>
            </w:r>
            <w:r>
              <w:rPr>
                <w:rFonts w:ascii="Times New Roman" w:hAnsi="Times New Roman"/>
              </w:rPr>
              <w:t>Policies.</w:t>
            </w:r>
          </w:p>
          <w:p w:rsidR="009A7DAF" w:rsidRDefault="009A7DAF" w:rsidP="009A7DAF">
            <w:pPr>
              <w:pStyle w:val="ListParagraph"/>
              <w:ind w:left="185"/>
              <w:jc w:val="both"/>
              <w:rPr>
                <w:rFonts w:ascii="Times New Roman" w:hAnsi="Times New Roman"/>
              </w:rPr>
            </w:pPr>
          </w:p>
          <w:p w:rsidR="00944F46" w:rsidRDefault="009A7DAF" w:rsidP="009A7DAF">
            <w:pPr>
              <w:pStyle w:val="ListParagraph"/>
              <w:numPr>
                <w:ilvl w:val="1"/>
                <w:numId w:val="18"/>
              </w:numPr>
              <w:ind w:left="185" w:hanging="180"/>
              <w:jc w:val="both"/>
              <w:rPr>
                <w:rFonts w:ascii="Times New Roman" w:hAnsi="Times New Roman"/>
              </w:rPr>
            </w:pPr>
            <w:r>
              <w:rPr>
                <w:rFonts w:ascii="Times New Roman" w:hAnsi="Times New Roman"/>
              </w:rPr>
              <w:t xml:space="preserve">Participants considered that although the </w:t>
            </w:r>
            <w:r w:rsidR="00C5695D" w:rsidRPr="0024498C">
              <w:rPr>
                <w:rFonts w:ascii="Times New Roman" w:hAnsi="Times New Roman"/>
              </w:rPr>
              <w:t>Lima Metro Phase 2</w:t>
            </w:r>
            <w:r>
              <w:rPr>
                <w:rFonts w:ascii="Times New Roman" w:hAnsi="Times New Roman"/>
              </w:rPr>
              <w:t xml:space="preserve"> project is categorized as </w:t>
            </w:r>
            <w:r w:rsidR="00C5695D" w:rsidRPr="0024498C">
              <w:rPr>
                <w:rFonts w:ascii="Times New Roman" w:hAnsi="Times New Roman"/>
              </w:rPr>
              <w:t>high risk</w:t>
            </w:r>
            <w:r>
              <w:rPr>
                <w:rFonts w:ascii="Times New Roman" w:hAnsi="Times New Roman"/>
              </w:rPr>
              <w:t>,</w:t>
            </w:r>
            <w:r w:rsidR="00C5695D" w:rsidRPr="0024498C">
              <w:rPr>
                <w:rFonts w:ascii="Times New Roman" w:hAnsi="Times New Roman"/>
              </w:rPr>
              <w:t xml:space="preserve"> the use of Borrower’s systems could </w:t>
            </w:r>
            <w:r>
              <w:rPr>
                <w:rFonts w:ascii="Times New Roman" w:hAnsi="Times New Roman"/>
              </w:rPr>
              <w:t xml:space="preserve">also </w:t>
            </w:r>
            <w:r w:rsidR="00C5695D" w:rsidRPr="0024498C">
              <w:rPr>
                <w:rFonts w:ascii="Times New Roman" w:hAnsi="Times New Roman"/>
              </w:rPr>
              <w:t xml:space="preserve">be considered </w:t>
            </w:r>
            <w:r>
              <w:rPr>
                <w:rFonts w:ascii="Times New Roman" w:hAnsi="Times New Roman"/>
              </w:rPr>
              <w:t>as an adequate means of safeguards management</w:t>
            </w:r>
            <w:r w:rsidR="00C5695D" w:rsidRPr="0024498C">
              <w:rPr>
                <w:rFonts w:ascii="Times New Roman" w:hAnsi="Times New Roman"/>
              </w:rPr>
              <w:t>.</w:t>
            </w:r>
          </w:p>
          <w:p w:rsidR="00743CF1" w:rsidRPr="0024498C" w:rsidRDefault="00743CF1" w:rsidP="00743CF1">
            <w:pPr>
              <w:pStyle w:val="ListParagraph"/>
              <w:ind w:left="185"/>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Co-financing/ common approach</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Arrangements on E&amp;S standards in co-financing situations where the co-financier’s standards are different from those of the Bank</w:t>
            </w:r>
          </w:p>
        </w:tc>
        <w:tc>
          <w:tcPr>
            <w:tcW w:w="7650" w:type="dxa"/>
            <w:shd w:val="clear" w:color="auto" w:fill="auto"/>
          </w:tcPr>
          <w:p w:rsidR="00944F46" w:rsidRPr="0024498C" w:rsidRDefault="00944F46" w:rsidP="00446B46">
            <w:pPr>
              <w:pStyle w:val="ListParagraph"/>
              <w:ind w:left="342"/>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Adaptive risk management</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Approach to monitoring E&amp;S compliance and changes to the project during implementation</w:t>
            </w:r>
          </w:p>
        </w:tc>
        <w:tc>
          <w:tcPr>
            <w:tcW w:w="7650" w:type="dxa"/>
            <w:shd w:val="clear" w:color="auto" w:fill="auto"/>
          </w:tcPr>
          <w:p w:rsidR="00944F46" w:rsidRPr="0024498C" w:rsidRDefault="00944F46" w:rsidP="00446B46">
            <w:pPr>
              <w:pStyle w:val="ListParagraph"/>
              <w:ind w:left="342"/>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Risk classification</w:t>
            </w:r>
          </w:p>
        </w:tc>
        <w:tc>
          <w:tcPr>
            <w:tcW w:w="3510" w:type="dxa"/>
            <w:shd w:val="clear" w:color="auto" w:fill="E7E6E6"/>
          </w:tcPr>
          <w:p w:rsidR="00944F46" w:rsidRPr="0024498C" w:rsidDel="00EF3E5D" w:rsidRDefault="00944F46" w:rsidP="00446B46">
            <w:pPr>
              <w:pStyle w:val="ListParagraph"/>
              <w:numPr>
                <w:ilvl w:val="0"/>
                <w:numId w:val="11"/>
              </w:numPr>
              <w:ind w:left="342"/>
              <w:rPr>
                <w:rFonts w:ascii="Times New Roman" w:hAnsi="Times New Roman"/>
              </w:rPr>
            </w:pPr>
            <w:r w:rsidRPr="0024498C">
              <w:rPr>
                <w:rFonts w:ascii="Times New Roman" w:hAnsi="Times New Roman"/>
              </w:rPr>
              <w:t>Approach to determining and reviewing the risk level of a project</w:t>
            </w:r>
          </w:p>
        </w:tc>
        <w:tc>
          <w:tcPr>
            <w:tcW w:w="7650" w:type="dxa"/>
            <w:shd w:val="clear" w:color="auto" w:fill="auto"/>
          </w:tcPr>
          <w:p w:rsidR="00944F46" w:rsidRPr="0024498C" w:rsidRDefault="00944F46" w:rsidP="00446B46">
            <w:pPr>
              <w:spacing w:after="0" w:line="240" w:lineRule="auto"/>
              <w:ind w:left="-18"/>
              <w:jc w:val="both"/>
              <w:rPr>
                <w:rFonts w:ascii="Times New Roman" w:hAnsi="Times New Roman" w:cs="Times New Roman"/>
              </w:rPr>
            </w:pPr>
          </w:p>
        </w:tc>
      </w:tr>
      <w:tr w:rsidR="004A022A" w:rsidRPr="0024498C" w:rsidTr="00446B46">
        <w:tc>
          <w:tcPr>
            <w:tcW w:w="985" w:type="dxa"/>
            <w:vMerge w:val="restart"/>
            <w:shd w:val="clear" w:color="auto" w:fill="E7E6E6"/>
          </w:tcPr>
          <w:p w:rsidR="004A022A" w:rsidRPr="0024498C" w:rsidRDefault="004A022A" w:rsidP="00446B46">
            <w:pPr>
              <w:spacing w:after="0" w:line="240" w:lineRule="auto"/>
              <w:rPr>
                <w:rFonts w:ascii="Times New Roman" w:hAnsi="Times New Roman" w:cs="Times New Roman"/>
              </w:rPr>
            </w:pPr>
            <w:r w:rsidRPr="0024498C">
              <w:rPr>
                <w:rFonts w:ascii="Times New Roman" w:hAnsi="Times New Roman" w:cs="Times New Roman"/>
              </w:rPr>
              <w:t>ESS1</w:t>
            </w:r>
          </w:p>
          <w:p w:rsidR="004A022A" w:rsidRPr="0024498C" w:rsidRDefault="004A022A" w:rsidP="00446B46">
            <w:pPr>
              <w:spacing w:after="0" w:line="240" w:lineRule="auto"/>
              <w:rPr>
                <w:rFonts w:ascii="Times New Roman" w:hAnsi="Times New Roman" w:cs="Times New Roman"/>
              </w:rPr>
            </w:pPr>
          </w:p>
        </w:tc>
        <w:tc>
          <w:tcPr>
            <w:tcW w:w="2160" w:type="dxa"/>
            <w:shd w:val="clear" w:color="auto" w:fill="E7E6E6"/>
          </w:tcPr>
          <w:p w:rsidR="004A022A" w:rsidRPr="0024498C" w:rsidRDefault="004A022A" w:rsidP="00446B46">
            <w:pPr>
              <w:spacing w:after="0" w:line="240" w:lineRule="auto"/>
              <w:rPr>
                <w:rFonts w:ascii="Times New Roman" w:hAnsi="Times New Roman" w:cs="Times New Roman"/>
              </w:rPr>
            </w:pPr>
            <w:r w:rsidRPr="0024498C">
              <w:rPr>
                <w:rFonts w:ascii="Times New Roman" w:hAnsi="Times New Roman" w:cs="Times New Roman"/>
              </w:rPr>
              <w:t>Assessment and management of environmental and social risks and impacts</w:t>
            </w:r>
          </w:p>
        </w:tc>
        <w:tc>
          <w:tcPr>
            <w:tcW w:w="3510" w:type="dxa"/>
            <w:shd w:val="clear" w:color="auto" w:fill="E7E6E6"/>
          </w:tcPr>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Assessment and nature of cumulative and indirect impacts to be taken into account</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 xml:space="preserve">Treatment of cumulative and indirect impacts when identified </w:t>
            </w:r>
            <w:r w:rsidRPr="0024498C">
              <w:rPr>
                <w:rFonts w:ascii="Times New Roman" w:hAnsi="Times New Roman"/>
              </w:rPr>
              <w:lastRenderedPageBreak/>
              <w:t>in the assessment of the project</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Establishing project boundaries and the applicability of the ESSs to Associated Facilities, contractors, primary suppliers, FI subprojects and directly funded sub-projects</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Circumstances under which the Bank will determine whether the Borrower will be required to retain independent third party specialists</w:t>
            </w:r>
          </w:p>
        </w:tc>
        <w:tc>
          <w:tcPr>
            <w:tcW w:w="7650" w:type="dxa"/>
            <w:shd w:val="clear" w:color="auto" w:fill="auto"/>
          </w:tcPr>
          <w:p w:rsidR="004A022A" w:rsidRPr="0024498C" w:rsidRDefault="004A022A" w:rsidP="00446B46">
            <w:pPr>
              <w:spacing w:after="0" w:line="240" w:lineRule="auto"/>
              <w:ind w:left="-18"/>
              <w:jc w:val="both"/>
              <w:rPr>
                <w:rFonts w:ascii="Times New Roman" w:hAnsi="Times New Roman" w:cs="Times New Roman"/>
              </w:rPr>
            </w:pPr>
          </w:p>
        </w:tc>
      </w:tr>
      <w:tr w:rsidR="004A022A" w:rsidRPr="0024498C" w:rsidTr="00446B46">
        <w:tc>
          <w:tcPr>
            <w:tcW w:w="985" w:type="dxa"/>
            <w:vMerge/>
            <w:shd w:val="clear" w:color="auto" w:fill="E7E6E6"/>
          </w:tcPr>
          <w:p w:rsidR="004A022A" w:rsidRPr="0024498C" w:rsidRDefault="004A022A" w:rsidP="00446B46">
            <w:pPr>
              <w:spacing w:after="0" w:line="240" w:lineRule="auto"/>
              <w:rPr>
                <w:rFonts w:ascii="Times New Roman" w:hAnsi="Times New Roman" w:cs="Times New Roman"/>
              </w:rPr>
            </w:pPr>
          </w:p>
        </w:tc>
        <w:tc>
          <w:tcPr>
            <w:tcW w:w="2160" w:type="dxa"/>
            <w:shd w:val="clear" w:color="auto" w:fill="E7E6E6"/>
          </w:tcPr>
          <w:p w:rsidR="004A022A" w:rsidRPr="0024498C" w:rsidRDefault="004A022A" w:rsidP="00446B46">
            <w:pPr>
              <w:spacing w:after="0" w:line="240" w:lineRule="auto"/>
              <w:rPr>
                <w:rFonts w:ascii="Times New Roman" w:hAnsi="Times New Roman" w:cs="Times New Roman"/>
              </w:rPr>
            </w:pPr>
            <w:r w:rsidRPr="0024498C">
              <w:rPr>
                <w:rFonts w:ascii="Times New Roman" w:hAnsi="Times New Roman" w:cs="Times New Roman"/>
              </w:rPr>
              <w:t>Environmental and Social Commitment Plan (ESCP)</w:t>
            </w:r>
          </w:p>
        </w:tc>
        <w:tc>
          <w:tcPr>
            <w:tcW w:w="3510" w:type="dxa"/>
            <w:shd w:val="clear" w:color="auto" w:fill="E7E6E6"/>
          </w:tcPr>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Legal standing of the ESCP and implications of changes to the ESCP as part of the legal agreement</w:t>
            </w:r>
          </w:p>
        </w:tc>
        <w:tc>
          <w:tcPr>
            <w:tcW w:w="7650" w:type="dxa"/>
            <w:shd w:val="clear" w:color="auto" w:fill="auto"/>
          </w:tcPr>
          <w:p w:rsidR="004A022A" w:rsidRPr="0024498C" w:rsidRDefault="004A022A" w:rsidP="00446B46">
            <w:pPr>
              <w:pStyle w:val="ListParagraph"/>
              <w:ind w:left="342"/>
              <w:jc w:val="both"/>
              <w:rPr>
                <w:rFonts w:ascii="Times New Roman" w:hAnsi="Times New Roman"/>
              </w:rPr>
            </w:pPr>
          </w:p>
        </w:tc>
      </w:tr>
      <w:tr w:rsidR="004A022A" w:rsidRPr="0024498C" w:rsidTr="00446B46">
        <w:tc>
          <w:tcPr>
            <w:tcW w:w="985" w:type="dxa"/>
            <w:shd w:val="clear" w:color="auto" w:fill="E7E6E6"/>
          </w:tcPr>
          <w:p w:rsidR="004A022A" w:rsidRPr="0024498C" w:rsidRDefault="004A022A" w:rsidP="00446B46">
            <w:pPr>
              <w:spacing w:after="0" w:line="240" w:lineRule="auto"/>
              <w:rPr>
                <w:rFonts w:ascii="Times New Roman" w:hAnsi="Times New Roman" w:cs="Times New Roman"/>
              </w:rPr>
            </w:pPr>
            <w:r w:rsidRPr="0024498C">
              <w:rPr>
                <w:rFonts w:ascii="Times New Roman" w:hAnsi="Times New Roman" w:cs="Times New Roman"/>
              </w:rPr>
              <w:t>ESS2</w:t>
            </w:r>
          </w:p>
        </w:tc>
        <w:tc>
          <w:tcPr>
            <w:tcW w:w="2160" w:type="dxa"/>
            <w:shd w:val="clear" w:color="auto" w:fill="E7E6E6"/>
          </w:tcPr>
          <w:p w:rsidR="004A022A" w:rsidRPr="0024498C" w:rsidRDefault="004A022A" w:rsidP="00446B46">
            <w:pPr>
              <w:spacing w:after="0" w:line="240" w:lineRule="auto"/>
              <w:rPr>
                <w:rFonts w:ascii="Times New Roman" w:hAnsi="Times New Roman" w:cs="Times New Roman"/>
              </w:rPr>
            </w:pPr>
            <w:r w:rsidRPr="0024498C">
              <w:rPr>
                <w:rFonts w:ascii="Times New Roman" w:hAnsi="Times New Roman" w:cs="Times New Roman"/>
              </w:rPr>
              <w:t>Labor and working conditions</w:t>
            </w:r>
          </w:p>
        </w:tc>
        <w:tc>
          <w:tcPr>
            <w:tcW w:w="3510" w:type="dxa"/>
            <w:shd w:val="clear" w:color="auto" w:fill="E7E6E6"/>
          </w:tcPr>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 xml:space="preserve">Definition and necessity of and requirements for managing labor employed by certain third parties (brokers, agents and intermediaries)  </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 xml:space="preserve">Application and implementation impacts of certain labor requirements to contractors, community and voluntary labor and primary suppliers </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Constraints in making grievance mechanisms available to all project workers</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Referencing national law in the objective of supporting freedom of association and collective bargaining</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Operationalization of an alternative mechanism relating to freedom of association and collective bargaining where national law does not recognize such rights</w:t>
            </w:r>
          </w:p>
          <w:p w:rsidR="004A022A" w:rsidRPr="0024498C" w:rsidRDefault="004A022A" w:rsidP="00446B46">
            <w:pPr>
              <w:pStyle w:val="ListParagraph"/>
              <w:numPr>
                <w:ilvl w:val="0"/>
                <w:numId w:val="11"/>
              </w:numPr>
              <w:ind w:left="342"/>
              <w:rPr>
                <w:rFonts w:ascii="Times New Roman" w:hAnsi="Times New Roman"/>
              </w:rPr>
            </w:pPr>
            <w:r w:rsidRPr="0024498C">
              <w:rPr>
                <w:rFonts w:ascii="Times New Roman" w:hAnsi="Times New Roman"/>
              </w:rPr>
              <w:t xml:space="preserve">Issues in operationalizing the </w:t>
            </w:r>
            <w:r w:rsidRPr="0024498C">
              <w:rPr>
                <w:rFonts w:ascii="Times New Roman" w:hAnsi="Times New Roman"/>
              </w:rPr>
              <w:lastRenderedPageBreak/>
              <w:t>Occupational Health and Safety (OHS) provisions/standards</w:t>
            </w:r>
          </w:p>
        </w:tc>
        <w:tc>
          <w:tcPr>
            <w:tcW w:w="7650" w:type="dxa"/>
            <w:shd w:val="clear" w:color="auto" w:fill="auto"/>
          </w:tcPr>
          <w:p w:rsidR="003B1C71" w:rsidRDefault="008C6DE1"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lastRenderedPageBreak/>
              <w:t>Participants expressed support</w:t>
            </w:r>
            <w:r w:rsidR="00DE53EB">
              <w:rPr>
                <w:rFonts w:ascii="Times New Roman" w:hAnsi="Times New Roman"/>
              </w:rPr>
              <w:t xml:space="preserve"> for</w:t>
            </w:r>
            <w:r>
              <w:rPr>
                <w:rFonts w:ascii="Times New Roman" w:hAnsi="Times New Roman"/>
              </w:rPr>
              <w:t xml:space="preserve"> the inclusion of protections for people who were handicapped due to work accidents in the proposed Framework.</w:t>
            </w:r>
          </w:p>
          <w:p w:rsidR="003B1C71" w:rsidRDefault="003B1C71" w:rsidP="003B1C71">
            <w:pPr>
              <w:pStyle w:val="ListParagraph"/>
              <w:tabs>
                <w:tab w:val="left" w:pos="185"/>
              </w:tabs>
              <w:ind w:left="185"/>
              <w:jc w:val="both"/>
              <w:rPr>
                <w:rFonts w:ascii="Times New Roman" w:hAnsi="Times New Roman"/>
              </w:rPr>
            </w:pPr>
          </w:p>
          <w:p w:rsidR="00A259BD" w:rsidRDefault="003B1C71"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stated that </w:t>
            </w:r>
            <w:r w:rsidR="00E37E4C" w:rsidRPr="0024498C">
              <w:rPr>
                <w:rFonts w:ascii="Times New Roman" w:hAnsi="Times New Roman"/>
              </w:rPr>
              <w:t xml:space="preserve">it </w:t>
            </w:r>
            <w:r>
              <w:rPr>
                <w:rFonts w:ascii="Times New Roman" w:hAnsi="Times New Roman"/>
              </w:rPr>
              <w:t xml:space="preserve">was necessary to include </w:t>
            </w:r>
            <w:r w:rsidR="00E37E4C" w:rsidRPr="0024498C">
              <w:rPr>
                <w:rFonts w:ascii="Times New Roman" w:hAnsi="Times New Roman"/>
              </w:rPr>
              <w:t>disability prevention as an objective</w:t>
            </w:r>
            <w:r>
              <w:rPr>
                <w:rFonts w:ascii="Times New Roman" w:hAnsi="Times New Roman"/>
              </w:rPr>
              <w:t xml:space="preserve"> in the proposed Framework</w:t>
            </w:r>
            <w:r w:rsidR="00E37E4C" w:rsidRPr="0024498C">
              <w:rPr>
                <w:rFonts w:ascii="Times New Roman" w:hAnsi="Times New Roman"/>
              </w:rPr>
              <w:t>.</w:t>
            </w:r>
          </w:p>
          <w:p w:rsidR="009A7DAF" w:rsidRPr="0024498C" w:rsidRDefault="009A7DAF" w:rsidP="009A7DAF">
            <w:pPr>
              <w:pStyle w:val="ListParagraph"/>
              <w:tabs>
                <w:tab w:val="left" w:pos="185"/>
              </w:tabs>
              <w:ind w:left="185"/>
              <w:jc w:val="both"/>
              <w:rPr>
                <w:rFonts w:ascii="Times New Roman" w:hAnsi="Times New Roman"/>
              </w:rPr>
            </w:pPr>
          </w:p>
          <w:p w:rsidR="003B1C71" w:rsidRDefault="003B1C71"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Participants mentioned that accident-</w:t>
            </w:r>
            <w:r w:rsidR="00B512BC" w:rsidRPr="0024498C">
              <w:rPr>
                <w:rFonts w:ascii="Times New Roman" w:hAnsi="Times New Roman"/>
              </w:rPr>
              <w:t xml:space="preserve">prevention </w:t>
            </w:r>
            <w:r>
              <w:rPr>
                <w:rFonts w:ascii="Times New Roman" w:hAnsi="Times New Roman"/>
              </w:rPr>
              <w:t xml:space="preserve">was properly managed by </w:t>
            </w:r>
            <w:r w:rsidR="00B512BC" w:rsidRPr="0024498C">
              <w:rPr>
                <w:rFonts w:ascii="Times New Roman" w:hAnsi="Times New Roman"/>
              </w:rPr>
              <w:t>SUNAFIL</w:t>
            </w:r>
            <w:r>
              <w:rPr>
                <w:rFonts w:ascii="Times New Roman" w:hAnsi="Times New Roman"/>
              </w:rPr>
              <w:t>.</w:t>
            </w:r>
          </w:p>
          <w:p w:rsidR="003B1C71" w:rsidRDefault="003B1C71" w:rsidP="003B1C71">
            <w:pPr>
              <w:pStyle w:val="ListParagraph"/>
              <w:tabs>
                <w:tab w:val="left" w:pos="185"/>
              </w:tabs>
              <w:ind w:left="185"/>
              <w:jc w:val="both"/>
              <w:rPr>
                <w:rFonts w:ascii="Times New Roman" w:hAnsi="Times New Roman"/>
              </w:rPr>
            </w:pPr>
          </w:p>
          <w:p w:rsidR="00B512BC" w:rsidRPr="0024498C" w:rsidRDefault="003B1C71"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asked who would be responsible for financing the safety management </w:t>
            </w:r>
            <w:r w:rsidR="00A066E5">
              <w:rPr>
                <w:rFonts w:ascii="Times New Roman" w:hAnsi="Times New Roman"/>
              </w:rPr>
              <w:t xml:space="preserve">of small projects being undertaken in rural </w:t>
            </w:r>
            <w:r w:rsidR="00BB1D77">
              <w:rPr>
                <w:rFonts w:ascii="Times New Roman" w:hAnsi="Times New Roman"/>
              </w:rPr>
              <w:t>areas</w:t>
            </w:r>
            <w:r w:rsidR="00BB1D77" w:rsidRPr="0024498C">
              <w:rPr>
                <w:rFonts w:ascii="Times New Roman" w:hAnsi="Times New Roman"/>
              </w:rPr>
              <w:t>.</w:t>
            </w:r>
          </w:p>
          <w:p w:rsidR="009A7DAF" w:rsidRDefault="009A7DAF" w:rsidP="009A7DAF">
            <w:pPr>
              <w:pStyle w:val="ListParagraph"/>
              <w:tabs>
                <w:tab w:val="left" w:pos="185"/>
              </w:tabs>
              <w:ind w:left="185"/>
              <w:jc w:val="both"/>
              <w:rPr>
                <w:rFonts w:ascii="Times New Roman" w:hAnsi="Times New Roman"/>
              </w:rPr>
            </w:pPr>
          </w:p>
          <w:p w:rsidR="00446B46" w:rsidRPr="0024498C" w:rsidRDefault="00A066E5"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stated that there are very few cases of people who have become disabled due to work-related accidents in small communities.  </w:t>
            </w:r>
          </w:p>
          <w:p w:rsidR="009A7DAF" w:rsidRDefault="009A7DAF" w:rsidP="009A7DAF">
            <w:pPr>
              <w:pStyle w:val="ListParagraph"/>
              <w:tabs>
                <w:tab w:val="left" w:pos="185"/>
              </w:tabs>
              <w:ind w:left="185"/>
              <w:jc w:val="both"/>
              <w:rPr>
                <w:rFonts w:ascii="Times New Roman" w:hAnsi="Times New Roman"/>
              </w:rPr>
            </w:pPr>
          </w:p>
          <w:p w:rsidR="00A066E5" w:rsidRDefault="00A066E5" w:rsidP="00A066E5">
            <w:pPr>
              <w:pStyle w:val="ListParagraph"/>
              <w:numPr>
                <w:ilvl w:val="0"/>
                <w:numId w:val="22"/>
              </w:numPr>
              <w:tabs>
                <w:tab w:val="left" w:pos="185"/>
              </w:tabs>
              <w:ind w:left="185" w:hanging="180"/>
              <w:jc w:val="both"/>
              <w:rPr>
                <w:rFonts w:ascii="Times New Roman" w:hAnsi="Times New Roman"/>
              </w:rPr>
            </w:pPr>
            <w:r w:rsidRPr="00A066E5">
              <w:rPr>
                <w:rFonts w:ascii="Times New Roman" w:hAnsi="Times New Roman"/>
              </w:rPr>
              <w:t xml:space="preserve">Participants inquired if the loss of </w:t>
            </w:r>
            <w:r w:rsidR="006177C4" w:rsidRPr="00A066E5">
              <w:rPr>
                <w:rFonts w:ascii="Times New Roman" w:hAnsi="Times New Roman"/>
              </w:rPr>
              <w:t xml:space="preserve">productivity caused by an accident </w:t>
            </w:r>
            <w:r w:rsidRPr="00A066E5">
              <w:rPr>
                <w:rFonts w:ascii="Times New Roman" w:hAnsi="Times New Roman"/>
              </w:rPr>
              <w:t xml:space="preserve">outweighed the cost </w:t>
            </w:r>
            <w:r w:rsidR="006177C4" w:rsidRPr="00A066E5">
              <w:rPr>
                <w:rFonts w:ascii="Times New Roman" w:hAnsi="Times New Roman"/>
              </w:rPr>
              <w:t>of preventing them</w:t>
            </w:r>
            <w:r w:rsidR="005C1442">
              <w:rPr>
                <w:rFonts w:ascii="Times New Roman" w:hAnsi="Times New Roman"/>
              </w:rPr>
              <w:t xml:space="preserve"> by providing safety equipment.</w:t>
            </w:r>
          </w:p>
          <w:p w:rsidR="00A066E5" w:rsidRDefault="00A066E5" w:rsidP="00A066E5">
            <w:pPr>
              <w:pStyle w:val="ListParagraph"/>
              <w:tabs>
                <w:tab w:val="left" w:pos="185"/>
              </w:tabs>
              <w:ind w:left="185"/>
              <w:jc w:val="both"/>
              <w:rPr>
                <w:rFonts w:ascii="Times New Roman" w:hAnsi="Times New Roman"/>
              </w:rPr>
            </w:pPr>
          </w:p>
          <w:p w:rsidR="00A066E5" w:rsidRDefault="00A066E5" w:rsidP="004666EF">
            <w:pPr>
              <w:pStyle w:val="ListParagraph"/>
              <w:numPr>
                <w:ilvl w:val="0"/>
                <w:numId w:val="22"/>
              </w:numPr>
              <w:tabs>
                <w:tab w:val="left" w:pos="185"/>
              </w:tabs>
              <w:ind w:left="185" w:hanging="180"/>
              <w:jc w:val="both"/>
              <w:rPr>
                <w:rFonts w:ascii="Times New Roman" w:hAnsi="Times New Roman"/>
              </w:rPr>
            </w:pPr>
            <w:r w:rsidRPr="00BF5F01">
              <w:rPr>
                <w:rFonts w:ascii="Times New Roman" w:hAnsi="Times New Roman"/>
              </w:rPr>
              <w:t>Pa</w:t>
            </w:r>
            <w:r w:rsidR="005C1442">
              <w:rPr>
                <w:rFonts w:ascii="Times New Roman" w:hAnsi="Times New Roman"/>
              </w:rPr>
              <w:t>rticipants indicated that the</w:t>
            </w:r>
            <w:r w:rsidRPr="00BF5F01">
              <w:rPr>
                <w:rFonts w:ascii="Times New Roman" w:hAnsi="Times New Roman"/>
              </w:rPr>
              <w:t xml:space="preserve"> costs </w:t>
            </w:r>
            <w:r w:rsidR="00BF5F01" w:rsidRPr="00BF5F01">
              <w:rPr>
                <w:rFonts w:ascii="Times New Roman" w:hAnsi="Times New Roman"/>
              </w:rPr>
              <w:t xml:space="preserve">of accidents </w:t>
            </w:r>
            <w:r w:rsidRPr="00BF5F01">
              <w:rPr>
                <w:rFonts w:ascii="Times New Roman" w:hAnsi="Times New Roman"/>
              </w:rPr>
              <w:t>should be considered in a broader</w:t>
            </w:r>
            <w:r w:rsidR="00BF5F01" w:rsidRPr="00BF5F01">
              <w:rPr>
                <w:rFonts w:ascii="Times New Roman" w:hAnsi="Times New Roman"/>
              </w:rPr>
              <w:t xml:space="preserve">, long-term </w:t>
            </w:r>
            <w:r w:rsidR="005C1442" w:rsidRPr="00BF5F01">
              <w:rPr>
                <w:rFonts w:ascii="Times New Roman" w:hAnsi="Times New Roman"/>
              </w:rPr>
              <w:t>context</w:t>
            </w:r>
            <w:r w:rsidR="005C1442">
              <w:rPr>
                <w:rFonts w:ascii="Times New Roman" w:hAnsi="Times New Roman"/>
              </w:rPr>
              <w:t xml:space="preserve"> that</w:t>
            </w:r>
            <w:r w:rsidR="00BF5F01" w:rsidRPr="00BF5F01">
              <w:rPr>
                <w:rFonts w:ascii="Times New Roman" w:hAnsi="Times New Roman"/>
              </w:rPr>
              <w:t xml:space="preserve"> takes into </w:t>
            </w:r>
            <w:r w:rsidRPr="00BF5F01">
              <w:rPr>
                <w:rFonts w:ascii="Times New Roman" w:hAnsi="Times New Roman"/>
              </w:rPr>
              <w:t>account savings in he</w:t>
            </w:r>
            <w:r w:rsidR="005C1442">
              <w:rPr>
                <w:rFonts w:ascii="Times New Roman" w:hAnsi="Times New Roman"/>
              </w:rPr>
              <w:t>alth and disability payments</w:t>
            </w:r>
            <w:r w:rsidR="00BF5F01">
              <w:rPr>
                <w:rFonts w:ascii="Times New Roman" w:hAnsi="Times New Roman"/>
              </w:rPr>
              <w:t>.</w:t>
            </w:r>
          </w:p>
          <w:p w:rsidR="00BF5F01" w:rsidRPr="00BF5F01" w:rsidRDefault="00BF5F01" w:rsidP="00BF5F01">
            <w:pPr>
              <w:pStyle w:val="ListParagraph"/>
              <w:tabs>
                <w:tab w:val="left" w:pos="185"/>
              </w:tabs>
              <w:ind w:left="185"/>
              <w:jc w:val="both"/>
              <w:rPr>
                <w:rFonts w:ascii="Times New Roman" w:hAnsi="Times New Roman"/>
              </w:rPr>
            </w:pPr>
          </w:p>
          <w:p w:rsidR="00A066E5" w:rsidRDefault="00A066E5"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w:t>
            </w:r>
            <w:r w:rsidR="006177C4" w:rsidRPr="0024498C">
              <w:rPr>
                <w:rFonts w:ascii="Times New Roman" w:hAnsi="Times New Roman"/>
              </w:rPr>
              <w:t xml:space="preserve">mentioned that applying safety standards to community work </w:t>
            </w:r>
            <w:r>
              <w:rPr>
                <w:rFonts w:ascii="Times New Roman" w:hAnsi="Times New Roman"/>
              </w:rPr>
              <w:t xml:space="preserve">would </w:t>
            </w:r>
            <w:r w:rsidR="006177C4" w:rsidRPr="0024498C">
              <w:rPr>
                <w:rFonts w:ascii="Times New Roman" w:hAnsi="Times New Roman"/>
              </w:rPr>
              <w:t xml:space="preserve">increase project costs, </w:t>
            </w:r>
            <w:r>
              <w:rPr>
                <w:rFonts w:ascii="Times New Roman" w:hAnsi="Times New Roman"/>
              </w:rPr>
              <w:t xml:space="preserve">and that it </w:t>
            </w:r>
            <w:r w:rsidR="006177C4" w:rsidRPr="0024498C">
              <w:rPr>
                <w:rFonts w:ascii="Times New Roman" w:hAnsi="Times New Roman"/>
              </w:rPr>
              <w:t xml:space="preserve">could </w:t>
            </w:r>
            <w:r>
              <w:rPr>
                <w:rFonts w:ascii="Times New Roman" w:hAnsi="Times New Roman"/>
              </w:rPr>
              <w:t xml:space="preserve">turn into a restriction for </w:t>
            </w:r>
            <w:r w:rsidR="006177C4" w:rsidRPr="0024498C">
              <w:rPr>
                <w:rFonts w:ascii="Times New Roman" w:hAnsi="Times New Roman"/>
              </w:rPr>
              <w:t xml:space="preserve">small </w:t>
            </w:r>
            <w:r>
              <w:rPr>
                <w:rFonts w:ascii="Times New Roman" w:hAnsi="Times New Roman"/>
              </w:rPr>
              <w:t xml:space="preserve">subprojects </w:t>
            </w:r>
            <w:r>
              <w:rPr>
                <w:rFonts w:ascii="Times New Roman" w:hAnsi="Times New Roman"/>
              </w:rPr>
              <w:lastRenderedPageBreak/>
              <w:t>in rural areas.</w:t>
            </w:r>
          </w:p>
          <w:p w:rsidR="00126EED" w:rsidRDefault="00126EED" w:rsidP="00126EED">
            <w:pPr>
              <w:pStyle w:val="ListParagraph"/>
              <w:rPr>
                <w:rFonts w:ascii="Times New Roman" w:hAnsi="Times New Roman"/>
              </w:rPr>
            </w:pPr>
          </w:p>
          <w:p w:rsidR="00D5236D" w:rsidRPr="0024498C" w:rsidRDefault="00BF5F01"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inquired if </w:t>
            </w:r>
            <w:r w:rsidR="00D5236D" w:rsidRPr="0024498C">
              <w:rPr>
                <w:rFonts w:ascii="Times New Roman" w:hAnsi="Times New Roman"/>
              </w:rPr>
              <w:t>Borr</w:t>
            </w:r>
            <w:r>
              <w:rPr>
                <w:rFonts w:ascii="Times New Roman" w:hAnsi="Times New Roman"/>
              </w:rPr>
              <w:t>ower</w:t>
            </w:r>
            <w:r w:rsidR="00D5236D" w:rsidRPr="0024498C">
              <w:rPr>
                <w:rFonts w:ascii="Times New Roman" w:hAnsi="Times New Roman"/>
              </w:rPr>
              <w:t xml:space="preserve"> framework</w:t>
            </w:r>
            <w:r>
              <w:rPr>
                <w:rFonts w:ascii="Times New Roman" w:hAnsi="Times New Roman"/>
              </w:rPr>
              <w:t>s</w:t>
            </w:r>
            <w:r w:rsidR="00D5236D" w:rsidRPr="0024498C">
              <w:rPr>
                <w:rFonts w:ascii="Times New Roman" w:hAnsi="Times New Roman"/>
              </w:rPr>
              <w:t xml:space="preserve"> </w:t>
            </w:r>
            <w:r>
              <w:rPr>
                <w:rFonts w:ascii="Times New Roman" w:hAnsi="Times New Roman"/>
              </w:rPr>
              <w:t xml:space="preserve">could be </w:t>
            </w:r>
            <w:r w:rsidR="00D5236D" w:rsidRPr="0024498C">
              <w:rPr>
                <w:rFonts w:ascii="Times New Roman" w:hAnsi="Times New Roman"/>
              </w:rPr>
              <w:t xml:space="preserve">used specifically </w:t>
            </w:r>
            <w:r>
              <w:rPr>
                <w:rFonts w:ascii="Times New Roman" w:hAnsi="Times New Roman"/>
              </w:rPr>
              <w:t xml:space="preserve">for the management of </w:t>
            </w:r>
            <w:r w:rsidR="00D5236D" w:rsidRPr="0024498C">
              <w:rPr>
                <w:rFonts w:ascii="Times New Roman" w:hAnsi="Times New Roman"/>
              </w:rPr>
              <w:t>labor</w:t>
            </w:r>
            <w:r>
              <w:rPr>
                <w:rFonts w:ascii="Times New Roman" w:hAnsi="Times New Roman"/>
              </w:rPr>
              <w:t>-related</w:t>
            </w:r>
            <w:r w:rsidR="008F63F4">
              <w:rPr>
                <w:rFonts w:ascii="Times New Roman" w:hAnsi="Times New Roman"/>
              </w:rPr>
              <w:t xml:space="preserve"> issues</w:t>
            </w:r>
            <w:r w:rsidR="005C1442">
              <w:rPr>
                <w:rFonts w:ascii="Times New Roman" w:hAnsi="Times New Roman"/>
              </w:rPr>
              <w:t>.</w:t>
            </w:r>
          </w:p>
          <w:p w:rsidR="005C1442" w:rsidRDefault="005C1442" w:rsidP="005C1442">
            <w:pPr>
              <w:pStyle w:val="ListParagraph"/>
              <w:tabs>
                <w:tab w:val="left" w:pos="185"/>
              </w:tabs>
              <w:ind w:left="185"/>
              <w:jc w:val="both"/>
              <w:rPr>
                <w:rFonts w:ascii="Times New Roman" w:hAnsi="Times New Roman"/>
              </w:rPr>
            </w:pPr>
          </w:p>
          <w:p w:rsidR="00D5236D" w:rsidRPr="00267911" w:rsidRDefault="00BF5F01" w:rsidP="00C5695D">
            <w:pPr>
              <w:pStyle w:val="ListParagraph"/>
              <w:numPr>
                <w:ilvl w:val="0"/>
                <w:numId w:val="22"/>
              </w:numPr>
              <w:tabs>
                <w:tab w:val="left" w:pos="185"/>
              </w:tabs>
              <w:ind w:left="185" w:hanging="180"/>
              <w:jc w:val="both"/>
              <w:rPr>
                <w:rFonts w:ascii="Times New Roman" w:hAnsi="Times New Roman"/>
              </w:rPr>
            </w:pPr>
            <w:r>
              <w:rPr>
                <w:rFonts w:ascii="Times New Roman" w:hAnsi="Times New Roman"/>
              </w:rPr>
              <w:t>Participants mentioned that h</w:t>
            </w:r>
            <w:r w:rsidR="00D5236D" w:rsidRPr="0024498C">
              <w:rPr>
                <w:rFonts w:ascii="Times New Roman" w:hAnsi="Times New Roman"/>
              </w:rPr>
              <w:t>iring local workers coul</w:t>
            </w:r>
            <w:r w:rsidR="005C1442">
              <w:rPr>
                <w:rFonts w:ascii="Times New Roman" w:hAnsi="Times New Roman"/>
              </w:rPr>
              <w:t>d help prevent social conflicts by creating jobs.</w:t>
            </w:r>
            <w:r w:rsidR="00126EED">
              <w:rPr>
                <w:rFonts w:ascii="Times New Roman" w:hAnsi="Times New Roman"/>
              </w:rPr>
              <w:t xml:space="preserve"> </w:t>
            </w:r>
            <w:r w:rsidR="00126EED" w:rsidRPr="00267911">
              <w:rPr>
                <w:rFonts w:ascii="Times New Roman" w:hAnsi="Times New Roman"/>
              </w:rPr>
              <w:t>This will require transparent procedures and well publicized in the local communities for local hiring, such as hiring by turns, restrictions on age, gender considerations, etc.</w:t>
            </w:r>
          </w:p>
          <w:p w:rsidR="009A7DAF" w:rsidRPr="00267911" w:rsidRDefault="009A7DAF" w:rsidP="009A7DAF">
            <w:pPr>
              <w:pStyle w:val="ListParagraph"/>
              <w:tabs>
                <w:tab w:val="left" w:pos="185"/>
              </w:tabs>
              <w:ind w:left="185"/>
              <w:jc w:val="both"/>
              <w:rPr>
                <w:rFonts w:ascii="Times New Roman" w:hAnsi="Times New Roman"/>
              </w:rPr>
            </w:pPr>
          </w:p>
          <w:p w:rsidR="00856E39" w:rsidRPr="0024498C" w:rsidRDefault="00BF5F01" w:rsidP="00856E39">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mentioned that </w:t>
            </w:r>
            <w:r w:rsidR="005C1442">
              <w:rPr>
                <w:rFonts w:ascii="Times New Roman" w:hAnsi="Times New Roman"/>
              </w:rPr>
              <w:t xml:space="preserve">in </w:t>
            </w:r>
            <w:r w:rsidR="00856E39" w:rsidRPr="0024498C">
              <w:rPr>
                <w:rFonts w:ascii="Times New Roman" w:hAnsi="Times New Roman"/>
              </w:rPr>
              <w:t xml:space="preserve">the Spanish </w:t>
            </w:r>
            <w:r w:rsidR="005C1442">
              <w:rPr>
                <w:rFonts w:ascii="Times New Roman" w:hAnsi="Times New Roman"/>
              </w:rPr>
              <w:t xml:space="preserve">translation </w:t>
            </w:r>
            <w:r w:rsidR="008F63F4">
              <w:rPr>
                <w:rFonts w:ascii="Times New Roman" w:hAnsi="Times New Roman"/>
              </w:rPr>
              <w:t>of ESS</w:t>
            </w:r>
            <w:r w:rsidR="005C1442">
              <w:rPr>
                <w:rFonts w:ascii="Times New Roman" w:hAnsi="Times New Roman"/>
              </w:rPr>
              <w:t xml:space="preserve"> </w:t>
            </w:r>
            <w:r w:rsidR="008F63F4">
              <w:rPr>
                <w:rFonts w:ascii="Times New Roman" w:hAnsi="Times New Roman"/>
              </w:rPr>
              <w:t>2, the w</w:t>
            </w:r>
            <w:r w:rsidR="00856E39" w:rsidRPr="0024498C">
              <w:rPr>
                <w:rFonts w:ascii="Times New Roman" w:hAnsi="Times New Roman"/>
              </w:rPr>
              <w:t>ord “</w:t>
            </w:r>
            <w:r w:rsidR="00856E39" w:rsidRPr="008F63F4">
              <w:rPr>
                <w:rFonts w:ascii="Times New Roman" w:hAnsi="Times New Roman"/>
                <w:i/>
              </w:rPr>
              <w:t>comedor</w:t>
            </w:r>
            <w:r w:rsidR="00856E39" w:rsidRPr="0024498C">
              <w:rPr>
                <w:rFonts w:ascii="Times New Roman" w:hAnsi="Times New Roman"/>
              </w:rPr>
              <w:t>” should be used instead of “</w:t>
            </w:r>
            <w:r w:rsidR="00856E39" w:rsidRPr="008F63F4">
              <w:rPr>
                <w:rFonts w:ascii="Times New Roman" w:hAnsi="Times New Roman"/>
                <w:i/>
              </w:rPr>
              <w:t>cantina</w:t>
            </w:r>
            <w:r w:rsidR="00856E39" w:rsidRPr="0024498C">
              <w:rPr>
                <w:rFonts w:ascii="Times New Roman" w:hAnsi="Times New Roman"/>
              </w:rPr>
              <w:t>”</w:t>
            </w:r>
            <w:r w:rsidR="008F63F4">
              <w:rPr>
                <w:rFonts w:ascii="Times New Roman" w:hAnsi="Times New Roman"/>
              </w:rPr>
              <w:t xml:space="preserve">, as in Peru the latter is </w:t>
            </w:r>
            <w:r>
              <w:rPr>
                <w:rFonts w:ascii="Times New Roman" w:hAnsi="Times New Roman"/>
              </w:rPr>
              <w:t xml:space="preserve">used as a synonym for </w:t>
            </w:r>
            <w:r w:rsidR="008F63F4">
              <w:rPr>
                <w:rFonts w:ascii="Times New Roman" w:hAnsi="Times New Roman"/>
              </w:rPr>
              <w:t>bar.</w:t>
            </w:r>
          </w:p>
          <w:p w:rsidR="009A7DAF" w:rsidRDefault="009A7DAF" w:rsidP="009A7DAF">
            <w:pPr>
              <w:pStyle w:val="ListParagraph"/>
              <w:tabs>
                <w:tab w:val="left" w:pos="185"/>
              </w:tabs>
              <w:ind w:left="185"/>
              <w:jc w:val="both"/>
              <w:rPr>
                <w:rFonts w:ascii="Times New Roman" w:hAnsi="Times New Roman"/>
              </w:rPr>
            </w:pPr>
          </w:p>
          <w:p w:rsidR="00856E39" w:rsidRPr="0024498C" w:rsidRDefault="00BF5F01" w:rsidP="00856E39">
            <w:pPr>
              <w:pStyle w:val="ListParagraph"/>
              <w:numPr>
                <w:ilvl w:val="0"/>
                <w:numId w:val="22"/>
              </w:numPr>
              <w:tabs>
                <w:tab w:val="left" w:pos="185"/>
              </w:tabs>
              <w:ind w:left="185" w:hanging="180"/>
              <w:jc w:val="both"/>
              <w:rPr>
                <w:rFonts w:ascii="Times New Roman" w:hAnsi="Times New Roman"/>
              </w:rPr>
            </w:pPr>
            <w:r>
              <w:rPr>
                <w:rFonts w:ascii="Times New Roman" w:hAnsi="Times New Roman"/>
              </w:rPr>
              <w:t>Participants mentioned that ESS 2 and ESS</w:t>
            </w:r>
            <w:r w:rsidR="005C1442">
              <w:rPr>
                <w:rFonts w:ascii="Times New Roman" w:hAnsi="Times New Roman"/>
              </w:rPr>
              <w:t xml:space="preserve"> </w:t>
            </w:r>
            <w:r>
              <w:rPr>
                <w:rFonts w:ascii="Times New Roman" w:hAnsi="Times New Roman"/>
              </w:rPr>
              <w:t xml:space="preserve">4 requirements may </w:t>
            </w:r>
            <w:r w:rsidR="00856E39" w:rsidRPr="0024498C">
              <w:rPr>
                <w:rFonts w:ascii="Times New Roman" w:hAnsi="Times New Roman"/>
              </w:rPr>
              <w:t>imply additional costs for the Borrower</w:t>
            </w:r>
            <w:r>
              <w:rPr>
                <w:rFonts w:ascii="Times New Roman" w:hAnsi="Times New Roman"/>
              </w:rPr>
              <w:t xml:space="preserve"> –for example, the purchase of </w:t>
            </w:r>
            <w:r w:rsidR="00856E39" w:rsidRPr="0024498C">
              <w:rPr>
                <w:rFonts w:ascii="Times New Roman" w:hAnsi="Times New Roman"/>
              </w:rPr>
              <w:t>helmets, saf</w:t>
            </w:r>
            <w:r w:rsidR="00267911">
              <w:rPr>
                <w:rFonts w:ascii="Times New Roman" w:hAnsi="Times New Roman"/>
              </w:rPr>
              <w:t xml:space="preserve">ety vests and other equipment. </w:t>
            </w:r>
            <w:r>
              <w:rPr>
                <w:rFonts w:ascii="Times New Roman" w:hAnsi="Times New Roman"/>
              </w:rPr>
              <w:t xml:space="preserve">Others </w:t>
            </w:r>
            <w:r w:rsidR="00856E39" w:rsidRPr="0024498C">
              <w:rPr>
                <w:rFonts w:ascii="Times New Roman" w:hAnsi="Times New Roman"/>
              </w:rPr>
              <w:t xml:space="preserve">thought that savings </w:t>
            </w:r>
            <w:r>
              <w:rPr>
                <w:rFonts w:ascii="Times New Roman" w:hAnsi="Times New Roman"/>
              </w:rPr>
              <w:t xml:space="preserve">due to accidents </w:t>
            </w:r>
            <w:r w:rsidR="00856E39" w:rsidRPr="0024498C">
              <w:rPr>
                <w:rFonts w:ascii="Times New Roman" w:hAnsi="Times New Roman"/>
              </w:rPr>
              <w:t xml:space="preserve">avoided </w:t>
            </w:r>
            <w:r>
              <w:rPr>
                <w:rFonts w:ascii="Times New Roman" w:hAnsi="Times New Roman"/>
              </w:rPr>
              <w:t>could outweigh the costs.</w:t>
            </w:r>
          </w:p>
          <w:p w:rsidR="009A7DAF" w:rsidRDefault="009A7DAF" w:rsidP="009A7DAF">
            <w:pPr>
              <w:pStyle w:val="ListParagraph"/>
              <w:tabs>
                <w:tab w:val="left" w:pos="185"/>
              </w:tabs>
              <w:ind w:left="185"/>
              <w:jc w:val="both"/>
              <w:rPr>
                <w:rFonts w:ascii="Times New Roman" w:hAnsi="Times New Roman"/>
              </w:rPr>
            </w:pPr>
          </w:p>
          <w:p w:rsidR="009A7DAF" w:rsidRPr="00267911" w:rsidRDefault="00BF5F01" w:rsidP="007A1E01">
            <w:pPr>
              <w:pStyle w:val="ListParagraph"/>
              <w:numPr>
                <w:ilvl w:val="0"/>
                <w:numId w:val="22"/>
              </w:numPr>
              <w:tabs>
                <w:tab w:val="left" w:pos="185"/>
              </w:tabs>
              <w:ind w:left="185" w:hanging="180"/>
              <w:jc w:val="both"/>
              <w:rPr>
                <w:rFonts w:ascii="Times New Roman" w:hAnsi="Times New Roman"/>
              </w:rPr>
            </w:pPr>
            <w:r>
              <w:rPr>
                <w:rFonts w:ascii="Times New Roman" w:hAnsi="Times New Roman"/>
              </w:rPr>
              <w:t>P</w:t>
            </w:r>
            <w:r w:rsidR="00856E39" w:rsidRPr="0024498C">
              <w:rPr>
                <w:rFonts w:ascii="Times New Roman" w:hAnsi="Times New Roman"/>
              </w:rPr>
              <w:t>articipant</w:t>
            </w:r>
            <w:r>
              <w:rPr>
                <w:rFonts w:ascii="Times New Roman" w:hAnsi="Times New Roman"/>
              </w:rPr>
              <w:t xml:space="preserve">s inquired if </w:t>
            </w:r>
            <w:r w:rsidR="00856E39" w:rsidRPr="0024498C">
              <w:rPr>
                <w:rFonts w:ascii="Times New Roman" w:hAnsi="Times New Roman"/>
              </w:rPr>
              <w:t xml:space="preserve">the grievance mechanism </w:t>
            </w:r>
            <w:r w:rsidR="00743CF1">
              <w:rPr>
                <w:rFonts w:ascii="Times New Roman" w:hAnsi="Times New Roman"/>
              </w:rPr>
              <w:t xml:space="preserve">mentioned </w:t>
            </w:r>
            <w:r w:rsidR="00856E39" w:rsidRPr="0024498C">
              <w:rPr>
                <w:rFonts w:ascii="Times New Roman" w:hAnsi="Times New Roman"/>
              </w:rPr>
              <w:t>in paragraph 23 of ESS</w:t>
            </w:r>
            <w:r w:rsidR="005C1442">
              <w:rPr>
                <w:rFonts w:ascii="Times New Roman" w:hAnsi="Times New Roman"/>
              </w:rPr>
              <w:t xml:space="preserve"> </w:t>
            </w:r>
            <w:r w:rsidR="00856E39" w:rsidRPr="0024498C">
              <w:rPr>
                <w:rFonts w:ascii="Times New Roman" w:hAnsi="Times New Roman"/>
              </w:rPr>
              <w:t xml:space="preserve">2 </w:t>
            </w:r>
            <w:r w:rsidR="00743CF1">
              <w:rPr>
                <w:rFonts w:ascii="Times New Roman" w:hAnsi="Times New Roman"/>
              </w:rPr>
              <w:t xml:space="preserve">has the objective of replacing </w:t>
            </w:r>
            <w:r w:rsidR="00856E39" w:rsidRPr="0024498C">
              <w:rPr>
                <w:rFonts w:ascii="Times New Roman" w:hAnsi="Times New Roman"/>
              </w:rPr>
              <w:t xml:space="preserve">grievance mechanisms </w:t>
            </w:r>
            <w:r w:rsidR="005C1442">
              <w:rPr>
                <w:rFonts w:ascii="Times New Roman" w:hAnsi="Times New Roman"/>
              </w:rPr>
              <w:t>included in</w:t>
            </w:r>
            <w:r w:rsidR="00743CF1">
              <w:rPr>
                <w:rFonts w:ascii="Times New Roman" w:hAnsi="Times New Roman"/>
              </w:rPr>
              <w:t xml:space="preserve"> Borrower</w:t>
            </w:r>
            <w:r w:rsidR="00743CF1" w:rsidRPr="0024498C">
              <w:rPr>
                <w:rFonts w:ascii="Times New Roman" w:hAnsi="Times New Roman"/>
              </w:rPr>
              <w:t xml:space="preserve"> Framework</w:t>
            </w:r>
            <w:r w:rsidR="00743CF1">
              <w:rPr>
                <w:rFonts w:ascii="Times New Roman" w:hAnsi="Times New Roman"/>
              </w:rPr>
              <w:t>s</w:t>
            </w:r>
            <w:r w:rsidR="00267911">
              <w:rPr>
                <w:rFonts w:ascii="Times New Roman" w:hAnsi="Times New Roman"/>
              </w:rPr>
              <w:t xml:space="preserve">. </w:t>
            </w:r>
            <w:r w:rsidR="00743CF1">
              <w:rPr>
                <w:rFonts w:ascii="Times New Roman" w:hAnsi="Times New Roman"/>
              </w:rPr>
              <w:t xml:space="preserve">They </w:t>
            </w:r>
            <w:r w:rsidR="00856E39" w:rsidRPr="0024498C">
              <w:rPr>
                <w:rFonts w:ascii="Times New Roman" w:hAnsi="Times New Roman"/>
              </w:rPr>
              <w:t xml:space="preserve">explained that this could generate problems </w:t>
            </w:r>
            <w:r w:rsidR="00743CF1">
              <w:rPr>
                <w:rFonts w:ascii="Times New Roman" w:hAnsi="Times New Roman"/>
              </w:rPr>
              <w:t xml:space="preserve">for </w:t>
            </w:r>
            <w:r w:rsidR="00856E39" w:rsidRPr="0024498C">
              <w:rPr>
                <w:rFonts w:ascii="Times New Roman" w:hAnsi="Times New Roman"/>
              </w:rPr>
              <w:t xml:space="preserve">the government </w:t>
            </w:r>
            <w:r w:rsidR="00743CF1">
              <w:rPr>
                <w:rFonts w:ascii="Times New Roman" w:hAnsi="Times New Roman"/>
              </w:rPr>
              <w:t xml:space="preserve">because </w:t>
            </w:r>
            <w:r w:rsidR="00856E39" w:rsidRPr="0024498C">
              <w:rPr>
                <w:rFonts w:ascii="Times New Roman" w:hAnsi="Times New Roman"/>
              </w:rPr>
              <w:t xml:space="preserve">the use of a different grievance mechanism could be </w:t>
            </w:r>
            <w:r w:rsidR="00743CF1">
              <w:rPr>
                <w:rFonts w:ascii="Times New Roman" w:hAnsi="Times New Roman"/>
              </w:rPr>
              <w:t>interpreted as an intentional bypass</w:t>
            </w:r>
            <w:r w:rsidR="00856E39" w:rsidRPr="0024498C">
              <w:rPr>
                <w:rFonts w:ascii="Times New Roman" w:hAnsi="Times New Roman"/>
              </w:rPr>
              <w:t xml:space="preserve"> of negotiations with workers</w:t>
            </w:r>
            <w:r w:rsidR="00743CF1">
              <w:rPr>
                <w:rFonts w:ascii="Times New Roman" w:hAnsi="Times New Roman"/>
              </w:rPr>
              <w:t>,</w:t>
            </w:r>
            <w:r w:rsidR="00856E39" w:rsidRPr="0024498C">
              <w:rPr>
                <w:rFonts w:ascii="Times New Roman" w:hAnsi="Times New Roman"/>
              </w:rPr>
              <w:t xml:space="preserve"> as per the application of legislation issued in response to ILO treaties signed by Peru.</w:t>
            </w:r>
            <w:r w:rsidR="00F30B82" w:rsidRPr="00267911">
              <w:rPr>
                <w:rFonts w:ascii="Times New Roman" w:hAnsi="Times New Roman"/>
              </w:rPr>
              <w:t xml:space="preserve"> Most mining companies have public procedures for grievances, and these are made known to the communities, including formats that will be available for any</w:t>
            </w:r>
            <w:r w:rsidR="007A1E01" w:rsidRPr="00267911">
              <w:rPr>
                <w:rFonts w:ascii="Times New Roman" w:hAnsi="Times New Roman"/>
              </w:rPr>
              <w:t>body wishing to file a complaint.</w:t>
            </w:r>
          </w:p>
          <w:p w:rsidR="00743CF1" w:rsidRDefault="00743CF1" w:rsidP="00743CF1">
            <w:pPr>
              <w:pStyle w:val="ListParagraph"/>
              <w:tabs>
                <w:tab w:val="left" w:pos="185"/>
              </w:tabs>
              <w:ind w:left="185"/>
              <w:jc w:val="both"/>
              <w:rPr>
                <w:rFonts w:ascii="Times New Roman" w:hAnsi="Times New Roman"/>
              </w:rPr>
            </w:pPr>
          </w:p>
          <w:p w:rsidR="004A022A" w:rsidRDefault="00743CF1" w:rsidP="00743CF1">
            <w:pPr>
              <w:pStyle w:val="ListParagraph"/>
              <w:numPr>
                <w:ilvl w:val="0"/>
                <w:numId w:val="22"/>
              </w:numPr>
              <w:tabs>
                <w:tab w:val="left" w:pos="185"/>
              </w:tabs>
              <w:ind w:left="185" w:hanging="180"/>
              <w:jc w:val="both"/>
              <w:rPr>
                <w:rFonts w:ascii="Times New Roman" w:hAnsi="Times New Roman"/>
              </w:rPr>
            </w:pPr>
            <w:r>
              <w:rPr>
                <w:rFonts w:ascii="Times New Roman" w:hAnsi="Times New Roman"/>
              </w:rPr>
              <w:t xml:space="preserve">Participants expressed </w:t>
            </w:r>
            <w:r w:rsidR="00856E39" w:rsidRPr="0024498C">
              <w:rPr>
                <w:rFonts w:ascii="Times New Roman" w:hAnsi="Times New Roman"/>
              </w:rPr>
              <w:t xml:space="preserve">concerns </w:t>
            </w:r>
            <w:r>
              <w:rPr>
                <w:rFonts w:ascii="Times New Roman" w:hAnsi="Times New Roman"/>
              </w:rPr>
              <w:t xml:space="preserve">regarding </w:t>
            </w:r>
            <w:r w:rsidR="00856E39" w:rsidRPr="0024498C">
              <w:rPr>
                <w:rFonts w:ascii="Times New Roman" w:hAnsi="Times New Roman"/>
              </w:rPr>
              <w:t xml:space="preserve">possible </w:t>
            </w:r>
            <w:r>
              <w:rPr>
                <w:rFonts w:ascii="Times New Roman" w:hAnsi="Times New Roman"/>
              </w:rPr>
              <w:t xml:space="preserve">overlaps between labor-related </w:t>
            </w:r>
            <w:r w:rsidR="00856E39" w:rsidRPr="0024498C">
              <w:rPr>
                <w:rFonts w:ascii="Times New Roman" w:hAnsi="Times New Roman"/>
              </w:rPr>
              <w:t>case</w:t>
            </w:r>
            <w:r>
              <w:rPr>
                <w:rFonts w:ascii="Times New Roman" w:hAnsi="Times New Roman"/>
              </w:rPr>
              <w:t>s</w:t>
            </w:r>
            <w:r w:rsidR="00856E39" w:rsidRPr="0024498C">
              <w:rPr>
                <w:rFonts w:ascii="Times New Roman" w:hAnsi="Times New Roman"/>
              </w:rPr>
              <w:t xml:space="preserve"> in the Peruvian judicial system and complaint in </w:t>
            </w:r>
            <w:r>
              <w:rPr>
                <w:rFonts w:ascii="Times New Roman" w:hAnsi="Times New Roman"/>
              </w:rPr>
              <w:t>the Inspection Panel.</w:t>
            </w:r>
          </w:p>
          <w:p w:rsidR="00743CF1" w:rsidRPr="0024498C" w:rsidRDefault="00743CF1" w:rsidP="00743CF1">
            <w:pPr>
              <w:pStyle w:val="ListParagraph"/>
              <w:tabs>
                <w:tab w:val="left" w:pos="185"/>
              </w:tabs>
              <w:ind w:left="185"/>
              <w:jc w:val="both"/>
              <w:rPr>
                <w:rFonts w:ascii="Times New Roman" w:hAnsi="Times New Roman"/>
              </w:rPr>
            </w:pPr>
          </w:p>
        </w:tc>
      </w:tr>
      <w:tr w:rsidR="00C87D2F" w:rsidRPr="0024498C" w:rsidTr="00446B46">
        <w:tc>
          <w:tcPr>
            <w:tcW w:w="985" w:type="dxa"/>
            <w:shd w:val="clear" w:color="auto" w:fill="E7E6E6"/>
          </w:tcPr>
          <w:p w:rsidR="00C87D2F" w:rsidRPr="0024498C" w:rsidRDefault="00C87D2F" w:rsidP="00446B46">
            <w:pPr>
              <w:spacing w:after="0" w:line="240" w:lineRule="auto"/>
              <w:rPr>
                <w:rFonts w:ascii="Times New Roman" w:hAnsi="Times New Roman" w:cs="Times New Roman"/>
              </w:rPr>
            </w:pPr>
            <w:r w:rsidRPr="0024498C">
              <w:rPr>
                <w:rFonts w:ascii="Times New Roman" w:hAnsi="Times New Roman" w:cs="Times New Roman"/>
              </w:rPr>
              <w:lastRenderedPageBreak/>
              <w:t>ESS3</w:t>
            </w:r>
          </w:p>
        </w:tc>
        <w:tc>
          <w:tcPr>
            <w:tcW w:w="2160" w:type="dxa"/>
            <w:shd w:val="clear" w:color="auto" w:fill="E7E6E6"/>
          </w:tcPr>
          <w:p w:rsidR="00C87D2F" w:rsidRPr="0024498C" w:rsidRDefault="00C87D2F" w:rsidP="00446B46">
            <w:pPr>
              <w:spacing w:after="0" w:line="240" w:lineRule="auto"/>
              <w:rPr>
                <w:rFonts w:ascii="Times New Roman" w:hAnsi="Times New Roman" w:cs="Times New Roman"/>
              </w:rPr>
            </w:pPr>
            <w:r w:rsidRPr="0024498C">
              <w:rPr>
                <w:rFonts w:ascii="Times New Roman" w:hAnsi="Times New Roman" w:cs="Times New Roman"/>
              </w:rPr>
              <w:t>Climate change and GHG emissions</w:t>
            </w:r>
          </w:p>
        </w:tc>
        <w:tc>
          <w:tcPr>
            <w:tcW w:w="3510" w:type="dxa"/>
            <w:shd w:val="clear" w:color="auto" w:fill="E7E6E6"/>
          </w:tcPr>
          <w:p w:rsidR="00C87D2F" w:rsidRPr="0024498C" w:rsidRDefault="00C87D2F" w:rsidP="00446B46">
            <w:pPr>
              <w:pStyle w:val="ListParagraph"/>
              <w:numPr>
                <w:ilvl w:val="0"/>
                <w:numId w:val="11"/>
              </w:numPr>
              <w:ind w:left="342"/>
              <w:rPr>
                <w:rFonts w:ascii="Times New Roman" w:hAnsi="Times New Roman"/>
              </w:rPr>
            </w:pPr>
            <w:r w:rsidRPr="0024498C">
              <w:rPr>
                <w:rFonts w:ascii="Times New Roman" w:hAnsi="Times New Roman"/>
              </w:rPr>
              <w:t>The relation between provisions on climate change in the ESF and broader climate change commitments, specifically UNFCCC</w:t>
            </w:r>
          </w:p>
          <w:p w:rsidR="00C87D2F" w:rsidRPr="0024498C" w:rsidRDefault="00C87D2F" w:rsidP="00446B46">
            <w:pPr>
              <w:pStyle w:val="ListParagraph"/>
              <w:numPr>
                <w:ilvl w:val="0"/>
                <w:numId w:val="11"/>
              </w:numPr>
              <w:ind w:left="342"/>
              <w:rPr>
                <w:rFonts w:ascii="Times New Roman" w:hAnsi="Times New Roman"/>
              </w:rPr>
            </w:pPr>
            <w:r w:rsidRPr="0024498C">
              <w:rPr>
                <w:rFonts w:ascii="Times New Roman" w:hAnsi="Times New Roman"/>
              </w:rPr>
              <w:t>Proposed</w:t>
            </w:r>
            <w:r w:rsidRPr="0024498C" w:rsidDel="001341BB">
              <w:rPr>
                <w:rFonts w:ascii="Times New Roman" w:hAnsi="Times New Roman"/>
              </w:rPr>
              <w:t xml:space="preserve"> </w:t>
            </w:r>
            <w:r w:rsidRPr="0024498C">
              <w:rPr>
                <w:rFonts w:ascii="Times New Roman" w:hAnsi="Times New Roman"/>
              </w:rPr>
              <w:t xml:space="preserve">approaches to measuring and monitoring greenhouse gas (GHG) emissions </w:t>
            </w:r>
            <w:r w:rsidRPr="0024498C">
              <w:rPr>
                <w:rFonts w:ascii="Times New Roman" w:hAnsi="Times New Roman"/>
              </w:rPr>
              <w:lastRenderedPageBreak/>
              <w:t>in Bank projects and implications thereof, in line with the proposed standard, including determining scope, threshold, duration, frequency and economic and financial feasibility of such estimation and monitoring</w:t>
            </w:r>
          </w:p>
          <w:p w:rsidR="00C87D2F" w:rsidRPr="0024498C" w:rsidRDefault="00C87D2F" w:rsidP="00446B46">
            <w:pPr>
              <w:pStyle w:val="ListParagraph"/>
              <w:numPr>
                <w:ilvl w:val="0"/>
                <w:numId w:val="11"/>
              </w:numPr>
              <w:ind w:left="342"/>
              <w:rPr>
                <w:rFonts w:ascii="Times New Roman" w:hAnsi="Times New Roman"/>
              </w:rPr>
            </w:pPr>
            <w:r w:rsidRPr="0024498C">
              <w:rPr>
                <w:rFonts w:ascii="Times New Roman" w:hAnsi="Times New Roman"/>
              </w:rPr>
              <w:t>Implications required for the Borrower of estimating and reducing GHG emissions for Bank projects, in line with the proposed standard</w:t>
            </w:r>
          </w:p>
        </w:tc>
        <w:tc>
          <w:tcPr>
            <w:tcW w:w="7650" w:type="dxa"/>
            <w:shd w:val="clear" w:color="auto" w:fill="auto"/>
          </w:tcPr>
          <w:p w:rsidR="00C87D2F" w:rsidRDefault="00C87D2F"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Default="005469E1" w:rsidP="00446B46">
            <w:pPr>
              <w:pStyle w:val="ListParagraph"/>
              <w:ind w:left="342"/>
              <w:jc w:val="both"/>
              <w:rPr>
                <w:rFonts w:ascii="Times New Roman" w:hAnsi="Times New Roman"/>
              </w:rPr>
            </w:pPr>
          </w:p>
          <w:p w:rsidR="005469E1" w:rsidRPr="0024498C" w:rsidRDefault="005469E1" w:rsidP="00743CF1">
            <w:pPr>
              <w:pStyle w:val="ListParagraph"/>
              <w:ind w:left="0"/>
              <w:jc w:val="both"/>
              <w:rPr>
                <w:rFonts w:ascii="Times New Roman" w:hAnsi="Times New Roman"/>
              </w:rPr>
            </w:pP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lastRenderedPageBreak/>
              <w:t>ESS5</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Land acquisition and involuntary resettlement</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Treatment and rights of informal occupants and approach to forced evictions in situations unrelated to land acquisitions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Interpretation of the concept of resettlement as a “development opportunity” in different project circumstances </w:t>
            </w:r>
          </w:p>
        </w:tc>
        <w:tc>
          <w:tcPr>
            <w:tcW w:w="7650" w:type="dxa"/>
            <w:shd w:val="clear" w:color="auto" w:fill="auto"/>
          </w:tcPr>
          <w:p w:rsidR="007A1E01" w:rsidRPr="00267911" w:rsidRDefault="00733304" w:rsidP="007A1E01">
            <w:pPr>
              <w:numPr>
                <w:ilvl w:val="0"/>
                <w:numId w:val="25"/>
              </w:numPr>
              <w:spacing w:after="0" w:line="240" w:lineRule="auto"/>
              <w:ind w:left="185" w:hanging="185"/>
              <w:jc w:val="both"/>
              <w:rPr>
                <w:rFonts w:ascii="Times New Roman" w:hAnsi="Times New Roman" w:cs="Times New Roman"/>
              </w:rPr>
            </w:pPr>
            <w:r>
              <w:rPr>
                <w:rFonts w:ascii="Times New Roman" w:hAnsi="Times New Roman" w:cs="Times New Roman"/>
              </w:rPr>
              <w:t xml:space="preserve">Participants </w:t>
            </w:r>
            <w:r w:rsidR="005C1442">
              <w:rPr>
                <w:rFonts w:ascii="Times New Roman" w:hAnsi="Times New Roman" w:cs="Times New Roman"/>
              </w:rPr>
              <w:t>mentioned</w:t>
            </w:r>
            <w:r>
              <w:rPr>
                <w:rFonts w:ascii="Times New Roman" w:hAnsi="Times New Roman" w:cs="Times New Roman"/>
              </w:rPr>
              <w:t xml:space="preserve"> that </w:t>
            </w:r>
            <w:r w:rsidR="005C1442">
              <w:rPr>
                <w:rFonts w:ascii="Times New Roman" w:hAnsi="Times New Roman" w:cs="Times New Roman"/>
              </w:rPr>
              <w:t xml:space="preserve">in </w:t>
            </w:r>
            <w:r>
              <w:rPr>
                <w:rFonts w:ascii="Times New Roman" w:hAnsi="Times New Roman" w:cs="Times New Roman"/>
              </w:rPr>
              <w:t>the Bank</w:t>
            </w:r>
            <w:r w:rsidR="004135A3">
              <w:rPr>
                <w:rFonts w:ascii="Times New Roman" w:hAnsi="Times New Roman" w:cs="Times New Roman"/>
              </w:rPr>
              <w:t xml:space="preserve">’s current </w:t>
            </w:r>
            <w:r>
              <w:rPr>
                <w:rFonts w:ascii="Times New Roman" w:hAnsi="Times New Roman" w:cs="Times New Roman"/>
              </w:rPr>
              <w:t>resettlement policy</w:t>
            </w:r>
            <w:r w:rsidR="004E4F8A" w:rsidRPr="0024498C">
              <w:rPr>
                <w:rFonts w:ascii="Times New Roman" w:hAnsi="Times New Roman" w:cs="Times New Roman"/>
              </w:rPr>
              <w:t xml:space="preserve"> it is important </w:t>
            </w:r>
            <w:r w:rsidR="004135A3">
              <w:rPr>
                <w:rFonts w:ascii="Times New Roman" w:hAnsi="Times New Roman" w:cs="Times New Roman"/>
              </w:rPr>
              <w:t xml:space="preserve">to accurately </w:t>
            </w:r>
            <w:r w:rsidR="004E4F8A" w:rsidRPr="0024498C">
              <w:rPr>
                <w:rFonts w:ascii="Times New Roman" w:hAnsi="Times New Roman" w:cs="Times New Roman"/>
              </w:rPr>
              <w:t xml:space="preserve">establish </w:t>
            </w:r>
            <w:r w:rsidR="004135A3">
              <w:rPr>
                <w:rFonts w:ascii="Times New Roman" w:hAnsi="Times New Roman" w:cs="Times New Roman"/>
              </w:rPr>
              <w:t xml:space="preserve">the </w:t>
            </w:r>
            <w:r w:rsidR="004E4F8A" w:rsidRPr="0024498C">
              <w:rPr>
                <w:rFonts w:ascii="Times New Roman" w:hAnsi="Times New Roman" w:cs="Times New Roman"/>
              </w:rPr>
              <w:t>ar</w:t>
            </w:r>
            <w:r w:rsidR="004135A3">
              <w:rPr>
                <w:rFonts w:ascii="Times New Roman" w:hAnsi="Times New Roman" w:cs="Times New Roman"/>
              </w:rPr>
              <w:t>ea of influence of the project.</w:t>
            </w:r>
            <w:r w:rsidR="007A1E01">
              <w:rPr>
                <w:rFonts w:ascii="Times New Roman" w:hAnsi="Times New Roman" w:cs="Times New Roman"/>
              </w:rPr>
              <w:t xml:space="preserve"> </w:t>
            </w:r>
            <w:r w:rsidR="007A1E01" w:rsidRPr="00267911">
              <w:rPr>
                <w:rFonts w:ascii="Times New Roman" w:hAnsi="Times New Roman" w:cs="Times New Roman"/>
              </w:rPr>
              <w:t>However</w:t>
            </w:r>
            <w:r w:rsidR="00267911">
              <w:rPr>
                <w:rFonts w:ascii="Times New Roman" w:hAnsi="Times New Roman" w:cs="Times New Roman"/>
              </w:rPr>
              <w:t>,</w:t>
            </w:r>
            <w:r w:rsidR="007A1E01" w:rsidRPr="00267911">
              <w:rPr>
                <w:rFonts w:ascii="Times New Roman" w:hAnsi="Times New Roman" w:cs="Times New Roman"/>
              </w:rPr>
              <w:t xml:space="preserve"> it is important to differentiate area of impact from area of influence.</w:t>
            </w:r>
          </w:p>
          <w:p w:rsidR="004135A3" w:rsidRPr="007A1E01" w:rsidRDefault="004135A3" w:rsidP="007A1E01">
            <w:pPr>
              <w:spacing w:after="0" w:line="240" w:lineRule="auto"/>
              <w:ind w:left="185"/>
              <w:jc w:val="both"/>
              <w:rPr>
                <w:rFonts w:ascii="Times New Roman" w:hAnsi="Times New Roman" w:cs="Times New Roman"/>
              </w:rPr>
            </w:pPr>
          </w:p>
          <w:p w:rsidR="004E4F8A" w:rsidRPr="0024498C" w:rsidRDefault="004135A3" w:rsidP="004E4F8A">
            <w:pPr>
              <w:numPr>
                <w:ilvl w:val="0"/>
                <w:numId w:val="25"/>
              </w:numPr>
              <w:spacing w:after="0" w:line="240" w:lineRule="auto"/>
              <w:ind w:left="185" w:hanging="185"/>
              <w:jc w:val="both"/>
              <w:rPr>
                <w:rFonts w:ascii="Times New Roman" w:hAnsi="Times New Roman" w:cs="Times New Roman"/>
              </w:rPr>
            </w:pPr>
            <w:r>
              <w:rPr>
                <w:rFonts w:ascii="Times New Roman" w:hAnsi="Times New Roman" w:cs="Times New Roman"/>
              </w:rPr>
              <w:t xml:space="preserve">Participants stated that </w:t>
            </w:r>
            <w:r w:rsidR="00986F5A">
              <w:rPr>
                <w:rFonts w:ascii="Times New Roman" w:hAnsi="Times New Roman" w:cs="Times New Roman"/>
              </w:rPr>
              <w:t>they preferred the term “</w:t>
            </w:r>
            <w:r w:rsidR="004E4F8A" w:rsidRPr="0024498C">
              <w:rPr>
                <w:rFonts w:ascii="Times New Roman" w:hAnsi="Times New Roman" w:cs="Times New Roman"/>
              </w:rPr>
              <w:t>livelihood restitution</w:t>
            </w:r>
            <w:r w:rsidR="00986F5A">
              <w:rPr>
                <w:rFonts w:ascii="Times New Roman" w:hAnsi="Times New Roman" w:cs="Times New Roman"/>
              </w:rPr>
              <w:t>” over</w:t>
            </w:r>
            <w:r w:rsidR="004E4F8A" w:rsidRPr="0024498C">
              <w:rPr>
                <w:rFonts w:ascii="Times New Roman" w:hAnsi="Times New Roman" w:cs="Times New Roman"/>
              </w:rPr>
              <w:t xml:space="preserve"> </w:t>
            </w:r>
            <w:r w:rsidR="00986F5A">
              <w:rPr>
                <w:rFonts w:ascii="Times New Roman" w:hAnsi="Times New Roman" w:cs="Times New Roman"/>
              </w:rPr>
              <w:t>“</w:t>
            </w:r>
            <w:r w:rsidR="004E4F8A" w:rsidRPr="0024498C">
              <w:rPr>
                <w:rFonts w:ascii="Times New Roman" w:hAnsi="Times New Roman" w:cs="Times New Roman"/>
              </w:rPr>
              <w:t>compensation.</w:t>
            </w:r>
            <w:r w:rsidR="00986F5A">
              <w:rPr>
                <w:rFonts w:ascii="Times New Roman" w:hAnsi="Times New Roman" w:cs="Times New Roman"/>
              </w:rPr>
              <w:t>”</w:t>
            </w:r>
          </w:p>
          <w:p w:rsidR="00743CF1" w:rsidRDefault="00743CF1" w:rsidP="00743CF1">
            <w:pPr>
              <w:spacing w:after="0" w:line="240" w:lineRule="auto"/>
              <w:ind w:left="185"/>
              <w:jc w:val="both"/>
              <w:rPr>
                <w:rFonts w:ascii="Times New Roman" w:hAnsi="Times New Roman" w:cs="Times New Roman"/>
              </w:rPr>
            </w:pPr>
          </w:p>
          <w:p w:rsidR="00A819D0" w:rsidRPr="00267911" w:rsidRDefault="00A819D0" w:rsidP="00A819D0">
            <w:pPr>
              <w:numPr>
                <w:ilvl w:val="0"/>
                <w:numId w:val="25"/>
              </w:numPr>
              <w:spacing w:after="0" w:line="240" w:lineRule="auto"/>
              <w:ind w:left="185" w:hanging="185"/>
              <w:jc w:val="both"/>
              <w:rPr>
                <w:rFonts w:ascii="Times New Roman" w:hAnsi="Times New Roman" w:cs="Times New Roman"/>
              </w:rPr>
            </w:pPr>
            <w:r w:rsidRPr="00A819D0">
              <w:rPr>
                <w:rFonts w:ascii="Times New Roman" w:hAnsi="Times New Roman" w:cs="Times New Roman"/>
              </w:rPr>
              <w:t xml:space="preserve">Participants </w:t>
            </w:r>
            <w:r w:rsidR="005C1442">
              <w:rPr>
                <w:rFonts w:ascii="Times New Roman" w:hAnsi="Times New Roman" w:cs="Times New Roman"/>
              </w:rPr>
              <w:t>mentioned</w:t>
            </w:r>
            <w:r>
              <w:rPr>
                <w:rFonts w:ascii="Times New Roman" w:hAnsi="Times New Roman" w:cs="Times New Roman"/>
              </w:rPr>
              <w:t xml:space="preserve"> </w:t>
            </w:r>
            <w:r w:rsidR="005E3773">
              <w:rPr>
                <w:rFonts w:ascii="Times New Roman" w:hAnsi="Times New Roman" w:cs="Times New Roman"/>
              </w:rPr>
              <w:t xml:space="preserve">that </w:t>
            </w:r>
            <w:r>
              <w:rPr>
                <w:rFonts w:ascii="Times New Roman" w:hAnsi="Times New Roman" w:cs="Times New Roman"/>
              </w:rPr>
              <w:t xml:space="preserve">the proposed ESF should require an analysis </w:t>
            </w:r>
            <w:r w:rsidRPr="0024498C">
              <w:rPr>
                <w:rFonts w:ascii="Times New Roman" w:hAnsi="Times New Roman" w:cs="Times New Roman"/>
              </w:rPr>
              <w:t>of the land where communities will be resettled</w:t>
            </w:r>
            <w:r w:rsidR="005E3773">
              <w:rPr>
                <w:rFonts w:ascii="Times New Roman" w:hAnsi="Times New Roman" w:cs="Times New Roman"/>
              </w:rPr>
              <w:t xml:space="preserve">, as well as </w:t>
            </w:r>
            <w:r>
              <w:rPr>
                <w:rFonts w:ascii="Times New Roman" w:hAnsi="Times New Roman" w:cs="Times New Roman"/>
              </w:rPr>
              <w:t xml:space="preserve">an analysis </w:t>
            </w:r>
            <w:r w:rsidR="005E3773">
              <w:rPr>
                <w:rFonts w:ascii="Times New Roman" w:hAnsi="Times New Roman" w:cs="Times New Roman"/>
              </w:rPr>
              <w:t xml:space="preserve">of the </w:t>
            </w:r>
            <w:r w:rsidRPr="0024498C">
              <w:rPr>
                <w:rFonts w:ascii="Times New Roman" w:hAnsi="Times New Roman" w:cs="Times New Roman"/>
              </w:rPr>
              <w:t>a</w:t>
            </w:r>
            <w:r>
              <w:rPr>
                <w:rFonts w:ascii="Times New Roman" w:hAnsi="Times New Roman" w:cs="Times New Roman"/>
              </w:rPr>
              <w:t>rea of influence of the p</w:t>
            </w:r>
            <w:r w:rsidRPr="0024498C">
              <w:rPr>
                <w:rFonts w:ascii="Times New Roman" w:hAnsi="Times New Roman" w:cs="Times New Roman"/>
              </w:rPr>
              <w:t>roject</w:t>
            </w:r>
            <w:r w:rsidRPr="00267911">
              <w:rPr>
                <w:rFonts w:ascii="Times New Roman" w:hAnsi="Times New Roman" w:cs="Times New Roman"/>
              </w:rPr>
              <w:t>.</w:t>
            </w:r>
            <w:r w:rsidR="007A1E01" w:rsidRPr="00267911">
              <w:rPr>
                <w:rFonts w:ascii="Times New Roman" w:hAnsi="Times New Roman" w:cs="Times New Roman"/>
              </w:rPr>
              <w:t xml:space="preserve">  In case of need of resettlement the community should be involved in locating the potential sites for resettlement. The site for resettlement should never be “imposed”.</w:t>
            </w:r>
          </w:p>
          <w:p w:rsidR="00A819D0" w:rsidRPr="00A819D0" w:rsidRDefault="00A819D0" w:rsidP="00A819D0">
            <w:pPr>
              <w:spacing w:after="0" w:line="240" w:lineRule="auto"/>
              <w:ind w:left="185"/>
              <w:jc w:val="both"/>
              <w:rPr>
                <w:rFonts w:ascii="Times New Roman" w:hAnsi="Times New Roman" w:cs="Times New Roman"/>
              </w:rPr>
            </w:pPr>
          </w:p>
          <w:p w:rsidR="0080548C" w:rsidRDefault="005E3773" w:rsidP="005C0E62">
            <w:pPr>
              <w:numPr>
                <w:ilvl w:val="0"/>
                <w:numId w:val="25"/>
              </w:numPr>
              <w:spacing w:after="0" w:line="240" w:lineRule="auto"/>
              <w:ind w:left="185" w:hanging="185"/>
              <w:jc w:val="both"/>
              <w:rPr>
                <w:rFonts w:ascii="Times New Roman" w:hAnsi="Times New Roman" w:cs="Times New Roman"/>
              </w:rPr>
            </w:pPr>
            <w:r>
              <w:rPr>
                <w:rFonts w:ascii="Times New Roman" w:hAnsi="Times New Roman" w:cs="Times New Roman"/>
              </w:rPr>
              <w:t xml:space="preserve">Regarding the </w:t>
            </w:r>
            <w:r w:rsidR="004E4F8A" w:rsidRPr="0024498C">
              <w:rPr>
                <w:rFonts w:ascii="Times New Roman" w:hAnsi="Times New Roman" w:cs="Times New Roman"/>
              </w:rPr>
              <w:t>Lima Metro Phase</w:t>
            </w:r>
            <w:r w:rsidR="00446B46" w:rsidRPr="0024498C">
              <w:rPr>
                <w:rFonts w:ascii="Times New Roman" w:hAnsi="Times New Roman" w:cs="Times New Roman"/>
              </w:rPr>
              <w:t xml:space="preserve"> 2</w:t>
            </w:r>
            <w:r w:rsidR="005C1442">
              <w:rPr>
                <w:rFonts w:ascii="Times New Roman" w:hAnsi="Times New Roman" w:cs="Times New Roman"/>
              </w:rPr>
              <w:t xml:space="preserve"> P</w:t>
            </w:r>
            <w:r>
              <w:rPr>
                <w:rFonts w:ascii="Times New Roman" w:hAnsi="Times New Roman" w:cs="Times New Roman"/>
              </w:rPr>
              <w:t>roject: participants stated that i</w:t>
            </w:r>
            <w:r w:rsidR="004E4F8A" w:rsidRPr="0024498C">
              <w:rPr>
                <w:rFonts w:ascii="Times New Roman" w:hAnsi="Times New Roman" w:cs="Times New Roman"/>
              </w:rPr>
              <w:t xml:space="preserve">t was implemented by the Ministry of Transport, who developed resettlement instruments (“PACRIs”) which </w:t>
            </w:r>
            <w:r w:rsidR="005C1442">
              <w:rPr>
                <w:rFonts w:ascii="Times New Roman" w:hAnsi="Times New Roman" w:cs="Times New Roman"/>
              </w:rPr>
              <w:t xml:space="preserve">comply </w:t>
            </w:r>
            <w:r w:rsidR="004E4F8A" w:rsidRPr="0024498C">
              <w:rPr>
                <w:rFonts w:ascii="Times New Roman" w:hAnsi="Times New Roman" w:cs="Times New Roman"/>
              </w:rPr>
              <w:t xml:space="preserve">with OP 4.12.  </w:t>
            </w:r>
          </w:p>
          <w:p w:rsidR="0080548C" w:rsidRDefault="0080548C" w:rsidP="0080548C">
            <w:pPr>
              <w:spacing w:after="0" w:line="240" w:lineRule="auto"/>
              <w:ind w:left="185"/>
              <w:jc w:val="both"/>
              <w:rPr>
                <w:rFonts w:ascii="Times New Roman" w:hAnsi="Times New Roman" w:cs="Times New Roman"/>
              </w:rPr>
            </w:pPr>
          </w:p>
          <w:p w:rsidR="005C0E62" w:rsidRPr="0024498C" w:rsidRDefault="0080548C" w:rsidP="005C0E62">
            <w:pPr>
              <w:numPr>
                <w:ilvl w:val="0"/>
                <w:numId w:val="25"/>
              </w:numPr>
              <w:spacing w:after="0" w:line="240" w:lineRule="auto"/>
              <w:ind w:left="185" w:hanging="185"/>
              <w:jc w:val="both"/>
              <w:rPr>
                <w:rFonts w:ascii="Times New Roman" w:hAnsi="Times New Roman" w:cs="Times New Roman"/>
              </w:rPr>
            </w:pPr>
            <w:r>
              <w:rPr>
                <w:rFonts w:ascii="Times New Roman" w:hAnsi="Times New Roman" w:cs="Times New Roman"/>
              </w:rPr>
              <w:t>P</w:t>
            </w:r>
            <w:r w:rsidR="004E4F8A" w:rsidRPr="0024498C">
              <w:rPr>
                <w:rFonts w:ascii="Times New Roman" w:hAnsi="Times New Roman" w:cs="Times New Roman"/>
              </w:rPr>
              <w:t>articipant</w:t>
            </w:r>
            <w:r>
              <w:rPr>
                <w:rFonts w:ascii="Times New Roman" w:hAnsi="Times New Roman" w:cs="Times New Roman"/>
              </w:rPr>
              <w:t>s</w:t>
            </w:r>
            <w:r w:rsidR="004E4F8A" w:rsidRPr="0024498C">
              <w:rPr>
                <w:rFonts w:ascii="Times New Roman" w:hAnsi="Times New Roman" w:cs="Times New Roman"/>
              </w:rPr>
              <w:t xml:space="preserve"> </w:t>
            </w:r>
            <w:r>
              <w:rPr>
                <w:rFonts w:ascii="Times New Roman" w:hAnsi="Times New Roman" w:cs="Times New Roman"/>
              </w:rPr>
              <w:t xml:space="preserve">stated that they </w:t>
            </w:r>
            <w:r w:rsidR="004E4F8A" w:rsidRPr="0024498C">
              <w:rPr>
                <w:rFonts w:ascii="Times New Roman" w:hAnsi="Times New Roman" w:cs="Times New Roman"/>
              </w:rPr>
              <w:t xml:space="preserve">did not foresee </w:t>
            </w:r>
            <w:r>
              <w:rPr>
                <w:rFonts w:ascii="Times New Roman" w:hAnsi="Times New Roman" w:cs="Times New Roman"/>
              </w:rPr>
              <w:t xml:space="preserve">difficulties </w:t>
            </w:r>
            <w:r w:rsidR="00A32387">
              <w:rPr>
                <w:rFonts w:ascii="Times New Roman" w:hAnsi="Times New Roman" w:cs="Times New Roman"/>
              </w:rPr>
              <w:t xml:space="preserve">arising specifically because of the adoption of </w:t>
            </w:r>
            <w:r w:rsidR="004E4F8A" w:rsidRPr="0024498C">
              <w:rPr>
                <w:rFonts w:ascii="Times New Roman" w:hAnsi="Times New Roman" w:cs="Times New Roman"/>
              </w:rPr>
              <w:t>ESS</w:t>
            </w:r>
            <w:r w:rsidR="00A32387">
              <w:rPr>
                <w:rFonts w:ascii="Times New Roman" w:hAnsi="Times New Roman" w:cs="Times New Roman"/>
              </w:rPr>
              <w:t xml:space="preserve"> </w:t>
            </w:r>
            <w:r w:rsidR="004E4F8A" w:rsidRPr="0024498C">
              <w:rPr>
                <w:rFonts w:ascii="Times New Roman" w:hAnsi="Times New Roman" w:cs="Times New Roman"/>
              </w:rPr>
              <w:t>5</w:t>
            </w:r>
            <w:r w:rsidR="00A32387">
              <w:rPr>
                <w:rFonts w:ascii="Times New Roman" w:hAnsi="Times New Roman" w:cs="Times New Roman"/>
              </w:rPr>
              <w:t>,</w:t>
            </w:r>
            <w:r w:rsidR="004E4F8A" w:rsidRPr="0024498C">
              <w:rPr>
                <w:rFonts w:ascii="Times New Roman" w:hAnsi="Times New Roman" w:cs="Times New Roman"/>
              </w:rPr>
              <w:t xml:space="preserve"> but </w:t>
            </w:r>
            <w:r w:rsidR="00A32387">
              <w:rPr>
                <w:rFonts w:ascii="Times New Roman" w:hAnsi="Times New Roman" w:cs="Times New Roman"/>
              </w:rPr>
              <w:t xml:space="preserve">rather </w:t>
            </w:r>
            <w:r w:rsidR="004E4F8A" w:rsidRPr="0024498C">
              <w:rPr>
                <w:rFonts w:ascii="Times New Roman" w:hAnsi="Times New Roman" w:cs="Times New Roman"/>
              </w:rPr>
              <w:t xml:space="preserve">that </w:t>
            </w:r>
            <w:r>
              <w:rPr>
                <w:rFonts w:ascii="Times New Roman" w:hAnsi="Times New Roman" w:cs="Times New Roman"/>
              </w:rPr>
              <w:t xml:space="preserve">current </w:t>
            </w:r>
            <w:r w:rsidR="00126FB8">
              <w:rPr>
                <w:rFonts w:ascii="Times New Roman" w:hAnsi="Times New Roman" w:cs="Times New Roman"/>
              </w:rPr>
              <w:t xml:space="preserve">implementation </w:t>
            </w:r>
            <w:r w:rsidR="004E4F8A" w:rsidRPr="0024498C">
              <w:rPr>
                <w:rFonts w:ascii="Times New Roman" w:hAnsi="Times New Roman" w:cs="Times New Roman"/>
              </w:rPr>
              <w:t>challeng</w:t>
            </w:r>
            <w:r w:rsidR="005C0E62" w:rsidRPr="0024498C">
              <w:rPr>
                <w:rFonts w:ascii="Times New Roman" w:hAnsi="Times New Roman" w:cs="Times New Roman"/>
              </w:rPr>
              <w:t xml:space="preserve">es </w:t>
            </w:r>
            <w:r w:rsidR="00126FB8">
              <w:rPr>
                <w:rFonts w:ascii="Times New Roman" w:hAnsi="Times New Roman" w:cs="Times New Roman"/>
              </w:rPr>
              <w:t xml:space="preserve">will </w:t>
            </w:r>
            <w:r w:rsidR="005C0E62" w:rsidRPr="0024498C">
              <w:rPr>
                <w:rFonts w:ascii="Times New Roman" w:hAnsi="Times New Roman" w:cs="Times New Roman"/>
              </w:rPr>
              <w:t xml:space="preserve">remain </w:t>
            </w:r>
            <w:r w:rsidR="00126FB8">
              <w:rPr>
                <w:rFonts w:ascii="Times New Roman" w:hAnsi="Times New Roman" w:cs="Times New Roman"/>
              </w:rPr>
              <w:t xml:space="preserve">regardless of whether </w:t>
            </w:r>
            <w:r w:rsidR="004E4F8A" w:rsidRPr="0024498C">
              <w:rPr>
                <w:rFonts w:ascii="Times New Roman" w:hAnsi="Times New Roman" w:cs="Times New Roman"/>
              </w:rPr>
              <w:t xml:space="preserve">PACRIS </w:t>
            </w:r>
            <w:r w:rsidR="00126FB8">
              <w:rPr>
                <w:rFonts w:ascii="Times New Roman" w:hAnsi="Times New Roman" w:cs="Times New Roman"/>
              </w:rPr>
              <w:t xml:space="preserve">are developed in compliance with </w:t>
            </w:r>
            <w:r w:rsidR="004E4F8A" w:rsidRPr="0024498C">
              <w:rPr>
                <w:rFonts w:ascii="Times New Roman" w:hAnsi="Times New Roman" w:cs="Times New Roman"/>
              </w:rPr>
              <w:t>OP 4.12 or ESS</w:t>
            </w:r>
            <w:r w:rsidR="00A32387">
              <w:rPr>
                <w:rFonts w:ascii="Times New Roman" w:hAnsi="Times New Roman" w:cs="Times New Roman"/>
              </w:rPr>
              <w:t xml:space="preserve"> </w:t>
            </w:r>
            <w:r w:rsidR="004E4F8A" w:rsidRPr="0024498C">
              <w:rPr>
                <w:rFonts w:ascii="Times New Roman" w:hAnsi="Times New Roman" w:cs="Times New Roman"/>
              </w:rPr>
              <w:t>5</w:t>
            </w:r>
            <w:r w:rsidR="00A32387">
              <w:rPr>
                <w:rFonts w:ascii="Times New Roman" w:hAnsi="Times New Roman" w:cs="Times New Roman"/>
              </w:rPr>
              <w:t xml:space="preserve"> because of a need to improve government capacity</w:t>
            </w:r>
            <w:r w:rsidR="00126FB8">
              <w:rPr>
                <w:rFonts w:ascii="Times New Roman" w:hAnsi="Times New Roman" w:cs="Times New Roman"/>
              </w:rPr>
              <w:t>.</w:t>
            </w:r>
          </w:p>
          <w:p w:rsidR="00743CF1" w:rsidRDefault="00743CF1" w:rsidP="00743CF1">
            <w:pPr>
              <w:spacing w:after="0" w:line="240" w:lineRule="auto"/>
              <w:ind w:left="185"/>
              <w:jc w:val="both"/>
              <w:rPr>
                <w:rFonts w:ascii="Times New Roman" w:hAnsi="Times New Roman" w:cs="Times New Roman"/>
              </w:rPr>
            </w:pPr>
          </w:p>
          <w:p w:rsidR="00D26D02" w:rsidRDefault="00126FB8" w:rsidP="005C0E62">
            <w:pPr>
              <w:numPr>
                <w:ilvl w:val="0"/>
                <w:numId w:val="25"/>
              </w:numPr>
              <w:spacing w:after="0" w:line="240" w:lineRule="auto"/>
              <w:ind w:left="185" w:hanging="185"/>
              <w:jc w:val="both"/>
              <w:rPr>
                <w:rFonts w:ascii="Times New Roman" w:hAnsi="Times New Roman" w:cs="Times New Roman"/>
              </w:rPr>
            </w:pPr>
            <w:r>
              <w:rPr>
                <w:rFonts w:ascii="Times New Roman" w:hAnsi="Times New Roman" w:cs="Times New Roman"/>
              </w:rPr>
              <w:t xml:space="preserve">Regarding the </w:t>
            </w:r>
            <w:r w:rsidRPr="0024498C">
              <w:rPr>
                <w:rFonts w:ascii="Times New Roman" w:hAnsi="Times New Roman" w:cs="Times New Roman"/>
              </w:rPr>
              <w:t>Lima Metro Phase 2</w:t>
            </w:r>
            <w:r w:rsidR="00E43DA6">
              <w:rPr>
                <w:rFonts w:ascii="Times New Roman" w:hAnsi="Times New Roman" w:cs="Times New Roman"/>
              </w:rPr>
              <w:t xml:space="preserve"> P</w:t>
            </w:r>
            <w:r>
              <w:rPr>
                <w:rFonts w:ascii="Times New Roman" w:hAnsi="Times New Roman" w:cs="Times New Roman"/>
              </w:rPr>
              <w:t xml:space="preserve">roject: participants stated that they have only had </w:t>
            </w:r>
            <w:r w:rsidR="005C0E62" w:rsidRPr="0024498C">
              <w:rPr>
                <w:rFonts w:ascii="Times New Roman" w:hAnsi="Times New Roman" w:cs="Times New Roman"/>
              </w:rPr>
              <w:t>one ca</w:t>
            </w:r>
            <w:r>
              <w:rPr>
                <w:rFonts w:ascii="Times New Roman" w:hAnsi="Times New Roman" w:cs="Times New Roman"/>
              </w:rPr>
              <w:t>se of an illegal occupant, which</w:t>
            </w:r>
            <w:r w:rsidR="005C0E62" w:rsidRPr="0024498C">
              <w:rPr>
                <w:rFonts w:ascii="Times New Roman" w:hAnsi="Times New Roman" w:cs="Times New Roman"/>
              </w:rPr>
              <w:t xml:space="preserve"> would have been deal under ESS</w:t>
            </w:r>
            <w:r w:rsidR="00E43DA6">
              <w:rPr>
                <w:rFonts w:ascii="Times New Roman" w:hAnsi="Times New Roman" w:cs="Times New Roman"/>
              </w:rPr>
              <w:t xml:space="preserve"> </w:t>
            </w:r>
            <w:r w:rsidR="005C0E62" w:rsidRPr="0024498C">
              <w:rPr>
                <w:rFonts w:ascii="Times New Roman" w:hAnsi="Times New Roman" w:cs="Times New Roman"/>
              </w:rPr>
              <w:t xml:space="preserve">5 in the same manner </w:t>
            </w:r>
            <w:r>
              <w:rPr>
                <w:rFonts w:ascii="Times New Roman" w:hAnsi="Times New Roman" w:cs="Times New Roman"/>
              </w:rPr>
              <w:t xml:space="preserve">as it was </w:t>
            </w:r>
            <w:r w:rsidR="005C0E62" w:rsidRPr="0024498C">
              <w:rPr>
                <w:rFonts w:ascii="Times New Roman" w:hAnsi="Times New Roman" w:cs="Times New Roman"/>
              </w:rPr>
              <w:t>dealt under OP 4.12</w:t>
            </w:r>
            <w:r w:rsidR="00E43DA6">
              <w:rPr>
                <w:rFonts w:ascii="Times New Roman" w:hAnsi="Times New Roman" w:cs="Times New Roman"/>
              </w:rPr>
              <w:t>.</w:t>
            </w:r>
          </w:p>
          <w:p w:rsidR="00743CF1" w:rsidRPr="0024498C" w:rsidRDefault="00743CF1" w:rsidP="00743CF1">
            <w:pPr>
              <w:spacing w:after="0" w:line="240" w:lineRule="auto"/>
              <w:ind w:left="185"/>
              <w:jc w:val="both"/>
              <w:rPr>
                <w:rFonts w:ascii="Times New Roman" w:hAnsi="Times New Roman" w:cs="Times New Roman"/>
              </w:rPr>
            </w:pP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lastRenderedPageBreak/>
              <w:t>ESS6</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Biodiversity</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Operationalization of the provisions on primary suppliers and ecosystem services, especially in situation with low capacity</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Role of national law with regard to protecting and conserving natural and critical habitats</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Criteria for biodiversity offsets, including consideration of project benefits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Definition and application of net gains for biodiversity</w:t>
            </w:r>
          </w:p>
        </w:tc>
        <w:tc>
          <w:tcPr>
            <w:tcW w:w="7650" w:type="dxa"/>
            <w:shd w:val="clear" w:color="auto" w:fill="auto"/>
          </w:tcPr>
          <w:p w:rsidR="00B2023C" w:rsidRDefault="00B2023C" w:rsidP="00674A08">
            <w:pPr>
              <w:pStyle w:val="ListParagraph"/>
              <w:numPr>
                <w:ilvl w:val="0"/>
                <w:numId w:val="27"/>
              </w:numPr>
              <w:ind w:left="185" w:hanging="180"/>
              <w:jc w:val="both"/>
              <w:rPr>
                <w:rFonts w:ascii="Times New Roman" w:hAnsi="Times New Roman"/>
              </w:rPr>
            </w:pPr>
            <w:r>
              <w:rPr>
                <w:rFonts w:ascii="Times New Roman" w:hAnsi="Times New Roman"/>
              </w:rPr>
              <w:t>Participants mentioned that t</w:t>
            </w:r>
            <w:r w:rsidR="00674A08" w:rsidRPr="0024498C">
              <w:rPr>
                <w:rFonts w:ascii="Times New Roman" w:hAnsi="Times New Roman"/>
              </w:rPr>
              <w:t>he new Forestry Law promotes the use of “legal” wood (obta</w:t>
            </w:r>
            <w:r>
              <w:rPr>
                <w:rFonts w:ascii="Times New Roman" w:hAnsi="Times New Roman"/>
              </w:rPr>
              <w:t xml:space="preserve">ined through legal concessions), which is in line with </w:t>
            </w:r>
            <w:r w:rsidR="00674A08" w:rsidRPr="0024498C">
              <w:rPr>
                <w:rFonts w:ascii="Times New Roman" w:hAnsi="Times New Roman"/>
              </w:rPr>
              <w:t xml:space="preserve">the </w:t>
            </w:r>
            <w:r w:rsidR="00870189">
              <w:rPr>
                <w:rFonts w:ascii="Times New Roman" w:hAnsi="Times New Roman"/>
              </w:rPr>
              <w:t>proposed ESF</w:t>
            </w:r>
            <w:r>
              <w:rPr>
                <w:rFonts w:ascii="Times New Roman" w:hAnsi="Times New Roman"/>
              </w:rPr>
              <w:t>.  They mentioned that issues</w:t>
            </w:r>
            <w:r w:rsidR="00674A08" w:rsidRPr="0024498C">
              <w:rPr>
                <w:rFonts w:ascii="Times New Roman" w:hAnsi="Times New Roman"/>
              </w:rPr>
              <w:t xml:space="preserve"> related to biodiversity </w:t>
            </w:r>
            <w:r>
              <w:rPr>
                <w:rFonts w:ascii="Times New Roman" w:hAnsi="Times New Roman"/>
              </w:rPr>
              <w:t xml:space="preserve">in the proposed ESF would be </w:t>
            </w:r>
            <w:r w:rsidR="00674A08" w:rsidRPr="0024498C">
              <w:rPr>
                <w:rFonts w:ascii="Times New Roman" w:hAnsi="Times New Roman"/>
              </w:rPr>
              <w:t>easil</w:t>
            </w:r>
            <w:r>
              <w:rPr>
                <w:rFonts w:ascii="Times New Roman" w:hAnsi="Times New Roman"/>
              </w:rPr>
              <w:t>y harmonized with national law.</w:t>
            </w:r>
          </w:p>
          <w:p w:rsidR="00B2023C" w:rsidRDefault="00B2023C" w:rsidP="00B2023C">
            <w:pPr>
              <w:pStyle w:val="ListParagraph"/>
              <w:ind w:left="185"/>
              <w:jc w:val="both"/>
              <w:rPr>
                <w:rFonts w:ascii="Times New Roman" w:hAnsi="Times New Roman"/>
              </w:rPr>
            </w:pPr>
          </w:p>
          <w:p w:rsidR="00674A08" w:rsidRPr="0024498C" w:rsidRDefault="00A4143D" w:rsidP="00674A08">
            <w:pPr>
              <w:pStyle w:val="ListParagraph"/>
              <w:numPr>
                <w:ilvl w:val="0"/>
                <w:numId w:val="27"/>
              </w:numPr>
              <w:ind w:left="185" w:hanging="180"/>
              <w:jc w:val="both"/>
              <w:rPr>
                <w:rFonts w:ascii="Times New Roman" w:hAnsi="Times New Roman"/>
              </w:rPr>
            </w:pPr>
            <w:r>
              <w:rPr>
                <w:rFonts w:ascii="Times New Roman" w:hAnsi="Times New Roman"/>
              </w:rPr>
              <w:t>Participants mentioned that</w:t>
            </w:r>
            <w:r w:rsidR="00B2023C">
              <w:rPr>
                <w:rFonts w:ascii="Times New Roman" w:hAnsi="Times New Roman"/>
              </w:rPr>
              <w:t xml:space="preserve"> </w:t>
            </w:r>
            <w:r w:rsidR="00674A08" w:rsidRPr="0024498C">
              <w:rPr>
                <w:rFonts w:ascii="Times New Roman" w:hAnsi="Times New Roman"/>
              </w:rPr>
              <w:t xml:space="preserve">requirements </w:t>
            </w:r>
            <w:r w:rsidR="00B2023C">
              <w:rPr>
                <w:rFonts w:ascii="Times New Roman" w:hAnsi="Times New Roman"/>
              </w:rPr>
              <w:t xml:space="preserve">on the </w:t>
            </w:r>
            <w:r w:rsidR="00674A08" w:rsidRPr="0024498C">
              <w:rPr>
                <w:rFonts w:ascii="Times New Roman" w:hAnsi="Times New Roman"/>
              </w:rPr>
              <w:t xml:space="preserve">origin/legality of </w:t>
            </w:r>
            <w:r w:rsidR="00B2023C">
              <w:rPr>
                <w:rFonts w:ascii="Times New Roman" w:hAnsi="Times New Roman"/>
              </w:rPr>
              <w:t>goods acquire</w:t>
            </w:r>
            <w:r w:rsidR="00870189">
              <w:rPr>
                <w:rFonts w:ascii="Times New Roman" w:hAnsi="Times New Roman"/>
              </w:rPr>
              <w:t>d</w:t>
            </w:r>
            <w:r w:rsidR="00B2023C">
              <w:rPr>
                <w:rFonts w:ascii="Times New Roman" w:hAnsi="Times New Roman"/>
              </w:rPr>
              <w:t xml:space="preserve"> by the government were also similar to those found in the proposed ESF.</w:t>
            </w:r>
          </w:p>
          <w:p w:rsidR="00743CF1" w:rsidRDefault="00743CF1" w:rsidP="00743CF1">
            <w:pPr>
              <w:pStyle w:val="ListParagraph"/>
              <w:ind w:left="185"/>
              <w:jc w:val="both"/>
              <w:rPr>
                <w:rFonts w:ascii="Times New Roman" w:hAnsi="Times New Roman"/>
              </w:rPr>
            </w:pPr>
          </w:p>
          <w:p w:rsidR="00A4143D" w:rsidRDefault="00A4143D" w:rsidP="00743CF1">
            <w:pPr>
              <w:pStyle w:val="ListParagraph"/>
              <w:ind w:left="185"/>
              <w:jc w:val="both"/>
              <w:rPr>
                <w:rFonts w:ascii="Times New Roman" w:hAnsi="Times New Roman"/>
              </w:rPr>
            </w:pPr>
          </w:p>
          <w:p w:rsidR="00A4143D" w:rsidRDefault="00A4143D" w:rsidP="00743CF1">
            <w:pPr>
              <w:pStyle w:val="ListParagraph"/>
              <w:ind w:left="185"/>
              <w:jc w:val="both"/>
              <w:rPr>
                <w:rFonts w:ascii="Times New Roman" w:hAnsi="Times New Roman"/>
              </w:rPr>
            </w:pPr>
          </w:p>
          <w:p w:rsidR="00674A08" w:rsidRPr="0024498C" w:rsidRDefault="00870189" w:rsidP="00674A08">
            <w:pPr>
              <w:pStyle w:val="ListParagraph"/>
              <w:numPr>
                <w:ilvl w:val="0"/>
                <w:numId w:val="27"/>
              </w:numPr>
              <w:ind w:left="185" w:hanging="180"/>
              <w:jc w:val="both"/>
              <w:rPr>
                <w:rFonts w:ascii="Times New Roman" w:hAnsi="Times New Roman"/>
              </w:rPr>
            </w:pPr>
            <w:r>
              <w:rPr>
                <w:rFonts w:ascii="Times New Roman" w:hAnsi="Times New Roman"/>
              </w:rPr>
              <w:t xml:space="preserve">Regarding </w:t>
            </w:r>
            <w:r w:rsidR="00674A08" w:rsidRPr="0024498C">
              <w:rPr>
                <w:rFonts w:ascii="Times New Roman" w:hAnsi="Times New Roman"/>
              </w:rPr>
              <w:t>biodiversity compensatory measures</w:t>
            </w:r>
            <w:r>
              <w:rPr>
                <w:rFonts w:ascii="Times New Roman" w:hAnsi="Times New Roman"/>
              </w:rPr>
              <w:t>: participants stated that r</w:t>
            </w:r>
            <w:r w:rsidR="00674A08" w:rsidRPr="0024498C">
              <w:rPr>
                <w:rFonts w:ascii="Times New Roman" w:hAnsi="Times New Roman"/>
              </w:rPr>
              <w:t xml:space="preserve">ather than creating new protected areas, it </w:t>
            </w:r>
            <w:r>
              <w:rPr>
                <w:rFonts w:ascii="Times New Roman" w:hAnsi="Times New Roman"/>
              </w:rPr>
              <w:t xml:space="preserve">was </w:t>
            </w:r>
            <w:r w:rsidR="00674A08" w:rsidRPr="0024498C">
              <w:rPr>
                <w:rFonts w:ascii="Times New Roman" w:hAnsi="Times New Roman"/>
              </w:rPr>
              <w:t>more feasible to implement compensa</w:t>
            </w:r>
            <w:r>
              <w:rPr>
                <w:rFonts w:ascii="Times New Roman" w:hAnsi="Times New Roman"/>
              </w:rPr>
              <w:t>tory measures in degraded areas</w:t>
            </w:r>
            <w:r w:rsidR="00674A08" w:rsidRPr="0024498C">
              <w:rPr>
                <w:rFonts w:ascii="Times New Roman" w:hAnsi="Times New Roman"/>
              </w:rPr>
              <w:t>.</w:t>
            </w:r>
          </w:p>
          <w:p w:rsidR="00743CF1" w:rsidRDefault="00743CF1" w:rsidP="00743CF1">
            <w:pPr>
              <w:pStyle w:val="ListParagraph"/>
              <w:ind w:left="185"/>
              <w:jc w:val="both"/>
              <w:rPr>
                <w:rFonts w:ascii="Times New Roman" w:hAnsi="Times New Roman"/>
              </w:rPr>
            </w:pPr>
          </w:p>
          <w:p w:rsidR="00944F46" w:rsidRPr="0024498C" w:rsidRDefault="00870189" w:rsidP="00870189">
            <w:pPr>
              <w:pStyle w:val="ListParagraph"/>
              <w:numPr>
                <w:ilvl w:val="0"/>
                <w:numId w:val="27"/>
              </w:numPr>
              <w:ind w:left="185" w:hanging="180"/>
              <w:jc w:val="both"/>
              <w:rPr>
                <w:rFonts w:ascii="Times New Roman" w:hAnsi="Times New Roman"/>
              </w:rPr>
            </w:pPr>
            <w:r>
              <w:rPr>
                <w:rFonts w:ascii="Times New Roman" w:hAnsi="Times New Roman"/>
              </w:rPr>
              <w:t>Participants stated that in the proposed framework it was unclear who would be responsible for compensating communities</w:t>
            </w:r>
            <w:r w:rsidR="00674A08" w:rsidRPr="0024498C">
              <w:rPr>
                <w:rFonts w:ascii="Times New Roman" w:hAnsi="Times New Roman"/>
              </w:rPr>
              <w:t xml:space="preserve"> for </w:t>
            </w:r>
            <w:r>
              <w:rPr>
                <w:rFonts w:ascii="Times New Roman" w:hAnsi="Times New Roman"/>
              </w:rPr>
              <w:t xml:space="preserve">adversely </w:t>
            </w:r>
            <w:r w:rsidR="004C1016">
              <w:rPr>
                <w:rFonts w:ascii="Times New Roman" w:hAnsi="Times New Roman"/>
              </w:rPr>
              <w:t>affecting biodiversity.</w:t>
            </w: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color w:val="000000"/>
              </w:rPr>
            </w:pPr>
            <w:r w:rsidRPr="0024498C">
              <w:rPr>
                <w:rFonts w:ascii="Times New Roman" w:hAnsi="Times New Roman" w:cs="Times New Roman"/>
                <w:color w:val="000000"/>
              </w:rPr>
              <w:t>ESS7</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color w:val="000000"/>
              </w:rPr>
              <w:t>Indigenous Peoples</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color w:val="000000"/>
              </w:rPr>
              <w:t xml:space="preserve">Implementation of the Indigenous Peoples standard in complex </w:t>
            </w:r>
            <w:r w:rsidRPr="0024498C">
              <w:rPr>
                <w:rFonts w:ascii="Times New Roman" w:hAnsi="Times New Roman"/>
              </w:rPr>
              <w:t>political and cultural contexts</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Implementation of ESS7 in countries where the constitution does not acknowledge Indigenous Peoples or only recognizes certain groups as indigenous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Possible approaches to reflect alternative terminologies used in different countries to describe Indigenous Peoples</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color w:val="000000"/>
              </w:rPr>
              <w:t xml:space="preserve">Circumstances (e.g. criteria and timing) in which a waiver may be considered and the information to be provided to the Board to inform its decision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color w:val="000000"/>
              </w:rPr>
              <w:t>Criteria for establishing and implementation of Free, Prior and Informed Consent (FPIC)</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Comparison of proposed FPIC with existing requirements on </w:t>
            </w:r>
            <w:r w:rsidRPr="0024498C">
              <w:rPr>
                <w:rFonts w:ascii="Times New Roman" w:hAnsi="Times New Roman"/>
              </w:rPr>
              <w:lastRenderedPageBreak/>
              <w:t>consultation</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color w:val="000000"/>
              </w:rPr>
              <w:t>Application of FPIC to impacts on Indigenous Peoples’ cultural heritage</w:t>
            </w:r>
          </w:p>
        </w:tc>
        <w:tc>
          <w:tcPr>
            <w:tcW w:w="7650" w:type="dxa"/>
            <w:shd w:val="clear" w:color="auto" w:fill="auto"/>
          </w:tcPr>
          <w:p w:rsidR="008E6A69" w:rsidRDefault="008E6A69" w:rsidP="00D24047">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lastRenderedPageBreak/>
              <w:t>Participants mentioned that n</w:t>
            </w:r>
            <w:r w:rsidRPr="0024498C">
              <w:rPr>
                <w:rFonts w:ascii="Times New Roman" w:hAnsi="Times New Roman" w:cs="Times New Roman"/>
                <w:color w:val="000000"/>
              </w:rPr>
              <w:t xml:space="preserve">ational </w:t>
            </w:r>
            <w:r>
              <w:rPr>
                <w:rFonts w:ascii="Times New Roman" w:hAnsi="Times New Roman" w:cs="Times New Roman"/>
                <w:color w:val="000000"/>
              </w:rPr>
              <w:t>l</w:t>
            </w:r>
            <w:r w:rsidRPr="0024498C">
              <w:rPr>
                <w:rFonts w:ascii="Times New Roman" w:hAnsi="Times New Roman" w:cs="Times New Roman"/>
                <w:color w:val="000000"/>
              </w:rPr>
              <w:t xml:space="preserve">aw </w:t>
            </w:r>
            <w:r>
              <w:rPr>
                <w:rFonts w:ascii="Times New Roman" w:hAnsi="Times New Roman" w:cs="Times New Roman"/>
                <w:color w:val="000000"/>
              </w:rPr>
              <w:t xml:space="preserve">complies, </w:t>
            </w:r>
            <w:r w:rsidRPr="0024498C">
              <w:rPr>
                <w:rFonts w:ascii="Times New Roman" w:hAnsi="Times New Roman" w:cs="Times New Roman"/>
                <w:color w:val="000000"/>
              </w:rPr>
              <w:t xml:space="preserve">and </w:t>
            </w:r>
            <w:r>
              <w:rPr>
                <w:rFonts w:ascii="Times New Roman" w:hAnsi="Times New Roman" w:cs="Times New Roman"/>
                <w:color w:val="000000"/>
              </w:rPr>
              <w:t xml:space="preserve">in some instances </w:t>
            </w:r>
            <w:r w:rsidRPr="0024498C">
              <w:rPr>
                <w:rFonts w:ascii="Times New Roman" w:hAnsi="Times New Roman" w:cs="Times New Roman"/>
                <w:color w:val="000000"/>
              </w:rPr>
              <w:t>exceeds</w:t>
            </w:r>
            <w:r>
              <w:rPr>
                <w:rFonts w:ascii="Times New Roman" w:hAnsi="Times New Roman" w:cs="Times New Roman"/>
                <w:color w:val="000000"/>
              </w:rPr>
              <w:t>,</w:t>
            </w:r>
            <w:r w:rsidRPr="0024498C">
              <w:rPr>
                <w:rFonts w:ascii="Times New Roman" w:hAnsi="Times New Roman" w:cs="Times New Roman"/>
                <w:color w:val="000000"/>
              </w:rPr>
              <w:t xml:space="preserve"> the policy requirements</w:t>
            </w:r>
            <w:r>
              <w:rPr>
                <w:rFonts w:ascii="Times New Roman" w:hAnsi="Times New Roman" w:cs="Times New Roman"/>
                <w:color w:val="000000"/>
              </w:rPr>
              <w:t xml:space="preserve"> of O.P. 4.10.</w:t>
            </w:r>
          </w:p>
          <w:p w:rsidR="008E6A69" w:rsidRDefault="008E6A69" w:rsidP="008E6A69">
            <w:pPr>
              <w:spacing w:after="0" w:line="240" w:lineRule="auto"/>
              <w:ind w:left="185"/>
              <w:jc w:val="both"/>
              <w:rPr>
                <w:rFonts w:ascii="Times New Roman" w:hAnsi="Times New Roman" w:cs="Times New Roman"/>
                <w:color w:val="000000"/>
              </w:rPr>
            </w:pPr>
          </w:p>
          <w:p w:rsidR="001E111A" w:rsidRDefault="001E111A" w:rsidP="00302101">
            <w:pPr>
              <w:numPr>
                <w:ilvl w:val="1"/>
                <w:numId w:val="11"/>
              </w:numPr>
              <w:spacing w:after="0" w:line="240" w:lineRule="auto"/>
              <w:ind w:left="185" w:hanging="180"/>
              <w:jc w:val="both"/>
              <w:rPr>
                <w:rFonts w:ascii="Times New Roman" w:hAnsi="Times New Roman" w:cs="Times New Roman"/>
                <w:color w:val="000000"/>
              </w:rPr>
            </w:pPr>
            <w:r w:rsidRPr="008E6A69">
              <w:rPr>
                <w:rFonts w:ascii="Times New Roman" w:hAnsi="Times New Roman" w:cs="Times New Roman"/>
                <w:color w:val="000000"/>
              </w:rPr>
              <w:t>Participants vehemently opposed the inclusion of FPIC in the proposed ESF and stated that it contradicted national law.</w:t>
            </w:r>
          </w:p>
          <w:p w:rsidR="001E03E7" w:rsidRDefault="001E03E7" w:rsidP="001E03E7">
            <w:pPr>
              <w:spacing w:after="0" w:line="240" w:lineRule="auto"/>
              <w:ind w:left="185"/>
              <w:jc w:val="both"/>
              <w:rPr>
                <w:rFonts w:ascii="Times New Roman" w:hAnsi="Times New Roman" w:cs="Times New Roman"/>
                <w:color w:val="000000"/>
              </w:rPr>
            </w:pPr>
          </w:p>
          <w:p w:rsidR="001E03E7" w:rsidRPr="0024498C" w:rsidRDefault="001E03E7" w:rsidP="001E03E7">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stated that for all projects impacting Indigenous Peoples, national </w:t>
            </w:r>
            <w:r w:rsidRPr="0024498C">
              <w:rPr>
                <w:rFonts w:ascii="Times New Roman" w:hAnsi="Times New Roman" w:cs="Times New Roman"/>
                <w:color w:val="000000"/>
              </w:rPr>
              <w:t>law requires authoriti</w:t>
            </w:r>
            <w:r>
              <w:rPr>
                <w:rFonts w:ascii="Times New Roman" w:hAnsi="Times New Roman" w:cs="Times New Roman"/>
                <w:color w:val="000000"/>
              </w:rPr>
              <w:t>es to carry out consultations with the objective of reach</w:t>
            </w:r>
            <w:r w:rsidR="004C1016">
              <w:rPr>
                <w:rFonts w:ascii="Times New Roman" w:hAnsi="Times New Roman" w:cs="Times New Roman"/>
                <w:color w:val="000000"/>
              </w:rPr>
              <w:t>ing</w:t>
            </w:r>
            <w:r>
              <w:rPr>
                <w:rFonts w:ascii="Times New Roman" w:hAnsi="Times New Roman" w:cs="Times New Roman"/>
                <w:color w:val="000000"/>
              </w:rPr>
              <w:t xml:space="preserve"> </w:t>
            </w:r>
            <w:r w:rsidRPr="0024498C">
              <w:rPr>
                <w:rFonts w:ascii="Times New Roman" w:hAnsi="Times New Roman" w:cs="Times New Roman"/>
                <w:color w:val="000000"/>
              </w:rPr>
              <w:t>an agreement or obtaining consent</w:t>
            </w:r>
            <w:r>
              <w:rPr>
                <w:rFonts w:ascii="Times New Roman" w:hAnsi="Times New Roman" w:cs="Times New Roman"/>
                <w:color w:val="000000"/>
              </w:rPr>
              <w:t xml:space="preserve">.  </w:t>
            </w:r>
            <w:r w:rsidRPr="0024498C">
              <w:rPr>
                <w:rFonts w:ascii="Times New Roman" w:hAnsi="Times New Roman" w:cs="Times New Roman"/>
                <w:color w:val="000000"/>
              </w:rPr>
              <w:t>However,</w:t>
            </w:r>
            <w:r>
              <w:rPr>
                <w:rFonts w:ascii="Times New Roman" w:hAnsi="Times New Roman" w:cs="Times New Roman"/>
                <w:color w:val="000000"/>
              </w:rPr>
              <w:t xml:space="preserve"> they underscored that </w:t>
            </w:r>
            <w:r w:rsidRPr="0024498C">
              <w:rPr>
                <w:rFonts w:ascii="Times New Roman" w:hAnsi="Times New Roman" w:cs="Times New Roman"/>
                <w:color w:val="000000"/>
              </w:rPr>
              <w:t xml:space="preserve">the final decision </w:t>
            </w:r>
            <w:r>
              <w:rPr>
                <w:rFonts w:ascii="Times New Roman" w:hAnsi="Times New Roman" w:cs="Times New Roman"/>
                <w:color w:val="000000"/>
              </w:rPr>
              <w:t xml:space="preserve">on whether or not to move forward with a project </w:t>
            </w:r>
            <w:r w:rsidRPr="0024498C">
              <w:rPr>
                <w:rFonts w:ascii="Times New Roman" w:hAnsi="Times New Roman" w:cs="Times New Roman"/>
                <w:color w:val="000000"/>
              </w:rPr>
              <w:t xml:space="preserve">remains </w:t>
            </w:r>
            <w:r>
              <w:rPr>
                <w:rFonts w:ascii="Times New Roman" w:hAnsi="Times New Roman" w:cs="Times New Roman"/>
                <w:color w:val="000000"/>
              </w:rPr>
              <w:t xml:space="preserve">with the </w:t>
            </w:r>
            <w:r w:rsidRPr="0024498C">
              <w:rPr>
                <w:rFonts w:ascii="Times New Roman" w:hAnsi="Times New Roman" w:cs="Times New Roman"/>
                <w:color w:val="000000"/>
              </w:rPr>
              <w:t>government</w:t>
            </w:r>
            <w:r>
              <w:rPr>
                <w:rFonts w:ascii="Times New Roman" w:hAnsi="Times New Roman" w:cs="Times New Roman"/>
                <w:color w:val="000000"/>
              </w:rPr>
              <w:t xml:space="preserve"> and that c</w:t>
            </w:r>
            <w:r w:rsidRPr="0024498C">
              <w:rPr>
                <w:rFonts w:ascii="Times New Roman" w:hAnsi="Times New Roman" w:cs="Times New Roman"/>
                <w:color w:val="000000"/>
              </w:rPr>
              <w:t>ommunities do not have veto power.</w:t>
            </w:r>
          </w:p>
          <w:p w:rsidR="001E03E7" w:rsidRDefault="001E03E7" w:rsidP="001E03E7">
            <w:pPr>
              <w:spacing w:after="0" w:line="240" w:lineRule="auto"/>
              <w:ind w:left="185"/>
              <w:jc w:val="both"/>
              <w:rPr>
                <w:rFonts w:ascii="Times New Roman" w:hAnsi="Times New Roman" w:cs="Times New Roman"/>
                <w:color w:val="000000"/>
              </w:rPr>
            </w:pPr>
          </w:p>
          <w:p w:rsidR="001E03E7" w:rsidRPr="0024498C" w:rsidRDefault="001E03E7" w:rsidP="001E03E7">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strongly </w:t>
            </w:r>
            <w:r w:rsidRPr="0024498C">
              <w:rPr>
                <w:rFonts w:ascii="Times New Roman" w:hAnsi="Times New Roman" w:cs="Times New Roman"/>
                <w:color w:val="000000"/>
              </w:rPr>
              <w:t xml:space="preserve">recommended </w:t>
            </w:r>
            <w:r>
              <w:rPr>
                <w:rFonts w:ascii="Times New Roman" w:hAnsi="Times New Roman" w:cs="Times New Roman"/>
                <w:color w:val="000000"/>
              </w:rPr>
              <w:t xml:space="preserve">that the World Bank </w:t>
            </w:r>
            <w:r w:rsidRPr="0024498C">
              <w:rPr>
                <w:rFonts w:ascii="Times New Roman" w:hAnsi="Times New Roman" w:cs="Times New Roman"/>
                <w:color w:val="000000"/>
              </w:rPr>
              <w:t>consider waivers for the application of ESS7.</w:t>
            </w:r>
          </w:p>
          <w:p w:rsidR="008E6A69" w:rsidRPr="008E6A69" w:rsidRDefault="008E6A69" w:rsidP="008E6A69">
            <w:pPr>
              <w:spacing w:after="0" w:line="240" w:lineRule="auto"/>
              <w:ind w:left="185"/>
              <w:jc w:val="both"/>
              <w:rPr>
                <w:rFonts w:ascii="Times New Roman" w:hAnsi="Times New Roman" w:cs="Times New Roman"/>
                <w:color w:val="000000"/>
              </w:rPr>
            </w:pPr>
          </w:p>
          <w:p w:rsidR="00891346" w:rsidRPr="0024498C" w:rsidRDefault="008E6A69" w:rsidP="00D24047">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expressed concern </w:t>
            </w:r>
            <w:r w:rsidR="00382214">
              <w:rPr>
                <w:rFonts w:ascii="Times New Roman" w:hAnsi="Times New Roman" w:cs="Times New Roman"/>
                <w:color w:val="000000"/>
              </w:rPr>
              <w:t xml:space="preserve">that the proposed ESS 7 </w:t>
            </w:r>
            <w:r>
              <w:rPr>
                <w:rFonts w:ascii="Times New Roman" w:hAnsi="Times New Roman" w:cs="Times New Roman"/>
                <w:color w:val="000000"/>
              </w:rPr>
              <w:t xml:space="preserve">may contravene or be seen as superseding </w:t>
            </w:r>
            <w:r w:rsidR="00BF2868" w:rsidRPr="0024498C">
              <w:rPr>
                <w:rFonts w:ascii="Times New Roman" w:hAnsi="Times New Roman" w:cs="Times New Roman"/>
                <w:color w:val="000000"/>
              </w:rPr>
              <w:t>international treaties</w:t>
            </w:r>
            <w:r>
              <w:rPr>
                <w:rFonts w:ascii="Times New Roman" w:hAnsi="Times New Roman" w:cs="Times New Roman"/>
                <w:color w:val="000000"/>
              </w:rPr>
              <w:t xml:space="preserve">, for example, </w:t>
            </w:r>
            <w:r w:rsidR="00BF2868" w:rsidRPr="0024498C">
              <w:rPr>
                <w:rFonts w:ascii="Times New Roman" w:hAnsi="Times New Roman" w:cs="Times New Roman"/>
                <w:color w:val="000000"/>
              </w:rPr>
              <w:t>ILO</w:t>
            </w:r>
            <w:r>
              <w:rPr>
                <w:rFonts w:ascii="Times New Roman" w:hAnsi="Times New Roman" w:cs="Times New Roman"/>
                <w:color w:val="000000"/>
              </w:rPr>
              <w:t xml:space="preserve"> </w:t>
            </w:r>
            <w:r w:rsidRPr="0024498C">
              <w:rPr>
                <w:rFonts w:ascii="Times New Roman" w:hAnsi="Times New Roman" w:cs="Times New Roman"/>
                <w:color w:val="000000"/>
              </w:rPr>
              <w:t>Convention</w:t>
            </w:r>
            <w:r>
              <w:rPr>
                <w:rFonts w:ascii="Times New Roman" w:hAnsi="Times New Roman" w:cs="Times New Roman"/>
                <w:color w:val="000000"/>
              </w:rPr>
              <w:t xml:space="preserve"> 169</w:t>
            </w:r>
            <w:r w:rsidR="00BF2868" w:rsidRPr="0024498C">
              <w:rPr>
                <w:rFonts w:ascii="Times New Roman" w:hAnsi="Times New Roman" w:cs="Times New Roman"/>
                <w:color w:val="000000"/>
              </w:rPr>
              <w:t>.</w:t>
            </w:r>
          </w:p>
          <w:p w:rsidR="00743CF1" w:rsidRDefault="00743CF1" w:rsidP="00743CF1">
            <w:pPr>
              <w:spacing w:after="0" w:line="240" w:lineRule="auto"/>
              <w:ind w:left="185"/>
              <w:jc w:val="both"/>
              <w:rPr>
                <w:rFonts w:ascii="Times New Roman" w:hAnsi="Times New Roman" w:cs="Times New Roman"/>
                <w:color w:val="000000"/>
              </w:rPr>
            </w:pPr>
          </w:p>
          <w:p w:rsidR="00BF2868" w:rsidRPr="0024498C" w:rsidRDefault="008E6A69" w:rsidP="00BF2868">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expressed concern </w:t>
            </w:r>
            <w:r w:rsidR="00BF2868" w:rsidRPr="0024498C">
              <w:rPr>
                <w:rFonts w:ascii="Times New Roman" w:hAnsi="Times New Roman" w:cs="Times New Roman"/>
                <w:color w:val="000000"/>
              </w:rPr>
              <w:t>about the definit</w:t>
            </w:r>
            <w:r>
              <w:rPr>
                <w:rFonts w:ascii="Times New Roman" w:hAnsi="Times New Roman" w:cs="Times New Roman"/>
                <w:color w:val="000000"/>
              </w:rPr>
              <w:t>ion of Indigenous Peoples and stated that it may contravene national law (</w:t>
            </w:r>
            <w:r w:rsidR="00BF2868" w:rsidRPr="00911117">
              <w:rPr>
                <w:rFonts w:ascii="Times New Roman" w:hAnsi="Times New Roman" w:cs="Times New Roman"/>
                <w:i/>
                <w:color w:val="000000"/>
              </w:rPr>
              <w:t>Ley de Consulta Previa</w:t>
            </w:r>
            <w:r>
              <w:rPr>
                <w:rFonts w:ascii="Times New Roman" w:hAnsi="Times New Roman" w:cs="Times New Roman"/>
                <w:color w:val="000000"/>
              </w:rPr>
              <w:t xml:space="preserve">).  They mentioned that the government has a </w:t>
            </w:r>
            <w:r w:rsidR="00BF2868" w:rsidRPr="0024498C">
              <w:rPr>
                <w:rFonts w:ascii="Times New Roman" w:hAnsi="Times New Roman" w:cs="Times New Roman"/>
                <w:color w:val="000000"/>
              </w:rPr>
              <w:t>list of all communities that qua</w:t>
            </w:r>
            <w:r>
              <w:rPr>
                <w:rFonts w:ascii="Times New Roman" w:hAnsi="Times New Roman" w:cs="Times New Roman"/>
                <w:color w:val="000000"/>
              </w:rPr>
              <w:t>lify</w:t>
            </w:r>
            <w:r w:rsidR="00BF2868" w:rsidRPr="0024498C">
              <w:rPr>
                <w:rFonts w:ascii="Times New Roman" w:hAnsi="Times New Roman" w:cs="Times New Roman"/>
                <w:color w:val="000000"/>
              </w:rPr>
              <w:t xml:space="preserve"> as indigenous</w:t>
            </w:r>
            <w:r>
              <w:rPr>
                <w:rFonts w:ascii="Times New Roman" w:hAnsi="Times New Roman" w:cs="Times New Roman"/>
                <w:color w:val="000000"/>
              </w:rPr>
              <w:t xml:space="preserve"> and that that list is</w:t>
            </w:r>
            <w:r w:rsidR="00BF2868" w:rsidRPr="0024498C">
              <w:rPr>
                <w:rFonts w:ascii="Times New Roman" w:hAnsi="Times New Roman" w:cs="Times New Roman"/>
                <w:color w:val="000000"/>
              </w:rPr>
              <w:t xml:space="preserve"> reviewed periodically. </w:t>
            </w:r>
            <w:r>
              <w:rPr>
                <w:rFonts w:ascii="Times New Roman" w:hAnsi="Times New Roman" w:cs="Times New Roman"/>
                <w:color w:val="000000"/>
              </w:rPr>
              <w:t xml:space="preserve"> They mentioned that the proposed Framework does not have such a list and that determining indigenousness on a </w:t>
            </w:r>
            <w:r w:rsidR="00BF2868" w:rsidRPr="0024498C">
              <w:rPr>
                <w:rFonts w:ascii="Times New Roman" w:hAnsi="Times New Roman" w:cs="Times New Roman"/>
                <w:color w:val="000000"/>
              </w:rPr>
              <w:t>project</w:t>
            </w:r>
            <w:r>
              <w:rPr>
                <w:rFonts w:ascii="Times New Roman" w:hAnsi="Times New Roman" w:cs="Times New Roman"/>
                <w:color w:val="000000"/>
              </w:rPr>
              <w:t>-by-project</w:t>
            </w:r>
            <w:r w:rsidR="00BF2868" w:rsidRPr="0024498C">
              <w:rPr>
                <w:rFonts w:ascii="Times New Roman" w:hAnsi="Times New Roman" w:cs="Times New Roman"/>
                <w:color w:val="000000"/>
              </w:rPr>
              <w:t xml:space="preserve"> basis</w:t>
            </w:r>
            <w:r>
              <w:rPr>
                <w:rFonts w:ascii="Times New Roman" w:hAnsi="Times New Roman" w:cs="Times New Roman"/>
                <w:color w:val="000000"/>
              </w:rPr>
              <w:t xml:space="preserve"> would be costly and tedious for the </w:t>
            </w:r>
            <w:r>
              <w:rPr>
                <w:rFonts w:ascii="Times New Roman" w:hAnsi="Times New Roman" w:cs="Times New Roman"/>
                <w:color w:val="000000"/>
              </w:rPr>
              <w:lastRenderedPageBreak/>
              <w:t>Borrower</w:t>
            </w:r>
            <w:r w:rsidRPr="00267911">
              <w:rPr>
                <w:rFonts w:ascii="Times New Roman" w:hAnsi="Times New Roman" w:cs="Times New Roman"/>
              </w:rPr>
              <w:t>.</w:t>
            </w:r>
            <w:r w:rsidR="007A1E01" w:rsidRPr="00267911">
              <w:rPr>
                <w:rFonts w:ascii="Times New Roman" w:hAnsi="Times New Roman" w:cs="Times New Roman"/>
              </w:rPr>
              <w:t xml:space="preserve"> The government list is quite comprehensive, but some non-listed communities may claim their indigenous status hoping to be consulted and as a consequence, see that their interests and concerns are considered, and/or may attempt to request compensations for potential negative impacts</w:t>
            </w:r>
            <w:r w:rsidR="00267911">
              <w:rPr>
                <w:rFonts w:ascii="Times New Roman" w:hAnsi="Times New Roman" w:cs="Times New Roman"/>
              </w:rPr>
              <w:t>.</w:t>
            </w:r>
          </w:p>
          <w:p w:rsidR="00743CF1" w:rsidRDefault="00743CF1" w:rsidP="00743CF1">
            <w:pPr>
              <w:spacing w:after="0" w:line="240" w:lineRule="auto"/>
              <w:ind w:left="185"/>
              <w:jc w:val="both"/>
              <w:rPr>
                <w:rFonts w:ascii="Times New Roman" w:hAnsi="Times New Roman" w:cs="Times New Roman"/>
                <w:color w:val="000000"/>
              </w:rPr>
            </w:pPr>
          </w:p>
          <w:p w:rsidR="000453F2" w:rsidRPr="0024498C" w:rsidRDefault="008E6A69" w:rsidP="000453F2">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asked the World Bank to explain how the </w:t>
            </w:r>
            <w:r w:rsidR="000453F2" w:rsidRPr="0024498C">
              <w:rPr>
                <w:rFonts w:ascii="Times New Roman" w:hAnsi="Times New Roman" w:cs="Times New Roman"/>
                <w:color w:val="000000"/>
              </w:rPr>
              <w:t xml:space="preserve">IFC </w:t>
            </w:r>
            <w:r>
              <w:rPr>
                <w:rFonts w:ascii="Times New Roman" w:hAnsi="Times New Roman" w:cs="Times New Roman"/>
                <w:color w:val="000000"/>
              </w:rPr>
              <w:t xml:space="preserve">had </w:t>
            </w:r>
            <w:r w:rsidR="000453F2" w:rsidRPr="0024498C">
              <w:rPr>
                <w:rFonts w:ascii="Times New Roman" w:hAnsi="Times New Roman" w:cs="Times New Roman"/>
                <w:color w:val="000000"/>
              </w:rPr>
              <w:t xml:space="preserve">applied </w:t>
            </w:r>
            <w:r>
              <w:rPr>
                <w:rFonts w:ascii="Times New Roman" w:hAnsi="Times New Roman" w:cs="Times New Roman"/>
                <w:color w:val="000000"/>
              </w:rPr>
              <w:t xml:space="preserve">Performance Standard 7 </w:t>
            </w:r>
            <w:r w:rsidR="000453F2" w:rsidRPr="0024498C">
              <w:rPr>
                <w:rFonts w:ascii="Times New Roman" w:hAnsi="Times New Roman" w:cs="Times New Roman"/>
                <w:color w:val="000000"/>
              </w:rPr>
              <w:t xml:space="preserve">in </w:t>
            </w:r>
            <w:r>
              <w:rPr>
                <w:rFonts w:ascii="Times New Roman" w:hAnsi="Times New Roman" w:cs="Times New Roman"/>
                <w:color w:val="000000"/>
              </w:rPr>
              <w:t>the Latin America.</w:t>
            </w:r>
          </w:p>
          <w:p w:rsidR="00743CF1" w:rsidRDefault="00743CF1" w:rsidP="00743CF1">
            <w:pPr>
              <w:spacing w:after="0" w:line="240" w:lineRule="auto"/>
              <w:ind w:left="185"/>
              <w:jc w:val="both"/>
              <w:rPr>
                <w:rFonts w:ascii="Times New Roman" w:hAnsi="Times New Roman" w:cs="Times New Roman"/>
                <w:color w:val="000000"/>
              </w:rPr>
            </w:pPr>
          </w:p>
          <w:p w:rsidR="000453F2" w:rsidRPr="0024498C" w:rsidRDefault="001E03E7" w:rsidP="000453F2">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mentioned that </w:t>
            </w:r>
            <w:r w:rsidR="000453F2" w:rsidRPr="0024498C">
              <w:rPr>
                <w:rFonts w:ascii="Times New Roman" w:hAnsi="Times New Roman" w:cs="Times New Roman"/>
                <w:color w:val="000000"/>
              </w:rPr>
              <w:t xml:space="preserve">the government </w:t>
            </w:r>
            <w:r>
              <w:rPr>
                <w:rFonts w:ascii="Times New Roman" w:hAnsi="Times New Roman" w:cs="Times New Roman"/>
                <w:color w:val="000000"/>
              </w:rPr>
              <w:t xml:space="preserve">cannot always </w:t>
            </w:r>
            <w:r w:rsidR="000453F2" w:rsidRPr="0024498C">
              <w:rPr>
                <w:rFonts w:ascii="Times New Roman" w:hAnsi="Times New Roman" w:cs="Times New Roman"/>
                <w:color w:val="000000"/>
              </w:rPr>
              <w:t xml:space="preserve">carry out </w:t>
            </w:r>
            <w:r>
              <w:rPr>
                <w:rFonts w:ascii="Times New Roman" w:hAnsi="Times New Roman" w:cs="Times New Roman"/>
                <w:color w:val="000000"/>
              </w:rPr>
              <w:t>c</w:t>
            </w:r>
            <w:r w:rsidR="000453F2" w:rsidRPr="0024498C">
              <w:rPr>
                <w:rFonts w:ascii="Times New Roman" w:hAnsi="Times New Roman" w:cs="Times New Roman"/>
                <w:color w:val="000000"/>
              </w:rPr>
              <w:t>onsultation</w:t>
            </w:r>
            <w:r>
              <w:rPr>
                <w:rFonts w:ascii="Times New Roman" w:hAnsi="Times New Roman" w:cs="Times New Roman"/>
                <w:color w:val="000000"/>
              </w:rPr>
              <w:t xml:space="preserve">s, as required by </w:t>
            </w:r>
            <w:r w:rsidR="000453F2" w:rsidRPr="0024498C">
              <w:rPr>
                <w:rFonts w:ascii="Times New Roman" w:hAnsi="Times New Roman" w:cs="Times New Roman"/>
                <w:color w:val="000000"/>
              </w:rPr>
              <w:t xml:space="preserve">the </w:t>
            </w:r>
            <w:r w:rsidR="000453F2" w:rsidRPr="0024498C">
              <w:rPr>
                <w:rFonts w:ascii="Times New Roman" w:hAnsi="Times New Roman" w:cs="Times New Roman"/>
                <w:i/>
                <w:color w:val="000000"/>
              </w:rPr>
              <w:t>Ley de Consulta Previa</w:t>
            </w:r>
            <w:r>
              <w:rPr>
                <w:rFonts w:ascii="Times New Roman" w:hAnsi="Times New Roman" w:cs="Times New Roman"/>
                <w:color w:val="000000"/>
              </w:rPr>
              <w:t>,</w:t>
            </w:r>
            <w:r w:rsidR="000453F2" w:rsidRPr="0024498C">
              <w:rPr>
                <w:rFonts w:ascii="Times New Roman" w:hAnsi="Times New Roman" w:cs="Times New Roman"/>
                <w:color w:val="000000"/>
              </w:rPr>
              <w:t xml:space="preserve"> due to </w:t>
            </w:r>
            <w:r>
              <w:rPr>
                <w:rFonts w:ascii="Times New Roman" w:hAnsi="Times New Roman" w:cs="Times New Roman"/>
                <w:color w:val="000000"/>
              </w:rPr>
              <w:t xml:space="preserve">a </w:t>
            </w:r>
            <w:r w:rsidR="000453F2" w:rsidRPr="0024498C">
              <w:rPr>
                <w:rFonts w:ascii="Times New Roman" w:hAnsi="Times New Roman" w:cs="Times New Roman"/>
                <w:color w:val="000000"/>
              </w:rPr>
              <w:t xml:space="preserve">lack of coordination among relevant agencies.  </w:t>
            </w:r>
            <w:r>
              <w:rPr>
                <w:rFonts w:ascii="Times New Roman" w:hAnsi="Times New Roman" w:cs="Times New Roman"/>
                <w:color w:val="000000"/>
              </w:rPr>
              <w:t xml:space="preserve">They mentioned that </w:t>
            </w:r>
            <w:r w:rsidR="000453F2" w:rsidRPr="0024498C">
              <w:rPr>
                <w:rFonts w:ascii="Times New Roman" w:hAnsi="Times New Roman" w:cs="Times New Roman"/>
                <w:color w:val="000000"/>
              </w:rPr>
              <w:t xml:space="preserve">agencies </w:t>
            </w:r>
            <w:r>
              <w:rPr>
                <w:rFonts w:ascii="Times New Roman" w:hAnsi="Times New Roman" w:cs="Times New Roman"/>
                <w:color w:val="000000"/>
              </w:rPr>
              <w:t xml:space="preserve">sometimes do not </w:t>
            </w:r>
            <w:r w:rsidR="000453F2" w:rsidRPr="0024498C">
              <w:rPr>
                <w:rFonts w:ascii="Times New Roman" w:hAnsi="Times New Roman" w:cs="Times New Roman"/>
                <w:color w:val="000000"/>
              </w:rPr>
              <w:t xml:space="preserve">agree on who </w:t>
            </w:r>
            <w:r>
              <w:rPr>
                <w:rFonts w:ascii="Times New Roman" w:hAnsi="Times New Roman" w:cs="Times New Roman"/>
                <w:color w:val="000000"/>
              </w:rPr>
              <w:t xml:space="preserve">should be </w:t>
            </w:r>
            <w:r w:rsidR="000453F2" w:rsidRPr="0024498C">
              <w:rPr>
                <w:rFonts w:ascii="Times New Roman" w:hAnsi="Times New Roman" w:cs="Times New Roman"/>
                <w:color w:val="000000"/>
              </w:rPr>
              <w:t>in charge of the consultation process</w:t>
            </w:r>
            <w:r>
              <w:rPr>
                <w:rFonts w:ascii="Times New Roman" w:hAnsi="Times New Roman" w:cs="Times New Roman"/>
                <w:color w:val="000000"/>
              </w:rPr>
              <w:t xml:space="preserve">, and that </w:t>
            </w:r>
            <w:r w:rsidR="000453F2" w:rsidRPr="0024498C">
              <w:rPr>
                <w:rFonts w:ascii="Times New Roman" w:hAnsi="Times New Roman" w:cs="Times New Roman"/>
                <w:color w:val="000000"/>
              </w:rPr>
              <w:t xml:space="preserve">for an Indigenous Community to be consulted under the </w:t>
            </w:r>
            <w:r w:rsidR="000453F2" w:rsidRPr="0024498C">
              <w:rPr>
                <w:rFonts w:ascii="Times New Roman" w:hAnsi="Times New Roman" w:cs="Times New Roman"/>
                <w:i/>
                <w:color w:val="000000"/>
              </w:rPr>
              <w:t>Ley de Consulta Previa</w:t>
            </w:r>
            <w:r w:rsidR="000453F2" w:rsidRPr="0024498C">
              <w:rPr>
                <w:rFonts w:ascii="Times New Roman" w:hAnsi="Times New Roman" w:cs="Times New Roman"/>
                <w:color w:val="000000"/>
              </w:rPr>
              <w:t xml:space="preserve">, </w:t>
            </w:r>
            <w:r>
              <w:rPr>
                <w:rFonts w:ascii="Times New Roman" w:hAnsi="Times New Roman" w:cs="Times New Roman"/>
                <w:color w:val="000000"/>
              </w:rPr>
              <w:t xml:space="preserve">the community has </w:t>
            </w:r>
            <w:r w:rsidR="000453F2" w:rsidRPr="0024498C">
              <w:rPr>
                <w:rFonts w:ascii="Times New Roman" w:hAnsi="Times New Roman" w:cs="Times New Roman"/>
                <w:color w:val="000000"/>
              </w:rPr>
              <w:t xml:space="preserve">to be “registered” </w:t>
            </w:r>
            <w:r>
              <w:rPr>
                <w:rFonts w:ascii="Times New Roman" w:hAnsi="Times New Roman" w:cs="Times New Roman"/>
                <w:color w:val="000000"/>
              </w:rPr>
              <w:t xml:space="preserve">and included in </w:t>
            </w:r>
            <w:r w:rsidR="000453F2" w:rsidRPr="0024498C">
              <w:rPr>
                <w:rFonts w:ascii="Times New Roman" w:hAnsi="Times New Roman" w:cs="Times New Roman"/>
                <w:color w:val="000000"/>
              </w:rPr>
              <w:t>the government</w:t>
            </w:r>
            <w:r>
              <w:rPr>
                <w:rFonts w:ascii="Times New Roman" w:hAnsi="Times New Roman" w:cs="Times New Roman"/>
                <w:color w:val="000000"/>
              </w:rPr>
              <w:t>’s</w:t>
            </w:r>
            <w:r w:rsidR="000453F2" w:rsidRPr="0024498C">
              <w:rPr>
                <w:rFonts w:ascii="Times New Roman" w:hAnsi="Times New Roman" w:cs="Times New Roman"/>
                <w:color w:val="000000"/>
              </w:rPr>
              <w:t xml:space="preserve"> list</w:t>
            </w:r>
            <w:r>
              <w:rPr>
                <w:rFonts w:ascii="Times New Roman" w:hAnsi="Times New Roman" w:cs="Times New Roman"/>
                <w:color w:val="000000"/>
              </w:rPr>
              <w:t>, which may be a protracted process</w:t>
            </w:r>
            <w:r w:rsidR="00562EE1" w:rsidRPr="0024498C">
              <w:rPr>
                <w:rFonts w:ascii="Times New Roman" w:hAnsi="Times New Roman" w:cs="Times New Roman"/>
                <w:color w:val="000000"/>
              </w:rPr>
              <w:t xml:space="preserve">.  </w:t>
            </w:r>
            <w:r>
              <w:rPr>
                <w:rFonts w:ascii="Times New Roman" w:hAnsi="Times New Roman" w:cs="Times New Roman"/>
                <w:color w:val="000000"/>
              </w:rPr>
              <w:t>Participants</w:t>
            </w:r>
            <w:r w:rsidR="004C1016">
              <w:rPr>
                <w:rFonts w:ascii="Times New Roman" w:hAnsi="Times New Roman" w:cs="Times New Roman"/>
                <w:color w:val="000000"/>
              </w:rPr>
              <w:t xml:space="preserve"> mentioned that, for example,</w:t>
            </w:r>
            <w:r>
              <w:rPr>
                <w:rFonts w:ascii="Times New Roman" w:hAnsi="Times New Roman" w:cs="Times New Roman"/>
                <w:color w:val="000000"/>
              </w:rPr>
              <w:t xml:space="preserve"> when the </w:t>
            </w:r>
            <w:r w:rsidR="00562EE1" w:rsidRPr="0024498C">
              <w:rPr>
                <w:rFonts w:ascii="Times New Roman" w:hAnsi="Times New Roman" w:cs="Times New Roman"/>
                <w:color w:val="000000"/>
              </w:rPr>
              <w:t>PRONANP</w:t>
            </w:r>
            <w:r>
              <w:rPr>
                <w:rFonts w:ascii="Times New Roman" w:hAnsi="Times New Roman" w:cs="Times New Roman"/>
                <w:color w:val="000000"/>
              </w:rPr>
              <w:t xml:space="preserve"> project was being prepared, the</w:t>
            </w:r>
            <w:r w:rsidR="000453F2" w:rsidRPr="0024498C">
              <w:rPr>
                <w:rFonts w:ascii="Times New Roman" w:hAnsi="Times New Roman" w:cs="Times New Roman"/>
                <w:color w:val="000000"/>
              </w:rPr>
              <w:t xml:space="preserve"> list </w:t>
            </w:r>
            <w:r>
              <w:rPr>
                <w:rFonts w:ascii="Times New Roman" w:hAnsi="Times New Roman" w:cs="Times New Roman"/>
                <w:color w:val="000000"/>
              </w:rPr>
              <w:t>did not include all Indigenous groups that would be impacted by the project</w:t>
            </w:r>
            <w:r w:rsidR="000453F2" w:rsidRPr="0024498C">
              <w:rPr>
                <w:rFonts w:ascii="Times New Roman" w:hAnsi="Times New Roman" w:cs="Times New Roman"/>
                <w:color w:val="000000"/>
              </w:rPr>
              <w:t>.</w:t>
            </w:r>
          </w:p>
          <w:p w:rsidR="00743CF1" w:rsidRDefault="00743CF1" w:rsidP="00743CF1">
            <w:pPr>
              <w:spacing w:after="0" w:line="240" w:lineRule="auto"/>
              <w:ind w:left="185"/>
              <w:jc w:val="both"/>
              <w:rPr>
                <w:rFonts w:ascii="Times New Roman" w:hAnsi="Times New Roman" w:cs="Times New Roman"/>
                <w:color w:val="000000"/>
              </w:rPr>
            </w:pPr>
          </w:p>
          <w:p w:rsidR="000453F2" w:rsidRPr="0024498C" w:rsidRDefault="00FA2A2A" w:rsidP="000453F2">
            <w:pPr>
              <w:numPr>
                <w:ilvl w:val="1"/>
                <w:numId w:val="11"/>
              </w:numPr>
              <w:spacing w:after="0" w:line="240" w:lineRule="auto"/>
              <w:ind w:left="185" w:hanging="180"/>
              <w:jc w:val="both"/>
              <w:rPr>
                <w:rFonts w:ascii="Times New Roman" w:hAnsi="Times New Roman" w:cs="Times New Roman"/>
                <w:color w:val="000000"/>
              </w:rPr>
            </w:pPr>
            <w:r>
              <w:rPr>
                <w:rFonts w:ascii="Times New Roman" w:hAnsi="Times New Roman" w:cs="Times New Roman"/>
                <w:color w:val="000000"/>
              </w:rPr>
              <w:t xml:space="preserve">Participants mentioned that national law pertaining to biodiversity conservation </w:t>
            </w:r>
            <w:r w:rsidR="000453F2" w:rsidRPr="0024498C">
              <w:rPr>
                <w:rFonts w:ascii="Times New Roman" w:hAnsi="Times New Roman" w:cs="Times New Roman"/>
                <w:color w:val="000000"/>
              </w:rPr>
              <w:t>(</w:t>
            </w:r>
            <w:r w:rsidR="000453F2" w:rsidRPr="0024498C">
              <w:rPr>
                <w:rFonts w:ascii="Times New Roman" w:hAnsi="Times New Roman" w:cs="Times New Roman"/>
                <w:i/>
                <w:color w:val="000000"/>
              </w:rPr>
              <w:t>modalidades de conservación</w:t>
            </w:r>
            <w:r w:rsidR="000453F2" w:rsidRPr="0024498C">
              <w:rPr>
                <w:rFonts w:ascii="Times New Roman" w:hAnsi="Times New Roman" w:cs="Times New Roman"/>
                <w:color w:val="000000"/>
              </w:rPr>
              <w:t xml:space="preserve">) requires the consent of </w:t>
            </w:r>
            <w:r>
              <w:rPr>
                <w:rFonts w:ascii="Times New Roman" w:hAnsi="Times New Roman" w:cs="Times New Roman"/>
                <w:color w:val="000000"/>
              </w:rPr>
              <w:t xml:space="preserve">populations that live </w:t>
            </w:r>
            <w:r w:rsidR="000453F2" w:rsidRPr="0024498C">
              <w:rPr>
                <w:rFonts w:ascii="Times New Roman" w:hAnsi="Times New Roman" w:cs="Times New Roman"/>
                <w:color w:val="000000"/>
              </w:rPr>
              <w:t xml:space="preserve">in the </w:t>
            </w:r>
            <w:r>
              <w:rPr>
                <w:rFonts w:ascii="Times New Roman" w:hAnsi="Times New Roman" w:cs="Times New Roman"/>
                <w:color w:val="000000"/>
              </w:rPr>
              <w:t xml:space="preserve">project </w:t>
            </w:r>
            <w:r w:rsidR="000453F2" w:rsidRPr="0024498C">
              <w:rPr>
                <w:rFonts w:ascii="Times New Roman" w:hAnsi="Times New Roman" w:cs="Times New Roman"/>
                <w:color w:val="000000"/>
              </w:rPr>
              <w:t xml:space="preserve">area.  </w:t>
            </w:r>
            <w:r>
              <w:rPr>
                <w:rFonts w:ascii="Times New Roman" w:hAnsi="Times New Roman" w:cs="Times New Roman"/>
                <w:color w:val="000000"/>
              </w:rPr>
              <w:t xml:space="preserve">They highlighted that </w:t>
            </w:r>
            <w:r w:rsidR="000453F2" w:rsidRPr="0024498C">
              <w:rPr>
                <w:rFonts w:ascii="Times New Roman" w:hAnsi="Times New Roman" w:cs="Times New Roman"/>
                <w:color w:val="000000"/>
              </w:rPr>
              <w:t>the law re</w:t>
            </w:r>
            <w:r w:rsidR="00562EE1" w:rsidRPr="0024498C">
              <w:rPr>
                <w:rFonts w:ascii="Times New Roman" w:hAnsi="Times New Roman" w:cs="Times New Roman"/>
                <w:color w:val="000000"/>
              </w:rPr>
              <w:t>quires consent to establish</w:t>
            </w:r>
            <w:r w:rsidR="000453F2" w:rsidRPr="0024498C">
              <w:rPr>
                <w:rFonts w:ascii="Times New Roman" w:hAnsi="Times New Roman" w:cs="Times New Roman"/>
                <w:color w:val="000000"/>
              </w:rPr>
              <w:t xml:space="preserve"> </w:t>
            </w:r>
            <w:r>
              <w:rPr>
                <w:rFonts w:ascii="Times New Roman" w:hAnsi="Times New Roman" w:cs="Times New Roman"/>
                <w:color w:val="000000"/>
              </w:rPr>
              <w:t xml:space="preserve">how </w:t>
            </w:r>
            <w:r w:rsidR="000453F2" w:rsidRPr="0024498C">
              <w:rPr>
                <w:rFonts w:ascii="Times New Roman" w:hAnsi="Times New Roman" w:cs="Times New Roman"/>
                <w:color w:val="000000"/>
              </w:rPr>
              <w:t xml:space="preserve">conservation </w:t>
            </w:r>
            <w:r>
              <w:rPr>
                <w:rFonts w:ascii="Times New Roman" w:hAnsi="Times New Roman" w:cs="Times New Roman"/>
                <w:color w:val="000000"/>
              </w:rPr>
              <w:t xml:space="preserve">will be attained.  Participants inquired if </w:t>
            </w:r>
            <w:r w:rsidR="000453F2" w:rsidRPr="0024498C">
              <w:rPr>
                <w:rFonts w:ascii="Times New Roman" w:hAnsi="Times New Roman" w:cs="Times New Roman"/>
                <w:color w:val="000000"/>
              </w:rPr>
              <w:t xml:space="preserve">consent </w:t>
            </w:r>
            <w:r>
              <w:rPr>
                <w:rFonts w:ascii="Times New Roman" w:hAnsi="Times New Roman" w:cs="Times New Roman"/>
                <w:color w:val="000000"/>
              </w:rPr>
              <w:t xml:space="preserve">would have to be reached </w:t>
            </w:r>
            <w:r w:rsidR="000453F2" w:rsidRPr="0024498C">
              <w:rPr>
                <w:rFonts w:ascii="Times New Roman" w:hAnsi="Times New Roman" w:cs="Times New Roman"/>
                <w:color w:val="000000"/>
              </w:rPr>
              <w:t xml:space="preserve">again </w:t>
            </w:r>
            <w:r>
              <w:rPr>
                <w:rFonts w:ascii="Times New Roman" w:hAnsi="Times New Roman" w:cs="Times New Roman"/>
                <w:color w:val="000000"/>
              </w:rPr>
              <w:t>in cases where conservation management changed during project implementation</w:t>
            </w:r>
            <w:r w:rsidR="004C1016">
              <w:rPr>
                <w:rFonts w:ascii="Times New Roman" w:hAnsi="Times New Roman" w:cs="Times New Roman"/>
                <w:color w:val="000000"/>
              </w:rPr>
              <w:t>.</w:t>
            </w:r>
          </w:p>
          <w:p w:rsidR="00743CF1" w:rsidRDefault="00743CF1" w:rsidP="00743CF1">
            <w:pPr>
              <w:spacing w:after="0" w:line="240" w:lineRule="auto"/>
              <w:ind w:left="185"/>
              <w:jc w:val="both"/>
              <w:rPr>
                <w:rFonts w:ascii="Times New Roman" w:hAnsi="Times New Roman" w:cs="Times New Roman"/>
                <w:color w:val="000000"/>
              </w:rPr>
            </w:pPr>
          </w:p>
          <w:p w:rsidR="000453F2" w:rsidRPr="00267911" w:rsidRDefault="00FA2A2A" w:rsidP="000453F2">
            <w:pPr>
              <w:numPr>
                <w:ilvl w:val="1"/>
                <w:numId w:val="11"/>
              </w:numPr>
              <w:spacing w:after="0" w:line="240" w:lineRule="auto"/>
              <w:ind w:left="185" w:hanging="180"/>
              <w:jc w:val="both"/>
              <w:rPr>
                <w:rFonts w:ascii="Times New Roman" w:hAnsi="Times New Roman" w:cs="Times New Roman"/>
              </w:rPr>
            </w:pPr>
            <w:r>
              <w:rPr>
                <w:rFonts w:ascii="Times New Roman" w:hAnsi="Times New Roman" w:cs="Times New Roman"/>
                <w:color w:val="000000"/>
              </w:rPr>
              <w:t xml:space="preserve">Participants </w:t>
            </w:r>
            <w:r w:rsidR="004C1016">
              <w:rPr>
                <w:rFonts w:ascii="Times New Roman" w:hAnsi="Times New Roman" w:cs="Times New Roman"/>
                <w:color w:val="000000"/>
              </w:rPr>
              <w:t xml:space="preserve">stated </w:t>
            </w:r>
            <w:r>
              <w:rPr>
                <w:rFonts w:ascii="Times New Roman" w:hAnsi="Times New Roman" w:cs="Times New Roman"/>
                <w:color w:val="000000"/>
              </w:rPr>
              <w:t xml:space="preserve">that the </w:t>
            </w:r>
            <w:r w:rsidR="00562EE1" w:rsidRPr="0024498C">
              <w:rPr>
                <w:rFonts w:ascii="Times New Roman" w:hAnsi="Times New Roman" w:cs="Times New Roman"/>
                <w:i/>
                <w:color w:val="000000"/>
              </w:rPr>
              <w:t>Ley de Consulta Previa</w:t>
            </w:r>
            <w:r w:rsidR="000453F2" w:rsidRPr="0024498C">
              <w:rPr>
                <w:rFonts w:ascii="Times New Roman" w:hAnsi="Times New Roman" w:cs="Times New Roman"/>
                <w:color w:val="000000"/>
              </w:rPr>
              <w:t xml:space="preserve"> </w:t>
            </w:r>
            <w:r>
              <w:rPr>
                <w:rFonts w:ascii="Times New Roman" w:hAnsi="Times New Roman" w:cs="Times New Roman"/>
                <w:color w:val="000000"/>
              </w:rPr>
              <w:t xml:space="preserve">requires </w:t>
            </w:r>
            <w:r w:rsidR="000453F2" w:rsidRPr="0024498C">
              <w:rPr>
                <w:rFonts w:ascii="Times New Roman" w:hAnsi="Times New Roman" w:cs="Times New Roman"/>
                <w:color w:val="000000"/>
              </w:rPr>
              <w:t>that the governmen</w:t>
            </w:r>
            <w:r w:rsidR="00562EE1" w:rsidRPr="0024498C">
              <w:rPr>
                <w:rFonts w:ascii="Times New Roman" w:hAnsi="Times New Roman" w:cs="Times New Roman"/>
                <w:color w:val="000000"/>
              </w:rPr>
              <w:t>t keep written documentation (</w:t>
            </w:r>
            <w:r w:rsidR="00562EE1" w:rsidRPr="0024498C">
              <w:rPr>
                <w:rFonts w:ascii="Times New Roman" w:hAnsi="Times New Roman" w:cs="Times New Roman"/>
                <w:i/>
                <w:color w:val="000000"/>
              </w:rPr>
              <w:t>actas</w:t>
            </w:r>
            <w:r w:rsidR="000453F2" w:rsidRPr="0024498C">
              <w:rPr>
                <w:rFonts w:ascii="Times New Roman" w:hAnsi="Times New Roman" w:cs="Times New Roman"/>
                <w:color w:val="000000"/>
              </w:rPr>
              <w:t xml:space="preserve">) of the consultation process and of </w:t>
            </w:r>
            <w:r>
              <w:rPr>
                <w:rFonts w:ascii="Times New Roman" w:hAnsi="Times New Roman" w:cs="Times New Roman"/>
                <w:color w:val="000000"/>
              </w:rPr>
              <w:t>how consent is reached</w:t>
            </w:r>
            <w:r w:rsidR="000453F2" w:rsidRPr="0024498C">
              <w:rPr>
                <w:rFonts w:ascii="Times New Roman" w:hAnsi="Times New Roman" w:cs="Times New Roman"/>
                <w:color w:val="000000"/>
              </w:rPr>
              <w:t xml:space="preserve">.  </w:t>
            </w:r>
            <w:r>
              <w:rPr>
                <w:rFonts w:ascii="Times New Roman" w:hAnsi="Times New Roman" w:cs="Times New Roman"/>
                <w:color w:val="000000"/>
              </w:rPr>
              <w:t xml:space="preserve">They highlighted that </w:t>
            </w:r>
            <w:r w:rsidR="000453F2" w:rsidRPr="0024498C">
              <w:rPr>
                <w:rFonts w:ascii="Times New Roman" w:hAnsi="Times New Roman" w:cs="Times New Roman"/>
                <w:color w:val="000000"/>
              </w:rPr>
              <w:t xml:space="preserve">that keeping records of the consultation process and of </w:t>
            </w:r>
            <w:r w:rsidR="004C1016">
              <w:rPr>
                <w:rFonts w:ascii="Times New Roman" w:hAnsi="Times New Roman" w:cs="Times New Roman"/>
                <w:color w:val="000000"/>
              </w:rPr>
              <w:t xml:space="preserve">how </w:t>
            </w:r>
            <w:r w:rsidR="000453F2" w:rsidRPr="0024498C">
              <w:rPr>
                <w:rFonts w:ascii="Times New Roman" w:hAnsi="Times New Roman" w:cs="Times New Roman"/>
                <w:color w:val="000000"/>
              </w:rPr>
              <w:t>consent</w:t>
            </w:r>
            <w:r w:rsidR="004C1016">
              <w:rPr>
                <w:rFonts w:ascii="Times New Roman" w:hAnsi="Times New Roman" w:cs="Times New Roman"/>
                <w:color w:val="000000"/>
              </w:rPr>
              <w:t xml:space="preserve"> was r</w:t>
            </w:r>
            <w:r w:rsidR="00495B89">
              <w:rPr>
                <w:rFonts w:ascii="Times New Roman" w:hAnsi="Times New Roman" w:cs="Times New Roman"/>
                <w:color w:val="000000"/>
              </w:rPr>
              <w:t>eached</w:t>
            </w:r>
            <w:r w:rsidR="000453F2" w:rsidRPr="0024498C">
              <w:rPr>
                <w:rFonts w:ascii="Times New Roman" w:hAnsi="Times New Roman" w:cs="Times New Roman"/>
                <w:color w:val="000000"/>
              </w:rPr>
              <w:t xml:space="preserve"> would not be an additional cost for the government</w:t>
            </w:r>
            <w:r w:rsidR="000453F2" w:rsidRPr="00267911">
              <w:rPr>
                <w:rFonts w:ascii="Times New Roman" w:hAnsi="Times New Roman" w:cs="Times New Roman"/>
              </w:rPr>
              <w:t>.</w:t>
            </w:r>
            <w:r w:rsidR="007A1E01" w:rsidRPr="00267911">
              <w:rPr>
                <w:rFonts w:ascii="Times New Roman" w:hAnsi="Times New Roman" w:cs="Times New Roman"/>
              </w:rPr>
              <w:t xml:space="preserve"> Actas (proceedings) should also be kept previous to Consulta Previa, during the assemblies to inform communities about the project</w:t>
            </w:r>
            <w:r w:rsidR="00AF4DA3" w:rsidRPr="00267911">
              <w:rPr>
                <w:rFonts w:ascii="Times New Roman" w:hAnsi="Times New Roman" w:cs="Times New Roman"/>
              </w:rPr>
              <w:t>.</w:t>
            </w:r>
          </w:p>
          <w:p w:rsidR="00743CF1" w:rsidRDefault="00743CF1" w:rsidP="00743CF1">
            <w:pPr>
              <w:spacing w:after="0" w:line="240" w:lineRule="auto"/>
              <w:ind w:left="185"/>
              <w:jc w:val="both"/>
              <w:rPr>
                <w:rFonts w:ascii="Times New Roman" w:hAnsi="Times New Roman" w:cs="Times New Roman"/>
                <w:color w:val="000000"/>
              </w:rPr>
            </w:pPr>
          </w:p>
          <w:p w:rsidR="00495B89" w:rsidRDefault="000453F2" w:rsidP="000453F2">
            <w:pPr>
              <w:numPr>
                <w:ilvl w:val="1"/>
                <w:numId w:val="11"/>
              </w:numPr>
              <w:spacing w:after="0" w:line="240" w:lineRule="auto"/>
              <w:ind w:left="185" w:hanging="180"/>
              <w:jc w:val="both"/>
              <w:rPr>
                <w:rFonts w:ascii="Times New Roman" w:hAnsi="Times New Roman" w:cs="Times New Roman"/>
                <w:color w:val="000000"/>
              </w:rPr>
            </w:pPr>
            <w:r w:rsidRPr="0024498C">
              <w:rPr>
                <w:rFonts w:ascii="Times New Roman" w:hAnsi="Times New Roman" w:cs="Times New Roman"/>
                <w:color w:val="000000"/>
              </w:rPr>
              <w:t xml:space="preserve">Participants </w:t>
            </w:r>
            <w:r w:rsidR="00495B89">
              <w:rPr>
                <w:rFonts w:ascii="Times New Roman" w:hAnsi="Times New Roman" w:cs="Times New Roman"/>
                <w:color w:val="000000"/>
              </w:rPr>
              <w:t xml:space="preserve">expressed that ESS 7 raised the bar too </w:t>
            </w:r>
            <w:r w:rsidRPr="0024498C">
              <w:rPr>
                <w:rFonts w:ascii="Times New Roman" w:hAnsi="Times New Roman" w:cs="Times New Roman"/>
                <w:color w:val="000000"/>
              </w:rPr>
              <w:t xml:space="preserve">high and that it </w:t>
            </w:r>
            <w:r w:rsidR="00495B89">
              <w:rPr>
                <w:rFonts w:ascii="Times New Roman" w:hAnsi="Times New Roman" w:cs="Times New Roman"/>
                <w:color w:val="000000"/>
              </w:rPr>
              <w:t xml:space="preserve">could ultimately create </w:t>
            </w:r>
            <w:r w:rsidRPr="0024498C">
              <w:rPr>
                <w:rFonts w:ascii="Times New Roman" w:hAnsi="Times New Roman" w:cs="Times New Roman"/>
                <w:color w:val="000000"/>
              </w:rPr>
              <w:t xml:space="preserve">obstacles </w:t>
            </w:r>
            <w:r w:rsidR="006259C1">
              <w:rPr>
                <w:rFonts w:ascii="Times New Roman" w:hAnsi="Times New Roman" w:cs="Times New Roman"/>
                <w:color w:val="000000"/>
              </w:rPr>
              <w:t xml:space="preserve">for project </w:t>
            </w:r>
            <w:r w:rsidRPr="0024498C">
              <w:rPr>
                <w:rFonts w:ascii="Times New Roman" w:hAnsi="Times New Roman" w:cs="Times New Roman"/>
                <w:color w:val="000000"/>
              </w:rPr>
              <w:t>implementation.</w:t>
            </w:r>
          </w:p>
          <w:p w:rsidR="00743CF1" w:rsidRPr="0024498C" w:rsidRDefault="00743CF1" w:rsidP="006259C1">
            <w:pPr>
              <w:spacing w:after="0" w:line="240" w:lineRule="auto"/>
              <w:jc w:val="both"/>
              <w:rPr>
                <w:rFonts w:ascii="Times New Roman" w:hAnsi="Times New Roman" w:cs="Times New Roman"/>
                <w:color w:val="000000"/>
              </w:rPr>
            </w:pP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lastRenderedPageBreak/>
              <w:t>ESS8</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Cultural Heritage</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Treatment of intangible cultural heritage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Application of intangible cultural heritage when the project intends to commercialize such heritage</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lastRenderedPageBreak/>
              <w:t>Application of cultural heritage requirements when cultural heritage has not been legally protected or previously identified or disturbed</w:t>
            </w:r>
          </w:p>
        </w:tc>
        <w:tc>
          <w:tcPr>
            <w:tcW w:w="7650" w:type="dxa"/>
            <w:shd w:val="clear" w:color="auto" w:fill="auto"/>
          </w:tcPr>
          <w:p w:rsidR="00944F46" w:rsidRDefault="00495B89" w:rsidP="00743CF1">
            <w:pPr>
              <w:numPr>
                <w:ilvl w:val="0"/>
                <w:numId w:val="30"/>
              </w:numPr>
              <w:spacing w:after="0" w:line="240" w:lineRule="auto"/>
              <w:ind w:left="185" w:hanging="180"/>
              <w:jc w:val="both"/>
              <w:rPr>
                <w:rFonts w:ascii="Times New Roman" w:hAnsi="Times New Roman" w:cs="Times New Roman"/>
              </w:rPr>
            </w:pPr>
            <w:r>
              <w:rPr>
                <w:rFonts w:ascii="Times New Roman" w:hAnsi="Times New Roman" w:cs="Times New Roman"/>
              </w:rPr>
              <w:lastRenderedPageBreak/>
              <w:t xml:space="preserve">Participants inquired why the </w:t>
            </w:r>
            <w:r w:rsidR="00562EE1" w:rsidRPr="0024498C">
              <w:rPr>
                <w:rFonts w:ascii="Times New Roman" w:hAnsi="Times New Roman" w:cs="Times New Roman"/>
              </w:rPr>
              <w:t>EIAs’ terms of refe</w:t>
            </w:r>
            <w:r>
              <w:rPr>
                <w:rFonts w:ascii="Times New Roman" w:hAnsi="Times New Roman" w:cs="Times New Roman"/>
              </w:rPr>
              <w:t xml:space="preserve">rence did </w:t>
            </w:r>
            <w:r w:rsidR="00562EE1" w:rsidRPr="0024498C">
              <w:rPr>
                <w:rFonts w:ascii="Times New Roman" w:hAnsi="Times New Roman" w:cs="Times New Roman"/>
              </w:rPr>
              <w:t>not include fossil s</w:t>
            </w:r>
            <w:r>
              <w:rPr>
                <w:rFonts w:ascii="Times New Roman" w:hAnsi="Times New Roman" w:cs="Times New Roman"/>
              </w:rPr>
              <w:t>ites or paleontological remains as areas to be considered during project design.</w:t>
            </w:r>
          </w:p>
          <w:p w:rsidR="00743CF1" w:rsidRPr="00743CF1" w:rsidRDefault="00743CF1" w:rsidP="00743CF1">
            <w:pPr>
              <w:spacing w:after="0" w:line="240" w:lineRule="auto"/>
              <w:ind w:left="185"/>
              <w:jc w:val="both"/>
              <w:rPr>
                <w:rFonts w:ascii="Times New Roman" w:hAnsi="Times New Roman" w:cs="Times New Roman"/>
              </w:rPr>
            </w:pP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lastRenderedPageBreak/>
              <w:t>ESS9</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Financial Intermediaries</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Application of standard to FI subprojects and resource implications depending on risk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Harmonization of approach with IFC and Equator Banks </w:t>
            </w:r>
          </w:p>
        </w:tc>
        <w:tc>
          <w:tcPr>
            <w:tcW w:w="7650" w:type="dxa"/>
            <w:shd w:val="clear" w:color="auto" w:fill="auto"/>
          </w:tcPr>
          <w:p w:rsidR="00495B89" w:rsidRDefault="00495B89"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Default="006259C1" w:rsidP="006259C1">
            <w:pPr>
              <w:spacing w:after="0" w:line="240" w:lineRule="auto"/>
              <w:jc w:val="both"/>
              <w:rPr>
                <w:rFonts w:ascii="Times New Roman" w:hAnsi="Times New Roman" w:cs="Times New Roman"/>
              </w:rPr>
            </w:pPr>
          </w:p>
          <w:p w:rsidR="006259C1" w:rsidRPr="0024498C" w:rsidRDefault="006259C1" w:rsidP="006259C1">
            <w:pPr>
              <w:spacing w:after="0" w:line="240" w:lineRule="auto"/>
              <w:jc w:val="both"/>
              <w:rPr>
                <w:rFonts w:ascii="Times New Roman" w:hAnsi="Times New Roman" w:cs="Times New Roman"/>
              </w:rPr>
            </w:pPr>
          </w:p>
        </w:tc>
      </w:tr>
      <w:tr w:rsidR="00944F46" w:rsidRPr="0024498C" w:rsidTr="00446B46">
        <w:tc>
          <w:tcPr>
            <w:tcW w:w="985"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ESS10</w:t>
            </w: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Stakeholder engagement</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Definition and identification of project stakeholders and nature of engagement</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Role of borrowing countries or implementing agencies in identifying project stakeholders</w:t>
            </w:r>
          </w:p>
        </w:tc>
        <w:tc>
          <w:tcPr>
            <w:tcW w:w="7650" w:type="dxa"/>
            <w:shd w:val="clear" w:color="auto" w:fill="auto"/>
          </w:tcPr>
          <w:p w:rsidR="00C738F2" w:rsidRPr="0024498C" w:rsidRDefault="00495B89" w:rsidP="00C738F2">
            <w:pPr>
              <w:pStyle w:val="ListParagraph"/>
              <w:numPr>
                <w:ilvl w:val="0"/>
                <w:numId w:val="31"/>
              </w:numPr>
              <w:ind w:left="185" w:hanging="180"/>
              <w:jc w:val="both"/>
              <w:rPr>
                <w:rFonts w:ascii="Times New Roman" w:hAnsi="Times New Roman"/>
              </w:rPr>
            </w:pPr>
            <w:r>
              <w:rPr>
                <w:rFonts w:ascii="Times New Roman" w:hAnsi="Times New Roman"/>
              </w:rPr>
              <w:t xml:space="preserve">Participants mentioned that </w:t>
            </w:r>
            <w:r w:rsidR="00562EE1" w:rsidRPr="0024498C">
              <w:rPr>
                <w:rFonts w:ascii="Times New Roman" w:hAnsi="Times New Roman"/>
              </w:rPr>
              <w:t>Peru has a law on citizen participation (</w:t>
            </w:r>
            <w:r w:rsidR="00562EE1" w:rsidRPr="0024498C">
              <w:rPr>
                <w:rFonts w:ascii="Times New Roman" w:hAnsi="Times New Roman"/>
                <w:i/>
              </w:rPr>
              <w:t>participación</w:t>
            </w:r>
            <w:r w:rsidR="00562EE1" w:rsidRPr="0024498C">
              <w:rPr>
                <w:rFonts w:ascii="Times New Roman" w:hAnsi="Times New Roman"/>
              </w:rPr>
              <w:t xml:space="preserve"> </w:t>
            </w:r>
            <w:r w:rsidR="00562EE1" w:rsidRPr="0024498C">
              <w:rPr>
                <w:rFonts w:ascii="Times New Roman" w:hAnsi="Times New Roman"/>
                <w:i/>
              </w:rPr>
              <w:t>ciudadana</w:t>
            </w:r>
            <w:r w:rsidR="00562EE1" w:rsidRPr="0024498C">
              <w:rPr>
                <w:rFonts w:ascii="Times New Roman" w:hAnsi="Times New Roman"/>
              </w:rPr>
              <w:t>) that</w:t>
            </w:r>
            <w:r w:rsidR="005338A4">
              <w:rPr>
                <w:rFonts w:ascii="Times New Roman" w:hAnsi="Times New Roman"/>
              </w:rPr>
              <w:t xml:space="preserve"> contains several of the requirements found in ESS 10</w:t>
            </w:r>
            <w:r w:rsidR="00562EE1" w:rsidRPr="0024498C">
              <w:rPr>
                <w:rFonts w:ascii="Times New Roman" w:hAnsi="Times New Roman"/>
              </w:rPr>
              <w:t xml:space="preserve">.  </w:t>
            </w:r>
            <w:r w:rsidR="005338A4">
              <w:rPr>
                <w:rFonts w:ascii="Times New Roman" w:hAnsi="Times New Roman"/>
              </w:rPr>
              <w:t xml:space="preserve">They highlighted that </w:t>
            </w:r>
            <w:r w:rsidR="00562EE1" w:rsidRPr="0024498C">
              <w:rPr>
                <w:rFonts w:ascii="Times New Roman" w:hAnsi="Times New Roman"/>
              </w:rPr>
              <w:t xml:space="preserve">the government </w:t>
            </w:r>
            <w:r w:rsidR="005338A4">
              <w:rPr>
                <w:rFonts w:ascii="Times New Roman" w:hAnsi="Times New Roman"/>
              </w:rPr>
              <w:t xml:space="preserve">already has a </w:t>
            </w:r>
            <w:r w:rsidR="00562EE1" w:rsidRPr="0024498C">
              <w:rPr>
                <w:rFonts w:ascii="Times New Roman" w:hAnsi="Times New Roman"/>
              </w:rPr>
              <w:t xml:space="preserve">system to monitor </w:t>
            </w:r>
            <w:r w:rsidR="005338A4">
              <w:rPr>
                <w:rFonts w:ascii="Times New Roman" w:hAnsi="Times New Roman"/>
              </w:rPr>
              <w:t xml:space="preserve">and ensure </w:t>
            </w:r>
            <w:r w:rsidR="00562EE1" w:rsidRPr="0024498C">
              <w:rPr>
                <w:rFonts w:ascii="Times New Roman" w:hAnsi="Times New Roman"/>
              </w:rPr>
              <w:t>citizen pa</w:t>
            </w:r>
            <w:r w:rsidR="005338A4">
              <w:rPr>
                <w:rFonts w:ascii="Times New Roman" w:hAnsi="Times New Roman"/>
              </w:rPr>
              <w:t>rticipation.</w:t>
            </w:r>
          </w:p>
          <w:p w:rsidR="00743CF1" w:rsidRDefault="00743CF1" w:rsidP="00743CF1">
            <w:pPr>
              <w:pStyle w:val="ListParagraph"/>
              <w:ind w:left="185"/>
              <w:jc w:val="both"/>
              <w:rPr>
                <w:rFonts w:ascii="Times New Roman" w:hAnsi="Times New Roman"/>
              </w:rPr>
            </w:pPr>
          </w:p>
          <w:p w:rsidR="00743CF1" w:rsidRDefault="005338A4" w:rsidP="00302101">
            <w:pPr>
              <w:pStyle w:val="ListParagraph"/>
              <w:numPr>
                <w:ilvl w:val="0"/>
                <w:numId w:val="31"/>
              </w:numPr>
              <w:ind w:left="185" w:hanging="180"/>
              <w:jc w:val="both"/>
              <w:rPr>
                <w:rFonts w:ascii="Times New Roman" w:hAnsi="Times New Roman"/>
              </w:rPr>
            </w:pPr>
            <w:r w:rsidRPr="005338A4">
              <w:rPr>
                <w:rFonts w:ascii="Times New Roman" w:hAnsi="Times New Roman"/>
              </w:rPr>
              <w:t xml:space="preserve">Participants mentioned that national law </w:t>
            </w:r>
            <w:r w:rsidR="00C738F2" w:rsidRPr="005338A4">
              <w:rPr>
                <w:rFonts w:ascii="Times New Roman" w:hAnsi="Times New Roman"/>
              </w:rPr>
              <w:t xml:space="preserve">requires citizen participation and consultation during </w:t>
            </w:r>
            <w:r w:rsidRPr="005338A4">
              <w:rPr>
                <w:rFonts w:ascii="Times New Roman" w:hAnsi="Times New Roman"/>
              </w:rPr>
              <w:t xml:space="preserve">project-implementation, but not during project design, </w:t>
            </w:r>
            <w:r w:rsidR="00C738F2" w:rsidRPr="005338A4">
              <w:rPr>
                <w:rFonts w:ascii="Times New Roman" w:hAnsi="Times New Roman"/>
              </w:rPr>
              <w:t>as required under ESS</w:t>
            </w:r>
            <w:r w:rsidR="0044333F">
              <w:rPr>
                <w:rFonts w:ascii="Times New Roman" w:hAnsi="Times New Roman"/>
              </w:rPr>
              <w:t xml:space="preserve"> </w:t>
            </w:r>
            <w:r w:rsidR="00C738F2" w:rsidRPr="005338A4">
              <w:rPr>
                <w:rFonts w:ascii="Times New Roman" w:hAnsi="Times New Roman"/>
              </w:rPr>
              <w:t>10</w:t>
            </w:r>
            <w:r w:rsidRPr="005338A4">
              <w:rPr>
                <w:rFonts w:ascii="Times New Roman" w:hAnsi="Times New Roman"/>
              </w:rPr>
              <w:t>.</w:t>
            </w:r>
          </w:p>
          <w:p w:rsidR="005338A4" w:rsidRPr="005338A4" w:rsidRDefault="005338A4" w:rsidP="005338A4">
            <w:pPr>
              <w:pStyle w:val="ListParagraph"/>
              <w:ind w:left="185"/>
              <w:jc w:val="both"/>
              <w:rPr>
                <w:rFonts w:ascii="Times New Roman" w:hAnsi="Times New Roman"/>
              </w:rPr>
            </w:pPr>
          </w:p>
          <w:p w:rsidR="00944F46" w:rsidRPr="00267911" w:rsidRDefault="005338A4" w:rsidP="00C738F2">
            <w:pPr>
              <w:pStyle w:val="ListParagraph"/>
              <w:numPr>
                <w:ilvl w:val="0"/>
                <w:numId w:val="31"/>
              </w:numPr>
              <w:ind w:left="185" w:hanging="180"/>
              <w:jc w:val="both"/>
              <w:rPr>
                <w:rFonts w:ascii="Times New Roman" w:hAnsi="Times New Roman"/>
              </w:rPr>
            </w:pPr>
            <w:r>
              <w:rPr>
                <w:rFonts w:ascii="Times New Roman" w:hAnsi="Times New Roman"/>
              </w:rPr>
              <w:t>Participants mentioned that informal g</w:t>
            </w:r>
            <w:r w:rsidR="00C738F2" w:rsidRPr="0024498C">
              <w:rPr>
                <w:rFonts w:ascii="Times New Roman" w:hAnsi="Times New Roman"/>
              </w:rPr>
              <w:t xml:space="preserve">rievance mechanisms </w:t>
            </w:r>
            <w:r>
              <w:rPr>
                <w:rFonts w:ascii="Times New Roman" w:hAnsi="Times New Roman"/>
              </w:rPr>
              <w:t xml:space="preserve">exists </w:t>
            </w:r>
            <w:r w:rsidR="00C738F2" w:rsidRPr="0024498C">
              <w:rPr>
                <w:rFonts w:ascii="Times New Roman" w:hAnsi="Times New Roman"/>
              </w:rPr>
              <w:t>in rural areas</w:t>
            </w:r>
            <w:r>
              <w:rPr>
                <w:rFonts w:ascii="Times New Roman" w:hAnsi="Times New Roman"/>
              </w:rPr>
              <w:t xml:space="preserve"> and are often managed by the community</w:t>
            </w:r>
            <w:r w:rsidR="00C738F2" w:rsidRPr="00267911">
              <w:rPr>
                <w:rFonts w:ascii="Times New Roman" w:hAnsi="Times New Roman"/>
              </w:rPr>
              <w:t>.</w:t>
            </w:r>
            <w:r w:rsidR="007A1E01" w:rsidRPr="00267911">
              <w:rPr>
                <w:rFonts w:ascii="Times New Roman" w:hAnsi="Times New Roman"/>
              </w:rPr>
              <w:t xml:space="preserve"> Informal grievances mechanisms are too </w:t>
            </w:r>
            <w:r w:rsidR="001A3F9A">
              <w:rPr>
                <w:rFonts w:ascii="Times New Roman" w:hAnsi="Times New Roman"/>
              </w:rPr>
              <w:t>f</w:t>
            </w:r>
            <w:r w:rsidR="007A1E01" w:rsidRPr="00267911">
              <w:rPr>
                <w:rFonts w:ascii="Times New Roman" w:hAnsi="Times New Roman"/>
              </w:rPr>
              <w:t>u</w:t>
            </w:r>
            <w:r w:rsidR="001A3F9A">
              <w:rPr>
                <w:rFonts w:ascii="Times New Roman" w:hAnsi="Times New Roman"/>
              </w:rPr>
              <w:t>zz</w:t>
            </w:r>
            <w:bookmarkStart w:id="0" w:name="_GoBack"/>
            <w:bookmarkEnd w:id="0"/>
            <w:r w:rsidR="007A1E01" w:rsidRPr="00267911">
              <w:rPr>
                <w:rFonts w:ascii="Times New Roman" w:hAnsi="Times New Roman"/>
              </w:rPr>
              <w:t>y. These need to be made explicit, and include formats for people willing to place a claim, and procedures to assess the claim should be made explicit</w:t>
            </w:r>
            <w:r w:rsidR="008F60D4" w:rsidRPr="00267911">
              <w:rPr>
                <w:rFonts w:ascii="Times New Roman" w:hAnsi="Times New Roman"/>
              </w:rPr>
              <w:t>.</w:t>
            </w:r>
          </w:p>
          <w:p w:rsidR="00743CF1" w:rsidRPr="0024498C" w:rsidRDefault="00743CF1" w:rsidP="00743CF1">
            <w:pPr>
              <w:pStyle w:val="ListParagraph"/>
              <w:ind w:left="185"/>
              <w:jc w:val="both"/>
              <w:rPr>
                <w:rFonts w:ascii="Times New Roman" w:hAnsi="Times New Roman"/>
              </w:rPr>
            </w:pPr>
          </w:p>
        </w:tc>
      </w:tr>
      <w:tr w:rsidR="00944F46" w:rsidRPr="0024498C" w:rsidTr="00446B46">
        <w:tc>
          <w:tcPr>
            <w:tcW w:w="985" w:type="dxa"/>
            <w:vMerge w:val="restart"/>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General</w:t>
            </w:r>
          </w:p>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 xml:space="preserve"> EHSG and GIIP</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eastAsia="SimSun" w:hAnsi="Times New Roman"/>
                <w:lang w:eastAsia="zh-CN"/>
              </w:rPr>
            </w:pPr>
            <w:r w:rsidRPr="0024498C">
              <w:rPr>
                <w:rFonts w:ascii="Times New Roman" w:hAnsi="Times New Roman"/>
              </w:rPr>
              <w:t>Application of the Environmental, Health and Safety Guidelines (</w:t>
            </w:r>
            <w:r w:rsidRPr="0024498C">
              <w:rPr>
                <w:rFonts w:ascii="Times New Roman" w:eastAsia="SimSun" w:hAnsi="Times New Roman"/>
                <w:lang w:eastAsia="zh-CN"/>
              </w:rPr>
              <w:t xml:space="preserve">EHSGs) and </w:t>
            </w:r>
            <w:r w:rsidRPr="0024498C">
              <w:rPr>
                <w:rFonts w:ascii="Times New Roman" w:hAnsi="Times New Roman"/>
              </w:rPr>
              <w:t>Good International Industry Practice (</w:t>
            </w:r>
            <w:r w:rsidRPr="0024498C">
              <w:rPr>
                <w:rFonts w:ascii="Times New Roman" w:eastAsia="SimSun" w:hAnsi="Times New Roman"/>
                <w:lang w:eastAsia="zh-CN"/>
              </w:rPr>
              <w:t>GIIP), especially when different to national law or where the Borrower has technical or financial constraints and/or in view of project specific circumstances</w:t>
            </w:r>
          </w:p>
        </w:tc>
        <w:tc>
          <w:tcPr>
            <w:tcW w:w="7650" w:type="dxa"/>
            <w:shd w:val="clear" w:color="auto" w:fill="auto"/>
          </w:tcPr>
          <w:p w:rsidR="00944F46" w:rsidRPr="0024498C" w:rsidRDefault="00944F46" w:rsidP="00446B46">
            <w:pPr>
              <w:pStyle w:val="ListParagraph"/>
              <w:ind w:left="342"/>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 xml:space="preserve">Feasibility and resources for </w:t>
            </w:r>
            <w:r w:rsidRPr="0024498C">
              <w:rPr>
                <w:rFonts w:ascii="Times New Roman" w:hAnsi="Times New Roman" w:cs="Times New Roman"/>
              </w:rPr>
              <w:lastRenderedPageBreak/>
              <w:t>implementation</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eastAsia="SimSun" w:hAnsi="Times New Roman"/>
                <w:lang w:eastAsia="zh-CN"/>
              </w:rPr>
            </w:pPr>
            <w:r w:rsidRPr="0024498C">
              <w:rPr>
                <w:rFonts w:ascii="Times New Roman" w:eastAsia="SimSun" w:hAnsi="Times New Roman"/>
                <w:lang w:eastAsia="zh-CN"/>
              </w:rPr>
              <w:lastRenderedPageBreak/>
              <w:t xml:space="preserve">Implementation and resource implications for Borrowers, </w:t>
            </w:r>
            <w:r w:rsidRPr="0024498C">
              <w:rPr>
                <w:rFonts w:ascii="Times New Roman" w:eastAsia="SimSun" w:hAnsi="Times New Roman"/>
                <w:lang w:eastAsia="zh-CN"/>
              </w:rPr>
              <w:lastRenderedPageBreak/>
              <w:t>taking into account factors such as the expanded scope of the proposed ESF (e.g., labor standard), different Borrower capacities and adaptive management approach</w:t>
            </w:r>
          </w:p>
          <w:p w:rsidR="00944F46" w:rsidRPr="0024498C" w:rsidRDefault="00944F46" w:rsidP="00446B46">
            <w:pPr>
              <w:pStyle w:val="ListParagraph"/>
              <w:numPr>
                <w:ilvl w:val="0"/>
                <w:numId w:val="11"/>
              </w:numPr>
              <w:ind w:left="342"/>
              <w:rPr>
                <w:rFonts w:ascii="Times New Roman" w:eastAsia="SimSun" w:hAnsi="Times New Roman"/>
                <w:lang w:eastAsia="zh-CN"/>
              </w:rPr>
            </w:pPr>
            <w:r w:rsidRPr="0024498C">
              <w:rPr>
                <w:rFonts w:ascii="Times New Roman" w:eastAsia="SimSun" w:hAnsi="Times New Roman"/>
                <w:lang w:eastAsia="zh-CN"/>
              </w:rPr>
              <w:t>Mitigation of additional burden and cost and options for improving implementation efficiency while maintaining effectiveness</w:t>
            </w:r>
          </w:p>
        </w:tc>
        <w:tc>
          <w:tcPr>
            <w:tcW w:w="7650" w:type="dxa"/>
            <w:shd w:val="clear" w:color="auto" w:fill="auto"/>
          </w:tcPr>
          <w:p w:rsidR="00743CF1" w:rsidRDefault="00AD43D2" w:rsidP="00AD43D2">
            <w:pPr>
              <w:numPr>
                <w:ilvl w:val="0"/>
                <w:numId w:val="32"/>
              </w:numPr>
              <w:spacing w:after="0" w:line="240" w:lineRule="auto"/>
              <w:ind w:left="185" w:hanging="180"/>
              <w:jc w:val="both"/>
              <w:rPr>
                <w:rFonts w:ascii="Times New Roman" w:hAnsi="Times New Roman" w:cs="Times New Roman"/>
              </w:rPr>
            </w:pPr>
            <w:r>
              <w:rPr>
                <w:rFonts w:ascii="Times New Roman" w:hAnsi="Times New Roman" w:cs="Times New Roman"/>
              </w:rPr>
              <w:lastRenderedPageBreak/>
              <w:t xml:space="preserve">Participants asked who would </w:t>
            </w:r>
            <w:r w:rsidR="00A02603" w:rsidRPr="0024498C">
              <w:rPr>
                <w:rFonts w:ascii="Times New Roman" w:hAnsi="Times New Roman" w:cs="Times New Roman"/>
              </w:rPr>
              <w:t xml:space="preserve">cover additional costs that </w:t>
            </w:r>
            <w:r w:rsidR="0044333F">
              <w:rPr>
                <w:rFonts w:ascii="Times New Roman" w:hAnsi="Times New Roman" w:cs="Times New Roman"/>
              </w:rPr>
              <w:t>may</w:t>
            </w:r>
            <w:r>
              <w:rPr>
                <w:rFonts w:ascii="Times New Roman" w:hAnsi="Times New Roman" w:cs="Times New Roman"/>
              </w:rPr>
              <w:t xml:space="preserve"> arise during the life-</w:t>
            </w:r>
            <w:r w:rsidR="00A02603" w:rsidRPr="0024498C">
              <w:rPr>
                <w:rFonts w:ascii="Times New Roman" w:hAnsi="Times New Roman" w:cs="Times New Roman"/>
              </w:rPr>
              <w:t xml:space="preserve">cycle of </w:t>
            </w:r>
            <w:r>
              <w:rPr>
                <w:rFonts w:ascii="Times New Roman" w:hAnsi="Times New Roman" w:cs="Times New Roman"/>
              </w:rPr>
              <w:t xml:space="preserve">a </w:t>
            </w:r>
            <w:r w:rsidR="00A02603" w:rsidRPr="0024498C">
              <w:rPr>
                <w:rFonts w:ascii="Times New Roman" w:hAnsi="Times New Roman" w:cs="Times New Roman"/>
              </w:rPr>
              <w:t>project</w:t>
            </w:r>
            <w:r>
              <w:rPr>
                <w:rFonts w:ascii="Times New Roman" w:hAnsi="Times New Roman" w:cs="Times New Roman"/>
              </w:rPr>
              <w:t xml:space="preserve">, for example </w:t>
            </w:r>
            <w:r w:rsidR="00A02603" w:rsidRPr="0024498C">
              <w:rPr>
                <w:rFonts w:ascii="Times New Roman" w:hAnsi="Times New Roman" w:cs="Times New Roman"/>
              </w:rPr>
              <w:t>due to change</w:t>
            </w:r>
            <w:r>
              <w:rPr>
                <w:rFonts w:ascii="Times New Roman" w:hAnsi="Times New Roman" w:cs="Times New Roman"/>
              </w:rPr>
              <w:t>s</w:t>
            </w:r>
            <w:r w:rsidR="00A02603" w:rsidRPr="0024498C">
              <w:rPr>
                <w:rFonts w:ascii="Times New Roman" w:hAnsi="Times New Roman" w:cs="Times New Roman"/>
              </w:rPr>
              <w:t xml:space="preserve"> in </w:t>
            </w:r>
            <w:r>
              <w:rPr>
                <w:rFonts w:ascii="Times New Roman" w:hAnsi="Times New Roman" w:cs="Times New Roman"/>
              </w:rPr>
              <w:t>risk classification and</w:t>
            </w:r>
            <w:r w:rsidR="00A02603" w:rsidRPr="0024498C">
              <w:rPr>
                <w:rFonts w:ascii="Times New Roman" w:hAnsi="Times New Roman" w:cs="Times New Roman"/>
              </w:rPr>
              <w:t xml:space="preserve"> new </w:t>
            </w:r>
            <w:r w:rsidR="00A02603" w:rsidRPr="0024498C">
              <w:rPr>
                <w:rFonts w:ascii="Times New Roman" w:hAnsi="Times New Roman" w:cs="Times New Roman"/>
              </w:rPr>
              <w:lastRenderedPageBreak/>
              <w:t>findings</w:t>
            </w:r>
            <w:r>
              <w:rPr>
                <w:rFonts w:ascii="Times New Roman" w:hAnsi="Times New Roman" w:cs="Times New Roman"/>
              </w:rPr>
              <w:t xml:space="preserve"> that require</w:t>
            </w:r>
            <w:r w:rsidR="00A02603" w:rsidRPr="0024498C">
              <w:rPr>
                <w:rFonts w:ascii="Times New Roman" w:hAnsi="Times New Roman" w:cs="Times New Roman"/>
              </w:rPr>
              <w:t xml:space="preserve"> additional </w:t>
            </w:r>
            <w:r w:rsidR="0044333F">
              <w:rPr>
                <w:rFonts w:ascii="Times New Roman" w:hAnsi="Times New Roman" w:cs="Times New Roman"/>
              </w:rPr>
              <w:t xml:space="preserve">mitigation </w:t>
            </w:r>
            <w:r w:rsidR="00A02603" w:rsidRPr="0024498C">
              <w:rPr>
                <w:rFonts w:ascii="Times New Roman" w:hAnsi="Times New Roman" w:cs="Times New Roman"/>
              </w:rPr>
              <w:t>measures</w:t>
            </w:r>
            <w:r>
              <w:rPr>
                <w:rFonts w:ascii="Times New Roman" w:hAnsi="Times New Roman" w:cs="Times New Roman"/>
              </w:rPr>
              <w:t>.</w:t>
            </w:r>
          </w:p>
          <w:p w:rsidR="00AD43D2" w:rsidRDefault="00AD43D2" w:rsidP="00AD43D2">
            <w:pPr>
              <w:spacing w:after="0" w:line="240" w:lineRule="auto"/>
              <w:ind w:left="185"/>
              <w:jc w:val="both"/>
              <w:rPr>
                <w:rFonts w:ascii="Times New Roman" w:hAnsi="Times New Roman" w:cs="Times New Roman"/>
              </w:rPr>
            </w:pPr>
          </w:p>
          <w:p w:rsidR="00D2743C" w:rsidRPr="0024498C" w:rsidRDefault="0044333F" w:rsidP="00D2743C">
            <w:pPr>
              <w:numPr>
                <w:ilvl w:val="0"/>
                <w:numId w:val="32"/>
              </w:numPr>
              <w:spacing w:after="0" w:line="240" w:lineRule="auto"/>
              <w:ind w:left="185" w:hanging="180"/>
              <w:jc w:val="both"/>
              <w:rPr>
                <w:rFonts w:ascii="Times New Roman" w:hAnsi="Times New Roman" w:cs="Times New Roman"/>
              </w:rPr>
            </w:pPr>
            <w:r>
              <w:rPr>
                <w:rFonts w:ascii="Times New Roman" w:hAnsi="Times New Roman" w:cs="Times New Roman"/>
              </w:rPr>
              <w:t>Participants inquired if the World Bank foresaw</w:t>
            </w:r>
            <w:r w:rsidR="00AD43D2">
              <w:rPr>
                <w:rFonts w:ascii="Times New Roman" w:hAnsi="Times New Roman" w:cs="Times New Roman"/>
              </w:rPr>
              <w:t xml:space="preserve"> </w:t>
            </w:r>
            <w:r w:rsidR="00A02603" w:rsidRPr="0024498C">
              <w:rPr>
                <w:rFonts w:ascii="Times New Roman" w:hAnsi="Times New Roman" w:cs="Times New Roman"/>
              </w:rPr>
              <w:t xml:space="preserve">additional costs </w:t>
            </w:r>
            <w:r>
              <w:rPr>
                <w:rFonts w:ascii="Times New Roman" w:hAnsi="Times New Roman" w:cs="Times New Roman"/>
              </w:rPr>
              <w:t xml:space="preserve">arising </w:t>
            </w:r>
            <w:r w:rsidR="00A02603" w:rsidRPr="0024498C">
              <w:rPr>
                <w:rFonts w:ascii="Times New Roman" w:hAnsi="Times New Roman" w:cs="Times New Roman"/>
              </w:rPr>
              <w:t>for the Peruvian Govern</w:t>
            </w:r>
            <w:r w:rsidR="00D2743C" w:rsidRPr="0024498C">
              <w:rPr>
                <w:rFonts w:ascii="Times New Roman" w:hAnsi="Times New Roman" w:cs="Times New Roman"/>
              </w:rPr>
              <w:t xml:space="preserve">ment for using the proposed </w:t>
            </w:r>
            <w:r w:rsidR="00AD43D2">
              <w:rPr>
                <w:rFonts w:ascii="Times New Roman" w:hAnsi="Times New Roman" w:cs="Times New Roman"/>
              </w:rPr>
              <w:t>Framework</w:t>
            </w:r>
            <w:r>
              <w:rPr>
                <w:rFonts w:ascii="Times New Roman" w:hAnsi="Times New Roman" w:cs="Times New Roman"/>
              </w:rPr>
              <w:t>.</w:t>
            </w:r>
          </w:p>
          <w:p w:rsidR="00743CF1" w:rsidRDefault="00743CF1" w:rsidP="00743CF1">
            <w:pPr>
              <w:spacing w:after="0" w:line="240" w:lineRule="auto"/>
              <w:ind w:left="185"/>
              <w:jc w:val="both"/>
              <w:rPr>
                <w:rFonts w:ascii="Times New Roman" w:hAnsi="Times New Roman" w:cs="Times New Roman"/>
              </w:rPr>
            </w:pPr>
          </w:p>
          <w:p w:rsidR="00D2743C" w:rsidRPr="0024498C" w:rsidRDefault="00AD43D2" w:rsidP="00D2743C">
            <w:pPr>
              <w:numPr>
                <w:ilvl w:val="0"/>
                <w:numId w:val="32"/>
              </w:numPr>
              <w:spacing w:after="0" w:line="240" w:lineRule="auto"/>
              <w:ind w:left="185" w:hanging="180"/>
              <w:jc w:val="both"/>
              <w:rPr>
                <w:rFonts w:ascii="Times New Roman" w:hAnsi="Times New Roman" w:cs="Times New Roman"/>
              </w:rPr>
            </w:pPr>
            <w:r>
              <w:rPr>
                <w:rFonts w:ascii="Times New Roman" w:hAnsi="Times New Roman" w:cs="Times New Roman"/>
              </w:rPr>
              <w:t xml:space="preserve">Participants expressed that there </w:t>
            </w:r>
            <w:r w:rsidR="00D2743C" w:rsidRPr="0024498C">
              <w:rPr>
                <w:rFonts w:ascii="Times New Roman" w:hAnsi="Times New Roman" w:cs="Times New Roman"/>
              </w:rPr>
              <w:t xml:space="preserve">could be additional costs </w:t>
            </w:r>
            <w:r>
              <w:rPr>
                <w:rFonts w:ascii="Times New Roman" w:hAnsi="Times New Roman" w:cs="Times New Roman"/>
              </w:rPr>
              <w:t xml:space="preserve">due to the management of </w:t>
            </w:r>
            <w:r w:rsidR="00D2743C" w:rsidRPr="0024498C">
              <w:rPr>
                <w:rFonts w:ascii="Times New Roman" w:hAnsi="Times New Roman" w:cs="Times New Roman"/>
              </w:rPr>
              <w:t>cumulative impact</w:t>
            </w:r>
            <w:r>
              <w:rPr>
                <w:rFonts w:ascii="Times New Roman" w:hAnsi="Times New Roman" w:cs="Times New Roman"/>
              </w:rPr>
              <w:t>s</w:t>
            </w:r>
            <w:r w:rsidR="00D2743C" w:rsidRPr="0024498C">
              <w:rPr>
                <w:rFonts w:ascii="Times New Roman" w:hAnsi="Times New Roman" w:cs="Times New Roman"/>
              </w:rPr>
              <w:t xml:space="preserve"> </w:t>
            </w:r>
            <w:r>
              <w:rPr>
                <w:rFonts w:ascii="Times New Roman" w:hAnsi="Times New Roman" w:cs="Times New Roman"/>
              </w:rPr>
              <w:t xml:space="preserve">in </w:t>
            </w:r>
            <w:r w:rsidR="00D2743C" w:rsidRPr="0024498C">
              <w:rPr>
                <w:rFonts w:ascii="Times New Roman" w:hAnsi="Times New Roman" w:cs="Times New Roman"/>
              </w:rPr>
              <w:t>forest</w:t>
            </w:r>
            <w:r>
              <w:rPr>
                <w:rFonts w:ascii="Times New Roman" w:hAnsi="Times New Roman" w:cs="Times New Roman"/>
              </w:rPr>
              <w:t>s</w:t>
            </w:r>
            <w:r w:rsidR="00D2743C" w:rsidRPr="0024498C">
              <w:rPr>
                <w:rFonts w:ascii="Times New Roman" w:hAnsi="Times New Roman" w:cs="Times New Roman"/>
              </w:rPr>
              <w:t>.</w:t>
            </w:r>
          </w:p>
          <w:p w:rsidR="00944F46" w:rsidRPr="0024498C" w:rsidRDefault="00944F46" w:rsidP="00D2743C">
            <w:pPr>
              <w:spacing w:after="0" w:line="240" w:lineRule="auto"/>
              <w:ind w:left="185"/>
              <w:jc w:val="both"/>
              <w:rPr>
                <w:rFonts w:ascii="Times New Roman" w:hAnsi="Times New Roman" w:cs="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color w:val="000000"/>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color w:val="000000"/>
              </w:rPr>
              <w:t>Client capacity building and implementation support</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Funding for client capacity building</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 xml:space="preserve">Approaches and areas of </w:t>
            </w:r>
            <w:r w:rsidRPr="0024498C">
              <w:rPr>
                <w:rFonts w:ascii="Times New Roman" w:hAnsi="Times New Roman"/>
                <w:color w:val="000000"/>
              </w:rPr>
              <w:t>focus</w:t>
            </w:r>
            <w:r w:rsidRPr="0024498C">
              <w:rPr>
                <w:rFonts w:ascii="Times New Roman" w:hAnsi="Times New Roman"/>
              </w:rPr>
              <w:t xml:space="preserve"> </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Approach to implementing the ESF in situations with capacity constraints, e.g., FCS, small states and emergency situations</w:t>
            </w:r>
          </w:p>
        </w:tc>
        <w:tc>
          <w:tcPr>
            <w:tcW w:w="7650" w:type="dxa"/>
            <w:shd w:val="clear" w:color="auto" w:fill="auto"/>
          </w:tcPr>
          <w:p w:rsidR="00D26D02" w:rsidRPr="0024498C" w:rsidRDefault="00D26D02" w:rsidP="00446B46">
            <w:pPr>
              <w:pStyle w:val="ListParagraph"/>
              <w:ind w:left="342"/>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color w:val="000000"/>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color w:val="000000"/>
              </w:rPr>
            </w:pPr>
            <w:r w:rsidRPr="0024498C">
              <w:rPr>
                <w:rFonts w:ascii="Times New Roman" w:hAnsi="Times New Roman" w:cs="Times New Roman"/>
                <w:color w:val="000000"/>
              </w:rPr>
              <w:t>Disclosure</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Timing of the preparation and disclosure of specific environmental and social impact assessment documents (related to ESS1 and ESS10)</w:t>
            </w:r>
          </w:p>
        </w:tc>
        <w:tc>
          <w:tcPr>
            <w:tcW w:w="7650" w:type="dxa"/>
            <w:shd w:val="clear" w:color="auto" w:fill="auto"/>
          </w:tcPr>
          <w:p w:rsidR="00944F46" w:rsidRPr="0024498C" w:rsidRDefault="00944F46" w:rsidP="00446B46">
            <w:pPr>
              <w:pStyle w:val="ListParagraph"/>
              <w:ind w:left="342"/>
              <w:jc w:val="both"/>
              <w:rPr>
                <w:rFonts w:ascii="Times New Roman" w:hAnsi="Times New Roman"/>
              </w:rPr>
            </w:pPr>
          </w:p>
        </w:tc>
      </w:tr>
      <w:tr w:rsidR="00944F46" w:rsidRPr="0024498C" w:rsidTr="00446B46">
        <w:tc>
          <w:tcPr>
            <w:tcW w:w="985" w:type="dxa"/>
            <w:vMerge/>
            <w:shd w:val="clear" w:color="auto" w:fill="E7E6E6"/>
          </w:tcPr>
          <w:p w:rsidR="00944F46" w:rsidRPr="0024498C" w:rsidRDefault="00944F46" w:rsidP="00446B46">
            <w:pPr>
              <w:spacing w:after="0" w:line="240" w:lineRule="auto"/>
              <w:rPr>
                <w:rFonts w:ascii="Times New Roman" w:hAnsi="Times New Roman" w:cs="Times New Roman"/>
              </w:rPr>
            </w:pPr>
          </w:p>
        </w:tc>
        <w:tc>
          <w:tcPr>
            <w:tcW w:w="2160" w:type="dxa"/>
            <w:shd w:val="clear" w:color="auto" w:fill="E7E6E6"/>
          </w:tcPr>
          <w:p w:rsidR="00944F46" w:rsidRPr="0024498C" w:rsidRDefault="00944F46" w:rsidP="00446B46">
            <w:pPr>
              <w:spacing w:after="0" w:line="240" w:lineRule="auto"/>
              <w:rPr>
                <w:rFonts w:ascii="Times New Roman" w:hAnsi="Times New Roman" w:cs="Times New Roman"/>
              </w:rPr>
            </w:pPr>
            <w:r w:rsidRPr="0024498C">
              <w:rPr>
                <w:rFonts w:ascii="Times New Roman" w:hAnsi="Times New Roman" w:cs="Times New Roman"/>
              </w:rPr>
              <w:t>Implementation of the ESF</w:t>
            </w:r>
          </w:p>
        </w:tc>
        <w:tc>
          <w:tcPr>
            <w:tcW w:w="3510" w:type="dxa"/>
            <w:shd w:val="clear" w:color="auto" w:fill="E7E6E6"/>
          </w:tcPr>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Bank internal capacity building, resourcing, and behavioral change in order to successfully implement the ESF</w:t>
            </w:r>
          </w:p>
          <w:p w:rsidR="00944F46" w:rsidRPr="0024498C" w:rsidRDefault="00944F46" w:rsidP="00446B46">
            <w:pPr>
              <w:pStyle w:val="ListParagraph"/>
              <w:numPr>
                <w:ilvl w:val="0"/>
                <w:numId w:val="11"/>
              </w:numPr>
              <w:ind w:left="342"/>
              <w:rPr>
                <w:rFonts w:ascii="Times New Roman" w:hAnsi="Times New Roman"/>
              </w:rPr>
            </w:pPr>
            <w:r w:rsidRPr="0024498C">
              <w:rPr>
                <w:rFonts w:ascii="Times New Roman" w:hAnsi="Times New Roman"/>
              </w:rPr>
              <w:t>Ways of reaching mutual understanding between Borrower and Bank on issues of difficult interpretation</w:t>
            </w:r>
          </w:p>
        </w:tc>
        <w:tc>
          <w:tcPr>
            <w:tcW w:w="7650" w:type="dxa"/>
            <w:shd w:val="clear" w:color="auto" w:fill="auto"/>
          </w:tcPr>
          <w:p w:rsidR="00D2743C" w:rsidRPr="0024498C" w:rsidRDefault="009758E0" w:rsidP="00D2743C">
            <w:pPr>
              <w:numPr>
                <w:ilvl w:val="0"/>
                <w:numId w:val="33"/>
              </w:numPr>
              <w:spacing w:after="0" w:line="240" w:lineRule="auto"/>
              <w:ind w:left="185" w:hanging="180"/>
              <w:rPr>
                <w:rFonts w:ascii="Times New Roman" w:hAnsi="Times New Roman" w:cs="Times New Roman"/>
              </w:rPr>
            </w:pPr>
            <w:r>
              <w:rPr>
                <w:rFonts w:ascii="Times New Roman" w:hAnsi="Times New Roman" w:cs="Times New Roman"/>
              </w:rPr>
              <w:t xml:space="preserve">Participants asked what </w:t>
            </w:r>
            <w:r w:rsidR="00D2743C" w:rsidRPr="0024498C">
              <w:rPr>
                <w:rFonts w:ascii="Times New Roman" w:hAnsi="Times New Roman" w:cs="Times New Roman"/>
              </w:rPr>
              <w:t xml:space="preserve">supervision and monitoring systems </w:t>
            </w:r>
            <w:r>
              <w:rPr>
                <w:rFonts w:ascii="Times New Roman" w:hAnsi="Times New Roman" w:cs="Times New Roman"/>
              </w:rPr>
              <w:t xml:space="preserve">would be put in place by the World </w:t>
            </w:r>
            <w:r w:rsidR="00D2743C" w:rsidRPr="0024498C">
              <w:rPr>
                <w:rFonts w:ascii="Times New Roman" w:hAnsi="Times New Roman" w:cs="Times New Roman"/>
              </w:rPr>
              <w:t xml:space="preserve">Bank for the implementation of the </w:t>
            </w:r>
            <w:r>
              <w:rPr>
                <w:rFonts w:ascii="Times New Roman" w:hAnsi="Times New Roman" w:cs="Times New Roman"/>
              </w:rPr>
              <w:t>proposed Framework.</w:t>
            </w:r>
          </w:p>
          <w:p w:rsidR="00944F46" w:rsidRPr="0024498C" w:rsidRDefault="00944F46" w:rsidP="00446B46">
            <w:pPr>
              <w:pStyle w:val="ListParagraph"/>
              <w:ind w:left="342"/>
              <w:jc w:val="both"/>
              <w:rPr>
                <w:rFonts w:ascii="Times New Roman" w:hAnsi="Times New Roman"/>
              </w:rPr>
            </w:pPr>
          </w:p>
        </w:tc>
      </w:tr>
      <w:tr w:rsidR="00446B46" w:rsidRPr="0024498C" w:rsidTr="00446B46">
        <w:tc>
          <w:tcPr>
            <w:tcW w:w="14305" w:type="dxa"/>
            <w:gridSpan w:val="4"/>
            <w:shd w:val="clear" w:color="auto" w:fill="E7E6E6"/>
          </w:tcPr>
          <w:p w:rsidR="00446B46" w:rsidRPr="0024498C" w:rsidRDefault="00446B46" w:rsidP="00446B46">
            <w:pPr>
              <w:spacing w:after="0" w:line="240" w:lineRule="auto"/>
              <w:jc w:val="both"/>
              <w:rPr>
                <w:rFonts w:ascii="Times New Roman" w:hAnsi="Times New Roman" w:cs="Times New Roman"/>
                <w:b/>
              </w:rPr>
            </w:pPr>
            <w:r w:rsidRPr="0024498C">
              <w:rPr>
                <w:rFonts w:ascii="Times New Roman" w:hAnsi="Times New Roman" w:cs="Times New Roman"/>
                <w:b/>
              </w:rPr>
              <w:t>Other issues</w:t>
            </w:r>
          </w:p>
          <w:p w:rsidR="00ED28AF" w:rsidRDefault="00ED28AF" w:rsidP="00ED28AF">
            <w:pPr>
              <w:spacing w:after="0" w:line="240" w:lineRule="auto"/>
              <w:ind w:left="180"/>
              <w:jc w:val="both"/>
              <w:rPr>
                <w:rFonts w:ascii="Times New Roman" w:hAnsi="Times New Roman" w:cs="Times New Roman"/>
              </w:rPr>
            </w:pPr>
          </w:p>
          <w:p w:rsidR="00B54001" w:rsidRPr="0024498C" w:rsidRDefault="00BB1D77" w:rsidP="00D2743C">
            <w:pPr>
              <w:numPr>
                <w:ilvl w:val="0"/>
                <w:numId w:val="34"/>
              </w:numPr>
              <w:spacing w:after="0" w:line="240" w:lineRule="auto"/>
              <w:ind w:left="180" w:hanging="180"/>
              <w:jc w:val="both"/>
              <w:rPr>
                <w:rFonts w:ascii="Times New Roman" w:hAnsi="Times New Roman" w:cs="Times New Roman"/>
              </w:rPr>
            </w:pPr>
            <w:r>
              <w:rPr>
                <w:rFonts w:ascii="Times New Roman" w:hAnsi="Times New Roman" w:cs="Times New Roman"/>
              </w:rPr>
              <w:t>Participants expressed that the Bank should be concerned about borrowers not being able to implement the proposed Framework only when g</w:t>
            </w:r>
            <w:r w:rsidR="00B54001" w:rsidRPr="0024498C">
              <w:rPr>
                <w:rFonts w:ascii="Times New Roman" w:hAnsi="Times New Roman" w:cs="Times New Roman"/>
              </w:rPr>
              <w:t>overnment</w:t>
            </w:r>
            <w:r>
              <w:rPr>
                <w:rFonts w:ascii="Times New Roman" w:hAnsi="Times New Roman" w:cs="Times New Roman"/>
              </w:rPr>
              <w:t>s</w:t>
            </w:r>
            <w:r w:rsidR="00B54001" w:rsidRPr="0024498C">
              <w:rPr>
                <w:rFonts w:ascii="Times New Roman" w:hAnsi="Times New Roman" w:cs="Times New Roman"/>
              </w:rPr>
              <w:t xml:space="preserve"> </w:t>
            </w:r>
            <w:r>
              <w:rPr>
                <w:rFonts w:ascii="Times New Roman" w:hAnsi="Times New Roman" w:cs="Times New Roman"/>
              </w:rPr>
              <w:t xml:space="preserve">do not comply </w:t>
            </w:r>
            <w:r w:rsidR="00B54001" w:rsidRPr="0024498C">
              <w:rPr>
                <w:rFonts w:ascii="Times New Roman" w:hAnsi="Times New Roman" w:cs="Times New Roman"/>
              </w:rPr>
              <w:t xml:space="preserve">with </w:t>
            </w:r>
            <w:r>
              <w:rPr>
                <w:rFonts w:ascii="Times New Roman" w:hAnsi="Times New Roman" w:cs="Times New Roman"/>
              </w:rPr>
              <w:t xml:space="preserve">their </w:t>
            </w:r>
            <w:r w:rsidR="00B54001" w:rsidRPr="0024498C">
              <w:rPr>
                <w:rFonts w:ascii="Times New Roman" w:hAnsi="Times New Roman" w:cs="Times New Roman"/>
              </w:rPr>
              <w:t>own</w:t>
            </w:r>
            <w:r>
              <w:rPr>
                <w:rFonts w:ascii="Times New Roman" w:hAnsi="Times New Roman" w:cs="Times New Roman"/>
              </w:rPr>
              <w:t xml:space="preserve"> frameworks</w:t>
            </w:r>
            <w:r w:rsidR="00B54001" w:rsidRPr="0024498C">
              <w:rPr>
                <w:rFonts w:ascii="Times New Roman" w:hAnsi="Times New Roman" w:cs="Times New Roman"/>
              </w:rPr>
              <w:t>.</w:t>
            </w:r>
          </w:p>
          <w:p w:rsidR="00ED28AF" w:rsidRDefault="00ED28AF" w:rsidP="00ED28AF">
            <w:pPr>
              <w:spacing w:after="0" w:line="240" w:lineRule="auto"/>
              <w:ind w:left="180"/>
              <w:jc w:val="both"/>
              <w:rPr>
                <w:rFonts w:ascii="Times New Roman" w:hAnsi="Times New Roman" w:cs="Times New Roman"/>
              </w:rPr>
            </w:pPr>
          </w:p>
          <w:p w:rsidR="00ED28AF" w:rsidRDefault="00BB1D77" w:rsidP="00302101">
            <w:pPr>
              <w:numPr>
                <w:ilvl w:val="0"/>
                <w:numId w:val="34"/>
              </w:numPr>
              <w:spacing w:after="0" w:line="240" w:lineRule="auto"/>
              <w:ind w:left="180" w:hanging="180"/>
              <w:jc w:val="both"/>
              <w:rPr>
                <w:rFonts w:ascii="Times New Roman" w:hAnsi="Times New Roman" w:cs="Times New Roman"/>
              </w:rPr>
            </w:pPr>
            <w:r w:rsidRPr="00BB1D77">
              <w:rPr>
                <w:rFonts w:ascii="Times New Roman" w:hAnsi="Times New Roman" w:cs="Times New Roman"/>
              </w:rPr>
              <w:t xml:space="preserve">Participants mentioned that </w:t>
            </w:r>
            <w:r w:rsidR="00B54001" w:rsidRPr="00BB1D77">
              <w:rPr>
                <w:rFonts w:ascii="Times New Roman" w:hAnsi="Times New Roman" w:cs="Times New Roman"/>
              </w:rPr>
              <w:t>ESS</w:t>
            </w:r>
            <w:r w:rsidR="007A77D4">
              <w:rPr>
                <w:rFonts w:ascii="Times New Roman" w:hAnsi="Times New Roman" w:cs="Times New Roman"/>
              </w:rPr>
              <w:t xml:space="preserve"> </w:t>
            </w:r>
            <w:r w:rsidR="00B54001" w:rsidRPr="00BB1D77">
              <w:rPr>
                <w:rFonts w:ascii="Times New Roman" w:hAnsi="Times New Roman" w:cs="Times New Roman"/>
              </w:rPr>
              <w:t xml:space="preserve">4 </w:t>
            </w:r>
            <w:r>
              <w:rPr>
                <w:rFonts w:ascii="Times New Roman" w:hAnsi="Times New Roman" w:cs="Times New Roman"/>
              </w:rPr>
              <w:t>should</w:t>
            </w:r>
            <w:r w:rsidRPr="00BB1D77">
              <w:rPr>
                <w:rFonts w:ascii="Times New Roman" w:hAnsi="Times New Roman" w:cs="Times New Roman"/>
              </w:rPr>
              <w:t xml:space="preserve"> not include </w:t>
            </w:r>
            <w:r w:rsidR="00B54001" w:rsidRPr="00BB1D77">
              <w:rPr>
                <w:rFonts w:ascii="Times New Roman" w:hAnsi="Times New Roman" w:cs="Times New Roman"/>
              </w:rPr>
              <w:t>reference</w:t>
            </w:r>
            <w:r w:rsidRPr="00BB1D77">
              <w:rPr>
                <w:rFonts w:ascii="Times New Roman" w:hAnsi="Times New Roman" w:cs="Times New Roman"/>
              </w:rPr>
              <w:t>s</w:t>
            </w:r>
            <w:r w:rsidR="00B54001" w:rsidRPr="00BB1D77">
              <w:rPr>
                <w:rFonts w:ascii="Times New Roman" w:hAnsi="Times New Roman" w:cs="Times New Roman"/>
              </w:rPr>
              <w:t xml:space="preserve"> to disability </w:t>
            </w:r>
            <w:r w:rsidRPr="00BB1D77">
              <w:rPr>
                <w:rFonts w:ascii="Times New Roman" w:hAnsi="Times New Roman" w:cs="Times New Roman"/>
              </w:rPr>
              <w:t xml:space="preserve">and mentioned that universal access should </w:t>
            </w:r>
            <w:r>
              <w:rPr>
                <w:rFonts w:ascii="Times New Roman" w:hAnsi="Times New Roman" w:cs="Times New Roman"/>
              </w:rPr>
              <w:t>be included in ESS</w:t>
            </w:r>
            <w:r w:rsidR="007A77D4">
              <w:rPr>
                <w:rFonts w:ascii="Times New Roman" w:hAnsi="Times New Roman" w:cs="Times New Roman"/>
              </w:rPr>
              <w:t xml:space="preserve"> </w:t>
            </w:r>
            <w:r>
              <w:rPr>
                <w:rFonts w:ascii="Times New Roman" w:hAnsi="Times New Roman" w:cs="Times New Roman"/>
              </w:rPr>
              <w:t>4.</w:t>
            </w:r>
          </w:p>
          <w:p w:rsidR="00446B46" w:rsidRPr="0024498C" w:rsidRDefault="00446B46" w:rsidP="00BB1D77">
            <w:pPr>
              <w:spacing w:after="0" w:line="240" w:lineRule="auto"/>
              <w:jc w:val="both"/>
              <w:rPr>
                <w:rFonts w:ascii="Times New Roman" w:hAnsi="Times New Roman" w:cs="Times New Roman"/>
              </w:rPr>
            </w:pPr>
          </w:p>
        </w:tc>
      </w:tr>
    </w:tbl>
    <w:p w:rsidR="00F248C2" w:rsidRPr="0024498C" w:rsidRDefault="00F248C2" w:rsidP="00F248C2">
      <w:pPr>
        <w:rPr>
          <w:rFonts w:ascii="Times New Roman" w:hAnsi="Times New Roman" w:cs="Times New Roman"/>
          <w:sz w:val="24"/>
          <w:szCs w:val="24"/>
        </w:rPr>
      </w:pPr>
    </w:p>
    <w:sectPr w:rsidR="00F248C2" w:rsidRPr="0024498C"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C7" w:rsidRDefault="00876AC7" w:rsidP="002A2CFE">
      <w:pPr>
        <w:spacing w:after="0" w:line="240" w:lineRule="auto"/>
      </w:pPr>
      <w:r>
        <w:separator/>
      </w:r>
    </w:p>
  </w:endnote>
  <w:endnote w:type="continuationSeparator" w:id="0">
    <w:p w:rsidR="00876AC7" w:rsidRDefault="00876AC7" w:rsidP="002A2CFE">
      <w:pPr>
        <w:spacing w:after="0" w:line="240" w:lineRule="auto"/>
      </w:pPr>
      <w:r>
        <w:continuationSeparator/>
      </w:r>
    </w:p>
  </w:endnote>
  <w:endnote w:type="continuationNotice" w:id="1">
    <w:p w:rsidR="00876AC7" w:rsidRDefault="00876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3D" w:rsidRDefault="00A4143D">
    <w:pPr>
      <w:pStyle w:val="Footer"/>
      <w:jc w:val="right"/>
    </w:pPr>
    <w:r>
      <w:fldChar w:fldCharType="begin"/>
    </w:r>
    <w:r>
      <w:instrText xml:space="preserve"> PAGE   \* MERGEFORMAT </w:instrText>
    </w:r>
    <w:r>
      <w:fldChar w:fldCharType="separate"/>
    </w:r>
    <w:r w:rsidR="008C3BF0">
      <w:rPr>
        <w:noProof/>
      </w:rPr>
      <w:t>9</w:t>
    </w:r>
    <w:r>
      <w:rPr>
        <w:noProof/>
      </w:rPr>
      <w:fldChar w:fldCharType="end"/>
    </w:r>
  </w:p>
  <w:p w:rsidR="00A4143D" w:rsidRDefault="00A4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C7" w:rsidRDefault="00876AC7" w:rsidP="002A2CFE">
      <w:pPr>
        <w:spacing w:after="0" w:line="240" w:lineRule="auto"/>
      </w:pPr>
      <w:r>
        <w:separator/>
      </w:r>
    </w:p>
  </w:footnote>
  <w:footnote w:type="continuationSeparator" w:id="0">
    <w:p w:rsidR="00876AC7" w:rsidRDefault="00876AC7" w:rsidP="002A2CFE">
      <w:pPr>
        <w:spacing w:after="0" w:line="240" w:lineRule="auto"/>
      </w:pPr>
      <w:r>
        <w:continuationSeparator/>
      </w:r>
    </w:p>
  </w:footnote>
  <w:footnote w:type="continuationNotice" w:id="1">
    <w:p w:rsidR="00876AC7" w:rsidRDefault="00876AC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E6C"/>
    <w:multiLevelType w:val="hybridMultilevel"/>
    <w:tmpl w:val="C35E9038"/>
    <w:lvl w:ilvl="0" w:tplc="719874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F6DB9"/>
    <w:multiLevelType w:val="hybridMultilevel"/>
    <w:tmpl w:val="660AF95A"/>
    <w:lvl w:ilvl="0" w:tplc="719874A6">
      <w:numFmt w:val="bullet"/>
      <w:lvlText w:val="•"/>
      <w:lvlJc w:val="left"/>
      <w:pPr>
        <w:ind w:left="725" w:hanging="360"/>
      </w:pPr>
      <w:rPr>
        <w:rFonts w:ascii="Times New Roman" w:eastAsia="Calibri" w:hAnsi="Times New Roman"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014F2"/>
    <w:multiLevelType w:val="hybridMultilevel"/>
    <w:tmpl w:val="553650B2"/>
    <w:lvl w:ilvl="0" w:tplc="719874A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B1CEC"/>
    <w:multiLevelType w:val="hybridMultilevel"/>
    <w:tmpl w:val="896C8AD4"/>
    <w:lvl w:ilvl="0" w:tplc="719874A6">
      <w:numFmt w:val="bullet"/>
      <w:lvlText w:val="•"/>
      <w:lvlJc w:val="left"/>
      <w:pPr>
        <w:ind w:left="1152" w:hanging="360"/>
      </w:pPr>
      <w:rPr>
        <w:rFonts w:ascii="Times New Roman" w:eastAsia="Calibri"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5F611D5"/>
    <w:multiLevelType w:val="hybridMultilevel"/>
    <w:tmpl w:val="AEFED9C8"/>
    <w:lvl w:ilvl="0" w:tplc="719874A6">
      <w:numFmt w:val="bullet"/>
      <w:lvlText w:val="•"/>
      <w:lvlJc w:val="left"/>
      <w:pPr>
        <w:ind w:left="702" w:hanging="360"/>
      </w:pPr>
      <w:rPr>
        <w:rFonts w:ascii="Times New Roman" w:eastAsia="Calibri"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266936D4"/>
    <w:multiLevelType w:val="hybridMultilevel"/>
    <w:tmpl w:val="C75E14F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36105"/>
    <w:multiLevelType w:val="hybridMultilevel"/>
    <w:tmpl w:val="A830C976"/>
    <w:lvl w:ilvl="0" w:tplc="719874A6">
      <w:numFmt w:val="bullet"/>
      <w:lvlText w:val="•"/>
      <w:lvlJc w:val="left"/>
      <w:pPr>
        <w:ind w:left="725" w:hanging="360"/>
      </w:pPr>
      <w:rPr>
        <w:rFonts w:ascii="Times New Roman" w:eastAsia="Calibri" w:hAnsi="Times New Roman" w:cs="Times New Roman"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1"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135F"/>
    <w:multiLevelType w:val="hybridMultilevel"/>
    <w:tmpl w:val="8AA6907C"/>
    <w:lvl w:ilvl="0" w:tplc="719874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5F92"/>
    <w:multiLevelType w:val="hybridMultilevel"/>
    <w:tmpl w:val="232CA200"/>
    <w:lvl w:ilvl="0" w:tplc="0409000F">
      <w:start w:val="1"/>
      <w:numFmt w:val="decimal"/>
      <w:lvlText w:val="%1."/>
      <w:lvlJc w:val="left"/>
      <w:pPr>
        <w:ind w:left="792" w:hanging="360"/>
      </w:pPr>
    </w:lvl>
    <w:lvl w:ilvl="1" w:tplc="719874A6">
      <w:numFmt w:val="bullet"/>
      <w:lvlText w:val="•"/>
      <w:lvlJc w:val="left"/>
      <w:pPr>
        <w:ind w:left="1512" w:hanging="360"/>
      </w:pPr>
      <w:rPr>
        <w:rFonts w:ascii="Times New Roman" w:eastAsia="Calibr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B11441B"/>
    <w:multiLevelType w:val="hybridMultilevel"/>
    <w:tmpl w:val="1E88C59E"/>
    <w:lvl w:ilvl="0" w:tplc="719874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2109E"/>
    <w:multiLevelType w:val="hybridMultilevel"/>
    <w:tmpl w:val="801A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E5A34"/>
    <w:multiLevelType w:val="hybridMultilevel"/>
    <w:tmpl w:val="72CECA2E"/>
    <w:lvl w:ilvl="0" w:tplc="719874A6">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62641"/>
    <w:multiLevelType w:val="hybridMultilevel"/>
    <w:tmpl w:val="A6604AB8"/>
    <w:lvl w:ilvl="0" w:tplc="719874A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D3759"/>
    <w:multiLevelType w:val="hybridMultilevel"/>
    <w:tmpl w:val="1612161A"/>
    <w:lvl w:ilvl="0" w:tplc="719874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836B7"/>
    <w:multiLevelType w:val="hybridMultilevel"/>
    <w:tmpl w:val="B7E8E46A"/>
    <w:lvl w:ilvl="0" w:tplc="719874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87DC0"/>
    <w:multiLevelType w:val="hybridMultilevel"/>
    <w:tmpl w:val="2938D0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642E06CB"/>
    <w:multiLevelType w:val="hybridMultilevel"/>
    <w:tmpl w:val="A476D018"/>
    <w:lvl w:ilvl="0" w:tplc="719874A6">
      <w:numFmt w:val="bullet"/>
      <w:lvlText w:val="•"/>
      <w:lvlJc w:val="left"/>
      <w:pPr>
        <w:ind w:left="905" w:hanging="360"/>
      </w:pPr>
      <w:rPr>
        <w:rFonts w:ascii="Times New Roman" w:eastAsia="Calibri"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6"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9357F"/>
    <w:multiLevelType w:val="hybridMultilevel"/>
    <w:tmpl w:val="EF483198"/>
    <w:lvl w:ilvl="0" w:tplc="719874A6">
      <w:numFmt w:val="bullet"/>
      <w:lvlText w:val="•"/>
      <w:lvlJc w:val="left"/>
      <w:pPr>
        <w:ind w:left="725" w:hanging="360"/>
      </w:pPr>
      <w:rPr>
        <w:rFonts w:ascii="Times New Roman" w:eastAsia="Calibri" w:hAnsi="Times New Roman"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8" w15:restartNumberingAfterBreak="0">
    <w:nsid w:val="7571313F"/>
    <w:multiLevelType w:val="hybridMultilevel"/>
    <w:tmpl w:val="E0FCC994"/>
    <w:lvl w:ilvl="0" w:tplc="719874A6">
      <w:numFmt w:val="bullet"/>
      <w:lvlText w:val="•"/>
      <w:lvlJc w:val="left"/>
      <w:pPr>
        <w:ind w:left="725" w:hanging="360"/>
      </w:pPr>
      <w:rPr>
        <w:rFonts w:ascii="Times New Roman" w:eastAsia="Calibri" w:hAnsi="Times New Roman"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9" w15:restartNumberingAfterBreak="0">
    <w:nsid w:val="77F4197D"/>
    <w:multiLevelType w:val="hybridMultilevel"/>
    <w:tmpl w:val="0052C03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0"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E0719"/>
    <w:multiLevelType w:val="hybridMultilevel"/>
    <w:tmpl w:val="E3A4CA64"/>
    <w:lvl w:ilvl="0" w:tplc="719874A6">
      <w:numFmt w:val="bullet"/>
      <w:lvlText w:val="•"/>
      <w:lvlJc w:val="left"/>
      <w:pPr>
        <w:ind w:left="720" w:hanging="360"/>
      </w:pPr>
      <w:rPr>
        <w:rFonts w:ascii="Times New Roman" w:eastAsia="Calibri" w:hAnsi="Times New Roman" w:cs="Times New Roman" w:hint="default"/>
      </w:rPr>
    </w:lvl>
    <w:lvl w:ilvl="1" w:tplc="719874A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2421A"/>
    <w:multiLevelType w:val="hybridMultilevel"/>
    <w:tmpl w:val="44A8629A"/>
    <w:lvl w:ilvl="0" w:tplc="719874A6">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3"/>
  </w:num>
  <w:num w:numId="5">
    <w:abstractNumId w:val="1"/>
  </w:num>
  <w:num w:numId="6">
    <w:abstractNumId w:val="4"/>
  </w:num>
  <w:num w:numId="7">
    <w:abstractNumId w:val="11"/>
  </w:num>
  <w:num w:numId="8">
    <w:abstractNumId w:val="26"/>
  </w:num>
  <w:num w:numId="9">
    <w:abstractNumId w:val="20"/>
  </w:num>
  <w:num w:numId="10">
    <w:abstractNumId w:val="9"/>
  </w:num>
  <w:num w:numId="11">
    <w:abstractNumId w:val="16"/>
  </w:num>
  <w:num w:numId="12">
    <w:abstractNumId w:val="30"/>
  </w:num>
  <w:num w:numId="13">
    <w:abstractNumId w:val="33"/>
  </w:num>
  <w:num w:numId="14">
    <w:abstractNumId w:val="24"/>
  </w:num>
  <w:num w:numId="15">
    <w:abstractNumId w:val="8"/>
  </w:num>
  <w:num w:numId="16">
    <w:abstractNumId w:val="29"/>
  </w:num>
  <w:num w:numId="17">
    <w:abstractNumId w:val="5"/>
  </w:num>
  <w:num w:numId="18">
    <w:abstractNumId w:val="31"/>
  </w:num>
  <w:num w:numId="19">
    <w:abstractNumId w:val="10"/>
  </w:num>
  <w:num w:numId="20">
    <w:abstractNumId w:val="19"/>
  </w:num>
  <w:num w:numId="21">
    <w:abstractNumId w:val="32"/>
  </w:num>
  <w:num w:numId="22">
    <w:abstractNumId w:val="3"/>
  </w:num>
  <w:num w:numId="23">
    <w:abstractNumId w:val="17"/>
  </w:num>
  <w:num w:numId="24">
    <w:abstractNumId w:val="21"/>
  </w:num>
  <w:num w:numId="25">
    <w:abstractNumId w:val="25"/>
  </w:num>
  <w:num w:numId="26">
    <w:abstractNumId w:val="6"/>
  </w:num>
  <w:num w:numId="27">
    <w:abstractNumId w:val="27"/>
  </w:num>
  <w:num w:numId="28">
    <w:abstractNumId w:val="28"/>
  </w:num>
  <w:num w:numId="29">
    <w:abstractNumId w:val="18"/>
  </w:num>
  <w:num w:numId="30">
    <w:abstractNumId w:val="12"/>
  </w:num>
  <w:num w:numId="31">
    <w:abstractNumId w:val="0"/>
  </w:num>
  <w:num w:numId="32">
    <w:abstractNumId w:val="7"/>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C9A"/>
    <w:rsid w:val="0000149B"/>
    <w:rsid w:val="00003DE8"/>
    <w:rsid w:val="00003E60"/>
    <w:rsid w:val="00020167"/>
    <w:rsid w:val="000260EF"/>
    <w:rsid w:val="00026364"/>
    <w:rsid w:val="00027054"/>
    <w:rsid w:val="000336A3"/>
    <w:rsid w:val="00036C50"/>
    <w:rsid w:val="00037EE7"/>
    <w:rsid w:val="00040B41"/>
    <w:rsid w:val="000419FF"/>
    <w:rsid w:val="00042513"/>
    <w:rsid w:val="000453F2"/>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25645"/>
    <w:rsid w:val="00126EED"/>
    <w:rsid w:val="00126FB8"/>
    <w:rsid w:val="00131F29"/>
    <w:rsid w:val="001341BB"/>
    <w:rsid w:val="00135480"/>
    <w:rsid w:val="001409EF"/>
    <w:rsid w:val="00143016"/>
    <w:rsid w:val="00143AFC"/>
    <w:rsid w:val="00144F04"/>
    <w:rsid w:val="001459D8"/>
    <w:rsid w:val="00161A0A"/>
    <w:rsid w:val="00163038"/>
    <w:rsid w:val="00171F36"/>
    <w:rsid w:val="00182A56"/>
    <w:rsid w:val="0018639F"/>
    <w:rsid w:val="00193D0E"/>
    <w:rsid w:val="00197F14"/>
    <w:rsid w:val="001A2EB8"/>
    <w:rsid w:val="001A3F9A"/>
    <w:rsid w:val="001B467B"/>
    <w:rsid w:val="001C5B10"/>
    <w:rsid w:val="001D3DB1"/>
    <w:rsid w:val="001D4666"/>
    <w:rsid w:val="001D7A18"/>
    <w:rsid w:val="001E03E7"/>
    <w:rsid w:val="001E111A"/>
    <w:rsid w:val="001E55D1"/>
    <w:rsid w:val="001E61A5"/>
    <w:rsid w:val="00202567"/>
    <w:rsid w:val="00205480"/>
    <w:rsid w:val="0020711F"/>
    <w:rsid w:val="00217107"/>
    <w:rsid w:val="00224D63"/>
    <w:rsid w:val="00226BE3"/>
    <w:rsid w:val="002338A2"/>
    <w:rsid w:val="0023659A"/>
    <w:rsid w:val="00242AD8"/>
    <w:rsid w:val="00243F3E"/>
    <w:rsid w:val="0024498C"/>
    <w:rsid w:val="00250D57"/>
    <w:rsid w:val="002513D5"/>
    <w:rsid w:val="002530B6"/>
    <w:rsid w:val="00262E1C"/>
    <w:rsid w:val="00267911"/>
    <w:rsid w:val="002736E5"/>
    <w:rsid w:val="002744A1"/>
    <w:rsid w:val="00276204"/>
    <w:rsid w:val="00282F1B"/>
    <w:rsid w:val="0029188A"/>
    <w:rsid w:val="002A096A"/>
    <w:rsid w:val="002A2CFE"/>
    <w:rsid w:val="002B19ED"/>
    <w:rsid w:val="002B3D8A"/>
    <w:rsid w:val="002B4214"/>
    <w:rsid w:val="002B5F16"/>
    <w:rsid w:val="002D5BA1"/>
    <w:rsid w:val="002E7855"/>
    <w:rsid w:val="002F2CD2"/>
    <w:rsid w:val="002F45A4"/>
    <w:rsid w:val="00300C38"/>
    <w:rsid w:val="00302101"/>
    <w:rsid w:val="00315C22"/>
    <w:rsid w:val="003202FE"/>
    <w:rsid w:val="00327EC9"/>
    <w:rsid w:val="00331AB4"/>
    <w:rsid w:val="0035406A"/>
    <w:rsid w:val="00355F4A"/>
    <w:rsid w:val="00356334"/>
    <w:rsid w:val="00356796"/>
    <w:rsid w:val="00366948"/>
    <w:rsid w:val="00380663"/>
    <w:rsid w:val="00381278"/>
    <w:rsid w:val="00381AD4"/>
    <w:rsid w:val="00382214"/>
    <w:rsid w:val="00383C66"/>
    <w:rsid w:val="003852D6"/>
    <w:rsid w:val="00394CA5"/>
    <w:rsid w:val="003A3AFF"/>
    <w:rsid w:val="003A647D"/>
    <w:rsid w:val="003B0F7B"/>
    <w:rsid w:val="003B155E"/>
    <w:rsid w:val="003B1C71"/>
    <w:rsid w:val="003B3DBC"/>
    <w:rsid w:val="003B5F46"/>
    <w:rsid w:val="003D11E6"/>
    <w:rsid w:val="003D4A7B"/>
    <w:rsid w:val="003E4BEE"/>
    <w:rsid w:val="003E4EC3"/>
    <w:rsid w:val="003E7BBA"/>
    <w:rsid w:val="003F1223"/>
    <w:rsid w:val="00404676"/>
    <w:rsid w:val="00404915"/>
    <w:rsid w:val="00412FE5"/>
    <w:rsid w:val="004135A3"/>
    <w:rsid w:val="00420CFF"/>
    <w:rsid w:val="004241C3"/>
    <w:rsid w:val="004256AD"/>
    <w:rsid w:val="00426441"/>
    <w:rsid w:val="004269B4"/>
    <w:rsid w:val="00426EAF"/>
    <w:rsid w:val="0043075D"/>
    <w:rsid w:val="00432368"/>
    <w:rsid w:val="0044333F"/>
    <w:rsid w:val="00444D49"/>
    <w:rsid w:val="00446B46"/>
    <w:rsid w:val="00446F4F"/>
    <w:rsid w:val="00447B65"/>
    <w:rsid w:val="00452976"/>
    <w:rsid w:val="004646E2"/>
    <w:rsid w:val="004666EF"/>
    <w:rsid w:val="004716A6"/>
    <w:rsid w:val="00477137"/>
    <w:rsid w:val="004808FE"/>
    <w:rsid w:val="004873BC"/>
    <w:rsid w:val="0049193E"/>
    <w:rsid w:val="00493231"/>
    <w:rsid w:val="00495B89"/>
    <w:rsid w:val="004A022A"/>
    <w:rsid w:val="004A7E4C"/>
    <w:rsid w:val="004B014C"/>
    <w:rsid w:val="004B42DC"/>
    <w:rsid w:val="004B75C6"/>
    <w:rsid w:val="004C1016"/>
    <w:rsid w:val="004C660E"/>
    <w:rsid w:val="004C788C"/>
    <w:rsid w:val="004D1AC7"/>
    <w:rsid w:val="004D1AE5"/>
    <w:rsid w:val="004E15D0"/>
    <w:rsid w:val="004E3AAD"/>
    <w:rsid w:val="004E41B6"/>
    <w:rsid w:val="004E4F8A"/>
    <w:rsid w:val="004F0E90"/>
    <w:rsid w:val="004F11ED"/>
    <w:rsid w:val="005032BD"/>
    <w:rsid w:val="005039CD"/>
    <w:rsid w:val="0051172F"/>
    <w:rsid w:val="00523D1A"/>
    <w:rsid w:val="005277C3"/>
    <w:rsid w:val="00527CA3"/>
    <w:rsid w:val="005338A4"/>
    <w:rsid w:val="005469E1"/>
    <w:rsid w:val="005566FF"/>
    <w:rsid w:val="00557376"/>
    <w:rsid w:val="00562EE1"/>
    <w:rsid w:val="00566F76"/>
    <w:rsid w:val="00570D27"/>
    <w:rsid w:val="005806D3"/>
    <w:rsid w:val="005818DD"/>
    <w:rsid w:val="00586B31"/>
    <w:rsid w:val="00587E9E"/>
    <w:rsid w:val="005907B4"/>
    <w:rsid w:val="005A2B56"/>
    <w:rsid w:val="005C0E62"/>
    <w:rsid w:val="005C1442"/>
    <w:rsid w:val="005D31D7"/>
    <w:rsid w:val="005D3B1D"/>
    <w:rsid w:val="005D6FC2"/>
    <w:rsid w:val="005E3773"/>
    <w:rsid w:val="005E4057"/>
    <w:rsid w:val="005E4F6B"/>
    <w:rsid w:val="005E6F14"/>
    <w:rsid w:val="005E7DDD"/>
    <w:rsid w:val="005F7AF0"/>
    <w:rsid w:val="00600956"/>
    <w:rsid w:val="00601D29"/>
    <w:rsid w:val="006177C4"/>
    <w:rsid w:val="00624C2C"/>
    <w:rsid w:val="006259C1"/>
    <w:rsid w:val="00626FC2"/>
    <w:rsid w:val="00635FF7"/>
    <w:rsid w:val="00641839"/>
    <w:rsid w:val="0064513A"/>
    <w:rsid w:val="006469AE"/>
    <w:rsid w:val="00651B88"/>
    <w:rsid w:val="00651C95"/>
    <w:rsid w:val="0065255F"/>
    <w:rsid w:val="006552FD"/>
    <w:rsid w:val="00655F4D"/>
    <w:rsid w:val="00656A43"/>
    <w:rsid w:val="00657348"/>
    <w:rsid w:val="006626AF"/>
    <w:rsid w:val="00666455"/>
    <w:rsid w:val="006715C9"/>
    <w:rsid w:val="00674337"/>
    <w:rsid w:val="00674A08"/>
    <w:rsid w:val="00677272"/>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2C0"/>
    <w:rsid w:val="00701A96"/>
    <w:rsid w:val="00703AE3"/>
    <w:rsid w:val="007162E0"/>
    <w:rsid w:val="00722EE5"/>
    <w:rsid w:val="00732E9B"/>
    <w:rsid w:val="00733304"/>
    <w:rsid w:val="00740879"/>
    <w:rsid w:val="00743CF1"/>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95F8E"/>
    <w:rsid w:val="007A1E01"/>
    <w:rsid w:val="007A2FD9"/>
    <w:rsid w:val="007A67B8"/>
    <w:rsid w:val="007A77D4"/>
    <w:rsid w:val="007B23CA"/>
    <w:rsid w:val="007B366F"/>
    <w:rsid w:val="007C52D6"/>
    <w:rsid w:val="007D5A1B"/>
    <w:rsid w:val="007F1591"/>
    <w:rsid w:val="007F3C78"/>
    <w:rsid w:val="007F6E34"/>
    <w:rsid w:val="007F7571"/>
    <w:rsid w:val="0080548C"/>
    <w:rsid w:val="008065AA"/>
    <w:rsid w:val="008076E7"/>
    <w:rsid w:val="008141AA"/>
    <w:rsid w:val="00816846"/>
    <w:rsid w:val="008177C2"/>
    <w:rsid w:val="00817CF6"/>
    <w:rsid w:val="00830847"/>
    <w:rsid w:val="0083299A"/>
    <w:rsid w:val="00835B5D"/>
    <w:rsid w:val="00835F54"/>
    <w:rsid w:val="00856BEC"/>
    <w:rsid w:val="00856E39"/>
    <w:rsid w:val="00861101"/>
    <w:rsid w:val="00862832"/>
    <w:rsid w:val="008662B9"/>
    <w:rsid w:val="00866392"/>
    <w:rsid w:val="00870189"/>
    <w:rsid w:val="00876AC7"/>
    <w:rsid w:val="00880AE0"/>
    <w:rsid w:val="00880E95"/>
    <w:rsid w:val="00881A95"/>
    <w:rsid w:val="008902BD"/>
    <w:rsid w:val="00891346"/>
    <w:rsid w:val="00892E9C"/>
    <w:rsid w:val="00895AF5"/>
    <w:rsid w:val="00897C8B"/>
    <w:rsid w:val="008A0685"/>
    <w:rsid w:val="008A1AFC"/>
    <w:rsid w:val="008A7945"/>
    <w:rsid w:val="008B109C"/>
    <w:rsid w:val="008B2BBD"/>
    <w:rsid w:val="008B4BEC"/>
    <w:rsid w:val="008B55B4"/>
    <w:rsid w:val="008B6107"/>
    <w:rsid w:val="008C3BF0"/>
    <w:rsid w:val="008C47EA"/>
    <w:rsid w:val="008C4949"/>
    <w:rsid w:val="008C6DE1"/>
    <w:rsid w:val="008D1F03"/>
    <w:rsid w:val="008D335A"/>
    <w:rsid w:val="008D55C0"/>
    <w:rsid w:val="008E0747"/>
    <w:rsid w:val="008E22B2"/>
    <w:rsid w:val="008E2333"/>
    <w:rsid w:val="008E6A69"/>
    <w:rsid w:val="008F2E17"/>
    <w:rsid w:val="008F460C"/>
    <w:rsid w:val="008F60D4"/>
    <w:rsid w:val="008F63F4"/>
    <w:rsid w:val="00906E14"/>
    <w:rsid w:val="009079A0"/>
    <w:rsid w:val="00911117"/>
    <w:rsid w:val="00915308"/>
    <w:rsid w:val="00933D3E"/>
    <w:rsid w:val="009371DC"/>
    <w:rsid w:val="00940AFF"/>
    <w:rsid w:val="00944F46"/>
    <w:rsid w:val="0095441A"/>
    <w:rsid w:val="009558DA"/>
    <w:rsid w:val="0096383D"/>
    <w:rsid w:val="00967DE9"/>
    <w:rsid w:val="00972434"/>
    <w:rsid w:val="009758E0"/>
    <w:rsid w:val="00975C6B"/>
    <w:rsid w:val="00986F5A"/>
    <w:rsid w:val="00993083"/>
    <w:rsid w:val="009A1E16"/>
    <w:rsid w:val="009A6727"/>
    <w:rsid w:val="009A7DAF"/>
    <w:rsid w:val="009B7C47"/>
    <w:rsid w:val="009C23F0"/>
    <w:rsid w:val="009C3726"/>
    <w:rsid w:val="009C7751"/>
    <w:rsid w:val="009C78BE"/>
    <w:rsid w:val="009D6FFE"/>
    <w:rsid w:val="009D7485"/>
    <w:rsid w:val="009F4A29"/>
    <w:rsid w:val="00A02603"/>
    <w:rsid w:val="00A027C9"/>
    <w:rsid w:val="00A066E5"/>
    <w:rsid w:val="00A07218"/>
    <w:rsid w:val="00A073BF"/>
    <w:rsid w:val="00A13098"/>
    <w:rsid w:val="00A2541E"/>
    <w:rsid w:val="00A259BD"/>
    <w:rsid w:val="00A32387"/>
    <w:rsid w:val="00A4143D"/>
    <w:rsid w:val="00A47BD0"/>
    <w:rsid w:val="00A55DB0"/>
    <w:rsid w:val="00A56621"/>
    <w:rsid w:val="00A618FF"/>
    <w:rsid w:val="00A62E2F"/>
    <w:rsid w:val="00A64629"/>
    <w:rsid w:val="00A6465A"/>
    <w:rsid w:val="00A73655"/>
    <w:rsid w:val="00A73745"/>
    <w:rsid w:val="00A7696A"/>
    <w:rsid w:val="00A819D0"/>
    <w:rsid w:val="00A91DA5"/>
    <w:rsid w:val="00A92E95"/>
    <w:rsid w:val="00A95446"/>
    <w:rsid w:val="00A95B3A"/>
    <w:rsid w:val="00A97FC4"/>
    <w:rsid w:val="00AA5EEE"/>
    <w:rsid w:val="00AB755A"/>
    <w:rsid w:val="00AC6B2C"/>
    <w:rsid w:val="00AD0ED6"/>
    <w:rsid w:val="00AD3A3A"/>
    <w:rsid w:val="00AD43D2"/>
    <w:rsid w:val="00AD48E4"/>
    <w:rsid w:val="00AD4C4B"/>
    <w:rsid w:val="00AD5F7D"/>
    <w:rsid w:val="00AD71E2"/>
    <w:rsid w:val="00AE23B0"/>
    <w:rsid w:val="00AE6DDC"/>
    <w:rsid w:val="00AF37F5"/>
    <w:rsid w:val="00AF4DA3"/>
    <w:rsid w:val="00B00978"/>
    <w:rsid w:val="00B028FD"/>
    <w:rsid w:val="00B03436"/>
    <w:rsid w:val="00B045EF"/>
    <w:rsid w:val="00B10233"/>
    <w:rsid w:val="00B13C7D"/>
    <w:rsid w:val="00B14DBE"/>
    <w:rsid w:val="00B201CA"/>
    <w:rsid w:val="00B2023C"/>
    <w:rsid w:val="00B21ECF"/>
    <w:rsid w:val="00B24E47"/>
    <w:rsid w:val="00B30BB6"/>
    <w:rsid w:val="00B30D06"/>
    <w:rsid w:val="00B32950"/>
    <w:rsid w:val="00B3524D"/>
    <w:rsid w:val="00B375E7"/>
    <w:rsid w:val="00B37F96"/>
    <w:rsid w:val="00B4546A"/>
    <w:rsid w:val="00B50635"/>
    <w:rsid w:val="00B512BC"/>
    <w:rsid w:val="00B54001"/>
    <w:rsid w:val="00B63A85"/>
    <w:rsid w:val="00B713EC"/>
    <w:rsid w:val="00B71474"/>
    <w:rsid w:val="00B733AD"/>
    <w:rsid w:val="00B766E7"/>
    <w:rsid w:val="00B9160D"/>
    <w:rsid w:val="00B91E92"/>
    <w:rsid w:val="00B92914"/>
    <w:rsid w:val="00BA0C90"/>
    <w:rsid w:val="00BA246A"/>
    <w:rsid w:val="00BA2FC6"/>
    <w:rsid w:val="00BA6FA2"/>
    <w:rsid w:val="00BA6FFD"/>
    <w:rsid w:val="00BA733C"/>
    <w:rsid w:val="00BB1D77"/>
    <w:rsid w:val="00BB2B6D"/>
    <w:rsid w:val="00BB4F61"/>
    <w:rsid w:val="00BC2797"/>
    <w:rsid w:val="00BC40E8"/>
    <w:rsid w:val="00BC7630"/>
    <w:rsid w:val="00BD181B"/>
    <w:rsid w:val="00BD26DC"/>
    <w:rsid w:val="00BD34F0"/>
    <w:rsid w:val="00BE5C81"/>
    <w:rsid w:val="00BE65B4"/>
    <w:rsid w:val="00BE7E8A"/>
    <w:rsid w:val="00BF2868"/>
    <w:rsid w:val="00BF4CC7"/>
    <w:rsid w:val="00BF5F01"/>
    <w:rsid w:val="00C00F05"/>
    <w:rsid w:val="00C03DBB"/>
    <w:rsid w:val="00C03E65"/>
    <w:rsid w:val="00C06A91"/>
    <w:rsid w:val="00C07EA5"/>
    <w:rsid w:val="00C15C04"/>
    <w:rsid w:val="00C211D3"/>
    <w:rsid w:val="00C22AB2"/>
    <w:rsid w:val="00C232FC"/>
    <w:rsid w:val="00C24412"/>
    <w:rsid w:val="00C2589A"/>
    <w:rsid w:val="00C3017B"/>
    <w:rsid w:val="00C364A9"/>
    <w:rsid w:val="00C47725"/>
    <w:rsid w:val="00C534DD"/>
    <w:rsid w:val="00C54B7D"/>
    <w:rsid w:val="00C550D1"/>
    <w:rsid w:val="00C5695D"/>
    <w:rsid w:val="00C56F4F"/>
    <w:rsid w:val="00C572F4"/>
    <w:rsid w:val="00C66EF5"/>
    <w:rsid w:val="00C738F2"/>
    <w:rsid w:val="00C76A98"/>
    <w:rsid w:val="00C84365"/>
    <w:rsid w:val="00C87D2F"/>
    <w:rsid w:val="00C91B3B"/>
    <w:rsid w:val="00C97455"/>
    <w:rsid w:val="00CA0664"/>
    <w:rsid w:val="00CA30E3"/>
    <w:rsid w:val="00CC24E3"/>
    <w:rsid w:val="00CE03B4"/>
    <w:rsid w:val="00CE5025"/>
    <w:rsid w:val="00CF2C3B"/>
    <w:rsid w:val="00D04802"/>
    <w:rsid w:val="00D07482"/>
    <w:rsid w:val="00D1296A"/>
    <w:rsid w:val="00D17448"/>
    <w:rsid w:val="00D24047"/>
    <w:rsid w:val="00D26D02"/>
    <w:rsid w:val="00D2743C"/>
    <w:rsid w:val="00D31152"/>
    <w:rsid w:val="00D3274E"/>
    <w:rsid w:val="00D36161"/>
    <w:rsid w:val="00D36DA0"/>
    <w:rsid w:val="00D40038"/>
    <w:rsid w:val="00D44D6A"/>
    <w:rsid w:val="00D46F6F"/>
    <w:rsid w:val="00D5074E"/>
    <w:rsid w:val="00D5236D"/>
    <w:rsid w:val="00D91E64"/>
    <w:rsid w:val="00D9319E"/>
    <w:rsid w:val="00D93809"/>
    <w:rsid w:val="00D94EFE"/>
    <w:rsid w:val="00DA16E0"/>
    <w:rsid w:val="00DB1699"/>
    <w:rsid w:val="00DB3B2B"/>
    <w:rsid w:val="00DB5291"/>
    <w:rsid w:val="00DB67A4"/>
    <w:rsid w:val="00DB6D92"/>
    <w:rsid w:val="00DB6FFE"/>
    <w:rsid w:val="00DB775C"/>
    <w:rsid w:val="00DC0170"/>
    <w:rsid w:val="00DE0DEA"/>
    <w:rsid w:val="00DE3335"/>
    <w:rsid w:val="00DE53EB"/>
    <w:rsid w:val="00DF100E"/>
    <w:rsid w:val="00DF3346"/>
    <w:rsid w:val="00DF6406"/>
    <w:rsid w:val="00E01E6E"/>
    <w:rsid w:val="00E04CBC"/>
    <w:rsid w:val="00E04FA3"/>
    <w:rsid w:val="00E2042C"/>
    <w:rsid w:val="00E2294C"/>
    <w:rsid w:val="00E3187B"/>
    <w:rsid w:val="00E32508"/>
    <w:rsid w:val="00E34E6A"/>
    <w:rsid w:val="00E37E4C"/>
    <w:rsid w:val="00E43617"/>
    <w:rsid w:val="00E43DA6"/>
    <w:rsid w:val="00E4794A"/>
    <w:rsid w:val="00E76A83"/>
    <w:rsid w:val="00E81112"/>
    <w:rsid w:val="00E83F31"/>
    <w:rsid w:val="00E9256A"/>
    <w:rsid w:val="00E92B27"/>
    <w:rsid w:val="00E93B9C"/>
    <w:rsid w:val="00E9469D"/>
    <w:rsid w:val="00E94D14"/>
    <w:rsid w:val="00E9586E"/>
    <w:rsid w:val="00EB181A"/>
    <w:rsid w:val="00EB311F"/>
    <w:rsid w:val="00EB6992"/>
    <w:rsid w:val="00EC625F"/>
    <w:rsid w:val="00EC7F2F"/>
    <w:rsid w:val="00ED28AF"/>
    <w:rsid w:val="00ED5487"/>
    <w:rsid w:val="00ED5AF8"/>
    <w:rsid w:val="00ED63AF"/>
    <w:rsid w:val="00ED68EE"/>
    <w:rsid w:val="00EE53CE"/>
    <w:rsid w:val="00EE7D5C"/>
    <w:rsid w:val="00EF3E5D"/>
    <w:rsid w:val="00F019A5"/>
    <w:rsid w:val="00F023DA"/>
    <w:rsid w:val="00F131D2"/>
    <w:rsid w:val="00F15007"/>
    <w:rsid w:val="00F17728"/>
    <w:rsid w:val="00F20FCE"/>
    <w:rsid w:val="00F22DEC"/>
    <w:rsid w:val="00F248C2"/>
    <w:rsid w:val="00F26484"/>
    <w:rsid w:val="00F30B82"/>
    <w:rsid w:val="00F36D84"/>
    <w:rsid w:val="00F438B7"/>
    <w:rsid w:val="00F44503"/>
    <w:rsid w:val="00F461C8"/>
    <w:rsid w:val="00F46783"/>
    <w:rsid w:val="00F46C09"/>
    <w:rsid w:val="00F47CF0"/>
    <w:rsid w:val="00F55E20"/>
    <w:rsid w:val="00F61213"/>
    <w:rsid w:val="00F63E16"/>
    <w:rsid w:val="00F93A41"/>
    <w:rsid w:val="00FA2A2A"/>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D7A7E-EF3C-4F71-B11E-807AD99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eastAsia="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C87A-1FE3-4537-89A4-51335B1A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Besserer</dc:creator>
  <cp:keywords/>
  <cp:lastModifiedBy>Jennifer Chato</cp:lastModifiedBy>
  <cp:revision>5</cp:revision>
  <cp:lastPrinted>2016-01-06T20:39:00Z</cp:lastPrinted>
  <dcterms:created xsi:type="dcterms:W3CDTF">2016-01-06T19:53:00Z</dcterms:created>
  <dcterms:modified xsi:type="dcterms:W3CDTF">2016-01-06T20:39:00Z</dcterms:modified>
</cp:coreProperties>
</file>