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3E" w:rsidRDefault="0049193E" w:rsidP="0005565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bidi w:val="1"/>
      </w:pPr>
      <w:r>
        <w:rPr>
          <w:rFonts w:ascii="Times New Roman" w:hAnsi="Times New Roman" w:cs="Times New Roman"/>
          <w:sz w:val="28"/>
          <w:szCs w:val="28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قضايا المرحلة الثالثة من المشاورات </w:t>
      </w:r>
    </w:p>
    <w:p w:rsidR="00055656" w:rsidRDefault="00055656" w:rsidP="00055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bidi w:val="1"/>
      </w:pPr>
      <w:r>
        <w:rPr>
          <w:rFonts w:ascii="Times New Roman" w:hAnsi="Times New Roman" w:cs="Times New Roman"/>
          <w:sz w:val="28"/>
          <w:szCs w:val="28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مقدمة </w:t>
      </w:r>
      <w:r>
        <w:rPr>
          <w:rFonts w:ascii="Times New Roman" w:hAnsi="Times New Roman" w:cs="Times New Roman"/>
          <w:sz w:val="28"/>
          <w:szCs w:val="28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اللجنة المعنية بفعالية التنمية (</w:t>
      </w:r>
      <w:r>
        <w:rPr>
          <w:rFonts w:ascii="Times New Roman" w:hAnsi="Times New Roman" w:cs="Times New Roman"/>
          <w:sz w:val="28"/>
          <w:szCs w:val="28"/>
          <w:b w:val="1"/>
          <w:bCs w:val="1"/>
          <w:i w:val="0"/>
          <w:iCs w:val="0"/>
          <w:u w:val="none"/>
          <w:vertAlign w:val="baseline"/>
          <w:rtl w:val="0"/>
        </w:rPr>
        <w:t xml:space="preserve">CODE</w:t>
      </w:r>
      <w:r>
        <w:rPr>
          <w:rFonts w:ascii="Times New Roman" w:hAnsi="Times New Roman" w:cs="Times New Roman"/>
          <w:sz w:val="28"/>
          <w:szCs w:val="28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)</w:t>
      </w:r>
    </w:p>
    <w:p w:rsidR="0049193E" w:rsidRDefault="0049193E" w:rsidP="004919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0D27" w:rsidRPr="00D351CA" w:rsidRDefault="00570D27" w:rsidP="00570D27">
      <w:pPr>
        <w:pStyle w:val="ListParagraph"/>
        <w:spacing w:after="240"/>
        <w:ind w:left="0"/>
        <w:jc w:val="both"/>
        <w:rPr>
          <w:rFonts w:ascii="Times New Roman" w:hAnsi="Times New Roman"/>
          <w:sz w:val="24"/>
        </w:rPr>
        <w:bidi w:val="1"/>
      </w:pPr>
      <w:r>
        <w:rPr>
          <w:rFonts w:ascii="Times New Roman" w:hAnsi="Times New Roman"/>
          <w:sz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ناقشت </w:t>
      </w:r>
      <w:r>
        <w:rPr>
          <w:rFonts w:ascii="Times New Roman" w:hAnsi="Times New Roman"/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اللجنة المعنية بفعالية التنمية (</w:t>
      </w:r>
      <w:r>
        <w:rPr>
          <w:rFonts w:ascii="Times New Roman" w:hAnsi="Times New Roman"/>
          <w:sz w:val="24"/>
          <w:szCs w:val="24"/>
          <w:b w:val="0"/>
          <w:bCs w:val="0"/>
          <w:i w:val="0"/>
          <w:iCs w:val="0"/>
          <w:u w:val="none"/>
          <w:vertAlign w:val="baseline"/>
          <w:rtl w:val="0"/>
        </w:rPr>
        <w:t xml:space="preserve">CODE</w:t>
      </w:r>
      <w:r>
        <w:rPr>
          <w:rFonts w:ascii="Times New Roman" w:hAnsi="Times New Roman"/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)</w:t>
      </w:r>
      <w:r>
        <w:rPr>
          <w:rFonts w:ascii="Times New Roman" w:hAnsi="Times New Roman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</w:t>
      </w:r>
      <w:r>
        <w:rPr>
          <w:rFonts w:ascii="Times New Roman" w:hAnsi="Times New Roman"/>
          <w:sz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في الأول من يوليو 2015 المسودة الثانية من مراجعة سياسات الوقاية لدى البنك الدولي وتحديثها </w:t>
      </w:r>
      <w:r>
        <w:rPr>
          <w:rFonts w:ascii="Times New Roman" w:hAnsi="Times New Roman"/>
          <w:sz w:val="24"/>
          <w:lang w:bidi="ar"/>
          <w:b w:val="0"/>
          <w:bCs w:val="0"/>
          <w:i w:val="1"/>
          <w:iCs w:val="1"/>
          <w:u w:val="none"/>
          <w:vertAlign w:val="baseline"/>
          <w:rtl w:val="1"/>
        </w:rPr>
        <w:t xml:space="preserve">- الإطار البيئي والاجتماعي المقترح (المسودة الثانية).</w:t>
      </w:r>
      <w:r>
        <w:rPr>
          <w:rFonts w:ascii="Times New Roman" w:hAnsi="Times New Roman"/>
          <w:sz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 وافقت اللجنة بشكل واسع على هيكل الإطار البيئي والاجتماعي المقترح (</w:t>
      </w:r>
      <w:r>
        <w:rPr>
          <w:rFonts w:ascii="Times New Roman" w:hAnsi="Times New Roman"/>
          <w:sz w:val="24"/>
          <w:b w:val="0"/>
          <w:bCs w:val="0"/>
          <w:i w:val="0"/>
          <w:iCs w:val="0"/>
          <w:u w:val="none"/>
          <w:vertAlign w:val="baseline"/>
          <w:rtl w:val="0"/>
        </w:rPr>
        <w:t xml:space="preserve">ESF</w:t>
      </w:r>
      <w:r>
        <w:rPr>
          <w:rFonts w:ascii="Times New Roman" w:hAnsi="Times New Roman"/>
          <w:sz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) والعديد من المجالات المتعلقة به.</w:t>
      </w:r>
      <w:r>
        <w:rPr>
          <w:rFonts w:ascii="Times New Roman" w:hAnsi="Times New Roman"/>
          <w:sz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 ومع ذلك فقد كانت هناك حاجة إلى إجراء المزيد من النقاشات في مختلف الجوانب—لا سيما بيان الرؤية وبعض المعايير وحساسية/غاية اللغة.</w:t>
      </w:r>
      <w:r>
        <w:rPr>
          <w:rFonts w:ascii="Times New Roman" w:hAnsi="Times New Roman"/>
          <w:sz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 وبالمثل، كانت هناك حاجة إلى المزيد من الوضوح بشأن قابلية التنفيذ والأثر المحتمل على المقترضين.</w:t>
      </w:r>
      <w:r>
        <w:rPr>
          <w:rFonts w:ascii="Times New Roman" w:hAnsi="Times New Roman"/>
          <w:sz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 اتفقت اللجنة على أهمية مواصلة الجهود المتطلعة إلى ضمان توازن الإطار البيئي والاجتماعي (</w:t>
      </w:r>
      <w:r>
        <w:rPr>
          <w:rFonts w:ascii="Times New Roman" w:hAnsi="Times New Roman"/>
          <w:sz w:val="24"/>
          <w:b w:val="0"/>
          <w:bCs w:val="0"/>
          <w:i w:val="0"/>
          <w:iCs w:val="0"/>
          <w:u w:val="none"/>
          <w:vertAlign w:val="baseline"/>
          <w:rtl w:val="0"/>
        </w:rPr>
        <w:t xml:space="preserve">ESF</w:t>
      </w:r>
      <w:r>
        <w:rPr>
          <w:rFonts w:ascii="Times New Roman" w:hAnsi="Times New Roman"/>
          <w:sz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)، وتجنب أعباء التنفيذ المفرطة والتكاليف على المقترضين، وتقوية قدرات العملاء، وتعزيز التنمية المستدامة والشاملة، والمساهمة في تحقيق الأهداف المزدوجة للمؤسسة.</w:t>
      </w:r>
    </w:p>
    <w:p w:rsidR="00570D27" w:rsidRPr="00D351CA" w:rsidRDefault="00570D27" w:rsidP="00570D27">
      <w:pPr>
        <w:pStyle w:val="ListParagraph"/>
        <w:spacing w:after="240"/>
        <w:ind w:left="0"/>
        <w:jc w:val="both"/>
        <w:rPr>
          <w:rFonts w:ascii="Times New Roman" w:hAnsi="Times New Roman"/>
          <w:sz w:val="24"/>
        </w:rPr>
        <w:bidi w:val="1"/>
      </w:pPr>
      <w:r>
        <w:rPr>
          <w:rFonts w:ascii="Times New Roman" w:hAnsi="Times New Roman"/>
          <w:sz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اتفقت اللجنة على أنه ينبغي للإدارة أن تبدأ المرحلة الثالثة من المشاورات بشأن المسودة الثانية المنقحة.</w:t>
      </w:r>
      <w:r>
        <w:rPr>
          <w:rFonts w:ascii="Times New Roman" w:hAnsi="Times New Roman"/>
          <w:sz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 يجب أن ينصب تركيز المشاورات على جمع التعليقات المتعلقة بقابلية تنفيذ الإطار البيئي والاجتماعي (</w:t>
      </w:r>
      <w:r>
        <w:rPr>
          <w:rFonts w:ascii="Times New Roman" w:hAnsi="Times New Roman"/>
          <w:sz w:val="24"/>
          <w:b w:val="0"/>
          <w:bCs w:val="0"/>
          <w:i w:val="0"/>
          <w:iCs w:val="0"/>
          <w:u w:val="none"/>
          <w:vertAlign w:val="baseline"/>
          <w:rtl w:val="0"/>
        </w:rPr>
        <w:t xml:space="preserve">ESF</w:t>
      </w:r>
      <w:r>
        <w:rPr>
          <w:rFonts w:ascii="Times New Roman" w:hAnsi="Times New Roman"/>
          <w:sz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)</w:t>
      </w:r>
      <w:r>
        <w:rPr>
          <w:rFonts w:ascii="Times New Roman" w:hAnsi="Times New Roman"/>
          <w:color w:val="000000" w:themeColor="text1"/>
          <w:sz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في البلدان المقترضة، كما ينبغي أن تشتمل مجموعة التشاور</w:t>
      </w:r>
      <w:r>
        <w:rPr>
          <w:rFonts w:ascii="Times New Roman" w:hAnsi="Times New Roman"/>
          <w:sz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على القائمة الإرشادية التالية لمجموعة من القضايا-وليس جميعها-التي يجب أن تخضع لمزيد من الدراسة في أثناء المشاورات.</w:t>
      </w:r>
    </w:p>
    <w:p w:rsidR="0049193E" w:rsidRDefault="00570D27" w:rsidP="00B30D06">
      <w:pPr>
        <w:pStyle w:val="ListParagraph"/>
        <w:tabs>
          <w:tab w:val="left" w:pos="720"/>
        </w:tabs>
        <w:spacing w:after="240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  <w:bidi w:val="1"/>
      </w:pPr>
      <w:r>
        <w:rPr>
          <w:rFonts w:ascii="Times New Roman" w:hAnsi="Times New Roman"/>
          <w:sz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تتطلع اللجنة إلى استمرار مشاركتها في الإطار البيئي والاجتماعي (</w:t>
      </w:r>
      <w:r>
        <w:rPr>
          <w:rFonts w:ascii="Times New Roman" w:hAnsi="Times New Roman"/>
          <w:sz w:val="24"/>
          <w:b w:val="0"/>
          <w:bCs w:val="0"/>
          <w:i w:val="0"/>
          <w:iCs w:val="0"/>
          <w:u w:val="none"/>
          <w:vertAlign w:val="baseline"/>
          <w:rtl w:val="0"/>
        </w:rPr>
        <w:t xml:space="preserve">ESF</w:t>
      </w:r>
      <w:r>
        <w:rPr>
          <w:rFonts w:ascii="Times New Roman" w:hAnsi="Times New Roman"/>
          <w:sz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).</w:t>
      </w:r>
      <w:r>
        <w:rPr>
          <w:rFonts w:ascii="Times New Roman" w:hAnsi="Times New Roman"/>
          <w:sz w:val="28"/>
          <w:szCs w:val="28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FF7BF6" w:rsidRDefault="00B201CA" w:rsidP="0007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bidi w:val="1"/>
      </w:pPr>
      <w:r>
        <w:rPr>
          <w:rFonts w:ascii="Times New Roman" w:hAnsi="Times New Roman" w:cs="Times New Roman"/>
          <w:sz w:val="28"/>
          <w:szCs w:val="28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قضايا المرحلة الثالثة من المشاورات </w:t>
      </w:r>
    </w:p>
    <w:p w:rsidR="00D9319E" w:rsidRPr="00A73745" w:rsidRDefault="00D9319E" w:rsidP="0007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1E64" w:rsidRDefault="00F248C2" w:rsidP="00491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bidi w:val="1"/>
      </w:pPr>
      <w:r>
        <w:rPr>
          <w:rFonts w:ascii="Times New Roman" w:hAnsi="Times New Roman" w:cs="Times New Roman"/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أقرت اللجنة المعنية بفعالية التنمية (</w:t>
      </w:r>
      <w:r>
        <w:rPr>
          <w:rFonts w:ascii="Times New Roman" w:hAnsi="Times New Roman" w:cs="Times New Roman"/>
          <w:sz w:val="24"/>
          <w:szCs w:val="24"/>
          <w:b w:val="0"/>
          <w:bCs w:val="0"/>
          <w:i w:val="0"/>
          <w:iCs w:val="0"/>
          <w:u w:val="none"/>
          <w:vertAlign w:val="baseline"/>
          <w:rtl w:val="0"/>
        </w:rPr>
        <w:t xml:space="preserve">CODE</w:t>
      </w:r>
      <w:r>
        <w:rPr>
          <w:rFonts w:ascii="Times New Roman" w:hAnsi="Times New Roman" w:cs="Times New Roman"/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) في اجتماعها في الأول من يوليو 2015 الجولة الثانية من المشاورات عن المسودة الثانية للإطار البيئي والاجتماعي (</w:t>
      </w:r>
      <w:r>
        <w:rPr>
          <w:rFonts w:ascii="Times New Roman" w:hAnsi="Times New Roman" w:cs="Times New Roman"/>
          <w:sz w:val="24"/>
          <w:szCs w:val="24"/>
          <w:b w:val="0"/>
          <w:bCs w:val="0"/>
          <w:i w:val="0"/>
          <w:iCs w:val="0"/>
          <w:u w:val="none"/>
          <w:vertAlign w:val="baseline"/>
          <w:rtl w:val="0"/>
        </w:rPr>
        <w:t xml:space="preserve">ESF</w:t>
      </w:r>
      <w:r>
        <w:rPr>
          <w:rFonts w:ascii="Times New Roman" w:hAnsi="Times New Roman" w:cs="Times New Roman"/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).</w:t>
      </w:r>
      <w:r>
        <w:rPr>
          <w:rFonts w:ascii="Times New Roman" w:hAnsi="Times New Roman" w:cs="Times New Roman"/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طلب المديرون التنفيذيون من إدارة البنك الدولي مناقشة عدد من القضايا خلال المرحلة الثالثة من المشاورات.</w:t>
      </w:r>
      <w:r>
        <w:rPr>
          <w:rFonts w:ascii="Times New Roman" w:hAnsi="Times New Roman" w:cs="Times New Roman"/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تم وضع القائمة أدناه بعد اجتماع اللجنة المعنية بفعالية التنمية (</w:t>
      </w:r>
      <w:r>
        <w:rPr>
          <w:rFonts w:ascii="Times New Roman" w:hAnsi="Times New Roman" w:cs="Times New Roman"/>
          <w:sz w:val="24"/>
          <w:szCs w:val="24"/>
          <w:b w:val="0"/>
          <w:bCs w:val="0"/>
          <w:i w:val="0"/>
          <w:iCs w:val="0"/>
          <w:u w:val="none"/>
          <w:vertAlign w:val="baseline"/>
          <w:rtl w:val="0"/>
        </w:rPr>
        <w:t xml:space="preserve">CODE</w:t>
      </w:r>
      <w:r>
        <w:rPr>
          <w:rFonts w:ascii="Times New Roman" w:hAnsi="Times New Roman" w:cs="Times New Roman"/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)، وتحديد مجموعة من القضايا التي طلب المديرون التنفيذيون من الإدارة إدراجها في الاجتماعات التشاورية القادمة، وبالأخص تلك التي ستعقد مع الحكومات.</w:t>
      </w:r>
      <w:r>
        <w:rPr>
          <w:rFonts w:ascii="Times New Roman" w:hAnsi="Times New Roman" w:cs="Times New Roman"/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ستركز التعليقات على جمع المعلومات من الدول المقرضة وأصحاب المصلحة الآخرين عن هذه القضية وغيرها من القضايا وكذلك عن موارد الإطار البيئي والاجتماعي (</w:t>
      </w:r>
      <w:r>
        <w:rPr>
          <w:rFonts w:ascii="Times New Roman" w:hAnsi="Times New Roman" w:cs="Times New Roman"/>
          <w:sz w:val="24"/>
          <w:szCs w:val="24"/>
          <w:b w:val="0"/>
          <w:bCs w:val="0"/>
          <w:i w:val="0"/>
          <w:iCs w:val="0"/>
          <w:u w:val="none"/>
          <w:vertAlign w:val="baseline"/>
          <w:rtl w:val="0"/>
        </w:rPr>
        <w:t xml:space="preserve">ESF</w:t>
      </w:r>
      <w:r>
        <w:rPr>
          <w:rFonts w:ascii="Times New Roman" w:hAnsi="Times New Roman" w:cs="Times New Roman"/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) وآليات تنفيذه.</w:t>
      </w:r>
      <w:r>
        <w:rPr>
          <w:rFonts w:ascii="Times New Roman" w:hAnsi="Times New Roman" w:cs="Times New Roman"/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تعد هذه القائمة دليلاً إرشاديًا للقضايا التي سيتم مناقشتها، وليس كل القضايا.</w:t>
      </w:r>
      <w:r>
        <w:rPr>
          <w:rFonts w:ascii="Times New Roman" w:hAnsi="Times New Roman" w:cs="Times New Roman"/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ستعمل الإدارة عن قرب مع المديرين التنفيذيين على تنظيم هذه المشاورات، وإبقائهم مطلعين على التقدم المحرز للمشاورات.</w:t>
      </w:r>
      <w:r>
        <w:rPr>
          <w:rFonts w:ascii="Times New Roman" w:hAnsi="Times New Roman" w:cs="Times New Roman"/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وعقب اختتام المشاورات، ستعد الإدارة تقريرًا عن القضايا التي أثيرت خلال المشاورات من أجل استعراضها من قبل المديرين التنفيذيين. </w:t>
      </w:r>
    </w:p>
    <w:p w:rsidR="004D1AC7" w:rsidRPr="00F248C2" w:rsidRDefault="004D1AC7" w:rsidP="00C232F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  <w:bidiVisual/>
      </w:tblPr>
      <w:tblGrid>
        <w:gridCol w:w="985"/>
        <w:gridCol w:w="2160"/>
        <w:gridCol w:w="7650"/>
      </w:tblGrid>
      <w:tr w:rsidR="00895AF5" w:rsidRPr="00F248C2" w:rsidTr="005E4F6B">
        <w:tc>
          <w:tcPr>
            <w:tcW w:w="985" w:type="dxa"/>
            <w:shd w:val="clear" w:color="auto" w:fill="D9D9D9" w:themeFill="background1" w:themeFillShade="D9"/>
          </w:tcPr>
          <w:p w:rsidR="00895AF5" w:rsidRPr="00F248C2" w:rsidRDefault="00895AF5" w:rsidP="00F24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  <w:bidi w:val="1"/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الإطار البيئي والاجتماعي (</w:t>
            </w:r>
            <w:r>
              <w:rPr>
                <w:rFonts w:ascii="Times New Roman" w:hAnsi="Times New Roman" w:cs="Times New Roman"/>
                <w:sz w:val="24"/>
                <w:szCs w:val="24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ESF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)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895AF5" w:rsidRPr="00F248C2" w:rsidRDefault="00895AF5" w:rsidP="00F24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  <w:bidi w:val="1"/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القضية</w:t>
            </w:r>
          </w:p>
        </w:tc>
        <w:tc>
          <w:tcPr>
            <w:tcW w:w="7650" w:type="dxa"/>
            <w:shd w:val="clear" w:color="auto" w:fill="D9D9D9" w:themeFill="background1" w:themeFillShade="D9"/>
          </w:tcPr>
          <w:p w:rsidR="00895AF5" w:rsidRPr="00F248C2" w:rsidRDefault="00895AF5" w:rsidP="00972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  <w:bidi w:val="1"/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العناصر</w:t>
            </w:r>
          </w:p>
        </w:tc>
      </w:tr>
      <w:tr w:rsidR="00895AF5" w:rsidRPr="00F248C2" w:rsidTr="005E4F6B">
        <w:tc>
          <w:tcPr>
            <w:tcW w:w="985" w:type="dxa"/>
          </w:tcPr>
          <w:p w:rsidR="00895AF5" w:rsidRDefault="00895AF5" w:rsidP="00F248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idi w:val="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الرؤية</w:t>
            </w:r>
          </w:p>
        </w:tc>
        <w:tc>
          <w:tcPr>
            <w:tcW w:w="2160" w:type="dxa"/>
          </w:tcPr>
          <w:p w:rsidR="00895AF5" w:rsidRPr="00F248C2" w:rsidRDefault="00895AF5" w:rsidP="00F248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idi w:val="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حقوق الإنسان </w:t>
            </w:r>
          </w:p>
        </w:tc>
        <w:tc>
          <w:tcPr>
            <w:tcW w:w="7650" w:type="dxa"/>
          </w:tcPr>
          <w:p w:rsidR="00A6465A" w:rsidRDefault="00FD0445" w:rsidP="007901C3">
            <w:pPr>
              <w:pStyle w:val="ListParagraph"/>
              <w:numPr>
                <w:ilvl w:val="0"/>
                <w:numId w:val="3"/>
              </w:numPr>
              <w:ind w:left="342" w:hanging="2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  <w:bidi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نهج حقوق الإنسان في الإطار البيئي والاجتماعي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ESF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) </w:t>
            </w:r>
          </w:p>
        </w:tc>
      </w:tr>
      <w:tr w:rsidR="00D9319E" w:rsidRPr="00F248C2" w:rsidTr="005E4F6B">
        <w:tc>
          <w:tcPr>
            <w:tcW w:w="985" w:type="dxa"/>
            <w:vMerge w:val="restart"/>
          </w:tcPr>
          <w:p w:rsidR="00D9319E" w:rsidRDefault="00D9319E" w:rsidP="00895AF5">
            <w:pPr>
              <w:rPr>
                <w:rFonts w:ascii="Times New Roman" w:hAnsi="Times New Roman" w:cs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السياسة البيئية والاجتماعية (</w:t>
            </w:r>
            <w:r>
              <w:rPr>
                <w:rFonts w:ascii="Times New Roman" w:hAnsi="Times New Roman" w:cs="Times New Roman"/>
                <w:sz w:val="24"/>
                <w:szCs w:val="24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ESP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)/</w:t>
            </w:r>
          </w:p>
          <w:p w:rsidR="00D9319E" w:rsidRPr="00F248C2" w:rsidRDefault="00D9319E" w:rsidP="00895AF5">
            <w:pPr>
              <w:rPr>
                <w:rFonts w:ascii="Times New Roman" w:hAnsi="Times New Roman" w:cs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المعيار البيئي والاجتماعي 1 (</w:t>
            </w:r>
            <w:r>
              <w:rPr>
                <w:rFonts w:ascii="Times New Roman" w:hAnsi="Times New Roman" w:cs="Times New Roman"/>
                <w:sz w:val="24"/>
                <w:szCs w:val="24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ESS1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)</w:t>
            </w:r>
          </w:p>
          <w:p w:rsidR="00D9319E" w:rsidRPr="00F248C2" w:rsidRDefault="00D9319E" w:rsidP="00444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319E" w:rsidRPr="00F248C2" w:rsidRDefault="00D9319E" w:rsidP="0023659A">
            <w:pPr>
              <w:rPr>
                <w:rFonts w:ascii="Times New Roman" w:hAnsi="Times New Roman" w:cs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عدم التمييز والفئات الضعيفة</w:t>
            </w:r>
          </w:p>
        </w:tc>
        <w:tc>
          <w:tcPr>
            <w:tcW w:w="7650" w:type="dxa"/>
          </w:tcPr>
          <w:p w:rsidR="00D9319E" w:rsidRDefault="00D9319E" w:rsidP="00F44503">
            <w:pPr>
              <w:pStyle w:val="ListParagraph"/>
              <w:numPr>
                <w:ilvl w:val="0"/>
                <w:numId w:val="7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قائمة صريحة للفئات الضعيفة حسب النوع/الاسم (العمر، و/أو الجنس، و/أو العرق، و/أو الدين و/أو الإعاقة الجسدية أو العقلية، أو غير ذلك، و/أو الحالة الاجتماعية، أو المدنية، أو الصحية، و/أو التوجه الجنسي، و/أو الهوية الجنسية، و/أو العيوب الاقتصادية أو الحالة الأصلية، و/أو الاعتماد على الموارد الطبيعية الفريدة) </w:t>
            </w:r>
          </w:p>
          <w:p w:rsidR="00D9319E" w:rsidRPr="00F248C2" w:rsidRDefault="00A97FC4" w:rsidP="003D11E6">
            <w:pPr>
              <w:pStyle w:val="ListParagraph"/>
              <w:numPr>
                <w:ilvl w:val="0"/>
                <w:numId w:val="7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جوانب محددة من مبدأ عدم التمييز في سياقات اجتماعية وسياسية معقدة، بما في ذلك الحالات التي لا يتوافق فيها الاعتراف بمجموعة معينة مع القانون الوطني.</w:t>
            </w:r>
          </w:p>
        </w:tc>
      </w:tr>
      <w:tr w:rsidR="00D9319E" w:rsidRPr="00F248C2" w:rsidTr="005E4F6B">
        <w:tc>
          <w:tcPr>
            <w:tcW w:w="985" w:type="dxa"/>
            <w:vMerge/>
          </w:tcPr>
          <w:p w:rsidR="00D9319E" w:rsidRPr="00F248C2" w:rsidRDefault="00D9319E" w:rsidP="00444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319E" w:rsidRPr="00F248C2" w:rsidRDefault="00D9319E" w:rsidP="00895AF5">
            <w:pPr>
              <w:rPr>
                <w:rFonts w:ascii="Times New Roman" w:hAnsi="Times New Roman" w:cs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استخدام الإطار البيئي والاجتماعي للمقترض</w:t>
            </w:r>
          </w:p>
        </w:tc>
        <w:tc>
          <w:tcPr>
            <w:tcW w:w="7650" w:type="dxa"/>
          </w:tcPr>
          <w:p w:rsidR="00D9319E" w:rsidRDefault="00D9319E" w:rsidP="00F44503">
            <w:pPr>
              <w:pStyle w:val="ListParagraph"/>
              <w:numPr>
                <w:ilvl w:val="0"/>
                <w:numId w:val="4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دور أُطر المقترض في إدارة المخاطر والآثار البيئية والاجتماعية (</w:t>
            </w:r>
            <w:r>
              <w:rPr>
                <w:rFonts w:ascii="Times New Roman" w:hAnsi="Times New Roman"/>
                <w:sz w:val="24"/>
                <w:szCs w:val="24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E&amp;S</w:t>
            </w: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) حيث ستسمح للمشروعات بتحقيق أهداف تتفق جوهريًا مع المعايير البيئية والاجتماعية (</w:t>
            </w:r>
            <w:r>
              <w:rPr>
                <w:rFonts w:ascii="Times New Roman" w:hAnsi="Times New Roman"/>
                <w:sz w:val="24"/>
                <w:szCs w:val="24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ESS</w:t>
            </w: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) </w:t>
            </w:r>
          </w:p>
          <w:p w:rsidR="00D9319E" w:rsidRPr="00D04802" w:rsidRDefault="00D9319E" w:rsidP="00933D3E">
            <w:pPr>
              <w:pStyle w:val="ListParagraph"/>
              <w:numPr>
                <w:ilvl w:val="0"/>
                <w:numId w:val="4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نهج اتخاذ القرارات الخاصة باستخدام أُطر المقترض، بما في ذلك منهجية التقييم التي سيمكن من خلالها للأُطر السماح للمشروعات بتحقيق الأهداف التي تتفق جوهريًا مع المعايير البيئية والاجتماعية (</w:t>
            </w:r>
            <w:r>
              <w:rPr>
                <w:rFonts w:ascii="Times New Roman" w:hAnsi="Times New Roman"/>
                <w:sz w:val="24"/>
                <w:szCs w:val="24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ESS</w:t>
            </w: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)، وممارسة السلطة التقديرية للبنك</w:t>
            </w:r>
          </w:p>
          <w:p w:rsidR="00D9319E" w:rsidRPr="00F248C2" w:rsidRDefault="00D9319E" w:rsidP="00933D3E">
            <w:pPr>
              <w:pStyle w:val="ListParagraph"/>
              <w:numPr>
                <w:ilvl w:val="0"/>
                <w:numId w:val="4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دور أُطر المقترض في المشروعات ذات المخاطر العالية والكبيرة</w:t>
            </w:r>
          </w:p>
        </w:tc>
      </w:tr>
      <w:tr w:rsidR="00D9319E" w:rsidRPr="00F248C2" w:rsidTr="005E4F6B">
        <w:tc>
          <w:tcPr>
            <w:tcW w:w="985" w:type="dxa"/>
            <w:vMerge/>
          </w:tcPr>
          <w:p w:rsidR="00D9319E" w:rsidRDefault="00D9319E" w:rsidP="00444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319E" w:rsidRPr="00F248C2" w:rsidRDefault="00D9319E" w:rsidP="00444D49">
            <w:pPr>
              <w:rPr>
                <w:rFonts w:ascii="Times New Roman" w:hAnsi="Times New Roman" w:cs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التمويل المشترك/ النهج المشترك</w:t>
            </w:r>
          </w:p>
        </w:tc>
        <w:tc>
          <w:tcPr>
            <w:tcW w:w="7650" w:type="dxa"/>
          </w:tcPr>
          <w:p w:rsidR="00D9319E" w:rsidRDefault="00A6465A" w:rsidP="00A6465A">
            <w:pPr>
              <w:pStyle w:val="ListParagraph"/>
              <w:numPr>
                <w:ilvl w:val="0"/>
                <w:numId w:val="9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الترتيبات وفقًا للمعايير البيئية والاجتماعية في مواقف التمويل المشترك التي تختلف فيها معايير الممول المشارك عن معايير البنك.</w:t>
            </w:r>
          </w:p>
        </w:tc>
      </w:tr>
      <w:tr w:rsidR="00D9319E" w:rsidRPr="00F248C2" w:rsidTr="005E4F6B">
        <w:tc>
          <w:tcPr>
            <w:tcW w:w="985" w:type="dxa"/>
            <w:vMerge/>
          </w:tcPr>
          <w:p w:rsidR="00D9319E" w:rsidRPr="00F248C2" w:rsidRDefault="00D9319E" w:rsidP="00444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319E" w:rsidRPr="00F248C2" w:rsidRDefault="00D9319E" w:rsidP="00F17728">
            <w:pPr>
              <w:rPr>
                <w:rFonts w:ascii="Times New Roman" w:hAnsi="Times New Roman" w:cs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إدارة المخاطر التكيفية</w:t>
            </w:r>
          </w:p>
        </w:tc>
        <w:tc>
          <w:tcPr>
            <w:tcW w:w="7650" w:type="dxa"/>
          </w:tcPr>
          <w:p w:rsidR="00D9319E" w:rsidRPr="000D5C4B" w:rsidRDefault="00D9319E" w:rsidP="00641839">
            <w:pPr>
              <w:pStyle w:val="ListParagraph"/>
              <w:numPr>
                <w:ilvl w:val="0"/>
                <w:numId w:val="9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نهج مراقبة الامتثال البيئي والاجتماعي والتغييرات على المشروع في أثناء التنفيذ</w:t>
            </w:r>
          </w:p>
        </w:tc>
      </w:tr>
      <w:tr w:rsidR="00D9319E" w:rsidRPr="00F248C2" w:rsidTr="005E4F6B">
        <w:tc>
          <w:tcPr>
            <w:tcW w:w="985" w:type="dxa"/>
            <w:vMerge/>
          </w:tcPr>
          <w:p w:rsidR="00D9319E" w:rsidRPr="00F248C2" w:rsidRDefault="00D9319E" w:rsidP="00444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319E" w:rsidRPr="00F248C2" w:rsidRDefault="00D9319E" w:rsidP="00F17728">
            <w:pPr>
              <w:rPr>
                <w:rFonts w:ascii="Times New Roman" w:hAnsi="Times New Roman" w:cs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تصنيف المخاطر</w:t>
            </w:r>
          </w:p>
        </w:tc>
        <w:tc>
          <w:tcPr>
            <w:tcW w:w="7650" w:type="dxa"/>
          </w:tcPr>
          <w:p w:rsidR="00D9319E" w:rsidDel="00EF3E5D" w:rsidRDefault="00D9319E" w:rsidP="00F55E20">
            <w:pPr>
              <w:pStyle w:val="ListParagraph"/>
              <w:numPr>
                <w:ilvl w:val="0"/>
                <w:numId w:val="9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نهج تحديد مستوى الخطر للمشروع ومراجعته</w:t>
            </w:r>
          </w:p>
        </w:tc>
      </w:tr>
      <w:tr w:rsidR="00A6465A" w:rsidRPr="00F248C2" w:rsidTr="005E4F6B">
        <w:tc>
          <w:tcPr>
            <w:tcW w:w="985" w:type="dxa"/>
            <w:vMerge w:val="restart"/>
          </w:tcPr>
          <w:p w:rsidR="00A6465A" w:rsidRPr="00F248C2" w:rsidRDefault="00A6465A" w:rsidP="00444D49">
            <w:pPr>
              <w:rPr>
                <w:rFonts w:ascii="Times New Roman" w:hAnsi="Times New Roman" w:cs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المعيار البيئي والاجتماعي 1 (</w:t>
            </w:r>
            <w:r>
              <w:rPr>
                <w:rFonts w:ascii="Times New Roman" w:hAnsi="Times New Roman" w:cs="Times New Roman"/>
                <w:sz w:val="24"/>
                <w:szCs w:val="24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ESS1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)</w:t>
            </w:r>
          </w:p>
          <w:p w:rsidR="00A6465A" w:rsidRPr="00F248C2" w:rsidRDefault="00A6465A" w:rsidP="00444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465A" w:rsidRPr="00F248C2" w:rsidRDefault="00A6465A" w:rsidP="00D9319E">
            <w:pPr>
              <w:rPr>
                <w:rFonts w:ascii="Times New Roman" w:hAnsi="Times New Roman" w:cs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تقييم وإدارة المخاطر والآثار البيئية والاجتماعية</w:t>
            </w:r>
          </w:p>
        </w:tc>
        <w:tc>
          <w:tcPr>
            <w:tcW w:w="7650" w:type="dxa"/>
          </w:tcPr>
          <w:p w:rsidR="00A6465A" w:rsidRDefault="00A97FC4" w:rsidP="00F55E20">
            <w:pPr>
              <w:pStyle w:val="ListParagraph"/>
              <w:numPr>
                <w:ilvl w:val="0"/>
                <w:numId w:val="9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التقييم وطبيعة الآثار التراكمية وغير المباشرة التي ينبغي أخذها في الحسبان</w:t>
            </w:r>
          </w:p>
          <w:p w:rsidR="00A6465A" w:rsidRPr="002E7855" w:rsidRDefault="00A97FC4" w:rsidP="00F55E20">
            <w:pPr>
              <w:pStyle w:val="ListParagraph"/>
              <w:numPr>
                <w:ilvl w:val="0"/>
                <w:numId w:val="9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علاج الآثار التراكمية وغير المباشرة عند تحديدها في تقييم المشروع</w:t>
            </w:r>
          </w:p>
          <w:p w:rsidR="00A6465A" w:rsidRPr="000D207A" w:rsidRDefault="00A6465A" w:rsidP="000D207A">
            <w:pPr>
              <w:pStyle w:val="ListParagraph"/>
              <w:numPr>
                <w:ilvl w:val="0"/>
                <w:numId w:val="9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إنشاء حدود المشروع وقابلية تطبيق المعايير البيئية والاجتماعية على المنشآت ذات الصلة والمقاولين والموردين الرئيسيين والمشروعات الفرعية للوسيط المالي (</w:t>
            </w:r>
            <w:r>
              <w:rPr>
                <w:rFonts w:ascii="Times New Roman" w:hAnsi="Times New Roman"/>
                <w:sz w:val="24"/>
                <w:szCs w:val="24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FI</w:t>
            </w: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) والمشروعات الفرعية الممولة بشكل مباشر.</w:t>
            </w:r>
          </w:p>
          <w:p w:rsidR="00A6465A" w:rsidRPr="00D04802" w:rsidRDefault="00E76A83" w:rsidP="00FD0445">
            <w:pPr>
              <w:pStyle w:val="ListParagraph"/>
              <w:numPr>
                <w:ilvl w:val="0"/>
                <w:numId w:val="9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الظروف التي سيحدد البنك في ضوئها ما إذا كان سيُتطلب من المقترض الاستعانة بمتخصصين مستقلين لأطراف ثالثة</w:t>
            </w:r>
          </w:p>
        </w:tc>
      </w:tr>
      <w:tr w:rsidR="00A6465A" w:rsidRPr="00F248C2" w:rsidTr="005E4F6B">
        <w:tc>
          <w:tcPr>
            <w:tcW w:w="985" w:type="dxa"/>
            <w:vMerge/>
          </w:tcPr>
          <w:p w:rsidR="00A6465A" w:rsidRDefault="00A6465A" w:rsidP="00444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465A" w:rsidRDefault="00A6465A" w:rsidP="00D9319E">
            <w:pPr>
              <w:rPr>
                <w:rFonts w:ascii="Times New Roman" w:hAnsi="Times New Roman" w:cs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خطة الالتزام البيئي والاجتماعي (</w:t>
            </w:r>
            <w:r>
              <w:rPr>
                <w:rFonts w:ascii="Times New Roman" w:hAnsi="Times New Roman" w:cs="Times New Roman"/>
                <w:sz w:val="24"/>
                <w:szCs w:val="24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ESCP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)</w:t>
            </w:r>
          </w:p>
        </w:tc>
        <w:tc>
          <w:tcPr>
            <w:tcW w:w="7650" w:type="dxa"/>
          </w:tcPr>
          <w:p w:rsidR="00A6465A" w:rsidRPr="003202FE" w:rsidRDefault="00A6465A" w:rsidP="00F55E20">
            <w:pPr>
              <w:pStyle w:val="ListParagraph"/>
              <w:numPr>
                <w:ilvl w:val="0"/>
                <w:numId w:val="9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الموقف القانوني لخطة الالتزام البيئي والاجتماعي (</w:t>
            </w:r>
            <w:r>
              <w:rPr>
                <w:rFonts w:ascii="Times New Roman" w:hAnsi="Times New Roman"/>
                <w:sz w:val="24"/>
                <w:szCs w:val="24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ESCP</w:t>
            </w: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) والآثار المترتبة على التغييرات في خطة الالتزام البيئي والاجتماعي (</w:t>
            </w:r>
            <w:r>
              <w:rPr>
                <w:rFonts w:ascii="Times New Roman" w:hAnsi="Times New Roman"/>
                <w:sz w:val="24"/>
                <w:szCs w:val="24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ESCP</w:t>
            </w: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) كجزء من الاتفاقية القانونية</w:t>
            </w:r>
          </w:p>
        </w:tc>
      </w:tr>
      <w:tr w:rsidR="00444D49" w:rsidRPr="00F248C2" w:rsidTr="005E4F6B">
        <w:tc>
          <w:tcPr>
            <w:tcW w:w="985" w:type="dxa"/>
          </w:tcPr>
          <w:p w:rsidR="00444D49" w:rsidRPr="00F248C2" w:rsidRDefault="00444D49" w:rsidP="00444D49">
            <w:pPr>
              <w:rPr>
                <w:rFonts w:ascii="Times New Roman" w:hAnsi="Times New Roman" w:cs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المعيار البيئي والاجتماعي 2 (</w:t>
            </w:r>
            <w:r>
              <w:rPr>
                <w:rFonts w:ascii="Times New Roman" w:hAnsi="Times New Roman" w:cs="Times New Roman"/>
                <w:sz w:val="24"/>
                <w:szCs w:val="24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ESS2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)</w:t>
            </w:r>
          </w:p>
        </w:tc>
        <w:tc>
          <w:tcPr>
            <w:tcW w:w="2160" w:type="dxa"/>
          </w:tcPr>
          <w:p w:rsidR="00444D49" w:rsidRPr="00F248C2" w:rsidRDefault="00444D49" w:rsidP="00444D49">
            <w:pPr>
              <w:rPr>
                <w:rFonts w:ascii="Times New Roman" w:hAnsi="Times New Roman" w:cs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العمالة وظروف العمل</w:t>
            </w:r>
          </w:p>
        </w:tc>
        <w:tc>
          <w:tcPr>
            <w:tcW w:w="7650" w:type="dxa"/>
          </w:tcPr>
          <w:p w:rsidR="00444D49" w:rsidRPr="00D04802" w:rsidRDefault="00F55E20" w:rsidP="00F55E20">
            <w:pPr>
              <w:pStyle w:val="ListParagraph"/>
              <w:numPr>
                <w:ilvl w:val="0"/>
                <w:numId w:val="4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تعريف إدارة العمالة التي تعمل لدى بعض الأطراف الثالثة (السماسرة والوكلاء والوسطاء) ومدى الحاجة إليها ومتطلباتها.  </w:t>
            </w:r>
          </w:p>
          <w:p w:rsidR="00444D49" w:rsidRPr="00D9319E" w:rsidRDefault="00F55E20" w:rsidP="00784151">
            <w:pPr>
              <w:pStyle w:val="ListParagraph"/>
              <w:numPr>
                <w:ilvl w:val="0"/>
                <w:numId w:val="4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آثار تطبيق بعض متطلبات العمل وتنفيذها على المقاولين والمجتمع والعمالة التطوعية والموردين الرئيسيين </w:t>
            </w:r>
          </w:p>
          <w:p w:rsidR="00444D49" w:rsidRDefault="00A97FC4" w:rsidP="00105808">
            <w:pPr>
              <w:pStyle w:val="ListParagraph"/>
              <w:numPr>
                <w:ilvl w:val="0"/>
                <w:numId w:val="4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القيود المتعلقة بإتاحة آليات التظلم لجميع العاملين في المشروع</w:t>
            </w:r>
          </w:p>
          <w:p w:rsidR="00F44503" w:rsidRDefault="00A97FC4" w:rsidP="000260EF">
            <w:pPr>
              <w:pStyle w:val="ListParagraph"/>
              <w:numPr>
                <w:ilvl w:val="0"/>
                <w:numId w:val="4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الرجوع إلى القانون الوطني بهدف دعم الحرية النقابية والمفاوضات الجماعية</w:t>
            </w:r>
          </w:p>
          <w:p w:rsidR="00444D49" w:rsidRDefault="00F44503" w:rsidP="009A1E16">
            <w:pPr>
              <w:pStyle w:val="ListParagraph"/>
              <w:numPr>
                <w:ilvl w:val="0"/>
                <w:numId w:val="4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تفعيل آلية بديلة فيما يتعلق بالحرية النقابية والمفاوضة الجماعية في حال عدم اعتراف القانون الوطني بمثل هذه الحقوق</w:t>
            </w:r>
          </w:p>
          <w:p w:rsidR="00444D49" w:rsidRPr="008D55C0" w:rsidRDefault="00E01E6E" w:rsidP="00E01E6E">
            <w:pPr>
              <w:pStyle w:val="ListParagraph"/>
              <w:numPr>
                <w:ilvl w:val="0"/>
                <w:numId w:val="4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القضايا المتعلقة بتفعيل الأحكام/المعايير الخاصة بالصحة والسلامة المهنية (</w:t>
            </w:r>
            <w:r>
              <w:rPr>
                <w:rFonts w:ascii="Times New Roman" w:hAnsi="Times New Roman"/>
                <w:sz w:val="24"/>
                <w:szCs w:val="24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OHS</w:t>
            </w: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)</w:t>
            </w:r>
          </w:p>
        </w:tc>
      </w:tr>
      <w:tr w:rsidR="00444D49" w:rsidRPr="00F248C2" w:rsidTr="005E4F6B">
        <w:tc>
          <w:tcPr>
            <w:tcW w:w="985" w:type="dxa"/>
          </w:tcPr>
          <w:p w:rsidR="00444D49" w:rsidRDefault="00444D49" w:rsidP="00444D49">
            <w:pPr>
              <w:rPr>
                <w:rFonts w:ascii="Times New Roman" w:hAnsi="Times New Roman" w:cs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المعيار البيئي والاجتماعي 3 (</w:t>
            </w:r>
            <w:r>
              <w:rPr>
                <w:rFonts w:ascii="Times New Roman" w:hAnsi="Times New Roman" w:cs="Times New Roman"/>
                <w:sz w:val="24"/>
                <w:szCs w:val="24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ESS3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)</w:t>
            </w:r>
          </w:p>
        </w:tc>
        <w:tc>
          <w:tcPr>
            <w:tcW w:w="2160" w:type="dxa"/>
          </w:tcPr>
          <w:p w:rsidR="00444D49" w:rsidRPr="00F248C2" w:rsidRDefault="00444D49" w:rsidP="00444D49">
            <w:pPr>
              <w:rPr>
                <w:rFonts w:ascii="Times New Roman" w:hAnsi="Times New Roman" w:cs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تغير المناخ و انبعاثات الغازات الدفيئة (</w:t>
            </w:r>
            <w:r>
              <w:rPr>
                <w:rFonts w:ascii="Times New Roman" w:hAnsi="Times New Roman" w:cs="Times New Roman"/>
                <w:sz w:val="24"/>
                <w:szCs w:val="24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GHG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)</w:t>
            </w:r>
          </w:p>
        </w:tc>
        <w:tc>
          <w:tcPr>
            <w:tcW w:w="7650" w:type="dxa"/>
          </w:tcPr>
          <w:p w:rsidR="00444D49" w:rsidRDefault="006E5E73" w:rsidP="006E5E73">
            <w:pPr>
              <w:pStyle w:val="ListParagraph"/>
              <w:numPr>
                <w:ilvl w:val="0"/>
                <w:numId w:val="6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العلاقة بين الأحكام الخاصة بتغير المناخ في الإطار البيئي والاجتماعي (</w:t>
            </w:r>
            <w:r>
              <w:rPr>
                <w:rFonts w:ascii="Times New Roman" w:hAnsi="Times New Roman"/>
                <w:sz w:val="24"/>
                <w:szCs w:val="24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ESF</w:t>
            </w: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) والتزامات تغير المناخ الأوسع نطاقًا، على وجه التحديد اتفاقية الأمم المتحدة الإطارية بشأن تغير المناخ (</w:t>
            </w:r>
            <w:r>
              <w:rPr>
                <w:rFonts w:ascii="Times New Roman" w:hAnsi="Times New Roman"/>
                <w:sz w:val="24"/>
                <w:szCs w:val="24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UNFCCC</w:t>
            </w: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)</w:t>
            </w:r>
          </w:p>
          <w:p w:rsidR="00BA733C" w:rsidRDefault="00A97FC4" w:rsidP="00BA733C">
            <w:pPr>
              <w:pStyle w:val="ListParagraph"/>
              <w:numPr>
                <w:ilvl w:val="0"/>
                <w:numId w:val="6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النُهج المقترحة لقياس انبعاثات الغازات الدفيئة (</w:t>
            </w:r>
            <w:r>
              <w:rPr>
                <w:rFonts w:ascii="Times New Roman" w:hAnsi="Times New Roman"/>
                <w:sz w:val="24"/>
                <w:szCs w:val="24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GHG</w:t>
            </w: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) ورصدها في مشروعات البنك والآثار المترتبة عليها، تماشيًا مع المعيار المقترح، بما في ذلك تحديد النطاق والحد، والمدة والتكرار والجدوى الاقتصادية والمالية لعمليات التقدير والمراقبة المماثلة</w:t>
            </w:r>
          </w:p>
          <w:p w:rsidR="0035406A" w:rsidRPr="00BA733C" w:rsidRDefault="00641839" w:rsidP="006A6B8C">
            <w:pPr>
              <w:pStyle w:val="ListParagraph"/>
              <w:numPr>
                <w:ilvl w:val="0"/>
                <w:numId w:val="6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الآثار اللازمة للمقترض بشأن تقدير انبعاثات الغازات الدفيئة (</w:t>
            </w:r>
            <w:r>
              <w:rPr>
                <w:rFonts w:ascii="Times New Roman" w:hAnsi="Times New Roman"/>
                <w:sz w:val="24"/>
                <w:szCs w:val="24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GHG</w:t>
            </w: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) والحد منها في مشروعات البنك، وذلك تماشيًا مع المعايير المقترحة</w:t>
            </w:r>
          </w:p>
        </w:tc>
      </w:tr>
      <w:tr w:rsidR="00444D49" w:rsidRPr="00F248C2" w:rsidTr="005E4F6B">
        <w:tc>
          <w:tcPr>
            <w:tcW w:w="985" w:type="dxa"/>
          </w:tcPr>
          <w:p w:rsidR="00444D49" w:rsidRPr="00F248C2" w:rsidRDefault="00444D49" w:rsidP="00444D49">
            <w:pPr>
              <w:rPr>
                <w:rFonts w:ascii="Times New Roman" w:hAnsi="Times New Roman" w:cs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المعيار البيئي والاجتماعي 5 (</w:t>
            </w:r>
            <w:r>
              <w:rPr>
                <w:rFonts w:ascii="Times New Roman" w:hAnsi="Times New Roman" w:cs="Times New Roman"/>
                <w:sz w:val="24"/>
                <w:szCs w:val="24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ESS5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)</w:t>
            </w:r>
          </w:p>
        </w:tc>
        <w:tc>
          <w:tcPr>
            <w:tcW w:w="2160" w:type="dxa"/>
          </w:tcPr>
          <w:p w:rsidR="00444D49" w:rsidRPr="00F248C2" w:rsidRDefault="00444D49" w:rsidP="00444D49">
            <w:pPr>
              <w:rPr>
                <w:rFonts w:ascii="Times New Roman" w:hAnsi="Times New Roman" w:cs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تملك الأراضي وإعادة التوطين القسري</w:t>
            </w:r>
          </w:p>
        </w:tc>
        <w:tc>
          <w:tcPr>
            <w:tcW w:w="7650" w:type="dxa"/>
          </w:tcPr>
          <w:p w:rsidR="00D46F6F" w:rsidRPr="00D04802" w:rsidRDefault="00D46F6F" w:rsidP="006E5E73">
            <w:pPr>
              <w:pStyle w:val="ListParagraph"/>
              <w:numPr>
                <w:ilvl w:val="0"/>
                <w:numId w:val="5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التعامل مع الشاغلين غير الرسميين وحقوقهم والنهج المتعلق بعمليات الإخلاء القسري في مواقف لا علاقة لها بتملك الأراضي </w:t>
            </w:r>
          </w:p>
          <w:p w:rsidR="00444D49" w:rsidRPr="005E4057" w:rsidRDefault="00394CA5" w:rsidP="006E5E73">
            <w:pPr>
              <w:pStyle w:val="ListParagraph"/>
              <w:numPr>
                <w:ilvl w:val="0"/>
                <w:numId w:val="5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تفسير مفهوم إعادة التوطين باعتباره "فرصة تنمية" في ظروف المشروع المختلفة </w:t>
            </w:r>
          </w:p>
        </w:tc>
      </w:tr>
      <w:tr w:rsidR="00444D49" w:rsidRPr="00F248C2" w:rsidTr="005E4F6B">
        <w:tc>
          <w:tcPr>
            <w:tcW w:w="985" w:type="dxa"/>
          </w:tcPr>
          <w:p w:rsidR="00444D49" w:rsidRDefault="00444D49" w:rsidP="00444D49">
            <w:pPr>
              <w:rPr>
                <w:rFonts w:ascii="Times New Roman" w:hAnsi="Times New Roman" w:cs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المعيار البيئي والاجتماعي 6 (</w:t>
            </w:r>
            <w:r>
              <w:rPr>
                <w:rFonts w:ascii="Times New Roman" w:hAnsi="Times New Roman" w:cs="Times New Roman"/>
                <w:sz w:val="24"/>
                <w:szCs w:val="24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ESS6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)</w:t>
            </w:r>
          </w:p>
        </w:tc>
        <w:tc>
          <w:tcPr>
            <w:tcW w:w="2160" w:type="dxa"/>
          </w:tcPr>
          <w:p w:rsidR="00444D49" w:rsidRDefault="00444D49" w:rsidP="00444D49">
            <w:pPr>
              <w:rPr>
                <w:rFonts w:ascii="Times New Roman" w:hAnsi="Times New Roman" w:cs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التنوع البيولوجي</w:t>
            </w:r>
          </w:p>
        </w:tc>
        <w:tc>
          <w:tcPr>
            <w:tcW w:w="7650" w:type="dxa"/>
          </w:tcPr>
          <w:p w:rsidR="00444D49" w:rsidRDefault="006E5E73" w:rsidP="006E5E73">
            <w:pPr>
              <w:pStyle w:val="ListParagraph"/>
              <w:numPr>
                <w:ilvl w:val="0"/>
                <w:numId w:val="6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تفعيل الأحكام المتعلقة بالموردين الرئيسيين وخدمات النظام الإيكولوجي، وبخاصة في الموقف الذي يتسم بقدرة منخفضة</w:t>
            </w:r>
          </w:p>
          <w:p w:rsidR="008B6107" w:rsidRDefault="00A97FC4" w:rsidP="00BE4181">
            <w:pPr>
              <w:pStyle w:val="ListParagraph"/>
              <w:numPr>
                <w:ilvl w:val="0"/>
                <w:numId w:val="6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دور القانون الوطني فيما يتعلق بحماية الموائل الطبيعية والحرجة والمحافظة عليها</w:t>
            </w:r>
          </w:p>
          <w:p w:rsidR="000A17BB" w:rsidRDefault="000A17BB" w:rsidP="000A17BB">
            <w:pPr>
              <w:pStyle w:val="ListParagraph"/>
              <w:numPr>
                <w:ilvl w:val="0"/>
                <w:numId w:val="6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معايير لتعويضات التنوع البيولوجي، بما في ذلك النظر في منافع المشروع </w:t>
            </w:r>
          </w:p>
          <w:p w:rsidR="00C07EA5" w:rsidRDefault="006D0315" w:rsidP="00105808">
            <w:pPr>
              <w:pStyle w:val="ListParagraph"/>
              <w:numPr>
                <w:ilvl w:val="0"/>
                <w:numId w:val="6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تعريف الأرباح الصافية للتنوع البيولوجي وتطبيقها</w:t>
            </w:r>
          </w:p>
        </w:tc>
      </w:tr>
      <w:tr w:rsidR="00444D49" w:rsidRPr="00F248C2" w:rsidTr="005E4F6B">
        <w:tc>
          <w:tcPr>
            <w:tcW w:w="985" w:type="dxa"/>
          </w:tcPr>
          <w:p w:rsidR="00444D49" w:rsidRPr="00F248C2" w:rsidRDefault="00444D49" w:rsidP="00444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idi w:val="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المعيار البيئي والاجتماعي 7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ESS7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)</w:t>
            </w:r>
          </w:p>
        </w:tc>
        <w:tc>
          <w:tcPr>
            <w:tcW w:w="2160" w:type="dxa"/>
          </w:tcPr>
          <w:p w:rsidR="00444D49" w:rsidRPr="00F248C2" w:rsidRDefault="00444D49" w:rsidP="00444D49">
            <w:pPr>
              <w:rPr>
                <w:rFonts w:ascii="Times New Roman" w:hAnsi="Times New Roman" w:cs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الشعوب الأصلية</w:t>
            </w:r>
          </w:p>
        </w:tc>
        <w:tc>
          <w:tcPr>
            <w:tcW w:w="7650" w:type="dxa"/>
          </w:tcPr>
          <w:p w:rsidR="00444D49" w:rsidRPr="00AA5EEE" w:rsidRDefault="00DF3346" w:rsidP="00DF3346">
            <w:pPr>
              <w:pStyle w:val="ListParagraph"/>
              <w:numPr>
                <w:ilvl w:val="0"/>
                <w:numId w:val="3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تنفيذ معيار الشعوب الأصلية الجديد </w:t>
            </w:r>
            <w:r>
              <w:rPr>
                <w:rFonts w:asciiTheme="majorBidi" w:hAnsiTheme="majorBidi"/>
                <w:color w:val="00000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في السياقات</w:t>
            </w:r>
            <w:r>
              <w:rPr>
                <w:rFonts w:asciiTheme="majorBidi" w:hAnsiTheme="majorBidi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السياسية والثقافية المعقدة</w:t>
            </w:r>
          </w:p>
          <w:p w:rsidR="00AA5EEE" w:rsidRPr="00655F4D" w:rsidRDefault="00AA5EEE" w:rsidP="00DF3346">
            <w:pPr>
              <w:pStyle w:val="ListParagraph"/>
              <w:numPr>
                <w:ilvl w:val="0"/>
                <w:numId w:val="3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تنفيذ المعيار البيئي والاجتماعي 7 (</w:t>
            </w:r>
            <w:r>
              <w:rPr>
                <w:rFonts w:ascii="Times New Roman" w:hAnsi="Times New Roman"/>
                <w:sz w:val="24"/>
                <w:szCs w:val="24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ESS7</w:t>
            </w: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) في الدول التي لا يعترف فيها الدستور بالشعوب الأصلية أو يعترف بفئات معينة من الشعوب الأصلية فقط </w:t>
            </w:r>
          </w:p>
          <w:p w:rsidR="00CA30E3" w:rsidRPr="00655F4D" w:rsidRDefault="007815E1" w:rsidP="00217107">
            <w:pPr>
              <w:pStyle w:val="ListParagraph"/>
              <w:numPr>
                <w:ilvl w:val="0"/>
                <w:numId w:val="3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</w:rPr>
              <w:bidi w:val="1"/>
            </w:pPr>
            <w:r>
              <w:rPr>
                <w:rFonts w:asciiTheme="majorBidi" w:hAnsiTheme="majorBidi" w:cstheme="majorBidi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النهج الممكنة التي تعكس المصطلحات البديلة المستخدمة في الدول المختلفة لوصف الشعوب الأصلية</w:t>
            </w:r>
          </w:p>
          <w:p w:rsidR="005F7AF0" w:rsidRPr="00933D3E" w:rsidRDefault="00A97FC4" w:rsidP="000F4D29">
            <w:pPr>
              <w:pStyle w:val="ListParagraph"/>
              <w:numPr>
                <w:ilvl w:val="0"/>
                <w:numId w:val="3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الظروف (مثل المعايير والتوقيت) التي يمكن اتخاذ قرار بالإعفاء في ضوئها والمعلومات التي ستقدم إلى المجلس لإبلاغ قراره </w:t>
            </w:r>
          </w:p>
          <w:p w:rsidR="00444D49" w:rsidRPr="00C66EF5" w:rsidRDefault="00143AFC" w:rsidP="00641839">
            <w:pPr>
              <w:pStyle w:val="ListParagraph"/>
              <w:numPr>
                <w:ilvl w:val="0"/>
                <w:numId w:val="3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المعايير الخاصة بوضع الموافقة الحرة والمسبقة والمستنيرة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FPIC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) وتنفيذها</w:t>
            </w:r>
          </w:p>
          <w:p w:rsidR="00DE3335" w:rsidRDefault="00217107" w:rsidP="00DE3335">
            <w:pPr>
              <w:pStyle w:val="ListParagraph"/>
              <w:numPr>
                <w:ilvl w:val="0"/>
                <w:numId w:val="3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مقارنة الموافقة الحرة والمسبقة والمستنيرة (</w:t>
            </w:r>
            <w:r>
              <w:rPr>
                <w:rFonts w:ascii="Times New Roman" w:hAnsi="Times New Roman"/>
                <w:sz w:val="24"/>
                <w:szCs w:val="24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FPIC</w:t>
            </w: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) مع المتطلبات الحالية القائمة على التشاور</w:t>
            </w:r>
          </w:p>
          <w:p w:rsidR="00666455" w:rsidRPr="00DF3346" w:rsidRDefault="00666455" w:rsidP="00DE3335">
            <w:pPr>
              <w:pStyle w:val="ListParagraph"/>
              <w:numPr>
                <w:ilvl w:val="0"/>
                <w:numId w:val="3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تطبيق الموافقة الحرة والمسبقة والمستنيرة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FPIC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) على التراث الثقافي للشعوب الأصلية</w:t>
            </w:r>
          </w:p>
        </w:tc>
      </w:tr>
      <w:tr w:rsidR="00444D49" w:rsidRPr="00F248C2" w:rsidTr="005E4F6B">
        <w:tc>
          <w:tcPr>
            <w:tcW w:w="985" w:type="dxa"/>
          </w:tcPr>
          <w:p w:rsidR="00444D49" w:rsidRPr="00F248C2" w:rsidRDefault="00444D49" w:rsidP="00444D49">
            <w:pPr>
              <w:rPr>
                <w:rFonts w:ascii="Times New Roman" w:hAnsi="Times New Roman" w:cs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المعيار البيئي والاجتماعي 8 (</w:t>
            </w:r>
            <w:r>
              <w:rPr>
                <w:rFonts w:ascii="Times New Roman" w:hAnsi="Times New Roman" w:cs="Times New Roman"/>
                <w:sz w:val="24"/>
                <w:szCs w:val="24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ESS8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)</w:t>
            </w:r>
          </w:p>
        </w:tc>
        <w:tc>
          <w:tcPr>
            <w:tcW w:w="2160" w:type="dxa"/>
          </w:tcPr>
          <w:p w:rsidR="00444D49" w:rsidRPr="00F248C2" w:rsidRDefault="00444D49" w:rsidP="00444D49">
            <w:pPr>
              <w:rPr>
                <w:rFonts w:ascii="Times New Roman" w:hAnsi="Times New Roman" w:cs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التراث الثقافي</w:t>
            </w:r>
          </w:p>
        </w:tc>
        <w:tc>
          <w:tcPr>
            <w:tcW w:w="7650" w:type="dxa"/>
          </w:tcPr>
          <w:p w:rsidR="00E34E6A" w:rsidRDefault="006E5E73" w:rsidP="003E4EC3">
            <w:pPr>
              <w:pStyle w:val="ListParagraph"/>
              <w:numPr>
                <w:ilvl w:val="0"/>
                <w:numId w:val="9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التعامل مع التراث الثقافي غير المادي </w:t>
            </w:r>
          </w:p>
          <w:p w:rsidR="00C232FC" w:rsidRDefault="009A1E16" w:rsidP="002513D5">
            <w:pPr>
              <w:pStyle w:val="ListParagraph"/>
              <w:numPr>
                <w:ilvl w:val="0"/>
                <w:numId w:val="9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تطبيق التراث الثقافي غير المادي عندما يهدف المشروع إلى تسويق هذا التراث</w:t>
            </w:r>
          </w:p>
          <w:p w:rsidR="00E34E6A" w:rsidRPr="00E81112" w:rsidRDefault="00E81112" w:rsidP="00E34E6A">
            <w:pPr>
              <w:pStyle w:val="ListParagraph"/>
              <w:numPr>
                <w:ilvl w:val="0"/>
                <w:numId w:val="9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تطبيق متطلبات التراث الثقافي عند عدم حمايته قانونًا أو تم تحديده أو توزيعه سابقًا</w:t>
            </w:r>
          </w:p>
        </w:tc>
      </w:tr>
      <w:tr w:rsidR="00444D49" w:rsidRPr="00F248C2" w:rsidTr="005E4F6B">
        <w:tc>
          <w:tcPr>
            <w:tcW w:w="985" w:type="dxa"/>
          </w:tcPr>
          <w:p w:rsidR="00444D49" w:rsidRPr="00F248C2" w:rsidRDefault="00444D49" w:rsidP="00444D49">
            <w:pPr>
              <w:rPr>
                <w:rFonts w:ascii="Times New Roman" w:hAnsi="Times New Roman" w:cs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المعيار البيئي والاجتماعي 9 (</w:t>
            </w:r>
            <w:r>
              <w:rPr>
                <w:rFonts w:ascii="Times New Roman" w:hAnsi="Times New Roman" w:cs="Times New Roman"/>
                <w:sz w:val="24"/>
                <w:szCs w:val="24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ESS9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)</w:t>
            </w:r>
          </w:p>
        </w:tc>
        <w:tc>
          <w:tcPr>
            <w:tcW w:w="2160" w:type="dxa"/>
          </w:tcPr>
          <w:p w:rsidR="00444D49" w:rsidRPr="00F248C2" w:rsidRDefault="00444D49" w:rsidP="00444D49">
            <w:pPr>
              <w:rPr>
                <w:rFonts w:ascii="Times New Roman" w:hAnsi="Times New Roman" w:cs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الوسطاء الماليون</w:t>
            </w:r>
          </w:p>
        </w:tc>
        <w:tc>
          <w:tcPr>
            <w:tcW w:w="7650" w:type="dxa"/>
          </w:tcPr>
          <w:p w:rsidR="00444D49" w:rsidRDefault="00105808" w:rsidP="002513D5">
            <w:pPr>
              <w:pStyle w:val="ListParagraph"/>
              <w:numPr>
                <w:ilvl w:val="0"/>
                <w:numId w:val="10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تطبيق معيار المشروعات الفرعية للوسيط المالي (</w:t>
            </w:r>
            <w:r>
              <w:rPr>
                <w:rFonts w:ascii="Times New Roman" w:hAnsi="Times New Roman"/>
                <w:sz w:val="24"/>
                <w:szCs w:val="24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FI</w:t>
            </w: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) والآثار المتعلقة بالموارد استنادًا إلى المخاطر </w:t>
            </w:r>
          </w:p>
          <w:p w:rsidR="00444D49" w:rsidRPr="00A47BD0" w:rsidRDefault="007D5A1B" w:rsidP="00105808">
            <w:pPr>
              <w:pStyle w:val="ListParagraph"/>
              <w:numPr>
                <w:ilvl w:val="0"/>
                <w:numId w:val="10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توافق النهج مع مؤسسة التمويل الدولية (</w:t>
            </w:r>
            <w:r>
              <w:rPr>
                <w:rFonts w:ascii="Times New Roman" w:hAnsi="Times New Roman"/>
                <w:sz w:val="24"/>
                <w:szCs w:val="24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IFC</w:t>
            </w: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) والبنوك التي تطبق مبادئ التعادل </w:t>
            </w:r>
          </w:p>
        </w:tc>
      </w:tr>
      <w:tr w:rsidR="00444D49" w:rsidRPr="00F248C2" w:rsidTr="005E4F6B">
        <w:tc>
          <w:tcPr>
            <w:tcW w:w="985" w:type="dxa"/>
          </w:tcPr>
          <w:p w:rsidR="00444D49" w:rsidRPr="00F248C2" w:rsidRDefault="00444D49" w:rsidP="00444D49">
            <w:pPr>
              <w:rPr>
                <w:rFonts w:ascii="Times New Roman" w:hAnsi="Times New Roman" w:cs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المعيار البيئي والاجتماعي 10 (</w:t>
            </w:r>
            <w:r>
              <w:rPr>
                <w:rFonts w:ascii="Times New Roman" w:hAnsi="Times New Roman" w:cs="Times New Roman"/>
                <w:sz w:val="24"/>
                <w:szCs w:val="24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ESS10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)</w:t>
            </w:r>
          </w:p>
        </w:tc>
        <w:tc>
          <w:tcPr>
            <w:tcW w:w="2160" w:type="dxa"/>
          </w:tcPr>
          <w:p w:rsidR="00444D49" w:rsidRPr="00F248C2" w:rsidRDefault="00444D49" w:rsidP="00071BD2">
            <w:pPr>
              <w:rPr>
                <w:rFonts w:ascii="Times New Roman" w:hAnsi="Times New Roman" w:cs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مشاركة أصحاب المصلحة</w:t>
            </w:r>
          </w:p>
        </w:tc>
        <w:tc>
          <w:tcPr>
            <w:tcW w:w="7650" w:type="dxa"/>
          </w:tcPr>
          <w:p w:rsidR="00205480" w:rsidRDefault="00205480" w:rsidP="00205480">
            <w:pPr>
              <w:pStyle w:val="ListParagraph"/>
              <w:numPr>
                <w:ilvl w:val="0"/>
                <w:numId w:val="8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تعريف أصحاب المصلحة في المشروع وطبيعة مشاركتهم وتحديدهم</w:t>
            </w:r>
          </w:p>
          <w:p w:rsidR="00F17728" w:rsidRPr="00677D04" w:rsidRDefault="00205480" w:rsidP="00677D04">
            <w:pPr>
              <w:pStyle w:val="ListParagraph"/>
              <w:numPr>
                <w:ilvl w:val="0"/>
                <w:numId w:val="8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دور الدول المقترضة أو وكالات التنفيذ في تحديد أصحاب المصلحة في المشروع</w:t>
            </w:r>
          </w:p>
        </w:tc>
      </w:tr>
      <w:tr w:rsidR="00BA6FFD" w:rsidRPr="00F248C2" w:rsidTr="005E4F6B">
        <w:tc>
          <w:tcPr>
            <w:tcW w:w="985" w:type="dxa"/>
            <w:vMerge w:val="restart"/>
          </w:tcPr>
          <w:p w:rsidR="00BA6FFD" w:rsidRPr="00651C95" w:rsidRDefault="00BA6FFD" w:rsidP="00444D49">
            <w:pPr>
              <w:rPr>
                <w:rFonts w:ascii="Times New Roman" w:hAnsi="Times New Roman" w:cs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عام</w:t>
            </w:r>
          </w:p>
          <w:p w:rsidR="00BA6FFD" w:rsidRPr="00651C95" w:rsidRDefault="00BA6FFD" w:rsidP="00F0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A6FFD" w:rsidRPr="00651C95" w:rsidRDefault="00C232FC" w:rsidP="00C232FC">
            <w:pPr>
              <w:rPr>
                <w:rFonts w:ascii="Times New Roman" w:hAnsi="Times New Roman" w:cs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إرشادات البيئة والصحة والسلامة (</w:t>
            </w:r>
            <w:r>
              <w:rPr>
                <w:rFonts w:ascii="Times New Roman" w:hAnsi="Times New Roman" w:cs="Times New Roman"/>
                <w:sz w:val="24"/>
                <w:szCs w:val="24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EHSG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) والممارسة الصناعية الدولية الجيدة (</w:t>
            </w:r>
            <w:r>
              <w:rPr>
                <w:rFonts w:ascii="Times New Roman" w:hAnsi="Times New Roman" w:cs="Times New Roman"/>
                <w:sz w:val="24"/>
                <w:szCs w:val="24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GIIP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)</w:t>
            </w:r>
          </w:p>
        </w:tc>
        <w:tc>
          <w:tcPr>
            <w:tcW w:w="7650" w:type="dxa"/>
          </w:tcPr>
          <w:p w:rsidR="00BA6FFD" w:rsidRPr="00651C95" w:rsidRDefault="007D5A1B" w:rsidP="00D40038">
            <w:pPr>
              <w:pStyle w:val="ListParagraph"/>
              <w:numPr>
                <w:ilvl w:val="0"/>
                <w:numId w:val="9"/>
              </w:numPr>
              <w:ind w:left="342" w:hanging="27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تطبيق إرشادات البيئة والصحة والسلامة (</w:t>
            </w:r>
            <w:r>
              <w:rPr>
                <w:rFonts w:ascii="Times New Roman" w:hAnsi="Times New Roman"/>
                <w:sz w:val="24"/>
                <w:szCs w:val="24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EHSG</w:t>
            </w: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) والممارسة الصناعية الدولية الجيدة (</w:t>
            </w:r>
            <w:r>
              <w:rPr>
                <w:rFonts w:ascii="Times New Roman" w:hAnsi="Times New Roman"/>
                <w:sz w:val="24"/>
                <w:szCs w:val="24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GIIP</w:t>
            </w: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)، خاصةً عندما تختلف عن القانون الوطني أو عندما يكون لدى المقترض قيود فنية أو مالية و/أو عند أخذ الظروف المحددة في المشروع في الحسبان</w:t>
            </w:r>
          </w:p>
        </w:tc>
      </w:tr>
      <w:tr w:rsidR="00BA6FFD" w:rsidRPr="00F248C2" w:rsidTr="005E4F6B">
        <w:tc>
          <w:tcPr>
            <w:tcW w:w="985" w:type="dxa"/>
            <w:vMerge/>
          </w:tcPr>
          <w:p w:rsidR="00BA6FFD" w:rsidRDefault="00BA6FFD" w:rsidP="00F0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A6FFD" w:rsidRPr="00651C95" w:rsidRDefault="002B3D8A" w:rsidP="00D07482">
            <w:pPr>
              <w:rPr>
                <w:rFonts w:ascii="Times New Roman" w:hAnsi="Times New Roman" w:cs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الجدوى والموارد اللازمة للتنفيذ</w:t>
            </w:r>
          </w:p>
        </w:tc>
        <w:tc>
          <w:tcPr>
            <w:tcW w:w="7650" w:type="dxa"/>
          </w:tcPr>
          <w:p w:rsidR="00BA6FFD" w:rsidRDefault="0077044E" w:rsidP="003E4EC3">
            <w:pPr>
              <w:pStyle w:val="ListParagraph"/>
              <w:numPr>
                <w:ilvl w:val="0"/>
                <w:numId w:val="9"/>
              </w:numPr>
              <w:ind w:left="342" w:hanging="27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 w:eastAsiaTheme="minorEastAsia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التنفيذ والآثار المتعلقة بالموارد على المقترضين، مع الأخذ في الحسبان عوامل مثل اتساع نطاق الإطار البيئي والاجتماعي (</w:t>
            </w:r>
            <w:r>
              <w:rPr>
                <w:rFonts w:ascii="Times New Roman" w:hAnsi="Times New Roman" w:eastAsiaTheme="minorEastAsia"/>
                <w:sz w:val="24"/>
                <w:szCs w:val="24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ESF</w:t>
            </w:r>
            <w:r>
              <w:rPr>
                <w:rFonts w:ascii="Times New Roman" w:hAnsi="Times New Roman" w:eastAsiaTheme="minorEastAsia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) المقترح (مثل معيار العمل) وقدرات المقترض المختلفة ونهج الإدارة التكيفية</w:t>
            </w:r>
          </w:p>
          <w:p w:rsidR="00B92914" w:rsidRPr="006C013F" w:rsidRDefault="00A97FC4" w:rsidP="00A97FC4">
            <w:pPr>
              <w:pStyle w:val="ListParagraph"/>
              <w:numPr>
                <w:ilvl w:val="0"/>
                <w:numId w:val="9"/>
              </w:numPr>
              <w:ind w:left="342" w:hanging="27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 w:eastAsiaTheme="minorEastAsia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التخفيف من العبء الإضافي والتكلفة والخيارات المتاحة لتحسين كفاءة التنفيذ مع المحافظة على الفعالية</w:t>
            </w:r>
          </w:p>
        </w:tc>
      </w:tr>
      <w:tr w:rsidR="00BA6FFD" w:rsidRPr="00F248C2" w:rsidTr="005E4F6B">
        <w:tc>
          <w:tcPr>
            <w:tcW w:w="985" w:type="dxa"/>
            <w:vMerge/>
          </w:tcPr>
          <w:p w:rsidR="00BA6FFD" w:rsidRPr="00F248C2" w:rsidRDefault="00BA6FFD" w:rsidP="00F0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BA6FFD" w:rsidRPr="00F248C2" w:rsidRDefault="00BA6FFD" w:rsidP="00F019A5">
            <w:pPr>
              <w:rPr>
                <w:rFonts w:ascii="Times New Roman" w:hAnsi="Times New Roman" w:cs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بناء قدرات العملاء ودعم التنفيذ</w:t>
            </w:r>
          </w:p>
        </w:tc>
        <w:tc>
          <w:tcPr>
            <w:tcW w:w="7650" w:type="dxa"/>
          </w:tcPr>
          <w:p w:rsidR="00BA6FFD" w:rsidRDefault="007D5A1B" w:rsidP="007D5A1B">
            <w:pPr>
              <w:pStyle w:val="ListParagraph"/>
              <w:numPr>
                <w:ilvl w:val="0"/>
                <w:numId w:val="9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التمويل لبناء قدرات العملاء</w:t>
            </w:r>
          </w:p>
          <w:p w:rsidR="001D3DB1" w:rsidRDefault="007D5A1B" w:rsidP="001D3DB1">
            <w:pPr>
              <w:pStyle w:val="ListParagraph"/>
              <w:numPr>
                <w:ilvl w:val="0"/>
                <w:numId w:val="9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النُهج ومجالات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الاهتمام</w:t>
            </w: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</w:t>
            </w:r>
          </w:p>
          <w:p w:rsidR="00BA6FFD" w:rsidRPr="00ED5AF8" w:rsidRDefault="001D3DB1" w:rsidP="001D3DB1">
            <w:pPr>
              <w:pStyle w:val="ListParagraph"/>
              <w:numPr>
                <w:ilvl w:val="0"/>
                <w:numId w:val="9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نهج تنفيذ الإطار البيئي والاجتماعي (</w:t>
            </w:r>
            <w:r>
              <w:rPr>
                <w:rFonts w:ascii="Times New Roman" w:hAnsi="Times New Roman"/>
                <w:sz w:val="24"/>
                <w:szCs w:val="24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ESF</w:t>
            </w: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) في حالات القيود المفروضة على القدرات، مثل المواقف المهمشة والمتأثرة بالصراعات (</w:t>
            </w:r>
            <w:r>
              <w:rPr>
                <w:rFonts w:ascii="Times New Roman" w:hAnsi="Times New Roman"/>
                <w:sz w:val="24"/>
                <w:szCs w:val="24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FCS</w:t>
            </w: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) والدول الصغيرة وحالات الطوارئ</w:t>
            </w:r>
          </w:p>
        </w:tc>
      </w:tr>
      <w:tr w:rsidR="00635FF7" w:rsidRPr="00F248C2" w:rsidTr="005E4F6B">
        <w:tc>
          <w:tcPr>
            <w:tcW w:w="985" w:type="dxa"/>
            <w:vMerge/>
          </w:tcPr>
          <w:p w:rsidR="00635FF7" w:rsidRPr="00F248C2" w:rsidRDefault="00635FF7" w:rsidP="00F0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635FF7" w:rsidRPr="00F248C2" w:rsidRDefault="00635FF7" w:rsidP="00F0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idi w:val="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الكشف</w:t>
            </w:r>
          </w:p>
        </w:tc>
        <w:tc>
          <w:tcPr>
            <w:tcW w:w="7650" w:type="dxa"/>
          </w:tcPr>
          <w:p w:rsidR="00635FF7" w:rsidRDefault="00635FF7" w:rsidP="006D0C7A">
            <w:pPr>
              <w:pStyle w:val="ListParagraph"/>
              <w:numPr>
                <w:ilvl w:val="0"/>
                <w:numId w:val="9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توقيت تحضير وثائق تقييم الأثر البيئي والاجتماعي المحددة والكشف عنها (ذات الصلة بالمعيار البيئي والاجتماعي 1 (</w:t>
            </w:r>
            <w:r>
              <w:rPr>
                <w:rFonts w:ascii="Times New Roman" w:hAnsi="Times New Roman"/>
                <w:sz w:val="24"/>
                <w:szCs w:val="24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ESS1</w:t>
            </w: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) والمعيار البيئي والاجتماعي 10 (</w:t>
            </w:r>
            <w:r>
              <w:rPr>
                <w:rFonts w:ascii="Times New Roman" w:hAnsi="Times New Roman"/>
                <w:sz w:val="24"/>
                <w:szCs w:val="24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ESS1</w:t>
            </w: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))</w:t>
            </w:r>
          </w:p>
        </w:tc>
      </w:tr>
      <w:tr w:rsidR="00BA6FFD" w:rsidRPr="00F248C2" w:rsidTr="005E4F6B">
        <w:tc>
          <w:tcPr>
            <w:tcW w:w="985" w:type="dxa"/>
            <w:vMerge/>
          </w:tcPr>
          <w:p w:rsidR="00BA6FFD" w:rsidRDefault="00BA6FFD" w:rsidP="00F0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A6FFD" w:rsidRPr="00F248C2" w:rsidRDefault="00BA6FFD" w:rsidP="00F019A5">
            <w:pPr>
              <w:rPr>
                <w:rFonts w:ascii="Times New Roman" w:hAnsi="Times New Roman" w:cs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تنفيذ الإطار البيئي والاجتماعي (</w:t>
            </w:r>
            <w:r>
              <w:rPr>
                <w:rFonts w:ascii="Times New Roman" w:hAnsi="Times New Roman" w:cs="Times New Roman"/>
                <w:sz w:val="24"/>
                <w:szCs w:val="24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ESF</w:t>
            </w:r>
            <w:r>
              <w:rPr>
                <w:rFonts w:ascii="Times New Roman" w:hAnsi="Times New Roman" w:cs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)</w:t>
            </w:r>
          </w:p>
        </w:tc>
        <w:tc>
          <w:tcPr>
            <w:tcW w:w="7650" w:type="dxa"/>
          </w:tcPr>
          <w:p w:rsidR="00BA6FFD" w:rsidRDefault="00BA6FFD" w:rsidP="00933D3E">
            <w:pPr>
              <w:pStyle w:val="ListParagraph"/>
              <w:numPr>
                <w:ilvl w:val="0"/>
                <w:numId w:val="9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بناء القدرات الداخلية للبنك، وتوفير الموارد، وتغيير السلوك من أجل التنفيذ الناجح للإطار البيئي والاجتماعي (</w:t>
            </w:r>
            <w:r>
              <w:rPr>
                <w:rFonts w:ascii="Times New Roman" w:hAnsi="Times New Roman"/>
                <w:sz w:val="24"/>
                <w:szCs w:val="24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ESF</w:t>
            </w: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)</w:t>
            </w:r>
          </w:p>
          <w:p w:rsidR="00657348" w:rsidRPr="00EB311F" w:rsidRDefault="00657348" w:rsidP="00933D3E">
            <w:pPr>
              <w:pStyle w:val="ListParagraph"/>
              <w:numPr>
                <w:ilvl w:val="0"/>
                <w:numId w:val="9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</w:rPr>
              <w:bidi w:val="1"/>
            </w:pPr>
            <w:r>
              <w:rPr>
                <w:rFonts w:ascii="Times New Roman" w:hAnsi="Times New Roman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سبل التوصل إلى تفاهم متبادل بين المقترض والبنك حول القضايا صعبة التفسير</w:t>
            </w:r>
          </w:p>
        </w:tc>
      </w:tr>
    </w:tbl>
    <w:p w:rsidR="00F248C2" w:rsidRPr="00F248C2" w:rsidRDefault="00F248C2" w:rsidP="00F248C2">
      <w:pPr>
        <w:rPr>
          <w:rFonts w:ascii="Times New Roman" w:hAnsi="Times New Roman" w:cs="Times New Roman"/>
          <w:sz w:val="24"/>
          <w:szCs w:val="24"/>
        </w:rPr>
      </w:pPr>
    </w:p>
    <w:sectPr w:rsidR="00F248C2" w:rsidRPr="00F248C2" w:rsidSect="0021710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161" w:rsidRDefault="00D36161" w:rsidP="002A2CFE">
      <w:pPr>
        <w:spacing w:after="0" w:line="240" w:lineRule="auto"/>
      </w:pPr>
      <w:r>
        <w:separator/>
      </w:r>
    </w:p>
  </w:endnote>
  <w:endnote w:type="continuationSeparator" w:id="0">
    <w:p w:rsidR="00D36161" w:rsidRDefault="00D36161" w:rsidP="002A2CFE">
      <w:pPr>
        <w:spacing w:after="0" w:line="240" w:lineRule="auto"/>
      </w:pPr>
      <w:r>
        <w:continuationSeparator/>
      </w:r>
    </w:p>
  </w:endnote>
  <w:endnote w:type="continuationNotice" w:id="1">
    <w:p w:rsidR="00D36161" w:rsidRDefault="00D361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0096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B32950" w:rsidRPr="00B32950" w:rsidRDefault="00B32950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  <w:bidi w:val="1"/>
        </w:pPr>
        <w:r>
          <w:rPr>
            <w:rFonts w:ascii="Times New Roman" w:hAnsi="Times New Roman" w:cs="Times New Roman"/>
            <w:sz w:val="20"/>
            <w:szCs w:val="20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  <w:b w:val="0"/>
            <w:bCs w:val="0"/>
            <w:i w:val="0"/>
            <w:iCs w:val="0"/>
            <w:u w:val="none"/>
            <w:vertAlign w:val="baseline"/>
            <w:rtl w:val="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  <w:lang w:bidi="ar"/>
            <w:b w:val="0"/>
            <w:bCs w:val="0"/>
            <w:i w:val="0"/>
            <w:iCs w:val="0"/>
            <w:u w:val="none"/>
            <w:vertAlign w:val="baseline"/>
            <w:rtl w:val="1"/>
          </w:rPr>
          <w:t xml:space="preserve">1</w:t>
        </w:r>
        <w:r>
          <w:rPr>
            <w:rFonts w:ascii="Times New Roman" w:hAnsi="Times New Roman" w:cs="Times New Roman"/>
            <w:noProof/>
            <w:sz w:val="20"/>
            <w:szCs w:val="20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end"/>
        </w:r>
      </w:p>
    </w:sdtContent>
  </w:sdt>
  <w:p w:rsidR="00B045EF" w:rsidRDefault="00B045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161" w:rsidRDefault="00D36161" w:rsidP="002A2CFE">
      <w:pPr>
        <w:spacing w:after="0" w:line="240" w:lineRule="auto"/>
      </w:pPr>
      <w:r>
        <w:separator/>
      </w:r>
    </w:p>
  </w:footnote>
  <w:footnote w:type="continuationSeparator" w:id="0">
    <w:p w:rsidR="00D36161" w:rsidRDefault="00D36161" w:rsidP="002A2CFE">
      <w:pPr>
        <w:spacing w:after="0" w:line="240" w:lineRule="auto"/>
      </w:pPr>
      <w:r>
        <w:continuationSeparator/>
      </w:r>
    </w:p>
  </w:footnote>
  <w:footnote w:type="continuationNotice" w:id="1">
    <w:p w:rsidR="00D36161" w:rsidRDefault="00D361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5EF" w:rsidRPr="00641839" w:rsidRDefault="00701A96" w:rsidP="00217107">
    <w:pPr>
      <w:pStyle w:val="Header"/>
      <w:tabs>
        <w:tab w:val="clear" w:pos="9360"/>
      </w:tabs>
      <w:spacing w:after="240"/>
      <w:rPr>
        <w:rFonts w:asciiTheme="majorBidi" w:hAnsiTheme="majorBidi" w:cstheme="majorBidi"/>
      </w:rPr>
      <w:bidi w:val="1"/>
    </w:pPr>
    <w:r>
      <w:rPr>
        <w:rFonts w:asciiTheme="majorBidi" w:hAnsiTheme="majorBidi" w:cstheme="majorBidi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Theme="majorBidi" w:hAnsiTheme="majorBidi" w:cstheme="majorBidi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Theme="majorBidi" w:hAnsiTheme="majorBidi" w:cstheme="majorBidi"/>
        <w:lang w:bidi="ar"/>
        <w:b w:val="0"/>
        <w:bCs w:val="0"/>
        <w:i w:val="0"/>
        <w:iCs w:val="0"/>
        <w:u w:val="none"/>
        <w:vertAlign w:val="baseline"/>
        <w:rtl w:val="1"/>
      </w:rPr>
      <w:t xml:space="preserve">              </w:t>
    </w:r>
    <w:r>
      <w:rPr>
        <w:rFonts w:asciiTheme="majorBidi" w:hAnsiTheme="majorBidi" w:cstheme="majorBidi"/>
        <w:lang w:bidi="ar"/>
        <w:b w:val="0"/>
        <w:bCs w:val="0"/>
        <w:i w:val="0"/>
        <w:iCs w:val="0"/>
        <w:u w:val="none"/>
        <w:vertAlign w:val="baseline"/>
        <w:rtl w:val="1"/>
      </w:rPr>
      <w:tab/>
    </w:r>
    <w:r>
      <w:rPr>
        <w:rFonts w:asciiTheme="majorBidi" w:hAnsiTheme="majorBidi" w:cstheme="majorBidi"/>
        <w:lang w:bidi="ar"/>
        <w:b w:val="0"/>
        <w:bCs w:val="0"/>
        <w:i w:val="0"/>
        <w:iCs w:val="0"/>
        <w:u w:val="none"/>
        <w:vertAlign w:val="baseline"/>
        <w:rtl w:val="1"/>
      </w:rPr>
      <w:tab/>
    </w:r>
    <w:r>
      <w:rPr>
        <w:rFonts w:asciiTheme="majorBidi" w:hAnsiTheme="majorBidi" w:cstheme="majorBidi"/>
        <w:lang w:bidi="ar"/>
        <w:b w:val="0"/>
        <w:bCs w:val="0"/>
        <w:i w:val="0"/>
        <w:iCs w:val="0"/>
        <w:u w:val="none"/>
        <w:vertAlign w:val="baseline"/>
        <w:rtl w:val="1"/>
      </w:rPr>
      <w:tab/>
    </w:r>
    <w:r>
      <w:rPr>
        <w:rFonts w:asciiTheme="majorBidi" w:hAnsiTheme="majorBidi" w:cstheme="majorBidi"/>
        <w:lang w:bidi="ar"/>
        <w:b w:val="0"/>
        <w:bCs w:val="0"/>
        <w:i w:val="0"/>
        <w:iCs w:val="0"/>
        <w:u w:val="none"/>
        <w:vertAlign w:val="baseline"/>
        <w:rtl w:val="1"/>
      </w:rPr>
      <w:tab/>
    </w:r>
    <w:r>
      <w:rPr>
        <w:rFonts w:asciiTheme="majorBidi" w:hAnsiTheme="majorBidi" w:cstheme="majorBidi"/>
        <w:lang w:bidi="ar"/>
        <w:b w:val="0"/>
        <w:bCs w:val="0"/>
        <w:i w:val="0"/>
        <w:iCs w:val="0"/>
        <w:u w:val="none"/>
        <w:vertAlign w:val="baseline"/>
        <w:rtl w:val="1"/>
      </w:rPr>
      <w:tab/>
    </w:r>
    <w:r>
      <w:rPr>
        <w:rFonts w:asciiTheme="majorBidi" w:hAnsiTheme="majorBidi" w:cstheme="majorBidi"/>
        <w:lang w:bidi="ar"/>
        <w:b w:val="0"/>
        <w:bCs w:val="0"/>
        <w:i w:val="0"/>
        <w:iCs w:val="0"/>
        <w:u w:val="none"/>
        <w:vertAlign w:val="baseline"/>
        <w:rtl w:val="1"/>
      </w:rPr>
      <w:t xml:space="preserve">3 أغسطس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18E"/>
    <w:multiLevelType w:val="hybridMultilevel"/>
    <w:tmpl w:val="7FE86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46B8E"/>
    <w:multiLevelType w:val="hybridMultilevel"/>
    <w:tmpl w:val="E7A42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62A6F"/>
    <w:multiLevelType w:val="hybridMultilevel"/>
    <w:tmpl w:val="4068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A7E60"/>
    <w:multiLevelType w:val="hybridMultilevel"/>
    <w:tmpl w:val="E4DE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B3F48"/>
    <w:multiLevelType w:val="hybridMultilevel"/>
    <w:tmpl w:val="DD6E6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F25CF"/>
    <w:multiLevelType w:val="hybridMultilevel"/>
    <w:tmpl w:val="AE0A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9230A"/>
    <w:multiLevelType w:val="hybridMultilevel"/>
    <w:tmpl w:val="CCC0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356C9"/>
    <w:multiLevelType w:val="hybridMultilevel"/>
    <w:tmpl w:val="9378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1163E"/>
    <w:multiLevelType w:val="hybridMultilevel"/>
    <w:tmpl w:val="59BA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B5E71"/>
    <w:multiLevelType w:val="hybridMultilevel"/>
    <w:tmpl w:val="A184E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9A"/>
    <w:rsid w:val="0000149B"/>
    <w:rsid w:val="00003DE8"/>
    <w:rsid w:val="00003E60"/>
    <w:rsid w:val="00020167"/>
    <w:rsid w:val="000260EF"/>
    <w:rsid w:val="00026364"/>
    <w:rsid w:val="00027054"/>
    <w:rsid w:val="000336A3"/>
    <w:rsid w:val="00037EE7"/>
    <w:rsid w:val="00040B41"/>
    <w:rsid w:val="000419FF"/>
    <w:rsid w:val="00042513"/>
    <w:rsid w:val="00047C4E"/>
    <w:rsid w:val="00053362"/>
    <w:rsid w:val="0005339B"/>
    <w:rsid w:val="00055656"/>
    <w:rsid w:val="00071BD2"/>
    <w:rsid w:val="00073D66"/>
    <w:rsid w:val="000811A8"/>
    <w:rsid w:val="000830BB"/>
    <w:rsid w:val="00091E8A"/>
    <w:rsid w:val="000932B4"/>
    <w:rsid w:val="00095B65"/>
    <w:rsid w:val="000A17BB"/>
    <w:rsid w:val="000A1CA2"/>
    <w:rsid w:val="000A3A99"/>
    <w:rsid w:val="000B33E5"/>
    <w:rsid w:val="000B6D97"/>
    <w:rsid w:val="000C2C9A"/>
    <w:rsid w:val="000C379E"/>
    <w:rsid w:val="000D207A"/>
    <w:rsid w:val="000D289A"/>
    <w:rsid w:val="000D5C4B"/>
    <w:rsid w:val="000E6821"/>
    <w:rsid w:val="000F4BFE"/>
    <w:rsid w:val="000F4D29"/>
    <w:rsid w:val="000F7552"/>
    <w:rsid w:val="00105808"/>
    <w:rsid w:val="00122172"/>
    <w:rsid w:val="0012279D"/>
    <w:rsid w:val="001341BB"/>
    <w:rsid w:val="00135480"/>
    <w:rsid w:val="001409EF"/>
    <w:rsid w:val="00143016"/>
    <w:rsid w:val="00143AFC"/>
    <w:rsid w:val="00144F04"/>
    <w:rsid w:val="001459D8"/>
    <w:rsid w:val="00163038"/>
    <w:rsid w:val="00171F36"/>
    <w:rsid w:val="00182A56"/>
    <w:rsid w:val="0018639F"/>
    <w:rsid w:val="00197F14"/>
    <w:rsid w:val="001B467B"/>
    <w:rsid w:val="001D3DB1"/>
    <w:rsid w:val="001D4666"/>
    <w:rsid w:val="001D7A18"/>
    <w:rsid w:val="001E55D1"/>
    <w:rsid w:val="001E61A5"/>
    <w:rsid w:val="00202567"/>
    <w:rsid w:val="00205480"/>
    <w:rsid w:val="0020711F"/>
    <w:rsid w:val="00217107"/>
    <w:rsid w:val="00224D63"/>
    <w:rsid w:val="00226BE3"/>
    <w:rsid w:val="002338A2"/>
    <w:rsid w:val="0023659A"/>
    <w:rsid w:val="00242AD8"/>
    <w:rsid w:val="00243F3E"/>
    <w:rsid w:val="00250D57"/>
    <w:rsid w:val="002513D5"/>
    <w:rsid w:val="002530B6"/>
    <w:rsid w:val="00262E1C"/>
    <w:rsid w:val="002736E5"/>
    <w:rsid w:val="002744A1"/>
    <w:rsid w:val="00276204"/>
    <w:rsid w:val="00282F1B"/>
    <w:rsid w:val="0029188A"/>
    <w:rsid w:val="002A096A"/>
    <w:rsid w:val="002A2CFE"/>
    <w:rsid w:val="002B19ED"/>
    <w:rsid w:val="002B3D8A"/>
    <w:rsid w:val="002B5F16"/>
    <w:rsid w:val="002B6400"/>
    <w:rsid w:val="002D5BA1"/>
    <w:rsid w:val="002E7855"/>
    <w:rsid w:val="002F2CD2"/>
    <w:rsid w:val="002F45A4"/>
    <w:rsid w:val="00300C38"/>
    <w:rsid w:val="00315C22"/>
    <w:rsid w:val="003202FE"/>
    <w:rsid w:val="00327EC9"/>
    <w:rsid w:val="00331AB4"/>
    <w:rsid w:val="0035406A"/>
    <w:rsid w:val="00355F4A"/>
    <w:rsid w:val="00366948"/>
    <w:rsid w:val="00381278"/>
    <w:rsid w:val="00381AD4"/>
    <w:rsid w:val="00383C66"/>
    <w:rsid w:val="003852D6"/>
    <w:rsid w:val="00394CA5"/>
    <w:rsid w:val="003A3AFF"/>
    <w:rsid w:val="003A647D"/>
    <w:rsid w:val="003B155E"/>
    <w:rsid w:val="003B3DBC"/>
    <w:rsid w:val="003B5F46"/>
    <w:rsid w:val="003D11E6"/>
    <w:rsid w:val="003D4A7B"/>
    <w:rsid w:val="003E4EC3"/>
    <w:rsid w:val="003E7BBA"/>
    <w:rsid w:val="003F1223"/>
    <w:rsid w:val="00404676"/>
    <w:rsid w:val="00412FE5"/>
    <w:rsid w:val="00420CFF"/>
    <w:rsid w:val="004241C3"/>
    <w:rsid w:val="004256AD"/>
    <w:rsid w:val="00426441"/>
    <w:rsid w:val="004269B4"/>
    <w:rsid w:val="00426EAF"/>
    <w:rsid w:val="0043075D"/>
    <w:rsid w:val="00432368"/>
    <w:rsid w:val="00444D49"/>
    <w:rsid w:val="00446F4F"/>
    <w:rsid w:val="00447B65"/>
    <w:rsid w:val="00452976"/>
    <w:rsid w:val="004646E2"/>
    <w:rsid w:val="004716A6"/>
    <w:rsid w:val="00477137"/>
    <w:rsid w:val="004808FE"/>
    <w:rsid w:val="0049193E"/>
    <w:rsid w:val="00493231"/>
    <w:rsid w:val="004A7E4C"/>
    <w:rsid w:val="004B75C6"/>
    <w:rsid w:val="004C660E"/>
    <w:rsid w:val="004C788C"/>
    <w:rsid w:val="004D1AC7"/>
    <w:rsid w:val="004E15D0"/>
    <w:rsid w:val="004F11ED"/>
    <w:rsid w:val="005032BD"/>
    <w:rsid w:val="005039CD"/>
    <w:rsid w:val="0051172F"/>
    <w:rsid w:val="00523D1A"/>
    <w:rsid w:val="005277C3"/>
    <w:rsid w:val="00527CA3"/>
    <w:rsid w:val="005566FF"/>
    <w:rsid w:val="00566F76"/>
    <w:rsid w:val="00570D27"/>
    <w:rsid w:val="005818DD"/>
    <w:rsid w:val="00586B31"/>
    <w:rsid w:val="00587E9E"/>
    <w:rsid w:val="005907B4"/>
    <w:rsid w:val="005A2B56"/>
    <w:rsid w:val="005D31D7"/>
    <w:rsid w:val="005D3B1D"/>
    <w:rsid w:val="005D6FC2"/>
    <w:rsid w:val="005E4057"/>
    <w:rsid w:val="005E4F6B"/>
    <w:rsid w:val="005E6F14"/>
    <w:rsid w:val="005E7DDD"/>
    <w:rsid w:val="005F7AF0"/>
    <w:rsid w:val="00600956"/>
    <w:rsid w:val="00601D29"/>
    <w:rsid w:val="00624C2C"/>
    <w:rsid w:val="00635FF7"/>
    <w:rsid w:val="00641839"/>
    <w:rsid w:val="0064513A"/>
    <w:rsid w:val="00651B88"/>
    <w:rsid w:val="00651C95"/>
    <w:rsid w:val="0065255F"/>
    <w:rsid w:val="006552FD"/>
    <w:rsid w:val="00655F4D"/>
    <w:rsid w:val="00656A43"/>
    <w:rsid w:val="00657348"/>
    <w:rsid w:val="006626AF"/>
    <w:rsid w:val="00666455"/>
    <w:rsid w:val="00674337"/>
    <w:rsid w:val="00677D04"/>
    <w:rsid w:val="00680FAF"/>
    <w:rsid w:val="0068274C"/>
    <w:rsid w:val="006834E0"/>
    <w:rsid w:val="00693EF7"/>
    <w:rsid w:val="00694DA4"/>
    <w:rsid w:val="00695F09"/>
    <w:rsid w:val="006A2440"/>
    <w:rsid w:val="006A6B8C"/>
    <w:rsid w:val="006C013F"/>
    <w:rsid w:val="006C6925"/>
    <w:rsid w:val="006D0315"/>
    <w:rsid w:val="006D0C7A"/>
    <w:rsid w:val="006E0FC0"/>
    <w:rsid w:val="006E5E73"/>
    <w:rsid w:val="006F10AD"/>
    <w:rsid w:val="006F1287"/>
    <w:rsid w:val="006F72CE"/>
    <w:rsid w:val="00701A96"/>
    <w:rsid w:val="00703AE3"/>
    <w:rsid w:val="007162E0"/>
    <w:rsid w:val="00722EE5"/>
    <w:rsid w:val="00732E9B"/>
    <w:rsid w:val="0074685A"/>
    <w:rsid w:val="007507AB"/>
    <w:rsid w:val="00752A48"/>
    <w:rsid w:val="007563DC"/>
    <w:rsid w:val="00762E8F"/>
    <w:rsid w:val="0076753E"/>
    <w:rsid w:val="0077044E"/>
    <w:rsid w:val="00775C67"/>
    <w:rsid w:val="0077675F"/>
    <w:rsid w:val="00777D96"/>
    <w:rsid w:val="007815E1"/>
    <w:rsid w:val="00784151"/>
    <w:rsid w:val="007901C3"/>
    <w:rsid w:val="007A67B8"/>
    <w:rsid w:val="007B23CA"/>
    <w:rsid w:val="007C52D6"/>
    <w:rsid w:val="007D5A1B"/>
    <w:rsid w:val="007F1591"/>
    <w:rsid w:val="007F6E34"/>
    <w:rsid w:val="008065AA"/>
    <w:rsid w:val="008076E7"/>
    <w:rsid w:val="008141AA"/>
    <w:rsid w:val="00816846"/>
    <w:rsid w:val="008177C2"/>
    <w:rsid w:val="00817CF6"/>
    <w:rsid w:val="00830847"/>
    <w:rsid w:val="0083299A"/>
    <w:rsid w:val="00835B5D"/>
    <w:rsid w:val="00835F54"/>
    <w:rsid w:val="00861101"/>
    <w:rsid w:val="00862832"/>
    <w:rsid w:val="00866392"/>
    <w:rsid w:val="00880AE0"/>
    <w:rsid w:val="00880E95"/>
    <w:rsid w:val="00881A95"/>
    <w:rsid w:val="008902BD"/>
    <w:rsid w:val="00895AF5"/>
    <w:rsid w:val="00897C8B"/>
    <w:rsid w:val="008A0685"/>
    <w:rsid w:val="008A7945"/>
    <w:rsid w:val="008B109C"/>
    <w:rsid w:val="008B2BBD"/>
    <w:rsid w:val="008B4BEC"/>
    <w:rsid w:val="008B55B4"/>
    <w:rsid w:val="008B6107"/>
    <w:rsid w:val="008C4949"/>
    <w:rsid w:val="008D1F03"/>
    <w:rsid w:val="008D335A"/>
    <w:rsid w:val="008D55C0"/>
    <w:rsid w:val="008E0747"/>
    <w:rsid w:val="008E22B2"/>
    <w:rsid w:val="008E2333"/>
    <w:rsid w:val="008F2E17"/>
    <w:rsid w:val="008F460C"/>
    <w:rsid w:val="00906E14"/>
    <w:rsid w:val="009079A0"/>
    <w:rsid w:val="00933D3E"/>
    <w:rsid w:val="009371DC"/>
    <w:rsid w:val="00940AFF"/>
    <w:rsid w:val="0095441A"/>
    <w:rsid w:val="009558DA"/>
    <w:rsid w:val="0096383D"/>
    <w:rsid w:val="00967DE9"/>
    <w:rsid w:val="00972434"/>
    <w:rsid w:val="00975C6B"/>
    <w:rsid w:val="00993083"/>
    <w:rsid w:val="009A1E16"/>
    <w:rsid w:val="009A6727"/>
    <w:rsid w:val="009C23F0"/>
    <w:rsid w:val="009C3726"/>
    <w:rsid w:val="009C7751"/>
    <w:rsid w:val="009C78BE"/>
    <w:rsid w:val="009D6FFE"/>
    <w:rsid w:val="009D7485"/>
    <w:rsid w:val="009F4A29"/>
    <w:rsid w:val="00A027C9"/>
    <w:rsid w:val="00A07218"/>
    <w:rsid w:val="00A13098"/>
    <w:rsid w:val="00A2541E"/>
    <w:rsid w:val="00A47BD0"/>
    <w:rsid w:val="00A55DB0"/>
    <w:rsid w:val="00A56621"/>
    <w:rsid w:val="00A618FF"/>
    <w:rsid w:val="00A62E2F"/>
    <w:rsid w:val="00A6465A"/>
    <w:rsid w:val="00A73655"/>
    <w:rsid w:val="00A73745"/>
    <w:rsid w:val="00A7696A"/>
    <w:rsid w:val="00A91DA5"/>
    <w:rsid w:val="00A95446"/>
    <w:rsid w:val="00A95B3A"/>
    <w:rsid w:val="00A97FC4"/>
    <w:rsid w:val="00AA5EEE"/>
    <w:rsid w:val="00AB755A"/>
    <w:rsid w:val="00AC6B2C"/>
    <w:rsid w:val="00AD0ED6"/>
    <w:rsid w:val="00AD3A3A"/>
    <w:rsid w:val="00AD48E4"/>
    <w:rsid w:val="00AD4C4B"/>
    <w:rsid w:val="00AD5F7D"/>
    <w:rsid w:val="00AD71E2"/>
    <w:rsid w:val="00AE23B0"/>
    <w:rsid w:val="00AE6DDC"/>
    <w:rsid w:val="00AF37F5"/>
    <w:rsid w:val="00B00978"/>
    <w:rsid w:val="00B028FD"/>
    <w:rsid w:val="00B03436"/>
    <w:rsid w:val="00B045EF"/>
    <w:rsid w:val="00B10233"/>
    <w:rsid w:val="00B13C7D"/>
    <w:rsid w:val="00B14DBE"/>
    <w:rsid w:val="00B201CA"/>
    <w:rsid w:val="00B21ECF"/>
    <w:rsid w:val="00B24E47"/>
    <w:rsid w:val="00B30BB6"/>
    <w:rsid w:val="00B30D06"/>
    <w:rsid w:val="00B32950"/>
    <w:rsid w:val="00B3524D"/>
    <w:rsid w:val="00B375E7"/>
    <w:rsid w:val="00B4546A"/>
    <w:rsid w:val="00B50635"/>
    <w:rsid w:val="00B713EC"/>
    <w:rsid w:val="00B733AD"/>
    <w:rsid w:val="00B766E7"/>
    <w:rsid w:val="00B9160D"/>
    <w:rsid w:val="00B91E92"/>
    <w:rsid w:val="00B92914"/>
    <w:rsid w:val="00BA246A"/>
    <w:rsid w:val="00BA2FC6"/>
    <w:rsid w:val="00BA6FA2"/>
    <w:rsid w:val="00BA6FFD"/>
    <w:rsid w:val="00BA733C"/>
    <w:rsid w:val="00BB2B6D"/>
    <w:rsid w:val="00BB4F61"/>
    <w:rsid w:val="00BC2797"/>
    <w:rsid w:val="00BC40E8"/>
    <w:rsid w:val="00BC7630"/>
    <w:rsid w:val="00BD181B"/>
    <w:rsid w:val="00BD26DC"/>
    <w:rsid w:val="00BD34F0"/>
    <w:rsid w:val="00BE7E8A"/>
    <w:rsid w:val="00BF4CC7"/>
    <w:rsid w:val="00C00F05"/>
    <w:rsid w:val="00C03DBB"/>
    <w:rsid w:val="00C03E65"/>
    <w:rsid w:val="00C06A91"/>
    <w:rsid w:val="00C07EA5"/>
    <w:rsid w:val="00C15C04"/>
    <w:rsid w:val="00C211D3"/>
    <w:rsid w:val="00C22AB2"/>
    <w:rsid w:val="00C232FC"/>
    <w:rsid w:val="00C24412"/>
    <w:rsid w:val="00C2589A"/>
    <w:rsid w:val="00C3017B"/>
    <w:rsid w:val="00C47725"/>
    <w:rsid w:val="00C534DD"/>
    <w:rsid w:val="00C54B7D"/>
    <w:rsid w:val="00C550D1"/>
    <w:rsid w:val="00C572F4"/>
    <w:rsid w:val="00C66EF5"/>
    <w:rsid w:val="00C84365"/>
    <w:rsid w:val="00C91B3B"/>
    <w:rsid w:val="00C97455"/>
    <w:rsid w:val="00CA0664"/>
    <w:rsid w:val="00CA30E3"/>
    <w:rsid w:val="00CC24E3"/>
    <w:rsid w:val="00CE03B4"/>
    <w:rsid w:val="00CE5025"/>
    <w:rsid w:val="00CF2C3B"/>
    <w:rsid w:val="00D04802"/>
    <w:rsid w:val="00D07482"/>
    <w:rsid w:val="00D1296A"/>
    <w:rsid w:val="00D17448"/>
    <w:rsid w:val="00D31152"/>
    <w:rsid w:val="00D3274E"/>
    <w:rsid w:val="00D36161"/>
    <w:rsid w:val="00D36DA0"/>
    <w:rsid w:val="00D40038"/>
    <w:rsid w:val="00D44D6A"/>
    <w:rsid w:val="00D46F6F"/>
    <w:rsid w:val="00D91E64"/>
    <w:rsid w:val="00D9319E"/>
    <w:rsid w:val="00D94EFE"/>
    <w:rsid w:val="00DA16E0"/>
    <w:rsid w:val="00DB1699"/>
    <w:rsid w:val="00DB3B2B"/>
    <w:rsid w:val="00DB5291"/>
    <w:rsid w:val="00DB67A4"/>
    <w:rsid w:val="00DB6D92"/>
    <w:rsid w:val="00DC0170"/>
    <w:rsid w:val="00DE0DEA"/>
    <w:rsid w:val="00DE3335"/>
    <w:rsid w:val="00DF100E"/>
    <w:rsid w:val="00DF3346"/>
    <w:rsid w:val="00E01E6E"/>
    <w:rsid w:val="00E04CBC"/>
    <w:rsid w:val="00E04FA3"/>
    <w:rsid w:val="00E2042C"/>
    <w:rsid w:val="00E2294C"/>
    <w:rsid w:val="00E3187B"/>
    <w:rsid w:val="00E34E6A"/>
    <w:rsid w:val="00E43617"/>
    <w:rsid w:val="00E4794A"/>
    <w:rsid w:val="00E76A83"/>
    <w:rsid w:val="00E81112"/>
    <w:rsid w:val="00E83F31"/>
    <w:rsid w:val="00E93B9C"/>
    <w:rsid w:val="00E9469D"/>
    <w:rsid w:val="00E94D14"/>
    <w:rsid w:val="00E9586E"/>
    <w:rsid w:val="00EB181A"/>
    <w:rsid w:val="00EB311F"/>
    <w:rsid w:val="00EB6992"/>
    <w:rsid w:val="00EC625F"/>
    <w:rsid w:val="00EC7F2F"/>
    <w:rsid w:val="00ED5487"/>
    <w:rsid w:val="00ED5AF8"/>
    <w:rsid w:val="00ED63AF"/>
    <w:rsid w:val="00EE7D5C"/>
    <w:rsid w:val="00EF3E5D"/>
    <w:rsid w:val="00F019A5"/>
    <w:rsid w:val="00F023DA"/>
    <w:rsid w:val="00F131D2"/>
    <w:rsid w:val="00F15007"/>
    <w:rsid w:val="00F17728"/>
    <w:rsid w:val="00F20FCE"/>
    <w:rsid w:val="00F22DEC"/>
    <w:rsid w:val="00F248C2"/>
    <w:rsid w:val="00F26484"/>
    <w:rsid w:val="00F36D84"/>
    <w:rsid w:val="00F438B7"/>
    <w:rsid w:val="00F44503"/>
    <w:rsid w:val="00F461C8"/>
    <w:rsid w:val="00F46783"/>
    <w:rsid w:val="00F46C09"/>
    <w:rsid w:val="00F55E20"/>
    <w:rsid w:val="00F61213"/>
    <w:rsid w:val="00F63E16"/>
    <w:rsid w:val="00F93A41"/>
    <w:rsid w:val="00FB0AFA"/>
    <w:rsid w:val="00FB26B2"/>
    <w:rsid w:val="00FB494F"/>
    <w:rsid w:val="00FC10BF"/>
    <w:rsid w:val="00FC1C64"/>
    <w:rsid w:val="00FC31A5"/>
    <w:rsid w:val="00FC5C8B"/>
    <w:rsid w:val="00FC64DA"/>
    <w:rsid w:val="00FD02A3"/>
    <w:rsid w:val="00FD0445"/>
    <w:rsid w:val="00FD59FF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Citation List,본문(내용),List Paragraph (numbered (a)),123 List Paragraph,Numbered Paragraph,Main numbered paragraph,References,Numbered List Paragraph,List Paragraph nowy,Liste 1,List_Paragraph,Multilevel para_II,List Paragraph1,Bullet paras"/>
    <w:basedOn w:val="Normal"/>
    <w:link w:val="ListParagraphChar"/>
    <w:uiPriority w:val="34"/>
    <w:qFormat/>
    <w:rsid w:val="00F248C2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character" w:customStyle="1" w:styleId="ListParagraphChar">
    <w:name w:val="List Paragraph Char"/>
    <w:aliases w:val="Citation List Char,본문(내용) Char,List Paragraph (numbered (a)) Char,123 List Paragraph Char,Numbered Paragraph Char,Main numbered paragraph Char,References Char,Numbered List Paragraph Char,List Paragraph nowy Char,Liste 1 Char"/>
    <w:basedOn w:val="DefaultParagraphFont"/>
    <w:link w:val="ListParagraph"/>
    <w:uiPriority w:val="34"/>
    <w:qFormat/>
    <w:locked/>
    <w:rsid w:val="00F248C2"/>
    <w:rPr>
      <w:rFonts w:ascii="Calibri" w:eastAsiaTheme="minorHAnsi" w:hAnsi="Calibri" w:cs="Times New Roman"/>
      <w:lang w:eastAsia="en-US"/>
    </w:rPr>
  </w:style>
  <w:style w:type="paragraph" w:customStyle="1" w:styleId="Default">
    <w:name w:val="Default"/>
    <w:basedOn w:val="Normal"/>
    <w:rsid w:val="00F248C2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A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CFE"/>
  </w:style>
  <w:style w:type="paragraph" w:styleId="Footer">
    <w:name w:val="footer"/>
    <w:basedOn w:val="Normal"/>
    <w:link w:val="FooterChar"/>
    <w:uiPriority w:val="99"/>
    <w:unhideWhenUsed/>
    <w:rsid w:val="002A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CFE"/>
  </w:style>
  <w:style w:type="paragraph" w:styleId="BalloonText">
    <w:name w:val="Balloon Text"/>
    <w:basedOn w:val="Normal"/>
    <w:link w:val="BalloonTextChar"/>
    <w:uiPriority w:val="99"/>
    <w:semiHidden/>
    <w:unhideWhenUsed/>
    <w:rsid w:val="00972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4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5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C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C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C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Citation List,본문(내용),List Paragraph (numbered (a)),123 List Paragraph,Numbered Paragraph,Main numbered paragraph,References,Numbered List Paragraph,List Paragraph nowy,Liste 1,List_Paragraph,Multilevel para_II,List Paragraph1,Bullet paras"/>
    <w:basedOn w:val="Normal"/>
    <w:link w:val="ListParagraphChar"/>
    <w:uiPriority w:val="34"/>
    <w:qFormat/>
    <w:rsid w:val="00F248C2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character" w:customStyle="1" w:styleId="ListParagraphChar">
    <w:name w:val="List Paragraph Char"/>
    <w:aliases w:val="Citation List Char,본문(내용) Char,List Paragraph (numbered (a)) Char,123 List Paragraph Char,Numbered Paragraph Char,Main numbered paragraph Char,References Char,Numbered List Paragraph Char,List Paragraph nowy Char,Liste 1 Char"/>
    <w:basedOn w:val="DefaultParagraphFont"/>
    <w:link w:val="ListParagraph"/>
    <w:uiPriority w:val="34"/>
    <w:qFormat/>
    <w:locked/>
    <w:rsid w:val="00F248C2"/>
    <w:rPr>
      <w:rFonts w:ascii="Calibri" w:eastAsiaTheme="minorHAnsi" w:hAnsi="Calibri" w:cs="Times New Roman"/>
      <w:lang w:eastAsia="en-US"/>
    </w:rPr>
  </w:style>
  <w:style w:type="paragraph" w:customStyle="1" w:styleId="Default">
    <w:name w:val="Default"/>
    <w:basedOn w:val="Normal"/>
    <w:rsid w:val="00F248C2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A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CFE"/>
  </w:style>
  <w:style w:type="paragraph" w:styleId="Footer">
    <w:name w:val="footer"/>
    <w:basedOn w:val="Normal"/>
    <w:link w:val="FooterChar"/>
    <w:uiPriority w:val="99"/>
    <w:unhideWhenUsed/>
    <w:rsid w:val="002A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CFE"/>
  </w:style>
  <w:style w:type="paragraph" w:styleId="BalloonText">
    <w:name w:val="Balloon Text"/>
    <w:basedOn w:val="Normal"/>
    <w:link w:val="BalloonTextChar"/>
    <w:uiPriority w:val="99"/>
    <w:semiHidden/>
    <w:unhideWhenUsed/>
    <w:rsid w:val="00972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4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5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C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C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C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AD95F-2D8C-3943-9E97-205ACD83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1424</Words>
  <Characters>8121</Characters>
  <Application>Microsoft Macintosh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U.S. Department of the Treasury</Company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Anne-Katrin Arnold</dc:creator>
  <cp:lastModifiedBy>Anne Katrin Arnold</cp:lastModifiedBy>
  <cp:revision>2</cp:revision>
  <cp:lastPrinted>2015-07-31T13:09:00Z</cp:lastPrinted>
  <dcterms:created xsi:type="dcterms:W3CDTF">2015-08-06T01:04:00Z</dcterms:created>
  <dcterms:modified xsi:type="dcterms:W3CDTF">2015-08-06T01:04:00Z</dcterms:modified>
</cp:coreProperties>
</file>