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6E39" w:rsidRDefault="00FC6E39" w:rsidP="00EB75B9">
      <w:pPr>
        <w:jc w:val="center"/>
        <w:rPr>
          <w:rFonts w:asciiTheme="majorHAnsi" w:hAnsiTheme="majorHAnsi"/>
        </w:rPr>
      </w:pPr>
      <w:bookmarkStart w:id="0" w:name="_GoBack"/>
      <w:bookmarkEnd w:id="0"/>
    </w:p>
    <w:p w:rsidR="00EB75B9" w:rsidRPr="00DD4CC3" w:rsidRDefault="00A35D65" w:rsidP="00EB75B9">
      <w:pPr>
        <w:jc w:val="center"/>
        <w:rPr>
          <w:rFonts w:asciiTheme="majorHAnsi" w:hAnsiTheme="majorHAnsi"/>
        </w:rPr>
      </w:pPr>
      <w:r>
        <w:rPr>
          <w:rFonts w:ascii="Arial" w:hAnsi="Arial" w:cs="Arial"/>
          <w:noProof/>
          <w:color w:val="000000"/>
          <w:sz w:val="18"/>
          <w:szCs w:val="18"/>
          <w:lang w:eastAsia="en-US" w:bidi="ar-SA"/>
        </w:rPr>
        <w:drawing>
          <wp:inline distT="0" distB="0" distL="0" distR="0" wp14:anchorId="71EA500D" wp14:editId="450DEC99">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888572"/>
                    </a:xfrm>
                    <a:prstGeom prst="rect">
                      <a:avLst/>
                    </a:prstGeom>
                    <a:noFill/>
                    <a:ln>
                      <a:noFill/>
                    </a:ln>
                  </pic:spPr>
                </pic:pic>
              </a:graphicData>
            </a:graphic>
          </wp:inline>
        </w:drawing>
      </w:r>
    </w:p>
    <w:p w:rsidR="00A35D65" w:rsidRPr="00A35D65" w:rsidRDefault="00A35D65" w:rsidP="00A35D65">
      <w:pPr>
        <w:spacing w:after="0"/>
        <w:jc w:val="center"/>
        <w:rPr>
          <w:rFonts w:asciiTheme="minorHAnsi" w:hAnsiTheme="minorHAnsi" w:cstheme="minorHAnsi"/>
          <w:b/>
          <w:bCs/>
        </w:rPr>
      </w:pPr>
      <w:r w:rsidRPr="00A35D65">
        <w:rPr>
          <w:rFonts w:asciiTheme="minorHAnsi" w:hAnsiTheme="minorHAnsi" w:cstheme="minorHAnsi"/>
          <w:b/>
          <w:bCs/>
        </w:rPr>
        <w:t>Review and Update of the World Bank’s Environmental and Social Safeguard Policies</w:t>
      </w:r>
    </w:p>
    <w:p w:rsidR="00A35D65" w:rsidRPr="00A35D65" w:rsidRDefault="008C0E8A" w:rsidP="00A35D65">
      <w:pPr>
        <w:spacing w:after="0"/>
        <w:jc w:val="center"/>
        <w:rPr>
          <w:rFonts w:asciiTheme="minorHAnsi" w:hAnsiTheme="minorHAnsi" w:cstheme="minorHAnsi"/>
          <w:b/>
          <w:bCs/>
        </w:rPr>
      </w:pPr>
      <w:r>
        <w:rPr>
          <w:rFonts w:asciiTheme="minorHAnsi" w:hAnsiTheme="minorHAnsi" w:cstheme="minorHAnsi"/>
          <w:b/>
          <w:bCs/>
        </w:rPr>
        <w:t>Phase 2</w:t>
      </w:r>
    </w:p>
    <w:p w:rsidR="003E2779" w:rsidRDefault="00A35D65" w:rsidP="00A35D65">
      <w:pPr>
        <w:pStyle w:val="Title"/>
        <w:spacing w:after="0"/>
        <w:jc w:val="center"/>
        <w:rPr>
          <w:rFonts w:asciiTheme="minorHAnsi" w:hAnsiTheme="minorHAnsi"/>
          <w:b/>
          <w:bCs/>
          <w:color w:val="auto"/>
          <w:sz w:val="24"/>
          <w:szCs w:val="24"/>
        </w:rPr>
      </w:pPr>
      <w:r w:rsidRPr="00A35D65">
        <w:rPr>
          <w:rFonts w:asciiTheme="minorHAnsi" w:hAnsiTheme="minorHAnsi"/>
          <w:b/>
          <w:bCs/>
          <w:color w:val="auto"/>
          <w:sz w:val="24"/>
          <w:szCs w:val="24"/>
        </w:rPr>
        <w:t>F</w:t>
      </w:r>
      <w:r w:rsidR="003E2779" w:rsidRPr="00A35D65">
        <w:rPr>
          <w:rFonts w:asciiTheme="minorHAnsi" w:hAnsiTheme="minorHAnsi"/>
          <w:b/>
          <w:bCs/>
          <w:color w:val="auto"/>
          <w:sz w:val="24"/>
          <w:szCs w:val="24"/>
        </w:rPr>
        <w:t>eedback Summary</w:t>
      </w:r>
    </w:p>
    <w:p w:rsidR="00856FC0" w:rsidRDefault="00856FC0" w:rsidP="00856FC0">
      <w:pPr>
        <w:rPr>
          <w:lang w:eastAsia="en-US" w:bidi="ar-SA"/>
        </w:rPr>
      </w:pPr>
    </w:p>
    <w:p w:rsidR="00093B2C" w:rsidRPr="005B3FB2" w:rsidRDefault="00093B2C" w:rsidP="00093B2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imes New Roman"/>
          <w:sz w:val="22"/>
          <w:szCs w:val="22"/>
          <w:lang w:val="en-US"/>
        </w:rPr>
      </w:pPr>
      <w:r w:rsidRPr="00A35D65">
        <w:rPr>
          <w:rFonts w:asciiTheme="minorHAnsi" w:hAnsiTheme="minorHAnsi" w:cs="Times New Roman"/>
          <w:b/>
          <w:bCs/>
          <w:sz w:val="22"/>
          <w:szCs w:val="22"/>
          <w:lang w:val="en-US"/>
        </w:rPr>
        <w:t xml:space="preserve">Date: </w:t>
      </w:r>
      <w:r w:rsidR="005B3FB2">
        <w:rPr>
          <w:rFonts w:asciiTheme="minorHAnsi" w:hAnsiTheme="minorHAnsi" w:cs="Times New Roman"/>
          <w:bCs/>
          <w:sz w:val="22"/>
          <w:szCs w:val="22"/>
          <w:lang w:val="en-US"/>
        </w:rPr>
        <w:t>February 4, 2015.</w:t>
      </w:r>
    </w:p>
    <w:p w:rsidR="0028355B" w:rsidRPr="005B3FB2" w:rsidRDefault="002E23E9" w:rsidP="0028355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imes New Roman"/>
          <w:bCs/>
          <w:sz w:val="22"/>
          <w:szCs w:val="22"/>
          <w:lang w:val="en-US"/>
        </w:rPr>
      </w:pPr>
      <w:r w:rsidRPr="00A35D65">
        <w:rPr>
          <w:rFonts w:asciiTheme="minorHAnsi" w:hAnsiTheme="minorHAnsi" w:cs="Times New Roman"/>
          <w:b/>
          <w:bCs/>
          <w:sz w:val="22"/>
          <w:szCs w:val="22"/>
          <w:lang w:val="en-US"/>
        </w:rPr>
        <w:t>Location (City, Country)</w:t>
      </w:r>
      <w:r w:rsidR="00093B2C" w:rsidRPr="00A35D65">
        <w:rPr>
          <w:rFonts w:asciiTheme="minorHAnsi" w:hAnsiTheme="minorHAnsi" w:cs="Times New Roman"/>
          <w:b/>
          <w:bCs/>
          <w:sz w:val="22"/>
          <w:szCs w:val="22"/>
          <w:lang w:val="en-US"/>
        </w:rPr>
        <w:t xml:space="preserve">: </w:t>
      </w:r>
      <w:r w:rsidR="005B3FB2">
        <w:rPr>
          <w:rFonts w:asciiTheme="minorHAnsi" w:hAnsiTheme="minorHAnsi" w:cs="Times New Roman"/>
          <w:bCs/>
          <w:sz w:val="22"/>
          <w:szCs w:val="22"/>
          <w:lang w:val="en-US"/>
        </w:rPr>
        <w:t>Melbourne, Sydney.</w:t>
      </w:r>
    </w:p>
    <w:p w:rsidR="0028355B" w:rsidRPr="005B3FB2" w:rsidRDefault="0028355B" w:rsidP="0028355B">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imes New Roman"/>
          <w:bCs/>
          <w:sz w:val="22"/>
          <w:szCs w:val="22"/>
          <w:lang w:val="en-US"/>
        </w:rPr>
      </w:pPr>
      <w:r>
        <w:rPr>
          <w:rFonts w:asciiTheme="minorHAnsi" w:hAnsiTheme="minorHAnsi" w:cs="Times New Roman"/>
          <w:b/>
          <w:bCs/>
          <w:sz w:val="22"/>
          <w:szCs w:val="22"/>
          <w:lang w:val="en-US"/>
        </w:rPr>
        <w:t>Audience (Government, CSO, etc.):</w:t>
      </w:r>
      <w:r w:rsidR="005B3FB2">
        <w:rPr>
          <w:rFonts w:asciiTheme="minorHAnsi" w:hAnsiTheme="minorHAnsi" w:cs="Times New Roman"/>
          <w:b/>
          <w:bCs/>
          <w:sz w:val="22"/>
          <w:szCs w:val="22"/>
          <w:lang w:val="en-US"/>
        </w:rPr>
        <w:t xml:space="preserve"> </w:t>
      </w:r>
      <w:r w:rsidR="005B3FB2">
        <w:rPr>
          <w:rFonts w:asciiTheme="minorHAnsi" w:hAnsiTheme="minorHAnsi" w:cs="Times New Roman"/>
          <w:bCs/>
          <w:sz w:val="22"/>
          <w:szCs w:val="22"/>
          <w:lang w:val="en-US"/>
        </w:rPr>
        <w:t>CSO.</w:t>
      </w:r>
    </w:p>
    <w:p w:rsidR="00B16E9C" w:rsidRPr="005B3FB2" w:rsidRDefault="00B16E9C" w:rsidP="00A35D65">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inorHAnsi" w:hAnsiTheme="minorHAnsi" w:cs="Times New Roman"/>
          <w:sz w:val="22"/>
          <w:szCs w:val="22"/>
        </w:rPr>
      </w:pPr>
      <w:r w:rsidRPr="00A35D65">
        <w:rPr>
          <w:rFonts w:asciiTheme="minorHAnsi" w:hAnsiTheme="minorHAnsi" w:cs="Times New Roman"/>
          <w:b/>
          <w:sz w:val="22"/>
          <w:szCs w:val="22"/>
        </w:rPr>
        <w:t xml:space="preserve">Overview and </w:t>
      </w:r>
      <w:r w:rsidR="00A35D65">
        <w:rPr>
          <w:rFonts w:asciiTheme="minorHAnsi" w:hAnsiTheme="minorHAnsi" w:cs="Times New Roman"/>
          <w:b/>
          <w:sz w:val="22"/>
          <w:szCs w:val="22"/>
        </w:rPr>
        <w:t>Key Issues Discussed</w:t>
      </w:r>
      <w:r w:rsidR="005C56F1" w:rsidRPr="00A35D65">
        <w:rPr>
          <w:rFonts w:asciiTheme="minorHAnsi" w:hAnsiTheme="minorHAnsi" w:cs="Times New Roman"/>
          <w:b/>
          <w:sz w:val="22"/>
          <w:szCs w:val="22"/>
        </w:rPr>
        <w:t>:</w:t>
      </w:r>
      <w:r w:rsidRPr="00A35D65">
        <w:rPr>
          <w:rFonts w:asciiTheme="minorHAnsi" w:hAnsiTheme="minorHAnsi" w:cs="Times New Roman"/>
          <w:b/>
          <w:sz w:val="22"/>
          <w:szCs w:val="22"/>
        </w:rPr>
        <w:t xml:space="preserve"> </w:t>
      </w:r>
      <w:r w:rsidR="005B3FB2">
        <w:rPr>
          <w:rFonts w:asciiTheme="minorHAnsi" w:hAnsiTheme="minorHAnsi" w:cs="Times New Roman"/>
          <w:sz w:val="22"/>
          <w:szCs w:val="22"/>
        </w:rPr>
        <w:t>Key issues discussed include disability and access; children rights; workers’ rights and the application of ESS2; resettlement; land adquisition and road safety.</w:t>
      </w:r>
    </w:p>
    <w:p w:rsidR="005B1D7C" w:rsidRPr="00A35D65"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A35D65" w:rsidTr="002C093B">
        <w:trPr>
          <w:trHeight w:val="70"/>
        </w:trPr>
        <w:tc>
          <w:tcPr>
            <w:tcW w:w="13320" w:type="dxa"/>
            <w:shd w:val="clear" w:color="auto" w:fill="DBE5F1" w:themeFill="accent1" w:themeFillTint="33"/>
          </w:tcPr>
          <w:p w:rsidR="00B16E9C" w:rsidRPr="008B074D" w:rsidRDefault="00A35D65" w:rsidP="00A35D65">
            <w:pPr>
              <w:pStyle w:val="BodyText2"/>
              <w:snapToGrid w:val="0"/>
              <w:spacing w:line="100" w:lineRule="atLeast"/>
              <w:ind w:right="0"/>
              <w:rPr>
                <w:rFonts w:asciiTheme="minorHAnsi" w:eastAsia="Batang" w:hAnsiTheme="minorHAnsi" w:cs="Times New Roman"/>
                <w:b/>
                <w:color w:val="auto"/>
                <w:sz w:val="22"/>
                <w:szCs w:val="22"/>
              </w:rPr>
            </w:pPr>
            <w:r w:rsidRPr="008B074D">
              <w:rPr>
                <w:rFonts w:asciiTheme="minorHAnsi" w:eastAsia="Batang" w:hAnsiTheme="minorHAnsi" w:cs="Times New Roman"/>
                <w:b/>
                <w:color w:val="auto"/>
                <w:sz w:val="22"/>
                <w:szCs w:val="22"/>
              </w:rPr>
              <w:t xml:space="preserve">Specific </w:t>
            </w:r>
            <w:r w:rsidR="00B16E9C" w:rsidRPr="008B074D">
              <w:rPr>
                <w:rFonts w:asciiTheme="minorHAnsi" w:eastAsia="Batang" w:hAnsiTheme="minorHAnsi" w:cs="Times New Roman"/>
                <w:b/>
                <w:color w:val="auto"/>
                <w:sz w:val="22"/>
                <w:szCs w:val="22"/>
              </w:rPr>
              <w:t>Feedback from Stakeholders</w:t>
            </w:r>
          </w:p>
          <w:p w:rsidR="00B16E9C" w:rsidRPr="008B074D" w:rsidRDefault="00B16E9C">
            <w:pPr>
              <w:pStyle w:val="BodyText2"/>
              <w:snapToGrid w:val="0"/>
              <w:spacing w:line="100" w:lineRule="atLeast"/>
              <w:ind w:right="0"/>
              <w:rPr>
                <w:rFonts w:asciiTheme="minorHAnsi" w:eastAsia="Batang" w:hAnsiTheme="minorHAnsi" w:cs="Times New Roman"/>
                <w:b/>
                <w:color w:val="auto"/>
                <w:sz w:val="22"/>
                <w:szCs w:val="22"/>
              </w:rPr>
            </w:pPr>
          </w:p>
        </w:tc>
      </w:tr>
      <w:tr w:rsidR="0013530E" w:rsidRPr="00A35D65" w:rsidTr="002C093B">
        <w:tblPrEx>
          <w:tblCellMar>
            <w:left w:w="0" w:type="dxa"/>
            <w:right w:w="0" w:type="dxa"/>
          </w:tblCellMar>
        </w:tblPrEx>
        <w:trPr>
          <w:trHeight w:val="70"/>
        </w:trPr>
        <w:tc>
          <w:tcPr>
            <w:tcW w:w="13320" w:type="dxa"/>
            <w:shd w:val="clear" w:color="auto" w:fill="DBE5F1" w:themeFill="accent1" w:themeFillTint="33"/>
          </w:tcPr>
          <w:p w:rsidR="0013530E" w:rsidRPr="008B074D" w:rsidRDefault="008B074D" w:rsidP="00150B6C">
            <w:pPr>
              <w:pStyle w:val="ListParagraph"/>
              <w:numPr>
                <w:ilvl w:val="0"/>
                <w:numId w:val="30"/>
              </w:numPr>
              <w:snapToGrid w:val="0"/>
              <w:ind w:left="540" w:right="180"/>
              <w:rPr>
                <w:rFonts w:asciiTheme="minorHAnsi" w:eastAsia="Batang" w:hAnsiTheme="minorHAnsi"/>
                <w:b/>
                <w:sz w:val="22"/>
                <w:szCs w:val="22"/>
              </w:rPr>
            </w:pPr>
            <w:r w:rsidRPr="008B074D">
              <w:rPr>
                <w:rFonts w:asciiTheme="minorHAnsi" w:hAnsiTheme="minorHAnsi"/>
                <w:b/>
                <w:bCs/>
                <w:sz w:val="22"/>
                <w:szCs w:val="22"/>
              </w:rPr>
              <w:t xml:space="preserve">General </w:t>
            </w:r>
            <w:r>
              <w:rPr>
                <w:rFonts w:asciiTheme="minorHAnsi" w:hAnsiTheme="minorHAnsi"/>
                <w:b/>
                <w:bCs/>
                <w:sz w:val="22"/>
                <w:szCs w:val="22"/>
              </w:rPr>
              <w:t>Comments</w:t>
            </w:r>
          </w:p>
        </w:tc>
      </w:tr>
      <w:tr w:rsidR="002E23E9" w:rsidRPr="00BC7C4A" w:rsidTr="008B074D">
        <w:trPr>
          <w:trHeight w:val="458"/>
        </w:trPr>
        <w:tc>
          <w:tcPr>
            <w:tcW w:w="13320" w:type="dxa"/>
            <w:shd w:val="clear" w:color="auto" w:fill="auto"/>
          </w:tcPr>
          <w:p w:rsidR="00413016" w:rsidRPr="00BC7C4A" w:rsidRDefault="005B3FB2" w:rsidP="00BB05DB">
            <w:pPr>
              <w:pStyle w:val="ListParagraph"/>
              <w:numPr>
                <w:ilvl w:val="0"/>
                <w:numId w:val="41"/>
              </w:numPr>
              <w:suppressAutoHyphens w:val="0"/>
              <w:spacing w:after="160" w:line="259" w:lineRule="auto"/>
              <w:jc w:val="left"/>
              <w:rPr>
                <w:rFonts w:asciiTheme="minorHAnsi" w:hAnsiTheme="minorHAnsi"/>
                <w:sz w:val="22"/>
                <w:szCs w:val="22"/>
              </w:rPr>
            </w:pPr>
            <w:r w:rsidRPr="00BC7C4A">
              <w:rPr>
                <w:rFonts w:asciiTheme="minorHAnsi" w:hAnsiTheme="minorHAnsi"/>
                <w:sz w:val="22"/>
                <w:szCs w:val="22"/>
              </w:rPr>
              <w:t xml:space="preserve">The Bank should explain better </w:t>
            </w:r>
            <w:r w:rsidR="00413016" w:rsidRPr="00BC7C4A">
              <w:rPr>
                <w:rFonts w:asciiTheme="minorHAnsi" w:hAnsiTheme="minorHAnsi"/>
                <w:sz w:val="22"/>
                <w:szCs w:val="22"/>
              </w:rPr>
              <w:t>how it will raise the bar of environmental and social s</w:t>
            </w:r>
            <w:r w:rsidRPr="00BC7C4A">
              <w:rPr>
                <w:rFonts w:asciiTheme="minorHAnsi" w:hAnsiTheme="minorHAnsi"/>
                <w:sz w:val="22"/>
                <w:szCs w:val="22"/>
              </w:rPr>
              <w:t>tandards</w:t>
            </w:r>
            <w:r w:rsidR="00413016" w:rsidRPr="00BC7C4A">
              <w:rPr>
                <w:rFonts w:asciiTheme="minorHAnsi" w:hAnsiTheme="minorHAnsi"/>
                <w:sz w:val="22"/>
                <w:szCs w:val="22"/>
              </w:rPr>
              <w:t xml:space="preserve"> and be more flexible while retaining its borrowers at a time where they can find financing with institutions like the Asian Infrastructure Investment Bank, which might have lighter environmental and social requiremenst.  </w:t>
            </w:r>
          </w:p>
          <w:p w:rsidR="005B3FB2" w:rsidRPr="00BC7C4A" w:rsidRDefault="005B3FB2" w:rsidP="00BB05DB">
            <w:pPr>
              <w:pStyle w:val="ListParagraph"/>
              <w:numPr>
                <w:ilvl w:val="0"/>
                <w:numId w:val="41"/>
              </w:numPr>
              <w:suppressAutoHyphens w:val="0"/>
              <w:spacing w:after="160" w:line="259" w:lineRule="auto"/>
              <w:jc w:val="left"/>
              <w:rPr>
                <w:rFonts w:asciiTheme="minorHAnsi" w:hAnsiTheme="minorHAnsi"/>
                <w:sz w:val="22"/>
                <w:szCs w:val="22"/>
              </w:rPr>
            </w:pPr>
            <w:r w:rsidRPr="00BC7C4A">
              <w:rPr>
                <w:rFonts w:asciiTheme="minorHAnsi" w:hAnsiTheme="minorHAnsi"/>
                <w:sz w:val="22"/>
                <w:szCs w:val="22"/>
              </w:rPr>
              <w:t xml:space="preserve">The Bank </w:t>
            </w:r>
            <w:r w:rsidR="00413016" w:rsidRPr="00BC7C4A">
              <w:rPr>
                <w:rFonts w:asciiTheme="minorHAnsi" w:hAnsiTheme="minorHAnsi"/>
                <w:sz w:val="22"/>
                <w:szCs w:val="22"/>
              </w:rPr>
              <w:t>needs to</w:t>
            </w:r>
            <w:r w:rsidRPr="00BC7C4A">
              <w:rPr>
                <w:rFonts w:asciiTheme="minorHAnsi" w:hAnsiTheme="minorHAnsi"/>
                <w:sz w:val="22"/>
                <w:szCs w:val="22"/>
              </w:rPr>
              <w:t xml:space="preserve"> improve its</w:t>
            </w:r>
            <w:r w:rsidR="00413016" w:rsidRPr="00BC7C4A">
              <w:rPr>
                <w:rFonts w:asciiTheme="minorHAnsi" w:hAnsiTheme="minorHAnsi"/>
                <w:sz w:val="22"/>
                <w:szCs w:val="22"/>
              </w:rPr>
              <w:t xml:space="preserve"> monitoring and evaluation </w:t>
            </w:r>
            <w:r w:rsidR="00D01019" w:rsidRPr="00BC7C4A">
              <w:rPr>
                <w:rFonts w:asciiTheme="minorHAnsi" w:hAnsiTheme="minorHAnsi"/>
                <w:sz w:val="22"/>
                <w:szCs w:val="22"/>
              </w:rPr>
              <w:t xml:space="preserve">(M&amp;E) </w:t>
            </w:r>
            <w:r w:rsidR="00413016" w:rsidRPr="00BC7C4A">
              <w:rPr>
                <w:rFonts w:asciiTheme="minorHAnsi" w:hAnsiTheme="minorHAnsi"/>
                <w:sz w:val="22"/>
                <w:szCs w:val="22"/>
              </w:rPr>
              <w:t>system and</w:t>
            </w:r>
            <w:r w:rsidRPr="00BC7C4A">
              <w:rPr>
                <w:rFonts w:asciiTheme="minorHAnsi" w:hAnsiTheme="minorHAnsi"/>
                <w:sz w:val="22"/>
                <w:szCs w:val="22"/>
              </w:rPr>
              <w:t xml:space="preserve"> increase transparency</w:t>
            </w:r>
            <w:r w:rsidR="00413016" w:rsidRPr="00BC7C4A">
              <w:rPr>
                <w:rFonts w:asciiTheme="minorHAnsi" w:hAnsiTheme="minorHAnsi"/>
                <w:sz w:val="22"/>
                <w:szCs w:val="22"/>
              </w:rPr>
              <w:t xml:space="preserve">. </w:t>
            </w:r>
          </w:p>
          <w:p w:rsidR="005B3FB2" w:rsidRPr="00BC7C4A" w:rsidRDefault="00D01019" w:rsidP="005B3FB2">
            <w:pPr>
              <w:pStyle w:val="ListParagraph"/>
              <w:numPr>
                <w:ilvl w:val="0"/>
                <w:numId w:val="41"/>
              </w:numPr>
              <w:suppressAutoHyphens w:val="0"/>
              <w:spacing w:after="160" w:line="259" w:lineRule="auto"/>
              <w:jc w:val="left"/>
              <w:rPr>
                <w:rFonts w:asciiTheme="minorHAnsi" w:hAnsiTheme="minorHAnsi"/>
                <w:sz w:val="22"/>
                <w:szCs w:val="22"/>
              </w:rPr>
            </w:pPr>
            <w:r w:rsidRPr="00BC7C4A">
              <w:rPr>
                <w:rFonts w:asciiTheme="minorHAnsi" w:hAnsiTheme="minorHAnsi"/>
                <w:sz w:val="22"/>
                <w:szCs w:val="22"/>
              </w:rPr>
              <w:t>A good M&amp;E system requires</w:t>
            </w:r>
            <w:r w:rsidR="00413016" w:rsidRPr="00BC7C4A">
              <w:rPr>
                <w:rFonts w:asciiTheme="minorHAnsi" w:hAnsiTheme="minorHAnsi"/>
                <w:sz w:val="22"/>
                <w:szCs w:val="22"/>
              </w:rPr>
              <w:t xml:space="preserve"> greater clarity </w:t>
            </w:r>
            <w:r w:rsidRPr="00BC7C4A">
              <w:rPr>
                <w:rFonts w:asciiTheme="minorHAnsi" w:hAnsiTheme="minorHAnsi"/>
                <w:sz w:val="22"/>
                <w:szCs w:val="22"/>
              </w:rPr>
              <w:t xml:space="preserve">on how risks will be managed, precise definitions for loose terms in the policy like “conmesurate” and “significant” and pre-project baselines to which compare post-project outcomes.  </w:t>
            </w:r>
          </w:p>
          <w:p w:rsidR="00D01019" w:rsidRPr="00BC7C4A" w:rsidRDefault="00D01019" w:rsidP="00ED2ECA">
            <w:pPr>
              <w:pStyle w:val="ListParagraph"/>
              <w:numPr>
                <w:ilvl w:val="0"/>
                <w:numId w:val="41"/>
              </w:numPr>
              <w:suppressAutoHyphens w:val="0"/>
              <w:spacing w:after="160" w:line="259" w:lineRule="auto"/>
              <w:jc w:val="left"/>
              <w:rPr>
                <w:rFonts w:asciiTheme="minorHAnsi" w:hAnsiTheme="minorHAnsi"/>
                <w:sz w:val="22"/>
                <w:szCs w:val="22"/>
              </w:rPr>
            </w:pPr>
            <w:r w:rsidRPr="00BC7C4A">
              <w:rPr>
                <w:rFonts w:asciiTheme="minorHAnsi" w:hAnsiTheme="minorHAnsi"/>
                <w:sz w:val="22"/>
                <w:szCs w:val="22"/>
              </w:rPr>
              <w:t>Greater specificity is needed as per how will the</w:t>
            </w:r>
            <w:r w:rsidR="005B3FB2" w:rsidRPr="00BC7C4A">
              <w:rPr>
                <w:rFonts w:asciiTheme="minorHAnsi" w:hAnsiTheme="minorHAnsi"/>
                <w:sz w:val="22"/>
                <w:szCs w:val="22"/>
              </w:rPr>
              <w:t xml:space="preserve"> implementation of the policy</w:t>
            </w:r>
            <w:r w:rsidRPr="00BC7C4A">
              <w:rPr>
                <w:rFonts w:asciiTheme="minorHAnsi" w:hAnsiTheme="minorHAnsi"/>
                <w:sz w:val="22"/>
                <w:szCs w:val="22"/>
              </w:rPr>
              <w:t xml:space="preserve"> will take place whether is globally rolled out, pilot in several countries, etc. The Bank needs to explain how long the new and old-framework will co-exist, and the likely impact this will have on borrowers. </w:t>
            </w:r>
          </w:p>
          <w:p w:rsidR="0028355B" w:rsidRPr="00BC7C4A" w:rsidRDefault="00D01019" w:rsidP="00856FC0">
            <w:pPr>
              <w:pStyle w:val="ListParagraph"/>
              <w:numPr>
                <w:ilvl w:val="0"/>
                <w:numId w:val="41"/>
              </w:numPr>
              <w:suppressAutoHyphens w:val="0"/>
              <w:spacing w:after="160" w:line="259" w:lineRule="auto"/>
              <w:jc w:val="left"/>
              <w:rPr>
                <w:rFonts w:asciiTheme="minorHAnsi" w:hAnsiTheme="minorHAnsi"/>
                <w:bCs/>
                <w:sz w:val="22"/>
                <w:szCs w:val="22"/>
              </w:rPr>
            </w:pPr>
            <w:r w:rsidRPr="00BC7C4A">
              <w:rPr>
                <w:rFonts w:asciiTheme="minorHAnsi" w:hAnsiTheme="minorHAnsi"/>
                <w:sz w:val="22"/>
                <w:szCs w:val="22"/>
              </w:rPr>
              <w:t xml:space="preserve">Financing for safeguards: the new framework will require more resources and new skills from Bank’s staff to implement the new policy and the Bank should explain how it expects to finance this and whether the next IDA Replenishment will </w:t>
            </w:r>
            <w:r w:rsidR="004B40A9" w:rsidRPr="00BC7C4A">
              <w:rPr>
                <w:rFonts w:asciiTheme="minorHAnsi" w:hAnsiTheme="minorHAnsi"/>
                <w:sz w:val="22"/>
                <w:szCs w:val="22"/>
              </w:rPr>
              <w:t xml:space="preserve">ringfence funding specifically for this. </w:t>
            </w:r>
          </w:p>
        </w:tc>
      </w:tr>
      <w:tr w:rsidR="00A840E8" w:rsidRPr="00BC7C4A" w:rsidTr="002C093B">
        <w:tblPrEx>
          <w:tblCellMar>
            <w:left w:w="0" w:type="dxa"/>
            <w:right w:w="0" w:type="dxa"/>
          </w:tblCellMar>
        </w:tblPrEx>
        <w:trPr>
          <w:trHeight w:val="70"/>
        </w:trPr>
        <w:tc>
          <w:tcPr>
            <w:tcW w:w="13320" w:type="dxa"/>
            <w:shd w:val="clear" w:color="auto" w:fill="DBE5F1" w:themeFill="accent1" w:themeFillTint="33"/>
          </w:tcPr>
          <w:p w:rsidR="00A840E8" w:rsidRPr="00BC7C4A" w:rsidRDefault="008B074D" w:rsidP="008B074D">
            <w:pPr>
              <w:numPr>
                <w:ilvl w:val="0"/>
                <w:numId w:val="30"/>
              </w:numPr>
              <w:snapToGrid w:val="0"/>
              <w:ind w:left="540" w:right="180"/>
              <w:rPr>
                <w:rFonts w:asciiTheme="minorHAnsi" w:eastAsia="Batang" w:hAnsiTheme="minorHAnsi"/>
                <w:b/>
                <w:i/>
                <w:iCs/>
                <w:sz w:val="22"/>
                <w:szCs w:val="22"/>
              </w:rPr>
            </w:pPr>
            <w:r w:rsidRPr="00BC7C4A">
              <w:rPr>
                <w:rFonts w:asciiTheme="minorHAnsi" w:eastAsia="Batang" w:hAnsiTheme="minorHAnsi"/>
                <w:b/>
                <w:bCs/>
                <w:i/>
                <w:iCs/>
                <w:sz w:val="22"/>
                <w:szCs w:val="22"/>
              </w:rPr>
              <w:t>A Vision for Sustainable Development</w:t>
            </w:r>
          </w:p>
        </w:tc>
      </w:tr>
      <w:tr w:rsidR="002E23E9" w:rsidRPr="00BC7C4A" w:rsidTr="008B074D">
        <w:trPr>
          <w:trHeight w:val="395"/>
        </w:trPr>
        <w:tc>
          <w:tcPr>
            <w:tcW w:w="13320" w:type="dxa"/>
            <w:shd w:val="clear" w:color="auto" w:fill="auto"/>
          </w:tcPr>
          <w:p w:rsidR="002E23E9" w:rsidRDefault="00856FC0" w:rsidP="00856FC0">
            <w:pPr>
              <w:jc w:val="left"/>
              <w:rPr>
                <w:rFonts w:asciiTheme="minorHAnsi" w:hAnsiTheme="minorHAnsi"/>
                <w:i/>
                <w:sz w:val="22"/>
                <w:szCs w:val="22"/>
              </w:rPr>
            </w:pPr>
            <w:r w:rsidRPr="00856FC0">
              <w:rPr>
                <w:rFonts w:asciiTheme="minorHAnsi" w:hAnsiTheme="minorHAnsi"/>
                <w:i/>
                <w:sz w:val="22"/>
                <w:szCs w:val="22"/>
              </w:rPr>
              <w:t xml:space="preserve">         No specific comments</w:t>
            </w:r>
          </w:p>
          <w:p w:rsidR="00856FC0" w:rsidRPr="00856FC0" w:rsidRDefault="00856FC0" w:rsidP="00856FC0">
            <w:pPr>
              <w:jc w:val="left"/>
              <w:rPr>
                <w:rFonts w:asciiTheme="minorHAnsi" w:hAnsiTheme="minorHAnsi"/>
                <w:i/>
                <w:sz w:val="22"/>
                <w:szCs w:val="22"/>
              </w:rPr>
            </w:pPr>
          </w:p>
        </w:tc>
      </w:tr>
      <w:tr w:rsidR="00941C03" w:rsidRPr="00BC7C4A" w:rsidTr="002C093B">
        <w:tblPrEx>
          <w:tblCellMar>
            <w:left w:w="0" w:type="dxa"/>
            <w:right w:w="0" w:type="dxa"/>
          </w:tblCellMar>
        </w:tblPrEx>
        <w:trPr>
          <w:trHeight w:val="458"/>
        </w:trPr>
        <w:tc>
          <w:tcPr>
            <w:tcW w:w="13320" w:type="dxa"/>
            <w:shd w:val="clear" w:color="auto" w:fill="DBE5F1" w:themeFill="accent1" w:themeFillTint="33"/>
          </w:tcPr>
          <w:p w:rsidR="00941C03" w:rsidRPr="00BC7C4A" w:rsidRDefault="008B074D" w:rsidP="008B074D">
            <w:pPr>
              <w:numPr>
                <w:ilvl w:val="0"/>
                <w:numId w:val="30"/>
              </w:numPr>
              <w:snapToGrid w:val="0"/>
              <w:ind w:left="540" w:right="180"/>
              <w:rPr>
                <w:rFonts w:asciiTheme="minorHAnsi" w:eastAsia="Batang" w:hAnsiTheme="minorHAnsi"/>
                <w:b/>
                <w:bCs/>
                <w:sz w:val="22"/>
                <w:szCs w:val="22"/>
              </w:rPr>
            </w:pPr>
            <w:r w:rsidRPr="00BC7C4A">
              <w:rPr>
                <w:rFonts w:asciiTheme="minorHAnsi" w:hAnsiTheme="minorHAnsi"/>
                <w:b/>
                <w:bCs/>
                <w:i/>
                <w:sz w:val="22"/>
                <w:szCs w:val="22"/>
              </w:rPr>
              <w:t>World Bank Environmental and Social Policy</w:t>
            </w:r>
          </w:p>
        </w:tc>
      </w:tr>
      <w:tr w:rsidR="002E23E9" w:rsidRPr="00BC7C4A" w:rsidTr="008B074D">
        <w:trPr>
          <w:trHeight w:val="422"/>
        </w:trPr>
        <w:tc>
          <w:tcPr>
            <w:tcW w:w="13320" w:type="dxa"/>
            <w:shd w:val="clear" w:color="auto" w:fill="auto"/>
          </w:tcPr>
          <w:p w:rsidR="00856FC0" w:rsidRPr="00BC7C4A" w:rsidRDefault="00856FC0" w:rsidP="00856FC0">
            <w:pPr>
              <w:rPr>
                <w:rFonts w:asciiTheme="minorHAnsi" w:hAnsiTheme="minorHAnsi"/>
                <w:kern w:val="0"/>
                <w:sz w:val="22"/>
                <w:szCs w:val="22"/>
                <w:lang w:eastAsia="en-US" w:bidi="ar-SA"/>
              </w:rPr>
            </w:pPr>
            <w:r w:rsidRPr="00BC7C4A">
              <w:rPr>
                <w:rFonts w:asciiTheme="minorHAnsi" w:hAnsiTheme="minorHAnsi"/>
                <w:b/>
                <w:sz w:val="22"/>
                <w:szCs w:val="22"/>
              </w:rPr>
              <w:lastRenderedPageBreak/>
              <w:t xml:space="preserve">DISABILITY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b/>
                <w:sz w:val="22"/>
                <w:szCs w:val="22"/>
              </w:rPr>
              <w:t>Disability:</w:t>
            </w:r>
            <w:r w:rsidRPr="00BC7C4A">
              <w:rPr>
                <w:rFonts w:asciiTheme="minorHAnsi" w:hAnsiTheme="minorHAnsi"/>
                <w:sz w:val="22"/>
                <w:szCs w:val="22"/>
              </w:rPr>
              <w:t xml:space="preserve"> The specific mention of disabilities in the framework is welcome but the text should fully integrate the UN Convention </w:t>
            </w:r>
            <w:r w:rsidRPr="00BC7C4A">
              <w:rPr>
                <w:rFonts w:asciiTheme="minorHAnsi" w:hAnsiTheme="minorHAnsi"/>
                <w:b/>
                <w:sz w:val="22"/>
                <w:szCs w:val="22"/>
              </w:rPr>
              <w:t>principles</w:t>
            </w:r>
            <w:r w:rsidRPr="00BC7C4A">
              <w:rPr>
                <w:rFonts w:asciiTheme="minorHAnsi" w:hAnsiTheme="minorHAnsi"/>
                <w:sz w:val="22"/>
                <w:szCs w:val="22"/>
              </w:rPr>
              <w:t xml:space="preserve"> in alignment with the steps taken by UNDP and the Global Environmental Fund.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b/>
                <w:sz w:val="22"/>
                <w:szCs w:val="22"/>
              </w:rPr>
              <w:t>Collaboration</w:t>
            </w:r>
            <w:r w:rsidRPr="00BC7C4A">
              <w:rPr>
                <w:rFonts w:asciiTheme="minorHAnsi" w:hAnsiTheme="minorHAnsi"/>
                <w:sz w:val="22"/>
                <w:szCs w:val="22"/>
              </w:rPr>
              <w:t xml:space="preserve">: Disability groups can help the Bank make the guidelines to address disabilities operational. Australia is a leader on disabilities and some of the disabilities networks could help the Bank to prepare Accessibility Guidelines. They could also help providing support upfront on disability training for WB staff.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The Bank should ensure </w:t>
            </w:r>
            <w:r w:rsidRPr="00BC7C4A">
              <w:rPr>
                <w:rFonts w:asciiTheme="minorHAnsi" w:hAnsiTheme="minorHAnsi"/>
                <w:b/>
                <w:sz w:val="22"/>
                <w:szCs w:val="22"/>
              </w:rPr>
              <w:t>consultation with disabilities group</w:t>
            </w:r>
            <w:r w:rsidRPr="00BC7C4A">
              <w:rPr>
                <w:rFonts w:asciiTheme="minorHAnsi" w:hAnsiTheme="minorHAnsi"/>
                <w:sz w:val="22"/>
                <w:szCs w:val="22"/>
              </w:rPr>
              <w:t xml:space="preserve"> throughout the drafting process, including at the time of writing specific guidelines.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There is still room for the standards to improve. In the 2012-13 consultation process, one of the major issues raised by disabilities organizations was the </w:t>
            </w:r>
            <w:r w:rsidRPr="00BC7C4A">
              <w:rPr>
                <w:rFonts w:asciiTheme="minorHAnsi" w:hAnsiTheme="minorHAnsi"/>
                <w:b/>
                <w:sz w:val="22"/>
                <w:szCs w:val="22"/>
              </w:rPr>
              <w:t>need for harmonization of international treaties to address disabilities</w:t>
            </w:r>
            <w:r w:rsidRPr="00BC7C4A">
              <w:rPr>
                <w:rFonts w:asciiTheme="minorHAnsi" w:hAnsiTheme="minorHAnsi"/>
                <w:sz w:val="22"/>
                <w:szCs w:val="22"/>
              </w:rPr>
              <w:t xml:space="preserve">, however, the proposed framework makes no mention to this need. Improvements could also be made on </w:t>
            </w:r>
            <w:r w:rsidRPr="00BC7C4A">
              <w:rPr>
                <w:rFonts w:asciiTheme="minorHAnsi" w:hAnsiTheme="minorHAnsi"/>
                <w:b/>
                <w:sz w:val="22"/>
                <w:szCs w:val="22"/>
              </w:rPr>
              <w:t>definitions</w:t>
            </w:r>
            <w:r w:rsidRPr="00BC7C4A">
              <w:rPr>
                <w:rFonts w:asciiTheme="minorHAnsi" w:hAnsiTheme="minorHAnsi"/>
                <w:sz w:val="22"/>
                <w:szCs w:val="22"/>
              </w:rPr>
              <w:t xml:space="preserve"> and the </w:t>
            </w:r>
            <w:r w:rsidRPr="00BC7C4A">
              <w:rPr>
                <w:rFonts w:asciiTheme="minorHAnsi" w:hAnsiTheme="minorHAnsi"/>
                <w:b/>
                <w:sz w:val="22"/>
                <w:szCs w:val="22"/>
              </w:rPr>
              <w:t>overall conceptualization</w:t>
            </w:r>
            <w:r w:rsidRPr="00BC7C4A">
              <w:rPr>
                <w:rFonts w:asciiTheme="minorHAnsi" w:hAnsiTheme="minorHAnsi"/>
                <w:sz w:val="22"/>
                <w:szCs w:val="22"/>
              </w:rPr>
              <w:t xml:space="preserve"> of what disabilities mean.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b/>
                <w:sz w:val="22"/>
                <w:szCs w:val="22"/>
              </w:rPr>
              <w:t>Beyond universal access</w:t>
            </w:r>
            <w:r w:rsidRPr="00BC7C4A">
              <w:rPr>
                <w:rFonts w:asciiTheme="minorHAnsi" w:hAnsiTheme="minorHAnsi"/>
                <w:sz w:val="22"/>
                <w:szCs w:val="22"/>
              </w:rPr>
              <w:t xml:space="preserve"> is just one aspect of disabilities, the framework should embrace the full application of international conventions. The concept of universal access is critical and it is about equality for all (</w:t>
            </w:r>
            <w:r w:rsidRPr="00BC7C4A">
              <w:rPr>
                <w:rFonts w:asciiTheme="minorHAnsi" w:hAnsiTheme="minorHAnsi"/>
                <w:b/>
                <w:sz w:val="22"/>
                <w:szCs w:val="22"/>
              </w:rPr>
              <w:t>non-discrimination</w:t>
            </w:r>
            <w:r w:rsidRPr="00BC7C4A">
              <w:rPr>
                <w:rFonts w:asciiTheme="minorHAnsi" w:hAnsiTheme="minorHAnsi"/>
                <w:sz w:val="22"/>
                <w:szCs w:val="22"/>
              </w:rPr>
              <w:t>) not about creating special jobs for special people.</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b/>
                <w:sz w:val="22"/>
                <w:szCs w:val="22"/>
              </w:rPr>
              <w:t>Assessment process</w:t>
            </w:r>
            <w:r w:rsidRPr="00BC7C4A">
              <w:rPr>
                <w:rFonts w:asciiTheme="minorHAnsi" w:hAnsiTheme="minorHAnsi"/>
                <w:sz w:val="22"/>
                <w:szCs w:val="22"/>
              </w:rPr>
              <w:t xml:space="preserve">: the inclusion of people with disabilities should be consider as part of a whole social assessment not as a separate issue.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Relaying on the </w:t>
            </w:r>
            <w:r w:rsidRPr="00BC7C4A">
              <w:rPr>
                <w:rFonts w:asciiTheme="minorHAnsi" w:hAnsiTheme="minorHAnsi"/>
                <w:b/>
                <w:sz w:val="22"/>
                <w:szCs w:val="22"/>
              </w:rPr>
              <w:t>community of expertise</w:t>
            </w:r>
            <w:r w:rsidRPr="00BC7C4A">
              <w:rPr>
                <w:rFonts w:asciiTheme="minorHAnsi" w:hAnsiTheme="minorHAnsi"/>
                <w:sz w:val="22"/>
                <w:szCs w:val="22"/>
              </w:rPr>
              <w:t>. The consultation plan mentions that the Bank is talking to expert groups and other stakeholders to gather professional community expertise. Although there might be some academics which expertise is in disabilities, the real expertise come from those with real-life experience in living with disabilities.</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The Bank doesn’t need to be an expert on disabilities, what needs is to start working in disabilities so that it will gain confidence over time. The more the Bank works in disabilities, the greater its expertise on the matter.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The Bank needs to change the way it looks into disabilities: when preparing a project we cannot only think of people with disabilities as impacted or benefited by a project. People with disabilities also have a role throughout the whole process of the project and could be great contributors to help improve the project from the onset.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It is </w:t>
            </w:r>
            <w:r w:rsidRPr="00BC7C4A">
              <w:rPr>
                <w:rFonts w:asciiTheme="minorHAnsi" w:hAnsiTheme="minorHAnsi"/>
                <w:b/>
                <w:sz w:val="22"/>
                <w:szCs w:val="22"/>
              </w:rPr>
              <w:t>important that people with disabilities as seen as partners of the Bank not just as project-affected people.</w:t>
            </w:r>
            <w:r w:rsidRPr="00BC7C4A">
              <w:rPr>
                <w:rFonts w:asciiTheme="minorHAnsi" w:hAnsiTheme="minorHAnsi"/>
                <w:sz w:val="22"/>
                <w:szCs w:val="22"/>
              </w:rPr>
              <w:t xml:space="preserve"> </w:t>
            </w:r>
          </w:p>
          <w:p w:rsidR="00856FC0" w:rsidRPr="00BC7C4A" w:rsidRDefault="00856FC0" w:rsidP="00856FC0">
            <w:pPr>
              <w:pStyle w:val="ListParagraph"/>
              <w:numPr>
                <w:ilvl w:val="0"/>
                <w:numId w:val="48"/>
              </w:numPr>
              <w:suppressAutoHyphens w:val="0"/>
              <w:spacing w:after="160" w:line="256" w:lineRule="auto"/>
              <w:jc w:val="left"/>
              <w:rPr>
                <w:rFonts w:asciiTheme="minorHAnsi" w:hAnsiTheme="minorHAnsi"/>
                <w:sz w:val="22"/>
                <w:szCs w:val="22"/>
              </w:rPr>
            </w:pPr>
            <w:r w:rsidRPr="00BC7C4A">
              <w:rPr>
                <w:rFonts w:asciiTheme="minorHAnsi" w:hAnsiTheme="minorHAnsi"/>
                <w:b/>
                <w:sz w:val="22"/>
                <w:szCs w:val="22"/>
              </w:rPr>
              <w:t>Access and engagement</w:t>
            </w:r>
            <w:r w:rsidRPr="00BC7C4A">
              <w:rPr>
                <w:rFonts w:asciiTheme="minorHAnsi" w:hAnsiTheme="minorHAnsi"/>
                <w:sz w:val="22"/>
                <w:szCs w:val="22"/>
              </w:rPr>
              <w:t xml:space="preserve">: it is important to better communicate and engage with disabilities groups. Access is not enough. </w:t>
            </w:r>
          </w:p>
          <w:p w:rsidR="00856FC0" w:rsidRPr="00BC7C4A" w:rsidRDefault="00856FC0" w:rsidP="00856FC0">
            <w:pPr>
              <w:jc w:val="left"/>
              <w:rPr>
                <w:rFonts w:asciiTheme="minorHAnsi" w:eastAsia="Batang" w:hAnsiTheme="minorHAnsi"/>
                <w:b/>
                <w:sz w:val="22"/>
                <w:szCs w:val="22"/>
              </w:rPr>
            </w:pPr>
            <w:r w:rsidRPr="00BC7C4A">
              <w:rPr>
                <w:rFonts w:asciiTheme="minorHAnsi" w:eastAsia="Batang" w:hAnsiTheme="minorHAnsi"/>
                <w:b/>
                <w:sz w:val="22"/>
                <w:szCs w:val="22"/>
              </w:rPr>
              <w:t>CHILDREN RIGHST</w:t>
            </w:r>
          </w:p>
          <w:p w:rsidR="00856FC0" w:rsidRPr="00BC7C4A" w:rsidRDefault="00856FC0" w:rsidP="00856FC0">
            <w:pPr>
              <w:pStyle w:val="ListParagraph"/>
              <w:numPr>
                <w:ilvl w:val="0"/>
                <w:numId w:val="49"/>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Unless the Bank invests in capacity building and raising awareness it won’t be able to stop Children’s rights violations.  In Australia’s experience, what works best to ensure child protection is to look at an increamental/holistic approach and not as a simple compliance-approach to child protection norms. Save the Children is happy to share with the Bank the experience gained in Australia at the national level. </w:t>
            </w:r>
          </w:p>
          <w:p w:rsidR="00856FC0" w:rsidRPr="00BC7C4A" w:rsidRDefault="00856FC0" w:rsidP="00856FC0">
            <w:pPr>
              <w:pStyle w:val="ListParagraph"/>
              <w:numPr>
                <w:ilvl w:val="0"/>
                <w:numId w:val="49"/>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Pleased to see the Bank is incorporating part of what was raised on the first phase of this consultation process like including risk assessments around vulnerable groups and the mentioned of child labor. </w:t>
            </w:r>
          </w:p>
          <w:p w:rsidR="00856FC0" w:rsidRPr="00BC7C4A" w:rsidRDefault="00856FC0" w:rsidP="00856FC0">
            <w:pPr>
              <w:pStyle w:val="ListParagraph"/>
              <w:numPr>
                <w:ilvl w:val="0"/>
                <w:numId w:val="49"/>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A more explicit mention to children and vulnerable groups with specific mention to age is needed. Children should be at the front and center of the framework.</w:t>
            </w:r>
          </w:p>
          <w:p w:rsidR="002E23E9" w:rsidRPr="00BC7C4A" w:rsidRDefault="002E23E9" w:rsidP="007A0EC0">
            <w:pPr>
              <w:widowControl w:val="0"/>
              <w:autoSpaceDE w:val="0"/>
              <w:autoSpaceDN w:val="0"/>
              <w:adjustRightInd w:val="0"/>
              <w:spacing w:after="40"/>
              <w:ind w:right="40"/>
              <w:jc w:val="left"/>
              <w:rPr>
                <w:rFonts w:asciiTheme="minorHAnsi" w:hAnsiTheme="minorHAnsi"/>
                <w:sz w:val="22"/>
                <w:szCs w:val="22"/>
              </w:rPr>
            </w:pPr>
          </w:p>
        </w:tc>
      </w:tr>
      <w:tr w:rsidR="00173E2F" w:rsidRPr="00BC7C4A" w:rsidTr="002C093B">
        <w:tblPrEx>
          <w:tblCellMar>
            <w:left w:w="0" w:type="dxa"/>
            <w:right w:w="0" w:type="dxa"/>
          </w:tblCellMar>
        </w:tblPrEx>
        <w:trPr>
          <w:trHeight w:val="70"/>
        </w:trPr>
        <w:tc>
          <w:tcPr>
            <w:tcW w:w="13320" w:type="dxa"/>
            <w:shd w:val="clear" w:color="auto" w:fill="DBE5F1" w:themeFill="accent1" w:themeFillTint="33"/>
          </w:tcPr>
          <w:p w:rsidR="00173E2F" w:rsidRPr="00BC7C4A" w:rsidRDefault="008B074D" w:rsidP="00150B6C">
            <w:pPr>
              <w:numPr>
                <w:ilvl w:val="0"/>
                <w:numId w:val="30"/>
              </w:numPr>
              <w:snapToGrid w:val="0"/>
              <w:ind w:left="540" w:right="180"/>
              <w:rPr>
                <w:rFonts w:asciiTheme="minorHAnsi" w:eastAsia="Batang" w:hAnsiTheme="minorHAnsi"/>
                <w:b/>
                <w:bCs/>
                <w:i/>
                <w:iCs/>
                <w:sz w:val="22"/>
                <w:szCs w:val="22"/>
              </w:rPr>
            </w:pPr>
            <w:r w:rsidRPr="00BC7C4A">
              <w:rPr>
                <w:rFonts w:asciiTheme="minorHAnsi" w:eastAsia="Batang" w:hAnsiTheme="minorHAnsi"/>
                <w:sz w:val="22"/>
                <w:szCs w:val="22"/>
              </w:rPr>
              <w:lastRenderedPageBreak/>
              <w:t xml:space="preserve"> </w:t>
            </w:r>
            <w:r w:rsidRPr="00BC7C4A">
              <w:rPr>
                <w:rFonts w:asciiTheme="minorHAnsi" w:eastAsia="Batang" w:hAnsiTheme="minorHAnsi"/>
                <w:b/>
                <w:bCs/>
                <w:i/>
                <w:iCs/>
                <w:sz w:val="22"/>
                <w:szCs w:val="22"/>
              </w:rPr>
              <w:t>Environmental and Social Standard 1 (ESS1): Assessment and Management of Environmental and Social Risks and Impacts</w:t>
            </w:r>
          </w:p>
        </w:tc>
      </w:tr>
      <w:tr w:rsidR="002E23E9" w:rsidRPr="00BC7C4A" w:rsidTr="008B074D">
        <w:trPr>
          <w:trHeight w:val="413"/>
        </w:trPr>
        <w:tc>
          <w:tcPr>
            <w:tcW w:w="13320" w:type="dxa"/>
            <w:shd w:val="clear" w:color="auto" w:fill="auto"/>
          </w:tcPr>
          <w:p w:rsidR="00BC7C4A" w:rsidRPr="00856FC0" w:rsidRDefault="00856FC0" w:rsidP="00856FC0">
            <w:pPr>
              <w:pStyle w:val="ListParagraph"/>
              <w:suppressAutoHyphens w:val="0"/>
              <w:spacing w:after="160" w:line="256" w:lineRule="auto"/>
              <w:jc w:val="left"/>
              <w:rPr>
                <w:rFonts w:asciiTheme="minorHAnsi" w:eastAsia="Batang" w:hAnsiTheme="minorHAnsi" w:cs="Times New Roman"/>
                <w:i/>
                <w:sz w:val="22"/>
                <w:szCs w:val="22"/>
              </w:rPr>
            </w:pPr>
            <w:r w:rsidRPr="00856FC0">
              <w:rPr>
                <w:rFonts w:asciiTheme="minorHAnsi" w:eastAsia="Batang" w:hAnsiTheme="minorHAnsi" w:cs="Times New Roman"/>
                <w:i/>
                <w:sz w:val="22"/>
                <w:szCs w:val="22"/>
              </w:rPr>
              <w:t>No specifc comments.</w:t>
            </w:r>
          </w:p>
        </w:tc>
      </w:tr>
      <w:tr w:rsidR="002717AA" w:rsidRPr="00BC7C4A" w:rsidTr="002C093B">
        <w:tblPrEx>
          <w:tblCellMar>
            <w:left w:w="0" w:type="dxa"/>
            <w:right w:w="0" w:type="dxa"/>
          </w:tblCellMar>
        </w:tblPrEx>
        <w:trPr>
          <w:trHeight w:val="70"/>
        </w:trPr>
        <w:tc>
          <w:tcPr>
            <w:tcW w:w="13320" w:type="dxa"/>
            <w:shd w:val="clear" w:color="auto" w:fill="DBE5F1" w:themeFill="accent1" w:themeFillTint="33"/>
          </w:tcPr>
          <w:p w:rsidR="002717AA" w:rsidRPr="00BC7C4A" w:rsidRDefault="008B074D" w:rsidP="008B074D">
            <w:pPr>
              <w:numPr>
                <w:ilvl w:val="0"/>
                <w:numId w:val="30"/>
              </w:numPr>
              <w:snapToGrid w:val="0"/>
              <w:ind w:left="540" w:right="180"/>
              <w:rPr>
                <w:rFonts w:asciiTheme="minorHAnsi" w:eastAsia="Batang" w:hAnsiTheme="minorHAnsi"/>
                <w:sz w:val="22"/>
                <w:szCs w:val="22"/>
              </w:rPr>
            </w:pPr>
            <w:r w:rsidRPr="00BC7C4A">
              <w:rPr>
                <w:rFonts w:asciiTheme="minorHAnsi" w:eastAsia="Batang" w:hAnsiTheme="minorHAnsi"/>
                <w:b/>
                <w:bCs/>
                <w:i/>
                <w:iCs/>
                <w:sz w:val="22"/>
                <w:szCs w:val="22"/>
              </w:rPr>
              <w:t>Environmental and Social Standard 2 (ESS2): Labor and Working Conditions</w:t>
            </w:r>
          </w:p>
        </w:tc>
      </w:tr>
      <w:tr w:rsidR="002E23E9" w:rsidRPr="00BC7C4A" w:rsidTr="008B074D">
        <w:trPr>
          <w:trHeight w:val="395"/>
        </w:trPr>
        <w:tc>
          <w:tcPr>
            <w:tcW w:w="13320" w:type="dxa"/>
            <w:shd w:val="clear" w:color="auto" w:fill="auto"/>
          </w:tcPr>
          <w:p w:rsidR="00100EDD" w:rsidRPr="00BC7C4A" w:rsidRDefault="00100EDD" w:rsidP="00100EDD">
            <w:pPr>
              <w:pStyle w:val="ListParagraph"/>
              <w:numPr>
                <w:ilvl w:val="0"/>
                <w:numId w:val="42"/>
              </w:numPr>
              <w:suppressAutoHyphens w:val="0"/>
              <w:spacing w:after="160" w:line="256" w:lineRule="auto"/>
              <w:jc w:val="left"/>
              <w:rPr>
                <w:rFonts w:asciiTheme="minorHAnsi" w:hAnsiTheme="minorHAnsi"/>
                <w:kern w:val="0"/>
                <w:sz w:val="22"/>
                <w:szCs w:val="22"/>
                <w:lang w:eastAsia="en-US" w:bidi="ar-SA"/>
              </w:rPr>
            </w:pPr>
            <w:r w:rsidRPr="00BC7C4A">
              <w:rPr>
                <w:rFonts w:asciiTheme="minorHAnsi" w:hAnsiTheme="minorHAnsi"/>
                <w:sz w:val="22"/>
                <w:szCs w:val="22"/>
              </w:rPr>
              <w:t xml:space="preserve">The ESS2 within the proposed safeguards framework doesn’t </w:t>
            </w:r>
            <w:r w:rsidRPr="00BC7C4A">
              <w:rPr>
                <w:rFonts w:asciiTheme="minorHAnsi" w:hAnsiTheme="minorHAnsi"/>
                <w:b/>
                <w:sz w:val="22"/>
                <w:szCs w:val="22"/>
              </w:rPr>
              <w:t xml:space="preserve">keep ILO’s </w:t>
            </w:r>
            <w:r w:rsidR="0035083B">
              <w:rPr>
                <w:rFonts w:asciiTheme="minorHAnsi" w:hAnsiTheme="minorHAnsi"/>
                <w:b/>
                <w:sz w:val="22"/>
                <w:szCs w:val="22"/>
              </w:rPr>
              <w:t xml:space="preserve">Core Labour Standards </w:t>
            </w:r>
            <w:r w:rsidRPr="00BC7C4A">
              <w:rPr>
                <w:rFonts w:asciiTheme="minorHAnsi" w:hAnsiTheme="minorHAnsi"/>
                <w:sz w:val="22"/>
                <w:szCs w:val="22"/>
              </w:rPr>
              <w:t xml:space="preserve"> (freedom of association and right to collective bargaining; </w:t>
            </w:r>
            <w:r w:rsidR="00C84690" w:rsidRPr="00BC7C4A">
              <w:rPr>
                <w:rFonts w:asciiTheme="minorHAnsi" w:hAnsiTheme="minorHAnsi"/>
                <w:sz w:val="22"/>
                <w:szCs w:val="22"/>
              </w:rPr>
              <w:t>elimination of forced labor; abolition of child labor; no</w:t>
            </w:r>
            <w:r w:rsidR="0035083B">
              <w:rPr>
                <w:rFonts w:asciiTheme="minorHAnsi" w:hAnsiTheme="minorHAnsi"/>
                <w:sz w:val="22"/>
                <w:szCs w:val="22"/>
              </w:rPr>
              <w:t>n</w:t>
            </w:r>
            <w:r w:rsidR="00C84690" w:rsidRPr="00BC7C4A">
              <w:rPr>
                <w:rFonts w:asciiTheme="minorHAnsi" w:hAnsiTheme="minorHAnsi"/>
                <w:sz w:val="22"/>
                <w:szCs w:val="22"/>
              </w:rPr>
              <w:t xml:space="preserve"> discrimination) </w:t>
            </w:r>
            <w:r w:rsidRPr="00BC7C4A">
              <w:rPr>
                <w:rFonts w:asciiTheme="minorHAnsi" w:hAnsiTheme="minorHAnsi"/>
                <w:sz w:val="22"/>
                <w:szCs w:val="22"/>
              </w:rPr>
              <w:t xml:space="preserve">intact, </w:t>
            </w:r>
            <w:r w:rsidR="00C84690" w:rsidRPr="00BC7C4A">
              <w:rPr>
                <w:rFonts w:asciiTheme="minorHAnsi" w:hAnsiTheme="minorHAnsi"/>
                <w:sz w:val="22"/>
                <w:szCs w:val="22"/>
              </w:rPr>
              <w:t xml:space="preserve">as reflected in the </w:t>
            </w:r>
            <w:r w:rsidR="005A6E57">
              <w:rPr>
                <w:rFonts w:asciiTheme="minorHAnsi" w:hAnsiTheme="minorHAnsi"/>
                <w:sz w:val="22"/>
                <w:szCs w:val="22"/>
              </w:rPr>
              <w:t>internationally recognized “Dec</w:t>
            </w:r>
            <w:r w:rsidR="0035083B">
              <w:rPr>
                <w:rFonts w:asciiTheme="minorHAnsi" w:hAnsiTheme="minorHAnsi"/>
                <w:sz w:val="22"/>
                <w:szCs w:val="22"/>
              </w:rPr>
              <w:t>laration of Fundamental Pr</w:t>
            </w:r>
            <w:r w:rsidR="005A6E57">
              <w:rPr>
                <w:rFonts w:asciiTheme="minorHAnsi" w:hAnsiTheme="minorHAnsi"/>
                <w:sz w:val="22"/>
                <w:szCs w:val="22"/>
              </w:rPr>
              <w:t xml:space="preserve">inciples and Rights at Work”(1988) </w:t>
            </w:r>
            <w:r w:rsidR="00C84690" w:rsidRPr="00BC7C4A">
              <w:rPr>
                <w:rFonts w:asciiTheme="minorHAnsi" w:hAnsiTheme="minorHAnsi"/>
                <w:sz w:val="22"/>
                <w:szCs w:val="22"/>
              </w:rPr>
              <w:t xml:space="preserve">. The Bank’s reference to </w:t>
            </w:r>
            <w:r w:rsidR="00C84690" w:rsidRPr="00BC7C4A">
              <w:rPr>
                <w:rFonts w:asciiTheme="minorHAnsi" w:hAnsiTheme="minorHAnsi"/>
                <w:b/>
                <w:sz w:val="22"/>
                <w:szCs w:val="22"/>
              </w:rPr>
              <w:t>freedom of association</w:t>
            </w:r>
            <w:r w:rsidR="00C84690" w:rsidRPr="00BC7C4A">
              <w:rPr>
                <w:rFonts w:asciiTheme="minorHAnsi" w:hAnsiTheme="minorHAnsi"/>
                <w:sz w:val="22"/>
                <w:szCs w:val="22"/>
              </w:rPr>
              <w:t xml:space="preserve"> in the policy is included only </w:t>
            </w:r>
            <w:r w:rsidRPr="00BC7C4A">
              <w:rPr>
                <w:rFonts w:asciiTheme="minorHAnsi" w:hAnsiTheme="minorHAnsi"/>
                <w:sz w:val="22"/>
                <w:szCs w:val="22"/>
              </w:rPr>
              <w:t>as subjected to domestic/national laws.</w:t>
            </w:r>
            <w:r w:rsidR="005A6E57">
              <w:rPr>
                <w:rFonts w:asciiTheme="minorHAnsi" w:hAnsiTheme="minorHAnsi"/>
                <w:sz w:val="22"/>
                <w:szCs w:val="22"/>
              </w:rPr>
              <w:t xml:space="preserve"> The current draft framework would also create a distinc</w:t>
            </w:r>
            <w:r w:rsidR="0035083B">
              <w:rPr>
                <w:rFonts w:asciiTheme="minorHAnsi" w:hAnsiTheme="minorHAnsi"/>
                <w:sz w:val="22"/>
                <w:szCs w:val="22"/>
              </w:rPr>
              <w:t>t</w:t>
            </w:r>
            <w:r w:rsidR="005A6E57">
              <w:rPr>
                <w:rFonts w:asciiTheme="minorHAnsi" w:hAnsiTheme="minorHAnsi"/>
                <w:sz w:val="22"/>
                <w:szCs w:val="22"/>
              </w:rPr>
              <w:t xml:space="preserve"> and limited category of rights for public servants, and exclude migrant workers from non-discrimination</w:t>
            </w:r>
          </w:p>
          <w:p w:rsidR="00100EDD" w:rsidRPr="00BC7C4A" w:rsidRDefault="00100EDD" w:rsidP="00100EDD">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 The draft framework exclude</w:t>
            </w:r>
            <w:r w:rsidR="0035083B">
              <w:rPr>
                <w:rFonts w:asciiTheme="minorHAnsi" w:hAnsiTheme="minorHAnsi"/>
                <w:sz w:val="22"/>
                <w:szCs w:val="22"/>
              </w:rPr>
              <w:t>s</w:t>
            </w:r>
            <w:r w:rsidRPr="00BC7C4A">
              <w:rPr>
                <w:rFonts w:asciiTheme="minorHAnsi" w:hAnsiTheme="minorHAnsi"/>
                <w:sz w:val="22"/>
                <w:szCs w:val="22"/>
              </w:rPr>
              <w:t xml:space="preserve"> </w:t>
            </w:r>
            <w:r w:rsidRPr="00BC7C4A">
              <w:rPr>
                <w:rFonts w:asciiTheme="minorHAnsi" w:hAnsiTheme="minorHAnsi"/>
                <w:b/>
                <w:sz w:val="22"/>
                <w:szCs w:val="22"/>
              </w:rPr>
              <w:t>contract workers</w:t>
            </w:r>
            <w:r w:rsidRPr="00BC7C4A">
              <w:rPr>
                <w:rFonts w:asciiTheme="minorHAnsi" w:hAnsiTheme="minorHAnsi"/>
                <w:sz w:val="22"/>
                <w:szCs w:val="22"/>
              </w:rPr>
              <w:t xml:space="preserve"> of the protections as the proposal doesn’t include contractors by borrowers – this contradicts IFC’s Standards as well as EBRD’s. Furthermore, the IEG Evaluation Report already indicated the Bank has poor labor standards. </w:t>
            </w:r>
          </w:p>
          <w:p w:rsidR="00100EDD" w:rsidRPr="00BC7C4A" w:rsidRDefault="00100EDD" w:rsidP="00100EDD">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ILO could guide the Bank on how Public Procurement Policy can be implemented while protecting Workers Rights.</w:t>
            </w:r>
          </w:p>
          <w:p w:rsidR="00100EDD" w:rsidRPr="00BC7C4A" w:rsidRDefault="00C84690" w:rsidP="00100EDD">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On </w:t>
            </w:r>
            <w:r w:rsidRPr="00BC7C4A">
              <w:rPr>
                <w:rFonts w:asciiTheme="minorHAnsi" w:hAnsiTheme="minorHAnsi"/>
                <w:b/>
                <w:sz w:val="22"/>
                <w:szCs w:val="22"/>
              </w:rPr>
              <w:t>implementation</w:t>
            </w:r>
            <w:r w:rsidRPr="00BC7C4A">
              <w:rPr>
                <w:rFonts w:asciiTheme="minorHAnsi" w:hAnsiTheme="minorHAnsi"/>
                <w:sz w:val="22"/>
                <w:szCs w:val="22"/>
              </w:rPr>
              <w:t xml:space="preserve">: more information about the way the ESS2 will be applied at the operational level is needed. </w:t>
            </w:r>
          </w:p>
          <w:p w:rsidR="00100EDD" w:rsidRPr="00BC7C4A" w:rsidRDefault="00100EDD" w:rsidP="00100EDD">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ESS2 and </w:t>
            </w:r>
            <w:r w:rsidR="00C84690" w:rsidRPr="00BC7C4A">
              <w:rPr>
                <w:rFonts w:asciiTheme="minorHAnsi" w:hAnsiTheme="minorHAnsi"/>
                <w:b/>
                <w:sz w:val="22"/>
                <w:szCs w:val="22"/>
              </w:rPr>
              <w:t>child l</w:t>
            </w:r>
            <w:r w:rsidRPr="00BC7C4A">
              <w:rPr>
                <w:rFonts w:asciiTheme="minorHAnsi" w:hAnsiTheme="minorHAnsi"/>
                <w:b/>
                <w:sz w:val="22"/>
                <w:szCs w:val="22"/>
              </w:rPr>
              <w:t>abor</w:t>
            </w:r>
            <w:r w:rsidRPr="00BC7C4A">
              <w:rPr>
                <w:rFonts w:asciiTheme="minorHAnsi" w:hAnsiTheme="minorHAnsi"/>
                <w:sz w:val="22"/>
                <w:szCs w:val="22"/>
              </w:rPr>
              <w:t xml:space="preserve">: The language within the ESS2 policy </w:t>
            </w:r>
            <w:r w:rsidR="00C84690" w:rsidRPr="00BC7C4A">
              <w:rPr>
                <w:rFonts w:asciiTheme="minorHAnsi" w:hAnsiTheme="minorHAnsi"/>
                <w:sz w:val="22"/>
                <w:szCs w:val="22"/>
              </w:rPr>
              <w:t>refers to</w:t>
            </w:r>
            <w:r w:rsidRPr="00BC7C4A">
              <w:rPr>
                <w:rFonts w:asciiTheme="minorHAnsi" w:hAnsiTheme="minorHAnsi"/>
                <w:sz w:val="22"/>
                <w:szCs w:val="22"/>
              </w:rPr>
              <w:t xml:space="preserve"> children as in connection to the project not as “project workers”. The policy needs to explicitly address the issue of sub-contractors. </w:t>
            </w:r>
          </w:p>
          <w:p w:rsidR="00100EDD" w:rsidRPr="00BC7C4A" w:rsidRDefault="00100EDD" w:rsidP="00100EDD">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ESS2 needs to fully adapt the definition of child labor, include the </w:t>
            </w:r>
            <w:r w:rsidRPr="00BC7C4A">
              <w:rPr>
                <w:rFonts w:asciiTheme="minorHAnsi" w:hAnsiTheme="minorHAnsi"/>
                <w:b/>
                <w:sz w:val="22"/>
                <w:szCs w:val="22"/>
              </w:rPr>
              <w:t>minimum-age standard</w:t>
            </w:r>
            <w:r w:rsidRPr="00BC7C4A">
              <w:rPr>
                <w:rFonts w:asciiTheme="minorHAnsi" w:hAnsiTheme="minorHAnsi"/>
                <w:sz w:val="22"/>
                <w:szCs w:val="22"/>
              </w:rPr>
              <w:t xml:space="preserve"> established in the ILO standards even if the local laws does not go as far as including a minimum-age. </w:t>
            </w:r>
          </w:p>
          <w:p w:rsidR="002E23E9" w:rsidRPr="00BC7C4A" w:rsidRDefault="002E23E9" w:rsidP="00C84690">
            <w:pPr>
              <w:pStyle w:val="ListParagraph"/>
              <w:jc w:val="left"/>
              <w:rPr>
                <w:rFonts w:asciiTheme="minorHAnsi" w:hAnsiTheme="minorHAnsi" w:cs="Times New Roman"/>
                <w:sz w:val="22"/>
                <w:szCs w:val="22"/>
              </w:rPr>
            </w:pPr>
          </w:p>
        </w:tc>
      </w:tr>
      <w:tr w:rsidR="002A7906" w:rsidRPr="00BC7C4A" w:rsidTr="002C093B">
        <w:tblPrEx>
          <w:tblCellMar>
            <w:left w:w="0" w:type="dxa"/>
            <w:right w:w="0" w:type="dxa"/>
          </w:tblCellMar>
        </w:tblPrEx>
        <w:trPr>
          <w:trHeight w:val="70"/>
        </w:trPr>
        <w:tc>
          <w:tcPr>
            <w:tcW w:w="13320" w:type="dxa"/>
            <w:shd w:val="clear" w:color="auto" w:fill="DBE5F1" w:themeFill="accent1" w:themeFillTint="33"/>
          </w:tcPr>
          <w:p w:rsidR="002A7906" w:rsidRPr="00BC7C4A" w:rsidRDefault="008B074D" w:rsidP="008B074D">
            <w:pPr>
              <w:numPr>
                <w:ilvl w:val="0"/>
                <w:numId w:val="30"/>
              </w:numPr>
              <w:snapToGrid w:val="0"/>
              <w:ind w:left="540" w:right="180"/>
              <w:rPr>
                <w:rFonts w:asciiTheme="minorHAnsi" w:eastAsia="Batang" w:hAnsiTheme="minorHAnsi"/>
                <w:sz w:val="22"/>
                <w:szCs w:val="22"/>
              </w:rPr>
            </w:pPr>
            <w:r w:rsidRPr="00BC7C4A">
              <w:rPr>
                <w:rFonts w:asciiTheme="minorHAnsi" w:eastAsia="Batang" w:hAnsiTheme="minorHAnsi"/>
                <w:b/>
                <w:bCs/>
                <w:i/>
                <w:iCs/>
                <w:sz w:val="22"/>
                <w:szCs w:val="22"/>
              </w:rPr>
              <w:t>Environmental and Social Standard 3 (ESS3): Resoure Efficiency and Pollution Prevention</w:t>
            </w:r>
          </w:p>
        </w:tc>
      </w:tr>
      <w:tr w:rsidR="002E23E9" w:rsidRPr="00BC7C4A" w:rsidTr="008B074D">
        <w:trPr>
          <w:trHeight w:val="485"/>
        </w:trPr>
        <w:tc>
          <w:tcPr>
            <w:tcW w:w="13320" w:type="dxa"/>
            <w:shd w:val="clear" w:color="auto" w:fill="auto"/>
          </w:tcPr>
          <w:p w:rsidR="002E23E9" w:rsidRPr="00BC7C4A" w:rsidRDefault="007A0EC0" w:rsidP="007A0EC0">
            <w:pPr>
              <w:pStyle w:val="ListParagraph"/>
              <w:rPr>
                <w:rFonts w:asciiTheme="minorHAnsi" w:hAnsiTheme="minorHAnsi" w:cs="Times New Roman"/>
                <w:i/>
                <w:sz w:val="22"/>
                <w:szCs w:val="22"/>
              </w:rPr>
            </w:pPr>
            <w:r w:rsidRPr="00BC7C4A">
              <w:rPr>
                <w:rFonts w:asciiTheme="minorHAnsi" w:hAnsiTheme="minorHAnsi" w:cs="Times New Roman"/>
                <w:i/>
                <w:sz w:val="22"/>
                <w:szCs w:val="22"/>
              </w:rPr>
              <w:t>No specific comments</w:t>
            </w:r>
          </w:p>
        </w:tc>
      </w:tr>
      <w:tr w:rsidR="00594D12" w:rsidRPr="00BC7C4A" w:rsidTr="002C093B">
        <w:tblPrEx>
          <w:tblCellMar>
            <w:left w:w="0" w:type="dxa"/>
            <w:right w:w="0" w:type="dxa"/>
          </w:tblCellMar>
        </w:tblPrEx>
        <w:trPr>
          <w:trHeight w:val="70"/>
        </w:trPr>
        <w:tc>
          <w:tcPr>
            <w:tcW w:w="13320" w:type="dxa"/>
            <w:shd w:val="clear" w:color="auto" w:fill="DBE5F1" w:themeFill="accent1" w:themeFillTint="33"/>
          </w:tcPr>
          <w:p w:rsidR="00594D12" w:rsidRPr="00BC7C4A" w:rsidRDefault="008B074D" w:rsidP="008B074D">
            <w:pPr>
              <w:numPr>
                <w:ilvl w:val="0"/>
                <w:numId w:val="30"/>
              </w:numPr>
              <w:snapToGrid w:val="0"/>
              <w:ind w:left="540" w:right="180"/>
              <w:rPr>
                <w:rFonts w:asciiTheme="minorHAnsi" w:eastAsia="Batang" w:hAnsiTheme="minorHAnsi"/>
                <w:sz w:val="22"/>
                <w:szCs w:val="22"/>
              </w:rPr>
            </w:pPr>
            <w:r w:rsidRPr="00BC7C4A">
              <w:rPr>
                <w:rFonts w:asciiTheme="minorHAnsi" w:eastAsia="Batang" w:hAnsiTheme="minorHAnsi"/>
                <w:b/>
                <w:bCs/>
                <w:i/>
                <w:iCs/>
                <w:sz w:val="22"/>
                <w:szCs w:val="22"/>
              </w:rPr>
              <w:t>Environmental and Social Standard 4 (ESS4): Community Health and Safety</w:t>
            </w:r>
          </w:p>
        </w:tc>
      </w:tr>
      <w:tr w:rsidR="002E23E9" w:rsidRPr="00BC7C4A" w:rsidTr="008B074D">
        <w:trPr>
          <w:trHeight w:val="485"/>
        </w:trPr>
        <w:tc>
          <w:tcPr>
            <w:tcW w:w="13320" w:type="dxa"/>
            <w:shd w:val="clear" w:color="auto" w:fill="auto"/>
          </w:tcPr>
          <w:p w:rsidR="00B60B7D" w:rsidRPr="00BC7C4A" w:rsidRDefault="00B60B7D" w:rsidP="005D4820">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The inclusion of </w:t>
            </w:r>
            <w:r w:rsidRPr="00BC7C4A">
              <w:rPr>
                <w:rFonts w:asciiTheme="minorHAnsi" w:hAnsiTheme="minorHAnsi"/>
                <w:b/>
                <w:sz w:val="22"/>
                <w:szCs w:val="22"/>
              </w:rPr>
              <w:t>Road Safety</w:t>
            </w:r>
            <w:r w:rsidRPr="00BC7C4A">
              <w:rPr>
                <w:rFonts w:asciiTheme="minorHAnsi" w:hAnsiTheme="minorHAnsi"/>
                <w:sz w:val="22"/>
                <w:szCs w:val="22"/>
              </w:rPr>
              <w:t xml:space="preserve"> in the framework is seen as a great step forward but the Bank could improve the way it address the issue in the policy and throught the operational portfolio. </w:t>
            </w:r>
          </w:p>
          <w:p w:rsidR="00ED029A" w:rsidRPr="00BC7C4A" w:rsidRDefault="00B60B7D" w:rsidP="005D4820">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When doing risk assessments of road projects, the Bank should include “road deaths” as an objective measurement of the road inherent risk rather than just measure “travel time” as a proxy to </w:t>
            </w:r>
            <w:r w:rsidR="00ED029A" w:rsidRPr="00BC7C4A">
              <w:rPr>
                <w:rFonts w:asciiTheme="minorHAnsi" w:hAnsiTheme="minorHAnsi"/>
                <w:sz w:val="22"/>
                <w:szCs w:val="22"/>
              </w:rPr>
              <w:t xml:space="preserve">real casualties. </w:t>
            </w:r>
          </w:p>
          <w:p w:rsidR="00B60B7D" w:rsidRPr="00BC7C4A" w:rsidRDefault="00ED029A" w:rsidP="005D4820">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Better data on road accidents, both at the quantity and quality level is needed. </w:t>
            </w:r>
          </w:p>
          <w:p w:rsidR="00B60B7D" w:rsidRPr="00BC7C4A" w:rsidRDefault="00B60B7D" w:rsidP="00B60B7D">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The Bank should help ensure safest pedestrian paths across its portfolio not just as isolated projects. </w:t>
            </w:r>
          </w:p>
          <w:p w:rsidR="00B60B7D" w:rsidRPr="00BC7C4A" w:rsidRDefault="00B60B7D" w:rsidP="00B60B7D">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A specific annex on Road Safety (as there is one on Dam Safety) would be welcome. </w:t>
            </w:r>
          </w:p>
          <w:p w:rsidR="00B60B7D" w:rsidRPr="00BC7C4A" w:rsidRDefault="00B60B7D" w:rsidP="00B60B7D">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Projects should include objective indicators and not subjective recommendations to measure road safety. Roads should have specific safety targets, for example requesting a minimum of t</w:t>
            </w:r>
            <w:r w:rsidR="00100EDD" w:rsidRPr="00BC7C4A">
              <w:rPr>
                <w:rFonts w:asciiTheme="minorHAnsi" w:hAnsiTheme="minorHAnsi"/>
                <w:sz w:val="22"/>
                <w:szCs w:val="22"/>
              </w:rPr>
              <w:t>hree start based on the International Road Assesment Program.</w:t>
            </w:r>
            <w:r w:rsidRPr="00BC7C4A">
              <w:rPr>
                <w:rFonts w:asciiTheme="minorHAnsi" w:hAnsiTheme="minorHAnsi"/>
                <w:sz w:val="22"/>
                <w:szCs w:val="22"/>
              </w:rPr>
              <w:t xml:space="preserve"> </w:t>
            </w:r>
          </w:p>
          <w:p w:rsidR="002E23E9" w:rsidRDefault="002E23E9" w:rsidP="00ED029A">
            <w:pPr>
              <w:ind w:left="360"/>
              <w:rPr>
                <w:rFonts w:asciiTheme="minorHAnsi" w:hAnsiTheme="minorHAnsi"/>
                <w:sz w:val="22"/>
                <w:szCs w:val="22"/>
              </w:rPr>
            </w:pPr>
          </w:p>
          <w:p w:rsidR="00856FC0" w:rsidRDefault="00856FC0" w:rsidP="00ED029A">
            <w:pPr>
              <w:ind w:left="360"/>
              <w:rPr>
                <w:rFonts w:asciiTheme="minorHAnsi" w:hAnsiTheme="minorHAnsi"/>
                <w:sz w:val="22"/>
                <w:szCs w:val="22"/>
              </w:rPr>
            </w:pPr>
          </w:p>
          <w:p w:rsidR="00856FC0" w:rsidRDefault="00856FC0" w:rsidP="00ED029A">
            <w:pPr>
              <w:ind w:left="360"/>
              <w:rPr>
                <w:rFonts w:asciiTheme="minorHAnsi" w:hAnsiTheme="minorHAnsi"/>
                <w:sz w:val="22"/>
                <w:szCs w:val="22"/>
              </w:rPr>
            </w:pPr>
          </w:p>
          <w:p w:rsidR="00856FC0" w:rsidRPr="00BC7C4A" w:rsidRDefault="00856FC0" w:rsidP="00ED029A">
            <w:pPr>
              <w:ind w:left="360"/>
              <w:rPr>
                <w:rFonts w:asciiTheme="minorHAnsi" w:hAnsiTheme="minorHAnsi"/>
                <w:sz w:val="22"/>
                <w:szCs w:val="22"/>
              </w:rPr>
            </w:pPr>
          </w:p>
        </w:tc>
      </w:tr>
      <w:tr w:rsidR="00A21FB6" w:rsidRPr="00BC7C4A" w:rsidTr="002C093B">
        <w:tblPrEx>
          <w:tblCellMar>
            <w:left w:w="0" w:type="dxa"/>
            <w:right w:w="0" w:type="dxa"/>
          </w:tblCellMar>
        </w:tblPrEx>
        <w:trPr>
          <w:trHeight w:val="70"/>
        </w:trPr>
        <w:tc>
          <w:tcPr>
            <w:tcW w:w="13320" w:type="dxa"/>
            <w:shd w:val="clear" w:color="auto" w:fill="DBE5F1" w:themeFill="accent1" w:themeFillTint="33"/>
          </w:tcPr>
          <w:p w:rsidR="00A21FB6" w:rsidRPr="00BC7C4A" w:rsidRDefault="008B074D" w:rsidP="008B074D">
            <w:pPr>
              <w:numPr>
                <w:ilvl w:val="0"/>
                <w:numId w:val="30"/>
              </w:numPr>
              <w:snapToGrid w:val="0"/>
              <w:ind w:left="540"/>
              <w:rPr>
                <w:rFonts w:asciiTheme="minorHAnsi" w:eastAsia="Batang" w:hAnsiTheme="minorHAnsi"/>
                <w:sz w:val="22"/>
                <w:szCs w:val="22"/>
              </w:rPr>
            </w:pPr>
            <w:r w:rsidRPr="00BC7C4A">
              <w:rPr>
                <w:rFonts w:asciiTheme="minorHAnsi" w:eastAsia="Batang" w:hAnsiTheme="minorHAnsi"/>
                <w:b/>
                <w:bCs/>
                <w:i/>
                <w:iCs/>
                <w:sz w:val="22"/>
                <w:szCs w:val="22"/>
              </w:rPr>
              <w:t>Environmental and Social Standard 5 (ESS5): Land Acquisition, Restriction on Land Use and Involuntary Resettlement</w:t>
            </w:r>
          </w:p>
        </w:tc>
      </w:tr>
      <w:tr w:rsidR="002E23E9" w:rsidRPr="00BC7C4A" w:rsidTr="008B074D">
        <w:trPr>
          <w:trHeight w:val="350"/>
        </w:trPr>
        <w:tc>
          <w:tcPr>
            <w:tcW w:w="13320" w:type="dxa"/>
            <w:shd w:val="clear" w:color="auto" w:fill="auto"/>
          </w:tcPr>
          <w:p w:rsidR="00131DD3" w:rsidRPr="00BC7C4A" w:rsidRDefault="00131DD3" w:rsidP="00131DD3">
            <w:pPr>
              <w:pStyle w:val="ListParagraph"/>
              <w:numPr>
                <w:ilvl w:val="0"/>
                <w:numId w:val="42"/>
              </w:numPr>
              <w:suppressAutoHyphens w:val="0"/>
              <w:spacing w:after="160" w:line="256" w:lineRule="auto"/>
              <w:jc w:val="left"/>
              <w:rPr>
                <w:rFonts w:asciiTheme="minorHAnsi" w:hAnsiTheme="minorHAnsi"/>
                <w:kern w:val="0"/>
                <w:sz w:val="22"/>
                <w:szCs w:val="22"/>
                <w:lang w:eastAsia="en-US" w:bidi="ar-SA"/>
              </w:rPr>
            </w:pPr>
            <w:r w:rsidRPr="00BC7C4A">
              <w:rPr>
                <w:rFonts w:asciiTheme="minorHAnsi" w:hAnsiTheme="minorHAnsi"/>
                <w:b/>
                <w:sz w:val="22"/>
                <w:szCs w:val="22"/>
              </w:rPr>
              <w:t>Resettlement</w:t>
            </w:r>
            <w:r w:rsidRPr="00BC7C4A">
              <w:rPr>
                <w:rFonts w:asciiTheme="minorHAnsi" w:hAnsiTheme="minorHAnsi"/>
                <w:sz w:val="22"/>
                <w:szCs w:val="22"/>
              </w:rPr>
              <w:t xml:space="preserve">: the current policy undermines land and food security and the new approach is even riskier if we want to tackle poverty reduction as it seems that the resettlement policy is triggered only if linked to land acquisition. </w:t>
            </w:r>
          </w:p>
          <w:p w:rsidR="00131DD3" w:rsidRPr="00BC7C4A" w:rsidRDefault="00131DD3" w:rsidP="00131DD3">
            <w:pPr>
              <w:pStyle w:val="ListParagraph"/>
              <w:numPr>
                <w:ilvl w:val="0"/>
                <w:numId w:val="42"/>
              </w:numPr>
              <w:suppressAutoHyphens w:val="0"/>
              <w:spacing w:after="160" w:line="256" w:lineRule="auto"/>
              <w:jc w:val="left"/>
              <w:rPr>
                <w:rFonts w:asciiTheme="minorHAnsi" w:hAnsiTheme="minorHAnsi"/>
                <w:sz w:val="22"/>
                <w:szCs w:val="22"/>
              </w:rPr>
            </w:pPr>
            <w:r w:rsidRPr="00BC7C4A">
              <w:rPr>
                <w:rFonts w:asciiTheme="minorHAnsi" w:hAnsiTheme="minorHAnsi"/>
                <w:sz w:val="22"/>
                <w:szCs w:val="22"/>
              </w:rPr>
              <w:t xml:space="preserve">Oxfam is working with the Asian Development Bank on safeguards for food security that include land and other issues as comprehensive baseline assessment which is a </w:t>
            </w:r>
            <w:r w:rsidRPr="00BC7C4A">
              <w:rPr>
                <w:rFonts w:asciiTheme="minorHAnsi" w:hAnsiTheme="minorHAnsi"/>
                <w:b/>
                <w:sz w:val="22"/>
                <w:szCs w:val="22"/>
              </w:rPr>
              <w:t>sustainable development issue, not just a no-harm issue</w:t>
            </w:r>
            <w:r w:rsidRPr="00BC7C4A">
              <w:rPr>
                <w:rFonts w:asciiTheme="minorHAnsi" w:hAnsiTheme="minorHAnsi"/>
                <w:sz w:val="22"/>
                <w:szCs w:val="22"/>
              </w:rPr>
              <w:t>. The Bank could learn from this new approach.</w:t>
            </w:r>
          </w:p>
          <w:p w:rsidR="002E23E9" w:rsidRPr="00BC7C4A" w:rsidRDefault="002E23E9" w:rsidP="00131DD3">
            <w:pPr>
              <w:pStyle w:val="ListParagraph"/>
              <w:rPr>
                <w:rFonts w:asciiTheme="minorHAnsi" w:hAnsiTheme="minorHAnsi" w:cs="Times New Roman"/>
                <w:sz w:val="22"/>
                <w:szCs w:val="22"/>
              </w:rPr>
            </w:pPr>
          </w:p>
        </w:tc>
      </w:tr>
      <w:tr w:rsidR="002E23E9" w:rsidRPr="00BC7C4A" w:rsidTr="0028355B">
        <w:trPr>
          <w:trHeight w:val="395"/>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BC7C4A" w:rsidRDefault="008B074D" w:rsidP="0028355B">
            <w:pPr>
              <w:numPr>
                <w:ilvl w:val="0"/>
                <w:numId w:val="30"/>
              </w:numPr>
              <w:snapToGrid w:val="0"/>
              <w:ind w:left="432"/>
              <w:rPr>
                <w:rFonts w:asciiTheme="minorHAnsi" w:eastAsia="Batang" w:hAnsiTheme="minorHAnsi"/>
                <w:b/>
                <w:sz w:val="22"/>
                <w:szCs w:val="22"/>
              </w:rPr>
            </w:pPr>
            <w:r w:rsidRPr="00BC7C4A">
              <w:rPr>
                <w:rFonts w:asciiTheme="minorHAnsi" w:eastAsia="Batang" w:hAnsiTheme="minorHAnsi"/>
                <w:b/>
                <w:bCs/>
                <w:i/>
                <w:iCs/>
                <w:sz w:val="22"/>
                <w:szCs w:val="22"/>
              </w:rPr>
              <w:t xml:space="preserve">Environmental and Social Standard 6 (ESS6): </w:t>
            </w:r>
            <w:r w:rsidR="0028355B" w:rsidRPr="00BC7C4A">
              <w:rPr>
                <w:rFonts w:asciiTheme="minorHAnsi" w:eastAsia="Batang" w:hAnsiTheme="minorHAnsi"/>
                <w:b/>
                <w:bCs/>
                <w:i/>
                <w:iCs/>
                <w:sz w:val="22"/>
                <w:szCs w:val="22"/>
              </w:rPr>
              <w:t>Biodiversity Conservation and Sustainable Management of Living Natural Resources</w:t>
            </w:r>
          </w:p>
        </w:tc>
      </w:tr>
      <w:tr w:rsidR="002E23E9" w:rsidRPr="00BC7C4A" w:rsidTr="0028355B">
        <w:trPr>
          <w:trHeight w:val="53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4E582F" w:rsidRPr="00BC7C4A" w:rsidRDefault="004E582F" w:rsidP="004E582F">
            <w:pPr>
              <w:pStyle w:val="ListParagraph"/>
              <w:numPr>
                <w:ilvl w:val="0"/>
                <w:numId w:val="42"/>
              </w:numPr>
              <w:suppressAutoHyphens w:val="0"/>
              <w:spacing w:after="160" w:line="256" w:lineRule="auto"/>
              <w:jc w:val="left"/>
              <w:rPr>
                <w:rFonts w:asciiTheme="minorHAnsi" w:hAnsiTheme="minorHAnsi"/>
                <w:kern w:val="0"/>
                <w:sz w:val="22"/>
                <w:szCs w:val="22"/>
                <w:lang w:eastAsia="en-US" w:bidi="ar-SA"/>
              </w:rPr>
            </w:pPr>
            <w:r w:rsidRPr="00BC7C4A">
              <w:rPr>
                <w:rFonts w:asciiTheme="minorHAnsi" w:hAnsiTheme="minorHAnsi"/>
                <w:sz w:val="22"/>
                <w:szCs w:val="22"/>
              </w:rPr>
              <w:t xml:space="preserve">The policy misses the opportunity to </w:t>
            </w:r>
            <w:r w:rsidRPr="00BC7C4A">
              <w:rPr>
                <w:rFonts w:asciiTheme="minorHAnsi" w:hAnsiTheme="minorHAnsi"/>
                <w:b/>
                <w:sz w:val="22"/>
                <w:szCs w:val="22"/>
              </w:rPr>
              <w:t>broaden the coverage of ecosystems</w:t>
            </w:r>
            <w:r w:rsidRPr="00BC7C4A">
              <w:rPr>
                <w:rFonts w:asciiTheme="minorHAnsi" w:hAnsiTheme="minorHAnsi"/>
                <w:sz w:val="22"/>
                <w:szCs w:val="22"/>
              </w:rPr>
              <w:t xml:space="preserve"> and the value of providing clean air, clean water, etc beyond just old-school mitigation. </w:t>
            </w:r>
          </w:p>
          <w:p w:rsidR="002E23E9" w:rsidRPr="00BC7C4A" w:rsidRDefault="002E23E9" w:rsidP="002C4F3D">
            <w:pPr>
              <w:pStyle w:val="ListParagraph"/>
              <w:rPr>
                <w:rFonts w:asciiTheme="minorHAnsi" w:hAnsiTheme="minorHAnsi" w:cs="Times New Roman"/>
                <w:sz w:val="22"/>
                <w:szCs w:val="22"/>
              </w:rPr>
            </w:pPr>
          </w:p>
        </w:tc>
      </w:tr>
      <w:tr w:rsidR="002E23E9" w:rsidRPr="00BC7C4A" w:rsidTr="0028355B">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E23E9" w:rsidRPr="00BC7C4A" w:rsidRDefault="0028355B" w:rsidP="00150B6C">
            <w:pPr>
              <w:numPr>
                <w:ilvl w:val="0"/>
                <w:numId w:val="30"/>
              </w:numPr>
              <w:snapToGrid w:val="0"/>
              <w:ind w:left="432"/>
              <w:rPr>
                <w:rFonts w:asciiTheme="minorHAnsi" w:hAnsiTheme="minorHAnsi"/>
                <w:sz w:val="22"/>
                <w:szCs w:val="22"/>
              </w:rPr>
            </w:pPr>
            <w:r w:rsidRPr="00BC7C4A">
              <w:rPr>
                <w:rFonts w:asciiTheme="minorHAnsi" w:eastAsia="Batang" w:hAnsiTheme="minorHAnsi"/>
                <w:b/>
                <w:bCs/>
                <w:i/>
                <w:iCs/>
                <w:sz w:val="22"/>
                <w:szCs w:val="22"/>
              </w:rPr>
              <w:t xml:space="preserve">Environmental and Social Standard 7 (ESS7): Indigenous Peoples </w:t>
            </w:r>
          </w:p>
        </w:tc>
      </w:tr>
      <w:tr w:rsidR="002E23E9" w:rsidRPr="00BC7C4A" w:rsidTr="0028355B">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E23E9" w:rsidRPr="00BC7C4A" w:rsidRDefault="002C4F3D" w:rsidP="002C4F3D">
            <w:pPr>
              <w:pStyle w:val="ListParagraph"/>
              <w:rPr>
                <w:rFonts w:asciiTheme="minorHAnsi" w:hAnsiTheme="minorHAnsi" w:cs="Times New Roman"/>
                <w:i/>
                <w:sz w:val="22"/>
                <w:szCs w:val="22"/>
              </w:rPr>
            </w:pPr>
            <w:r w:rsidRPr="00BC7C4A">
              <w:rPr>
                <w:rFonts w:asciiTheme="minorHAnsi" w:hAnsiTheme="minorHAnsi" w:cs="Times New Roman"/>
                <w:i/>
                <w:sz w:val="22"/>
                <w:szCs w:val="22"/>
              </w:rPr>
              <w:t>No</w:t>
            </w:r>
            <w:r w:rsidR="007A0EC0" w:rsidRPr="00BC7C4A">
              <w:rPr>
                <w:rFonts w:asciiTheme="minorHAnsi" w:hAnsiTheme="minorHAnsi" w:cs="Times New Roman"/>
                <w:i/>
                <w:sz w:val="22"/>
                <w:szCs w:val="22"/>
              </w:rPr>
              <w:t xml:space="preserve"> specific</w:t>
            </w:r>
            <w:r w:rsidRPr="00BC7C4A">
              <w:rPr>
                <w:rFonts w:asciiTheme="minorHAnsi" w:hAnsiTheme="minorHAnsi" w:cs="Times New Roman"/>
                <w:i/>
                <w:sz w:val="22"/>
                <w:szCs w:val="22"/>
              </w:rPr>
              <w:t xml:space="preserve"> comments</w:t>
            </w:r>
          </w:p>
        </w:tc>
      </w:tr>
      <w:tr w:rsidR="0028355B" w:rsidRPr="00BC7C4A" w:rsidTr="00337C5A">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8355B" w:rsidRPr="00BC7C4A" w:rsidRDefault="0028355B" w:rsidP="0028355B">
            <w:pPr>
              <w:numPr>
                <w:ilvl w:val="0"/>
                <w:numId w:val="30"/>
              </w:numPr>
              <w:snapToGrid w:val="0"/>
              <w:ind w:left="432"/>
              <w:rPr>
                <w:rFonts w:asciiTheme="minorHAnsi" w:hAnsiTheme="minorHAnsi"/>
                <w:sz w:val="22"/>
                <w:szCs w:val="22"/>
              </w:rPr>
            </w:pPr>
            <w:r w:rsidRPr="00BC7C4A">
              <w:rPr>
                <w:rFonts w:asciiTheme="minorHAnsi" w:eastAsia="Batang" w:hAnsiTheme="minorHAnsi"/>
                <w:b/>
                <w:bCs/>
                <w:i/>
                <w:iCs/>
                <w:sz w:val="22"/>
                <w:szCs w:val="22"/>
              </w:rPr>
              <w:t xml:space="preserve">Environmental and Social Standard 8 (ESS8): Cultural Heritage </w:t>
            </w:r>
          </w:p>
        </w:tc>
      </w:tr>
      <w:tr w:rsidR="0028355B" w:rsidRPr="00BC7C4A" w:rsidTr="0028355B">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8355B" w:rsidRPr="00BC7C4A" w:rsidRDefault="002C4F3D" w:rsidP="002C4F3D">
            <w:pPr>
              <w:pStyle w:val="ListParagraph"/>
              <w:rPr>
                <w:rFonts w:asciiTheme="minorHAnsi" w:hAnsiTheme="minorHAnsi" w:cs="Times New Roman"/>
                <w:i/>
                <w:sz w:val="22"/>
                <w:szCs w:val="22"/>
              </w:rPr>
            </w:pPr>
            <w:r w:rsidRPr="00BC7C4A">
              <w:rPr>
                <w:rFonts w:asciiTheme="minorHAnsi" w:hAnsiTheme="minorHAnsi" w:cs="Times New Roman"/>
                <w:i/>
                <w:sz w:val="22"/>
                <w:szCs w:val="22"/>
              </w:rPr>
              <w:t>No</w:t>
            </w:r>
            <w:r w:rsidR="007A0EC0" w:rsidRPr="00BC7C4A">
              <w:rPr>
                <w:rFonts w:asciiTheme="minorHAnsi" w:hAnsiTheme="minorHAnsi" w:cs="Times New Roman"/>
                <w:i/>
                <w:sz w:val="22"/>
                <w:szCs w:val="22"/>
              </w:rPr>
              <w:t xml:space="preserve"> specific</w:t>
            </w:r>
            <w:r w:rsidRPr="00BC7C4A">
              <w:rPr>
                <w:rFonts w:asciiTheme="minorHAnsi" w:hAnsiTheme="minorHAnsi" w:cs="Times New Roman"/>
                <w:i/>
                <w:sz w:val="22"/>
                <w:szCs w:val="22"/>
              </w:rPr>
              <w:t xml:space="preserve"> comments</w:t>
            </w:r>
          </w:p>
        </w:tc>
      </w:tr>
      <w:tr w:rsidR="0028355B" w:rsidRPr="00BC7C4A" w:rsidTr="00337C5A">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8355B" w:rsidRPr="00BC7C4A" w:rsidRDefault="0028355B" w:rsidP="0028355B">
            <w:pPr>
              <w:numPr>
                <w:ilvl w:val="0"/>
                <w:numId w:val="30"/>
              </w:numPr>
              <w:snapToGrid w:val="0"/>
              <w:ind w:left="432"/>
              <w:rPr>
                <w:rFonts w:asciiTheme="minorHAnsi" w:hAnsiTheme="minorHAnsi"/>
                <w:sz w:val="22"/>
                <w:szCs w:val="22"/>
              </w:rPr>
            </w:pPr>
            <w:r w:rsidRPr="00BC7C4A">
              <w:rPr>
                <w:rFonts w:asciiTheme="minorHAnsi" w:eastAsia="Batang" w:hAnsiTheme="minorHAnsi"/>
                <w:b/>
                <w:bCs/>
                <w:i/>
                <w:iCs/>
                <w:sz w:val="22"/>
                <w:szCs w:val="22"/>
              </w:rPr>
              <w:t xml:space="preserve">Environmental and Social Standard 9 (ESS9): Financial Intermediaries </w:t>
            </w:r>
          </w:p>
        </w:tc>
      </w:tr>
      <w:tr w:rsidR="0028355B" w:rsidRPr="00BC7C4A" w:rsidTr="0028355B">
        <w:trPr>
          <w:trHeight w:val="53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8355B" w:rsidRPr="00BC7C4A" w:rsidRDefault="002C4F3D" w:rsidP="00BC7C4A">
            <w:pPr>
              <w:pStyle w:val="ListParagraph"/>
              <w:numPr>
                <w:ilvl w:val="0"/>
                <w:numId w:val="42"/>
              </w:numPr>
              <w:suppressAutoHyphens w:val="0"/>
              <w:spacing w:after="160" w:line="256" w:lineRule="auto"/>
              <w:jc w:val="left"/>
              <w:rPr>
                <w:rFonts w:asciiTheme="minorHAnsi" w:hAnsiTheme="minorHAnsi"/>
                <w:kern w:val="0"/>
                <w:sz w:val="22"/>
                <w:szCs w:val="22"/>
                <w:lang w:eastAsia="en-US" w:bidi="ar-SA"/>
              </w:rPr>
            </w:pPr>
            <w:r w:rsidRPr="00BC7C4A">
              <w:rPr>
                <w:rFonts w:asciiTheme="minorHAnsi" w:hAnsiTheme="minorHAnsi"/>
                <w:sz w:val="22"/>
                <w:szCs w:val="22"/>
              </w:rPr>
              <w:t xml:space="preserve">An </w:t>
            </w:r>
            <w:r w:rsidRPr="00BC7C4A">
              <w:rPr>
                <w:rFonts w:asciiTheme="minorHAnsi" w:hAnsiTheme="minorHAnsi"/>
                <w:b/>
                <w:sz w:val="22"/>
                <w:szCs w:val="22"/>
              </w:rPr>
              <w:t>exclusion list</w:t>
            </w:r>
            <w:r w:rsidRPr="00BC7C4A">
              <w:rPr>
                <w:rFonts w:asciiTheme="minorHAnsi" w:hAnsiTheme="minorHAnsi"/>
                <w:sz w:val="22"/>
                <w:szCs w:val="22"/>
              </w:rPr>
              <w:t xml:space="preserve"> of type of projects that would not have access to financial intermediaries should be made available. </w:t>
            </w:r>
          </w:p>
        </w:tc>
      </w:tr>
      <w:tr w:rsidR="0028355B" w:rsidRPr="00BC7C4A" w:rsidTr="00337C5A">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28355B" w:rsidRPr="00BC7C4A" w:rsidRDefault="0028355B" w:rsidP="0028355B">
            <w:pPr>
              <w:numPr>
                <w:ilvl w:val="0"/>
                <w:numId w:val="30"/>
              </w:numPr>
              <w:snapToGrid w:val="0"/>
              <w:ind w:left="432"/>
              <w:rPr>
                <w:rFonts w:asciiTheme="minorHAnsi" w:hAnsiTheme="minorHAnsi"/>
                <w:sz w:val="22"/>
                <w:szCs w:val="22"/>
              </w:rPr>
            </w:pPr>
            <w:r w:rsidRPr="00BC7C4A">
              <w:rPr>
                <w:rFonts w:asciiTheme="minorHAnsi" w:eastAsia="Batang" w:hAnsiTheme="minorHAnsi"/>
                <w:b/>
                <w:bCs/>
                <w:i/>
                <w:iCs/>
                <w:sz w:val="22"/>
                <w:szCs w:val="22"/>
              </w:rPr>
              <w:t xml:space="preserve">Environmental and Social Standard 10 (ESS10): Information Disclosure and Stakeholder Engagement </w:t>
            </w:r>
          </w:p>
        </w:tc>
      </w:tr>
      <w:tr w:rsidR="0028355B" w:rsidRPr="00BC7C4A" w:rsidTr="0028355B">
        <w:trPr>
          <w:trHeight w:val="440"/>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rsidR="0028355B" w:rsidRPr="00BC7C4A" w:rsidRDefault="00BC7C4A" w:rsidP="00BC7C4A">
            <w:pPr>
              <w:pStyle w:val="ListParagraph"/>
              <w:rPr>
                <w:rFonts w:asciiTheme="minorHAnsi" w:hAnsiTheme="minorHAnsi" w:cs="Times New Roman"/>
                <w:i/>
                <w:sz w:val="22"/>
                <w:szCs w:val="22"/>
              </w:rPr>
            </w:pPr>
            <w:r w:rsidRPr="00BC7C4A">
              <w:rPr>
                <w:rFonts w:asciiTheme="minorHAnsi" w:hAnsiTheme="minorHAnsi" w:cs="Times New Roman"/>
                <w:i/>
                <w:sz w:val="22"/>
                <w:szCs w:val="22"/>
              </w:rPr>
              <w:t>No specific comments</w:t>
            </w:r>
          </w:p>
        </w:tc>
      </w:tr>
    </w:tbl>
    <w:p w:rsidR="0041268A" w:rsidRPr="00BC7C4A" w:rsidRDefault="0041268A" w:rsidP="00AC78CB">
      <w:pPr>
        <w:rPr>
          <w:rFonts w:asciiTheme="minorHAnsi" w:hAnsiTheme="minorHAnsi"/>
          <w:sz w:val="22"/>
          <w:szCs w:val="22"/>
        </w:rPr>
      </w:pPr>
    </w:p>
    <w:sectPr w:rsidR="0041268A" w:rsidRPr="00BC7C4A" w:rsidSect="00150B6C">
      <w:footerReference w:type="even" r:id="rId12"/>
      <w:footerReference w:type="default" r:id="rId13"/>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BE" w:rsidRDefault="00EC2BBE">
      <w:pPr>
        <w:spacing w:after="0" w:line="240" w:lineRule="auto"/>
      </w:pPr>
      <w:r>
        <w:separator/>
      </w:r>
    </w:p>
  </w:endnote>
  <w:endnote w:type="continuationSeparator" w:id="0">
    <w:p w:rsidR="00EC2BBE" w:rsidRDefault="00EC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4F1107">
          <w:rPr>
            <w:rFonts w:asciiTheme="minorHAnsi" w:hAnsiTheme="minorHAnsi"/>
            <w:noProof/>
            <w:sz w:val="20"/>
            <w:szCs w:val="20"/>
          </w:rPr>
          <w:t>1</w:t>
        </w:r>
        <w:r w:rsidRPr="00150B6C">
          <w:rPr>
            <w:rFonts w:asciiTheme="minorHAnsi" w:hAnsiTheme="minorHAnsi"/>
            <w:noProof/>
            <w:sz w:val="20"/>
            <w:szCs w:val="20"/>
          </w:rPr>
          <w:fldChar w:fldCharType="end"/>
        </w:r>
      </w:p>
    </w:sdtContent>
  </w:sdt>
  <w:p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BE" w:rsidRDefault="00EC2BBE">
      <w:pPr>
        <w:spacing w:after="0" w:line="240" w:lineRule="auto"/>
      </w:pPr>
      <w:r>
        <w:separator/>
      </w:r>
    </w:p>
  </w:footnote>
  <w:footnote w:type="continuationSeparator" w:id="0">
    <w:p w:rsidR="00EC2BBE" w:rsidRDefault="00EC2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90FDE"/>
    <w:multiLevelType w:val="hybridMultilevel"/>
    <w:tmpl w:val="DC6A6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132353"/>
    <w:multiLevelType w:val="hybridMultilevel"/>
    <w:tmpl w:val="AF2C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4">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5">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18">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77F5A"/>
    <w:multiLevelType w:val="hybridMultilevel"/>
    <w:tmpl w:val="EA04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307BB"/>
    <w:multiLevelType w:val="hybridMultilevel"/>
    <w:tmpl w:val="7CBE2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nsid w:val="49603C17"/>
    <w:multiLevelType w:val="hybridMultilevel"/>
    <w:tmpl w:val="005C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5741C"/>
    <w:multiLevelType w:val="hybridMultilevel"/>
    <w:tmpl w:val="2A96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A5670B"/>
    <w:multiLevelType w:val="hybridMultilevel"/>
    <w:tmpl w:val="BD44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8">
    <w:nsid w:val="4D8B054E"/>
    <w:multiLevelType w:val="hybridMultilevel"/>
    <w:tmpl w:val="5FD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30">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3">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4">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5">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6">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F615E0"/>
    <w:multiLevelType w:val="hybridMultilevel"/>
    <w:tmpl w:val="03AC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2">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nsid w:val="77D6206A"/>
    <w:multiLevelType w:val="hybridMultilevel"/>
    <w:tmpl w:val="6388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8">
    <w:nsid w:val="7C116600"/>
    <w:multiLevelType w:val="hybridMultilevel"/>
    <w:tmpl w:val="00CAB6F6"/>
    <w:lvl w:ilvl="0" w:tplc="10A84C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6"/>
  </w:num>
  <w:num w:numId="2">
    <w:abstractNumId w:val="31"/>
  </w:num>
  <w:num w:numId="3">
    <w:abstractNumId w:val="45"/>
  </w:num>
  <w:num w:numId="4">
    <w:abstractNumId w:val="32"/>
  </w:num>
  <w:num w:numId="5">
    <w:abstractNumId w:val="23"/>
  </w:num>
  <w:num w:numId="6">
    <w:abstractNumId w:val="42"/>
  </w:num>
  <w:num w:numId="7">
    <w:abstractNumId w:val="47"/>
  </w:num>
  <w:num w:numId="8">
    <w:abstractNumId w:val="49"/>
  </w:num>
  <w:num w:numId="9">
    <w:abstractNumId w:val="44"/>
  </w:num>
  <w:num w:numId="10">
    <w:abstractNumId w:val="14"/>
  </w:num>
  <w:num w:numId="11">
    <w:abstractNumId w:val="5"/>
  </w:num>
  <w:num w:numId="12">
    <w:abstractNumId w:val="12"/>
  </w:num>
  <w:num w:numId="13">
    <w:abstractNumId w:val="10"/>
  </w:num>
  <w:num w:numId="14">
    <w:abstractNumId w:val="7"/>
  </w:num>
  <w:num w:numId="15">
    <w:abstractNumId w:val="39"/>
  </w:num>
  <w:num w:numId="16">
    <w:abstractNumId w:val="6"/>
  </w:num>
  <w:num w:numId="17">
    <w:abstractNumId w:val="40"/>
  </w:num>
  <w:num w:numId="18">
    <w:abstractNumId w:val="11"/>
  </w:num>
  <w:num w:numId="19">
    <w:abstractNumId w:val="18"/>
  </w:num>
  <w:num w:numId="20">
    <w:abstractNumId w:val="9"/>
  </w:num>
  <w:num w:numId="21">
    <w:abstractNumId w:val="13"/>
  </w:num>
  <w:num w:numId="22">
    <w:abstractNumId w:val="21"/>
  </w:num>
  <w:num w:numId="23">
    <w:abstractNumId w:val="43"/>
  </w:num>
  <w:num w:numId="24">
    <w:abstractNumId w:val="37"/>
  </w:num>
  <w:num w:numId="25">
    <w:abstractNumId w:val="15"/>
  </w:num>
  <w:num w:numId="26">
    <w:abstractNumId w:val="30"/>
  </w:num>
  <w:num w:numId="27">
    <w:abstractNumId w:val="16"/>
  </w:num>
  <w:num w:numId="28">
    <w:abstractNumId w:val="20"/>
  </w:num>
  <w:num w:numId="29">
    <w:abstractNumId w:val="35"/>
  </w:num>
  <w:num w:numId="30">
    <w:abstractNumId w:val="48"/>
  </w:num>
  <w:num w:numId="31">
    <w:abstractNumId w:val="33"/>
  </w:num>
  <w:num w:numId="32">
    <w:abstractNumId w:val="41"/>
  </w:num>
  <w:num w:numId="33">
    <w:abstractNumId w:val="27"/>
  </w:num>
  <w:num w:numId="34">
    <w:abstractNumId w:val="34"/>
  </w:num>
  <w:num w:numId="35">
    <w:abstractNumId w:val="17"/>
  </w:num>
  <w:num w:numId="36">
    <w:abstractNumId w:val="4"/>
  </w:num>
  <w:num w:numId="37">
    <w:abstractNumId w:val="8"/>
  </w:num>
  <w:num w:numId="38">
    <w:abstractNumId w:val="29"/>
  </w:num>
  <w:num w:numId="39">
    <w:abstractNumId w:val="3"/>
  </w:num>
  <w:num w:numId="40">
    <w:abstractNumId w:val="28"/>
  </w:num>
  <w:num w:numId="41">
    <w:abstractNumId w:val="19"/>
  </w:num>
  <w:num w:numId="42">
    <w:abstractNumId w:val="2"/>
  </w:num>
  <w:num w:numId="43">
    <w:abstractNumId w:val="24"/>
  </w:num>
  <w:num w:numId="44">
    <w:abstractNumId w:val="1"/>
  </w:num>
  <w:num w:numId="45">
    <w:abstractNumId w:val="46"/>
  </w:num>
  <w:num w:numId="46">
    <w:abstractNumId w:val="38"/>
  </w:num>
  <w:num w:numId="47">
    <w:abstractNumId w:val="26"/>
  </w:num>
  <w:num w:numId="48">
    <w:abstractNumId w:val="22"/>
  </w:num>
  <w:num w:numId="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0EDD"/>
    <w:rsid w:val="00101AD6"/>
    <w:rsid w:val="00112D59"/>
    <w:rsid w:val="00116045"/>
    <w:rsid w:val="0011630F"/>
    <w:rsid w:val="0011666B"/>
    <w:rsid w:val="001223AF"/>
    <w:rsid w:val="0012738A"/>
    <w:rsid w:val="00131DD3"/>
    <w:rsid w:val="0013530E"/>
    <w:rsid w:val="0014341F"/>
    <w:rsid w:val="00143686"/>
    <w:rsid w:val="00144343"/>
    <w:rsid w:val="001453DE"/>
    <w:rsid w:val="001467E0"/>
    <w:rsid w:val="00150B6C"/>
    <w:rsid w:val="00155228"/>
    <w:rsid w:val="001603D5"/>
    <w:rsid w:val="00165F5F"/>
    <w:rsid w:val="00166F32"/>
    <w:rsid w:val="00170112"/>
    <w:rsid w:val="0017095E"/>
    <w:rsid w:val="001725D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48F1"/>
    <w:rsid w:val="002253F7"/>
    <w:rsid w:val="00225F7C"/>
    <w:rsid w:val="00227180"/>
    <w:rsid w:val="00232712"/>
    <w:rsid w:val="0023392A"/>
    <w:rsid w:val="00236099"/>
    <w:rsid w:val="0023669B"/>
    <w:rsid w:val="0024205F"/>
    <w:rsid w:val="00255132"/>
    <w:rsid w:val="002648AA"/>
    <w:rsid w:val="002679D9"/>
    <w:rsid w:val="00267DF3"/>
    <w:rsid w:val="002705F9"/>
    <w:rsid w:val="002717AA"/>
    <w:rsid w:val="0027488F"/>
    <w:rsid w:val="002801FD"/>
    <w:rsid w:val="0028355B"/>
    <w:rsid w:val="00283919"/>
    <w:rsid w:val="0028464A"/>
    <w:rsid w:val="00292E6E"/>
    <w:rsid w:val="00295A21"/>
    <w:rsid w:val="002A53A4"/>
    <w:rsid w:val="002A5680"/>
    <w:rsid w:val="002A673A"/>
    <w:rsid w:val="002A6B80"/>
    <w:rsid w:val="002A7906"/>
    <w:rsid w:val="002B67F6"/>
    <w:rsid w:val="002C02C4"/>
    <w:rsid w:val="002C093B"/>
    <w:rsid w:val="002C1A68"/>
    <w:rsid w:val="002C26F1"/>
    <w:rsid w:val="002C4F3D"/>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535"/>
    <w:rsid w:val="0031691C"/>
    <w:rsid w:val="00320395"/>
    <w:rsid w:val="00320F96"/>
    <w:rsid w:val="0032103C"/>
    <w:rsid w:val="00323CE8"/>
    <w:rsid w:val="00327933"/>
    <w:rsid w:val="00337BD2"/>
    <w:rsid w:val="003402AA"/>
    <w:rsid w:val="00344222"/>
    <w:rsid w:val="00345D6C"/>
    <w:rsid w:val="003507ED"/>
    <w:rsid w:val="0035083B"/>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4667"/>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3016"/>
    <w:rsid w:val="00416EDE"/>
    <w:rsid w:val="0041754B"/>
    <w:rsid w:val="00424C82"/>
    <w:rsid w:val="00426B51"/>
    <w:rsid w:val="00431D5F"/>
    <w:rsid w:val="00436033"/>
    <w:rsid w:val="00442D97"/>
    <w:rsid w:val="00443EEF"/>
    <w:rsid w:val="00446D15"/>
    <w:rsid w:val="00453CD4"/>
    <w:rsid w:val="00457F6D"/>
    <w:rsid w:val="0046032B"/>
    <w:rsid w:val="004604F5"/>
    <w:rsid w:val="00466CE3"/>
    <w:rsid w:val="0047040B"/>
    <w:rsid w:val="00473315"/>
    <w:rsid w:val="00474F9B"/>
    <w:rsid w:val="00481ACF"/>
    <w:rsid w:val="00491A35"/>
    <w:rsid w:val="00491D90"/>
    <w:rsid w:val="0049389F"/>
    <w:rsid w:val="00496A48"/>
    <w:rsid w:val="00497432"/>
    <w:rsid w:val="004A35AD"/>
    <w:rsid w:val="004B0E26"/>
    <w:rsid w:val="004B2020"/>
    <w:rsid w:val="004B2825"/>
    <w:rsid w:val="004B40A9"/>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582F"/>
    <w:rsid w:val="004E61B9"/>
    <w:rsid w:val="004F1107"/>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A6E57"/>
    <w:rsid w:val="005B1D7C"/>
    <w:rsid w:val="005B3FB2"/>
    <w:rsid w:val="005B5868"/>
    <w:rsid w:val="005C2BD1"/>
    <w:rsid w:val="005C3028"/>
    <w:rsid w:val="005C478A"/>
    <w:rsid w:val="005C4C50"/>
    <w:rsid w:val="005C56F1"/>
    <w:rsid w:val="005D07F3"/>
    <w:rsid w:val="005D0D38"/>
    <w:rsid w:val="005D0EF7"/>
    <w:rsid w:val="005D1984"/>
    <w:rsid w:val="005E6733"/>
    <w:rsid w:val="005F0290"/>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352F"/>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55FD"/>
    <w:rsid w:val="00745D52"/>
    <w:rsid w:val="00746FCA"/>
    <w:rsid w:val="00751874"/>
    <w:rsid w:val="0075193E"/>
    <w:rsid w:val="0075214B"/>
    <w:rsid w:val="007522AA"/>
    <w:rsid w:val="00752E65"/>
    <w:rsid w:val="0075679B"/>
    <w:rsid w:val="00762FF6"/>
    <w:rsid w:val="007641B0"/>
    <w:rsid w:val="00764C1E"/>
    <w:rsid w:val="0076500E"/>
    <w:rsid w:val="00765BAF"/>
    <w:rsid w:val="0077436C"/>
    <w:rsid w:val="00775647"/>
    <w:rsid w:val="00780523"/>
    <w:rsid w:val="00780E7C"/>
    <w:rsid w:val="007826D8"/>
    <w:rsid w:val="007A025C"/>
    <w:rsid w:val="007A0EC0"/>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56FC0"/>
    <w:rsid w:val="00873220"/>
    <w:rsid w:val="00874B92"/>
    <w:rsid w:val="00875B03"/>
    <w:rsid w:val="00877B95"/>
    <w:rsid w:val="00877C0B"/>
    <w:rsid w:val="00884B89"/>
    <w:rsid w:val="00885E07"/>
    <w:rsid w:val="008878D2"/>
    <w:rsid w:val="00895C16"/>
    <w:rsid w:val="008967BD"/>
    <w:rsid w:val="008A0F2A"/>
    <w:rsid w:val="008A533C"/>
    <w:rsid w:val="008B0531"/>
    <w:rsid w:val="008B074D"/>
    <w:rsid w:val="008B4648"/>
    <w:rsid w:val="008B5CEC"/>
    <w:rsid w:val="008B7264"/>
    <w:rsid w:val="008B7469"/>
    <w:rsid w:val="008C0E8A"/>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A4357"/>
    <w:rsid w:val="009B2BF4"/>
    <w:rsid w:val="009B36E2"/>
    <w:rsid w:val="009C0FFD"/>
    <w:rsid w:val="009C16BB"/>
    <w:rsid w:val="009C27DD"/>
    <w:rsid w:val="009C295B"/>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08D"/>
    <w:rsid w:val="00A21FB6"/>
    <w:rsid w:val="00A22FD0"/>
    <w:rsid w:val="00A23C5C"/>
    <w:rsid w:val="00A262BD"/>
    <w:rsid w:val="00A26E3B"/>
    <w:rsid w:val="00A271D6"/>
    <w:rsid w:val="00A34312"/>
    <w:rsid w:val="00A35D65"/>
    <w:rsid w:val="00A37BF2"/>
    <w:rsid w:val="00A44601"/>
    <w:rsid w:val="00A51AC5"/>
    <w:rsid w:val="00A51B0F"/>
    <w:rsid w:val="00A55954"/>
    <w:rsid w:val="00A6050C"/>
    <w:rsid w:val="00A7218B"/>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2FA3"/>
    <w:rsid w:val="00B35BCE"/>
    <w:rsid w:val="00B43AEA"/>
    <w:rsid w:val="00B43E13"/>
    <w:rsid w:val="00B44438"/>
    <w:rsid w:val="00B54895"/>
    <w:rsid w:val="00B60B7D"/>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C7C4A"/>
    <w:rsid w:val="00BD45B9"/>
    <w:rsid w:val="00BD7200"/>
    <w:rsid w:val="00BD7218"/>
    <w:rsid w:val="00BE2842"/>
    <w:rsid w:val="00BF18CB"/>
    <w:rsid w:val="00BF32BF"/>
    <w:rsid w:val="00BF360C"/>
    <w:rsid w:val="00BF3D87"/>
    <w:rsid w:val="00BF5F0F"/>
    <w:rsid w:val="00C050F3"/>
    <w:rsid w:val="00C10A79"/>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288"/>
    <w:rsid w:val="00C56F67"/>
    <w:rsid w:val="00C606C1"/>
    <w:rsid w:val="00C63B05"/>
    <w:rsid w:val="00C64909"/>
    <w:rsid w:val="00C70B3C"/>
    <w:rsid w:val="00C73230"/>
    <w:rsid w:val="00C7347F"/>
    <w:rsid w:val="00C737A1"/>
    <w:rsid w:val="00C737FB"/>
    <w:rsid w:val="00C7465C"/>
    <w:rsid w:val="00C84690"/>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1019"/>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2BBE"/>
    <w:rsid w:val="00EC4F18"/>
    <w:rsid w:val="00EC524C"/>
    <w:rsid w:val="00ED029A"/>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C6E39"/>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251D47DE-7D1A-4FEA-A5F2-542F268A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 w:type="paragraph" w:styleId="CommentText">
    <w:name w:val="annotation text"/>
    <w:basedOn w:val="Normal"/>
    <w:link w:val="CommentTextChar"/>
    <w:uiPriority w:val="99"/>
    <w:semiHidden/>
    <w:unhideWhenUsed/>
    <w:rsid w:val="00B60B7D"/>
    <w:pPr>
      <w:suppressAutoHyphens w:val="0"/>
      <w:spacing w:after="160" w:line="240" w:lineRule="auto"/>
      <w:jc w:val="left"/>
    </w:pPr>
    <w:rPr>
      <w:rFonts w:asciiTheme="minorHAnsi" w:eastAsiaTheme="minorHAnsi" w:hAnsiTheme="minorHAnsi" w:cstheme="minorBidi"/>
      <w:kern w:val="0"/>
      <w:sz w:val="20"/>
      <w:szCs w:val="20"/>
      <w:lang w:eastAsia="en-US" w:bidi="ar-SA"/>
    </w:rPr>
  </w:style>
  <w:style w:type="character" w:customStyle="1" w:styleId="CommentTextChar">
    <w:name w:val="Comment Text Char"/>
    <w:basedOn w:val="DefaultParagraphFont"/>
    <w:link w:val="CommentText"/>
    <w:uiPriority w:val="99"/>
    <w:semiHidden/>
    <w:rsid w:val="00B60B7D"/>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B60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559287188">
      <w:bodyDiv w:val="1"/>
      <w:marLeft w:val="0"/>
      <w:marRight w:val="0"/>
      <w:marTop w:val="0"/>
      <w:marBottom w:val="0"/>
      <w:divBdr>
        <w:top w:val="none" w:sz="0" w:space="0" w:color="auto"/>
        <w:left w:val="none" w:sz="0" w:space="0" w:color="auto"/>
        <w:bottom w:val="none" w:sz="0" w:space="0" w:color="auto"/>
        <w:right w:val="none" w:sz="0" w:space="0" w:color="auto"/>
      </w:divBdr>
    </w:div>
    <w:div w:id="568804056">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977144824">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12731221">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294211388">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3941301">
      <w:bodyDiv w:val="1"/>
      <w:marLeft w:val="0"/>
      <w:marRight w:val="0"/>
      <w:marTop w:val="0"/>
      <w:marBottom w:val="0"/>
      <w:divBdr>
        <w:top w:val="none" w:sz="0" w:space="0" w:color="auto"/>
        <w:left w:val="none" w:sz="0" w:space="0" w:color="auto"/>
        <w:bottom w:val="none" w:sz="0" w:space="0" w:color="auto"/>
        <w:right w:val="none" w:sz="0" w:space="0" w:color="auto"/>
      </w:divBdr>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486243758">
      <w:bodyDiv w:val="1"/>
      <w:marLeft w:val="0"/>
      <w:marRight w:val="0"/>
      <w:marTop w:val="0"/>
      <w:marBottom w:val="0"/>
      <w:divBdr>
        <w:top w:val="none" w:sz="0" w:space="0" w:color="auto"/>
        <w:left w:val="none" w:sz="0" w:space="0" w:color="auto"/>
        <w:bottom w:val="none" w:sz="0" w:space="0" w:color="auto"/>
        <w:right w:val="none" w:sz="0" w:space="0" w:color="auto"/>
      </w:divBdr>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2.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879DA9-6667-4F06-98D3-3B04C72F54CC}">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174F42-E71D-49D3-8AA2-613B2E67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1420</Words>
  <Characters>8098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2</cp:revision>
  <cp:lastPrinted>2014-09-10T16:30:00Z</cp:lastPrinted>
  <dcterms:created xsi:type="dcterms:W3CDTF">2015-03-24T14:01:00Z</dcterms:created>
  <dcterms:modified xsi:type="dcterms:W3CDTF">2015-03-24T14:01:00Z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