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89" w:rsidRPr="000E5547" w:rsidRDefault="000E5547">
      <w:pPr>
        <w:rPr>
          <w:rFonts w:ascii="Arial" w:hAnsi="Arial" w:cs="Arial"/>
          <w:b/>
          <w:sz w:val="24"/>
          <w:szCs w:val="24"/>
        </w:rPr>
      </w:pPr>
      <w:bookmarkStart w:id="0" w:name="_GoBack"/>
      <w:bookmarkEnd w:id="0"/>
      <w:r w:rsidRPr="000E5547">
        <w:rPr>
          <w:rFonts w:ascii="Arial" w:hAnsi="Arial" w:cs="Arial"/>
          <w:b/>
          <w:sz w:val="24"/>
          <w:szCs w:val="24"/>
        </w:rPr>
        <w:t>Recommendations for the Revision of World Bank’s Safeguard Policies</w:t>
      </w:r>
      <w:r w:rsidR="00521917">
        <w:rPr>
          <w:rFonts w:ascii="Arial" w:hAnsi="Arial" w:cs="Arial" w:hint="eastAsia"/>
          <w:b/>
          <w:sz w:val="24"/>
          <w:szCs w:val="24"/>
        </w:rPr>
        <w:t xml:space="preserve"> (June 11, 2014)</w:t>
      </w:r>
    </w:p>
    <w:p w:rsidR="000E5547" w:rsidRPr="000E5547" w:rsidRDefault="000E5547">
      <w:pPr>
        <w:rPr>
          <w:rFonts w:ascii="Arial" w:hAnsi="Arial" w:cs="Arial"/>
          <w:sz w:val="24"/>
          <w:szCs w:val="24"/>
        </w:rPr>
      </w:pPr>
      <w:r w:rsidRPr="000E5547">
        <w:rPr>
          <w:rFonts w:ascii="Arial" w:hAnsi="Arial" w:cs="Arial"/>
          <w:sz w:val="24"/>
          <w:szCs w:val="24"/>
        </w:rPr>
        <w:t>by Yuki Tanabe, Japan Center for a Sustainable Environment and Society (JACSES)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8739"/>
      </w:tblGrid>
      <w:tr w:rsidR="000E5547" w:rsidRPr="0004450A" w:rsidTr="0004450A">
        <w:tc>
          <w:tcPr>
            <w:tcW w:w="6111" w:type="dxa"/>
            <w:shd w:val="clear" w:color="auto" w:fill="auto"/>
          </w:tcPr>
          <w:p w:rsidR="000E5547" w:rsidRPr="0004450A" w:rsidRDefault="000E5547">
            <w:pPr>
              <w:rPr>
                <w:rFonts w:ascii="Arial" w:hAnsi="Arial" w:cs="Arial"/>
                <w:b/>
                <w:sz w:val="24"/>
                <w:szCs w:val="24"/>
              </w:rPr>
            </w:pPr>
            <w:r w:rsidRPr="0004450A">
              <w:rPr>
                <w:rFonts w:ascii="Arial" w:hAnsi="Arial" w:cs="Arial" w:hint="eastAsia"/>
                <w:b/>
                <w:sz w:val="24"/>
                <w:szCs w:val="24"/>
              </w:rPr>
              <w:t>Recommendations</w:t>
            </w:r>
          </w:p>
        </w:tc>
        <w:tc>
          <w:tcPr>
            <w:tcW w:w="8739" w:type="dxa"/>
            <w:shd w:val="clear" w:color="auto" w:fill="auto"/>
          </w:tcPr>
          <w:p w:rsidR="000E5547" w:rsidRPr="0004450A" w:rsidRDefault="000E5547">
            <w:pPr>
              <w:rPr>
                <w:rFonts w:ascii="Arial" w:hAnsi="Arial" w:cs="Arial"/>
                <w:b/>
                <w:sz w:val="24"/>
                <w:szCs w:val="24"/>
              </w:rPr>
            </w:pPr>
            <w:r w:rsidRPr="0004450A">
              <w:rPr>
                <w:rFonts w:ascii="Arial" w:hAnsi="Arial" w:cs="Arial" w:hint="eastAsia"/>
                <w:b/>
                <w:sz w:val="24"/>
                <w:szCs w:val="24"/>
              </w:rPr>
              <w:t>Rationales</w:t>
            </w:r>
          </w:p>
        </w:tc>
      </w:tr>
      <w:tr w:rsidR="000E5547" w:rsidRPr="0004450A" w:rsidTr="0004450A">
        <w:tc>
          <w:tcPr>
            <w:tcW w:w="6111" w:type="dxa"/>
            <w:shd w:val="clear" w:color="auto" w:fill="auto"/>
          </w:tcPr>
          <w:p w:rsidR="000E5547" w:rsidRPr="0004450A" w:rsidRDefault="000E5547" w:rsidP="0004450A">
            <w:pPr>
              <w:numPr>
                <w:ilvl w:val="0"/>
                <w:numId w:val="1"/>
              </w:numPr>
              <w:rPr>
                <w:rFonts w:ascii="Arial" w:hAnsi="Arial" w:cs="Arial"/>
                <w:sz w:val="24"/>
                <w:szCs w:val="24"/>
              </w:rPr>
            </w:pPr>
            <w:r w:rsidRPr="0004450A">
              <w:rPr>
                <w:rFonts w:ascii="Arial" w:hAnsi="Arial" w:cs="Arial"/>
                <w:sz w:val="24"/>
                <w:szCs w:val="24"/>
              </w:rPr>
              <w:t>“</w:t>
            </w:r>
            <w:r w:rsidRPr="0004450A">
              <w:rPr>
                <w:rFonts w:ascii="Arial" w:hAnsi="Arial" w:cs="Arial" w:hint="eastAsia"/>
                <w:sz w:val="24"/>
                <w:szCs w:val="24"/>
              </w:rPr>
              <w:t xml:space="preserve">More adaptive approach allows </w:t>
            </w:r>
            <w:r w:rsidRPr="0004450A">
              <w:rPr>
                <w:rFonts w:ascii="Arial" w:hAnsi="Arial" w:cs="Arial" w:hint="eastAsia"/>
                <w:sz w:val="24"/>
                <w:szCs w:val="24"/>
                <w:u w:val="single"/>
              </w:rPr>
              <w:t>compliance over reasonable time frame</w:t>
            </w:r>
            <w:r w:rsidRPr="0004450A">
              <w:rPr>
                <w:rFonts w:ascii="Arial" w:hAnsi="Arial" w:cs="Arial" w:hint="eastAsia"/>
                <w:sz w:val="24"/>
                <w:szCs w:val="24"/>
              </w:rPr>
              <w:t xml:space="preserve"> reflecting </w:t>
            </w:r>
            <w:r w:rsidR="004D622D" w:rsidRPr="0004450A">
              <w:rPr>
                <w:rFonts w:ascii="Arial" w:hAnsi="Arial" w:cs="Arial" w:hint="eastAsia"/>
                <w:sz w:val="24"/>
                <w:szCs w:val="24"/>
              </w:rPr>
              <w:t>b</w:t>
            </w:r>
            <w:r w:rsidRPr="0004450A">
              <w:rPr>
                <w:rFonts w:ascii="Arial" w:hAnsi="Arial" w:cs="Arial" w:hint="eastAsia"/>
                <w:sz w:val="24"/>
                <w:szCs w:val="24"/>
              </w:rPr>
              <w:t>orrower financial and technological constraints</w:t>
            </w:r>
            <w:r w:rsidRPr="0004450A">
              <w:rPr>
                <w:rFonts w:ascii="Arial" w:hAnsi="Arial" w:cs="Arial"/>
                <w:sz w:val="24"/>
                <w:szCs w:val="24"/>
              </w:rPr>
              <w:t>”</w:t>
            </w:r>
            <w:r w:rsidRPr="0004450A">
              <w:rPr>
                <w:rFonts w:ascii="Arial" w:hAnsi="Arial" w:cs="Arial" w:hint="eastAsia"/>
                <w:sz w:val="24"/>
                <w:szCs w:val="24"/>
              </w:rPr>
              <w:t xml:space="preserve"> should be avoided.</w:t>
            </w:r>
          </w:p>
        </w:tc>
        <w:tc>
          <w:tcPr>
            <w:tcW w:w="8739" w:type="dxa"/>
            <w:shd w:val="clear" w:color="auto" w:fill="auto"/>
          </w:tcPr>
          <w:p w:rsidR="00642082" w:rsidRPr="0004450A" w:rsidRDefault="00642082" w:rsidP="0004450A">
            <w:pPr>
              <w:numPr>
                <w:ilvl w:val="0"/>
                <w:numId w:val="2"/>
              </w:numPr>
              <w:rPr>
                <w:rFonts w:ascii="Arial" w:hAnsi="Arial" w:cs="Arial"/>
                <w:sz w:val="24"/>
                <w:szCs w:val="24"/>
              </w:rPr>
            </w:pPr>
            <w:r w:rsidRPr="0004450A">
              <w:rPr>
                <w:rFonts w:ascii="Arial" w:hAnsi="Arial" w:cs="Arial" w:hint="eastAsia"/>
                <w:sz w:val="24"/>
                <w:szCs w:val="24"/>
              </w:rPr>
              <w:t xml:space="preserve">World Bank proposed that </w:t>
            </w:r>
            <w:r w:rsidRPr="0004450A">
              <w:rPr>
                <w:rFonts w:ascii="Arial" w:hAnsi="Arial" w:cs="Arial"/>
                <w:sz w:val="24"/>
                <w:szCs w:val="24"/>
              </w:rPr>
              <w:t>“</w:t>
            </w:r>
            <w:r w:rsidRPr="0004450A">
              <w:rPr>
                <w:rFonts w:ascii="Arial" w:hAnsi="Arial" w:cs="Arial" w:hint="eastAsia"/>
                <w:sz w:val="24"/>
                <w:szCs w:val="24"/>
              </w:rPr>
              <w:t>More adaptive approach allows compliance over reasonable time frame reflecting borrower financial and technological constraints.</w:t>
            </w:r>
            <w:r w:rsidRPr="0004450A">
              <w:rPr>
                <w:rFonts w:ascii="Arial" w:hAnsi="Arial" w:cs="Arial"/>
                <w:sz w:val="24"/>
                <w:szCs w:val="24"/>
              </w:rPr>
              <w:t>”</w:t>
            </w:r>
            <w:r w:rsidRPr="0004450A">
              <w:rPr>
                <w:rStyle w:val="FootnoteReference"/>
                <w:rFonts w:ascii="Arial" w:hAnsi="Arial" w:cs="Arial"/>
                <w:sz w:val="24"/>
                <w:szCs w:val="24"/>
              </w:rPr>
              <w:footnoteReference w:id="2"/>
            </w:r>
          </w:p>
          <w:p w:rsidR="001E3482" w:rsidRDefault="00642082" w:rsidP="001E3482">
            <w:pPr>
              <w:numPr>
                <w:ilvl w:val="0"/>
                <w:numId w:val="2"/>
              </w:numPr>
              <w:rPr>
                <w:rFonts w:ascii="Arial" w:hAnsi="Arial" w:cs="Arial"/>
                <w:sz w:val="24"/>
                <w:szCs w:val="24"/>
              </w:rPr>
            </w:pPr>
            <w:r w:rsidRPr="0004450A">
              <w:rPr>
                <w:rFonts w:ascii="Arial" w:hAnsi="Arial" w:cs="Arial" w:hint="eastAsia"/>
                <w:sz w:val="24"/>
                <w:szCs w:val="24"/>
              </w:rPr>
              <w:t>However, p</w:t>
            </w:r>
            <w:r w:rsidR="004D622D" w:rsidRPr="0004450A">
              <w:rPr>
                <w:rFonts w:ascii="Arial" w:hAnsi="Arial" w:cs="Arial" w:hint="eastAsia"/>
                <w:sz w:val="24"/>
                <w:szCs w:val="24"/>
              </w:rPr>
              <w:t xml:space="preserve">ublic consultations and information disclosure should </w:t>
            </w:r>
            <w:r w:rsidR="0099084B" w:rsidRPr="0004450A">
              <w:rPr>
                <w:rFonts w:ascii="Arial" w:hAnsi="Arial" w:cs="Arial" w:hint="eastAsia"/>
                <w:sz w:val="24"/>
                <w:szCs w:val="24"/>
              </w:rPr>
              <w:t>be started</w:t>
            </w:r>
            <w:r w:rsidR="004D622D" w:rsidRPr="0004450A">
              <w:rPr>
                <w:rFonts w:ascii="Arial" w:hAnsi="Arial" w:cs="Arial" w:hint="eastAsia"/>
                <w:sz w:val="24"/>
                <w:szCs w:val="24"/>
              </w:rPr>
              <w:t xml:space="preserve"> in </w:t>
            </w:r>
            <w:r w:rsidR="00E350FD" w:rsidRPr="0004450A">
              <w:rPr>
                <w:rFonts w:ascii="Arial" w:hAnsi="Arial" w:cs="Arial" w:hint="eastAsia"/>
                <w:sz w:val="24"/>
                <w:szCs w:val="24"/>
              </w:rPr>
              <w:t xml:space="preserve">the </w:t>
            </w:r>
            <w:r w:rsidR="004D622D" w:rsidRPr="0004450A">
              <w:rPr>
                <w:rFonts w:ascii="Arial" w:hAnsi="Arial" w:cs="Arial" w:hint="eastAsia"/>
                <w:sz w:val="24"/>
                <w:szCs w:val="24"/>
              </w:rPr>
              <w:t xml:space="preserve">early stage of project preparation, and the key documents such as social and environmental </w:t>
            </w:r>
            <w:r w:rsidR="004D622D" w:rsidRPr="0004450A">
              <w:rPr>
                <w:rFonts w:ascii="Arial" w:hAnsi="Arial" w:cs="Arial"/>
                <w:sz w:val="24"/>
                <w:szCs w:val="24"/>
              </w:rPr>
              <w:t>assessment</w:t>
            </w:r>
            <w:r w:rsidR="004D622D" w:rsidRPr="0004450A">
              <w:rPr>
                <w:rFonts w:ascii="Arial" w:hAnsi="Arial" w:cs="Arial" w:hint="eastAsia"/>
                <w:sz w:val="24"/>
                <w:szCs w:val="24"/>
              </w:rPr>
              <w:t xml:space="preserve"> reports and action plans should be available to the public before project loan approval</w:t>
            </w:r>
            <w:r w:rsidR="00E350FD" w:rsidRPr="0004450A">
              <w:rPr>
                <w:rFonts w:ascii="Arial" w:hAnsi="Arial" w:cs="Arial" w:hint="eastAsia"/>
                <w:sz w:val="24"/>
                <w:szCs w:val="24"/>
              </w:rPr>
              <w:t xml:space="preserve"> by World Bank</w:t>
            </w:r>
            <w:r w:rsidR="004D622D" w:rsidRPr="0004450A">
              <w:rPr>
                <w:rFonts w:ascii="Arial" w:hAnsi="Arial" w:cs="Arial" w:hint="eastAsia"/>
                <w:sz w:val="24"/>
                <w:szCs w:val="24"/>
              </w:rPr>
              <w:t xml:space="preserve">, which is the key leverage point for </w:t>
            </w:r>
            <w:r w:rsidR="0099084B" w:rsidRPr="0004450A">
              <w:rPr>
                <w:rFonts w:ascii="Arial" w:hAnsi="Arial" w:cs="Arial" w:hint="eastAsia"/>
                <w:sz w:val="24"/>
                <w:szCs w:val="24"/>
              </w:rPr>
              <w:t xml:space="preserve">the </w:t>
            </w:r>
            <w:r w:rsidR="004D622D" w:rsidRPr="0004450A">
              <w:rPr>
                <w:rFonts w:ascii="Arial" w:hAnsi="Arial" w:cs="Arial" w:hint="eastAsia"/>
                <w:sz w:val="24"/>
                <w:szCs w:val="24"/>
              </w:rPr>
              <w:t>financial institution.</w:t>
            </w:r>
          </w:p>
          <w:p w:rsidR="001E3482" w:rsidRPr="00DB75F9" w:rsidRDefault="001E3482" w:rsidP="001E3482">
            <w:pPr>
              <w:numPr>
                <w:ilvl w:val="0"/>
                <w:numId w:val="2"/>
              </w:numPr>
              <w:rPr>
                <w:rFonts w:ascii="Arial" w:hAnsi="Arial" w:cs="Arial"/>
                <w:sz w:val="24"/>
                <w:szCs w:val="24"/>
              </w:rPr>
            </w:pPr>
            <w:r w:rsidRPr="00DB75F9">
              <w:rPr>
                <w:rFonts w:ascii="Arial" w:hAnsi="Arial" w:cs="Arial"/>
                <w:sz w:val="24"/>
                <w:szCs w:val="24"/>
              </w:rPr>
              <w:t xml:space="preserve">There is already flexibility in the safeguards that is not always used. The examples from SG team sound reasonable, but at IFC/EBRD there are no limitations on use of “reasonable time frame.” It has been used to approve projects where certain assessments are deferred, but also to allow projects to continually not meet safeguards implementation requirements. This was the case in Dinant in Honduras. </w:t>
            </w:r>
          </w:p>
          <w:p w:rsidR="004D622D" w:rsidRPr="0004450A" w:rsidRDefault="001E3482" w:rsidP="001E3482">
            <w:pPr>
              <w:numPr>
                <w:ilvl w:val="0"/>
                <w:numId w:val="2"/>
              </w:numPr>
              <w:rPr>
                <w:rFonts w:ascii="Arial" w:hAnsi="Arial" w:cs="Arial"/>
                <w:sz w:val="24"/>
                <w:szCs w:val="24"/>
              </w:rPr>
            </w:pPr>
            <w:r w:rsidRPr="00DB75F9">
              <w:rPr>
                <w:rFonts w:ascii="Arial" w:hAnsi="Arial" w:cs="Arial"/>
                <w:sz w:val="24"/>
                <w:szCs w:val="24"/>
              </w:rPr>
              <w:t>Permitting “achieving compliance over a reasonable time frame” without limitations could be abused or to justify projects that should not be approved. This could jeopardize environmental and social outcomes for communities and the environment, which is dilution.</w:t>
            </w:r>
          </w:p>
        </w:tc>
      </w:tr>
      <w:tr w:rsidR="000E5547" w:rsidRPr="0004450A" w:rsidTr="0004450A">
        <w:tc>
          <w:tcPr>
            <w:tcW w:w="6111" w:type="dxa"/>
            <w:shd w:val="clear" w:color="auto" w:fill="auto"/>
          </w:tcPr>
          <w:p w:rsidR="000E5547" w:rsidRPr="0004450A" w:rsidRDefault="00A83658" w:rsidP="0004450A">
            <w:pPr>
              <w:numPr>
                <w:ilvl w:val="0"/>
                <w:numId w:val="1"/>
              </w:numPr>
              <w:rPr>
                <w:rFonts w:ascii="Arial" w:hAnsi="Arial" w:cs="Arial"/>
                <w:sz w:val="24"/>
                <w:szCs w:val="24"/>
              </w:rPr>
            </w:pPr>
            <w:r w:rsidRPr="0004450A">
              <w:rPr>
                <w:rFonts w:ascii="Arial" w:hAnsi="Arial" w:cs="Arial" w:hint="eastAsia"/>
                <w:sz w:val="24"/>
                <w:szCs w:val="24"/>
              </w:rPr>
              <w:lastRenderedPageBreak/>
              <w:t>Requirements</w:t>
            </w:r>
            <w:r w:rsidR="00D10065" w:rsidRPr="0004450A">
              <w:rPr>
                <w:rFonts w:ascii="Arial" w:hAnsi="Arial" w:cs="Arial" w:hint="eastAsia"/>
                <w:sz w:val="24"/>
                <w:szCs w:val="24"/>
              </w:rPr>
              <w:t xml:space="preserve"> on </w:t>
            </w:r>
            <w:r w:rsidR="00D10065" w:rsidRPr="0004450A">
              <w:rPr>
                <w:rFonts w:ascii="Arial" w:hAnsi="Arial" w:cs="Arial" w:hint="eastAsia"/>
                <w:sz w:val="24"/>
                <w:szCs w:val="24"/>
                <w:u w:val="single"/>
              </w:rPr>
              <w:t xml:space="preserve">non-discrimination, special consideration and empowerment for vulnerable/disadvantaged </w:t>
            </w:r>
            <w:r w:rsidRPr="0004450A">
              <w:rPr>
                <w:rFonts w:ascii="Arial" w:hAnsi="Arial" w:cs="Arial" w:hint="eastAsia"/>
                <w:sz w:val="24"/>
                <w:szCs w:val="24"/>
                <w:u w:val="single"/>
              </w:rPr>
              <w:t>people</w:t>
            </w:r>
            <w:r w:rsidR="00D10065" w:rsidRPr="0004450A">
              <w:rPr>
                <w:rFonts w:ascii="Arial" w:hAnsi="Arial" w:cs="Arial" w:hint="eastAsia"/>
                <w:sz w:val="24"/>
                <w:szCs w:val="24"/>
                <w:u w:val="single"/>
              </w:rPr>
              <w:t>s</w:t>
            </w:r>
            <w:r w:rsidR="00D10065" w:rsidRPr="0004450A">
              <w:rPr>
                <w:rFonts w:ascii="Arial" w:hAnsi="Arial" w:cs="Arial" w:hint="eastAsia"/>
                <w:sz w:val="24"/>
                <w:szCs w:val="24"/>
              </w:rPr>
              <w:t xml:space="preserve"> such as LGBT, religious, racial or other minorities, gender elderly, children, disabled and infirm should be </w:t>
            </w:r>
            <w:r w:rsidRPr="0004450A">
              <w:rPr>
                <w:rFonts w:ascii="Arial" w:hAnsi="Arial" w:cs="Arial" w:hint="eastAsia"/>
                <w:sz w:val="24"/>
                <w:szCs w:val="24"/>
              </w:rPr>
              <w:t>adapted</w:t>
            </w:r>
            <w:r w:rsidR="00D36499" w:rsidRPr="0004450A">
              <w:rPr>
                <w:rFonts w:ascii="Arial" w:hAnsi="Arial" w:cs="Arial" w:hint="eastAsia"/>
                <w:sz w:val="24"/>
                <w:szCs w:val="24"/>
              </w:rPr>
              <w:t xml:space="preserve"> in country planning, policy lending and project levels</w:t>
            </w:r>
            <w:r w:rsidR="00D10065" w:rsidRPr="0004450A">
              <w:rPr>
                <w:rFonts w:ascii="Arial" w:hAnsi="Arial" w:cs="Arial" w:hint="eastAsia"/>
                <w:sz w:val="24"/>
                <w:szCs w:val="24"/>
              </w:rPr>
              <w:t>.</w:t>
            </w:r>
          </w:p>
        </w:tc>
        <w:tc>
          <w:tcPr>
            <w:tcW w:w="8739" w:type="dxa"/>
            <w:shd w:val="clear" w:color="auto" w:fill="auto"/>
          </w:tcPr>
          <w:p w:rsidR="00A84ACD" w:rsidRPr="0004450A" w:rsidRDefault="00A84ACD" w:rsidP="0004450A">
            <w:pPr>
              <w:numPr>
                <w:ilvl w:val="0"/>
                <w:numId w:val="3"/>
              </w:numPr>
              <w:rPr>
                <w:rFonts w:ascii="Arial" w:hAnsi="Arial" w:cs="Arial"/>
                <w:sz w:val="24"/>
                <w:szCs w:val="24"/>
              </w:rPr>
            </w:pPr>
            <w:r w:rsidRPr="0004450A">
              <w:rPr>
                <w:rFonts w:ascii="Arial" w:hAnsi="Arial" w:cs="Arial" w:hint="eastAsia"/>
                <w:sz w:val="24"/>
                <w:szCs w:val="24"/>
              </w:rPr>
              <w:t xml:space="preserve">World Bank proposed that </w:t>
            </w:r>
            <w:r w:rsidRPr="0004450A">
              <w:rPr>
                <w:rFonts w:ascii="Arial" w:hAnsi="Arial" w:cs="Arial"/>
                <w:sz w:val="24"/>
                <w:szCs w:val="24"/>
              </w:rPr>
              <w:t>“</w:t>
            </w:r>
            <w:r w:rsidRPr="0004450A">
              <w:rPr>
                <w:rFonts w:ascii="Arial" w:hAnsi="Arial" w:cs="Arial" w:hint="eastAsia"/>
                <w:sz w:val="24"/>
                <w:szCs w:val="24"/>
              </w:rPr>
              <w:t>provides requirement to identify and address discrimination and adverse impacts on vulnerable groups.</w:t>
            </w:r>
            <w:r w:rsidRPr="0004450A">
              <w:rPr>
                <w:rFonts w:ascii="Arial" w:hAnsi="Arial" w:cs="Arial"/>
                <w:sz w:val="24"/>
                <w:szCs w:val="24"/>
              </w:rPr>
              <w:t>”</w:t>
            </w:r>
          </w:p>
          <w:p w:rsidR="001E3482" w:rsidRPr="00DB75F9" w:rsidRDefault="001E3482" w:rsidP="001E3482">
            <w:pPr>
              <w:numPr>
                <w:ilvl w:val="0"/>
                <w:numId w:val="3"/>
              </w:numPr>
              <w:rPr>
                <w:rFonts w:ascii="Arial" w:hAnsi="Arial" w:cs="Arial"/>
                <w:sz w:val="24"/>
                <w:szCs w:val="24"/>
              </w:rPr>
            </w:pPr>
            <w:r w:rsidRPr="00DB75F9">
              <w:rPr>
                <w:rFonts w:ascii="Arial" w:hAnsi="Arial" w:cs="Arial"/>
                <w:sz w:val="24"/>
                <w:szCs w:val="24"/>
              </w:rPr>
              <w:t>N</w:t>
            </w:r>
            <w:r w:rsidR="00A83658" w:rsidRPr="00DB75F9">
              <w:rPr>
                <w:rFonts w:ascii="Arial" w:hAnsi="Arial" w:cs="Arial" w:hint="eastAsia"/>
                <w:sz w:val="24"/>
                <w:szCs w:val="24"/>
              </w:rPr>
              <w:t xml:space="preserve">on-discrimination </w:t>
            </w:r>
            <w:r w:rsidRPr="00DB75F9">
              <w:rPr>
                <w:rFonts w:ascii="Arial" w:hAnsi="Arial" w:cs="Arial"/>
                <w:sz w:val="24"/>
                <w:szCs w:val="24"/>
              </w:rPr>
              <w:t>language is important, but it is not sufficient to assess or address the specific impacts on marginalized communities who may be excluded and be negatively affected by projects.</w:t>
            </w:r>
          </w:p>
          <w:p w:rsidR="001E3482" w:rsidRPr="00DB75F9" w:rsidRDefault="001E3482" w:rsidP="001E3482">
            <w:pPr>
              <w:numPr>
                <w:ilvl w:val="0"/>
                <w:numId w:val="3"/>
              </w:numPr>
              <w:rPr>
                <w:rFonts w:ascii="Arial" w:hAnsi="Arial" w:cs="Arial"/>
                <w:sz w:val="24"/>
                <w:szCs w:val="24"/>
              </w:rPr>
            </w:pPr>
            <w:r w:rsidRPr="00DB75F9">
              <w:rPr>
                <w:rFonts w:ascii="Arial" w:hAnsi="Arial" w:cs="Arial"/>
                <w:sz w:val="24"/>
                <w:szCs w:val="24"/>
              </w:rPr>
              <w:t xml:space="preserve">Assessment of social impacts and risks of project needs to be stronger, but WB should avoid what other institutions have done (like AfDB) to simply list all potentially marginalized groups. This could lead to a “check box” exercise. </w:t>
            </w:r>
          </w:p>
          <w:p w:rsidR="00D36499" w:rsidRPr="0004450A" w:rsidRDefault="001E3482" w:rsidP="001E3482">
            <w:pPr>
              <w:numPr>
                <w:ilvl w:val="0"/>
                <w:numId w:val="3"/>
              </w:numPr>
              <w:rPr>
                <w:rFonts w:ascii="Arial" w:hAnsi="Arial" w:cs="Arial"/>
                <w:sz w:val="24"/>
                <w:szCs w:val="24"/>
              </w:rPr>
            </w:pPr>
            <w:r w:rsidRPr="00DB75F9">
              <w:rPr>
                <w:rFonts w:ascii="Arial" w:hAnsi="Arial" w:cs="Arial"/>
                <w:sz w:val="24"/>
                <w:szCs w:val="24"/>
              </w:rPr>
              <w:t xml:space="preserve">When there are potential risks, SGs should require </w:t>
            </w:r>
            <w:r w:rsidR="00E839DE" w:rsidRPr="00DB75F9">
              <w:rPr>
                <w:rFonts w:ascii="Arial" w:hAnsi="Arial" w:cs="Arial"/>
                <w:sz w:val="24"/>
                <w:szCs w:val="24"/>
              </w:rPr>
              <w:t>assessments of specific, differentiated impacts on different groups. For example, child impact assessments.</w:t>
            </w:r>
          </w:p>
        </w:tc>
      </w:tr>
      <w:tr w:rsidR="000E5547" w:rsidRPr="0004450A" w:rsidTr="0004450A">
        <w:tc>
          <w:tcPr>
            <w:tcW w:w="6111" w:type="dxa"/>
            <w:shd w:val="clear" w:color="auto" w:fill="auto"/>
          </w:tcPr>
          <w:p w:rsidR="000E5547" w:rsidRPr="0004450A" w:rsidRDefault="005734DF" w:rsidP="0004450A">
            <w:pPr>
              <w:numPr>
                <w:ilvl w:val="0"/>
                <w:numId w:val="1"/>
              </w:numPr>
              <w:rPr>
                <w:rFonts w:ascii="Arial" w:hAnsi="Arial" w:cs="Arial"/>
                <w:sz w:val="24"/>
                <w:szCs w:val="24"/>
              </w:rPr>
            </w:pPr>
            <w:r w:rsidRPr="0004450A">
              <w:rPr>
                <w:rFonts w:ascii="Arial" w:hAnsi="Arial" w:cs="Arial" w:hint="eastAsia"/>
                <w:sz w:val="24"/>
                <w:szCs w:val="24"/>
                <w:u w:val="single"/>
              </w:rPr>
              <w:t>Exclusion list</w:t>
            </w:r>
            <w:r w:rsidRPr="0004450A">
              <w:rPr>
                <w:rFonts w:ascii="Arial" w:hAnsi="Arial" w:cs="Arial" w:hint="eastAsia"/>
                <w:sz w:val="24"/>
                <w:szCs w:val="24"/>
              </w:rPr>
              <w:t xml:space="preserve"> should be made.</w:t>
            </w:r>
          </w:p>
        </w:tc>
        <w:tc>
          <w:tcPr>
            <w:tcW w:w="8739" w:type="dxa"/>
            <w:shd w:val="clear" w:color="auto" w:fill="auto"/>
          </w:tcPr>
          <w:p w:rsidR="00A84ACD" w:rsidRPr="0004450A" w:rsidRDefault="00A84ACD" w:rsidP="0004450A">
            <w:pPr>
              <w:numPr>
                <w:ilvl w:val="0"/>
                <w:numId w:val="4"/>
              </w:numPr>
              <w:rPr>
                <w:rFonts w:ascii="Arial" w:hAnsi="Arial" w:cs="Arial"/>
                <w:sz w:val="24"/>
                <w:szCs w:val="24"/>
              </w:rPr>
            </w:pPr>
            <w:r w:rsidRPr="0004450A">
              <w:rPr>
                <w:rFonts w:ascii="Arial" w:hAnsi="Arial" w:cs="Arial" w:hint="eastAsia"/>
                <w:sz w:val="24"/>
                <w:szCs w:val="24"/>
              </w:rPr>
              <w:t>World Bank proposed to establish a policy framework which consists on Environmental and Social Policy (ESP), Environmental and Social Standards (ESSs), Supporting Annexes and Guidelines/Best Practice Notes. It is unclear to make an exclusion list within the framework.</w:t>
            </w:r>
          </w:p>
          <w:p w:rsidR="000E5547" w:rsidRPr="0004450A" w:rsidRDefault="005734DF" w:rsidP="0004450A">
            <w:pPr>
              <w:numPr>
                <w:ilvl w:val="0"/>
                <w:numId w:val="4"/>
              </w:numPr>
              <w:rPr>
                <w:rFonts w:ascii="Arial" w:hAnsi="Arial" w:cs="Arial"/>
                <w:sz w:val="24"/>
                <w:szCs w:val="24"/>
              </w:rPr>
            </w:pPr>
            <w:r w:rsidRPr="0004450A">
              <w:rPr>
                <w:rFonts w:ascii="Arial" w:hAnsi="Arial" w:cs="Arial" w:hint="eastAsia"/>
                <w:sz w:val="24"/>
                <w:szCs w:val="24"/>
              </w:rPr>
              <w:t xml:space="preserve">Both IFC and ADB made exclusion lists, which describe types of prohibited projects. </w:t>
            </w:r>
          </w:p>
        </w:tc>
      </w:tr>
      <w:tr w:rsidR="000E5547" w:rsidRPr="0004450A" w:rsidTr="0004450A">
        <w:tc>
          <w:tcPr>
            <w:tcW w:w="6111" w:type="dxa"/>
            <w:shd w:val="clear" w:color="auto" w:fill="auto"/>
          </w:tcPr>
          <w:p w:rsidR="000E5547" w:rsidRPr="0004450A" w:rsidRDefault="005734DF" w:rsidP="0004450A">
            <w:pPr>
              <w:numPr>
                <w:ilvl w:val="0"/>
                <w:numId w:val="1"/>
              </w:numPr>
              <w:rPr>
                <w:rFonts w:ascii="Arial" w:hAnsi="Arial" w:cs="Arial"/>
                <w:sz w:val="24"/>
                <w:szCs w:val="24"/>
              </w:rPr>
            </w:pPr>
            <w:r w:rsidRPr="0004450A">
              <w:rPr>
                <w:rFonts w:ascii="Arial" w:hAnsi="Arial" w:cs="Arial" w:hint="eastAsia"/>
                <w:sz w:val="24"/>
                <w:szCs w:val="24"/>
                <w:u w:val="single"/>
              </w:rPr>
              <w:t>Development Policy Lendings (DPLs)</w:t>
            </w:r>
            <w:r w:rsidRPr="0004450A">
              <w:rPr>
                <w:rFonts w:ascii="Arial" w:hAnsi="Arial" w:cs="Arial" w:hint="eastAsia"/>
                <w:sz w:val="24"/>
                <w:szCs w:val="24"/>
              </w:rPr>
              <w:t xml:space="preserve"> should be covered by the </w:t>
            </w:r>
            <w:r w:rsidR="00A83658" w:rsidRPr="0004450A">
              <w:rPr>
                <w:rFonts w:ascii="Arial" w:hAnsi="Arial" w:cs="Arial" w:hint="eastAsia"/>
                <w:sz w:val="24"/>
                <w:szCs w:val="24"/>
              </w:rPr>
              <w:t xml:space="preserve">new </w:t>
            </w:r>
            <w:r w:rsidRPr="0004450A">
              <w:rPr>
                <w:rFonts w:ascii="Arial" w:hAnsi="Arial" w:cs="Arial" w:hint="eastAsia"/>
                <w:sz w:val="24"/>
                <w:szCs w:val="24"/>
              </w:rPr>
              <w:t>Safeguard Policies.</w:t>
            </w:r>
          </w:p>
        </w:tc>
        <w:tc>
          <w:tcPr>
            <w:tcW w:w="8739" w:type="dxa"/>
            <w:shd w:val="clear" w:color="auto" w:fill="auto"/>
          </w:tcPr>
          <w:p w:rsidR="000E5547" w:rsidRPr="0004450A" w:rsidRDefault="0098434D" w:rsidP="0004450A">
            <w:pPr>
              <w:numPr>
                <w:ilvl w:val="0"/>
                <w:numId w:val="4"/>
              </w:numPr>
              <w:rPr>
                <w:rFonts w:ascii="Arial" w:hAnsi="Arial" w:cs="Arial"/>
                <w:sz w:val="24"/>
                <w:szCs w:val="24"/>
              </w:rPr>
            </w:pPr>
            <w:r w:rsidRPr="0004450A">
              <w:rPr>
                <w:rFonts w:ascii="Arial" w:hAnsi="Arial" w:cs="Arial" w:hint="eastAsia"/>
                <w:sz w:val="24"/>
                <w:szCs w:val="24"/>
              </w:rPr>
              <w:t xml:space="preserve">Although </w:t>
            </w:r>
            <w:r w:rsidR="005734DF" w:rsidRPr="0004450A">
              <w:rPr>
                <w:rFonts w:ascii="Arial" w:hAnsi="Arial" w:cs="Arial" w:hint="eastAsia"/>
                <w:sz w:val="24"/>
                <w:szCs w:val="24"/>
              </w:rPr>
              <w:t xml:space="preserve">DPLs are 40% </w:t>
            </w:r>
            <w:r w:rsidRPr="0004450A">
              <w:rPr>
                <w:rFonts w:ascii="Arial" w:hAnsi="Arial" w:cs="Arial" w:hint="eastAsia"/>
                <w:sz w:val="24"/>
                <w:szCs w:val="24"/>
              </w:rPr>
              <w:t xml:space="preserve">portion </w:t>
            </w:r>
            <w:r w:rsidR="005734DF" w:rsidRPr="0004450A">
              <w:rPr>
                <w:rFonts w:ascii="Arial" w:hAnsi="Arial" w:cs="Arial" w:hint="eastAsia"/>
                <w:sz w:val="24"/>
                <w:szCs w:val="24"/>
              </w:rPr>
              <w:t xml:space="preserve">of World Bank </w:t>
            </w:r>
            <w:r w:rsidRPr="0004450A">
              <w:rPr>
                <w:rFonts w:ascii="Arial" w:hAnsi="Arial" w:cs="Arial"/>
                <w:sz w:val="24"/>
                <w:szCs w:val="24"/>
              </w:rPr>
              <w:t>portfolio</w:t>
            </w:r>
            <w:r w:rsidRPr="0004450A">
              <w:rPr>
                <w:rFonts w:ascii="Arial" w:hAnsi="Arial" w:cs="Arial" w:hint="eastAsia"/>
                <w:sz w:val="24"/>
                <w:szCs w:val="24"/>
              </w:rPr>
              <w:t xml:space="preserve">, there </w:t>
            </w:r>
            <w:r w:rsidR="00A83658" w:rsidRPr="0004450A">
              <w:rPr>
                <w:rFonts w:ascii="Arial" w:hAnsi="Arial" w:cs="Arial" w:hint="eastAsia"/>
                <w:sz w:val="24"/>
                <w:szCs w:val="24"/>
              </w:rPr>
              <w:t>are</w:t>
            </w:r>
            <w:r w:rsidRPr="0004450A">
              <w:rPr>
                <w:rFonts w:ascii="Arial" w:hAnsi="Arial" w:cs="Arial" w:hint="eastAsia"/>
                <w:sz w:val="24"/>
                <w:szCs w:val="24"/>
              </w:rPr>
              <w:t xml:space="preserve"> no comprehensive safeguard requirement</w:t>
            </w:r>
            <w:r w:rsidR="00A83658" w:rsidRPr="0004450A">
              <w:rPr>
                <w:rFonts w:ascii="Arial" w:hAnsi="Arial" w:cs="Arial" w:hint="eastAsia"/>
                <w:sz w:val="24"/>
                <w:szCs w:val="24"/>
              </w:rPr>
              <w:t>s</w:t>
            </w:r>
            <w:r w:rsidRPr="0004450A">
              <w:rPr>
                <w:rFonts w:ascii="Arial" w:hAnsi="Arial" w:cs="Arial" w:hint="eastAsia"/>
                <w:sz w:val="24"/>
                <w:szCs w:val="24"/>
              </w:rPr>
              <w:t>.</w:t>
            </w:r>
          </w:p>
          <w:p w:rsidR="0098434D" w:rsidRPr="0004450A" w:rsidRDefault="0098434D" w:rsidP="0004450A">
            <w:pPr>
              <w:numPr>
                <w:ilvl w:val="0"/>
                <w:numId w:val="4"/>
              </w:numPr>
              <w:rPr>
                <w:rFonts w:ascii="Arial" w:hAnsi="Arial" w:cs="Arial"/>
                <w:sz w:val="24"/>
                <w:szCs w:val="24"/>
              </w:rPr>
            </w:pPr>
            <w:r w:rsidRPr="0004450A">
              <w:rPr>
                <w:rFonts w:ascii="Arial" w:hAnsi="Arial" w:cs="Arial" w:hint="eastAsia"/>
                <w:sz w:val="24"/>
                <w:szCs w:val="24"/>
              </w:rPr>
              <w:t xml:space="preserve">Serious impacts have been </w:t>
            </w:r>
            <w:r w:rsidRPr="0004450A">
              <w:rPr>
                <w:rFonts w:ascii="Arial" w:hAnsi="Arial" w:cs="Arial"/>
                <w:sz w:val="24"/>
                <w:szCs w:val="24"/>
              </w:rPr>
              <w:t>occurred</w:t>
            </w:r>
            <w:r w:rsidRPr="0004450A">
              <w:rPr>
                <w:rFonts w:ascii="Arial" w:hAnsi="Arial" w:cs="Arial" w:hint="eastAsia"/>
                <w:sz w:val="24"/>
                <w:szCs w:val="24"/>
              </w:rPr>
              <w:t xml:space="preserve"> in </w:t>
            </w:r>
            <w:r w:rsidR="00A83658" w:rsidRPr="0004450A">
              <w:rPr>
                <w:rFonts w:ascii="Arial" w:hAnsi="Arial" w:cs="Arial" w:hint="eastAsia"/>
                <w:sz w:val="24"/>
                <w:szCs w:val="24"/>
              </w:rPr>
              <w:t xml:space="preserve">the past </w:t>
            </w:r>
            <w:r w:rsidRPr="0004450A">
              <w:rPr>
                <w:rFonts w:ascii="Arial" w:hAnsi="Arial" w:cs="Arial" w:hint="eastAsia"/>
                <w:sz w:val="24"/>
                <w:szCs w:val="24"/>
              </w:rPr>
              <w:t xml:space="preserve">DPLs such as </w:t>
            </w:r>
            <w:r w:rsidRPr="0004450A">
              <w:rPr>
                <w:rFonts w:ascii="Arial" w:hAnsi="Arial" w:cs="Arial"/>
                <w:sz w:val="24"/>
                <w:szCs w:val="24"/>
              </w:rPr>
              <w:t>Democratic Republic of Congo Transitional Support for Economic Recovery, Forest and Environment Development Program (FEDP) to Cameroon and Ghana Natural Resource and Environmental Governance DPO</w:t>
            </w:r>
            <w:r w:rsidRPr="0004450A">
              <w:rPr>
                <w:rFonts w:ascii="Arial" w:hAnsi="Arial" w:cs="Arial" w:hint="eastAsia"/>
                <w:sz w:val="24"/>
                <w:szCs w:val="24"/>
              </w:rPr>
              <w:t>.</w:t>
            </w:r>
          </w:p>
          <w:p w:rsidR="0098434D" w:rsidRPr="0004450A" w:rsidRDefault="0098434D" w:rsidP="0004450A">
            <w:pPr>
              <w:numPr>
                <w:ilvl w:val="0"/>
                <w:numId w:val="4"/>
              </w:numPr>
              <w:rPr>
                <w:rFonts w:ascii="Arial" w:hAnsi="Arial" w:cs="Arial"/>
                <w:sz w:val="24"/>
                <w:szCs w:val="24"/>
              </w:rPr>
            </w:pPr>
            <w:r w:rsidRPr="0004450A">
              <w:rPr>
                <w:rFonts w:ascii="Arial" w:hAnsi="Arial" w:cs="Arial" w:hint="eastAsia"/>
                <w:sz w:val="24"/>
                <w:szCs w:val="24"/>
              </w:rPr>
              <w:t xml:space="preserve">Independent Evaluation Group (IEG) </w:t>
            </w:r>
            <w:r w:rsidRPr="0004450A">
              <w:rPr>
                <w:rFonts w:ascii="Arial" w:hAnsi="Arial" w:cs="Arial"/>
                <w:sz w:val="24"/>
                <w:szCs w:val="24"/>
              </w:rPr>
              <w:t>criticize</w:t>
            </w:r>
            <w:r w:rsidR="00A83658" w:rsidRPr="0004450A">
              <w:rPr>
                <w:rFonts w:ascii="Arial" w:hAnsi="Arial" w:cs="Arial" w:hint="eastAsia"/>
                <w:sz w:val="24"/>
                <w:szCs w:val="24"/>
              </w:rPr>
              <w:t>d</w:t>
            </w:r>
            <w:r w:rsidRPr="0004450A">
              <w:rPr>
                <w:rFonts w:ascii="Arial" w:hAnsi="Arial" w:cs="Arial" w:hint="eastAsia"/>
                <w:sz w:val="24"/>
                <w:szCs w:val="24"/>
              </w:rPr>
              <w:t xml:space="preserve"> that safeguard considerations </w:t>
            </w:r>
            <w:r w:rsidR="00A83658" w:rsidRPr="0004450A">
              <w:rPr>
                <w:rFonts w:ascii="Arial" w:hAnsi="Arial" w:cs="Arial" w:hint="eastAsia"/>
                <w:sz w:val="24"/>
                <w:szCs w:val="24"/>
              </w:rPr>
              <w:lastRenderedPageBreak/>
              <w:t xml:space="preserve">were </w:t>
            </w:r>
            <w:r w:rsidRPr="0004450A">
              <w:rPr>
                <w:rFonts w:ascii="Arial" w:hAnsi="Arial" w:cs="Arial" w:hint="eastAsia"/>
                <w:sz w:val="24"/>
                <w:szCs w:val="24"/>
              </w:rPr>
              <w:t>limited in the past forest related DPLs.</w:t>
            </w:r>
            <w:r w:rsidRPr="0004450A">
              <w:rPr>
                <w:rStyle w:val="FootnoteReference"/>
                <w:rFonts w:ascii="Arial" w:hAnsi="Arial" w:cs="Arial"/>
                <w:sz w:val="24"/>
                <w:szCs w:val="24"/>
              </w:rPr>
              <w:footnoteReference w:id="3"/>
            </w:r>
          </w:p>
          <w:p w:rsidR="0098434D" w:rsidRDefault="0098434D" w:rsidP="0004450A">
            <w:pPr>
              <w:numPr>
                <w:ilvl w:val="0"/>
                <w:numId w:val="4"/>
              </w:numPr>
              <w:rPr>
                <w:rFonts w:ascii="Arial" w:hAnsi="Arial" w:cs="Arial"/>
                <w:sz w:val="24"/>
                <w:szCs w:val="24"/>
              </w:rPr>
            </w:pPr>
            <w:r w:rsidRPr="0004450A">
              <w:rPr>
                <w:rFonts w:ascii="Arial" w:hAnsi="Arial" w:cs="Arial" w:hint="eastAsia"/>
                <w:sz w:val="24"/>
                <w:szCs w:val="24"/>
              </w:rPr>
              <w:t xml:space="preserve">ADB adopted the framework approach in the Safeguard Policy Statement (SPS), which </w:t>
            </w:r>
            <w:r w:rsidRPr="0004450A">
              <w:rPr>
                <w:rFonts w:ascii="Arial" w:hAnsi="Arial" w:cs="Arial"/>
                <w:sz w:val="24"/>
                <w:szCs w:val="24"/>
              </w:rPr>
              <w:t>covers</w:t>
            </w:r>
            <w:r w:rsidRPr="0004450A">
              <w:rPr>
                <w:rFonts w:ascii="Arial" w:hAnsi="Arial" w:cs="Arial" w:hint="eastAsia"/>
                <w:sz w:val="24"/>
                <w:szCs w:val="24"/>
              </w:rPr>
              <w:t xml:space="preserve"> program and sector </w:t>
            </w:r>
            <w:r w:rsidRPr="0004450A">
              <w:rPr>
                <w:rFonts w:ascii="Arial" w:hAnsi="Arial" w:cs="Arial"/>
                <w:sz w:val="24"/>
                <w:szCs w:val="24"/>
              </w:rPr>
              <w:t>lendings</w:t>
            </w:r>
            <w:r w:rsidRPr="0004450A">
              <w:rPr>
                <w:rFonts w:ascii="Arial" w:hAnsi="Arial" w:cs="Arial" w:hint="eastAsia"/>
                <w:sz w:val="24"/>
                <w:szCs w:val="24"/>
              </w:rPr>
              <w:t xml:space="preserve">. </w:t>
            </w:r>
          </w:p>
          <w:p w:rsidR="00E839DE" w:rsidRPr="0004450A" w:rsidRDefault="00E839DE" w:rsidP="00DB75F9">
            <w:pPr>
              <w:numPr>
                <w:ilvl w:val="0"/>
                <w:numId w:val="4"/>
              </w:numPr>
              <w:rPr>
                <w:rFonts w:ascii="Arial" w:hAnsi="Arial" w:cs="Arial"/>
                <w:sz w:val="24"/>
                <w:szCs w:val="24"/>
              </w:rPr>
            </w:pPr>
            <w:r w:rsidRPr="00DB75F9">
              <w:rPr>
                <w:rFonts w:ascii="Arial" w:hAnsi="Arial" w:cs="Arial"/>
                <w:sz w:val="24"/>
                <w:szCs w:val="24"/>
              </w:rPr>
              <w:t>We understand that IEG will do an evaluation of env</w:t>
            </w:r>
            <w:r w:rsidR="00DB75F9" w:rsidRPr="00DB75F9">
              <w:rPr>
                <w:rFonts w:ascii="Arial" w:hAnsi="Arial" w:cs="Arial" w:hint="eastAsia"/>
                <w:sz w:val="24"/>
                <w:szCs w:val="24"/>
              </w:rPr>
              <w:t xml:space="preserve">ironmental and </w:t>
            </w:r>
            <w:r w:rsidRPr="00DB75F9">
              <w:rPr>
                <w:rFonts w:ascii="Arial" w:hAnsi="Arial" w:cs="Arial"/>
                <w:sz w:val="24"/>
                <w:szCs w:val="24"/>
              </w:rPr>
              <w:t xml:space="preserve">social impacts of DPLs this year. WB has agreed to examine </w:t>
            </w:r>
            <w:r w:rsidR="00DB75F9" w:rsidRPr="00DB75F9">
              <w:rPr>
                <w:rFonts w:ascii="Arial" w:hAnsi="Arial" w:cs="Arial"/>
                <w:sz w:val="24"/>
                <w:szCs w:val="24"/>
              </w:rPr>
              <w:t>env</w:t>
            </w:r>
            <w:r w:rsidR="00DB75F9" w:rsidRPr="00DB75F9">
              <w:rPr>
                <w:rFonts w:ascii="Arial" w:hAnsi="Arial" w:cs="Arial" w:hint="eastAsia"/>
                <w:sz w:val="24"/>
                <w:szCs w:val="24"/>
              </w:rPr>
              <w:t xml:space="preserve">ironmental and </w:t>
            </w:r>
            <w:r w:rsidRPr="00DB75F9">
              <w:rPr>
                <w:rFonts w:ascii="Arial" w:hAnsi="Arial" w:cs="Arial"/>
                <w:sz w:val="24"/>
                <w:szCs w:val="24"/>
              </w:rPr>
              <w:t>social impacts of DPLs in the next retrospective, but said on April 12 that they intend to update the guidance on safeguards. DPL policy already has guidance but it is not followed. We want to see a public process to revise the DPL policy itself to address current gaps.</w:t>
            </w:r>
          </w:p>
        </w:tc>
      </w:tr>
      <w:tr w:rsidR="000E5547" w:rsidRPr="0004450A" w:rsidTr="0004450A">
        <w:tc>
          <w:tcPr>
            <w:tcW w:w="6111" w:type="dxa"/>
            <w:shd w:val="clear" w:color="auto" w:fill="auto"/>
          </w:tcPr>
          <w:p w:rsidR="000E5547" w:rsidRPr="0004450A" w:rsidRDefault="00900016" w:rsidP="0004450A">
            <w:pPr>
              <w:numPr>
                <w:ilvl w:val="0"/>
                <w:numId w:val="1"/>
              </w:numPr>
              <w:rPr>
                <w:rFonts w:ascii="Arial" w:hAnsi="Arial" w:cs="Arial"/>
                <w:sz w:val="24"/>
                <w:szCs w:val="24"/>
              </w:rPr>
            </w:pPr>
            <w:r w:rsidRPr="0004450A">
              <w:rPr>
                <w:rFonts w:ascii="Arial" w:hAnsi="Arial" w:cs="Arial" w:hint="eastAsia"/>
                <w:sz w:val="24"/>
                <w:szCs w:val="24"/>
              </w:rPr>
              <w:lastRenderedPageBreak/>
              <w:t xml:space="preserve">The climate change assessment (CCA) </w:t>
            </w:r>
            <w:r w:rsidR="00952B78">
              <w:rPr>
                <w:rFonts w:ascii="Arial" w:hAnsi="Arial" w:cs="Arial"/>
                <w:sz w:val="24"/>
                <w:szCs w:val="24"/>
              </w:rPr>
              <w:t xml:space="preserve">proposed by NGOs </w:t>
            </w:r>
            <w:r w:rsidRPr="0004450A">
              <w:rPr>
                <w:rFonts w:ascii="Arial" w:hAnsi="Arial" w:cs="Arial" w:hint="eastAsia"/>
                <w:sz w:val="24"/>
                <w:szCs w:val="24"/>
              </w:rPr>
              <w:t xml:space="preserve">should be adopted, and </w:t>
            </w:r>
            <w:r w:rsidRPr="0004450A">
              <w:rPr>
                <w:rFonts w:ascii="Arial" w:hAnsi="Arial" w:cs="Arial" w:hint="eastAsia"/>
                <w:sz w:val="24"/>
                <w:szCs w:val="24"/>
                <w:u w:val="single"/>
              </w:rPr>
              <w:t>high GHG emission projects</w:t>
            </w:r>
            <w:r w:rsidRPr="0004450A">
              <w:rPr>
                <w:rFonts w:ascii="Arial" w:hAnsi="Arial" w:cs="Arial" w:hint="eastAsia"/>
                <w:sz w:val="24"/>
                <w:szCs w:val="24"/>
              </w:rPr>
              <w:t xml:space="preserve"> </w:t>
            </w:r>
            <w:r w:rsidR="00510CBD" w:rsidRPr="0004450A">
              <w:rPr>
                <w:rFonts w:ascii="Arial" w:hAnsi="Arial" w:cs="Arial" w:hint="eastAsia"/>
                <w:sz w:val="24"/>
                <w:szCs w:val="24"/>
              </w:rPr>
              <w:t xml:space="preserve">(e.g. </w:t>
            </w:r>
            <w:r w:rsidR="00D84BB9">
              <w:rPr>
                <w:rFonts w:ascii="Arial" w:hAnsi="Arial" w:cs="Arial" w:hint="eastAsia"/>
                <w:sz w:val="24"/>
                <w:szCs w:val="24"/>
              </w:rPr>
              <w:t xml:space="preserve">higher than </w:t>
            </w:r>
            <w:r w:rsidR="00510CBD" w:rsidRPr="0004450A">
              <w:rPr>
                <w:rFonts w:ascii="Arial" w:hAnsi="Arial" w:cs="Arial" w:hint="eastAsia"/>
                <w:sz w:val="24"/>
                <w:szCs w:val="24"/>
              </w:rPr>
              <w:t xml:space="preserve">550g-CO2/kWh) </w:t>
            </w:r>
            <w:r w:rsidRPr="0004450A">
              <w:rPr>
                <w:rFonts w:ascii="Arial" w:hAnsi="Arial" w:cs="Arial" w:hint="eastAsia"/>
                <w:sz w:val="24"/>
                <w:szCs w:val="24"/>
              </w:rPr>
              <w:t>should be excluded from the scope of World Bank</w:t>
            </w:r>
            <w:r w:rsidRPr="0004450A">
              <w:rPr>
                <w:rFonts w:ascii="Arial" w:hAnsi="Arial" w:cs="Arial"/>
                <w:sz w:val="24"/>
                <w:szCs w:val="24"/>
              </w:rPr>
              <w:t>’</w:t>
            </w:r>
            <w:r w:rsidRPr="0004450A">
              <w:rPr>
                <w:rFonts w:ascii="Arial" w:hAnsi="Arial" w:cs="Arial" w:hint="eastAsia"/>
                <w:sz w:val="24"/>
                <w:szCs w:val="24"/>
              </w:rPr>
              <w:t>s finance.</w:t>
            </w:r>
          </w:p>
        </w:tc>
        <w:tc>
          <w:tcPr>
            <w:tcW w:w="8739" w:type="dxa"/>
            <w:shd w:val="clear" w:color="auto" w:fill="auto"/>
          </w:tcPr>
          <w:p w:rsidR="00C310F6" w:rsidRPr="0004450A" w:rsidRDefault="00C310F6" w:rsidP="0004450A">
            <w:pPr>
              <w:numPr>
                <w:ilvl w:val="0"/>
                <w:numId w:val="5"/>
              </w:numPr>
              <w:rPr>
                <w:rFonts w:ascii="Arial" w:hAnsi="Arial" w:cs="Arial"/>
                <w:sz w:val="24"/>
                <w:szCs w:val="24"/>
              </w:rPr>
            </w:pPr>
            <w:r w:rsidRPr="0004450A">
              <w:rPr>
                <w:rFonts w:ascii="Arial" w:hAnsi="Arial" w:cs="Arial" w:hint="eastAsia"/>
                <w:sz w:val="24"/>
                <w:szCs w:val="24"/>
              </w:rPr>
              <w:t xml:space="preserve">World Bank proposed to include </w:t>
            </w:r>
            <w:r w:rsidRPr="0004450A">
              <w:rPr>
                <w:rFonts w:ascii="Arial" w:hAnsi="Arial" w:cs="Arial"/>
                <w:sz w:val="24"/>
                <w:szCs w:val="24"/>
              </w:rPr>
              <w:t>“</w:t>
            </w:r>
            <w:r w:rsidRPr="0004450A">
              <w:rPr>
                <w:rFonts w:ascii="Arial" w:hAnsi="Arial" w:cs="Arial" w:hint="eastAsia"/>
                <w:sz w:val="24"/>
                <w:szCs w:val="24"/>
              </w:rPr>
              <w:t>the consideration of climate change and adaptation and greenhouse gas emissions management</w:t>
            </w:r>
            <w:r w:rsidRPr="0004450A">
              <w:rPr>
                <w:rFonts w:ascii="Arial" w:hAnsi="Arial" w:cs="Arial"/>
                <w:sz w:val="24"/>
                <w:szCs w:val="24"/>
              </w:rPr>
              <w:t>”</w:t>
            </w:r>
            <w:r w:rsidRPr="0004450A">
              <w:rPr>
                <w:rFonts w:ascii="Arial" w:hAnsi="Arial" w:cs="Arial" w:hint="eastAsia"/>
                <w:sz w:val="24"/>
                <w:szCs w:val="24"/>
              </w:rPr>
              <w:t xml:space="preserve"> as a requirement for borrowers. It is unclear the types of excluded projects for the consideration of climate change</w:t>
            </w:r>
            <w:r w:rsidR="00952B78">
              <w:rPr>
                <w:rFonts w:ascii="Arial" w:hAnsi="Arial" w:cs="Arial"/>
                <w:sz w:val="24"/>
                <w:szCs w:val="24"/>
              </w:rPr>
              <w:t>, as well as the assessment tools proposed to be used in the new safeguard where climate assessment will be introduced</w:t>
            </w:r>
            <w:r w:rsidRPr="0004450A">
              <w:rPr>
                <w:rFonts w:ascii="Arial" w:hAnsi="Arial" w:cs="Arial" w:hint="eastAsia"/>
                <w:sz w:val="24"/>
                <w:szCs w:val="24"/>
              </w:rPr>
              <w:t>.</w:t>
            </w:r>
          </w:p>
          <w:p w:rsidR="008A15B9" w:rsidRDefault="00900016" w:rsidP="0004450A">
            <w:pPr>
              <w:numPr>
                <w:ilvl w:val="0"/>
                <w:numId w:val="5"/>
              </w:numPr>
              <w:rPr>
                <w:rFonts w:ascii="Arial" w:hAnsi="Arial" w:cs="Arial"/>
                <w:sz w:val="24"/>
                <w:szCs w:val="24"/>
              </w:rPr>
            </w:pPr>
            <w:r w:rsidRPr="0004450A">
              <w:rPr>
                <w:rFonts w:ascii="Arial" w:hAnsi="Arial" w:cs="Arial" w:hint="eastAsia"/>
                <w:sz w:val="24"/>
                <w:szCs w:val="24"/>
              </w:rPr>
              <w:t xml:space="preserve">World Bank Group adopted the </w:t>
            </w:r>
            <w:r w:rsidRPr="0004450A">
              <w:rPr>
                <w:rFonts w:ascii="Arial" w:hAnsi="Arial" w:cs="Arial"/>
                <w:sz w:val="24"/>
                <w:szCs w:val="24"/>
              </w:rPr>
              <w:t>Criteria for Screening Coal Projects under the Strategic Framework for Development and Climate Change</w:t>
            </w:r>
            <w:r w:rsidRPr="0004450A">
              <w:rPr>
                <w:rFonts w:ascii="Arial" w:hAnsi="Arial" w:cs="Arial" w:hint="eastAsia"/>
                <w:sz w:val="24"/>
                <w:szCs w:val="24"/>
              </w:rPr>
              <w:t xml:space="preserve"> as a</w:t>
            </w:r>
            <w:r w:rsidR="008A15B9" w:rsidRPr="0004450A">
              <w:rPr>
                <w:rFonts w:ascii="Arial" w:hAnsi="Arial" w:cs="Arial" w:hint="eastAsia"/>
                <w:sz w:val="24"/>
                <w:szCs w:val="24"/>
              </w:rPr>
              <w:t>n</w:t>
            </w:r>
            <w:r w:rsidRPr="0004450A">
              <w:rPr>
                <w:rFonts w:ascii="Arial" w:hAnsi="Arial" w:cs="Arial" w:hint="eastAsia"/>
                <w:sz w:val="24"/>
                <w:szCs w:val="24"/>
              </w:rPr>
              <w:t xml:space="preserve"> </w:t>
            </w:r>
            <w:r w:rsidR="008A15B9" w:rsidRPr="0004450A">
              <w:rPr>
                <w:rFonts w:ascii="Arial" w:hAnsi="Arial" w:cs="Arial" w:hint="eastAsia"/>
                <w:sz w:val="24"/>
                <w:szCs w:val="24"/>
              </w:rPr>
              <w:t xml:space="preserve">Operational Guidance in March 2010. However, the guidance </w:t>
            </w:r>
            <w:r w:rsidR="00A83658" w:rsidRPr="0004450A">
              <w:rPr>
                <w:rFonts w:ascii="Arial" w:hAnsi="Arial" w:cs="Arial" w:hint="eastAsia"/>
                <w:sz w:val="24"/>
                <w:szCs w:val="24"/>
              </w:rPr>
              <w:t xml:space="preserve">is not a policy and </w:t>
            </w:r>
            <w:r w:rsidR="008A15B9" w:rsidRPr="0004450A">
              <w:rPr>
                <w:rFonts w:ascii="Arial" w:hAnsi="Arial" w:cs="Arial" w:hint="eastAsia"/>
                <w:sz w:val="24"/>
                <w:szCs w:val="24"/>
              </w:rPr>
              <w:t>is not a comprehensive one.</w:t>
            </w:r>
          </w:p>
          <w:p w:rsidR="00952B78" w:rsidRPr="0004450A" w:rsidRDefault="00952B78" w:rsidP="00952B78">
            <w:pPr>
              <w:numPr>
                <w:ilvl w:val="0"/>
                <w:numId w:val="5"/>
              </w:numPr>
              <w:rPr>
                <w:rFonts w:ascii="Arial" w:hAnsi="Arial" w:cs="Arial"/>
                <w:sz w:val="24"/>
                <w:szCs w:val="24"/>
              </w:rPr>
            </w:pPr>
            <w:r>
              <w:rPr>
                <w:rFonts w:ascii="Arial" w:hAnsi="Arial" w:cs="Arial"/>
                <w:sz w:val="24"/>
                <w:szCs w:val="24"/>
              </w:rPr>
              <w:t xml:space="preserve">The new stand-alone policy suggested by NGOs has a clear exclusion list and proposes a wide range of climate assessment tools that can help the Bank introduce clear instruments to assess climate aspects in its projects </w:t>
            </w:r>
            <w:r>
              <w:rPr>
                <w:rFonts w:ascii="Arial" w:hAnsi="Arial" w:cs="Arial"/>
                <w:sz w:val="24"/>
                <w:szCs w:val="24"/>
              </w:rPr>
              <w:lastRenderedPageBreak/>
              <w:t>from the Country Diagnostics/Country Partnership Framework to the after implementation stages.</w:t>
            </w:r>
          </w:p>
        </w:tc>
      </w:tr>
      <w:tr w:rsidR="000E5547" w:rsidRPr="0004450A" w:rsidTr="0004450A">
        <w:tc>
          <w:tcPr>
            <w:tcW w:w="6111" w:type="dxa"/>
            <w:shd w:val="clear" w:color="auto" w:fill="auto"/>
          </w:tcPr>
          <w:p w:rsidR="000E5547" w:rsidRPr="0004450A" w:rsidRDefault="008A15B9" w:rsidP="0004450A">
            <w:pPr>
              <w:numPr>
                <w:ilvl w:val="0"/>
                <w:numId w:val="1"/>
              </w:numPr>
              <w:rPr>
                <w:rFonts w:ascii="Arial" w:hAnsi="Arial" w:cs="Arial"/>
                <w:sz w:val="24"/>
                <w:szCs w:val="24"/>
              </w:rPr>
            </w:pPr>
            <w:r w:rsidRPr="0004450A">
              <w:rPr>
                <w:rFonts w:ascii="Arial" w:hAnsi="Arial" w:cs="Arial" w:hint="eastAsia"/>
                <w:sz w:val="24"/>
                <w:szCs w:val="24"/>
              </w:rPr>
              <w:lastRenderedPageBreak/>
              <w:t xml:space="preserve">The requirements for prohibiting </w:t>
            </w:r>
            <w:r w:rsidRPr="0004450A">
              <w:rPr>
                <w:rFonts w:ascii="Arial" w:hAnsi="Arial" w:cs="Arial" w:hint="eastAsia"/>
                <w:sz w:val="24"/>
                <w:szCs w:val="24"/>
                <w:u w:val="single"/>
              </w:rPr>
              <w:t>significant conversion or degradation of critical natural habitats</w:t>
            </w:r>
            <w:r w:rsidRPr="0004450A">
              <w:rPr>
                <w:rFonts w:ascii="Arial" w:hAnsi="Arial" w:cs="Arial" w:hint="eastAsia"/>
                <w:sz w:val="24"/>
                <w:szCs w:val="24"/>
              </w:rPr>
              <w:t xml:space="preserve"> (OP4.04, Para.4) and critical forest areas (OP4.36, Para.5) should be sustained.</w:t>
            </w:r>
          </w:p>
        </w:tc>
        <w:tc>
          <w:tcPr>
            <w:tcW w:w="8739" w:type="dxa"/>
            <w:shd w:val="clear" w:color="auto" w:fill="auto"/>
          </w:tcPr>
          <w:p w:rsidR="00642082" w:rsidRPr="0004450A" w:rsidRDefault="00642082" w:rsidP="0004450A">
            <w:pPr>
              <w:numPr>
                <w:ilvl w:val="0"/>
                <w:numId w:val="5"/>
              </w:numPr>
              <w:rPr>
                <w:rFonts w:ascii="Arial" w:hAnsi="Arial" w:cs="Arial"/>
                <w:sz w:val="24"/>
                <w:szCs w:val="24"/>
              </w:rPr>
            </w:pPr>
            <w:r w:rsidRPr="0004450A">
              <w:rPr>
                <w:rFonts w:ascii="Arial" w:hAnsi="Arial" w:cs="Arial" w:hint="eastAsia"/>
                <w:sz w:val="24"/>
                <w:szCs w:val="24"/>
              </w:rPr>
              <w:t xml:space="preserve">World Bank proposed that </w:t>
            </w:r>
            <w:r w:rsidRPr="0004450A">
              <w:rPr>
                <w:rFonts w:ascii="Arial" w:hAnsi="Arial" w:cs="Arial"/>
                <w:sz w:val="24"/>
                <w:szCs w:val="24"/>
              </w:rPr>
              <w:t>“</w:t>
            </w:r>
            <w:r w:rsidRPr="0004450A">
              <w:rPr>
                <w:rFonts w:ascii="Arial" w:hAnsi="Arial" w:cs="Arial" w:hint="eastAsia"/>
                <w:sz w:val="24"/>
                <w:szCs w:val="24"/>
              </w:rPr>
              <w:t>more harmonization with other MFIs and within the World Bank group, allowing for a more efficient/effective co-finance.</w:t>
            </w:r>
            <w:r w:rsidRPr="0004450A">
              <w:rPr>
                <w:rFonts w:ascii="Arial" w:hAnsi="Arial" w:cs="Arial"/>
                <w:sz w:val="24"/>
                <w:szCs w:val="24"/>
              </w:rPr>
              <w:t>”</w:t>
            </w:r>
          </w:p>
          <w:p w:rsidR="000E5547" w:rsidRPr="0004450A" w:rsidRDefault="008A15B9" w:rsidP="0004450A">
            <w:pPr>
              <w:numPr>
                <w:ilvl w:val="0"/>
                <w:numId w:val="5"/>
              </w:numPr>
              <w:rPr>
                <w:rFonts w:ascii="Arial" w:hAnsi="Arial" w:cs="Arial"/>
                <w:sz w:val="24"/>
                <w:szCs w:val="24"/>
              </w:rPr>
            </w:pPr>
            <w:r w:rsidRPr="0004450A">
              <w:rPr>
                <w:rFonts w:ascii="Arial" w:hAnsi="Arial" w:cs="Arial" w:hint="eastAsia"/>
                <w:sz w:val="24"/>
                <w:szCs w:val="24"/>
              </w:rPr>
              <w:t xml:space="preserve">IFC adopted more flexible approach to the critical natural habitats, which allows </w:t>
            </w:r>
            <w:r w:rsidR="00D44652" w:rsidRPr="0004450A">
              <w:rPr>
                <w:rFonts w:ascii="Arial" w:hAnsi="Arial" w:cs="Arial" w:hint="eastAsia"/>
                <w:sz w:val="24"/>
                <w:szCs w:val="24"/>
              </w:rPr>
              <w:t>projects when</w:t>
            </w:r>
            <w:r w:rsidR="00214689" w:rsidRPr="0004450A">
              <w:rPr>
                <w:rFonts w:ascii="Arial" w:hAnsi="Arial" w:cs="Arial" w:hint="eastAsia"/>
                <w:sz w:val="24"/>
                <w:szCs w:val="24"/>
              </w:rPr>
              <w:t xml:space="preserve"> there </w:t>
            </w:r>
            <w:r w:rsidR="00D44652" w:rsidRPr="0004450A">
              <w:rPr>
                <w:rFonts w:ascii="Arial" w:hAnsi="Arial" w:cs="Arial" w:hint="eastAsia"/>
                <w:sz w:val="24"/>
                <w:szCs w:val="24"/>
              </w:rPr>
              <w:t>is</w:t>
            </w:r>
            <w:r w:rsidR="00214689" w:rsidRPr="0004450A">
              <w:rPr>
                <w:rFonts w:ascii="Arial" w:hAnsi="Arial" w:cs="Arial" w:hint="eastAsia"/>
                <w:sz w:val="24"/>
                <w:szCs w:val="24"/>
              </w:rPr>
              <w:t xml:space="preserve"> no other alternatives, no measurable adverse impacts on those biodiversity values, and no net reduction of critical endangered/endangered species</w:t>
            </w:r>
            <w:r w:rsidR="00D44652" w:rsidRPr="0004450A">
              <w:rPr>
                <w:rFonts w:ascii="Arial" w:hAnsi="Arial" w:cs="Arial" w:hint="eastAsia"/>
                <w:sz w:val="24"/>
                <w:szCs w:val="24"/>
              </w:rPr>
              <w:t xml:space="preserve"> (Performance Standard 6, Para.17)</w:t>
            </w:r>
            <w:r w:rsidR="00214689" w:rsidRPr="0004450A">
              <w:rPr>
                <w:rFonts w:ascii="Arial" w:hAnsi="Arial" w:cs="Arial" w:hint="eastAsia"/>
                <w:sz w:val="24"/>
                <w:szCs w:val="24"/>
              </w:rPr>
              <w:t>.</w:t>
            </w:r>
          </w:p>
          <w:p w:rsidR="00214689" w:rsidRDefault="00214689" w:rsidP="0004450A">
            <w:pPr>
              <w:numPr>
                <w:ilvl w:val="0"/>
                <w:numId w:val="5"/>
              </w:numPr>
              <w:rPr>
                <w:rFonts w:ascii="Arial" w:hAnsi="Arial" w:cs="Arial"/>
                <w:sz w:val="24"/>
                <w:szCs w:val="24"/>
              </w:rPr>
            </w:pPr>
            <w:r w:rsidRPr="0004450A">
              <w:rPr>
                <w:rFonts w:ascii="Arial" w:hAnsi="Arial" w:cs="Arial" w:hint="eastAsia"/>
                <w:sz w:val="24"/>
                <w:szCs w:val="24"/>
              </w:rPr>
              <w:t xml:space="preserve">However, measurement </w:t>
            </w:r>
            <w:r w:rsidR="00D44652" w:rsidRPr="0004450A">
              <w:rPr>
                <w:rFonts w:ascii="Arial" w:hAnsi="Arial" w:cs="Arial" w:hint="eastAsia"/>
                <w:sz w:val="24"/>
                <w:szCs w:val="24"/>
              </w:rPr>
              <w:t xml:space="preserve">systems </w:t>
            </w:r>
            <w:r w:rsidRPr="0004450A">
              <w:rPr>
                <w:rFonts w:ascii="Arial" w:hAnsi="Arial" w:cs="Arial" w:hint="eastAsia"/>
                <w:sz w:val="24"/>
                <w:szCs w:val="24"/>
              </w:rPr>
              <w:t xml:space="preserve">on biodiversity values </w:t>
            </w:r>
            <w:r w:rsidR="00D44652" w:rsidRPr="0004450A">
              <w:rPr>
                <w:rFonts w:ascii="Arial" w:hAnsi="Arial" w:cs="Arial" w:hint="eastAsia"/>
                <w:sz w:val="24"/>
                <w:szCs w:val="24"/>
              </w:rPr>
              <w:t>are</w:t>
            </w:r>
            <w:r w:rsidRPr="0004450A">
              <w:rPr>
                <w:rFonts w:ascii="Arial" w:hAnsi="Arial" w:cs="Arial" w:hint="eastAsia"/>
                <w:sz w:val="24"/>
                <w:szCs w:val="24"/>
              </w:rPr>
              <w:t xml:space="preserve"> still under development, and </w:t>
            </w:r>
            <w:r w:rsidR="00D44652" w:rsidRPr="0004450A">
              <w:rPr>
                <w:rFonts w:ascii="Arial" w:hAnsi="Arial" w:cs="Arial" w:hint="eastAsia"/>
                <w:sz w:val="24"/>
                <w:szCs w:val="24"/>
              </w:rPr>
              <w:t>there is a significant risk</w:t>
            </w:r>
            <w:r w:rsidRPr="0004450A">
              <w:rPr>
                <w:rFonts w:ascii="Arial" w:hAnsi="Arial" w:cs="Arial" w:hint="eastAsia"/>
                <w:sz w:val="24"/>
                <w:szCs w:val="24"/>
              </w:rPr>
              <w:t xml:space="preserve"> </w:t>
            </w:r>
            <w:r w:rsidR="00D44652" w:rsidRPr="0004450A">
              <w:rPr>
                <w:rFonts w:ascii="Arial" w:hAnsi="Arial" w:cs="Arial" w:hint="eastAsia"/>
                <w:sz w:val="24"/>
                <w:szCs w:val="24"/>
              </w:rPr>
              <w:t>at</w:t>
            </w:r>
            <w:r w:rsidRPr="0004450A">
              <w:rPr>
                <w:rFonts w:ascii="Arial" w:hAnsi="Arial" w:cs="Arial" w:hint="eastAsia"/>
                <w:sz w:val="24"/>
                <w:szCs w:val="24"/>
              </w:rPr>
              <w:t xml:space="preserve"> </w:t>
            </w:r>
            <w:r w:rsidR="00D44652" w:rsidRPr="0004450A">
              <w:rPr>
                <w:rFonts w:ascii="Arial" w:hAnsi="Arial" w:cs="Arial" w:hint="eastAsia"/>
                <w:sz w:val="24"/>
                <w:szCs w:val="24"/>
              </w:rPr>
              <w:t xml:space="preserve">the </w:t>
            </w:r>
            <w:r w:rsidRPr="0004450A">
              <w:rPr>
                <w:rFonts w:ascii="Arial" w:hAnsi="Arial" w:cs="Arial" w:hint="eastAsia"/>
                <w:sz w:val="24"/>
                <w:szCs w:val="24"/>
              </w:rPr>
              <w:t>offset of critical endangered/endangered species.</w:t>
            </w:r>
          </w:p>
          <w:p w:rsidR="00E839DE" w:rsidRPr="0004450A" w:rsidRDefault="00E839DE" w:rsidP="00E839DE">
            <w:pPr>
              <w:numPr>
                <w:ilvl w:val="0"/>
                <w:numId w:val="5"/>
              </w:numPr>
              <w:rPr>
                <w:rFonts w:ascii="Arial" w:hAnsi="Arial" w:cs="Arial"/>
                <w:sz w:val="24"/>
                <w:szCs w:val="24"/>
              </w:rPr>
            </w:pPr>
            <w:r w:rsidRPr="00DB75F9">
              <w:rPr>
                <w:rFonts w:ascii="Arial" w:hAnsi="Arial" w:cs="Arial"/>
                <w:sz w:val="24"/>
                <w:szCs w:val="24"/>
              </w:rPr>
              <w:t>We hear that some VPs have raised concern that protections for forests/natural habitats policies will be severely weakened in the first draft, and what is proposed is even weaker than IFC’s PS 6.</w:t>
            </w:r>
            <w:r>
              <w:rPr>
                <w:rFonts w:ascii="Arial" w:hAnsi="Arial" w:cs="Arial"/>
                <w:sz w:val="24"/>
                <w:szCs w:val="24"/>
              </w:rPr>
              <w:t xml:space="preserve"> </w:t>
            </w:r>
          </w:p>
        </w:tc>
      </w:tr>
      <w:tr w:rsidR="000E5547" w:rsidRPr="0004450A" w:rsidTr="0004450A">
        <w:tc>
          <w:tcPr>
            <w:tcW w:w="6111" w:type="dxa"/>
            <w:shd w:val="clear" w:color="auto" w:fill="auto"/>
          </w:tcPr>
          <w:p w:rsidR="000E5547" w:rsidRPr="0004450A" w:rsidRDefault="00214689" w:rsidP="0004450A">
            <w:pPr>
              <w:numPr>
                <w:ilvl w:val="0"/>
                <w:numId w:val="1"/>
              </w:numPr>
              <w:rPr>
                <w:rFonts w:ascii="Arial" w:hAnsi="Arial" w:cs="Arial"/>
                <w:sz w:val="24"/>
                <w:szCs w:val="24"/>
              </w:rPr>
            </w:pPr>
            <w:r w:rsidRPr="0004450A">
              <w:rPr>
                <w:rFonts w:ascii="Arial" w:hAnsi="Arial" w:cs="Arial" w:hint="eastAsia"/>
                <w:sz w:val="24"/>
                <w:szCs w:val="24"/>
              </w:rPr>
              <w:t xml:space="preserve">Requirement on </w:t>
            </w:r>
            <w:r w:rsidRPr="0004450A">
              <w:rPr>
                <w:rFonts w:ascii="Arial" w:hAnsi="Arial" w:cs="Arial" w:hint="eastAsia"/>
                <w:sz w:val="24"/>
                <w:szCs w:val="24"/>
                <w:u w:val="single"/>
              </w:rPr>
              <w:t>improvement of the living standards of vulnerable/disadvantaged people</w:t>
            </w:r>
            <w:r w:rsidRPr="0004450A">
              <w:rPr>
                <w:rFonts w:ascii="Arial" w:hAnsi="Arial" w:cs="Arial" w:hint="eastAsia"/>
                <w:sz w:val="24"/>
                <w:szCs w:val="24"/>
              </w:rPr>
              <w:t xml:space="preserve"> should be added.</w:t>
            </w:r>
          </w:p>
        </w:tc>
        <w:tc>
          <w:tcPr>
            <w:tcW w:w="8739" w:type="dxa"/>
            <w:shd w:val="clear" w:color="auto" w:fill="auto"/>
          </w:tcPr>
          <w:p w:rsidR="000E5547" w:rsidRPr="0004450A" w:rsidRDefault="0039094B" w:rsidP="0004450A">
            <w:pPr>
              <w:numPr>
                <w:ilvl w:val="0"/>
                <w:numId w:val="6"/>
              </w:numPr>
              <w:rPr>
                <w:rFonts w:ascii="Arial" w:hAnsi="Arial" w:cs="Arial"/>
                <w:sz w:val="24"/>
                <w:szCs w:val="24"/>
              </w:rPr>
            </w:pPr>
            <w:r w:rsidRPr="0004450A">
              <w:rPr>
                <w:rFonts w:ascii="Arial" w:hAnsi="Arial" w:cs="Arial" w:hint="eastAsia"/>
                <w:sz w:val="24"/>
                <w:szCs w:val="24"/>
              </w:rPr>
              <w:t>The OP4.12 (Para.2) requires borrowers to improve or at least restore the livelihood and living standards of displaced people.</w:t>
            </w:r>
          </w:p>
          <w:p w:rsidR="0039094B" w:rsidRPr="0004450A" w:rsidRDefault="0039094B" w:rsidP="0004450A">
            <w:pPr>
              <w:numPr>
                <w:ilvl w:val="0"/>
                <w:numId w:val="6"/>
              </w:numPr>
              <w:rPr>
                <w:rFonts w:ascii="Arial" w:hAnsi="Arial" w:cs="Arial"/>
                <w:sz w:val="24"/>
                <w:szCs w:val="24"/>
              </w:rPr>
            </w:pPr>
            <w:r w:rsidRPr="0004450A">
              <w:rPr>
                <w:rFonts w:ascii="Arial" w:hAnsi="Arial" w:cs="Arial" w:hint="eastAsia"/>
                <w:sz w:val="24"/>
                <w:szCs w:val="24"/>
              </w:rPr>
              <w:t xml:space="preserve">However, risks for vulnerable/disadvantaged people are higher than other displaced people. </w:t>
            </w:r>
            <w:r w:rsidR="00D44652" w:rsidRPr="0004450A">
              <w:rPr>
                <w:rFonts w:ascii="Arial" w:hAnsi="Arial" w:cs="Arial" w:hint="eastAsia"/>
                <w:sz w:val="24"/>
                <w:szCs w:val="24"/>
              </w:rPr>
              <w:t>Therefore, special consideration should be added.</w:t>
            </w:r>
          </w:p>
          <w:p w:rsidR="00D44652" w:rsidRPr="0004450A" w:rsidRDefault="00D44652" w:rsidP="0004450A">
            <w:pPr>
              <w:numPr>
                <w:ilvl w:val="0"/>
                <w:numId w:val="6"/>
              </w:numPr>
              <w:rPr>
                <w:rFonts w:ascii="Arial" w:hAnsi="Arial" w:cs="Arial"/>
                <w:sz w:val="24"/>
                <w:szCs w:val="24"/>
              </w:rPr>
            </w:pPr>
            <w:r w:rsidRPr="0004450A">
              <w:rPr>
                <w:rFonts w:ascii="Arial" w:hAnsi="Arial" w:cs="Arial" w:hint="eastAsia"/>
                <w:sz w:val="24"/>
                <w:szCs w:val="24"/>
              </w:rPr>
              <w:t>ADB requires the borrower to improve the standards of living of the displaced poor and other vulnerable people. (ADB, SPS, Involuntary Resettlement Policy Principle 5)</w:t>
            </w:r>
          </w:p>
        </w:tc>
      </w:tr>
    </w:tbl>
    <w:p w:rsidR="000E5547" w:rsidRPr="000E5547" w:rsidRDefault="000E5547">
      <w:pPr>
        <w:rPr>
          <w:rFonts w:ascii="Arial" w:hAnsi="Arial" w:cs="Arial"/>
          <w:sz w:val="24"/>
          <w:szCs w:val="24"/>
        </w:rPr>
      </w:pPr>
    </w:p>
    <w:sectPr w:rsidR="000E5547" w:rsidRPr="000E5547" w:rsidSect="0099084B">
      <w:footerReference w:type="default" r:id="rId10"/>
      <w:pgSz w:w="16838" w:h="11906"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01" w:rsidRDefault="00DC6401" w:rsidP="005734DF">
      <w:r>
        <w:separator/>
      </w:r>
    </w:p>
  </w:endnote>
  <w:endnote w:type="continuationSeparator" w:id="0">
    <w:p w:rsidR="00DC6401" w:rsidRDefault="00DC6401" w:rsidP="005734DF">
      <w:r>
        <w:continuationSeparator/>
      </w:r>
    </w:p>
  </w:endnote>
  <w:endnote w:type="continuationNotice" w:id="1">
    <w:p w:rsidR="00DC6401" w:rsidRDefault="00DC6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0A" w:rsidRDefault="0004450A" w:rsidP="0004450A">
    <w:pPr>
      <w:pStyle w:val="Footer"/>
      <w:jc w:val="center"/>
    </w:pPr>
    <w:r>
      <w:fldChar w:fldCharType="begin"/>
    </w:r>
    <w:r>
      <w:instrText>PAGE   \* MERGEFORMAT</w:instrText>
    </w:r>
    <w:r>
      <w:fldChar w:fldCharType="separate"/>
    </w:r>
    <w:r w:rsidR="001F3099" w:rsidRPr="001F3099">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01" w:rsidRDefault="00DC6401" w:rsidP="005734DF">
      <w:r>
        <w:separator/>
      </w:r>
    </w:p>
  </w:footnote>
  <w:footnote w:type="continuationSeparator" w:id="0">
    <w:p w:rsidR="00DC6401" w:rsidRDefault="00DC6401" w:rsidP="005734DF">
      <w:r>
        <w:continuationSeparator/>
      </w:r>
    </w:p>
  </w:footnote>
  <w:footnote w:type="continuationNotice" w:id="1">
    <w:p w:rsidR="00DC6401" w:rsidRDefault="00DC6401"/>
  </w:footnote>
  <w:footnote w:id="2">
    <w:p w:rsidR="00642082" w:rsidRPr="0004450A" w:rsidRDefault="00642082">
      <w:pPr>
        <w:pStyle w:val="FootnoteText"/>
        <w:rPr>
          <w:rFonts w:ascii="Arial" w:hAnsi="Arial" w:cs="Arial"/>
        </w:rPr>
      </w:pPr>
      <w:r w:rsidRPr="0004450A">
        <w:rPr>
          <w:rStyle w:val="FootnoteReference"/>
          <w:rFonts w:ascii="Arial" w:hAnsi="Arial" w:cs="Arial"/>
        </w:rPr>
        <w:footnoteRef/>
      </w:r>
      <w:r w:rsidRPr="0004450A">
        <w:rPr>
          <w:rFonts w:ascii="Arial" w:hAnsi="Arial" w:cs="Arial"/>
        </w:rPr>
        <w:t xml:space="preserve"> </w:t>
      </w:r>
      <w:hyperlink r:id="rId1" w:history="1">
        <w:r w:rsidRPr="0004450A">
          <w:rPr>
            <w:rStyle w:val="Hyperlink"/>
            <w:rFonts w:ascii="Arial" w:eastAsia="MS Gothic" w:hAnsi="Arial" w:cs="Arial"/>
            <w:szCs w:val="21"/>
          </w:rPr>
          <w:t>http://consultations.worldbank.org/Data/hub/files/consultation-template/review-and-update-world-bank-safeguard-policies/en/meetings/safeguards_update_presentation_april_12_2014_0.pdf</w:t>
        </w:r>
      </w:hyperlink>
    </w:p>
  </w:footnote>
  <w:footnote w:id="3">
    <w:p w:rsidR="0098434D" w:rsidRPr="0004450A" w:rsidRDefault="0098434D" w:rsidP="0098434D">
      <w:pPr>
        <w:pStyle w:val="FootnoteText"/>
        <w:rPr>
          <w:rFonts w:ascii="Arial" w:eastAsia="MS Gothic" w:hAnsi="Arial" w:cs="Arial"/>
          <w:szCs w:val="21"/>
        </w:rPr>
      </w:pPr>
      <w:r w:rsidRPr="0004450A">
        <w:rPr>
          <w:rStyle w:val="FootnoteReference"/>
          <w:rFonts w:ascii="Arial" w:hAnsi="Arial" w:cs="Arial"/>
        </w:rPr>
        <w:footnoteRef/>
      </w:r>
      <w:r w:rsidRPr="0004450A">
        <w:rPr>
          <w:rFonts w:ascii="Arial" w:hAnsi="Arial" w:cs="Arial"/>
        </w:rPr>
        <w:t xml:space="preserve"> </w:t>
      </w:r>
      <w:r w:rsidRPr="0004450A">
        <w:rPr>
          <w:rFonts w:ascii="Arial" w:eastAsia="MS Gothic" w:hAnsi="Arial" w:cs="Arial"/>
          <w:szCs w:val="21"/>
        </w:rPr>
        <w:t xml:space="preserve">Independent Evaluation Group , Managing Forest Resources for Sustainable Development </w:t>
      </w:r>
    </w:p>
    <w:p w:rsidR="0098434D" w:rsidRPr="0004450A" w:rsidRDefault="001F3099" w:rsidP="0098434D">
      <w:pPr>
        <w:pStyle w:val="FootnoteText"/>
        <w:rPr>
          <w:rFonts w:ascii="Arial" w:hAnsi="Arial" w:cs="Arial"/>
        </w:rPr>
      </w:pPr>
      <w:hyperlink r:id="rId2" w:history="1">
        <w:r w:rsidR="0098434D" w:rsidRPr="0004450A">
          <w:rPr>
            <w:rStyle w:val="Hyperlink"/>
            <w:rFonts w:ascii="Arial" w:eastAsia="MS Gothic" w:hAnsi="Arial" w:cs="Arial"/>
            <w:szCs w:val="21"/>
          </w:rPr>
          <w:t>http://ieg.worldbankgroup.org/content/ieg/en/home/reports/forest.html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089"/>
    <w:multiLevelType w:val="hybridMultilevel"/>
    <w:tmpl w:val="A580BF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0B54E3"/>
    <w:multiLevelType w:val="hybridMultilevel"/>
    <w:tmpl w:val="105879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2F2CA3"/>
    <w:multiLevelType w:val="hybridMultilevel"/>
    <w:tmpl w:val="8FFE70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B86D6A"/>
    <w:multiLevelType w:val="hybridMultilevel"/>
    <w:tmpl w:val="A2286C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65448F"/>
    <w:multiLevelType w:val="hybridMultilevel"/>
    <w:tmpl w:val="B756E9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9F33F8"/>
    <w:multiLevelType w:val="hybridMultilevel"/>
    <w:tmpl w:val="28628C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547"/>
    <w:rsid w:val="000003DF"/>
    <w:rsid w:val="0004450A"/>
    <w:rsid w:val="000E5547"/>
    <w:rsid w:val="001148A5"/>
    <w:rsid w:val="001E3482"/>
    <w:rsid w:val="001F3099"/>
    <w:rsid w:val="00214689"/>
    <w:rsid w:val="002928D6"/>
    <w:rsid w:val="002E1703"/>
    <w:rsid w:val="0039094B"/>
    <w:rsid w:val="004D622D"/>
    <w:rsid w:val="00510CBD"/>
    <w:rsid w:val="00521917"/>
    <w:rsid w:val="005615FF"/>
    <w:rsid w:val="005734DF"/>
    <w:rsid w:val="006275A0"/>
    <w:rsid w:val="00642082"/>
    <w:rsid w:val="00750F6B"/>
    <w:rsid w:val="007B2B0F"/>
    <w:rsid w:val="00803410"/>
    <w:rsid w:val="008A15B9"/>
    <w:rsid w:val="00900016"/>
    <w:rsid w:val="00952B78"/>
    <w:rsid w:val="00967199"/>
    <w:rsid w:val="0098434D"/>
    <w:rsid w:val="0099084B"/>
    <w:rsid w:val="009B3F46"/>
    <w:rsid w:val="00A53D9F"/>
    <w:rsid w:val="00A65C91"/>
    <w:rsid w:val="00A83658"/>
    <w:rsid w:val="00A84ACD"/>
    <w:rsid w:val="00B13779"/>
    <w:rsid w:val="00B478FF"/>
    <w:rsid w:val="00BC0E0F"/>
    <w:rsid w:val="00C310F6"/>
    <w:rsid w:val="00C67489"/>
    <w:rsid w:val="00CB41A1"/>
    <w:rsid w:val="00D054C6"/>
    <w:rsid w:val="00D10065"/>
    <w:rsid w:val="00D36499"/>
    <w:rsid w:val="00D44652"/>
    <w:rsid w:val="00D63AE9"/>
    <w:rsid w:val="00D84BB9"/>
    <w:rsid w:val="00DA24DD"/>
    <w:rsid w:val="00DB75F9"/>
    <w:rsid w:val="00DC6401"/>
    <w:rsid w:val="00E0331E"/>
    <w:rsid w:val="00E350FD"/>
    <w:rsid w:val="00E71484"/>
    <w:rsid w:val="00E7542B"/>
    <w:rsid w:val="00E839DE"/>
    <w:rsid w:val="00ED7448"/>
    <w:rsid w:val="00F23C10"/>
    <w:rsid w:val="00FC4042"/>
    <w:rsid w:val="00FF3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34DF"/>
    <w:pPr>
      <w:tabs>
        <w:tab w:val="center" w:pos="4252"/>
        <w:tab w:val="right" w:pos="8504"/>
      </w:tabs>
      <w:snapToGrid w:val="0"/>
    </w:pPr>
  </w:style>
  <w:style w:type="character" w:customStyle="1" w:styleId="HeaderChar">
    <w:name w:val="Header Char"/>
    <w:link w:val="Header"/>
    <w:uiPriority w:val="99"/>
    <w:rsid w:val="005734DF"/>
    <w:rPr>
      <w:kern w:val="2"/>
      <w:sz w:val="21"/>
      <w:szCs w:val="22"/>
    </w:rPr>
  </w:style>
  <w:style w:type="paragraph" w:styleId="Footer">
    <w:name w:val="footer"/>
    <w:basedOn w:val="Normal"/>
    <w:link w:val="FooterChar"/>
    <w:uiPriority w:val="99"/>
    <w:unhideWhenUsed/>
    <w:rsid w:val="005734DF"/>
    <w:pPr>
      <w:tabs>
        <w:tab w:val="center" w:pos="4252"/>
        <w:tab w:val="right" w:pos="8504"/>
      </w:tabs>
      <w:snapToGrid w:val="0"/>
    </w:pPr>
  </w:style>
  <w:style w:type="character" w:customStyle="1" w:styleId="FooterChar">
    <w:name w:val="Footer Char"/>
    <w:link w:val="Footer"/>
    <w:uiPriority w:val="99"/>
    <w:rsid w:val="005734DF"/>
    <w:rPr>
      <w:kern w:val="2"/>
      <w:sz w:val="21"/>
      <w:szCs w:val="22"/>
    </w:rPr>
  </w:style>
  <w:style w:type="paragraph" w:styleId="FootnoteText">
    <w:name w:val="footnote text"/>
    <w:basedOn w:val="Normal"/>
    <w:link w:val="FootnoteTextChar"/>
    <w:uiPriority w:val="99"/>
    <w:unhideWhenUsed/>
    <w:rsid w:val="0098434D"/>
    <w:pPr>
      <w:snapToGrid w:val="0"/>
      <w:jc w:val="left"/>
    </w:pPr>
  </w:style>
  <w:style w:type="character" w:customStyle="1" w:styleId="FootnoteTextChar">
    <w:name w:val="Footnote Text Char"/>
    <w:link w:val="FootnoteText"/>
    <w:uiPriority w:val="99"/>
    <w:rsid w:val="0098434D"/>
    <w:rPr>
      <w:kern w:val="2"/>
      <w:sz w:val="21"/>
      <w:szCs w:val="22"/>
    </w:rPr>
  </w:style>
  <w:style w:type="character" w:styleId="FootnoteReference">
    <w:name w:val="footnote reference"/>
    <w:uiPriority w:val="99"/>
    <w:semiHidden/>
    <w:unhideWhenUsed/>
    <w:rsid w:val="0098434D"/>
    <w:rPr>
      <w:vertAlign w:val="superscript"/>
    </w:rPr>
  </w:style>
  <w:style w:type="character" w:styleId="Hyperlink">
    <w:name w:val="Hyperlink"/>
    <w:uiPriority w:val="99"/>
    <w:unhideWhenUsed/>
    <w:rsid w:val="0098434D"/>
    <w:rPr>
      <w:color w:val="0000FF"/>
      <w:u w:val="single"/>
    </w:rPr>
  </w:style>
  <w:style w:type="paragraph" w:styleId="Date">
    <w:name w:val="Date"/>
    <w:basedOn w:val="Normal"/>
    <w:next w:val="Normal"/>
    <w:link w:val="DateChar"/>
    <w:uiPriority w:val="99"/>
    <w:semiHidden/>
    <w:unhideWhenUsed/>
    <w:rsid w:val="0098434D"/>
  </w:style>
  <w:style w:type="character" w:customStyle="1" w:styleId="DateChar">
    <w:name w:val="Date Char"/>
    <w:link w:val="Date"/>
    <w:uiPriority w:val="99"/>
    <w:semiHidden/>
    <w:rsid w:val="0098434D"/>
    <w:rPr>
      <w:kern w:val="2"/>
      <w:sz w:val="21"/>
      <w:szCs w:val="22"/>
    </w:rPr>
  </w:style>
  <w:style w:type="paragraph" w:styleId="BalloonText">
    <w:name w:val="Balloon Text"/>
    <w:basedOn w:val="Normal"/>
    <w:link w:val="BalloonTextChar"/>
    <w:uiPriority w:val="99"/>
    <w:semiHidden/>
    <w:unhideWhenUsed/>
    <w:rsid w:val="0099084B"/>
    <w:rPr>
      <w:rFonts w:ascii="Arial" w:eastAsia="MS Gothic" w:hAnsi="Arial"/>
      <w:sz w:val="18"/>
      <w:szCs w:val="18"/>
    </w:rPr>
  </w:style>
  <w:style w:type="character" w:customStyle="1" w:styleId="BalloonTextChar">
    <w:name w:val="Balloon Text Char"/>
    <w:link w:val="BalloonText"/>
    <w:uiPriority w:val="99"/>
    <w:semiHidden/>
    <w:rsid w:val="0099084B"/>
    <w:rPr>
      <w:rFonts w:ascii="Arial" w:eastAsia="MS Gothic" w:hAnsi="Arial" w:cs="Times New Roman"/>
      <w:kern w:val="2"/>
      <w:sz w:val="18"/>
      <w:szCs w:val="18"/>
    </w:rPr>
  </w:style>
  <w:style w:type="character" w:styleId="CommentReference">
    <w:name w:val="annotation reference"/>
    <w:uiPriority w:val="99"/>
    <w:semiHidden/>
    <w:unhideWhenUsed/>
    <w:rsid w:val="00E0331E"/>
    <w:rPr>
      <w:sz w:val="16"/>
      <w:szCs w:val="16"/>
    </w:rPr>
  </w:style>
  <w:style w:type="paragraph" w:styleId="CommentText">
    <w:name w:val="annotation text"/>
    <w:basedOn w:val="Normal"/>
    <w:link w:val="CommentTextChar"/>
    <w:uiPriority w:val="99"/>
    <w:semiHidden/>
    <w:unhideWhenUsed/>
    <w:rsid w:val="00E0331E"/>
    <w:rPr>
      <w:sz w:val="20"/>
      <w:szCs w:val="20"/>
    </w:rPr>
  </w:style>
  <w:style w:type="character" w:customStyle="1" w:styleId="CommentTextChar">
    <w:name w:val="Comment Text Char"/>
    <w:basedOn w:val="DefaultParagraphFont"/>
    <w:link w:val="CommentText"/>
    <w:uiPriority w:val="99"/>
    <w:semiHidden/>
    <w:rsid w:val="00E0331E"/>
    <w:rPr>
      <w:kern w:val="2"/>
      <w:lang w:eastAsia="ja-JP"/>
    </w:rPr>
  </w:style>
  <w:style w:type="paragraph" w:styleId="CommentSubject">
    <w:name w:val="annotation subject"/>
    <w:basedOn w:val="CommentText"/>
    <w:next w:val="CommentText"/>
    <w:link w:val="CommentSubjectChar"/>
    <w:uiPriority w:val="99"/>
    <w:semiHidden/>
    <w:unhideWhenUsed/>
    <w:rsid w:val="00E0331E"/>
    <w:rPr>
      <w:b/>
      <w:bCs/>
    </w:rPr>
  </w:style>
  <w:style w:type="character" w:customStyle="1" w:styleId="CommentSubjectChar">
    <w:name w:val="Comment Subject Char"/>
    <w:basedOn w:val="CommentTextChar"/>
    <w:link w:val="CommentSubject"/>
    <w:uiPriority w:val="99"/>
    <w:semiHidden/>
    <w:rsid w:val="00E0331E"/>
    <w:rPr>
      <w:b/>
      <w:bCs/>
      <w:kern w:val="2"/>
      <w:lang w:eastAsia="ja-JP"/>
    </w:rPr>
  </w:style>
  <w:style w:type="paragraph" w:styleId="Revision">
    <w:name w:val="Revision"/>
    <w:hidden/>
    <w:uiPriority w:val="99"/>
    <w:semiHidden/>
    <w:rsid w:val="00E0331E"/>
    <w:rPr>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34DF"/>
    <w:pPr>
      <w:tabs>
        <w:tab w:val="center" w:pos="4252"/>
        <w:tab w:val="right" w:pos="8504"/>
      </w:tabs>
      <w:snapToGrid w:val="0"/>
    </w:pPr>
  </w:style>
  <w:style w:type="character" w:customStyle="1" w:styleId="HeaderChar">
    <w:name w:val="Header Char"/>
    <w:link w:val="Header"/>
    <w:uiPriority w:val="99"/>
    <w:rsid w:val="005734DF"/>
    <w:rPr>
      <w:kern w:val="2"/>
      <w:sz w:val="21"/>
      <w:szCs w:val="22"/>
    </w:rPr>
  </w:style>
  <w:style w:type="paragraph" w:styleId="Footer">
    <w:name w:val="footer"/>
    <w:basedOn w:val="Normal"/>
    <w:link w:val="FooterChar"/>
    <w:uiPriority w:val="99"/>
    <w:unhideWhenUsed/>
    <w:rsid w:val="005734DF"/>
    <w:pPr>
      <w:tabs>
        <w:tab w:val="center" w:pos="4252"/>
        <w:tab w:val="right" w:pos="8504"/>
      </w:tabs>
      <w:snapToGrid w:val="0"/>
    </w:pPr>
  </w:style>
  <w:style w:type="character" w:customStyle="1" w:styleId="FooterChar">
    <w:name w:val="Footer Char"/>
    <w:link w:val="Footer"/>
    <w:uiPriority w:val="99"/>
    <w:rsid w:val="005734DF"/>
    <w:rPr>
      <w:kern w:val="2"/>
      <w:sz w:val="21"/>
      <w:szCs w:val="22"/>
    </w:rPr>
  </w:style>
  <w:style w:type="paragraph" w:styleId="FootnoteText">
    <w:name w:val="footnote text"/>
    <w:basedOn w:val="Normal"/>
    <w:link w:val="FootnoteTextChar"/>
    <w:uiPriority w:val="99"/>
    <w:unhideWhenUsed/>
    <w:rsid w:val="0098434D"/>
    <w:pPr>
      <w:snapToGrid w:val="0"/>
      <w:jc w:val="left"/>
    </w:pPr>
  </w:style>
  <w:style w:type="character" w:customStyle="1" w:styleId="FootnoteTextChar">
    <w:name w:val="Footnote Text Char"/>
    <w:link w:val="FootnoteText"/>
    <w:uiPriority w:val="99"/>
    <w:rsid w:val="0098434D"/>
    <w:rPr>
      <w:kern w:val="2"/>
      <w:sz w:val="21"/>
      <w:szCs w:val="22"/>
    </w:rPr>
  </w:style>
  <w:style w:type="character" w:styleId="FootnoteReference">
    <w:name w:val="footnote reference"/>
    <w:uiPriority w:val="99"/>
    <w:semiHidden/>
    <w:unhideWhenUsed/>
    <w:rsid w:val="0098434D"/>
    <w:rPr>
      <w:vertAlign w:val="superscript"/>
    </w:rPr>
  </w:style>
  <w:style w:type="character" w:styleId="Hyperlink">
    <w:name w:val="Hyperlink"/>
    <w:uiPriority w:val="99"/>
    <w:unhideWhenUsed/>
    <w:rsid w:val="0098434D"/>
    <w:rPr>
      <w:color w:val="0000FF"/>
      <w:u w:val="single"/>
    </w:rPr>
  </w:style>
  <w:style w:type="paragraph" w:styleId="Date">
    <w:name w:val="Date"/>
    <w:basedOn w:val="Normal"/>
    <w:next w:val="Normal"/>
    <w:link w:val="DateChar"/>
    <w:uiPriority w:val="99"/>
    <w:semiHidden/>
    <w:unhideWhenUsed/>
    <w:rsid w:val="0098434D"/>
  </w:style>
  <w:style w:type="character" w:customStyle="1" w:styleId="DateChar">
    <w:name w:val="Date Char"/>
    <w:link w:val="Date"/>
    <w:uiPriority w:val="99"/>
    <w:semiHidden/>
    <w:rsid w:val="0098434D"/>
    <w:rPr>
      <w:kern w:val="2"/>
      <w:sz w:val="21"/>
      <w:szCs w:val="22"/>
    </w:rPr>
  </w:style>
  <w:style w:type="paragraph" w:styleId="BalloonText">
    <w:name w:val="Balloon Text"/>
    <w:basedOn w:val="Normal"/>
    <w:link w:val="BalloonTextChar"/>
    <w:uiPriority w:val="99"/>
    <w:semiHidden/>
    <w:unhideWhenUsed/>
    <w:rsid w:val="0099084B"/>
    <w:rPr>
      <w:rFonts w:ascii="Arial" w:eastAsia="MS Gothic" w:hAnsi="Arial"/>
      <w:sz w:val="18"/>
      <w:szCs w:val="18"/>
    </w:rPr>
  </w:style>
  <w:style w:type="character" w:customStyle="1" w:styleId="BalloonTextChar">
    <w:name w:val="Balloon Text Char"/>
    <w:link w:val="BalloonText"/>
    <w:uiPriority w:val="99"/>
    <w:semiHidden/>
    <w:rsid w:val="0099084B"/>
    <w:rPr>
      <w:rFonts w:ascii="Arial" w:eastAsia="MS Gothic" w:hAnsi="Arial" w:cs="Times New Roman"/>
      <w:kern w:val="2"/>
      <w:sz w:val="18"/>
      <w:szCs w:val="18"/>
    </w:rPr>
  </w:style>
  <w:style w:type="character" w:styleId="CommentReference">
    <w:name w:val="annotation reference"/>
    <w:uiPriority w:val="99"/>
    <w:semiHidden/>
    <w:unhideWhenUsed/>
    <w:rsid w:val="00E0331E"/>
    <w:rPr>
      <w:sz w:val="16"/>
      <w:szCs w:val="16"/>
    </w:rPr>
  </w:style>
  <w:style w:type="paragraph" w:styleId="CommentText">
    <w:name w:val="annotation text"/>
    <w:basedOn w:val="Normal"/>
    <w:link w:val="CommentTextChar"/>
    <w:uiPriority w:val="99"/>
    <w:semiHidden/>
    <w:unhideWhenUsed/>
    <w:rsid w:val="00E0331E"/>
    <w:rPr>
      <w:sz w:val="20"/>
      <w:szCs w:val="20"/>
    </w:rPr>
  </w:style>
  <w:style w:type="character" w:customStyle="1" w:styleId="CommentTextChar">
    <w:name w:val="Comment Text Char"/>
    <w:basedOn w:val="DefaultParagraphFont"/>
    <w:link w:val="CommentText"/>
    <w:uiPriority w:val="99"/>
    <w:semiHidden/>
    <w:rsid w:val="00E0331E"/>
    <w:rPr>
      <w:kern w:val="2"/>
      <w:lang w:eastAsia="ja-JP"/>
    </w:rPr>
  </w:style>
  <w:style w:type="paragraph" w:styleId="CommentSubject">
    <w:name w:val="annotation subject"/>
    <w:basedOn w:val="CommentText"/>
    <w:next w:val="CommentText"/>
    <w:link w:val="CommentSubjectChar"/>
    <w:uiPriority w:val="99"/>
    <w:semiHidden/>
    <w:unhideWhenUsed/>
    <w:rsid w:val="00E0331E"/>
    <w:rPr>
      <w:b/>
      <w:bCs/>
    </w:rPr>
  </w:style>
  <w:style w:type="character" w:customStyle="1" w:styleId="CommentSubjectChar">
    <w:name w:val="Comment Subject Char"/>
    <w:basedOn w:val="CommentTextChar"/>
    <w:link w:val="CommentSubject"/>
    <w:uiPriority w:val="99"/>
    <w:semiHidden/>
    <w:rsid w:val="00E0331E"/>
    <w:rPr>
      <w:b/>
      <w:bCs/>
      <w:kern w:val="2"/>
      <w:lang w:eastAsia="ja-JP"/>
    </w:rPr>
  </w:style>
  <w:style w:type="paragraph" w:styleId="Revision">
    <w:name w:val="Revision"/>
    <w:hidden/>
    <w:uiPriority w:val="99"/>
    <w:semiHidden/>
    <w:rsid w:val="00E0331E"/>
    <w:rPr>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ieg.worldbankgroup.org/content/ieg/en/home/reports/forest.html" TargetMode="External"/><Relationship Id="rId1" Type="http://schemas.openxmlformats.org/officeDocument/2006/relationships/hyperlink" Target="http://consultations.worldbank.org/Data/hub/files/consultation-template/review-and-update-world-bank-safeguard-policies/en/meetings/safeguards_update_presentation_april_12_201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BBE7-E109-4348-B86A-825D143BE668}">
  <ds:schemaRefs>
    <ds:schemaRef ds:uri="http://schemas.openxmlformats.org/officeDocument/2006/bibliography"/>
  </ds:schemaRefs>
</ds:datastoreItem>
</file>

<file path=customXml/itemProps2.xml><?xml version="1.0" encoding="utf-8"?>
<ds:datastoreItem xmlns:ds="http://schemas.openxmlformats.org/officeDocument/2006/customXml" ds:itemID="{58D4350C-DEF4-491B-B3AF-0BFE5ADA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991</Words>
  <Characters>5651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6629</CharactersWithSpaces>
  <SharedDoc>false</SharedDoc>
  <HLinks>
    <vt:vector size="12" baseType="variant">
      <vt:variant>
        <vt:i4>4456529</vt:i4>
      </vt:variant>
      <vt:variant>
        <vt:i4>3</vt:i4>
      </vt:variant>
      <vt:variant>
        <vt:i4>0</vt:i4>
      </vt:variant>
      <vt:variant>
        <vt:i4>5</vt:i4>
      </vt:variant>
      <vt:variant>
        <vt:lpwstr>http://ieg.worldbankgroup.org/content/ieg/en/home/reports/forest.html</vt:lpwstr>
      </vt:variant>
      <vt:variant>
        <vt:lpwstr/>
      </vt:variant>
      <vt:variant>
        <vt:i4>3473444</vt:i4>
      </vt:variant>
      <vt:variant>
        <vt:i4>0</vt:i4>
      </vt:variant>
      <vt:variant>
        <vt:i4>0</vt:i4>
      </vt:variant>
      <vt:variant>
        <vt:i4>5</vt:i4>
      </vt:variant>
      <vt:variant>
        <vt:lpwstr>http://consultations.worldbank.org/Data/hub/files/consultation-template/review-and-update-world-bank-safeguard-policies/en/meetings/safeguards_update_presentation_april_12_2014_0.pdf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Tanabe</dc:creator>
  <cp:lastModifiedBy>Jennifer Chato</cp:lastModifiedBy>
  <cp:revision>3</cp:revision>
  <cp:lastPrinted>2014-07-29T18:19:00Z</cp:lastPrinted>
  <dcterms:created xsi:type="dcterms:W3CDTF">2014-07-29T18:19:00Z</dcterms:created>
  <dcterms:modified xsi:type="dcterms:W3CDTF">2014-07-29T18:20:00Z</dcterms:modified>
</cp:coreProperties>
</file>