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E9" w:rsidRDefault="00FB0DE9" w:rsidP="00FB0DE9">
      <w:pPr>
        <w:pStyle w:val="Title"/>
        <w:jc w:val="center"/>
        <w:rPr>
          <w:rFonts w:asciiTheme="majorHAnsi" w:hAnsiTheme="majorHAnsi"/>
          <w:color w:val="323E4F" w:themeColor="text2" w:themeShade="BF"/>
          <w:sz w:val="32"/>
          <w:szCs w:val="32"/>
        </w:rPr>
      </w:pPr>
      <w:bookmarkStart w:id="0" w:name="_GoBack"/>
      <w:bookmarkEnd w:id="0"/>
      <w:r>
        <w:rPr>
          <w:rFonts w:ascii="Arial" w:hAnsi="Arial" w:cs="Arial"/>
          <w:noProof/>
          <w:color w:val="000000"/>
          <w:sz w:val="18"/>
          <w:szCs w:val="18"/>
        </w:rPr>
        <w:drawing>
          <wp:inline distT="0" distB="0" distL="0" distR="0" wp14:anchorId="065EAFF7" wp14:editId="79913A65">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rsidR="00FB0DE9" w:rsidRPr="00A83CEC" w:rsidRDefault="00FB0DE9" w:rsidP="00FB0DE9">
      <w:pPr>
        <w:spacing w:after="0"/>
        <w:jc w:val="center"/>
        <w:rPr>
          <w:rFonts w:cstheme="minorHAnsi"/>
          <w:b/>
          <w:color w:val="2E74B5" w:themeColor="accent1" w:themeShade="BF"/>
          <w:sz w:val="28"/>
          <w:szCs w:val="28"/>
        </w:rPr>
      </w:pPr>
      <w:r w:rsidRPr="00A83CEC">
        <w:rPr>
          <w:rFonts w:cstheme="minorHAnsi"/>
          <w:b/>
          <w:color w:val="2E74B5" w:themeColor="accent1" w:themeShade="BF"/>
          <w:sz w:val="28"/>
          <w:szCs w:val="28"/>
        </w:rPr>
        <w:t>Review and Update of the World Bank’s Environmental and Social Safeguard Policies</w:t>
      </w:r>
    </w:p>
    <w:p w:rsidR="00FB0DE9" w:rsidRPr="00357CFE" w:rsidRDefault="00FB0DE9" w:rsidP="00FB0DE9">
      <w:pPr>
        <w:pStyle w:val="Title"/>
        <w:spacing w:after="0"/>
        <w:jc w:val="center"/>
        <w:rPr>
          <w:rFonts w:asciiTheme="minorHAnsi" w:hAnsiTheme="minorHAnsi" w:cstheme="minorBidi"/>
          <w:b/>
          <w:color w:val="2E74B5" w:themeColor="accent1" w:themeShade="BF"/>
          <w:sz w:val="28"/>
          <w:szCs w:val="28"/>
          <w:lang w:bidi="ar-LB"/>
        </w:rPr>
      </w:pPr>
      <w:r w:rsidRPr="00357CFE">
        <w:rPr>
          <w:rFonts w:asciiTheme="minorHAnsi" w:hAnsiTheme="minorHAnsi" w:cstheme="minorHAnsi"/>
          <w:b/>
          <w:color w:val="2E74B5" w:themeColor="accent1" w:themeShade="BF"/>
          <w:sz w:val="28"/>
          <w:szCs w:val="28"/>
        </w:rPr>
        <w:t xml:space="preserve">Phase </w:t>
      </w:r>
      <w:r w:rsidRPr="00357CFE">
        <w:rPr>
          <w:rFonts w:asciiTheme="minorHAnsi" w:hAnsiTheme="minorHAnsi" w:cstheme="minorHAnsi" w:hint="cs"/>
          <w:bCs/>
          <w:color w:val="2E74B5" w:themeColor="accent1" w:themeShade="BF"/>
          <w:sz w:val="28"/>
          <w:szCs w:val="28"/>
          <w:rtl/>
        </w:rPr>
        <w:t>3</w:t>
      </w:r>
    </w:p>
    <w:p w:rsidR="00FB0DE9" w:rsidRPr="00A14AA5" w:rsidRDefault="00FB0DE9" w:rsidP="00FB0DE9">
      <w:pPr>
        <w:pStyle w:val="Title"/>
        <w:spacing w:after="0"/>
        <w:jc w:val="center"/>
        <w:rPr>
          <w:rFonts w:asciiTheme="minorHAnsi" w:hAnsiTheme="minorHAnsi" w:cstheme="minorHAnsi"/>
          <w:b/>
          <w:color w:val="2E74B5" w:themeColor="accent1" w:themeShade="BF"/>
          <w:sz w:val="28"/>
          <w:szCs w:val="28"/>
        </w:rPr>
      </w:pPr>
      <w:r>
        <w:rPr>
          <w:rFonts w:asciiTheme="minorHAnsi" w:hAnsiTheme="minorHAnsi" w:cstheme="minorHAnsi"/>
          <w:b/>
          <w:color w:val="2E74B5" w:themeColor="accent1" w:themeShade="BF"/>
          <w:sz w:val="28"/>
          <w:szCs w:val="28"/>
        </w:rPr>
        <w:t>Feedback Summary</w:t>
      </w:r>
    </w:p>
    <w:p w:rsidR="00FB0DE9" w:rsidRDefault="00FB0DE9"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p w:rsidR="00944F46" w:rsidRPr="00944F46"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sz w:val="22"/>
          <w:szCs w:val="22"/>
          <w:lang w:val="en-US"/>
        </w:rPr>
      </w:pPr>
      <w:r w:rsidRPr="00944F46">
        <w:rPr>
          <w:rFonts w:asciiTheme="majorBidi" w:hAnsiTheme="majorBidi" w:cstheme="majorBidi"/>
          <w:b/>
          <w:bCs/>
          <w:sz w:val="22"/>
          <w:szCs w:val="22"/>
          <w:lang w:val="en-US"/>
        </w:rPr>
        <w:t xml:space="preserve">Date: </w:t>
      </w:r>
      <w:r w:rsidR="002F2DA6">
        <w:rPr>
          <w:rFonts w:asciiTheme="majorBidi" w:hAnsiTheme="majorBidi" w:cstheme="majorBidi"/>
          <w:b/>
          <w:bCs/>
          <w:sz w:val="22"/>
          <w:szCs w:val="22"/>
          <w:lang w:val="en-US"/>
        </w:rPr>
        <w:t>January 1</w:t>
      </w:r>
      <w:r w:rsidR="00B57199">
        <w:rPr>
          <w:rFonts w:asciiTheme="majorBidi" w:hAnsiTheme="majorBidi" w:cstheme="majorBidi"/>
          <w:b/>
          <w:bCs/>
          <w:sz w:val="22"/>
          <w:szCs w:val="22"/>
          <w:lang w:val="en-US"/>
        </w:rPr>
        <w:t>5</w:t>
      </w:r>
      <w:r w:rsidR="0059508D">
        <w:rPr>
          <w:rFonts w:asciiTheme="majorBidi" w:hAnsiTheme="majorBidi" w:cstheme="majorBidi"/>
          <w:b/>
          <w:bCs/>
          <w:sz w:val="22"/>
          <w:szCs w:val="22"/>
          <w:lang w:val="en-US"/>
        </w:rPr>
        <w:t>,</w:t>
      </w:r>
      <w:r w:rsidR="00C93484">
        <w:rPr>
          <w:rFonts w:asciiTheme="majorBidi" w:hAnsiTheme="majorBidi" w:cstheme="majorBidi"/>
          <w:b/>
          <w:bCs/>
          <w:sz w:val="22"/>
          <w:szCs w:val="22"/>
          <w:lang w:val="en-US"/>
        </w:rPr>
        <w:t xml:space="preserve"> </w:t>
      </w:r>
      <w:r w:rsidR="0059508D">
        <w:rPr>
          <w:rFonts w:asciiTheme="majorBidi" w:hAnsiTheme="majorBidi" w:cstheme="majorBidi"/>
          <w:b/>
          <w:bCs/>
          <w:sz w:val="22"/>
          <w:szCs w:val="22"/>
          <w:lang w:val="en-US"/>
        </w:rPr>
        <w:t>201</w:t>
      </w:r>
      <w:r w:rsidR="002F2DA6">
        <w:rPr>
          <w:rFonts w:asciiTheme="majorBidi" w:hAnsiTheme="majorBidi" w:cstheme="majorBidi"/>
          <w:b/>
          <w:bCs/>
          <w:sz w:val="22"/>
          <w:szCs w:val="22"/>
          <w:lang w:val="en-US"/>
        </w:rPr>
        <w:t>6</w:t>
      </w:r>
    </w:p>
    <w:p w:rsidR="00944F46" w:rsidRPr="00944F46"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r w:rsidRPr="00944F46">
        <w:rPr>
          <w:rFonts w:asciiTheme="majorBidi" w:hAnsiTheme="majorBidi" w:cstheme="majorBidi"/>
          <w:b/>
          <w:bCs/>
          <w:sz w:val="22"/>
          <w:szCs w:val="22"/>
          <w:lang w:val="en-US"/>
        </w:rPr>
        <w:t xml:space="preserve">Location (City, Country): </w:t>
      </w:r>
      <w:r w:rsidR="002F2DA6">
        <w:rPr>
          <w:rFonts w:asciiTheme="majorBidi" w:hAnsiTheme="majorBidi" w:cstheme="majorBidi"/>
          <w:b/>
          <w:bCs/>
          <w:sz w:val="22"/>
          <w:szCs w:val="22"/>
          <w:lang w:val="en-US"/>
        </w:rPr>
        <w:t>KIGALI, RWANDA</w:t>
      </w:r>
    </w:p>
    <w:p w:rsidR="00944F46" w:rsidRDefault="00C93484"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r>
        <w:rPr>
          <w:rFonts w:asciiTheme="majorBidi" w:hAnsiTheme="majorBidi" w:cstheme="majorBidi"/>
          <w:b/>
          <w:bCs/>
          <w:sz w:val="22"/>
          <w:szCs w:val="22"/>
          <w:lang w:val="en-US"/>
        </w:rPr>
        <w:t>Audience</w:t>
      </w:r>
      <w:r w:rsidR="007269F7">
        <w:rPr>
          <w:rFonts w:asciiTheme="majorBidi" w:hAnsiTheme="majorBidi" w:cstheme="majorBidi"/>
          <w:b/>
          <w:bCs/>
          <w:sz w:val="22"/>
          <w:szCs w:val="22"/>
          <w:lang w:val="en-US"/>
        </w:rPr>
        <w:t xml:space="preserve">: </w:t>
      </w:r>
      <w:r w:rsidR="00B21C83">
        <w:rPr>
          <w:rFonts w:asciiTheme="majorBidi" w:hAnsiTheme="majorBidi" w:cstheme="majorBidi"/>
          <w:b/>
          <w:bCs/>
          <w:sz w:val="22"/>
          <w:szCs w:val="22"/>
          <w:lang w:val="en-US"/>
        </w:rPr>
        <w:t>CSOs/NGOs</w:t>
      </w:r>
    </w:p>
    <w:p w:rsidR="001A7BCD" w:rsidRDefault="001A7BCD"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r>
        <w:rPr>
          <w:rFonts w:asciiTheme="majorBidi" w:hAnsiTheme="majorBidi" w:cstheme="majorBidi"/>
          <w:b/>
          <w:bCs/>
          <w:sz w:val="22"/>
          <w:szCs w:val="22"/>
          <w:lang w:val="en-US"/>
        </w:rPr>
        <w:t xml:space="preserve">Key: </w:t>
      </w:r>
      <w:r>
        <w:rPr>
          <w:rFonts w:asciiTheme="majorBidi" w:hAnsiTheme="majorBidi" w:cstheme="majorBidi"/>
          <w:b/>
          <w:bCs/>
          <w:sz w:val="22"/>
          <w:szCs w:val="22"/>
          <w:lang w:val="en-US"/>
        </w:rPr>
        <w:tab/>
        <w:t>C = Comment</w:t>
      </w:r>
    </w:p>
    <w:p w:rsidR="001A7BCD" w:rsidRDefault="001A7BCD"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r>
        <w:rPr>
          <w:rFonts w:asciiTheme="majorBidi" w:hAnsiTheme="majorBidi" w:cstheme="majorBidi"/>
          <w:b/>
          <w:bCs/>
          <w:sz w:val="22"/>
          <w:szCs w:val="22"/>
          <w:lang w:val="en-US"/>
        </w:rPr>
        <w:tab/>
        <w:t>Q = Question</w:t>
      </w:r>
    </w:p>
    <w:p w:rsidR="00944F46" w:rsidRPr="00944F46" w:rsidRDefault="00944F46" w:rsidP="00944F4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tbl>
      <w:tblPr>
        <w:tblStyle w:val="TableGrid"/>
        <w:tblW w:w="14305" w:type="dxa"/>
        <w:tblLayout w:type="fixed"/>
        <w:tblLook w:val="04A0" w:firstRow="1" w:lastRow="0" w:firstColumn="1" w:lastColumn="0" w:noHBand="0" w:noVBand="1"/>
      </w:tblPr>
      <w:tblGrid>
        <w:gridCol w:w="985"/>
        <w:gridCol w:w="2160"/>
        <w:gridCol w:w="3420"/>
        <w:gridCol w:w="7740"/>
      </w:tblGrid>
      <w:tr w:rsidR="00944F46" w:rsidRPr="00F248C2" w:rsidTr="007F0150">
        <w:tc>
          <w:tcPr>
            <w:tcW w:w="985"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Pr>
                <w:rFonts w:ascii="Times New Roman" w:hAnsi="Times New Roman" w:cs="Times New Roman"/>
                <w:b/>
                <w:sz w:val="24"/>
                <w:szCs w:val="24"/>
              </w:rPr>
              <w:t>ESF</w:t>
            </w:r>
          </w:p>
        </w:tc>
        <w:tc>
          <w:tcPr>
            <w:tcW w:w="2160"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sidRPr="00F248C2">
              <w:rPr>
                <w:rFonts w:ascii="Times New Roman" w:hAnsi="Times New Roman" w:cs="Times New Roman"/>
                <w:b/>
                <w:sz w:val="24"/>
                <w:szCs w:val="24"/>
              </w:rPr>
              <w:t>Issue</w:t>
            </w:r>
          </w:p>
        </w:tc>
        <w:tc>
          <w:tcPr>
            <w:tcW w:w="3420"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sidRPr="00F248C2">
              <w:rPr>
                <w:rFonts w:ascii="Times New Roman" w:hAnsi="Times New Roman" w:cs="Times New Roman"/>
                <w:b/>
                <w:sz w:val="24"/>
                <w:szCs w:val="24"/>
              </w:rPr>
              <w:t>Items</w:t>
            </w:r>
          </w:p>
        </w:tc>
        <w:tc>
          <w:tcPr>
            <w:tcW w:w="7740"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Pr>
                <w:rFonts w:ascii="Times New Roman" w:hAnsi="Times New Roman" w:cs="Times New Roman"/>
                <w:b/>
                <w:sz w:val="24"/>
                <w:szCs w:val="24"/>
              </w:rPr>
              <w:t>Feedback</w:t>
            </w:r>
          </w:p>
        </w:tc>
      </w:tr>
      <w:tr w:rsidR="00944F46" w:rsidRPr="001A7BCD" w:rsidTr="007F0150">
        <w:tc>
          <w:tcPr>
            <w:tcW w:w="985" w:type="dxa"/>
            <w:shd w:val="clear" w:color="auto" w:fill="E7E6E6" w:themeFill="background2"/>
          </w:tcPr>
          <w:p w:rsidR="00944F46" w:rsidRPr="007F0150" w:rsidRDefault="00944F46" w:rsidP="00F248C2">
            <w:pPr>
              <w:rPr>
                <w:rFonts w:ascii="Times New Roman" w:hAnsi="Times New Roman" w:cs="Times New Roman"/>
                <w:color w:val="000000"/>
                <w:sz w:val="24"/>
                <w:szCs w:val="24"/>
              </w:rPr>
            </w:pPr>
            <w:r w:rsidRPr="007F0150">
              <w:rPr>
                <w:rFonts w:ascii="Times New Roman" w:hAnsi="Times New Roman" w:cs="Times New Roman"/>
                <w:color w:val="000000"/>
                <w:sz w:val="24"/>
                <w:szCs w:val="24"/>
              </w:rPr>
              <w:t>Vision</w:t>
            </w:r>
          </w:p>
        </w:tc>
        <w:tc>
          <w:tcPr>
            <w:tcW w:w="2160" w:type="dxa"/>
            <w:shd w:val="clear" w:color="auto" w:fill="E7E6E6" w:themeFill="background2"/>
          </w:tcPr>
          <w:p w:rsidR="00944F46" w:rsidRPr="007F0150" w:rsidRDefault="00944F46" w:rsidP="00F248C2">
            <w:pPr>
              <w:rPr>
                <w:rFonts w:ascii="Times New Roman" w:hAnsi="Times New Roman" w:cs="Times New Roman"/>
                <w:color w:val="000000"/>
                <w:sz w:val="24"/>
                <w:szCs w:val="24"/>
              </w:rPr>
            </w:pPr>
            <w:r w:rsidRPr="007F0150">
              <w:rPr>
                <w:rFonts w:ascii="Times New Roman" w:hAnsi="Times New Roman" w:cs="Times New Roman"/>
                <w:color w:val="000000"/>
                <w:sz w:val="24"/>
                <w:szCs w:val="24"/>
              </w:rPr>
              <w:t xml:space="preserve">Human Rights </w:t>
            </w:r>
          </w:p>
        </w:tc>
        <w:tc>
          <w:tcPr>
            <w:tcW w:w="3420" w:type="dxa"/>
            <w:shd w:val="clear" w:color="auto" w:fill="E7E6E6" w:themeFill="background2"/>
          </w:tcPr>
          <w:p w:rsidR="00944F46" w:rsidRPr="007F0150" w:rsidRDefault="00944F46" w:rsidP="002F2DA6">
            <w:pPr>
              <w:pStyle w:val="ListParagraph"/>
              <w:numPr>
                <w:ilvl w:val="0"/>
                <w:numId w:val="11"/>
              </w:numPr>
              <w:rPr>
                <w:rFonts w:ascii="Times New Roman" w:hAnsi="Times New Roman"/>
                <w:color w:val="000000"/>
                <w:sz w:val="24"/>
                <w:szCs w:val="24"/>
              </w:rPr>
            </w:pPr>
            <w:r w:rsidRPr="007F0150">
              <w:rPr>
                <w:rFonts w:ascii="Times New Roman" w:hAnsi="Times New Roman"/>
                <w:color w:val="000000"/>
                <w:sz w:val="24"/>
                <w:szCs w:val="24"/>
              </w:rPr>
              <w:t xml:space="preserve">Approach to  human rights in the ESF </w:t>
            </w:r>
          </w:p>
        </w:tc>
        <w:tc>
          <w:tcPr>
            <w:tcW w:w="7740" w:type="dxa"/>
          </w:tcPr>
          <w:p w:rsidR="00825930" w:rsidRDefault="007F528B" w:rsidP="009261B1">
            <w:pPr>
              <w:spacing w:before="120"/>
              <w:contextualSpacing/>
              <w:jc w:val="both"/>
              <w:rPr>
                <w:rFonts w:ascii="Times New Roman" w:hAnsi="Times New Roman" w:cs="Times New Roman"/>
                <w:sz w:val="24"/>
                <w:szCs w:val="24"/>
              </w:rPr>
            </w:pPr>
            <w:r>
              <w:rPr>
                <w:rFonts w:ascii="Times New Roman" w:hAnsi="Times New Roman" w:cs="Times New Roman"/>
                <w:sz w:val="24"/>
                <w:szCs w:val="24"/>
              </w:rPr>
              <w:t>C: Economic development cannot be separated from politics and human rights issues.</w:t>
            </w:r>
          </w:p>
          <w:p w:rsidR="00EF1900" w:rsidRDefault="00EF1900" w:rsidP="009261B1">
            <w:pPr>
              <w:spacing w:before="120"/>
              <w:contextualSpacing/>
              <w:jc w:val="both"/>
              <w:rPr>
                <w:rFonts w:ascii="Times New Roman" w:hAnsi="Times New Roman" w:cs="Times New Roman"/>
                <w:sz w:val="24"/>
                <w:szCs w:val="24"/>
              </w:rPr>
            </w:pPr>
          </w:p>
          <w:p w:rsidR="00EF1900" w:rsidRDefault="00EF1900" w:rsidP="00EF1900">
            <w:pPr>
              <w:spacing w:before="120"/>
              <w:contextualSpacing/>
              <w:jc w:val="both"/>
              <w:rPr>
                <w:rFonts w:ascii="Times New Roman" w:hAnsi="Times New Roman" w:cs="Times New Roman"/>
                <w:sz w:val="24"/>
                <w:szCs w:val="24"/>
              </w:rPr>
            </w:pPr>
            <w:r>
              <w:rPr>
                <w:rFonts w:ascii="Times New Roman" w:hAnsi="Times New Roman" w:cs="Times New Roman"/>
                <w:sz w:val="24"/>
                <w:szCs w:val="24"/>
              </w:rPr>
              <w:t>C: Addressing human rights in this ESF leads to more effective participation by people in Bank projects. Active participation by poor and vulnerable people is essential.</w:t>
            </w:r>
          </w:p>
          <w:p w:rsidR="00541263" w:rsidRDefault="00541263" w:rsidP="00EF1900">
            <w:pPr>
              <w:spacing w:before="120"/>
              <w:contextualSpacing/>
              <w:jc w:val="both"/>
              <w:rPr>
                <w:rFonts w:ascii="Times New Roman" w:hAnsi="Times New Roman" w:cs="Times New Roman"/>
                <w:sz w:val="24"/>
                <w:szCs w:val="24"/>
              </w:rPr>
            </w:pPr>
          </w:p>
          <w:p w:rsidR="00541263" w:rsidRPr="001A7BCD" w:rsidRDefault="00541263" w:rsidP="002918AA">
            <w:pPr>
              <w:spacing w:before="120"/>
              <w:contextualSpacing/>
              <w:jc w:val="both"/>
              <w:rPr>
                <w:rFonts w:ascii="Times New Roman" w:hAnsi="Times New Roman" w:cs="Times New Roman"/>
                <w:sz w:val="24"/>
                <w:szCs w:val="24"/>
              </w:rPr>
            </w:pPr>
            <w:r>
              <w:rPr>
                <w:rFonts w:ascii="Times New Roman" w:hAnsi="Times New Roman" w:cs="Times New Roman"/>
                <w:sz w:val="24"/>
                <w:szCs w:val="24"/>
              </w:rPr>
              <w:t xml:space="preserve">Q: How does this ESF hold governments accountable for human rights, especially when basic services, such as health, don’t work? </w:t>
            </w:r>
            <w:r w:rsidR="002918AA">
              <w:rPr>
                <w:rFonts w:ascii="Times New Roman" w:hAnsi="Times New Roman" w:cs="Times New Roman"/>
                <w:sz w:val="24"/>
                <w:szCs w:val="24"/>
              </w:rPr>
              <w:t xml:space="preserve">How does the ESF hold the Bank accountable? Remember that when the Bank suspends lending, it is the </w:t>
            </w:r>
            <w:r>
              <w:rPr>
                <w:rFonts w:ascii="Times New Roman" w:hAnsi="Times New Roman" w:cs="Times New Roman"/>
                <w:sz w:val="24"/>
                <w:szCs w:val="24"/>
              </w:rPr>
              <w:t>vulnerable populations</w:t>
            </w:r>
            <w:r w:rsidR="002918AA">
              <w:rPr>
                <w:rFonts w:ascii="Times New Roman" w:hAnsi="Times New Roman" w:cs="Times New Roman"/>
                <w:sz w:val="24"/>
                <w:szCs w:val="24"/>
              </w:rPr>
              <w:t xml:space="preserve"> such</w:t>
            </w:r>
            <w:r>
              <w:rPr>
                <w:rFonts w:ascii="Times New Roman" w:hAnsi="Times New Roman" w:cs="Times New Roman"/>
                <w:sz w:val="24"/>
                <w:szCs w:val="24"/>
              </w:rPr>
              <w:t xml:space="preserve"> as women and children</w:t>
            </w:r>
            <w:r w:rsidR="002918AA">
              <w:rPr>
                <w:rFonts w:ascii="Times New Roman" w:hAnsi="Times New Roman" w:cs="Times New Roman"/>
                <w:sz w:val="24"/>
                <w:szCs w:val="24"/>
              </w:rPr>
              <w:t xml:space="preserve"> who suffer</w:t>
            </w:r>
            <w:r>
              <w:rPr>
                <w:rFonts w:ascii="Times New Roman" w:hAnsi="Times New Roman" w:cs="Times New Roman"/>
                <w:sz w:val="24"/>
                <w:szCs w:val="24"/>
              </w:rPr>
              <w:t>.</w:t>
            </w:r>
          </w:p>
        </w:tc>
      </w:tr>
      <w:tr w:rsidR="00161736" w:rsidRPr="001A7BCD" w:rsidTr="007F0150">
        <w:trPr>
          <w:trHeight w:val="1655"/>
        </w:trPr>
        <w:tc>
          <w:tcPr>
            <w:tcW w:w="985" w:type="dxa"/>
            <w:vMerge w:val="restart"/>
            <w:shd w:val="clear" w:color="auto" w:fill="E7E6E6" w:themeFill="background2"/>
          </w:tcPr>
          <w:p w:rsidR="00161736" w:rsidRPr="007F0150" w:rsidRDefault="00161736" w:rsidP="00895AF5">
            <w:pPr>
              <w:rPr>
                <w:rFonts w:ascii="Times New Roman" w:hAnsi="Times New Roman" w:cs="Times New Roman"/>
                <w:sz w:val="24"/>
                <w:szCs w:val="24"/>
              </w:rPr>
            </w:pPr>
            <w:r w:rsidRPr="007F0150">
              <w:rPr>
                <w:rFonts w:ascii="Times New Roman" w:hAnsi="Times New Roman" w:cs="Times New Roman"/>
                <w:sz w:val="24"/>
                <w:szCs w:val="24"/>
              </w:rPr>
              <w:lastRenderedPageBreak/>
              <w:t>ESP/</w:t>
            </w:r>
          </w:p>
          <w:p w:rsidR="00161736" w:rsidRPr="007F0150" w:rsidRDefault="00161736" w:rsidP="00895AF5">
            <w:pPr>
              <w:rPr>
                <w:rFonts w:ascii="Times New Roman" w:hAnsi="Times New Roman" w:cs="Times New Roman"/>
                <w:sz w:val="24"/>
                <w:szCs w:val="24"/>
              </w:rPr>
            </w:pPr>
            <w:r w:rsidRPr="007F0150">
              <w:rPr>
                <w:rFonts w:ascii="Times New Roman" w:hAnsi="Times New Roman" w:cs="Times New Roman"/>
                <w:sz w:val="24"/>
                <w:szCs w:val="24"/>
              </w:rPr>
              <w:t>ESS1</w:t>
            </w:r>
          </w:p>
          <w:p w:rsidR="00161736" w:rsidRPr="007F0150" w:rsidRDefault="00161736" w:rsidP="00444D49">
            <w:pPr>
              <w:rPr>
                <w:rFonts w:ascii="Times New Roman" w:hAnsi="Times New Roman" w:cs="Times New Roman"/>
                <w:sz w:val="24"/>
                <w:szCs w:val="24"/>
              </w:rPr>
            </w:pPr>
          </w:p>
        </w:tc>
        <w:tc>
          <w:tcPr>
            <w:tcW w:w="2160" w:type="dxa"/>
            <w:vMerge w:val="restart"/>
            <w:shd w:val="clear" w:color="auto" w:fill="E7E6E6" w:themeFill="background2"/>
          </w:tcPr>
          <w:p w:rsidR="00161736" w:rsidRPr="007F0150" w:rsidRDefault="00161736" w:rsidP="0023659A">
            <w:pPr>
              <w:rPr>
                <w:rFonts w:ascii="Times New Roman" w:hAnsi="Times New Roman" w:cs="Times New Roman"/>
                <w:sz w:val="24"/>
                <w:szCs w:val="24"/>
              </w:rPr>
            </w:pPr>
            <w:r w:rsidRPr="007F0150">
              <w:rPr>
                <w:rFonts w:ascii="Times New Roman" w:hAnsi="Times New Roman" w:cs="Times New Roman"/>
                <w:sz w:val="24"/>
                <w:szCs w:val="24"/>
              </w:rPr>
              <w:t>Non-discrimination and vulnerable groups</w:t>
            </w:r>
          </w:p>
        </w:tc>
        <w:tc>
          <w:tcPr>
            <w:tcW w:w="3420" w:type="dxa"/>
            <w:vMerge w:val="restart"/>
            <w:shd w:val="clear" w:color="auto" w:fill="E7E6E6" w:themeFill="background2"/>
          </w:tcPr>
          <w:p w:rsidR="00161736" w:rsidRPr="007F0150" w:rsidRDefault="0016173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 xml:space="preserve">Explicit listing of specific vulnerable groups by type/name (age, gender, ethnicity, religion, physical, mental or other disability, social, civic or health status, sexual orientation, gender identity, economic disadvantages or indigenous status, and/or dependence on unique natural resources) </w:t>
            </w:r>
          </w:p>
          <w:p w:rsidR="00161736" w:rsidRPr="007F0150" w:rsidRDefault="0016173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Specific aspects of the non-discrimination principle in complex social and political contexts, including where recognition of certain groups is not in accordance with national law</w:t>
            </w:r>
          </w:p>
        </w:tc>
        <w:tc>
          <w:tcPr>
            <w:tcW w:w="7740" w:type="dxa"/>
          </w:tcPr>
          <w:p w:rsidR="00161736" w:rsidRDefault="007F528B" w:rsidP="007F528B">
            <w:pPr>
              <w:spacing w:before="120"/>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C: The ESF needs to be more specific about how it will address </w:t>
            </w:r>
            <w:r w:rsidR="00EF1900">
              <w:rPr>
                <w:rFonts w:ascii="Times New Roman" w:eastAsiaTheme="minorHAnsi" w:hAnsi="Times New Roman" w:cs="Times New Roman"/>
                <w:sz w:val="24"/>
                <w:szCs w:val="24"/>
                <w:lang w:eastAsia="en-US"/>
              </w:rPr>
              <w:t>vulnerability, for example, on gender.</w:t>
            </w:r>
          </w:p>
          <w:p w:rsidR="00FF147A" w:rsidRDefault="00FF147A" w:rsidP="007F528B">
            <w:pPr>
              <w:spacing w:before="120"/>
              <w:contextualSpacing/>
              <w:jc w:val="both"/>
              <w:rPr>
                <w:rFonts w:ascii="Times New Roman" w:eastAsiaTheme="minorHAnsi" w:hAnsi="Times New Roman" w:cs="Times New Roman"/>
                <w:sz w:val="24"/>
                <w:szCs w:val="24"/>
                <w:lang w:eastAsia="en-US"/>
              </w:rPr>
            </w:pPr>
          </w:p>
          <w:p w:rsidR="00FF147A" w:rsidRPr="001A7BCD" w:rsidRDefault="00FF147A" w:rsidP="00FF147A">
            <w:pPr>
              <w:spacing w:before="120"/>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C</w:t>
            </w:r>
            <w:r w:rsidRPr="00FF147A">
              <w:rPr>
                <w:rFonts w:ascii="Times New Roman" w:eastAsiaTheme="minorHAnsi" w:hAnsi="Times New Roman" w:cs="Times New Roman"/>
                <w:sz w:val="24"/>
                <w:szCs w:val="24"/>
                <w:lang w:eastAsia="en-US"/>
              </w:rPr>
              <w:t>: Women and youth are always at a disadvantage in development processes. This needs to be recognized explicitly within the ESF.</w:t>
            </w:r>
          </w:p>
        </w:tc>
      </w:tr>
      <w:tr w:rsidR="00161736" w:rsidRPr="001A7BCD" w:rsidTr="007F0150">
        <w:trPr>
          <w:trHeight w:val="1655"/>
        </w:trPr>
        <w:tc>
          <w:tcPr>
            <w:tcW w:w="985" w:type="dxa"/>
            <w:vMerge/>
            <w:shd w:val="clear" w:color="auto" w:fill="E7E6E6" w:themeFill="background2"/>
          </w:tcPr>
          <w:p w:rsidR="00161736" w:rsidRPr="007F0150" w:rsidRDefault="00161736" w:rsidP="00895AF5">
            <w:pPr>
              <w:rPr>
                <w:rFonts w:ascii="Times New Roman" w:hAnsi="Times New Roman" w:cs="Times New Roman"/>
                <w:sz w:val="24"/>
                <w:szCs w:val="24"/>
              </w:rPr>
            </w:pPr>
          </w:p>
        </w:tc>
        <w:tc>
          <w:tcPr>
            <w:tcW w:w="2160" w:type="dxa"/>
            <w:vMerge/>
            <w:shd w:val="clear" w:color="auto" w:fill="E7E6E6" w:themeFill="background2"/>
          </w:tcPr>
          <w:p w:rsidR="00161736" w:rsidRPr="007F0150" w:rsidRDefault="00161736" w:rsidP="0023659A">
            <w:pPr>
              <w:rPr>
                <w:rFonts w:ascii="Times New Roman" w:hAnsi="Times New Roman" w:cs="Times New Roman"/>
                <w:sz w:val="24"/>
                <w:szCs w:val="24"/>
              </w:rPr>
            </w:pPr>
          </w:p>
        </w:tc>
        <w:tc>
          <w:tcPr>
            <w:tcW w:w="3420" w:type="dxa"/>
            <w:vMerge/>
            <w:shd w:val="clear" w:color="auto" w:fill="E7E6E6" w:themeFill="background2"/>
          </w:tcPr>
          <w:p w:rsidR="00161736" w:rsidRPr="007F0150" w:rsidRDefault="00161736" w:rsidP="007B0C08">
            <w:pPr>
              <w:pStyle w:val="ListParagraph"/>
              <w:numPr>
                <w:ilvl w:val="0"/>
                <w:numId w:val="11"/>
              </w:numPr>
              <w:rPr>
                <w:rFonts w:ascii="Times New Roman" w:hAnsi="Times New Roman"/>
                <w:sz w:val="24"/>
                <w:szCs w:val="24"/>
              </w:rPr>
            </w:pPr>
          </w:p>
        </w:tc>
        <w:tc>
          <w:tcPr>
            <w:tcW w:w="7740" w:type="dxa"/>
          </w:tcPr>
          <w:p w:rsidR="008045BF" w:rsidRPr="001A7BCD" w:rsidRDefault="007F528B" w:rsidP="007F528B">
            <w:pPr>
              <w:pStyle w:val="Body"/>
              <w:rPr>
                <w:rFonts w:ascii="Times New Roman" w:hAnsi="Times New Roman" w:cs="Times New Roman"/>
                <w:sz w:val="24"/>
                <w:szCs w:val="24"/>
              </w:rPr>
            </w:pPr>
            <w:r>
              <w:rPr>
                <w:rFonts w:ascii="Times New Roman" w:hAnsi="Times New Roman" w:cs="Times New Roman"/>
                <w:sz w:val="24"/>
                <w:szCs w:val="24"/>
              </w:rPr>
              <w:t xml:space="preserve">C: The Bank should not support projects that discriminate against people with different views from the borrowing governments. </w:t>
            </w:r>
          </w:p>
        </w:tc>
      </w:tr>
      <w:tr w:rsidR="00161736" w:rsidRPr="001A7BCD" w:rsidTr="00B114CD">
        <w:trPr>
          <w:trHeight w:val="3261"/>
        </w:trPr>
        <w:tc>
          <w:tcPr>
            <w:tcW w:w="985" w:type="dxa"/>
            <w:vMerge/>
            <w:shd w:val="clear" w:color="auto" w:fill="E7E6E6" w:themeFill="background2"/>
          </w:tcPr>
          <w:p w:rsidR="00161736" w:rsidRPr="007F0150" w:rsidRDefault="00161736" w:rsidP="00444D49">
            <w:pPr>
              <w:rPr>
                <w:rFonts w:ascii="Times New Roman" w:hAnsi="Times New Roman" w:cs="Times New Roman"/>
                <w:color w:val="000000"/>
                <w:sz w:val="24"/>
                <w:szCs w:val="24"/>
              </w:rPr>
            </w:pPr>
          </w:p>
        </w:tc>
        <w:tc>
          <w:tcPr>
            <w:tcW w:w="2160" w:type="dxa"/>
            <w:vMerge w:val="restart"/>
            <w:shd w:val="clear" w:color="auto" w:fill="E7E6E6" w:themeFill="background2"/>
          </w:tcPr>
          <w:p w:rsidR="00161736" w:rsidRPr="007F0150" w:rsidRDefault="00161736" w:rsidP="00895AF5">
            <w:pPr>
              <w:rPr>
                <w:rFonts w:ascii="Times New Roman" w:hAnsi="Times New Roman" w:cs="Times New Roman"/>
                <w:sz w:val="24"/>
                <w:szCs w:val="24"/>
              </w:rPr>
            </w:pPr>
            <w:r w:rsidRPr="007F0150">
              <w:rPr>
                <w:rFonts w:ascii="Times New Roman" w:hAnsi="Times New Roman" w:cs="Times New Roman"/>
                <w:color w:val="000000"/>
                <w:sz w:val="24"/>
                <w:szCs w:val="24"/>
              </w:rPr>
              <w:t>Use of Borrower’s Environmental and Social Framework</w:t>
            </w:r>
          </w:p>
        </w:tc>
        <w:tc>
          <w:tcPr>
            <w:tcW w:w="3420" w:type="dxa"/>
            <w:vMerge w:val="restart"/>
            <w:shd w:val="clear" w:color="auto" w:fill="E7E6E6" w:themeFill="background2"/>
          </w:tcPr>
          <w:p w:rsidR="00161736" w:rsidRPr="007F0150" w:rsidRDefault="0016173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 xml:space="preserve">Role of Borrower frameworks in the management and assessment of environmental and social (E&amp;S) risks and impacts where these will allow projects to achieve objectives materially consistent with </w:t>
            </w:r>
            <w:r w:rsidRPr="007F0150">
              <w:rPr>
                <w:rFonts w:ascii="Times New Roman" w:hAnsi="Times New Roman"/>
                <w:sz w:val="24"/>
                <w:szCs w:val="24"/>
              </w:rPr>
              <w:lastRenderedPageBreak/>
              <w:t xml:space="preserve">Environmental and Social Standards (ESSs) </w:t>
            </w:r>
          </w:p>
          <w:p w:rsidR="00161736" w:rsidRPr="007F0150" w:rsidRDefault="0016173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Approach for making decision on the use of Borrower frameworks, including the methodology for assessing where frameworks will allow projects to achieve objectives materially consistent with the ESSs, and the exercise of Bank discretion</w:t>
            </w:r>
          </w:p>
          <w:p w:rsidR="00161736" w:rsidRPr="007F0150" w:rsidRDefault="0016173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Role of Borrower frameworks in high and substantial risk projects</w:t>
            </w:r>
          </w:p>
        </w:tc>
        <w:tc>
          <w:tcPr>
            <w:tcW w:w="7740" w:type="dxa"/>
          </w:tcPr>
          <w:p w:rsidR="00EF1900" w:rsidRDefault="00EF1900" w:rsidP="000A3EC5">
            <w:pPr>
              <w:pStyle w:val="Body"/>
              <w:rPr>
                <w:rFonts w:ascii="Times New Roman" w:hAnsi="Times New Roman"/>
                <w:sz w:val="24"/>
                <w:szCs w:val="24"/>
              </w:rPr>
            </w:pPr>
            <w:r>
              <w:rPr>
                <w:rFonts w:ascii="Times New Roman" w:hAnsi="Times New Roman"/>
                <w:sz w:val="24"/>
                <w:szCs w:val="24"/>
              </w:rPr>
              <w:lastRenderedPageBreak/>
              <w:t>C: The Bank has tried to impose Western environmental frameworks on borrowing countries, and this can be contentious. It is important to take account of borrowers’ frameworks and to use them effectively.</w:t>
            </w:r>
          </w:p>
          <w:p w:rsidR="00EF1900" w:rsidRDefault="00EF1900" w:rsidP="000A3EC5">
            <w:pPr>
              <w:pStyle w:val="Body"/>
              <w:rPr>
                <w:rFonts w:ascii="Times New Roman" w:hAnsi="Times New Roman"/>
                <w:sz w:val="24"/>
                <w:szCs w:val="24"/>
              </w:rPr>
            </w:pPr>
          </w:p>
          <w:p w:rsidR="000A3EC5" w:rsidRPr="009261B1" w:rsidRDefault="007F528B" w:rsidP="000A3EC5">
            <w:pPr>
              <w:pStyle w:val="Body"/>
              <w:rPr>
                <w:rFonts w:ascii="Times New Roman" w:hAnsi="Times New Roman"/>
                <w:sz w:val="24"/>
                <w:szCs w:val="24"/>
              </w:rPr>
            </w:pPr>
            <w:r>
              <w:rPr>
                <w:rFonts w:ascii="Times New Roman" w:hAnsi="Times New Roman"/>
                <w:sz w:val="24"/>
                <w:szCs w:val="24"/>
              </w:rPr>
              <w:t>Q: How will the Bank use national environmental frameworks to implement this ESF?</w:t>
            </w:r>
          </w:p>
        </w:tc>
      </w:tr>
      <w:tr w:rsidR="00161736" w:rsidRPr="001A7BCD" w:rsidTr="00B114CD">
        <w:trPr>
          <w:trHeight w:val="9980"/>
        </w:trPr>
        <w:tc>
          <w:tcPr>
            <w:tcW w:w="985" w:type="dxa"/>
            <w:vMerge/>
            <w:shd w:val="clear" w:color="auto" w:fill="E7E6E6" w:themeFill="background2"/>
          </w:tcPr>
          <w:p w:rsidR="00161736" w:rsidRPr="007F0150" w:rsidRDefault="00161736" w:rsidP="00444D49">
            <w:pPr>
              <w:rPr>
                <w:rFonts w:ascii="Times New Roman" w:hAnsi="Times New Roman" w:cs="Times New Roman"/>
                <w:color w:val="000000"/>
                <w:sz w:val="24"/>
                <w:szCs w:val="24"/>
              </w:rPr>
            </w:pPr>
          </w:p>
        </w:tc>
        <w:tc>
          <w:tcPr>
            <w:tcW w:w="2160" w:type="dxa"/>
            <w:vMerge/>
            <w:shd w:val="clear" w:color="auto" w:fill="E7E6E6" w:themeFill="background2"/>
          </w:tcPr>
          <w:p w:rsidR="00161736" w:rsidRPr="007F0150" w:rsidRDefault="00161736" w:rsidP="00895AF5">
            <w:pPr>
              <w:rPr>
                <w:rFonts w:ascii="Times New Roman" w:hAnsi="Times New Roman" w:cs="Times New Roman"/>
                <w:color w:val="000000"/>
                <w:sz w:val="24"/>
                <w:szCs w:val="24"/>
              </w:rPr>
            </w:pPr>
          </w:p>
        </w:tc>
        <w:tc>
          <w:tcPr>
            <w:tcW w:w="3420" w:type="dxa"/>
            <w:vMerge/>
            <w:shd w:val="clear" w:color="auto" w:fill="E7E6E6" w:themeFill="background2"/>
          </w:tcPr>
          <w:p w:rsidR="00161736" w:rsidRPr="007F0150" w:rsidRDefault="00161736" w:rsidP="007B0C08">
            <w:pPr>
              <w:pStyle w:val="ListParagraph"/>
              <w:numPr>
                <w:ilvl w:val="0"/>
                <w:numId w:val="11"/>
              </w:numPr>
              <w:rPr>
                <w:rFonts w:ascii="Times New Roman" w:hAnsi="Times New Roman"/>
                <w:sz w:val="24"/>
                <w:szCs w:val="24"/>
              </w:rPr>
            </w:pPr>
          </w:p>
        </w:tc>
        <w:tc>
          <w:tcPr>
            <w:tcW w:w="7740" w:type="dxa"/>
          </w:tcPr>
          <w:p w:rsidR="00161736" w:rsidRPr="001A7BCD" w:rsidRDefault="00161736" w:rsidP="009261B1">
            <w:pPr>
              <w:spacing w:before="120"/>
              <w:contextualSpacing/>
              <w:jc w:val="both"/>
              <w:rPr>
                <w:rFonts w:ascii="Times New Roman" w:hAnsi="Times New Roman" w:cs="Times New Roman"/>
                <w:sz w:val="24"/>
                <w:szCs w:val="24"/>
              </w:rPr>
            </w:pPr>
          </w:p>
        </w:tc>
      </w:tr>
      <w:tr w:rsidR="00161736" w:rsidRPr="001A7BCD" w:rsidTr="007F0150">
        <w:tc>
          <w:tcPr>
            <w:tcW w:w="985" w:type="dxa"/>
            <w:vMerge/>
            <w:shd w:val="clear" w:color="auto" w:fill="E7E6E6" w:themeFill="background2"/>
          </w:tcPr>
          <w:p w:rsidR="00161736" w:rsidRPr="007F0150" w:rsidRDefault="00161736" w:rsidP="00444D49">
            <w:pPr>
              <w:rPr>
                <w:rFonts w:ascii="Times New Roman" w:hAnsi="Times New Roman" w:cs="Times New Roman"/>
                <w:sz w:val="24"/>
                <w:szCs w:val="24"/>
              </w:rPr>
            </w:pPr>
          </w:p>
        </w:tc>
        <w:tc>
          <w:tcPr>
            <w:tcW w:w="2160" w:type="dxa"/>
            <w:shd w:val="clear" w:color="auto" w:fill="E7E6E6" w:themeFill="background2"/>
          </w:tcPr>
          <w:p w:rsidR="00161736" w:rsidRPr="007F0150" w:rsidRDefault="00161736" w:rsidP="00444D49">
            <w:pPr>
              <w:rPr>
                <w:rFonts w:ascii="Times New Roman" w:hAnsi="Times New Roman" w:cs="Times New Roman"/>
                <w:sz w:val="24"/>
                <w:szCs w:val="24"/>
              </w:rPr>
            </w:pPr>
            <w:r w:rsidRPr="007F0150">
              <w:rPr>
                <w:rFonts w:ascii="Times New Roman" w:hAnsi="Times New Roman" w:cs="Times New Roman"/>
                <w:sz w:val="24"/>
                <w:szCs w:val="24"/>
              </w:rPr>
              <w:t>Co-financing/ common approach</w:t>
            </w:r>
          </w:p>
        </w:tc>
        <w:tc>
          <w:tcPr>
            <w:tcW w:w="3420" w:type="dxa"/>
            <w:shd w:val="clear" w:color="auto" w:fill="E7E6E6" w:themeFill="background2"/>
          </w:tcPr>
          <w:p w:rsidR="00161736" w:rsidRPr="007F0150" w:rsidRDefault="0016173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Arrangements on E&amp;S standards in co-financing situations where the co-financier’s standards are different from those of the Bank</w:t>
            </w:r>
          </w:p>
        </w:tc>
        <w:tc>
          <w:tcPr>
            <w:tcW w:w="7740" w:type="dxa"/>
          </w:tcPr>
          <w:p w:rsidR="000A3EC5" w:rsidRPr="001A7BCD" w:rsidRDefault="000A3EC5" w:rsidP="00C52092">
            <w:pPr>
              <w:pStyle w:val="ListParagraph"/>
              <w:spacing w:before="120"/>
              <w:ind w:left="0"/>
              <w:contextualSpacing/>
              <w:jc w:val="both"/>
              <w:rPr>
                <w:rFonts w:ascii="Times New Roman" w:hAnsi="Times New Roman"/>
                <w:sz w:val="24"/>
                <w:szCs w:val="24"/>
              </w:rPr>
            </w:pPr>
          </w:p>
        </w:tc>
      </w:tr>
      <w:tr w:rsidR="00161736" w:rsidRPr="001A7BCD" w:rsidTr="007F0150">
        <w:tc>
          <w:tcPr>
            <w:tcW w:w="985" w:type="dxa"/>
            <w:vMerge/>
            <w:shd w:val="clear" w:color="auto" w:fill="E7E6E6" w:themeFill="background2"/>
          </w:tcPr>
          <w:p w:rsidR="00161736" w:rsidRPr="007F0150" w:rsidRDefault="00161736" w:rsidP="00444D49">
            <w:pPr>
              <w:rPr>
                <w:rFonts w:ascii="Times New Roman" w:hAnsi="Times New Roman" w:cs="Times New Roman"/>
                <w:sz w:val="24"/>
                <w:szCs w:val="24"/>
              </w:rPr>
            </w:pPr>
          </w:p>
        </w:tc>
        <w:tc>
          <w:tcPr>
            <w:tcW w:w="2160" w:type="dxa"/>
            <w:shd w:val="clear" w:color="auto" w:fill="E7E6E6" w:themeFill="background2"/>
          </w:tcPr>
          <w:p w:rsidR="00161736" w:rsidRPr="007F0150" w:rsidRDefault="00161736" w:rsidP="00F17728">
            <w:pPr>
              <w:rPr>
                <w:rFonts w:ascii="Times New Roman" w:hAnsi="Times New Roman" w:cs="Times New Roman"/>
                <w:sz w:val="24"/>
                <w:szCs w:val="24"/>
              </w:rPr>
            </w:pPr>
            <w:r w:rsidRPr="007F0150">
              <w:rPr>
                <w:rFonts w:ascii="Times New Roman" w:hAnsi="Times New Roman" w:cs="Times New Roman"/>
                <w:sz w:val="24"/>
                <w:szCs w:val="24"/>
              </w:rPr>
              <w:t>Adaptive risk management</w:t>
            </w:r>
          </w:p>
        </w:tc>
        <w:tc>
          <w:tcPr>
            <w:tcW w:w="3420" w:type="dxa"/>
            <w:shd w:val="clear" w:color="auto" w:fill="E7E6E6" w:themeFill="background2"/>
          </w:tcPr>
          <w:p w:rsidR="00161736" w:rsidRPr="007F0150" w:rsidRDefault="0016173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Approach to monitoring E&amp;S compliance and changes to the project during implementation</w:t>
            </w:r>
          </w:p>
        </w:tc>
        <w:tc>
          <w:tcPr>
            <w:tcW w:w="7740" w:type="dxa"/>
          </w:tcPr>
          <w:p w:rsidR="00161736" w:rsidRPr="001A7BCD" w:rsidRDefault="00541263" w:rsidP="00541263">
            <w:pPr>
              <w:pStyle w:val="ListParagraph"/>
              <w:spacing w:before="120"/>
              <w:ind w:left="0"/>
              <w:contextualSpacing/>
              <w:jc w:val="both"/>
              <w:rPr>
                <w:rFonts w:ascii="Times New Roman" w:hAnsi="Times New Roman"/>
                <w:sz w:val="24"/>
                <w:szCs w:val="24"/>
              </w:rPr>
            </w:pPr>
            <w:r>
              <w:rPr>
                <w:rFonts w:ascii="Times New Roman" w:hAnsi="Times New Roman"/>
                <w:sz w:val="24"/>
                <w:szCs w:val="24"/>
              </w:rPr>
              <w:t>Q: Rwanda has good policies for M&amp;E, but implementation is a challenge. How will the ESF encourage a participatory approach to M&amp;E and associated research to identify and manage gaps and challenges?</w:t>
            </w:r>
          </w:p>
        </w:tc>
      </w:tr>
      <w:tr w:rsidR="00161736" w:rsidRPr="001A7BCD" w:rsidTr="007F0150">
        <w:tc>
          <w:tcPr>
            <w:tcW w:w="985" w:type="dxa"/>
            <w:vMerge/>
            <w:shd w:val="clear" w:color="auto" w:fill="E7E6E6" w:themeFill="background2"/>
          </w:tcPr>
          <w:p w:rsidR="00161736" w:rsidRPr="007F0150" w:rsidRDefault="00161736" w:rsidP="00444D49">
            <w:pPr>
              <w:rPr>
                <w:rFonts w:ascii="Times New Roman" w:hAnsi="Times New Roman" w:cs="Times New Roman"/>
                <w:sz w:val="24"/>
                <w:szCs w:val="24"/>
              </w:rPr>
            </w:pPr>
          </w:p>
        </w:tc>
        <w:tc>
          <w:tcPr>
            <w:tcW w:w="2160" w:type="dxa"/>
            <w:shd w:val="clear" w:color="auto" w:fill="E7E6E6" w:themeFill="background2"/>
          </w:tcPr>
          <w:p w:rsidR="00161736" w:rsidRPr="007F0150" w:rsidRDefault="00161736" w:rsidP="00F17728">
            <w:pPr>
              <w:rPr>
                <w:rFonts w:ascii="Times New Roman" w:hAnsi="Times New Roman" w:cs="Times New Roman"/>
                <w:sz w:val="24"/>
                <w:szCs w:val="24"/>
              </w:rPr>
            </w:pPr>
            <w:r w:rsidRPr="007F0150">
              <w:rPr>
                <w:rFonts w:ascii="Times New Roman" w:hAnsi="Times New Roman" w:cs="Times New Roman"/>
                <w:sz w:val="24"/>
                <w:szCs w:val="24"/>
              </w:rPr>
              <w:t>Risk classification</w:t>
            </w:r>
          </w:p>
        </w:tc>
        <w:tc>
          <w:tcPr>
            <w:tcW w:w="3420" w:type="dxa"/>
            <w:shd w:val="clear" w:color="auto" w:fill="E7E6E6" w:themeFill="background2"/>
          </w:tcPr>
          <w:p w:rsidR="00161736" w:rsidRPr="007F0150" w:rsidDel="00EF3E5D" w:rsidRDefault="0016173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Approach to determining and reviewing the risk level of a project</w:t>
            </w:r>
          </w:p>
        </w:tc>
        <w:tc>
          <w:tcPr>
            <w:tcW w:w="7740" w:type="dxa"/>
          </w:tcPr>
          <w:p w:rsidR="00161736" w:rsidRPr="001A7BCD" w:rsidRDefault="00161736" w:rsidP="000264C3">
            <w:pPr>
              <w:pStyle w:val="ListParagraph"/>
              <w:spacing w:before="120"/>
              <w:ind w:left="0"/>
              <w:contextualSpacing/>
              <w:jc w:val="both"/>
              <w:rPr>
                <w:rFonts w:ascii="Times New Roman" w:hAnsi="Times New Roman"/>
                <w:sz w:val="24"/>
                <w:szCs w:val="24"/>
              </w:rPr>
            </w:pPr>
          </w:p>
        </w:tc>
      </w:tr>
      <w:tr w:rsidR="004A022A" w:rsidRPr="001A7BCD" w:rsidTr="007F0150">
        <w:tc>
          <w:tcPr>
            <w:tcW w:w="985" w:type="dxa"/>
            <w:vMerge w:val="restart"/>
            <w:shd w:val="clear" w:color="auto" w:fill="E7E6E6" w:themeFill="background2"/>
          </w:tcPr>
          <w:p w:rsidR="004A022A" w:rsidRPr="007F0150" w:rsidRDefault="004A022A" w:rsidP="00444D49">
            <w:pPr>
              <w:rPr>
                <w:rFonts w:ascii="Times New Roman" w:hAnsi="Times New Roman" w:cs="Times New Roman"/>
                <w:sz w:val="24"/>
                <w:szCs w:val="24"/>
              </w:rPr>
            </w:pPr>
            <w:r w:rsidRPr="007F0150">
              <w:rPr>
                <w:rFonts w:ascii="Times New Roman" w:hAnsi="Times New Roman" w:cs="Times New Roman"/>
                <w:sz w:val="24"/>
                <w:szCs w:val="24"/>
              </w:rPr>
              <w:t>ESS1</w:t>
            </w:r>
          </w:p>
          <w:p w:rsidR="004A022A" w:rsidRPr="007F0150" w:rsidRDefault="004A022A" w:rsidP="00444D49">
            <w:pPr>
              <w:rPr>
                <w:rFonts w:ascii="Times New Roman" w:hAnsi="Times New Roman" w:cs="Times New Roman"/>
                <w:sz w:val="24"/>
                <w:szCs w:val="24"/>
              </w:rPr>
            </w:pPr>
          </w:p>
        </w:tc>
        <w:tc>
          <w:tcPr>
            <w:tcW w:w="2160" w:type="dxa"/>
            <w:shd w:val="clear" w:color="auto" w:fill="E7E6E6" w:themeFill="background2"/>
          </w:tcPr>
          <w:p w:rsidR="004A022A" w:rsidRPr="007F0150" w:rsidRDefault="004A022A" w:rsidP="00D9319E">
            <w:pPr>
              <w:rPr>
                <w:rFonts w:ascii="Times New Roman" w:hAnsi="Times New Roman" w:cs="Times New Roman"/>
                <w:sz w:val="24"/>
                <w:szCs w:val="24"/>
              </w:rPr>
            </w:pPr>
            <w:r w:rsidRPr="007F0150">
              <w:rPr>
                <w:rFonts w:ascii="Times New Roman" w:hAnsi="Times New Roman" w:cs="Times New Roman"/>
                <w:sz w:val="24"/>
                <w:szCs w:val="24"/>
              </w:rPr>
              <w:t>Assessment and management of environmental and social risks and impacts</w:t>
            </w:r>
          </w:p>
        </w:tc>
        <w:tc>
          <w:tcPr>
            <w:tcW w:w="3420" w:type="dxa"/>
            <w:shd w:val="clear" w:color="auto" w:fill="E7E6E6" w:themeFill="background2"/>
          </w:tcPr>
          <w:p w:rsidR="004A022A" w:rsidRPr="007F0150" w:rsidRDefault="004A022A"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Assessment and nature of cumulative and indirect impacts to be taken into account</w:t>
            </w:r>
          </w:p>
          <w:p w:rsidR="004A022A" w:rsidRPr="007F0150" w:rsidRDefault="004A022A"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Treatment of cumulative and indirect impacts when identified in the assessment of the project</w:t>
            </w:r>
          </w:p>
          <w:p w:rsidR="004A022A" w:rsidRPr="007F0150" w:rsidRDefault="004A022A"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Establishing project boundaries and the applicability of the ESSs to Associated Facilities, contractors, primary suppliers, FI subprojects and directly funded sub-projects</w:t>
            </w:r>
          </w:p>
          <w:p w:rsidR="004A022A" w:rsidRPr="007F0150" w:rsidRDefault="004A022A"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 xml:space="preserve">Circumstances under which the Bank will determine whether the Borrower will be required to retain </w:t>
            </w:r>
            <w:r w:rsidRPr="007F0150">
              <w:rPr>
                <w:rFonts w:ascii="Times New Roman" w:hAnsi="Times New Roman"/>
                <w:sz w:val="24"/>
                <w:szCs w:val="24"/>
              </w:rPr>
              <w:lastRenderedPageBreak/>
              <w:t>independent third party specialists</w:t>
            </w:r>
          </w:p>
        </w:tc>
        <w:tc>
          <w:tcPr>
            <w:tcW w:w="7740" w:type="dxa"/>
          </w:tcPr>
          <w:p w:rsidR="008045BF" w:rsidRPr="001A7BCD" w:rsidRDefault="00AB4C53" w:rsidP="00000CAC">
            <w:pPr>
              <w:pStyle w:val="Body"/>
              <w:rPr>
                <w:rFonts w:ascii="Times New Roman" w:hAnsi="Times New Roman" w:cs="Times New Roman"/>
                <w:sz w:val="24"/>
                <w:szCs w:val="24"/>
              </w:rPr>
            </w:pPr>
            <w:r>
              <w:rPr>
                <w:rFonts w:ascii="Times New Roman" w:hAnsi="Times New Roman" w:cs="Times New Roman"/>
                <w:sz w:val="24"/>
                <w:szCs w:val="24"/>
              </w:rPr>
              <w:lastRenderedPageBreak/>
              <w:t xml:space="preserve">Q: Cumulative impacts are important and needs to be properly documented. How does the Bank think this should be done? Such impacts are not being properly monitored. </w:t>
            </w:r>
          </w:p>
        </w:tc>
      </w:tr>
      <w:tr w:rsidR="004A022A" w:rsidRPr="001A7BCD" w:rsidTr="007F0150">
        <w:tc>
          <w:tcPr>
            <w:tcW w:w="985" w:type="dxa"/>
            <w:vMerge/>
            <w:shd w:val="clear" w:color="auto" w:fill="E7E6E6" w:themeFill="background2"/>
          </w:tcPr>
          <w:p w:rsidR="004A022A" w:rsidRPr="007F0150" w:rsidRDefault="004A022A" w:rsidP="00444D49">
            <w:pPr>
              <w:rPr>
                <w:rFonts w:ascii="Times New Roman" w:hAnsi="Times New Roman" w:cs="Times New Roman"/>
                <w:sz w:val="24"/>
                <w:szCs w:val="24"/>
              </w:rPr>
            </w:pPr>
          </w:p>
        </w:tc>
        <w:tc>
          <w:tcPr>
            <w:tcW w:w="2160" w:type="dxa"/>
            <w:shd w:val="clear" w:color="auto" w:fill="E7E6E6" w:themeFill="background2"/>
          </w:tcPr>
          <w:p w:rsidR="004A022A" w:rsidRPr="007F0150" w:rsidRDefault="004A022A" w:rsidP="00D9319E">
            <w:pPr>
              <w:rPr>
                <w:rFonts w:ascii="Times New Roman" w:hAnsi="Times New Roman" w:cs="Times New Roman"/>
                <w:sz w:val="24"/>
                <w:szCs w:val="24"/>
              </w:rPr>
            </w:pPr>
            <w:r w:rsidRPr="007F0150">
              <w:rPr>
                <w:rFonts w:ascii="Times New Roman" w:hAnsi="Times New Roman" w:cs="Times New Roman"/>
                <w:sz w:val="24"/>
                <w:szCs w:val="24"/>
              </w:rPr>
              <w:t>Environmental and Social Commitment Plan (ESCP)</w:t>
            </w:r>
          </w:p>
        </w:tc>
        <w:tc>
          <w:tcPr>
            <w:tcW w:w="3420" w:type="dxa"/>
            <w:shd w:val="clear" w:color="auto" w:fill="E7E6E6" w:themeFill="background2"/>
          </w:tcPr>
          <w:p w:rsidR="004A022A" w:rsidRPr="007F0150" w:rsidRDefault="004A022A"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Legal standing of the ESCP and implications of changes to the ESCP as part of the legal agreement</w:t>
            </w:r>
          </w:p>
        </w:tc>
        <w:tc>
          <w:tcPr>
            <w:tcW w:w="7740" w:type="dxa"/>
          </w:tcPr>
          <w:p w:rsidR="005137D6" w:rsidRPr="001A7BCD" w:rsidRDefault="005137D6" w:rsidP="00E0041C">
            <w:pPr>
              <w:pStyle w:val="ListParagraph"/>
              <w:spacing w:before="120"/>
              <w:ind w:left="0"/>
              <w:contextualSpacing/>
              <w:jc w:val="both"/>
              <w:rPr>
                <w:rFonts w:ascii="Times New Roman" w:hAnsi="Times New Roman"/>
                <w:sz w:val="24"/>
                <w:szCs w:val="24"/>
              </w:rPr>
            </w:pPr>
          </w:p>
        </w:tc>
      </w:tr>
      <w:tr w:rsidR="004A022A" w:rsidRPr="001A7BCD" w:rsidTr="007F0150">
        <w:tc>
          <w:tcPr>
            <w:tcW w:w="985" w:type="dxa"/>
            <w:shd w:val="clear" w:color="auto" w:fill="E7E6E6" w:themeFill="background2"/>
          </w:tcPr>
          <w:p w:rsidR="004A022A" w:rsidRPr="007F0150" w:rsidRDefault="004A022A" w:rsidP="00444D49">
            <w:pPr>
              <w:rPr>
                <w:rFonts w:ascii="Times New Roman" w:hAnsi="Times New Roman" w:cs="Times New Roman"/>
                <w:sz w:val="24"/>
                <w:szCs w:val="24"/>
              </w:rPr>
            </w:pPr>
            <w:r w:rsidRPr="007F0150">
              <w:rPr>
                <w:rFonts w:ascii="Times New Roman" w:hAnsi="Times New Roman" w:cs="Times New Roman"/>
                <w:sz w:val="24"/>
                <w:szCs w:val="24"/>
              </w:rPr>
              <w:t>ESS2</w:t>
            </w:r>
          </w:p>
        </w:tc>
        <w:tc>
          <w:tcPr>
            <w:tcW w:w="2160" w:type="dxa"/>
            <w:shd w:val="clear" w:color="auto" w:fill="E7E6E6" w:themeFill="background2"/>
          </w:tcPr>
          <w:p w:rsidR="004A022A" w:rsidRPr="007F0150" w:rsidRDefault="004A022A" w:rsidP="00444D49">
            <w:pPr>
              <w:rPr>
                <w:rFonts w:ascii="Times New Roman" w:hAnsi="Times New Roman" w:cs="Times New Roman"/>
                <w:sz w:val="24"/>
                <w:szCs w:val="24"/>
              </w:rPr>
            </w:pPr>
            <w:r w:rsidRPr="007F0150">
              <w:rPr>
                <w:rFonts w:ascii="Times New Roman" w:hAnsi="Times New Roman" w:cs="Times New Roman"/>
                <w:sz w:val="24"/>
                <w:szCs w:val="24"/>
              </w:rPr>
              <w:t>Labor and working conditions</w:t>
            </w:r>
          </w:p>
        </w:tc>
        <w:tc>
          <w:tcPr>
            <w:tcW w:w="3420" w:type="dxa"/>
            <w:shd w:val="clear" w:color="auto" w:fill="E7E6E6" w:themeFill="background2"/>
          </w:tcPr>
          <w:p w:rsidR="004A022A" w:rsidRPr="007F0150" w:rsidRDefault="004A022A"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 xml:space="preserve">Definition and necessity of and requirements for managing labor employed by certain third parties (brokers, agents and intermediaries)  </w:t>
            </w:r>
          </w:p>
          <w:p w:rsidR="004A022A" w:rsidRPr="007F0150" w:rsidRDefault="004A022A"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 xml:space="preserve">Application and implementation impacts of certain labor requirements to contractors, community and voluntary labor and primary suppliers </w:t>
            </w:r>
          </w:p>
          <w:p w:rsidR="004A022A" w:rsidRPr="007F0150" w:rsidRDefault="004A022A"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Constraints in making grievance mechanisms available to all project workers</w:t>
            </w:r>
          </w:p>
          <w:p w:rsidR="004A022A" w:rsidRPr="007F0150" w:rsidRDefault="004A022A"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Referencing national law in the objective of supporting freedom of association and collective bargaining</w:t>
            </w:r>
          </w:p>
          <w:p w:rsidR="004A022A" w:rsidRPr="007F0150" w:rsidRDefault="004A022A"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 xml:space="preserve">Operationalization of an alternative mechanism relating to freedom of association and collective bargaining </w:t>
            </w:r>
            <w:r w:rsidRPr="007F0150">
              <w:rPr>
                <w:rFonts w:ascii="Times New Roman" w:hAnsi="Times New Roman"/>
                <w:sz w:val="24"/>
                <w:szCs w:val="24"/>
              </w:rPr>
              <w:lastRenderedPageBreak/>
              <w:t>where national law does not recognize such rights</w:t>
            </w:r>
          </w:p>
          <w:p w:rsidR="004A022A" w:rsidRPr="007F0150" w:rsidRDefault="004A022A"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Issues in operationalizing the Occupational Health and Safety (OHS) provisions/standards</w:t>
            </w:r>
          </w:p>
        </w:tc>
        <w:tc>
          <w:tcPr>
            <w:tcW w:w="7740" w:type="dxa"/>
          </w:tcPr>
          <w:p w:rsidR="00804050" w:rsidRPr="001A7BCD" w:rsidRDefault="00804050" w:rsidP="00804050">
            <w:pPr>
              <w:pStyle w:val="ListParagraph"/>
              <w:spacing w:before="120"/>
              <w:ind w:left="0"/>
              <w:contextualSpacing/>
              <w:jc w:val="both"/>
              <w:rPr>
                <w:rFonts w:ascii="Times New Roman" w:hAnsi="Times New Roman"/>
                <w:sz w:val="24"/>
                <w:szCs w:val="24"/>
              </w:rPr>
            </w:pPr>
          </w:p>
        </w:tc>
      </w:tr>
      <w:tr w:rsidR="00C87D2F" w:rsidRPr="001A7BCD" w:rsidTr="007F0150">
        <w:tc>
          <w:tcPr>
            <w:tcW w:w="985" w:type="dxa"/>
            <w:shd w:val="clear" w:color="auto" w:fill="E7E6E6" w:themeFill="background2"/>
          </w:tcPr>
          <w:p w:rsidR="00C87D2F" w:rsidRPr="007F0150" w:rsidRDefault="00C87D2F" w:rsidP="00444D49">
            <w:pPr>
              <w:rPr>
                <w:rFonts w:ascii="Times New Roman" w:hAnsi="Times New Roman" w:cs="Times New Roman"/>
                <w:sz w:val="24"/>
                <w:szCs w:val="24"/>
              </w:rPr>
            </w:pPr>
            <w:r w:rsidRPr="007F0150">
              <w:rPr>
                <w:rFonts w:ascii="Times New Roman" w:hAnsi="Times New Roman" w:cs="Times New Roman"/>
                <w:sz w:val="24"/>
                <w:szCs w:val="24"/>
              </w:rPr>
              <w:lastRenderedPageBreak/>
              <w:t>ESS3</w:t>
            </w:r>
          </w:p>
        </w:tc>
        <w:tc>
          <w:tcPr>
            <w:tcW w:w="2160" w:type="dxa"/>
            <w:shd w:val="clear" w:color="auto" w:fill="E7E6E6" w:themeFill="background2"/>
          </w:tcPr>
          <w:p w:rsidR="00C87D2F" w:rsidRPr="007F0150" w:rsidRDefault="00C87D2F" w:rsidP="00444D49">
            <w:pPr>
              <w:rPr>
                <w:rFonts w:ascii="Times New Roman" w:hAnsi="Times New Roman" w:cs="Times New Roman"/>
                <w:sz w:val="24"/>
                <w:szCs w:val="24"/>
              </w:rPr>
            </w:pPr>
            <w:r w:rsidRPr="007F0150">
              <w:rPr>
                <w:rFonts w:ascii="Times New Roman" w:hAnsi="Times New Roman" w:cs="Times New Roman"/>
                <w:sz w:val="24"/>
                <w:szCs w:val="24"/>
              </w:rPr>
              <w:t>Climate change and GHG emissions</w:t>
            </w:r>
          </w:p>
        </w:tc>
        <w:tc>
          <w:tcPr>
            <w:tcW w:w="3420" w:type="dxa"/>
            <w:shd w:val="clear" w:color="auto" w:fill="E7E6E6" w:themeFill="background2"/>
          </w:tcPr>
          <w:p w:rsidR="00C87D2F" w:rsidRPr="007F0150" w:rsidRDefault="00C87D2F"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The relation between provisions on climate change in the ESF and broader climate change commitments, specifically UNFCCC</w:t>
            </w:r>
          </w:p>
          <w:p w:rsidR="00C87D2F" w:rsidRPr="007F0150" w:rsidRDefault="00C87D2F"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Proposed</w:t>
            </w:r>
            <w:r w:rsidRPr="007F0150" w:rsidDel="001341BB">
              <w:rPr>
                <w:rFonts w:ascii="Times New Roman" w:hAnsi="Times New Roman"/>
                <w:sz w:val="24"/>
                <w:szCs w:val="24"/>
              </w:rPr>
              <w:t xml:space="preserve"> </w:t>
            </w:r>
            <w:r w:rsidRPr="007F0150">
              <w:rPr>
                <w:rFonts w:ascii="Times New Roman" w:hAnsi="Times New Roman"/>
                <w:sz w:val="24"/>
                <w:szCs w:val="24"/>
              </w:rPr>
              <w:t>approaches to measuring and monitoring greenhouse gas (GHG) emissions in Bank projects and implications thereof, in line with the proposed standard, including determining scope, threshold, duration, frequency and economic and financial feasibility of such estimation and monitoring</w:t>
            </w:r>
          </w:p>
          <w:p w:rsidR="00C87D2F" w:rsidRPr="007F0150" w:rsidRDefault="00C87D2F"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Implications required for the Borrower of estimating and reducing GHG emissions for Bank projects, in line with the proposed standard</w:t>
            </w:r>
          </w:p>
        </w:tc>
        <w:tc>
          <w:tcPr>
            <w:tcW w:w="7740" w:type="dxa"/>
          </w:tcPr>
          <w:p w:rsidR="00BB08ED" w:rsidRDefault="007F528B" w:rsidP="00804050">
            <w:pPr>
              <w:pStyle w:val="ListParagraph"/>
              <w:spacing w:before="120"/>
              <w:ind w:left="0"/>
              <w:contextualSpacing/>
              <w:jc w:val="both"/>
              <w:rPr>
                <w:rFonts w:ascii="Times New Roman" w:hAnsi="Times New Roman"/>
                <w:sz w:val="24"/>
                <w:szCs w:val="24"/>
              </w:rPr>
            </w:pPr>
            <w:r>
              <w:rPr>
                <w:rFonts w:ascii="Times New Roman" w:hAnsi="Times New Roman"/>
                <w:sz w:val="24"/>
                <w:szCs w:val="24"/>
              </w:rPr>
              <w:t>Q: How can the Bank help borrowers implement the provisions on climate change?</w:t>
            </w:r>
          </w:p>
          <w:p w:rsidR="00AB4C53" w:rsidRDefault="00AB4C53" w:rsidP="00804050">
            <w:pPr>
              <w:pStyle w:val="ListParagraph"/>
              <w:spacing w:before="120"/>
              <w:ind w:left="0"/>
              <w:contextualSpacing/>
              <w:jc w:val="both"/>
              <w:rPr>
                <w:rFonts w:ascii="Times New Roman" w:hAnsi="Times New Roman"/>
                <w:sz w:val="24"/>
                <w:szCs w:val="24"/>
              </w:rPr>
            </w:pPr>
          </w:p>
          <w:p w:rsidR="00AB4C53" w:rsidRDefault="00AB4C53" w:rsidP="00804050">
            <w:pPr>
              <w:pStyle w:val="ListParagraph"/>
              <w:spacing w:before="120"/>
              <w:ind w:left="0"/>
              <w:contextualSpacing/>
              <w:jc w:val="both"/>
              <w:rPr>
                <w:rFonts w:ascii="Times New Roman" w:hAnsi="Times New Roman"/>
                <w:sz w:val="24"/>
                <w:szCs w:val="24"/>
              </w:rPr>
            </w:pPr>
            <w:r>
              <w:rPr>
                <w:rFonts w:ascii="Times New Roman" w:hAnsi="Times New Roman"/>
                <w:sz w:val="24"/>
                <w:szCs w:val="24"/>
              </w:rPr>
              <w:t>Q: Is there any specific requirement in this ESS to help developing countries reduce GHGs?</w:t>
            </w:r>
          </w:p>
          <w:p w:rsidR="008E6794" w:rsidRPr="001A7BCD" w:rsidRDefault="008E6794" w:rsidP="00804050">
            <w:pPr>
              <w:pStyle w:val="ListParagraph"/>
              <w:spacing w:before="120"/>
              <w:ind w:left="0"/>
              <w:contextualSpacing/>
              <w:jc w:val="both"/>
              <w:rPr>
                <w:rFonts w:ascii="Times New Roman" w:hAnsi="Times New Roman"/>
                <w:sz w:val="24"/>
                <w:szCs w:val="24"/>
              </w:rPr>
            </w:pPr>
          </w:p>
        </w:tc>
      </w:tr>
      <w:tr w:rsidR="00944F46" w:rsidRPr="001A7BCD" w:rsidTr="007F0150">
        <w:tc>
          <w:tcPr>
            <w:tcW w:w="985" w:type="dxa"/>
            <w:shd w:val="clear" w:color="auto" w:fill="E7E6E6" w:themeFill="background2"/>
          </w:tcPr>
          <w:p w:rsidR="00944F46" w:rsidRPr="007F0150" w:rsidRDefault="00944F46" w:rsidP="00444D49">
            <w:pPr>
              <w:rPr>
                <w:rFonts w:ascii="Times New Roman" w:hAnsi="Times New Roman" w:cs="Times New Roman"/>
                <w:sz w:val="24"/>
                <w:szCs w:val="24"/>
              </w:rPr>
            </w:pPr>
            <w:r w:rsidRPr="007F0150">
              <w:rPr>
                <w:rFonts w:ascii="Times New Roman" w:hAnsi="Times New Roman" w:cs="Times New Roman"/>
                <w:sz w:val="24"/>
                <w:szCs w:val="24"/>
              </w:rPr>
              <w:lastRenderedPageBreak/>
              <w:t>ESS5</w:t>
            </w:r>
          </w:p>
        </w:tc>
        <w:tc>
          <w:tcPr>
            <w:tcW w:w="2160" w:type="dxa"/>
            <w:shd w:val="clear" w:color="auto" w:fill="E7E6E6" w:themeFill="background2"/>
          </w:tcPr>
          <w:p w:rsidR="00944F46" w:rsidRPr="007F0150" w:rsidRDefault="00944F46" w:rsidP="00444D49">
            <w:pPr>
              <w:rPr>
                <w:rFonts w:ascii="Times New Roman" w:hAnsi="Times New Roman" w:cs="Times New Roman"/>
                <w:sz w:val="24"/>
                <w:szCs w:val="24"/>
              </w:rPr>
            </w:pPr>
            <w:r w:rsidRPr="007F0150">
              <w:rPr>
                <w:rFonts w:ascii="Times New Roman" w:hAnsi="Times New Roman" w:cs="Times New Roman"/>
                <w:sz w:val="24"/>
                <w:szCs w:val="24"/>
              </w:rPr>
              <w:t>Land acquisition and involuntary resettlement</w:t>
            </w:r>
          </w:p>
        </w:tc>
        <w:tc>
          <w:tcPr>
            <w:tcW w:w="3420" w:type="dxa"/>
            <w:shd w:val="clear" w:color="auto" w:fill="E7E6E6" w:themeFill="background2"/>
          </w:tcPr>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 xml:space="preserve">Treatment and rights of informal occupants and approach to forced evictions in situations unrelated to land acquisitions </w:t>
            </w:r>
          </w:p>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 xml:space="preserve">Interpretation of the concept of resettlement as a “development opportunity” in different project circumstances </w:t>
            </w:r>
          </w:p>
        </w:tc>
        <w:tc>
          <w:tcPr>
            <w:tcW w:w="7740" w:type="dxa"/>
          </w:tcPr>
          <w:p w:rsidR="00541263" w:rsidRDefault="00541263" w:rsidP="00541263">
            <w:pPr>
              <w:pStyle w:val="Body"/>
              <w:rPr>
                <w:rFonts w:ascii="Times New Roman" w:hAnsi="Times New Roman" w:cs="Times New Roman"/>
                <w:sz w:val="24"/>
                <w:szCs w:val="24"/>
              </w:rPr>
            </w:pPr>
            <w:r>
              <w:rPr>
                <w:rFonts w:ascii="Times New Roman" w:hAnsi="Times New Roman" w:cs="Times New Roman"/>
                <w:sz w:val="24"/>
                <w:szCs w:val="24"/>
              </w:rPr>
              <w:t xml:space="preserve">C: People with land titles have the right to be compensated, but there are not always enough resources to do so, so project-affected people don’t always get the funds they’re entitled to. </w:t>
            </w:r>
          </w:p>
          <w:p w:rsidR="00541263" w:rsidRDefault="00541263" w:rsidP="00541263">
            <w:pPr>
              <w:pStyle w:val="Body"/>
              <w:rPr>
                <w:rFonts w:ascii="Times New Roman" w:hAnsi="Times New Roman" w:cs="Times New Roman"/>
                <w:sz w:val="24"/>
                <w:szCs w:val="24"/>
              </w:rPr>
            </w:pPr>
          </w:p>
          <w:p w:rsidR="002F729A" w:rsidRDefault="00EF1900" w:rsidP="00541263">
            <w:pPr>
              <w:pStyle w:val="Body"/>
              <w:rPr>
                <w:rFonts w:ascii="Times New Roman" w:hAnsi="Times New Roman" w:cs="Times New Roman"/>
                <w:sz w:val="24"/>
                <w:szCs w:val="24"/>
              </w:rPr>
            </w:pPr>
            <w:r>
              <w:rPr>
                <w:rFonts w:ascii="Times New Roman" w:hAnsi="Times New Roman" w:cs="Times New Roman"/>
                <w:sz w:val="24"/>
                <w:szCs w:val="24"/>
              </w:rPr>
              <w:t xml:space="preserve">Q: Rwanda’s </w:t>
            </w:r>
            <w:r w:rsidR="00541263">
              <w:rPr>
                <w:rFonts w:ascii="Times New Roman" w:hAnsi="Times New Roman" w:cs="Times New Roman"/>
                <w:sz w:val="24"/>
                <w:szCs w:val="24"/>
              </w:rPr>
              <w:t>land reform framework is good; however, it d</w:t>
            </w:r>
            <w:r>
              <w:rPr>
                <w:rFonts w:ascii="Times New Roman" w:hAnsi="Times New Roman" w:cs="Times New Roman"/>
                <w:sz w:val="24"/>
                <w:szCs w:val="24"/>
              </w:rPr>
              <w:t>oes not allow for compensating tenants. How does the ESF handle such compensation?</w:t>
            </w:r>
            <w:r w:rsidR="00541263">
              <w:rPr>
                <w:rFonts w:ascii="Times New Roman" w:hAnsi="Times New Roman" w:cs="Times New Roman"/>
                <w:sz w:val="24"/>
                <w:szCs w:val="24"/>
              </w:rPr>
              <w:t xml:space="preserve"> And, how is the contradiction between national law and ESS 5 going to be managed?</w:t>
            </w:r>
          </w:p>
          <w:p w:rsidR="008E6794" w:rsidRDefault="008E6794" w:rsidP="00541263">
            <w:pPr>
              <w:pStyle w:val="Body"/>
              <w:rPr>
                <w:rFonts w:ascii="Times New Roman" w:hAnsi="Times New Roman" w:cs="Times New Roman"/>
                <w:sz w:val="24"/>
                <w:szCs w:val="24"/>
              </w:rPr>
            </w:pPr>
          </w:p>
          <w:p w:rsidR="008E6794" w:rsidRDefault="008E6794" w:rsidP="00541263">
            <w:pPr>
              <w:pStyle w:val="Body"/>
              <w:rPr>
                <w:rFonts w:ascii="Times New Roman" w:hAnsi="Times New Roman" w:cs="Times New Roman"/>
                <w:sz w:val="24"/>
                <w:szCs w:val="24"/>
              </w:rPr>
            </w:pPr>
            <w:r>
              <w:rPr>
                <w:rFonts w:ascii="Times New Roman" w:hAnsi="Times New Roman" w:cs="Times New Roman"/>
                <w:sz w:val="24"/>
                <w:szCs w:val="24"/>
              </w:rPr>
              <w:t xml:space="preserve">Q: Sometimes there are delays in the payment of compensation because the government may not have the money to pay immediately or the government may only be in a position to pay partial compensation. How is this captured in the ESF? </w:t>
            </w:r>
          </w:p>
          <w:p w:rsidR="008E6794" w:rsidRPr="001A7BCD" w:rsidRDefault="008E6794" w:rsidP="00541263">
            <w:pPr>
              <w:pStyle w:val="Body"/>
              <w:rPr>
                <w:rFonts w:ascii="Times New Roman" w:hAnsi="Times New Roman" w:cs="Times New Roman"/>
                <w:sz w:val="24"/>
                <w:szCs w:val="24"/>
              </w:rPr>
            </w:pPr>
          </w:p>
        </w:tc>
      </w:tr>
      <w:tr w:rsidR="00944F46" w:rsidRPr="001A7BCD" w:rsidTr="007F0150">
        <w:tc>
          <w:tcPr>
            <w:tcW w:w="985" w:type="dxa"/>
            <w:shd w:val="clear" w:color="auto" w:fill="E7E6E6" w:themeFill="background2"/>
          </w:tcPr>
          <w:p w:rsidR="00944F46" w:rsidRPr="007F0150" w:rsidRDefault="00944F46" w:rsidP="00444D49">
            <w:pPr>
              <w:rPr>
                <w:rFonts w:ascii="Times New Roman" w:hAnsi="Times New Roman" w:cs="Times New Roman"/>
                <w:sz w:val="24"/>
                <w:szCs w:val="24"/>
              </w:rPr>
            </w:pPr>
            <w:r w:rsidRPr="007F0150">
              <w:rPr>
                <w:rFonts w:ascii="Times New Roman" w:hAnsi="Times New Roman" w:cs="Times New Roman"/>
                <w:sz w:val="24"/>
                <w:szCs w:val="24"/>
              </w:rPr>
              <w:t>ESS6</w:t>
            </w:r>
          </w:p>
        </w:tc>
        <w:tc>
          <w:tcPr>
            <w:tcW w:w="2160" w:type="dxa"/>
            <w:shd w:val="clear" w:color="auto" w:fill="E7E6E6" w:themeFill="background2"/>
          </w:tcPr>
          <w:p w:rsidR="00944F46" w:rsidRPr="007F0150" w:rsidRDefault="00944F46" w:rsidP="00444D49">
            <w:pPr>
              <w:rPr>
                <w:rFonts w:ascii="Times New Roman" w:hAnsi="Times New Roman" w:cs="Times New Roman"/>
                <w:sz w:val="24"/>
                <w:szCs w:val="24"/>
              </w:rPr>
            </w:pPr>
            <w:r w:rsidRPr="007F0150">
              <w:rPr>
                <w:rFonts w:ascii="Times New Roman" w:hAnsi="Times New Roman" w:cs="Times New Roman"/>
                <w:sz w:val="24"/>
                <w:szCs w:val="24"/>
              </w:rPr>
              <w:t>Biodiversity</w:t>
            </w:r>
          </w:p>
        </w:tc>
        <w:tc>
          <w:tcPr>
            <w:tcW w:w="3420" w:type="dxa"/>
            <w:shd w:val="clear" w:color="auto" w:fill="E7E6E6" w:themeFill="background2"/>
          </w:tcPr>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Operationalization of the provisions on primary suppliers and ecosystem services, especially in situation with low capacity</w:t>
            </w:r>
          </w:p>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Role of national law with regard to protecting and conserving natural and critical habitats</w:t>
            </w:r>
          </w:p>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 xml:space="preserve">Criteria for biodiversity offsets, including consideration of project benefits </w:t>
            </w:r>
          </w:p>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Definition and application of net gains for biodiversity</w:t>
            </w:r>
          </w:p>
        </w:tc>
        <w:tc>
          <w:tcPr>
            <w:tcW w:w="7740" w:type="dxa"/>
          </w:tcPr>
          <w:p w:rsidR="002F729A" w:rsidRPr="001A7BCD" w:rsidRDefault="007F528B" w:rsidP="007F528B">
            <w:pPr>
              <w:pStyle w:val="ListParagraph"/>
              <w:spacing w:before="120"/>
              <w:ind w:left="0"/>
              <w:contextualSpacing/>
              <w:jc w:val="both"/>
              <w:rPr>
                <w:rFonts w:ascii="Times New Roman" w:hAnsi="Times New Roman"/>
                <w:sz w:val="24"/>
                <w:szCs w:val="24"/>
              </w:rPr>
            </w:pPr>
            <w:r w:rsidRPr="007F528B">
              <w:rPr>
                <w:rFonts w:ascii="Times New Roman" w:hAnsi="Times New Roman"/>
                <w:sz w:val="24"/>
                <w:szCs w:val="24"/>
              </w:rPr>
              <w:t xml:space="preserve">Q: How can the Bank help borrowers implement the provisions on </w:t>
            </w:r>
            <w:r>
              <w:rPr>
                <w:rFonts w:ascii="Times New Roman" w:hAnsi="Times New Roman"/>
                <w:sz w:val="24"/>
                <w:szCs w:val="24"/>
              </w:rPr>
              <w:t>ecosystem services</w:t>
            </w:r>
            <w:r w:rsidRPr="007F528B">
              <w:rPr>
                <w:rFonts w:ascii="Times New Roman" w:hAnsi="Times New Roman"/>
                <w:sz w:val="24"/>
                <w:szCs w:val="24"/>
              </w:rPr>
              <w:t>?</w:t>
            </w:r>
          </w:p>
        </w:tc>
      </w:tr>
      <w:tr w:rsidR="00944F46" w:rsidRPr="001A7BCD" w:rsidTr="007F0150">
        <w:tc>
          <w:tcPr>
            <w:tcW w:w="985" w:type="dxa"/>
            <w:shd w:val="clear" w:color="auto" w:fill="E7E6E6" w:themeFill="background2"/>
          </w:tcPr>
          <w:p w:rsidR="00944F46" w:rsidRPr="007F0150" w:rsidRDefault="00944F46" w:rsidP="00444D49">
            <w:pPr>
              <w:rPr>
                <w:rFonts w:ascii="Times New Roman" w:hAnsi="Times New Roman" w:cs="Times New Roman"/>
                <w:color w:val="000000"/>
                <w:sz w:val="24"/>
                <w:szCs w:val="24"/>
              </w:rPr>
            </w:pPr>
            <w:r w:rsidRPr="007F0150">
              <w:rPr>
                <w:rFonts w:ascii="Times New Roman" w:hAnsi="Times New Roman" w:cs="Times New Roman"/>
                <w:color w:val="000000"/>
                <w:sz w:val="24"/>
                <w:szCs w:val="24"/>
              </w:rPr>
              <w:t>ESS7</w:t>
            </w:r>
          </w:p>
        </w:tc>
        <w:tc>
          <w:tcPr>
            <w:tcW w:w="2160" w:type="dxa"/>
            <w:shd w:val="clear" w:color="auto" w:fill="E7E6E6" w:themeFill="background2"/>
          </w:tcPr>
          <w:p w:rsidR="00944F46" w:rsidRPr="007F0150" w:rsidRDefault="00944F46" w:rsidP="00444D49">
            <w:pPr>
              <w:rPr>
                <w:rFonts w:ascii="Times New Roman" w:hAnsi="Times New Roman" w:cs="Times New Roman"/>
                <w:sz w:val="24"/>
                <w:szCs w:val="24"/>
              </w:rPr>
            </w:pPr>
            <w:r w:rsidRPr="007F0150">
              <w:rPr>
                <w:rFonts w:ascii="Times New Roman" w:hAnsi="Times New Roman" w:cs="Times New Roman"/>
                <w:color w:val="000000"/>
                <w:sz w:val="24"/>
                <w:szCs w:val="24"/>
              </w:rPr>
              <w:t>Indigenous Peoples</w:t>
            </w:r>
          </w:p>
        </w:tc>
        <w:tc>
          <w:tcPr>
            <w:tcW w:w="3420" w:type="dxa"/>
            <w:shd w:val="clear" w:color="auto" w:fill="E7E6E6" w:themeFill="background2"/>
          </w:tcPr>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color w:val="000000"/>
                <w:sz w:val="24"/>
                <w:szCs w:val="24"/>
              </w:rPr>
              <w:t xml:space="preserve">Implementation of the Indigenous Peoples standard </w:t>
            </w:r>
            <w:r w:rsidRPr="007F0150">
              <w:rPr>
                <w:rFonts w:asciiTheme="majorBidi" w:hAnsiTheme="majorBidi" w:cstheme="majorBidi"/>
                <w:color w:val="000000"/>
                <w:sz w:val="24"/>
                <w:szCs w:val="24"/>
              </w:rPr>
              <w:t xml:space="preserve">in complex </w:t>
            </w:r>
            <w:r w:rsidRPr="007F0150">
              <w:rPr>
                <w:rFonts w:asciiTheme="majorBidi" w:hAnsiTheme="majorBidi" w:cstheme="majorBidi"/>
                <w:sz w:val="24"/>
                <w:szCs w:val="24"/>
              </w:rPr>
              <w:lastRenderedPageBreak/>
              <w:t>political and cultural contexts</w:t>
            </w:r>
          </w:p>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 xml:space="preserve">Implementation of ESS7 in countries where the constitution does not acknowledge Indigenous Peoples or only recognizes certain groups as indigenous </w:t>
            </w:r>
          </w:p>
          <w:p w:rsidR="00944F46" w:rsidRPr="007F0150" w:rsidRDefault="00944F46" w:rsidP="007B0C08">
            <w:pPr>
              <w:pStyle w:val="ListParagraph"/>
              <w:numPr>
                <w:ilvl w:val="0"/>
                <w:numId w:val="11"/>
              </w:numPr>
              <w:rPr>
                <w:rFonts w:ascii="Times New Roman" w:hAnsi="Times New Roman"/>
                <w:sz w:val="24"/>
                <w:szCs w:val="24"/>
              </w:rPr>
            </w:pPr>
            <w:r w:rsidRPr="007F0150">
              <w:rPr>
                <w:rFonts w:asciiTheme="majorBidi" w:hAnsiTheme="majorBidi" w:cstheme="majorBidi"/>
                <w:sz w:val="24"/>
                <w:szCs w:val="24"/>
              </w:rPr>
              <w:t>Possible approaches to reflect alternative terminologies used in different countries to describe Indigenous Peoples</w:t>
            </w:r>
          </w:p>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color w:val="000000"/>
                <w:sz w:val="24"/>
                <w:szCs w:val="24"/>
              </w:rPr>
              <w:t xml:space="preserve">Circumstances (e.g. criteria and timing) in which a waiver may be considered and the information to be provided to the Board to inform its decision </w:t>
            </w:r>
          </w:p>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color w:val="000000"/>
                <w:sz w:val="24"/>
                <w:szCs w:val="24"/>
              </w:rPr>
              <w:t>Criteria for establishing and implementation of Free, Prior and Informed Consent (FPIC)</w:t>
            </w:r>
          </w:p>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Comparison of proposed FPIC with existing requirements on consultation</w:t>
            </w:r>
          </w:p>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color w:val="000000"/>
                <w:sz w:val="24"/>
                <w:szCs w:val="24"/>
              </w:rPr>
              <w:t>Application of FPIC to impacts on Indigenous Peoples’ cultural heritage</w:t>
            </w:r>
          </w:p>
        </w:tc>
        <w:tc>
          <w:tcPr>
            <w:tcW w:w="7740" w:type="dxa"/>
          </w:tcPr>
          <w:p w:rsidR="00057AD8" w:rsidRPr="001A7BCD" w:rsidRDefault="00AB4C53" w:rsidP="00AB4C53">
            <w:pPr>
              <w:tabs>
                <w:tab w:val="left" w:pos="1809"/>
              </w:tabs>
              <w:spacing w:before="120"/>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C: This standard cannot work in Rwanda, given its history. Tanzania’s Constitution established a basis for avoiding genocide. Burundi has chosen to recognize Indigenous Peoples. The real issue is poverty.</w:t>
            </w:r>
            <w:r w:rsidR="008E6794">
              <w:rPr>
                <w:rFonts w:ascii="Times New Roman" w:eastAsiaTheme="minorHAnsi" w:hAnsi="Times New Roman" w:cs="Times New Roman"/>
                <w:sz w:val="24"/>
                <w:szCs w:val="24"/>
                <w:lang w:eastAsia="en-US"/>
              </w:rPr>
              <w:t xml:space="preserve"> We would prefer to </w:t>
            </w:r>
            <w:r w:rsidR="008E6794">
              <w:rPr>
                <w:rFonts w:ascii="Times New Roman" w:eastAsiaTheme="minorHAnsi" w:hAnsi="Times New Roman" w:cs="Times New Roman"/>
                <w:sz w:val="24"/>
                <w:szCs w:val="24"/>
                <w:lang w:eastAsia="en-US"/>
              </w:rPr>
              <w:lastRenderedPageBreak/>
              <w:t xml:space="preserve">see equity in the level of interventions that address poverty rather than attempts to distinguish between communities. </w:t>
            </w:r>
          </w:p>
        </w:tc>
      </w:tr>
      <w:tr w:rsidR="00944F46" w:rsidRPr="001A7BCD" w:rsidTr="007F0150">
        <w:tc>
          <w:tcPr>
            <w:tcW w:w="985" w:type="dxa"/>
            <w:shd w:val="clear" w:color="auto" w:fill="E7E6E6" w:themeFill="background2"/>
          </w:tcPr>
          <w:p w:rsidR="00944F46" w:rsidRPr="007F0150" w:rsidRDefault="00944F46" w:rsidP="00444D49">
            <w:pPr>
              <w:rPr>
                <w:rFonts w:ascii="Times New Roman" w:hAnsi="Times New Roman" w:cs="Times New Roman"/>
                <w:sz w:val="24"/>
                <w:szCs w:val="24"/>
              </w:rPr>
            </w:pPr>
            <w:r w:rsidRPr="007F0150">
              <w:rPr>
                <w:rFonts w:ascii="Times New Roman" w:hAnsi="Times New Roman" w:cs="Times New Roman"/>
                <w:sz w:val="24"/>
                <w:szCs w:val="24"/>
              </w:rPr>
              <w:lastRenderedPageBreak/>
              <w:t>ESS8</w:t>
            </w:r>
          </w:p>
        </w:tc>
        <w:tc>
          <w:tcPr>
            <w:tcW w:w="2160" w:type="dxa"/>
            <w:shd w:val="clear" w:color="auto" w:fill="E7E6E6" w:themeFill="background2"/>
          </w:tcPr>
          <w:p w:rsidR="00944F46" w:rsidRPr="007F0150" w:rsidRDefault="00944F46" w:rsidP="00444D49">
            <w:pPr>
              <w:rPr>
                <w:rFonts w:ascii="Times New Roman" w:hAnsi="Times New Roman" w:cs="Times New Roman"/>
                <w:sz w:val="24"/>
                <w:szCs w:val="24"/>
              </w:rPr>
            </w:pPr>
            <w:r w:rsidRPr="007F0150">
              <w:rPr>
                <w:rFonts w:ascii="Times New Roman" w:hAnsi="Times New Roman" w:cs="Times New Roman"/>
                <w:sz w:val="24"/>
                <w:szCs w:val="24"/>
              </w:rPr>
              <w:t>Cultural Heritage</w:t>
            </w:r>
          </w:p>
        </w:tc>
        <w:tc>
          <w:tcPr>
            <w:tcW w:w="3420" w:type="dxa"/>
            <w:shd w:val="clear" w:color="auto" w:fill="E7E6E6" w:themeFill="background2"/>
          </w:tcPr>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 xml:space="preserve">Treatment of intangible cultural heritage </w:t>
            </w:r>
          </w:p>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Application of intangible cultural heritage when the project intends to commercialize such heritage</w:t>
            </w:r>
          </w:p>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Application of cultural heritage requirements when cultural heritage has not been legally protected or previously identified or disturbed</w:t>
            </w:r>
          </w:p>
        </w:tc>
        <w:tc>
          <w:tcPr>
            <w:tcW w:w="7740" w:type="dxa"/>
          </w:tcPr>
          <w:p w:rsidR="00944F46" w:rsidRPr="001A7BCD" w:rsidRDefault="00944F46" w:rsidP="00731617">
            <w:pPr>
              <w:pStyle w:val="ListParagraph"/>
              <w:spacing w:before="120"/>
              <w:ind w:left="360"/>
              <w:contextualSpacing/>
              <w:jc w:val="both"/>
              <w:rPr>
                <w:rFonts w:ascii="Times New Roman" w:hAnsi="Times New Roman"/>
                <w:sz w:val="24"/>
                <w:szCs w:val="24"/>
              </w:rPr>
            </w:pPr>
          </w:p>
        </w:tc>
      </w:tr>
      <w:tr w:rsidR="00944F46" w:rsidRPr="001A7BCD" w:rsidTr="007F0150">
        <w:tc>
          <w:tcPr>
            <w:tcW w:w="985" w:type="dxa"/>
            <w:shd w:val="clear" w:color="auto" w:fill="E7E6E6" w:themeFill="background2"/>
          </w:tcPr>
          <w:p w:rsidR="00944F46" w:rsidRPr="007F0150" w:rsidRDefault="00944F46" w:rsidP="00444D49">
            <w:pPr>
              <w:rPr>
                <w:rFonts w:ascii="Times New Roman" w:hAnsi="Times New Roman" w:cs="Times New Roman"/>
                <w:sz w:val="24"/>
                <w:szCs w:val="24"/>
              </w:rPr>
            </w:pPr>
            <w:r w:rsidRPr="007F0150">
              <w:rPr>
                <w:rFonts w:ascii="Times New Roman" w:hAnsi="Times New Roman" w:cs="Times New Roman"/>
                <w:sz w:val="24"/>
                <w:szCs w:val="24"/>
              </w:rPr>
              <w:t>ESS9</w:t>
            </w:r>
          </w:p>
        </w:tc>
        <w:tc>
          <w:tcPr>
            <w:tcW w:w="2160" w:type="dxa"/>
            <w:shd w:val="clear" w:color="auto" w:fill="E7E6E6" w:themeFill="background2"/>
          </w:tcPr>
          <w:p w:rsidR="00944F46" w:rsidRPr="007F0150" w:rsidRDefault="00944F46" w:rsidP="00444D49">
            <w:pPr>
              <w:rPr>
                <w:rFonts w:ascii="Times New Roman" w:hAnsi="Times New Roman" w:cs="Times New Roman"/>
                <w:sz w:val="24"/>
                <w:szCs w:val="24"/>
              </w:rPr>
            </w:pPr>
            <w:r w:rsidRPr="007F0150">
              <w:rPr>
                <w:rFonts w:ascii="Times New Roman" w:hAnsi="Times New Roman" w:cs="Times New Roman"/>
                <w:sz w:val="24"/>
                <w:szCs w:val="24"/>
              </w:rPr>
              <w:t>Financial Intermediaries</w:t>
            </w:r>
          </w:p>
        </w:tc>
        <w:tc>
          <w:tcPr>
            <w:tcW w:w="3420" w:type="dxa"/>
            <w:shd w:val="clear" w:color="auto" w:fill="E7E6E6" w:themeFill="background2"/>
          </w:tcPr>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 xml:space="preserve">Application of standard to FI subprojects and resource implications depending on risk </w:t>
            </w:r>
          </w:p>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 xml:space="preserve">Harmonization of approach with IFC and Equator Banks </w:t>
            </w:r>
          </w:p>
        </w:tc>
        <w:tc>
          <w:tcPr>
            <w:tcW w:w="7740" w:type="dxa"/>
          </w:tcPr>
          <w:p w:rsidR="00944F46" w:rsidRPr="001A7BCD" w:rsidRDefault="00944F46" w:rsidP="00057AD8">
            <w:pPr>
              <w:rPr>
                <w:rFonts w:ascii="Times New Roman" w:eastAsiaTheme="minorHAnsi" w:hAnsi="Times New Roman" w:cs="Times New Roman"/>
                <w:sz w:val="24"/>
                <w:szCs w:val="24"/>
                <w:lang w:eastAsia="en-US"/>
              </w:rPr>
            </w:pPr>
          </w:p>
        </w:tc>
      </w:tr>
      <w:tr w:rsidR="00944F46" w:rsidRPr="001A7BCD" w:rsidTr="007F0150">
        <w:tc>
          <w:tcPr>
            <w:tcW w:w="985" w:type="dxa"/>
            <w:shd w:val="clear" w:color="auto" w:fill="E7E6E6" w:themeFill="background2"/>
          </w:tcPr>
          <w:p w:rsidR="00944F46" w:rsidRPr="007F0150" w:rsidRDefault="00944F46" w:rsidP="00444D49">
            <w:pPr>
              <w:rPr>
                <w:rFonts w:ascii="Times New Roman" w:hAnsi="Times New Roman" w:cs="Times New Roman"/>
                <w:sz w:val="24"/>
                <w:szCs w:val="24"/>
              </w:rPr>
            </w:pPr>
            <w:r w:rsidRPr="007F0150">
              <w:rPr>
                <w:rFonts w:ascii="Times New Roman" w:hAnsi="Times New Roman" w:cs="Times New Roman"/>
                <w:sz w:val="24"/>
                <w:szCs w:val="24"/>
              </w:rPr>
              <w:t>ESS10</w:t>
            </w:r>
          </w:p>
        </w:tc>
        <w:tc>
          <w:tcPr>
            <w:tcW w:w="2160" w:type="dxa"/>
            <w:shd w:val="clear" w:color="auto" w:fill="E7E6E6" w:themeFill="background2"/>
          </w:tcPr>
          <w:p w:rsidR="00944F46" w:rsidRPr="007F0150" w:rsidRDefault="00944F46" w:rsidP="00071BD2">
            <w:pPr>
              <w:rPr>
                <w:rFonts w:ascii="Times New Roman" w:hAnsi="Times New Roman" w:cs="Times New Roman"/>
                <w:sz w:val="24"/>
                <w:szCs w:val="24"/>
              </w:rPr>
            </w:pPr>
            <w:r w:rsidRPr="007F0150">
              <w:rPr>
                <w:rFonts w:ascii="Times New Roman" w:hAnsi="Times New Roman" w:cs="Times New Roman"/>
                <w:sz w:val="24"/>
                <w:szCs w:val="24"/>
              </w:rPr>
              <w:t>Stakeholder engagement</w:t>
            </w:r>
          </w:p>
        </w:tc>
        <w:tc>
          <w:tcPr>
            <w:tcW w:w="3420" w:type="dxa"/>
            <w:shd w:val="clear" w:color="auto" w:fill="E7E6E6" w:themeFill="background2"/>
          </w:tcPr>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Definition and identification of project stakeholders and nature of engagement</w:t>
            </w:r>
          </w:p>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Role of borrowing countries or implementing agencies in identifying project stakeholders</w:t>
            </w:r>
          </w:p>
        </w:tc>
        <w:tc>
          <w:tcPr>
            <w:tcW w:w="7740" w:type="dxa"/>
          </w:tcPr>
          <w:p w:rsidR="00944F46" w:rsidRDefault="00AB4C53" w:rsidP="00000CAC">
            <w:pPr>
              <w:tabs>
                <w:tab w:val="left" w:pos="2054"/>
              </w:tabs>
              <w:rPr>
                <w:rFonts w:ascii="Times New Roman" w:hAnsi="Times New Roman" w:cs="Times New Roman"/>
                <w:sz w:val="24"/>
                <w:szCs w:val="24"/>
              </w:rPr>
            </w:pPr>
            <w:r w:rsidRPr="00AB4C53">
              <w:rPr>
                <w:rFonts w:ascii="Times New Roman" w:hAnsi="Times New Roman" w:cs="Times New Roman"/>
                <w:sz w:val="24"/>
                <w:szCs w:val="24"/>
              </w:rPr>
              <w:t>C: Beneficiari</w:t>
            </w:r>
            <w:r>
              <w:rPr>
                <w:rFonts w:ascii="Times New Roman" w:hAnsi="Times New Roman" w:cs="Times New Roman"/>
                <w:sz w:val="24"/>
                <w:szCs w:val="24"/>
              </w:rPr>
              <w:t>es should be very much engaged in identifying environmental and social impacts and mitigation measures. This helps projects.</w:t>
            </w:r>
          </w:p>
          <w:p w:rsidR="00AB4C53" w:rsidRDefault="00AB4C53" w:rsidP="00000CAC">
            <w:pPr>
              <w:tabs>
                <w:tab w:val="left" w:pos="2054"/>
              </w:tabs>
              <w:rPr>
                <w:rFonts w:ascii="Times New Roman" w:hAnsi="Times New Roman" w:cs="Times New Roman"/>
                <w:sz w:val="24"/>
                <w:szCs w:val="24"/>
              </w:rPr>
            </w:pPr>
          </w:p>
          <w:p w:rsidR="00AB4C53" w:rsidRPr="00AB4C53" w:rsidRDefault="00AB4C53" w:rsidP="00000CAC">
            <w:pPr>
              <w:tabs>
                <w:tab w:val="left" w:pos="2054"/>
              </w:tabs>
              <w:rPr>
                <w:rFonts w:ascii="Times New Roman" w:hAnsi="Times New Roman" w:cs="Times New Roman"/>
                <w:sz w:val="24"/>
                <w:szCs w:val="24"/>
              </w:rPr>
            </w:pPr>
            <w:r>
              <w:rPr>
                <w:rFonts w:ascii="Times New Roman" w:hAnsi="Times New Roman" w:cs="Times New Roman"/>
                <w:sz w:val="24"/>
                <w:szCs w:val="24"/>
              </w:rPr>
              <w:t>Q: How does a borrower government engage civil society in a meaningful way?</w:t>
            </w:r>
          </w:p>
        </w:tc>
      </w:tr>
      <w:tr w:rsidR="00944F46" w:rsidRPr="001A7BCD" w:rsidTr="007F0150">
        <w:tc>
          <w:tcPr>
            <w:tcW w:w="985" w:type="dxa"/>
            <w:vMerge w:val="restart"/>
            <w:shd w:val="clear" w:color="auto" w:fill="E7E6E6" w:themeFill="background2"/>
          </w:tcPr>
          <w:p w:rsidR="00944F46" w:rsidRPr="007F0150" w:rsidRDefault="00944F46" w:rsidP="00444D49">
            <w:pPr>
              <w:rPr>
                <w:rFonts w:ascii="Times New Roman" w:hAnsi="Times New Roman" w:cs="Times New Roman"/>
                <w:sz w:val="24"/>
                <w:szCs w:val="24"/>
              </w:rPr>
            </w:pPr>
            <w:r w:rsidRPr="007F0150">
              <w:rPr>
                <w:rFonts w:ascii="Times New Roman" w:hAnsi="Times New Roman" w:cs="Times New Roman"/>
                <w:sz w:val="24"/>
                <w:szCs w:val="24"/>
              </w:rPr>
              <w:t>General</w:t>
            </w:r>
          </w:p>
          <w:p w:rsidR="00944F46" w:rsidRPr="007F0150" w:rsidRDefault="00944F46" w:rsidP="00F019A5">
            <w:pPr>
              <w:rPr>
                <w:rFonts w:ascii="Times New Roman" w:hAnsi="Times New Roman" w:cs="Times New Roman"/>
                <w:sz w:val="24"/>
                <w:szCs w:val="24"/>
              </w:rPr>
            </w:pPr>
          </w:p>
        </w:tc>
        <w:tc>
          <w:tcPr>
            <w:tcW w:w="2160" w:type="dxa"/>
            <w:shd w:val="clear" w:color="auto" w:fill="E7E6E6" w:themeFill="background2"/>
          </w:tcPr>
          <w:p w:rsidR="00944F46" w:rsidRPr="007F0150" w:rsidRDefault="00944F46" w:rsidP="00C232FC">
            <w:pPr>
              <w:rPr>
                <w:rFonts w:ascii="Times New Roman" w:hAnsi="Times New Roman" w:cs="Times New Roman"/>
                <w:sz w:val="24"/>
                <w:szCs w:val="24"/>
              </w:rPr>
            </w:pPr>
            <w:r w:rsidRPr="007F0150">
              <w:rPr>
                <w:rFonts w:ascii="Times New Roman" w:hAnsi="Times New Roman" w:cs="Times New Roman"/>
                <w:sz w:val="24"/>
                <w:szCs w:val="24"/>
              </w:rPr>
              <w:t xml:space="preserve"> EHSG and GIIP</w:t>
            </w:r>
          </w:p>
        </w:tc>
        <w:tc>
          <w:tcPr>
            <w:tcW w:w="3420" w:type="dxa"/>
            <w:shd w:val="clear" w:color="auto" w:fill="E7E6E6" w:themeFill="background2"/>
          </w:tcPr>
          <w:p w:rsidR="00944F46" w:rsidRPr="007F0150" w:rsidRDefault="00944F46" w:rsidP="007B0C08">
            <w:pPr>
              <w:pStyle w:val="ListParagraph"/>
              <w:numPr>
                <w:ilvl w:val="0"/>
                <w:numId w:val="11"/>
              </w:numPr>
              <w:rPr>
                <w:rFonts w:ascii="Times New Roman" w:eastAsiaTheme="minorEastAsia" w:hAnsi="Times New Roman"/>
                <w:sz w:val="24"/>
                <w:szCs w:val="24"/>
                <w:lang w:eastAsia="zh-CN"/>
              </w:rPr>
            </w:pPr>
            <w:r w:rsidRPr="007F0150">
              <w:rPr>
                <w:rFonts w:ascii="Times New Roman" w:hAnsi="Times New Roman"/>
                <w:sz w:val="24"/>
                <w:szCs w:val="24"/>
              </w:rPr>
              <w:t>Application of the Environmental, Health and Safety Guidelines (</w:t>
            </w:r>
            <w:r w:rsidRPr="007F0150">
              <w:rPr>
                <w:rFonts w:ascii="Times New Roman" w:eastAsiaTheme="minorEastAsia" w:hAnsi="Times New Roman"/>
                <w:sz w:val="24"/>
                <w:szCs w:val="24"/>
                <w:lang w:eastAsia="zh-CN"/>
              </w:rPr>
              <w:t xml:space="preserve">EHSGs) and </w:t>
            </w:r>
            <w:r w:rsidRPr="007F0150">
              <w:rPr>
                <w:rFonts w:ascii="Times New Roman" w:hAnsi="Times New Roman"/>
                <w:sz w:val="24"/>
                <w:szCs w:val="24"/>
              </w:rPr>
              <w:t xml:space="preserve">Good International Industry </w:t>
            </w:r>
            <w:r w:rsidRPr="007F0150">
              <w:rPr>
                <w:rFonts w:ascii="Times New Roman" w:hAnsi="Times New Roman"/>
                <w:sz w:val="24"/>
                <w:szCs w:val="24"/>
              </w:rPr>
              <w:lastRenderedPageBreak/>
              <w:t>Practice (</w:t>
            </w:r>
            <w:r w:rsidRPr="007F0150">
              <w:rPr>
                <w:rFonts w:ascii="Times New Roman" w:eastAsiaTheme="minorEastAsia" w:hAnsi="Times New Roman"/>
                <w:sz w:val="24"/>
                <w:szCs w:val="24"/>
                <w:lang w:eastAsia="zh-CN"/>
              </w:rPr>
              <w:t>GIIP), especially when different to national law or where the Borrower has technical or financial constraints and/or in view of project specific circumstances</w:t>
            </w:r>
          </w:p>
        </w:tc>
        <w:tc>
          <w:tcPr>
            <w:tcW w:w="7740" w:type="dxa"/>
          </w:tcPr>
          <w:p w:rsidR="00944F46" w:rsidRPr="001A7BCD" w:rsidRDefault="00944F46" w:rsidP="00002A83">
            <w:pPr>
              <w:spacing w:before="120"/>
              <w:contextualSpacing/>
              <w:jc w:val="both"/>
              <w:rPr>
                <w:rFonts w:ascii="Times New Roman" w:hAnsi="Times New Roman"/>
                <w:sz w:val="24"/>
                <w:szCs w:val="24"/>
              </w:rPr>
            </w:pPr>
          </w:p>
        </w:tc>
      </w:tr>
      <w:tr w:rsidR="00944F46" w:rsidRPr="001A7BCD" w:rsidTr="007F0150">
        <w:tc>
          <w:tcPr>
            <w:tcW w:w="985" w:type="dxa"/>
            <w:vMerge/>
            <w:shd w:val="clear" w:color="auto" w:fill="E7E6E6" w:themeFill="background2"/>
          </w:tcPr>
          <w:p w:rsidR="00944F46" w:rsidRPr="007F0150" w:rsidRDefault="00944F46" w:rsidP="00F019A5">
            <w:pPr>
              <w:rPr>
                <w:rFonts w:ascii="Times New Roman" w:hAnsi="Times New Roman" w:cs="Times New Roman"/>
                <w:sz w:val="24"/>
                <w:szCs w:val="24"/>
              </w:rPr>
            </w:pPr>
          </w:p>
        </w:tc>
        <w:tc>
          <w:tcPr>
            <w:tcW w:w="2160" w:type="dxa"/>
            <w:shd w:val="clear" w:color="auto" w:fill="E7E6E6" w:themeFill="background2"/>
          </w:tcPr>
          <w:p w:rsidR="00944F46" w:rsidRPr="007F0150" w:rsidRDefault="00944F46" w:rsidP="00D07482">
            <w:pPr>
              <w:rPr>
                <w:rFonts w:ascii="Times New Roman" w:hAnsi="Times New Roman" w:cs="Times New Roman"/>
                <w:sz w:val="24"/>
                <w:szCs w:val="24"/>
              </w:rPr>
            </w:pPr>
            <w:r w:rsidRPr="007F0150">
              <w:rPr>
                <w:rFonts w:ascii="Times New Roman" w:hAnsi="Times New Roman" w:cs="Times New Roman"/>
                <w:sz w:val="24"/>
                <w:szCs w:val="24"/>
              </w:rPr>
              <w:t>Feasibility and resources for implementation</w:t>
            </w:r>
          </w:p>
        </w:tc>
        <w:tc>
          <w:tcPr>
            <w:tcW w:w="3420" w:type="dxa"/>
            <w:shd w:val="clear" w:color="auto" w:fill="E7E6E6" w:themeFill="background2"/>
          </w:tcPr>
          <w:p w:rsidR="00944F46" w:rsidRPr="007F0150" w:rsidRDefault="00944F46" w:rsidP="007B0C08">
            <w:pPr>
              <w:pStyle w:val="ListParagraph"/>
              <w:numPr>
                <w:ilvl w:val="0"/>
                <w:numId w:val="11"/>
              </w:numPr>
              <w:rPr>
                <w:rFonts w:ascii="Times New Roman" w:eastAsiaTheme="minorEastAsia" w:hAnsi="Times New Roman"/>
                <w:sz w:val="24"/>
                <w:szCs w:val="24"/>
                <w:lang w:eastAsia="zh-CN"/>
              </w:rPr>
            </w:pPr>
            <w:r w:rsidRPr="007F0150">
              <w:rPr>
                <w:rFonts w:ascii="Times New Roman" w:eastAsiaTheme="minorEastAsia" w:hAnsi="Times New Roman"/>
                <w:sz w:val="24"/>
                <w:szCs w:val="24"/>
                <w:lang w:eastAsia="zh-CN"/>
              </w:rPr>
              <w:t>Implementation and resource implications for Borrowers, taking into account factors such as the expanded scope of the proposed ESF (e.g., labor standard), different Borrower capacities and adaptive management approach</w:t>
            </w:r>
          </w:p>
          <w:p w:rsidR="00944F46" w:rsidRPr="007F0150" w:rsidRDefault="00944F46" w:rsidP="007B0C08">
            <w:pPr>
              <w:pStyle w:val="ListParagraph"/>
              <w:numPr>
                <w:ilvl w:val="0"/>
                <w:numId w:val="11"/>
              </w:numPr>
              <w:rPr>
                <w:rFonts w:ascii="Times New Roman" w:eastAsiaTheme="minorEastAsia" w:hAnsi="Times New Roman"/>
                <w:sz w:val="24"/>
                <w:szCs w:val="24"/>
                <w:lang w:eastAsia="zh-CN"/>
              </w:rPr>
            </w:pPr>
            <w:r w:rsidRPr="007F0150">
              <w:rPr>
                <w:rFonts w:ascii="Times New Roman" w:eastAsiaTheme="minorEastAsia" w:hAnsi="Times New Roman"/>
                <w:sz w:val="24"/>
                <w:szCs w:val="24"/>
                <w:lang w:eastAsia="zh-CN"/>
              </w:rPr>
              <w:t>Mitigation of additional burden and cost and options for improving implementation efficiency while maintaining effectiveness</w:t>
            </w:r>
          </w:p>
        </w:tc>
        <w:tc>
          <w:tcPr>
            <w:tcW w:w="7740" w:type="dxa"/>
          </w:tcPr>
          <w:p w:rsidR="001C7B39" w:rsidRPr="001A7BCD" w:rsidRDefault="001C7B39" w:rsidP="00731617">
            <w:pPr>
              <w:pStyle w:val="ListParagraph"/>
              <w:spacing w:before="120"/>
              <w:ind w:left="360"/>
              <w:contextualSpacing/>
              <w:jc w:val="both"/>
              <w:rPr>
                <w:rFonts w:ascii="Times New Roman" w:hAnsi="Times New Roman"/>
                <w:sz w:val="24"/>
                <w:szCs w:val="24"/>
              </w:rPr>
            </w:pPr>
          </w:p>
        </w:tc>
      </w:tr>
      <w:tr w:rsidR="00944F46" w:rsidRPr="001A7BCD" w:rsidTr="007F0150">
        <w:tc>
          <w:tcPr>
            <w:tcW w:w="985" w:type="dxa"/>
            <w:vMerge/>
            <w:shd w:val="clear" w:color="auto" w:fill="E7E6E6" w:themeFill="background2"/>
          </w:tcPr>
          <w:p w:rsidR="00944F46" w:rsidRPr="007F0150" w:rsidRDefault="00944F46" w:rsidP="00F019A5">
            <w:pPr>
              <w:rPr>
                <w:rFonts w:ascii="Times New Roman" w:hAnsi="Times New Roman" w:cs="Times New Roman"/>
                <w:color w:val="000000"/>
                <w:sz w:val="24"/>
                <w:szCs w:val="24"/>
              </w:rPr>
            </w:pPr>
          </w:p>
        </w:tc>
        <w:tc>
          <w:tcPr>
            <w:tcW w:w="2160" w:type="dxa"/>
            <w:shd w:val="clear" w:color="auto" w:fill="E7E6E6" w:themeFill="background2"/>
          </w:tcPr>
          <w:p w:rsidR="00944F46" w:rsidRPr="007F0150" w:rsidRDefault="00944F46" w:rsidP="00F019A5">
            <w:pPr>
              <w:rPr>
                <w:rFonts w:ascii="Times New Roman" w:hAnsi="Times New Roman" w:cs="Times New Roman"/>
                <w:sz w:val="24"/>
                <w:szCs w:val="24"/>
              </w:rPr>
            </w:pPr>
            <w:r w:rsidRPr="007F0150">
              <w:rPr>
                <w:rFonts w:ascii="Times New Roman" w:hAnsi="Times New Roman" w:cs="Times New Roman"/>
                <w:color w:val="000000"/>
                <w:sz w:val="24"/>
                <w:szCs w:val="24"/>
              </w:rPr>
              <w:t>Client capacity building and implementation support</w:t>
            </w:r>
          </w:p>
        </w:tc>
        <w:tc>
          <w:tcPr>
            <w:tcW w:w="3420" w:type="dxa"/>
            <w:shd w:val="clear" w:color="auto" w:fill="E7E6E6" w:themeFill="background2"/>
          </w:tcPr>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Funding for client capacity building</w:t>
            </w:r>
          </w:p>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 xml:space="preserve">Approaches and areas of </w:t>
            </w:r>
            <w:r w:rsidRPr="007F0150">
              <w:rPr>
                <w:rFonts w:ascii="Times New Roman" w:hAnsi="Times New Roman"/>
                <w:color w:val="000000"/>
                <w:sz w:val="24"/>
                <w:szCs w:val="24"/>
              </w:rPr>
              <w:t>focus</w:t>
            </w:r>
            <w:r w:rsidRPr="007F0150">
              <w:rPr>
                <w:rFonts w:ascii="Times New Roman" w:hAnsi="Times New Roman"/>
                <w:sz w:val="24"/>
                <w:szCs w:val="24"/>
              </w:rPr>
              <w:t xml:space="preserve"> </w:t>
            </w:r>
          </w:p>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Approach to implementing the ESF in situations with capacity constraints, e.g., FCS, small states and emergency situations</w:t>
            </w:r>
          </w:p>
        </w:tc>
        <w:tc>
          <w:tcPr>
            <w:tcW w:w="7740" w:type="dxa"/>
          </w:tcPr>
          <w:p w:rsidR="001C7B39" w:rsidRPr="001A7BCD" w:rsidRDefault="00541263" w:rsidP="00541263">
            <w:pPr>
              <w:pStyle w:val="Body"/>
              <w:rPr>
                <w:rFonts w:ascii="Times New Roman" w:hAnsi="Times New Roman" w:cs="Times New Roman"/>
                <w:sz w:val="24"/>
                <w:szCs w:val="24"/>
              </w:rPr>
            </w:pPr>
            <w:r>
              <w:rPr>
                <w:rFonts w:ascii="Times New Roman" w:hAnsi="Times New Roman" w:cs="Times New Roman"/>
                <w:sz w:val="24"/>
                <w:szCs w:val="24"/>
              </w:rPr>
              <w:t>C: Capacity-building should be designed to ensure that national technical specialists can take over from Bank staff and international consultants/experts.</w:t>
            </w:r>
          </w:p>
        </w:tc>
      </w:tr>
      <w:tr w:rsidR="00944F46" w:rsidRPr="001A7BCD" w:rsidTr="007F0150">
        <w:tc>
          <w:tcPr>
            <w:tcW w:w="985" w:type="dxa"/>
            <w:vMerge/>
            <w:shd w:val="clear" w:color="auto" w:fill="E7E6E6" w:themeFill="background2"/>
          </w:tcPr>
          <w:p w:rsidR="00944F46" w:rsidRPr="007F0150" w:rsidRDefault="00944F46" w:rsidP="00F019A5">
            <w:pPr>
              <w:rPr>
                <w:rFonts w:ascii="Times New Roman" w:hAnsi="Times New Roman" w:cs="Times New Roman"/>
                <w:color w:val="000000"/>
                <w:sz w:val="24"/>
                <w:szCs w:val="24"/>
              </w:rPr>
            </w:pPr>
          </w:p>
        </w:tc>
        <w:tc>
          <w:tcPr>
            <w:tcW w:w="2160" w:type="dxa"/>
            <w:shd w:val="clear" w:color="auto" w:fill="E7E6E6" w:themeFill="background2"/>
          </w:tcPr>
          <w:p w:rsidR="00944F46" w:rsidRPr="007F0150" w:rsidRDefault="00944F46" w:rsidP="00F019A5">
            <w:pPr>
              <w:rPr>
                <w:rFonts w:ascii="Times New Roman" w:hAnsi="Times New Roman" w:cs="Times New Roman"/>
                <w:color w:val="000000"/>
                <w:sz w:val="24"/>
                <w:szCs w:val="24"/>
              </w:rPr>
            </w:pPr>
            <w:r w:rsidRPr="007F0150">
              <w:rPr>
                <w:rFonts w:ascii="Times New Roman" w:hAnsi="Times New Roman" w:cs="Times New Roman"/>
                <w:color w:val="000000"/>
                <w:sz w:val="24"/>
                <w:szCs w:val="24"/>
              </w:rPr>
              <w:t>Disclosure</w:t>
            </w:r>
          </w:p>
        </w:tc>
        <w:tc>
          <w:tcPr>
            <w:tcW w:w="3420" w:type="dxa"/>
            <w:shd w:val="clear" w:color="auto" w:fill="E7E6E6" w:themeFill="background2"/>
          </w:tcPr>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Timing of the preparation and disclosure of specific environmental and social impact assessment documents (related to ESS1 and ESS10)</w:t>
            </w:r>
          </w:p>
        </w:tc>
        <w:tc>
          <w:tcPr>
            <w:tcW w:w="7740" w:type="dxa"/>
          </w:tcPr>
          <w:p w:rsidR="00944F46" w:rsidRPr="00E0041C" w:rsidRDefault="007F528B" w:rsidP="00281AA5">
            <w:pPr>
              <w:spacing w:before="120"/>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Q: How would this ESF address the need for transparency addressing environmental and social risks when governments want to keep some of the information or analysis confidential?</w:t>
            </w:r>
          </w:p>
        </w:tc>
      </w:tr>
      <w:tr w:rsidR="00944F46" w:rsidRPr="001A7BCD" w:rsidTr="007F0150">
        <w:tc>
          <w:tcPr>
            <w:tcW w:w="985" w:type="dxa"/>
            <w:vMerge/>
            <w:shd w:val="clear" w:color="auto" w:fill="E7E6E6" w:themeFill="background2"/>
          </w:tcPr>
          <w:p w:rsidR="00944F46" w:rsidRPr="007F0150" w:rsidRDefault="00944F46" w:rsidP="00F019A5">
            <w:pPr>
              <w:rPr>
                <w:rFonts w:ascii="Times New Roman" w:hAnsi="Times New Roman" w:cs="Times New Roman"/>
                <w:sz w:val="24"/>
                <w:szCs w:val="24"/>
              </w:rPr>
            </w:pPr>
          </w:p>
        </w:tc>
        <w:tc>
          <w:tcPr>
            <w:tcW w:w="2160" w:type="dxa"/>
            <w:shd w:val="clear" w:color="auto" w:fill="E7E6E6" w:themeFill="background2"/>
          </w:tcPr>
          <w:p w:rsidR="00944F46" w:rsidRPr="007F0150" w:rsidRDefault="00944F46" w:rsidP="00F019A5">
            <w:pPr>
              <w:rPr>
                <w:rFonts w:ascii="Times New Roman" w:hAnsi="Times New Roman" w:cs="Times New Roman"/>
                <w:sz w:val="24"/>
                <w:szCs w:val="24"/>
              </w:rPr>
            </w:pPr>
            <w:r w:rsidRPr="007F0150">
              <w:rPr>
                <w:rFonts w:ascii="Times New Roman" w:hAnsi="Times New Roman" w:cs="Times New Roman"/>
                <w:sz w:val="24"/>
                <w:szCs w:val="24"/>
              </w:rPr>
              <w:t>Implementation of the ESF</w:t>
            </w:r>
          </w:p>
        </w:tc>
        <w:tc>
          <w:tcPr>
            <w:tcW w:w="3420" w:type="dxa"/>
            <w:shd w:val="clear" w:color="auto" w:fill="E7E6E6" w:themeFill="background2"/>
          </w:tcPr>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Bank internal capacity building, resourcing, and behavioral change in order to successfully implement the ESF</w:t>
            </w:r>
          </w:p>
          <w:p w:rsidR="00944F46" w:rsidRPr="007F0150" w:rsidRDefault="00944F46" w:rsidP="007B0C08">
            <w:pPr>
              <w:pStyle w:val="ListParagraph"/>
              <w:numPr>
                <w:ilvl w:val="0"/>
                <w:numId w:val="11"/>
              </w:numPr>
              <w:rPr>
                <w:rFonts w:ascii="Times New Roman" w:hAnsi="Times New Roman"/>
                <w:sz w:val="24"/>
                <w:szCs w:val="24"/>
              </w:rPr>
            </w:pPr>
            <w:r w:rsidRPr="007F0150">
              <w:rPr>
                <w:rFonts w:ascii="Times New Roman" w:hAnsi="Times New Roman"/>
                <w:sz w:val="24"/>
                <w:szCs w:val="24"/>
              </w:rPr>
              <w:t>Ways of reaching mutual understanding between Borrower and Bank on issues of difficult interpretation</w:t>
            </w:r>
          </w:p>
        </w:tc>
        <w:tc>
          <w:tcPr>
            <w:tcW w:w="7740" w:type="dxa"/>
          </w:tcPr>
          <w:p w:rsidR="007E0243" w:rsidRPr="00ED41B6" w:rsidRDefault="007E0243" w:rsidP="00ED41B6">
            <w:pPr>
              <w:spacing w:before="120"/>
              <w:contextualSpacing/>
              <w:jc w:val="both"/>
              <w:rPr>
                <w:rFonts w:ascii="Times New Roman" w:hAnsi="Times New Roman" w:cs="Times New Roman"/>
                <w:sz w:val="24"/>
                <w:szCs w:val="24"/>
              </w:rPr>
            </w:pPr>
          </w:p>
        </w:tc>
      </w:tr>
      <w:tr w:rsidR="00071885" w:rsidRPr="001A7BCD" w:rsidTr="007F0150">
        <w:tc>
          <w:tcPr>
            <w:tcW w:w="6565" w:type="dxa"/>
            <w:gridSpan w:val="3"/>
            <w:shd w:val="clear" w:color="auto" w:fill="E7E6E6" w:themeFill="background2"/>
          </w:tcPr>
          <w:p w:rsidR="00071885" w:rsidRPr="007F0150" w:rsidRDefault="00071885" w:rsidP="00071885">
            <w:pPr>
              <w:jc w:val="both"/>
              <w:rPr>
                <w:rFonts w:ascii="Times New Roman" w:hAnsi="Times New Roman"/>
                <w:sz w:val="24"/>
                <w:szCs w:val="24"/>
              </w:rPr>
            </w:pPr>
            <w:r w:rsidRPr="007F0150">
              <w:rPr>
                <w:rFonts w:ascii="Times New Roman" w:hAnsi="Times New Roman"/>
                <w:sz w:val="24"/>
                <w:szCs w:val="24"/>
              </w:rPr>
              <w:t>Other issues</w:t>
            </w:r>
          </w:p>
          <w:p w:rsidR="00071885" w:rsidRPr="007F0150" w:rsidRDefault="00071885" w:rsidP="00071885">
            <w:pPr>
              <w:jc w:val="both"/>
              <w:rPr>
                <w:rFonts w:ascii="Times New Roman" w:hAnsi="Times New Roman"/>
                <w:sz w:val="24"/>
                <w:szCs w:val="24"/>
              </w:rPr>
            </w:pPr>
          </w:p>
          <w:p w:rsidR="00071885" w:rsidRPr="007F0150" w:rsidRDefault="00071885" w:rsidP="00071885">
            <w:pPr>
              <w:jc w:val="both"/>
              <w:rPr>
                <w:rFonts w:ascii="Times New Roman" w:hAnsi="Times New Roman"/>
                <w:sz w:val="24"/>
                <w:szCs w:val="24"/>
              </w:rPr>
            </w:pPr>
          </w:p>
        </w:tc>
        <w:tc>
          <w:tcPr>
            <w:tcW w:w="7740" w:type="dxa"/>
          </w:tcPr>
          <w:p w:rsidR="002F729A" w:rsidRDefault="00B21C83" w:rsidP="00B21C83">
            <w:pPr>
              <w:pStyle w:val="Body"/>
              <w:rPr>
                <w:rFonts w:ascii="Times New Roman" w:hAnsi="Times New Roman"/>
                <w:sz w:val="24"/>
                <w:szCs w:val="24"/>
              </w:rPr>
            </w:pPr>
            <w:r>
              <w:rPr>
                <w:rFonts w:ascii="Times New Roman" w:hAnsi="Times New Roman"/>
                <w:sz w:val="24"/>
                <w:szCs w:val="24"/>
              </w:rPr>
              <w:t>C: The Bank is still focusing on borrower governments’ inputs rather than those of civil society. The ESF needs to be clear</w:t>
            </w:r>
            <w:r w:rsidR="00541263">
              <w:rPr>
                <w:rFonts w:ascii="Times New Roman" w:hAnsi="Times New Roman"/>
                <w:sz w:val="24"/>
                <w:szCs w:val="24"/>
              </w:rPr>
              <w:t>er</w:t>
            </w:r>
            <w:r>
              <w:rPr>
                <w:rFonts w:ascii="Times New Roman" w:hAnsi="Times New Roman"/>
                <w:sz w:val="24"/>
                <w:szCs w:val="24"/>
              </w:rPr>
              <w:t xml:space="preserve"> about the role of civil society, particularly with regard to implementation and monitoring and evaluation. Civil society is key to moving this ESF forward. This requires a partnership involving the Bank, governments and CSOs during the life of a project. </w:t>
            </w:r>
          </w:p>
          <w:p w:rsidR="007F528B" w:rsidRDefault="007F528B" w:rsidP="00B21C83">
            <w:pPr>
              <w:pStyle w:val="Body"/>
              <w:rPr>
                <w:rFonts w:ascii="Times New Roman" w:hAnsi="Times New Roman"/>
                <w:sz w:val="24"/>
                <w:szCs w:val="24"/>
              </w:rPr>
            </w:pPr>
          </w:p>
          <w:p w:rsidR="007F528B" w:rsidRDefault="007F528B" w:rsidP="00B21C83">
            <w:pPr>
              <w:pStyle w:val="Body"/>
              <w:rPr>
                <w:rFonts w:ascii="Times New Roman" w:hAnsi="Times New Roman"/>
                <w:sz w:val="24"/>
                <w:szCs w:val="24"/>
              </w:rPr>
            </w:pPr>
            <w:r>
              <w:rPr>
                <w:rFonts w:ascii="Times New Roman" w:hAnsi="Times New Roman"/>
                <w:sz w:val="24"/>
                <w:szCs w:val="24"/>
              </w:rPr>
              <w:t>Q: How would this ESF address a problem like the Ebola Virus?</w:t>
            </w:r>
          </w:p>
          <w:p w:rsidR="007F528B" w:rsidRDefault="007F528B" w:rsidP="00B21C83">
            <w:pPr>
              <w:pStyle w:val="Body"/>
              <w:rPr>
                <w:rFonts w:ascii="Times New Roman" w:hAnsi="Times New Roman"/>
                <w:sz w:val="24"/>
                <w:szCs w:val="24"/>
              </w:rPr>
            </w:pPr>
          </w:p>
          <w:p w:rsidR="007F528B" w:rsidRDefault="007F528B" w:rsidP="00B21C83">
            <w:pPr>
              <w:pStyle w:val="Body"/>
              <w:rPr>
                <w:rFonts w:ascii="Times New Roman" w:hAnsi="Times New Roman"/>
                <w:sz w:val="24"/>
                <w:szCs w:val="24"/>
              </w:rPr>
            </w:pPr>
            <w:r>
              <w:rPr>
                <w:rFonts w:ascii="Times New Roman" w:hAnsi="Times New Roman"/>
                <w:sz w:val="24"/>
                <w:szCs w:val="24"/>
              </w:rPr>
              <w:t>Q: This ESF is a long and complicated document</w:t>
            </w:r>
            <w:r w:rsidR="00FF147A">
              <w:rPr>
                <w:rFonts w:ascii="Times New Roman" w:hAnsi="Times New Roman"/>
                <w:sz w:val="24"/>
                <w:szCs w:val="24"/>
              </w:rPr>
              <w:t>.</w:t>
            </w:r>
            <w:r>
              <w:rPr>
                <w:rFonts w:ascii="Times New Roman" w:hAnsi="Times New Roman"/>
                <w:sz w:val="24"/>
                <w:szCs w:val="24"/>
              </w:rPr>
              <w:t xml:space="preserve"> How will you make it understandable to people in the borrowing countries? </w:t>
            </w:r>
            <w:r w:rsidR="00FF147A">
              <w:rPr>
                <w:rFonts w:ascii="Times New Roman" w:hAnsi="Times New Roman"/>
                <w:sz w:val="24"/>
                <w:szCs w:val="24"/>
              </w:rPr>
              <w:t xml:space="preserve">Is there a way it can be simplified and made more accessible? </w:t>
            </w:r>
            <w:r>
              <w:rPr>
                <w:rFonts w:ascii="Times New Roman" w:hAnsi="Times New Roman"/>
                <w:sz w:val="24"/>
                <w:szCs w:val="24"/>
              </w:rPr>
              <w:t>Have you looked at the environmental and social policies of other institutions, such as the African Development Bank and the European Investment Bank?</w:t>
            </w:r>
          </w:p>
          <w:p w:rsidR="007F528B" w:rsidRDefault="007F528B" w:rsidP="00B21C83">
            <w:pPr>
              <w:pStyle w:val="Body"/>
              <w:rPr>
                <w:rFonts w:ascii="Times New Roman" w:hAnsi="Times New Roman"/>
                <w:sz w:val="24"/>
                <w:szCs w:val="24"/>
              </w:rPr>
            </w:pPr>
          </w:p>
          <w:p w:rsidR="007F528B" w:rsidRDefault="007F528B" w:rsidP="00B21C83">
            <w:pPr>
              <w:pStyle w:val="Body"/>
              <w:rPr>
                <w:rFonts w:ascii="Times New Roman" w:hAnsi="Times New Roman"/>
                <w:sz w:val="24"/>
                <w:szCs w:val="24"/>
              </w:rPr>
            </w:pPr>
            <w:r>
              <w:rPr>
                <w:rFonts w:ascii="Times New Roman" w:hAnsi="Times New Roman"/>
                <w:sz w:val="24"/>
                <w:szCs w:val="24"/>
              </w:rPr>
              <w:t>Q: How will the transition from Operational Policies to this ESF be handled, especially for programmatic projects that are under implementation for a long time?</w:t>
            </w:r>
          </w:p>
          <w:p w:rsidR="00541263" w:rsidRDefault="00541263" w:rsidP="00B21C83">
            <w:pPr>
              <w:pStyle w:val="Body"/>
              <w:rPr>
                <w:rFonts w:ascii="Times New Roman" w:hAnsi="Times New Roman"/>
                <w:sz w:val="24"/>
                <w:szCs w:val="24"/>
              </w:rPr>
            </w:pPr>
          </w:p>
          <w:p w:rsidR="00541263" w:rsidRDefault="00541263" w:rsidP="00B21C83">
            <w:pPr>
              <w:pStyle w:val="Body"/>
              <w:rPr>
                <w:rFonts w:ascii="Times New Roman" w:hAnsi="Times New Roman"/>
                <w:sz w:val="24"/>
                <w:szCs w:val="24"/>
              </w:rPr>
            </w:pPr>
            <w:r>
              <w:rPr>
                <w:rFonts w:ascii="Times New Roman" w:hAnsi="Times New Roman"/>
                <w:sz w:val="24"/>
                <w:szCs w:val="24"/>
              </w:rPr>
              <w:t>Q: What best practices from other countries have been incorporated into this ESF?</w:t>
            </w:r>
          </w:p>
          <w:p w:rsidR="002918AA" w:rsidRDefault="002918AA" w:rsidP="00B21C83">
            <w:pPr>
              <w:pStyle w:val="Body"/>
              <w:rPr>
                <w:rFonts w:ascii="Times New Roman" w:hAnsi="Times New Roman"/>
                <w:sz w:val="24"/>
                <w:szCs w:val="24"/>
              </w:rPr>
            </w:pPr>
          </w:p>
          <w:p w:rsidR="002918AA" w:rsidRDefault="002918AA" w:rsidP="00B21C83">
            <w:pPr>
              <w:pStyle w:val="Body"/>
              <w:rPr>
                <w:rFonts w:ascii="Times New Roman" w:hAnsi="Times New Roman"/>
                <w:sz w:val="24"/>
                <w:szCs w:val="24"/>
              </w:rPr>
            </w:pPr>
            <w:r>
              <w:rPr>
                <w:rFonts w:ascii="Times New Roman" w:hAnsi="Times New Roman"/>
                <w:sz w:val="24"/>
                <w:szCs w:val="24"/>
              </w:rPr>
              <w:t xml:space="preserve"> </w:t>
            </w:r>
          </w:p>
          <w:p w:rsidR="002918AA" w:rsidRPr="00E0041C" w:rsidRDefault="002918AA" w:rsidP="00B21C83">
            <w:pPr>
              <w:pStyle w:val="Body"/>
              <w:rPr>
                <w:rFonts w:ascii="Times New Roman" w:hAnsi="Times New Roman"/>
                <w:sz w:val="24"/>
                <w:szCs w:val="24"/>
              </w:rPr>
            </w:pPr>
          </w:p>
        </w:tc>
      </w:tr>
    </w:tbl>
    <w:p w:rsidR="00A40F8E" w:rsidRPr="00F248C2" w:rsidRDefault="00A40F8E" w:rsidP="00F248C2">
      <w:pPr>
        <w:rPr>
          <w:rFonts w:ascii="Times New Roman" w:hAnsi="Times New Roman" w:cs="Times New Roman"/>
          <w:sz w:val="24"/>
          <w:szCs w:val="24"/>
        </w:rPr>
      </w:pPr>
    </w:p>
    <w:sectPr w:rsidR="00A40F8E" w:rsidRPr="00F248C2" w:rsidSect="00944F46">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391" w:rsidRDefault="00A80391" w:rsidP="002A2CFE">
      <w:pPr>
        <w:spacing w:after="0" w:line="240" w:lineRule="auto"/>
      </w:pPr>
      <w:r>
        <w:separator/>
      </w:r>
    </w:p>
  </w:endnote>
  <w:endnote w:type="continuationSeparator" w:id="0">
    <w:p w:rsidR="00A80391" w:rsidRDefault="00A80391" w:rsidP="002A2CFE">
      <w:pPr>
        <w:spacing w:after="0" w:line="240" w:lineRule="auto"/>
      </w:pPr>
      <w:r>
        <w:continuationSeparator/>
      </w:r>
    </w:p>
  </w:endnote>
  <w:endnote w:type="continuationNotice" w:id="1">
    <w:p w:rsidR="00A80391" w:rsidRDefault="00A803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009601"/>
      <w:docPartObj>
        <w:docPartGallery w:val="Page Numbers (Bottom of Page)"/>
        <w:docPartUnique/>
      </w:docPartObj>
    </w:sdtPr>
    <w:sdtEndPr>
      <w:rPr>
        <w:rFonts w:ascii="Times New Roman" w:hAnsi="Times New Roman" w:cs="Times New Roman"/>
        <w:noProof/>
        <w:sz w:val="20"/>
        <w:szCs w:val="20"/>
      </w:rPr>
    </w:sdtEndPr>
    <w:sdtContent>
      <w:p w:rsidR="00B114CD" w:rsidRPr="00B32950" w:rsidRDefault="00B114CD">
        <w:pPr>
          <w:pStyle w:val="Footer"/>
          <w:jc w:val="right"/>
          <w:rPr>
            <w:rFonts w:ascii="Times New Roman" w:hAnsi="Times New Roman" w:cs="Times New Roman"/>
            <w:sz w:val="20"/>
            <w:szCs w:val="20"/>
          </w:rPr>
        </w:pPr>
        <w:r w:rsidRPr="00B32950">
          <w:rPr>
            <w:rFonts w:ascii="Times New Roman" w:hAnsi="Times New Roman" w:cs="Times New Roman"/>
            <w:sz w:val="20"/>
            <w:szCs w:val="20"/>
          </w:rPr>
          <w:fldChar w:fldCharType="begin"/>
        </w:r>
        <w:r w:rsidRPr="00B32950">
          <w:rPr>
            <w:rFonts w:ascii="Times New Roman" w:hAnsi="Times New Roman" w:cs="Times New Roman"/>
            <w:sz w:val="20"/>
            <w:szCs w:val="20"/>
          </w:rPr>
          <w:instrText xml:space="preserve"> PAGE   \* MERGEFORMAT </w:instrText>
        </w:r>
        <w:r w:rsidRPr="00B32950">
          <w:rPr>
            <w:rFonts w:ascii="Times New Roman" w:hAnsi="Times New Roman" w:cs="Times New Roman"/>
            <w:sz w:val="20"/>
            <w:szCs w:val="20"/>
          </w:rPr>
          <w:fldChar w:fldCharType="separate"/>
        </w:r>
        <w:r w:rsidR="00812A4E">
          <w:rPr>
            <w:rFonts w:ascii="Times New Roman" w:hAnsi="Times New Roman" w:cs="Times New Roman"/>
            <w:noProof/>
            <w:sz w:val="20"/>
            <w:szCs w:val="20"/>
          </w:rPr>
          <w:t>12</w:t>
        </w:r>
        <w:r w:rsidRPr="00B32950">
          <w:rPr>
            <w:rFonts w:ascii="Times New Roman" w:hAnsi="Times New Roman" w:cs="Times New Roman"/>
            <w:noProof/>
            <w:sz w:val="20"/>
            <w:szCs w:val="20"/>
          </w:rPr>
          <w:fldChar w:fldCharType="end"/>
        </w:r>
      </w:p>
    </w:sdtContent>
  </w:sdt>
  <w:p w:rsidR="00B114CD" w:rsidRDefault="00B114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391" w:rsidRDefault="00A80391" w:rsidP="002A2CFE">
      <w:pPr>
        <w:spacing w:after="0" w:line="240" w:lineRule="auto"/>
      </w:pPr>
      <w:r>
        <w:separator/>
      </w:r>
    </w:p>
  </w:footnote>
  <w:footnote w:type="continuationSeparator" w:id="0">
    <w:p w:rsidR="00A80391" w:rsidRDefault="00A80391" w:rsidP="002A2CFE">
      <w:pPr>
        <w:spacing w:after="0" w:line="240" w:lineRule="auto"/>
      </w:pPr>
      <w:r>
        <w:continuationSeparator/>
      </w:r>
    </w:p>
  </w:footnote>
  <w:footnote w:type="continuationNotice" w:id="1">
    <w:p w:rsidR="00A80391" w:rsidRDefault="00A8039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4CD" w:rsidRPr="00641839" w:rsidRDefault="00B114CD" w:rsidP="00944F46">
    <w:pPr>
      <w:pStyle w:val="Header"/>
      <w:tabs>
        <w:tab w:val="clear" w:pos="9360"/>
      </w:tabs>
      <w:spacing w:after="240"/>
      <w:rPr>
        <w:rFonts w:asciiTheme="majorBidi" w:hAnsiTheme="majorBidi" w:cstheme="majorBidi"/>
      </w:rPr>
    </w:pPr>
    <w:r>
      <w:rPr>
        <w:rFonts w:asciiTheme="majorBidi" w:hAnsiTheme="majorBidi" w:cstheme="majorBidi"/>
      </w:rPr>
      <w:tab/>
    </w:r>
    <w:r>
      <w:rPr>
        <w:rFonts w:asciiTheme="majorBidi" w:hAnsiTheme="majorBidi" w:cstheme="majorBidi"/>
      </w:rPr>
      <w:tab/>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2E95"/>
    <w:multiLevelType w:val="hybridMultilevel"/>
    <w:tmpl w:val="E146D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8618E"/>
    <w:multiLevelType w:val="hybridMultilevel"/>
    <w:tmpl w:val="7FE8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67959"/>
    <w:multiLevelType w:val="hybridMultilevel"/>
    <w:tmpl w:val="5C4AF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F46B8E"/>
    <w:multiLevelType w:val="hybridMultilevel"/>
    <w:tmpl w:val="E7A4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80ECF"/>
    <w:multiLevelType w:val="hybridMultilevel"/>
    <w:tmpl w:val="B3F4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952CB"/>
    <w:multiLevelType w:val="hybridMultilevel"/>
    <w:tmpl w:val="31B8D3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0F62A6F"/>
    <w:multiLevelType w:val="hybridMultilevel"/>
    <w:tmpl w:val="406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A7E60"/>
    <w:multiLevelType w:val="hybridMultilevel"/>
    <w:tmpl w:val="E4D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B3F48"/>
    <w:multiLevelType w:val="hybridMultilevel"/>
    <w:tmpl w:val="DD6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F25CF"/>
    <w:multiLevelType w:val="hybridMultilevel"/>
    <w:tmpl w:val="AE0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9230A"/>
    <w:multiLevelType w:val="hybridMultilevel"/>
    <w:tmpl w:val="CCC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8356C9"/>
    <w:multiLevelType w:val="hybridMultilevel"/>
    <w:tmpl w:val="937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65F92"/>
    <w:multiLevelType w:val="hybridMultilevel"/>
    <w:tmpl w:val="4F54E048"/>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3FF67A41"/>
    <w:multiLevelType w:val="hybridMultilevel"/>
    <w:tmpl w:val="D93EB6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40662BD"/>
    <w:multiLevelType w:val="hybridMultilevel"/>
    <w:tmpl w:val="904ACC6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15:restartNumberingAfterBreak="0">
    <w:nsid w:val="4CBF0FFD"/>
    <w:multiLevelType w:val="hybridMultilevel"/>
    <w:tmpl w:val="36781790"/>
    <w:styleLink w:val="Dash"/>
    <w:lvl w:ilvl="0" w:tplc="692EABC8">
      <w:start w:val="1"/>
      <w:numFmt w:val="bullet"/>
      <w:lvlText w:val="-"/>
      <w:lvlJc w:val="left"/>
      <w:pPr>
        <w:ind w:left="7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AF9CA8D6">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8C4E08A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394EC3D8">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DBEEBB5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70586AC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B1767FBA">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6D7EFB2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62ACE2FC">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6" w15:restartNumberingAfterBreak="0">
    <w:nsid w:val="4F647491"/>
    <w:multiLevelType w:val="hybridMultilevel"/>
    <w:tmpl w:val="36781790"/>
    <w:numStyleLink w:val="Dash"/>
  </w:abstractNum>
  <w:abstractNum w:abstractNumId="17" w15:restartNumberingAfterBreak="0">
    <w:nsid w:val="54E76CBD"/>
    <w:multiLevelType w:val="hybridMultilevel"/>
    <w:tmpl w:val="C7F201F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8" w15:restartNumberingAfterBreak="0">
    <w:nsid w:val="56C63C53"/>
    <w:multiLevelType w:val="hybridMultilevel"/>
    <w:tmpl w:val="E8988B96"/>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5986346A"/>
    <w:multiLevelType w:val="hybridMultilevel"/>
    <w:tmpl w:val="DD2448A2"/>
    <w:lvl w:ilvl="0" w:tplc="09DC7D2E">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0" w15:restartNumberingAfterBreak="0">
    <w:nsid w:val="5CB60DC1"/>
    <w:multiLevelType w:val="hybridMultilevel"/>
    <w:tmpl w:val="04CC635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5D21163E"/>
    <w:multiLevelType w:val="hybridMultilevel"/>
    <w:tmpl w:val="59BA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2B5E71"/>
    <w:multiLevelType w:val="hybridMultilevel"/>
    <w:tmpl w:val="A184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B96136"/>
    <w:multiLevelType w:val="hybridMultilevel"/>
    <w:tmpl w:val="48C62C9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4" w15:restartNumberingAfterBreak="0">
    <w:nsid w:val="784F394B"/>
    <w:multiLevelType w:val="hybridMultilevel"/>
    <w:tmpl w:val="4FAC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9A27F9"/>
    <w:multiLevelType w:val="hybridMultilevel"/>
    <w:tmpl w:val="8F786B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C1C08D8"/>
    <w:multiLevelType w:val="hybridMultilevel"/>
    <w:tmpl w:val="D926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DA3ABD"/>
    <w:multiLevelType w:val="hybridMultilevel"/>
    <w:tmpl w:val="703C2556"/>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1"/>
  </w:num>
  <w:num w:numId="2">
    <w:abstractNumId w:val="10"/>
  </w:num>
  <w:num w:numId="3">
    <w:abstractNumId w:val="3"/>
  </w:num>
  <w:num w:numId="4">
    <w:abstractNumId w:val="9"/>
  </w:num>
  <w:num w:numId="5">
    <w:abstractNumId w:val="1"/>
  </w:num>
  <w:num w:numId="6">
    <w:abstractNumId w:val="6"/>
  </w:num>
  <w:num w:numId="7">
    <w:abstractNumId w:val="8"/>
  </w:num>
  <w:num w:numId="8">
    <w:abstractNumId w:val="22"/>
  </w:num>
  <w:num w:numId="9">
    <w:abstractNumId w:val="21"/>
  </w:num>
  <w:num w:numId="10">
    <w:abstractNumId w:val="7"/>
  </w:num>
  <w:num w:numId="11">
    <w:abstractNumId w:val="12"/>
  </w:num>
  <w:num w:numId="12">
    <w:abstractNumId w:val="24"/>
  </w:num>
  <w:num w:numId="13">
    <w:abstractNumId w:val="26"/>
  </w:num>
  <w:num w:numId="14">
    <w:abstractNumId w:val="5"/>
  </w:num>
  <w:num w:numId="15">
    <w:abstractNumId w:val="14"/>
  </w:num>
  <w:num w:numId="16">
    <w:abstractNumId w:val="18"/>
  </w:num>
  <w:num w:numId="17">
    <w:abstractNumId w:val="20"/>
  </w:num>
  <w:num w:numId="18">
    <w:abstractNumId w:val="27"/>
  </w:num>
  <w:num w:numId="19">
    <w:abstractNumId w:val="2"/>
  </w:num>
  <w:num w:numId="20">
    <w:abstractNumId w:val="17"/>
  </w:num>
  <w:num w:numId="21">
    <w:abstractNumId w:val="13"/>
  </w:num>
  <w:num w:numId="22">
    <w:abstractNumId w:val="25"/>
  </w:num>
  <w:num w:numId="23">
    <w:abstractNumId w:val="23"/>
  </w:num>
  <w:num w:numId="24">
    <w:abstractNumId w:val="19"/>
  </w:num>
  <w:num w:numId="25">
    <w:abstractNumId w:val="0"/>
  </w:num>
  <w:num w:numId="26">
    <w:abstractNumId w:val="4"/>
  </w:num>
  <w:num w:numId="27">
    <w:abstractNumId w:val="1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9A"/>
    <w:rsid w:val="00000CAC"/>
    <w:rsid w:val="0000149B"/>
    <w:rsid w:val="00002A83"/>
    <w:rsid w:val="00003DE8"/>
    <w:rsid w:val="00003E60"/>
    <w:rsid w:val="00020167"/>
    <w:rsid w:val="0002272D"/>
    <w:rsid w:val="000260EF"/>
    <w:rsid w:val="00026364"/>
    <w:rsid w:val="000264C3"/>
    <w:rsid w:val="00027054"/>
    <w:rsid w:val="000336A3"/>
    <w:rsid w:val="00037EE7"/>
    <w:rsid w:val="00040B41"/>
    <w:rsid w:val="000419FF"/>
    <w:rsid w:val="00042513"/>
    <w:rsid w:val="00047C4E"/>
    <w:rsid w:val="00053362"/>
    <w:rsid w:val="0005339B"/>
    <w:rsid w:val="00055656"/>
    <w:rsid w:val="00057AD8"/>
    <w:rsid w:val="00071885"/>
    <w:rsid w:val="00071BD2"/>
    <w:rsid w:val="00073D66"/>
    <w:rsid w:val="000811A8"/>
    <w:rsid w:val="000830BB"/>
    <w:rsid w:val="000833C2"/>
    <w:rsid w:val="00091E8A"/>
    <w:rsid w:val="000932B4"/>
    <w:rsid w:val="00095B65"/>
    <w:rsid w:val="000A17BB"/>
    <w:rsid w:val="000A1CA2"/>
    <w:rsid w:val="000A3A99"/>
    <w:rsid w:val="000A3EC5"/>
    <w:rsid w:val="000B33E5"/>
    <w:rsid w:val="000B6D97"/>
    <w:rsid w:val="000C2C9A"/>
    <w:rsid w:val="000C379E"/>
    <w:rsid w:val="000C514C"/>
    <w:rsid w:val="000D207A"/>
    <w:rsid w:val="000D289A"/>
    <w:rsid w:val="000D371A"/>
    <w:rsid w:val="000D57B3"/>
    <w:rsid w:val="000D5C4B"/>
    <w:rsid w:val="000E1EFA"/>
    <w:rsid w:val="000E6821"/>
    <w:rsid w:val="000E6F31"/>
    <w:rsid w:val="000F4BFE"/>
    <w:rsid w:val="000F4D29"/>
    <w:rsid w:val="000F7552"/>
    <w:rsid w:val="00105808"/>
    <w:rsid w:val="00122172"/>
    <w:rsid w:val="0012279D"/>
    <w:rsid w:val="001341BB"/>
    <w:rsid w:val="00135480"/>
    <w:rsid w:val="001409EF"/>
    <w:rsid w:val="00143016"/>
    <w:rsid w:val="00143AFC"/>
    <w:rsid w:val="001449DF"/>
    <w:rsid w:val="00144F04"/>
    <w:rsid w:val="001459D8"/>
    <w:rsid w:val="00161736"/>
    <w:rsid w:val="00163038"/>
    <w:rsid w:val="00163A82"/>
    <w:rsid w:val="00167749"/>
    <w:rsid w:val="00171F36"/>
    <w:rsid w:val="00182A56"/>
    <w:rsid w:val="0018639F"/>
    <w:rsid w:val="00193D0E"/>
    <w:rsid w:val="00197F14"/>
    <w:rsid w:val="001A269C"/>
    <w:rsid w:val="001A2EB8"/>
    <w:rsid w:val="001A7BCD"/>
    <w:rsid w:val="001B36E1"/>
    <w:rsid w:val="001B467B"/>
    <w:rsid w:val="001C5B10"/>
    <w:rsid w:val="001C61DF"/>
    <w:rsid w:val="001C7B39"/>
    <w:rsid w:val="001D3DB1"/>
    <w:rsid w:val="001D4666"/>
    <w:rsid w:val="001D7A18"/>
    <w:rsid w:val="001E55D1"/>
    <w:rsid w:val="001E61A5"/>
    <w:rsid w:val="00202567"/>
    <w:rsid w:val="00205480"/>
    <w:rsid w:val="0020711F"/>
    <w:rsid w:val="00217107"/>
    <w:rsid w:val="00224D63"/>
    <w:rsid w:val="00226BE3"/>
    <w:rsid w:val="00231BB9"/>
    <w:rsid w:val="002338A2"/>
    <w:rsid w:val="0023659A"/>
    <w:rsid w:val="00241B58"/>
    <w:rsid w:val="00242AD8"/>
    <w:rsid w:val="00243705"/>
    <w:rsid w:val="00243F3E"/>
    <w:rsid w:val="00250D57"/>
    <w:rsid w:val="002513D5"/>
    <w:rsid w:val="002530B6"/>
    <w:rsid w:val="00262E1C"/>
    <w:rsid w:val="0027148D"/>
    <w:rsid w:val="002736E5"/>
    <w:rsid w:val="002739F1"/>
    <w:rsid w:val="002744A1"/>
    <w:rsid w:val="00276204"/>
    <w:rsid w:val="00281AA5"/>
    <w:rsid w:val="00282F1B"/>
    <w:rsid w:val="0028552D"/>
    <w:rsid w:val="0029188A"/>
    <w:rsid w:val="002918AA"/>
    <w:rsid w:val="002A096A"/>
    <w:rsid w:val="002A2CFE"/>
    <w:rsid w:val="002B19ED"/>
    <w:rsid w:val="002B23D5"/>
    <w:rsid w:val="002B3D8A"/>
    <w:rsid w:val="002B4214"/>
    <w:rsid w:val="002B5F16"/>
    <w:rsid w:val="002D0C9B"/>
    <w:rsid w:val="002D5BA1"/>
    <w:rsid w:val="002E7855"/>
    <w:rsid w:val="002F2CD2"/>
    <w:rsid w:val="002F2DA6"/>
    <w:rsid w:val="002F45A4"/>
    <w:rsid w:val="002F729A"/>
    <w:rsid w:val="00300C38"/>
    <w:rsid w:val="00315C22"/>
    <w:rsid w:val="003202FE"/>
    <w:rsid w:val="00327EC9"/>
    <w:rsid w:val="00331AB4"/>
    <w:rsid w:val="0035406A"/>
    <w:rsid w:val="00355F4A"/>
    <w:rsid w:val="00356796"/>
    <w:rsid w:val="00366314"/>
    <w:rsid w:val="00366948"/>
    <w:rsid w:val="00381278"/>
    <w:rsid w:val="00381AD4"/>
    <w:rsid w:val="00383C66"/>
    <w:rsid w:val="003852D6"/>
    <w:rsid w:val="00394CA5"/>
    <w:rsid w:val="003A3AFF"/>
    <w:rsid w:val="003A647D"/>
    <w:rsid w:val="003B0F7B"/>
    <w:rsid w:val="003B155E"/>
    <w:rsid w:val="003B3DBC"/>
    <w:rsid w:val="003B4828"/>
    <w:rsid w:val="003B5F46"/>
    <w:rsid w:val="003D02DB"/>
    <w:rsid w:val="003D11E6"/>
    <w:rsid w:val="003D1B2A"/>
    <w:rsid w:val="003D4A7B"/>
    <w:rsid w:val="003D6861"/>
    <w:rsid w:val="003E4EC3"/>
    <w:rsid w:val="003E6C3C"/>
    <w:rsid w:val="003E7BBA"/>
    <w:rsid w:val="003F1223"/>
    <w:rsid w:val="003F36C9"/>
    <w:rsid w:val="00404676"/>
    <w:rsid w:val="00412FE5"/>
    <w:rsid w:val="00420CFF"/>
    <w:rsid w:val="004241C3"/>
    <w:rsid w:val="004256AD"/>
    <w:rsid w:val="00426441"/>
    <w:rsid w:val="004269B4"/>
    <w:rsid w:val="00426EAF"/>
    <w:rsid w:val="0043075D"/>
    <w:rsid w:val="00432368"/>
    <w:rsid w:val="00444D49"/>
    <w:rsid w:val="00446F4F"/>
    <w:rsid w:val="00447B65"/>
    <w:rsid w:val="00452976"/>
    <w:rsid w:val="004569B7"/>
    <w:rsid w:val="004646E2"/>
    <w:rsid w:val="004716A6"/>
    <w:rsid w:val="00477137"/>
    <w:rsid w:val="004808FE"/>
    <w:rsid w:val="00485D57"/>
    <w:rsid w:val="0048624F"/>
    <w:rsid w:val="00490DA7"/>
    <w:rsid w:val="0049193E"/>
    <w:rsid w:val="00493231"/>
    <w:rsid w:val="004A022A"/>
    <w:rsid w:val="004A4A01"/>
    <w:rsid w:val="004A7E4C"/>
    <w:rsid w:val="004B014C"/>
    <w:rsid w:val="004B42DC"/>
    <w:rsid w:val="004B75C6"/>
    <w:rsid w:val="004C660E"/>
    <w:rsid w:val="004C788C"/>
    <w:rsid w:val="004D1AC7"/>
    <w:rsid w:val="004D1AE5"/>
    <w:rsid w:val="004E15D0"/>
    <w:rsid w:val="004E3AAD"/>
    <w:rsid w:val="004F11ED"/>
    <w:rsid w:val="005032BD"/>
    <w:rsid w:val="005039CD"/>
    <w:rsid w:val="0051172F"/>
    <w:rsid w:val="005137D6"/>
    <w:rsid w:val="00523D1A"/>
    <w:rsid w:val="005277C3"/>
    <w:rsid w:val="00527CA3"/>
    <w:rsid w:val="00541263"/>
    <w:rsid w:val="005566FF"/>
    <w:rsid w:val="00557376"/>
    <w:rsid w:val="00562A28"/>
    <w:rsid w:val="00566F76"/>
    <w:rsid w:val="00570D27"/>
    <w:rsid w:val="005818DD"/>
    <w:rsid w:val="00586B31"/>
    <w:rsid w:val="00587E9E"/>
    <w:rsid w:val="005907B4"/>
    <w:rsid w:val="0059508D"/>
    <w:rsid w:val="005A2B56"/>
    <w:rsid w:val="005C5488"/>
    <w:rsid w:val="005D0CC7"/>
    <w:rsid w:val="005D31D7"/>
    <w:rsid w:val="005D3B1D"/>
    <w:rsid w:val="005D6FC2"/>
    <w:rsid w:val="005E2B0A"/>
    <w:rsid w:val="005E4057"/>
    <w:rsid w:val="005E4F6B"/>
    <w:rsid w:val="005E6F14"/>
    <w:rsid w:val="005E7DDD"/>
    <w:rsid w:val="005F53B4"/>
    <w:rsid w:val="005F7AF0"/>
    <w:rsid w:val="00600956"/>
    <w:rsid w:val="00601D29"/>
    <w:rsid w:val="00613DE0"/>
    <w:rsid w:val="00624C2C"/>
    <w:rsid w:val="00625CA0"/>
    <w:rsid w:val="00626FC2"/>
    <w:rsid w:val="00635FF7"/>
    <w:rsid w:val="00641839"/>
    <w:rsid w:val="0064513A"/>
    <w:rsid w:val="00651B88"/>
    <w:rsid w:val="00651C95"/>
    <w:rsid w:val="0065255F"/>
    <w:rsid w:val="006552FD"/>
    <w:rsid w:val="00655F4D"/>
    <w:rsid w:val="00656A43"/>
    <w:rsid w:val="00657348"/>
    <w:rsid w:val="006626AF"/>
    <w:rsid w:val="00662DDE"/>
    <w:rsid w:val="00666455"/>
    <w:rsid w:val="006739E8"/>
    <w:rsid w:val="00674337"/>
    <w:rsid w:val="00677D04"/>
    <w:rsid w:val="00680FAF"/>
    <w:rsid w:val="0068274C"/>
    <w:rsid w:val="006834E0"/>
    <w:rsid w:val="00692865"/>
    <w:rsid w:val="00693EF7"/>
    <w:rsid w:val="00694DA4"/>
    <w:rsid w:val="00695F09"/>
    <w:rsid w:val="006A19A6"/>
    <w:rsid w:val="006A2440"/>
    <w:rsid w:val="006A6B8C"/>
    <w:rsid w:val="006C013F"/>
    <w:rsid w:val="006C6925"/>
    <w:rsid w:val="006D0315"/>
    <w:rsid w:val="006D0C7A"/>
    <w:rsid w:val="006E0FC0"/>
    <w:rsid w:val="006E2056"/>
    <w:rsid w:val="006E5E73"/>
    <w:rsid w:val="006F10AD"/>
    <w:rsid w:val="006F1287"/>
    <w:rsid w:val="006F72CE"/>
    <w:rsid w:val="00701A96"/>
    <w:rsid w:val="00703AE3"/>
    <w:rsid w:val="007162E0"/>
    <w:rsid w:val="00716BBE"/>
    <w:rsid w:val="00722EE5"/>
    <w:rsid w:val="007269F7"/>
    <w:rsid w:val="00731617"/>
    <w:rsid w:val="00732E9B"/>
    <w:rsid w:val="0074685A"/>
    <w:rsid w:val="007507AB"/>
    <w:rsid w:val="00752A48"/>
    <w:rsid w:val="00754617"/>
    <w:rsid w:val="007563DC"/>
    <w:rsid w:val="00762E8F"/>
    <w:rsid w:val="0076753E"/>
    <w:rsid w:val="00767686"/>
    <w:rsid w:val="0077044E"/>
    <w:rsid w:val="007754D8"/>
    <w:rsid w:val="00775C67"/>
    <w:rsid w:val="0077675F"/>
    <w:rsid w:val="00777D96"/>
    <w:rsid w:val="007815E1"/>
    <w:rsid w:val="00784151"/>
    <w:rsid w:val="007901C3"/>
    <w:rsid w:val="007A67B8"/>
    <w:rsid w:val="007B0C08"/>
    <w:rsid w:val="007B23CA"/>
    <w:rsid w:val="007B366F"/>
    <w:rsid w:val="007C52D6"/>
    <w:rsid w:val="007D5A1B"/>
    <w:rsid w:val="007E0243"/>
    <w:rsid w:val="007E3079"/>
    <w:rsid w:val="007F0150"/>
    <w:rsid w:val="007F1591"/>
    <w:rsid w:val="007F3C78"/>
    <w:rsid w:val="007F528B"/>
    <w:rsid w:val="007F6E34"/>
    <w:rsid w:val="00804050"/>
    <w:rsid w:val="008045BF"/>
    <w:rsid w:val="008065AA"/>
    <w:rsid w:val="008076E7"/>
    <w:rsid w:val="00812A4E"/>
    <w:rsid w:val="008141AA"/>
    <w:rsid w:val="00816846"/>
    <w:rsid w:val="008177C2"/>
    <w:rsid w:val="00817CF6"/>
    <w:rsid w:val="00817FB2"/>
    <w:rsid w:val="00825930"/>
    <w:rsid w:val="00830847"/>
    <w:rsid w:val="0083299A"/>
    <w:rsid w:val="008348A3"/>
    <w:rsid w:val="00835B5D"/>
    <w:rsid w:val="00835F54"/>
    <w:rsid w:val="00853A70"/>
    <w:rsid w:val="00855522"/>
    <w:rsid w:val="008558CE"/>
    <w:rsid w:val="00861101"/>
    <w:rsid w:val="00862832"/>
    <w:rsid w:val="00866392"/>
    <w:rsid w:val="00880AE0"/>
    <w:rsid w:val="00880E95"/>
    <w:rsid w:val="00881A95"/>
    <w:rsid w:val="008902BD"/>
    <w:rsid w:val="0089209D"/>
    <w:rsid w:val="00895AF5"/>
    <w:rsid w:val="00897C8B"/>
    <w:rsid w:val="008A0685"/>
    <w:rsid w:val="008A7945"/>
    <w:rsid w:val="008B0668"/>
    <w:rsid w:val="008B109C"/>
    <w:rsid w:val="008B2BBD"/>
    <w:rsid w:val="008B429D"/>
    <w:rsid w:val="008B4BEC"/>
    <w:rsid w:val="008B55B4"/>
    <w:rsid w:val="008B6107"/>
    <w:rsid w:val="008C4949"/>
    <w:rsid w:val="008D1F03"/>
    <w:rsid w:val="008D335A"/>
    <w:rsid w:val="008D55C0"/>
    <w:rsid w:val="008D6CD1"/>
    <w:rsid w:val="008E0747"/>
    <w:rsid w:val="008E22B2"/>
    <w:rsid w:val="008E2333"/>
    <w:rsid w:val="008E6794"/>
    <w:rsid w:val="008F2E17"/>
    <w:rsid w:val="008F383D"/>
    <w:rsid w:val="008F460C"/>
    <w:rsid w:val="00906E14"/>
    <w:rsid w:val="009079A0"/>
    <w:rsid w:val="00915308"/>
    <w:rsid w:val="009261B1"/>
    <w:rsid w:val="00933D3E"/>
    <w:rsid w:val="009371DC"/>
    <w:rsid w:val="00940AFF"/>
    <w:rsid w:val="00944F46"/>
    <w:rsid w:val="0095441A"/>
    <w:rsid w:val="009558DA"/>
    <w:rsid w:val="0096383D"/>
    <w:rsid w:val="0096487D"/>
    <w:rsid w:val="00967DE9"/>
    <w:rsid w:val="00971D93"/>
    <w:rsid w:val="00972434"/>
    <w:rsid w:val="00975C6B"/>
    <w:rsid w:val="00993083"/>
    <w:rsid w:val="009A1E16"/>
    <w:rsid w:val="009A6727"/>
    <w:rsid w:val="009B239A"/>
    <w:rsid w:val="009C23F0"/>
    <w:rsid w:val="009C3726"/>
    <w:rsid w:val="009C7751"/>
    <w:rsid w:val="009C78BE"/>
    <w:rsid w:val="009D6FFE"/>
    <w:rsid w:val="009D7485"/>
    <w:rsid w:val="009F4A29"/>
    <w:rsid w:val="00A027C9"/>
    <w:rsid w:val="00A07218"/>
    <w:rsid w:val="00A13098"/>
    <w:rsid w:val="00A2541E"/>
    <w:rsid w:val="00A40F8E"/>
    <w:rsid w:val="00A47BD0"/>
    <w:rsid w:val="00A55DB0"/>
    <w:rsid w:val="00A56621"/>
    <w:rsid w:val="00A618FF"/>
    <w:rsid w:val="00A62E2F"/>
    <w:rsid w:val="00A6465A"/>
    <w:rsid w:val="00A6673B"/>
    <w:rsid w:val="00A7163C"/>
    <w:rsid w:val="00A73655"/>
    <w:rsid w:val="00A73745"/>
    <w:rsid w:val="00A75ECE"/>
    <w:rsid w:val="00A7696A"/>
    <w:rsid w:val="00A80391"/>
    <w:rsid w:val="00A867D8"/>
    <w:rsid w:val="00A91DA5"/>
    <w:rsid w:val="00A92E95"/>
    <w:rsid w:val="00A95446"/>
    <w:rsid w:val="00A95B3A"/>
    <w:rsid w:val="00A97FC4"/>
    <w:rsid w:val="00AA5EEE"/>
    <w:rsid w:val="00AB170F"/>
    <w:rsid w:val="00AB4C53"/>
    <w:rsid w:val="00AB4C7C"/>
    <w:rsid w:val="00AB755A"/>
    <w:rsid w:val="00AC4C0B"/>
    <w:rsid w:val="00AC6B2C"/>
    <w:rsid w:val="00AD0ED6"/>
    <w:rsid w:val="00AD3A3A"/>
    <w:rsid w:val="00AD48E4"/>
    <w:rsid w:val="00AD4C4B"/>
    <w:rsid w:val="00AD5F7D"/>
    <w:rsid w:val="00AD71E2"/>
    <w:rsid w:val="00AE23B0"/>
    <w:rsid w:val="00AE6DDC"/>
    <w:rsid w:val="00AF37F5"/>
    <w:rsid w:val="00B00978"/>
    <w:rsid w:val="00B0109C"/>
    <w:rsid w:val="00B028FD"/>
    <w:rsid w:val="00B03436"/>
    <w:rsid w:val="00B045EF"/>
    <w:rsid w:val="00B10233"/>
    <w:rsid w:val="00B114CD"/>
    <w:rsid w:val="00B13C7D"/>
    <w:rsid w:val="00B14DBE"/>
    <w:rsid w:val="00B201CA"/>
    <w:rsid w:val="00B21C83"/>
    <w:rsid w:val="00B21ECF"/>
    <w:rsid w:val="00B24E47"/>
    <w:rsid w:val="00B30BB6"/>
    <w:rsid w:val="00B30D06"/>
    <w:rsid w:val="00B32950"/>
    <w:rsid w:val="00B3524D"/>
    <w:rsid w:val="00B3553C"/>
    <w:rsid w:val="00B375E7"/>
    <w:rsid w:val="00B4546A"/>
    <w:rsid w:val="00B47A77"/>
    <w:rsid w:val="00B50635"/>
    <w:rsid w:val="00B57199"/>
    <w:rsid w:val="00B64192"/>
    <w:rsid w:val="00B713EC"/>
    <w:rsid w:val="00B733AD"/>
    <w:rsid w:val="00B766E7"/>
    <w:rsid w:val="00B8709A"/>
    <w:rsid w:val="00B9160D"/>
    <w:rsid w:val="00B91E92"/>
    <w:rsid w:val="00B92914"/>
    <w:rsid w:val="00BA0C90"/>
    <w:rsid w:val="00BA246A"/>
    <w:rsid w:val="00BA2FC6"/>
    <w:rsid w:val="00BA6FA2"/>
    <w:rsid w:val="00BA6FFD"/>
    <w:rsid w:val="00BA733C"/>
    <w:rsid w:val="00BB08ED"/>
    <w:rsid w:val="00BB2B6D"/>
    <w:rsid w:val="00BB4F61"/>
    <w:rsid w:val="00BC2797"/>
    <w:rsid w:val="00BC40E8"/>
    <w:rsid w:val="00BC7630"/>
    <w:rsid w:val="00BD181B"/>
    <w:rsid w:val="00BD26DC"/>
    <w:rsid w:val="00BD34F0"/>
    <w:rsid w:val="00BE65B4"/>
    <w:rsid w:val="00BE7E8A"/>
    <w:rsid w:val="00BF4CC7"/>
    <w:rsid w:val="00C00F05"/>
    <w:rsid w:val="00C03DBB"/>
    <w:rsid w:val="00C03E65"/>
    <w:rsid w:val="00C06A91"/>
    <w:rsid w:val="00C07EA5"/>
    <w:rsid w:val="00C15C04"/>
    <w:rsid w:val="00C211D3"/>
    <w:rsid w:val="00C22AB2"/>
    <w:rsid w:val="00C232FC"/>
    <w:rsid w:val="00C24412"/>
    <w:rsid w:val="00C2589A"/>
    <w:rsid w:val="00C3017B"/>
    <w:rsid w:val="00C44E81"/>
    <w:rsid w:val="00C47725"/>
    <w:rsid w:val="00C47B3D"/>
    <w:rsid w:val="00C52092"/>
    <w:rsid w:val="00C534DD"/>
    <w:rsid w:val="00C54B7D"/>
    <w:rsid w:val="00C550D1"/>
    <w:rsid w:val="00C55353"/>
    <w:rsid w:val="00C56F4F"/>
    <w:rsid w:val="00C572F4"/>
    <w:rsid w:val="00C66EF5"/>
    <w:rsid w:val="00C818B5"/>
    <w:rsid w:val="00C84365"/>
    <w:rsid w:val="00C84DEE"/>
    <w:rsid w:val="00C87D2F"/>
    <w:rsid w:val="00C91995"/>
    <w:rsid w:val="00C91B3B"/>
    <w:rsid w:val="00C93484"/>
    <w:rsid w:val="00C967FC"/>
    <w:rsid w:val="00C97455"/>
    <w:rsid w:val="00CA0664"/>
    <w:rsid w:val="00CA30E3"/>
    <w:rsid w:val="00CC24E3"/>
    <w:rsid w:val="00CE03B4"/>
    <w:rsid w:val="00CE5025"/>
    <w:rsid w:val="00CF2C3B"/>
    <w:rsid w:val="00D04802"/>
    <w:rsid w:val="00D07482"/>
    <w:rsid w:val="00D1296A"/>
    <w:rsid w:val="00D17448"/>
    <w:rsid w:val="00D26D02"/>
    <w:rsid w:val="00D31152"/>
    <w:rsid w:val="00D3274E"/>
    <w:rsid w:val="00D36161"/>
    <w:rsid w:val="00D36DA0"/>
    <w:rsid w:val="00D40038"/>
    <w:rsid w:val="00D44D6A"/>
    <w:rsid w:val="00D46F6F"/>
    <w:rsid w:val="00D5074E"/>
    <w:rsid w:val="00D510F3"/>
    <w:rsid w:val="00D73BB8"/>
    <w:rsid w:val="00D91E64"/>
    <w:rsid w:val="00D928CA"/>
    <w:rsid w:val="00D9319E"/>
    <w:rsid w:val="00D93809"/>
    <w:rsid w:val="00D94EFE"/>
    <w:rsid w:val="00DA16E0"/>
    <w:rsid w:val="00DB1699"/>
    <w:rsid w:val="00DB3B2B"/>
    <w:rsid w:val="00DB5291"/>
    <w:rsid w:val="00DB67A4"/>
    <w:rsid w:val="00DB6D92"/>
    <w:rsid w:val="00DC0170"/>
    <w:rsid w:val="00DC5A48"/>
    <w:rsid w:val="00DE0DEA"/>
    <w:rsid w:val="00DE3335"/>
    <w:rsid w:val="00DF100E"/>
    <w:rsid w:val="00DF3346"/>
    <w:rsid w:val="00E0041C"/>
    <w:rsid w:val="00E01E6E"/>
    <w:rsid w:val="00E04CBC"/>
    <w:rsid w:val="00E04FA3"/>
    <w:rsid w:val="00E2042C"/>
    <w:rsid w:val="00E2294C"/>
    <w:rsid w:val="00E30EDE"/>
    <w:rsid w:val="00E3187B"/>
    <w:rsid w:val="00E32508"/>
    <w:rsid w:val="00E34E6A"/>
    <w:rsid w:val="00E43617"/>
    <w:rsid w:val="00E4794A"/>
    <w:rsid w:val="00E76A83"/>
    <w:rsid w:val="00E81112"/>
    <w:rsid w:val="00E83F31"/>
    <w:rsid w:val="00E93B9C"/>
    <w:rsid w:val="00E9469D"/>
    <w:rsid w:val="00E94BB0"/>
    <w:rsid w:val="00E94D14"/>
    <w:rsid w:val="00E9586E"/>
    <w:rsid w:val="00EB181A"/>
    <w:rsid w:val="00EB311F"/>
    <w:rsid w:val="00EB6992"/>
    <w:rsid w:val="00EC625F"/>
    <w:rsid w:val="00EC7F2F"/>
    <w:rsid w:val="00ED41B6"/>
    <w:rsid w:val="00ED5487"/>
    <w:rsid w:val="00ED5AF8"/>
    <w:rsid w:val="00ED63AF"/>
    <w:rsid w:val="00ED70EC"/>
    <w:rsid w:val="00EE7D5C"/>
    <w:rsid w:val="00EF1900"/>
    <w:rsid w:val="00EF3E5D"/>
    <w:rsid w:val="00F019A5"/>
    <w:rsid w:val="00F023DA"/>
    <w:rsid w:val="00F06E0E"/>
    <w:rsid w:val="00F131D2"/>
    <w:rsid w:val="00F15007"/>
    <w:rsid w:val="00F17728"/>
    <w:rsid w:val="00F20FCE"/>
    <w:rsid w:val="00F22DEC"/>
    <w:rsid w:val="00F248C2"/>
    <w:rsid w:val="00F26484"/>
    <w:rsid w:val="00F36D84"/>
    <w:rsid w:val="00F438B7"/>
    <w:rsid w:val="00F44503"/>
    <w:rsid w:val="00F461C8"/>
    <w:rsid w:val="00F46783"/>
    <w:rsid w:val="00F46C09"/>
    <w:rsid w:val="00F559F1"/>
    <w:rsid w:val="00F55E20"/>
    <w:rsid w:val="00F57D17"/>
    <w:rsid w:val="00F61213"/>
    <w:rsid w:val="00F63E16"/>
    <w:rsid w:val="00F93A41"/>
    <w:rsid w:val="00FB0AFA"/>
    <w:rsid w:val="00FB0DE9"/>
    <w:rsid w:val="00FB26B2"/>
    <w:rsid w:val="00FB494F"/>
    <w:rsid w:val="00FC10BF"/>
    <w:rsid w:val="00FC1C64"/>
    <w:rsid w:val="00FC31A5"/>
    <w:rsid w:val="00FC5C8B"/>
    <w:rsid w:val="00FC64DA"/>
    <w:rsid w:val="00FD02A3"/>
    <w:rsid w:val="00FD0445"/>
    <w:rsid w:val="00FD59FF"/>
    <w:rsid w:val="00FD7599"/>
    <w:rsid w:val="00FE5629"/>
    <w:rsid w:val="00FF0E84"/>
    <w:rsid w:val="00FF147A"/>
    <w:rsid w:val="00FF7B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FDC9F5-35FA-41BA-B27B-4EEDADE2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F248C2"/>
    <w:pPr>
      <w:spacing w:after="0" w:line="240" w:lineRule="auto"/>
      <w:ind w:left="720"/>
    </w:pPr>
    <w:rPr>
      <w:rFonts w:ascii="Calibri" w:eastAsiaTheme="minorHAnsi" w:hAnsi="Calibri" w:cs="Times New Roman"/>
      <w:lang w:eastAsia="en-US"/>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locked/>
    <w:rsid w:val="00F248C2"/>
    <w:rPr>
      <w:rFonts w:ascii="Calibri" w:eastAsiaTheme="minorHAnsi" w:hAnsi="Calibri" w:cs="Times New Roman"/>
      <w:lang w:eastAsia="en-US"/>
    </w:rPr>
  </w:style>
  <w:style w:type="paragraph" w:customStyle="1" w:styleId="Default">
    <w:name w:val="Default"/>
    <w:basedOn w:val="Normal"/>
    <w:rsid w:val="00F248C2"/>
    <w:pPr>
      <w:autoSpaceDE w:val="0"/>
      <w:autoSpaceDN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2A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FE"/>
  </w:style>
  <w:style w:type="paragraph" w:styleId="Footer">
    <w:name w:val="footer"/>
    <w:basedOn w:val="Normal"/>
    <w:link w:val="FooterChar"/>
    <w:uiPriority w:val="99"/>
    <w:unhideWhenUsed/>
    <w:rsid w:val="002A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FE"/>
  </w:style>
  <w:style w:type="paragraph" w:styleId="BalloonText">
    <w:name w:val="Balloon Text"/>
    <w:basedOn w:val="Normal"/>
    <w:link w:val="BalloonTextChar"/>
    <w:uiPriority w:val="99"/>
    <w:semiHidden/>
    <w:unhideWhenUsed/>
    <w:rsid w:val="0097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34"/>
    <w:rPr>
      <w:rFonts w:ascii="Segoe UI" w:hAnsi="Segoe UI" w:cs="Segoe UI"/>
      <w:sz w:val="18"/>
      <w:szCs w:val="18"/>
    </w:rPr>
  </w:style>
  <w:style w:type="character" w:styleId="CommentReference">
    <w:name w:val="annotation reference"/>
    <w:basedOn w:val="DefaultParagraphFont"/>
    <w:uiPriority w:val="99"/>
    <w:semiHidden/>
    <w:unhideWhenUsed/>
    <w:rsid w:val="00975C6B"/>
    <w:rPr>
      <w:sz w:val="16"/>
      <w:szCs w:val="16"/>
    </w:rPr>
  </w:style>
  <w:style w:type="paragraph" w:styleId="CommentText">
    <w:name w:val="annotation text"/>
    <w:basedOn w:val="Normal"/>
    <w:link w:val="CommentTextChar"/>
    <w:uiPriority w:val="99"/>
    <w:semiHidden/>
    <w:unhideWhenUsed/>
    <w:rsid w:val="00975C6B"/>
    <w:pPr>
      <w:spacing w:line="240" w:lineRule="auto"/>
    </w:pPr>
    <w:rPr>
      <w:sz w:val="20"/>
      <w:szCs w:val="20"/>
    </w:rPr>
  </w:style>
  <w:style w:type="character" w:customStyle="1" w:styleId="CommentTextChar">
    <w:name w:val="Comment Text Char"/>
    <w:basedOn w:val="DefaultParagraphFont"/>
    <w:link w:val="CommentText"/>
    <w:uiPriority w:val="99"/>
    <w:semiHidden/>
    <w:rsid w:val="00975C6B"/>
    <w:rPr>
      <w:sz w:val="20"/>
      <w:szCs w:val="20"/>
    </w:rPr>
  </w:style>
  <w:style w:type="paragraph" w:styleId="CommentSubject">
    <w:name w:val="annotation subject"/>
    <w:basedOn w:val="CommentText"/>
    <w:next w:val="CommentText"/>
    <w:link w:val="CommentSubjectChar"/>
    <w:uiPriority w:val="99"/>
    <w:semiHidden/>
    <w:unhideWhenUsed/>
    <w:rsid w:val="00975C6B"/>
    <w:rPr>
      <w:b/>
      <w:bCs/>
    </w:rPr>
  </w:style>
  <w:style w:type="character" w:customStyle="1" w:styleId="CommentSubjectChar">
    <w:name w:val="Comment Subject Char"/>
    <w:basedOn w:val="CommentTextChar"/>
    <w:link w:val="CommentSubject"/>
    <w:uiPriority w:val="99"/>
    <w:semiHidden/>
    <w:rsid w:val="00975C6B"/>
    <w:rPr>
      <w:b/>
      <w:bCs/>
      <w:sz w:val="20"/>
      <w:szCs w:val="20"/>
    </w:rPr>
  </w:style>
  <w:style w:type="paragraph" w:styleId="BodyText2">
    <w:name w:val="Body Text 2"/>
    <w:basedOn w:val="Normal"/>
    <w:link w:val="BodyText2Char"/>
    <w:rsid w:val="00944F46"/>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944F46"/>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944F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basedOn w:val="DefaultParagraphFont"/>
    <w:link w:val="Title"/>
    <w:uiPriority w:val="10"/>
    <w:rsid w:val="00944F46"/>
    <w:rPr>
      <w:rFonts w:ascii="Cambria" w:eastAsia="Times New Roman" w:hAnsi="Cambria" w:cs="Times New Roman"/>
      <w:color w:val="17365D"/>
      <w:spacing w:val="5"/>
      <w:kern w:val="28"/>
      <w:sz w:val="52"/>
      <w:szCs w:val="52"/>
      <w:lang w:eastAsia="en-US"/>
    </w:rPr>
  </w:style>
  <w:style w:type="paragraph" w:customStyle="1" w:styleId="Body">
    <w:name w:val="Body"/>
    <w:rsid w:val="002F729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US"/>
    </w:rPr>
  </w:style>
  <w:style w:type="numbering" w:customStyle="1" w:styleId="Dash">
    <w:name w:val="Dash"/>
    <w:rsid w:val="002F729A"/>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2F1E4-6D67-40D5-BBC6-6147ED36A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Anne-Katrin Arnold</dc:creator>
  <cp:lastModifiedBy>Jennifer Chato</cp:lastModifiedBy>
  <cp:revision>2</cp:revision>
  <cp:lastPrinted>2016-02-19T21:53:00Z</cp:lastPrinted>
  <dcterms:created xsi:type="dcterms:W3CDTF">2016-04-17T13:57:00Z</dcterms:created>
  <dcterms:modified xsi:type="dcterms:W3CDTF">2016-04-17T13:57:00Z</dcterms:modified>
</cp:coreProperties>
</file>