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89F58B" w14:textId="77777777" w:rsidR="00FC6E39" w:rsidRPr="00E8726F" w:rsidRDefault="00FC6E39" w:rsidP="00E8726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469D8EE4" w14:textId="77777777" w:rsidR="00EB75B9" w:rsidRPr="00E8726F" w:rsidRDefault="00A35D65" w:rsidP="00E8726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8726F">
        <w:rPr>
          <w:rFonts w:asciiTheme="minorHAnsi" w:hAnsiTheme="minorHAnsi" w:cs="Arial"/>
          <w:noProof/>
          <w:color w:val="000000"/>
          <w:sz w:val="22"/>
          <w:szCs w:val="22"/>
          <w:lang w:eastAsia="en-US" w:bidi="ar-SA"/>
        </w:rPr>
        <w:drawing>
          <wp:inline distT="0" distB="0" distL="0" distR="0" wp14:anchorId="3B36DAAA" wp14:editId="426F7F4E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8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F9FEA" w14:textId="77777777" w:rsidR="00A35D65" w:rsidRPr="00E8726F" w:rsidRDefault="00A35D65" w:rsidP="00E8726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726F">
        <w:rPr>
          <w:rFonts w:asciiTheme="minorHAnsi" w:hAnsiTheme="minorHAnsi" w:cstheme="minorHAnsi"/>
          <w:b/>
          <w:bCs/>
          <w:sz w:val="22"/>
          <w:szCs w:val="22"/>
        </w:rPr>
        <w:t>Review and Update of the World Bank’s Environmental and Social Safeguard Policies</w:t>
      </w:r>
    </w:p>
    <w:p w14:paraId="2C269ABE" w14:textId="77777777" w:rsidR="00A35D65" w:rsidRPr="00E8726F" w:rsidRDefault="008C0E8A" w:rsidP="00E8726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726F">
        <w:rPr>
          <w:rFonts w:asciiTheme="minorHAnsi" w:hAnsiTheme="minorHAnsi" w:cstheme="minorHAnsi"/>
          <w:b/>
          <w:bCs/>
          <w:sz w:val="22"/>
          <w:szCs w:val="22"/>
        </w:rPr>
        <w:t>Phase 2</w:t>
      </w:r>
    </w:p>
    <w:p w14:paraId="600B307B" w14:textId="77777777" w:rsidR="003E2779" w:rsidRPr="00E8726F" w:rsidRDefault="00A35D65" w:rsidP="00E8726F">
      <w:pPr>
        <w:pStyle w:val="Title"/>
        <w:spacing w:after="12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E8726F">
        <w:rPr>
          <w:rFonts w:asciiTheme="minorHAnsi" w:hAnsiTheme="minorHAnsi"/>
          <w:b/>
          <w:bCs/>
          <w:color w:val="auto"/>
          <w:sz w:val="22"/>
          <w:szCs w:val="22"/>
        </w:rPr>
        <w:t>F</w:t>
      </w:r>
      <w:r w:rsidR="003E2779" w:rsidRPr="00E8726F">
        <w:rPr>
          <w:rFonts w:asciiTheme="minorHAnsi" w:hAnsiTheme="minorHAnsi"/>
          <w:b/>
          <w:bCs/>
          <w:color w:val="auto"/>
          <w:sz w:val="22"/>
          <w:szCs w:val="22"/>
        </w:rPr>
        <w:t>eedback Summary</w:t>
      </w:r>
    </w:p>
    <w:p w14:paraId="284FC723" w14:textId="5F684D4B" w:rsidR="00093B2C" w:rsidRPr="00E8726F" w:rsidRDefault="00093B2C" w:rsidP="00E8726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76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E8726F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2D2FBF">
        <w:rPr>
          <w:rFonts w:asciiTheme="minorHAnsi" w:hAnsiTheme="minorHAnsi" w:cs="Times New Roman"/>
          <w:b/>
          <w:bCs/>
          <w:sz w:val="22"/>
          <w:szCs w:val="22"/>
          <w:lang w:val="en-US"/>
        </w:rPr>
        <w:t>January 8, 2015</w:t>
      </w:r>
    </w:p>
    <w:p w14:paraId="17974523" w14:textId="0964077B" w:rsidR="0028355B" w:rsidRPr="00E8726F" w:rsidRDefault="002E23E9" w:rsidP="00E8726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76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E8726F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</w:t>
      </w:r>
      <w:r w:rsidR="00093B2C" w:rsidRPr="00E8726F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: </w:t>
      </w:r>
      <w:r w:rsidR="002D2FBF">
        <w:rPr>
          <w:rFonts w:asciiTheme="minorHAnsi" w:hAnsiTheme="minorHAnsi" w:cs="Times New Roman"/>
          <w:b/>
          <w:bCs/>
          <w:sz w:val="22"/>
          <w:szCs w:val="22"/>
          <w:lang w:val="en-US"/>
        </w:rPr>
        <w:t>Ottawa</w:t>
      </w:r>
      <w:r w:rsidR="00B817A6" w:rsidRPr="00E8726F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2D2FBF">
        <w:rPr>
          <w:rFonts w:asciiTheme="minorHAnsi" w:hAnsiTheme="minorHAnsi" w:cs="Times New Roman"/>
          <w:b/>
          <w:bCs/>
          <w:sz w:val="22"/>
          <w:szCs w:val="22"/>
          <w:lang w:val="en-US"/>
        </w:rPr>
        <w:t>Canada</w:t>
      </w:r>
    </w:p>
    <w:p w14:paraId="214404C4" w14:textId="5B9380C8" w:rsidR="0028355B" w:rsidRPr="00E8726F" w:rsidRDefault="0028355B" w:rsidP="00E8726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76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E8726F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B817A6" w:rsidRPr="00E8726F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F30963">
        <w:rPr>
          <w:rFonts w:asciiTheme="minorHAnsi" w:hAnsiTheme="minorHAnsi" w:cs="Times New Roman"/>
          <w:b/>
          <w:bCs/>
          <w:sz w:val="22"/>
          <w:szCs w:val="22"/>
          <w:lang w:val="en-US"/>
        </w:rPr>
        <w:t>Government</w:t>
      </w:r>
    </w:p>
    <w:p w14:paraId="49779DC2" w14:textId="77777777" w:rsidR="00B16E9C" w:rsidRPr="00E8726F" w:rsidRDefault="00B16E9C" w:rsidP="00E8726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76" w:lineRule="auto"/>
        <w:jc w:val="left"/>
        <w:rPr>
          <w:rFonts w:asciiTheme="minorHAnsi" w:hAnsiTheme="minorHAnsi" w:cs="Times New Roman"/>
          <w:b/>
          <w:sz w:val="22"/>
          <w:szCs w:val="22"/>
        </w:rPr>
      </w:pPr>
      <w:r w:rsidRPr="00E8726F">
        <w:rPr>
          <w:rFonts w:asciiTheme="minorHAnsi" w:hAnsiTheme="minorHAnsi" w:cs="Times New Roman"/>
          <w:b/>
          <w:sz w:val="22"/>
          <w:szCs w:val="22"/>
        </w:rPr>
        <w:t xml:space="preserve">Overview and </w:t>
      </w:r>
      <w:r w:rsidR="00A35D65" w:rsidRPr="00E8726F">
        <w:rPr>
          <w:rFonts w:asciiTheme="minorHAnsi" w:hAnsiTheme="minorHAnsi" w:cs="Times New Roman"/>
          <w:b/>
          <w:sz w:val="22"/>
          <w:szCs w:val="22"/>
        </w:rPr>
        <w:t>Key Issues Discussed</w:t>
      </w:r>
      <w:r w:rsidR="005C56F1" w:rsidRPr="00E8726F">
        <w:rPr>
          <w:rFonts w:asciiTheme="minorHAnsi" w:hAnsiTheme="minorHAnsi" w:cs="Times New Roman"/>
          <w:b/>
          <w:sz w:val="22"/>
          <w:szCs w:val="22"/>
        </w:rPr>
        <w:t>:</w:t>
      </w:r>
      <w:r w:rsidRPr="00E8726F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14:paraId="0CEBEB0E" w14:textId="0BE2D8D7" w:rsidR="00B817A6" w:rsidRPr="00E8726F" w:rsidRDefault="00B817A6" w:rsidP="0070187F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70187F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  <w:lang w:val="en-GB"/>
        </w:rPr>
        <w:t xml:space="preserve">On </w:t>
      </w:r>
      <w:r w:rsidR="002D2FBF" w:rsidRPr="0070187F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  <w:lang w:val="en-GB"/>
        </w:rPr>
        <w:t>January 8, 2015</w:t>
      </w:r>
      <w:r w:rsidRPr="0070187F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  <w:lang w:val="en-GB"/>
        </w:rPr>
        <w:t xml:space="preserve">, the </w:t>
      </w:r>
      <w:r w:rsidR="0070187F" w:rsidRPr="0070187F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  <w:lang w:val="en-GB"/>
        </w:rPr>
        <w:t>Canadian Department of Foreign Affairs, Trade and Development</w:t>
      </w:r>
      <w:r w:rsidR="0070187F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  <w:lang w:val="en-GB"/>
        </w:rPr>
        <w:t xml:space="preserve"> </w:t>
      </w:r>
      <w:r w:rsidR="00871AE0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  <w:lang w:val="en-GB"/>
        </w:rPr>
        <w:t xml:space="preserve">(DFATD) </w:t>
      </w:r>
      <w:r w:rsidRPr="0070187F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  <w:lang w:val="en-GB"/>
        </w:rPr>
        <w:t xml:space="preserve">hosted a consultation meeting with </w:t>
      </w:r>
      <w:r w:rsidR="0070187F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  <w:lang w:val="en-GB"/>
        </w:rPr>
        <w:t>the World Bank</w:t>
      </w:r>
      <w:r w:rsidR="0082387D" w:rsidRPr="0070187F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  <w:lang w:val="en-GB"/>
        </w:rPr>
        <w:t xml:space="preserve">. Qays Hamad, Senior Operations Officer and Nina Chee, Senior Environmental </w:t>
      </w:r>
      <w:r w:rsidR="00B31359" w:rsidRPr="0070187F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  <w:lang w:val="en-GB"/>
        </w:rPr>
        <w:t xml:space="preserve">Specialist, </w:t>
      </w:r>
      <w:r w:rsidRPr="0070187F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  <w:lang w:val="en-GB"/>
        </w:rPr>
        <w:t xml:space="preserve">presented the proposed Environmental and Social Framework </w:t>
      </w:r>
      <w:r w:rsidR="00843265" w:rsidRPr="0070187F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  <w:lang w:val="en-GB"/>
        </w:rPr>
        <w:t xml:space="preserve">(ESF) </w:t>
      </w:r>
      <w:r w:rsidRPr="0070187F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  <w:lang w:val="en-GB"/>
        </w:rPr>
        <w:t>to stakeholders. The discussion focused on</w:t>
      </w:r>
      <w:r w:rsidR="00B31359" w:rsidRPr="0070187F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  <w:lang w:val="en-GB"/>
        </w:rPr>
        <w:t xml:space="preserve"> </w:t>
      </w:r>
      <w:r w:rsidR="00E81B6D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  <w:lang w:val="en-GB"/>
        </w:rPr>
        <w:t xml:space="preserve">human rights, </w:t>
      </w:r>
      <w:r w:rsidR="00E33464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  <w:lang w:val="en-GB"/>
        </w:rPr>
        <w:t>risk assessment, labor, biodiversity, and Free, Prior, and Informed Consent</w:t>
      </w:r>
      <w:r w:rsidRPr="0070187F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  <w:lang w:val="en-GB"/>
        </w:rPr>
        <w:t>. For purposes of conciseness, the following summary highlights comments and recommendations that were provided by individual representatives; collective comments and recommendations are noted as such.</w:t>
      </w:r>
    </w:p>
    <w:p w14:paraId="51A527D1" w14:textId="77777777" w:rsidR="005B1D7C" w:rsidRPr="00E8726F" w:rsidRDefault="005B1D7C" w:rsidP="00E8726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76" w:lineRule="auto"/>
        <w:rPr>
          <w:rFonts w:asciiTheme="minorHAnsi" w:hAnsiTheme="minorHAnsi" w:cs="Times New Roman"/>
          <w:sz w:val="22"/>
          <w:szCs w:val="22"/>
        </w:rPr>
      </w:pPr>
    </w:p>
    <w:tbl>
      <w:tblPr>
        <w:tblW w:w="13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0"/>
      </w:tblGrid>
      <w:tr w:rsidR="00B16E9C" w:rsidRPr="00E8726F" w14:paraId="2B49BED0" w14:textId="77777777" w:rsidTr="002C093B"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7B37EB45" w14:textId="29DED3EB" w:rsidR="00B16E9C" w:rsidRPr="00E8726F" w:rsidRDefault="00A35D65" w:rsidP="00E8726F">
            <w:pPr>
              <w:pStyle w:val="BodyText2"/>
              <w:snapToGrid w:val="0"/>
              <w:spacing w:after="120" w:line="276" w:lineRule="auto"/>
              <w:ind w:right="0"/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</w:rPr>
            </w:pPr>
            <w:r w:rsidRPr="00E8726F"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</w:rPr>
              <w:t xml:space="preserve">Specific </w:t>
            </w:r>
            <w:r w:rsidR="00B16E9C" w:rsidRPr="00E8726F"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</w:rPr>
              <w:t>Feedback from Stakeholders</w:t>
            </w:r>
          </w:p>
        </w:tc>
      </w:tr>
      <w:tr w:rsidR="0013530E" w:rsidRPr="00E8726F" w14:paraId="301EA175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4729F812" w14:textId="77777777" w:rsidR="0013530E" w:rsidRPr="00E8726F" w:rsidRDefault="008B074D" w:rsidP="00E8726F">
            <w:pPr>
              <w:pStyle w:val="ListParagraph"/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b/>
                <w:sz w:val="22"/>
                <w:szCs w:val="22"/>
              </w:rPr>
            </w:pPr>
            <w:r w:rsidRPr="00E8726F">
              <w:rPr>
                <w:rFonts w:asciiTheme="minorHAnsi" w:hAnsiTheme="minorHAnsi"/>
                <w:b/>
                <w:bCs/>
                <w:sz w:val="22"/>
                <w:szCs w:val="22"/>
              </w:rPr>
              <w:t>General Comments</w:t>
            </w:r>
          </w:p>
        </w:tc>
      </w:tr>
      <w:tr w:rsidR="002E23E9" w:rsidRPr="00E8726F" w14:paraId="79E4184B" w14:textId="77777777" w:rsidTr="008B074D">
        <w:trPr>
          <w:trHeight w:val="458"/>
        </w:trPr>
        <w:tc>
          <w:tcPr>
            <w:tcW w:w="13320" w:type="dxa"/>
            <w:shd w:val="clear" w:color="auto" w:fill="auto"/>
          </w:tcPr>
          <w:p w14:paraId="7D2B0BE2" w14:textId="71A56813" w:rsidR="0028355B" w:rsidRPr="00A73DB4" w:rsidRDefault="002047F0" w:rsidP="00327F38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4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proposed ESF should not refer to a large number of </w:t>
            </w:r>
            <w:r w:rsidRPr="00492CEE">
              <w:rPr>
                <w:rFonts w:asciiTheme="minorHAnsi" w:hAnsiTheme="minorHAnsi"/>
                <w:sz w:val="22"/>
                <w:szCs w:val="22"/>
              </w:rPr>
              <w:t xml:space="preserve">operational documents that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may not be immediately </w:t>
            </w:r>
            <w:r w:rsidR="002154CB">
              <w:rPr>
                <w:rFonts w:asciiTheme="minorHAnsi" w:hAnsiTheme="minorHAnsi"/>
                <w:sz w:val="22"/>
                <w:szCs w:val="22"/>
              </w:rPr>
              <w:t>available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the reader. The final draft of the ESF needs to comprehensiv</w:t>
            </w:r>
            <w:r w:rsidR="00327F38">
              <w:rPr>
                <w:rFonts w:asciiTheme="minorHAnsi" w:hAnsiTheme="minorHAnsi"/>
                <w:sz w:val="22"/>
                <w:szCs w:val="22"/>
              </w:rPr>
              <w:t xml:space="preserve">e and should be understandable to readers at all levels of capacity. </w:t>
            </w:r>
          </w:p>
          <w:p w14:paraId="2224D3F5" w14:textId="491A8882" w:rsidR="00A73DB4" w:rsidRPr="00B752F0" w:rsidRDefault="00A73DB4" w:rsidP="00A73DB4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4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Consultation participants asked for more information on the process of acquiring waivers for the existing safeguard policies and how the waiver process will change under the proposed ESF. </w:t>
            </w:r>
          </w:p>
        </w:tc>
      </w:tr>
      <w:tr w:rsidR="00A840E8" w:rsidRPr="00E8726F" w14:paraId="0F9AB994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3E850196" w14:textId="77777777" w:rsidR="00A840E8" w:rsidRPr="00E8726F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b/>
                <w:i/>
                <w:iCs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A Vision for Sustainable Development</w:t>
            </w:r>
          </w:p>
        </w:tc>
      </w:tr>
      <w:tr w:rsidR="002E23E9" w:rsidRPr="00E8726F" w14:paraId="24E20996" w14:textId="77777777" w:rsidTr="008B074D">
        <w:trPr>
          <w:trHeight w:val="395"/>
        </w:trPr>
        <w:tc>
          <w:tcPr>
            <w:tcW w:w="13320" w:type="dxa"/>
            <w:shd w:val="clear" w:color="auto" w:fill="auto"/>
          </w:tcPr>
          <w:p w14:paraId="770835CD" w14:textId="03EBB60E" w:rsidR="00ED3EF0" w:rsidRPr="00D93E45" w:rsidRDefault="00ED3EF0" w:rsidP="00ED3EF0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Government representatives pointed out that the World Bank is addressing human rights when addressing social risk. </w:t>
            </w:r>
          </w:p>
          <w:p w14:paraId="1CFACC13" w14:textId="7FD96C9D" w:rsidR="00D93E45" w:rsidRPr="00492CEE" w:rsidRDefault="00D93E45" w:rsidP="00D93E45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Canadian government wants to </w:t>
            </w:r>
            <w:r w:rsidRPr="00492CEE">
              <w:rPr>
                <w:rFonts w:asciiTheme="minorHAnsi" w:hAnsiTheme="minorHAnsi"/>
                <w:sz w:val="22"/>
                <w:szCs w:val="22"/>
              </w:rPr>
              <w:t xml:space="preserve">ensure that the </w:t>
            </w:r>
            <w:r>
              <w:rPr>
                <w:rFonts w:asciiTheme="minorHAnsi" w:hAnsiTheme="minorHAnsi"/>
                <w:sz w:val="22"/>
                <w:szCs w:val="22"/>
              </w:rPr>
              <w:t>World Bank</w:t>
            </w:r>
            <w:r w:rsidRPr="00492CEE">
              <w:rPr>
                <w:rFonts w:asciiTheme="minorHAnsi" w:hAnsiTheme="minorHAnsi"/>
                <w:sz w:val="22"/>
                <w:szCs w:val="22"/>
              </w:rPr>
              <w:t xml:space="preserve"> is not funding projects that violate </w:t>
            </w:r>
            <w:r w:rsidR="002154CB">
              <w:rPr>
                <w:rFonts w:asciiTheme="minorHAnsi" w:hAnsiTheme="minorHAnsi"/>
                <w:sz w:val="22"/>
                <w:szCs w:val="22"/>
              </w:rPr>
              <w:t>human rights</w:t>
            </w:r>
            <w:r w:rsidRPr="00492CEE">
              <w:rPr>
                <w:rFonts w:asciiTheme="minorHAnsi" w:hAnsiTheme="minorHAnsi"/>
                <w:sz w:val="22"/>
                <w:szCs w:val="22"/>
              </w:rPr>
              <w:t>. The</w:t>
            </w:r>
            <w:r w:rsidR="00AB47FB">
              <w:rPr>
                <w:rFonts w:asciiTheme="minorHAnsi" w:hAnsiTheme="minorHAnsi"/>
                <w:sz w:val="22"/>
                <w:szCs w:val="22"/>
              </w:rPr>
              <w:t xml:space="preserve">refore, the ESF must be written clearly and applied </w:t>
            </w:r>
            <w:r w:rsidRPr="00492CEE">
              <w:rPr>
                <w:rFonts w:asciiTheme="minorHAnsi" w:hAnsiTheme="minorHAnsi"/>
                <w:sz w:val="22"/>
                <w:szCs w:val="22"/>
              </w:rPr>
              <w:t xml:space="preserve">vigorously. </w:t>
            </w:r>
          </w:p>
          <w:p w14:paraId="484F89B5" w14:textId="5B9AC691" w:rsidR="008B51A1" w:rsidRPr="001E3DAC" w:rsidRDefault="008B51A1" w:rsidP="006A1668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World Bank and Borrowers can have different objectives with regard to human rights</w:t>
            </w:r>
            <w:r w:rsidR="009B172E">
              <w:rPr>
                <w:rFonts w:asciiTheme="minorHAnsi" w:hAnsiTheme="minorHAnsi" w:cs="Times New Roman"/>
                <w:sz w:val="22"/>
                <w:szCs w:val="22"/>
              </w:rPr>
              <w:t>. The World Bank should therefore not rely on national law wh</w:t>
            </w:r>
            <w:r w:rsidR="0091440D">
              <w:rPr>
                <w:rFonts w:asciiTheme="minorHAnsi" w:hAnsiTheme="minorHAnsi" w:cs="Times New Roman"/>
                <w:sz w:val="22"/>
                <w:szCs w:val="22"/>
              </w:rPr>
              <w:t>en these laws are discriminatory,</w:t>
            </w:r>
            <w:r w:rsidR="006E39AB">
              <w:rPr>
                <w:rFonts w:asciiTheme="minorHAnsi" w:hAnsiTheme="minorHAnsi" w:cs="Times New Roman"/>
                <w:sz w:val="22"/>
                <w:szCs w:val="22"/>
              </w:rPr>
              <w:t xml:space="preserve"> as this would contribute to hu</w:t>
            </w:r>
            <w:r w:rsidR="0091440D">
              <w:rPr>
                <w:rFonts w:asciiTheme="minorHAnsi" w:hAnsiTheme="minorHAnsi" w:cs="Times New Roman"/>
                <w:sz w:val="22"/>
                <w:szCs w:val="22"/>
              </w:rPr>
              <w:t xml:space="preserve">man </w:t>
            </w:r>
            <w:r w:rsidR="002154CB">
              <w:rPr>
                <w:rFonts w:asciiTheme="minorHAnsi" w:hAnsiTheme="minorHAnsi" w:cs="Times New Roman"/>
                <w:sz w:val="22"/>
                <w:szCs w:val="22"/>
              </w:rPr>
              <w:t>rights</w:t>
            </w:r>
            <w:r w:rsidR="0091440D">
              <w:rPr>
                <w:rFonts w:asciiTheme="minorHAnsi" w:hAnsiTheme="minorHAnsi" w:cs="Times New Roman"/>
                <w:sz w:val="22"/>
                <w:szCs w:val="22"/>
              </w:rPr>
              <w:t xml:space="preserve"> violations. </w:t>
            </w:r>
            <w:r w:rsidR="00183415">
              <w:rPr>
                <w:rFonts w:asciiTheme="minorHAnsi" w:hAnsiTheme="minorHAnsi" w:cs="Times New Roman"/>
                <w:sz w:val="22"/>
                <w:szCs w:val="22"/>
              </w:rPr>
              <w:t xml:space="preserve">The Canadian government expects </w:t>
            </w:r>
            <w:r w:rsidR="0018341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the </w:t>
            </w:r>
            <w:r w:rsidR="006A1668">
              <w:rPr>
                <w:rFonts w:asciiTheme="minorHAnsi" w:hAnsiTheme="minorHAnsi" w:cs="Times New Roman"/>
                <w:sz w:val="22"/>
                <w:szCs w:val="22"/>
              </w:rPr>
              <w:t xml:space="preserve">ESF to be most rigorous in these cases. The World Bank must ensure that no harm is done. </w:t>
            </w:r>
          </w:p>
          <w:p w14:paraId="539EEE87" w14:textId="05755B72" w:rsidR="001E3DAC" w:rsidRDefault="006F35B2" w:rsidP="006F35B2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Participants suggested l</w:t>
            </w:r>
            <w:r w:rsidR="001E3DAC" w:rsidRPr="00492CEE">
              <w:rPr>
                <w:rFonts w:asciiTheme="minorHAnsi" w:hAnsiTheme="minorHAnsi"/>
                <w:sz w:val="22"/>
                <w:szCs w:val="22"/>
              </w:rPr>
              <w:t xml:space="preserve">imited references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1E3DAC" w:rsidRPr="00492CEE">
              <w:rPr>
                <w:rFonts w:asciiTheme="minorHAnsi" w:hAnsiTheme="minorHAnsi"/>
                <w:sz w:val="22"/>
                <w:szCs w:val="22"/>
              </w:rPr>
              <w:t xml:space="preserve">main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international </w:t>
            </w:r>
            <w:r w:rsidR="001E3DAC" w:rsidRPr="00492CEE">
              <w:rPr>
                <w:rFonts w:asciiTheme="minorHAnsi" w:hAnsiTheme="minorHAnsi"/>
                <w:sz w:val="22"/>
                <w:szCs w:val="22"/>
              </w:rPr>
              <w:t>human rights treaties</w:t>
            </w:r>
            <w:r w:rsidR="00CB268E">
              <w:rPr>
                <w:rFonts w:asciiTheme="minorHAnsi" w:hAnsiTheme="minorHAnsi"/>
                <w:sz w:val="22"/>
                <w:szCs w:val="22"/>
              </w:rPr>
              <w:t xml:space="preserve">, including the </w:t>
            </w:r>
            <w:r w:rsidR="00CB268E">
              <w:rPr>
                <w:rFonts w:asciiTheme="minorHAnsi" w:hAnsiTheme="minorHAnsi" w:cs="Times New Roman"/>
                <w:sz w:val="22"/>
                <w:szCs w:val="22"/>
              </w:rPr>
              <w:t xml:space="preserve">United Nations’ Guiding Principles on Business and </w:t>
            </w:r>
            <w:r w:rsidR="002154CB">
              <w:rPr>
                <w:rFonts w:asciiTheme="minorHAnsi" w:hAnsiTheme="minorHAnsi" w:cs="Times New Roman"/>
                <w:sz w:val="22"/>
                <w:szCs w:val="22"/>
              </w:rPr>
              <w:t>Human</w:t>
            </w:r>
            <w:r w:rsidR="00CB268E">
              <w:rPr>
                <w:rFonts w:asciiTheme="minorHAnsi" w:hAnsiTheme="minorHAnsi" w:cs="Times New Roman"/>
                <w:sz w:val="22"/>
                <w:szCs w:val="22"/>
              </w:rPr>
              <w:t xml:space="preserve"> Rights,</w:t>
            </w:r>
            <w:r w:rsidR="001E3DAC" w:rsidRPr="00492CEE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1E3DAC" w:rsidRPr="00492CEE">
              <w:rPr>
                <w:rFonts w:asciiTheme="minorHAnsi" w:hAnsiTheme="minorHAnsi"/>
                <w:sz w:val="22"/>
                <w:szCs w:val="22"/>
              </w:rPr>
              <w:t>nearly universally ratified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International Labor Organization (</w:t>
            </w:r>
            <w:r w:rsidR="001E3DAC" w:rsidRPr="00492CEE">
              <w:rPr>
                <w:rFonts w:asciiTheme="minorHAnsi" w:hAnsiTheme="minorHAnsi"/>
                <w:sz w:val="22"/>
                <w:szCs w:val="22"/>
              </w:rPr>
              <w:t>ILO</w:t>
            </w:r>
            <w:r>
              <w:rPr>
                <w:rFonts w:asciiTheme="minorHAnsi" w:hAnsiTheme="minorHAnsi"/>
                <w:sz w:val="22"/>
                <w:szCs w:val="22"/>
              </w:rPr>
              <w:t>) conventions</w:t>
            </w:r>
            <w:r w:rsidR="001E3DAC" w:rsidRPr="00492CEE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3DCE0D53" w14:textId="69D7DA2B" w:rsidR="005D3E14" w:rsidRPr="005D3E14" w:rsidRDefault="005D3E14" w:rsidP="005D3E14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Human rights can be promoted at the </w:t>
            </w:r>
            <w:r w:rsidRPr="00492CEE">
              <w:rPr>
                <w:rFonts w:asciiTheme="minorHAnsi" w:hAnsiTheme="minorHAnsi"/>
                <w:sz w:val="22"/>
                <w:szCs w:val="22"/>
              </w:rPr>
              <w:t>budget support level (</w:t>
            </w:r>
            <w:r>
              <w:rPr>
                <w:rFonts w:asciiTheme="minorHAnsi" w:hAnsiTheme="minorHAnsi"/>
                <w:sz w:val="22"/>
                <w:szCs w:val="22"/>
              </w:rPr>
              <w:t>Development Policy Lending</w:t>
            </w:r>
            <w:r w:rsidRPr="00492CEE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941C03" w:rsidRPr="00E8726F" w14:paraId="4134D2AF" w14:textId="77777777" w:rsidTr="002C093B">
        <w:tblPrEx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13320" w:type="dxa"/>
            <w:shd w:val="clear" w:color="auto" w:fill="DBE5F1" w:themeFill="accent1" w:themeFillTint="33"/>
          </w:tcPr>
          <w:p w14:paraId="0E969091" w14:textId="77777777" w:rsidR="00941C03" w:rsidRPr="00E8726F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b/>
                <w:bCs/>
                <w:sz w:val="22"/>
                <w:szCs w:val="22"/>
              </w:rPr>
            </w:pPr>
            <w:r w:rsidRPr="00E8726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lastRenderedPageBreak/>
              <w:t>World Bank Environmental and Social Policy</w:t>
            </w:r>
          </w:p>
        </w:tc>
      </w:tr>
      <w:tr w:rsidR="002E23E9" w:rsidRPr="00E8726F" w14:paraId="2216FA8A" w14:textId="77777777" w:rsidTr="008B074D">
        <w:trPr>
          <w:trHeight w:val="422"/>
        </w:trPr>
        <w:tc>
          <w:tcPr>
            <w:tcW w:w="13320" w:type="dxa"/>
            <w:shd w:val="clear" w:color="auto" w:fill="auto"/>
          </w:tcPr>
          <w:p w14:paraId="22834C68" w14:textId="144760F7" w:rsidR="002E23E9" w:rsidRPr="000A6D7F" w:rsidRDefault="003E6F4E" w:rsidP="00D205EA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Consultation participants</w:t>
            </w:r>
            <w:r w:rsidR="00325F08">
              <w:rPr>
                <w:rFonts w:asciiTheme="minorHAnsi" w:hAnsiTheme="minorHAnsi"/>
                <w:sz w:val="22"/>
                <w:szCs w:val="22"/>
              </w:rPr>
              <w:t xml:space="preserve"> criticized the exclusion of Development Policy Lending (DPL) and Program for Results (PforR) lending as well as the fact th</w:t>
            </w:r>
            <w:r w:rsidR="00C63B2F">
              <w:rPr>
                <w:rFonts w:asciiTheme="minorHAnsi" w:hAnsiTheme="minorHAnsi"/>
                <w:sz w:val="22"/>
                <w:szCs w:val="22"/>
              </w:rPr>
              <w:t>at the prop</w:t>
            </w:r>
            <w:r w:rsidR="000A6D7F">
              <w:rPr>
                <w:rFonts w:asciiTheme="minorHAnsi" w:hAnsiTheme="minorHAnsi"/>
                <w:sz w:val="22"/>
                <w:szCs w:val="22"/>
              </w:rPr>
              <w:t xml:space="preserve">osed ESF does not apply to MIGA, </w:t>
            </w:r>
            <w:r w:rsidR="00C63B2F">
              <w:rPr>
                <w:rFonts w:asciiTheme="minorHAnsi" w:hAnsiTheme="minorHAnsi"/>
                <w:sz w:val="22"/>
                <w:szCs w:val="22"/>
              </w:rPr>
              <w:t>IFC</w:t>
            </w:r>
            <w:r w:rsidR="000A6D7F">
              <w:rPr>
                <w:rFonts w:asciiTheme="minorHAnsi" w:hAnsiTheme="minorHAnsi"/>
                <w:sz w:val="22"/>
                <w:szCs w:val="22"/>
              </w:rPr>
              <w:t>, and Trust Funds</w:t>
            </w:r>
            <w:r w:rsidR="00C63B2F">
              <w:rPr>
                <w:rFonts w:asciiTheme="minorHAnsi" w:hAnsiTheme="minorHAnsi"/>
                <w:sz w:val="22"/>
                <w:szCs w:val="22"/>
              </w:rPr>
              <w:t>. This results in the exclusion of a si</w:t>
            </w:r>
            <w:r w:rsidR="00CD3B2B" w:rsidRPr="00492CEE">
              <w:rPr>
                <w:rFonts w:asciiTheme="minorHAnsi" w:hAnsiTheme="minorHAnsi"/>
                <w:sz w:val="22"/>
                <w:szCs w:val="22"/>
              </w:rPr>
              <w:t xml:space="preserve">gnificant percentage of the </w:t>
            </w:r>
            <w:r w:rsidR="00C63B2F">
              <w:rPr>
                <w:rFonts w:asciiTheme="minorHAnsi" w:hAnsiTheme="minorHAnsi"/>
                <w:sz w:val="22"/>
                <w:szCs w:val="22"/>
              </w:rPr>
              <w:t xml:space="preserve">World </w:t>
            </w:r>
            <w:r w:rsidR="00CD3B2B" w:rsidRPr="00492CEE">
              <w:rPr>
                <w:rFonts w:asciiTheme="minorHAnsi" w:hAnsiTheme="minorHAnsi"/>
                <w:sz w:val="22"/>
                <w:szCs w:val="22"/>
              </w:rPr>
              <w:t>Bank’s portfolio.</w:t>
            </w:r>
            <w:r w:rsidR="00992BC7">
              <w:rPr>
                <w:rFonts w:asciiTheme="minorHAnsi" w:hAnsiTheme="minorHAnsi"/>
                <w:sz w:val="22"/>
                <w:szCs w:val="22"/>
              </w:rPr>
              <w:t xml:space="preserve"> Harmonization should be </w:t>
            </w:r>
            <w:r w:rsidR="00CD3B2B" w:rsidRPr="00492CEE">
              <w:rPr>
                <w:rFonts w:asciiTheme="minorHAnsi" w:hAnsiTheme="minorHAnsi"/>
                <w:sz w:val="22"/>
                <w:szCs w:val="22"/>
              </w:rPr>
              <w:t>ensure</w:t>
            </w:r>
            <w:r w:rsidR="00992BC7">
              <w:rPr>
                <w:rFonts w:asciiTheme="minorHAnsi" w:hAnsiTheme="minorHAnsi"/>
                <w:sz w:val="22"/>
                <w:szCs w:val="22"/>
              </w:rPr>
              <w:t>d</w:t>
            </w:r>
            <w:r w:rsidR="00CD3B2B" w:rsidRPr="00492CEE">
              <w:rPr>
                <w:rFonts w:asciiTheme="minorHAnsi" w:hAnsiTheme="minorHAnsi"/>
                <w:sz w:val="22"/>
                <w:szCs w:val="22"/>
              </w:rPr>
              <w:t xml:space="preserve"> across the areas that are not covered</w:t>
            </w:r>
            <w:r w:rsidR="00992BC7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CD3B2B" w:rsidRPr="00492CEE">
              <w:rPr>
                <w:rFonts w:asciiTheme="minorHAnsi" w:hAnsiTheme="minorHAnsi"/>
                <w:sz w:val="22"/>
                <w:szCs w:val="22"/>
              </w:rPr>
              <w:t>have a different set of standards</w:t>
            </w:r>
            <w:r w:rsidR="00992BC7">
              <w:rPr>
                <w:rFonts w:asciiTheme="minorHAnsi" w:hAnsiTheme="minorHAnsi"/>
                <w:sz w:val="22"/>
                <w:szCs w:val="22"/>
              </w:rPr>
              <w:t xml:space="preserve">. There needs to be an </w:t>
            </w:r>
            <w:r w:rsidR="00CD3B2B" w:rsidRPr="00492CEE">
              <w:rPr>
                <w:rFonts w:asciiTheme="minorHAnsi" w:hAnsiTheme="minorHAnsi"/>
                <w:sz w:val="22"/>
                <w:szCs w:val="22"/>
              </w:rPr>
              <w:t xml:space="preserve">assurance that protections </w:t>
            </w:r>
            <w:r w:rsidR="00992BC7">
              <w:rPr>
                <w:rFonts w:asciiTheme="minorHAnsi" w:hAnsiTheme="minorHAnsi"/>
                <w:sz w:val="22"/>
                <w:szCs w:val="22"/>
              </w:rPr>
              <w:t xml:space="preserve">provided </w:t>
            </w:r>
            <w:r w:rsidR="00CD3B2B" w:rsidRPr="00492CEE">
              <w:rPr>
                <w:rFonts w:asciiTheme="minorHAnsi" w:hAnsiTheme="minorHAnsi"/>
                <w:sz w:val="22"/>
                <w:szCs w:val="22"/>
              </w:rPr>
              <w:t>are similar and</w:t>
            </w:r>
            <w:r w:rsidR="00D205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2BC7">
              <w:rPr>
                <w:rFonts w:asciiTheme="minorHAnsi" w:hAnsiTheme="minorHAnsi"/>
                <w:sz w:val="22"/>
                <w:szCs w:val="22"/>
              </w:rPr>
              <w:t xml:space="preserve">that </w:t>
            </w:r>
            <w:r w:rsidR="00CD3B2B" w:rsidRPr="00492CEE">
              <w:rPr>
                <w:rFonts w:asciiTheme="minorHAnsi" w:hAnsiTheme="minorHAnsi"/>
                <w:sz w:val="22"/>
                <w:szCs w:val="22"/>
              </w:rPr>
              <w:t xml:space="preserve">other lines of </w:t>
            </w:r>
            <w:r w:rsidR="00992BC7">
              <w:rPr>
                <w:rFonts w:asciiTheme="minorHAnsi" w:hAnsiTheme="minorHAnsi"/>
                <w:sz w:val="22"/>
                <w:szCs w:val="22"/>
              </w:rPr>
              <w:t xml:space="preserve">World Bank </w:t>
            </w:r>
            <w:r w:rsidR="00CD3B2B" w:rsidRPr="00492CEE">
              <w:rPr>
                <w:rFonts w:asciiTheme="minorHAnsi" w:hAnsiTheme="minorHAnsi"/>
                <w:sz w:val="22"/>
                <w:szCs w:val="22"/>
              </w:rPr>
              <w:t xml:space="preserve">business do no harm. </w:t>
            </w:r>
          </w:p>
        </w:tc>
      </w:tr>
      <w:tr w:rsidR="00173E2F" w:rsidRPr="00E8726F" w14:paraId="2D6BC0A5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669641EB" w14:textId="77777777" w:rsidR="00173E2F" w:rsidRPr="00E8726F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sz w:val="22"/>
                <w:szCs w:val="22"/>
              </w:rPr>
              <w:t xml:space="preserve"> </w:t>
            </w: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1 (ESS1): Assessment and Management of Environmental and Social Risks and Impacts</w:t>
            </w:r>
          </w:p>
        </w:tc>
      </w:tr>
      <w:tr w:rsidR="002E23E9" w:rsidRPr="00E8726F" w14:paraId="7EF1F45F" w14:textId="77777777" w:rsidTr="008B074D">
        <w:trPr>
          <w:trHeight w:val="413"/>
        </w:trPr>
        <w:tc>
          <w:tcPr>
            <w:tcW w:w="13320" w:type="dxa"/>
            <w:shd w:val="clear" w:color="auto" w:fill="auto"/>
          </w:tcPr>
          <w:p w14:paraId="2192C932" w14:textId="77777777" w:rsidR="003D6B14" w:rsidRDefault="00816D55" w:rsidP="007E7C97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85902">
              <w:rPr>
                <w:rFonts w:asciiTheme="minorHAnsi" w:hAnsiTheme="minorHAnsi"/>
                <w:sz w:val="22"/>
                <w:szCs w:val="22"/>
              </w:rPr>
              <w:t>Participants</w:t>
            </w:r>
            <w:r w:rsidR="009B0C90" w:rsidRPr="00985902">
              <w:rPr>
                <w:rFonts w:asciiTheme="minorHAnsi" w:hAnsiTheme="minorHAnsi"/>
                <w:sz w:val="22"/>
                <w:szCs w:val="22"/>
              </w:rPr>
              <w:t xml:space="preserve"> discussed the proposed adaptive risk management. </w:t>
            </w:r>
            <w:r w:rsidR="00985902">
              <w:rPr>
                <w:rFonts w:asciiTheme="minorHAnsi" w:hAnsiTheme="minorHAnsi"/>
                <w:sz w:val="22"/>
                <w:szCs w:val="22"/>
              </w:rPr>
              <w:t>It was pointed out that e</w:t>
            </w:r>
            <w:r w:rsidR="0086217D" w:rsidRPr="00985902">
              <w:rPr>
                <w:rFonts w:asciiTheme="minorHAnsi" w:hAnsiTheme="minorHAnsi"/>
                <w:sz w:val="22"/>
                <w:szCs w:val="22"/>
              </w:rPr>
              <w:t xml:space="preserve">specially with regard to resettlement it is relevant to know all effects before the decision to finance a </w:t>
            </w:r>
            <w:r w:rsidR="002154CB" w:rsidRPr="00985902">
              <w:rPr>
                <w:rFonts w:asciiTheme="minorHAnsi" w:hAnsiTheme="minorHAnsi"/>
                <w:sz w:val="22"/>
                <w:szCs w:val="22"/>
              </w:rPr>
              <w:t>project</w:t>
            </w:r>
            <w:r w:rsidR="0086217D" w:rsidRPr="00985902">
              <w:rPr>
                <w:rFonts w:asciiTheme="minorHAnsi" w:hAnsiTheme="minorHAnsi"/>
                <w:sz w:val="22"/>
                <w:szCs w:val="22"/>
              </w:rPr>
              <w:t xml:space="preserve"> is made. </w:t>
            </w:r>
          </w:p>
          <w:p w14:paraId="01340157" w14:textId="173D3FEF" w:rsidR="00CD3B2B" w:rsidRPr="00985902" w:rsidRDefault="003D18EB" w:rsidP="007E7C97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85902">
              <w:rPr>
                <w:rFonts w:asciiTheme="minorHAnsi" w:hAnsiTheme="minorHAnsi"/>
                <w:sz w:val="22"/>
                <w:szCs w:val="22"/>
              </w:rPr>
              <w:t xml:space="preserve">The Board should have a role </w:t>
            </w:r>
            <w:r w:rsidR="00CD3B2B" w:rsidRPr="00985902">
              <w:rPr>
                <w:rFonts w:asciiTheme="minorHAnsi" w:hAnsiTheme="minorHAnsi"/>
                <w:sz w:val="22"/>
                <w:szCs w:val="22"/>
              </w:rPr>
              <w:t>further down the road when there is more clarity about</w:t>
            </w:r>
            <w:r w:rsidRPr="00985902">
              <w:rPr>
                <w:rFonts w:asciiTheme="minorHAnsi" w:hAnsiTheme="minorHAnsi"/>
                <w:sz w:val="22"/>
                <w:szCs w:val="22"/>
              </w:rPr>
              <w:t xml:space="preserve"> projects impacts of </w:t>
            </w:r>
            <w:r w:rsidR="00CD3B2B" w:rsidRPr="00985902">
              <w:rPr>
                <w:rFonts w:asciiTheme="minorHAnsi" w:hAnsiTheme="minorHAnsi"/>
                <w:sz w:val="22"/>
                <w:szCs w:val="22"/>
              </w:rPr>
              <w:t>resettlement</w:t>
            </w:r>
            <w:r w:rsidRPr="0098590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C54FAF" w14:textId="238BC381" w:rsidR="003519A2" w:rsidRPr="00492CEE" w:rsidRDefault="003519A2" w:rsidP="003519A2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Canada’s O</w:t>
            </w:r>
            <w:r w:rsidRPr="003D7888">
              <w:rPr>
                <w:rFonts w:asciiTheme="minorHAnsi" w:hAnsiTheme="minorHAnsi"/>
                <w:sz w:val="22"/>
                <w:szCs w:val="22"/>
              </w:rPr>
              <w:t>fficial Development Assistance Accountability Act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requires human rights impact assessments for projects. The World Bank’s risk </w:t>
            </w:r>
            <w:r w:rsidRPr="00492CEE">
              <w:rPr>
                <w:rFonts w:asciiTheme="minorHAnsi" w:hAnsiTheme="minorHAnsi"/>
                <w:sz w:val="22"/>
                <w:szCs w:val="22"/>
              </w:rPr>
              <w:t xml:space="preserve">assessment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therefore </w:t>
            </w:r>
            <w:r w:rsidRPr="00492CEE">
              <w:rPr>
                <w:rFonts w:asciiTheme="minorHAnsi" w:hAnsiTheme="minorHAnsi"/>
                <w:sz w:val="22"/>
                <w:szCs w:val="22"/>
              </w:rPr>
              <w:t>need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492CEE">
              <w:rPr>
                <w:rFonts w:asciiTheme="minorHAnsi" w:hAnsiTheme="minorHAnsi"/>
                <w:sz w:val="22"/>
                <w:szCs w:val="22"/>
              </w:rPr>
              <w:t xml:space="preserve"> to be consistent with international human rights standards. </w:t>
            </w:r>
          </w:p>
          <w:p w14:paraId="4841CEAD" w14:textId="22807D46" w:rsidR="00CD3B2B" w:rsidRDefault="00EE187F" w:rsidP="00CD3B2B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Borrowers’ frameworks are being used for risk assessment, </w:t>
            </w:r>
            <w:r w:rsidR="00564E17">
              <w:rPr>
                <w:rFonts w:asciiTheme="minorHAnsi" w:hAnsiTheme="minorHAnsi"/>
                <w:sz w:val="22"/>
                <w:szCs w:val="22"/>
              </w:rPr>
              <w:t xml:space="preserve">the World Bank should first </w:t>
            </w:r>
            <w:r w:rsidR="00CD3B2B" w:rsidRPr="00492CEE">
              <w:rPr>
                <w:rFonts w:asciiTheme="minorHAnsi" w:hAnsiTheme="minorHAnsi"/>
                <w:sz w:val="22"/>
                <w:szCs w:val="22"/>
              </w:rPr>
              <w:t xml:space="preserve">review </w:t>
            </w:r>
            <w:r w:rsidR="00564E17">
              <w:rPr>
                <w:rFonts w:asciiTheme="minorHAnsi" w:hAnsiTheme="minorHAnsi"/>
                <w:sz w:val="22"/>
                <w:szCs w:val="22"/>
              </w:rPr>
              <w:t xml:space="preserve">existing </w:t>
            </w:r>
            <w:r w:rsidR="00CD3B2B" w:rsidRPr="00492CEE">
              <w:rPr>
                <w:rFonts w:asciiTheme="minorHAnsi" w:hAnsiTheme="minorHAnsi"/>
                <w:sz w:val="22"/>
                <w:szCs w:val="22"/>
              </w:rPr>
              <w:t xml:space="preserve">systems </w:t>
            </w:r>
            <w:r w:rsidR="00564E17">
              <w:rPr>
                <w:rFonts w:asciiTheme="minorHAnsi" w:hAnsiTheme="minorHAnsi"/>
                <w:sz w:val="22"/>
                <w:szCs w:val="22"/>
              </w:rPr>
              <w:t xml:space="preserve">to establish </w:t>
            </w:r>
            <w:r w:rsidR="00CD3B2B" w:rsidRPr="00492CEE">
              <w:rPr>
                <w:rFonts w:asciiTheme="minorHAnsi" w:hAnsiTheme="minorHAnsi"/>
                <w:sz w:val="22"/>
                <w:szCs w:val="22"/>
              </w:rPr>
              <w:t xml:space="preserve">whether they are acceptable </w:t>
            </w:r>
            <w:r w:rsidR="00564E17">
              <w:rPr>
                <w:rFonts w:asciiTheme="minorHAnsi" w:hAnsiTheme="minorHAnsi"/>
                <w:sz w:val="22"/>
                <w:szCs w:val="22"/>
              </w:rPr>
              <w:t xml:space="preserve">and would uphold the World Bank’s standards. </w:t>
            </w:r>
            <w:r w:rsidR="00E30562">
              <w:rPr>
                <w:rFonts w:asciiTheme="minorHAnsi" w:hAnsiTheme="minorHAnsi"/>
                <w:sz w:val="22"/>
                <w:szCs w:val="22"/>
              </w:rPr>
              <w:t>The Bank’s provisions should be implemented to compensate for any shortcomings in Borrower frameworks. Any agreement with the</w:t>
            </w:r>
            <w:r w:rsidR="00CD3B2B" w:rsidRPr="00492C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30562">
              <w:rPr>
                <w:rFonts w:asciiTheme="minorHAnsi" w:hAnsiTheme="minorHAnsi"/>
                <w:sz w:val="22"/>
                <w:szCs w:val="22"/>
              </w:rPr>
              <w:t xml:space="preserve">Borrower about the use of their systems needs to be transparent. </w:t>
            </w:r>
          </w:p>
          <w:p w14:paraId="6AE25F48" w14:textId="41E5EB4A" w:rsidR="002E4DBC" w:rsidRDefault="001B7C9C" w:rsidP="002E4DBC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51DF8">
              <w:rPr>
                <w:rFonts w:asciiTheme="minorHAnsi" w:hAnsiTheme="minorHAnsi"/>
                <w:sz w:val="22"/>
                <w:szCs w:val="22"/>
              </w:rPr>
              <w:t xml:space="preserve">The ESF needs more and clearer information on </w:t>
            </w:r>
            <w:r w:rsidR="000F219A" w:rsidRPr="00A51DF8">
              <w:rPr>
                <w:rFonts w:asciiTheme="minorHAnsi" w:hAnsiTheme="minorHAnsi"/>
                <w:sz w:val="22"/>
                <w:szCs w:val="22"/>
              </w:rPr>
              <w:t>Fragile and Conflict Situations (FCS)</w:t>
            </w:r>
            <w:r w:rsidRPr="00A51DF8">
              <w:rPr>
                <w:rFonts w:asciiTheme="minorHAnsi" w:hAnsiTheme="minorHAnsi"/>
                <w:sz w:val="22"/>
                <w:szCs w:val="22"/>
              </w:rPr>
              <w:t>. Requirements for FCS</w:t>
            </w:r>
            <w:r w:rsidR="000F219A" w:rsidRPr="00A51DF8">
              <w:rPr>
                <w:rFonts w:asciiTheme="minorHAnsi" w:hAnsiTheme="minorHAnsi"/>
                <w:sz w:val="22"/>
                <w:szCs w:val="22"/>
              </w:rPr>
              <w:t xml:space="preserve"> should include more and targeted due diligence, not less due diligence. </w:t>
            </w:r>
            <w:r w:rsidR="00A51DF8" w:rsidRPr="00A51DF8">
              <w:rPr>
                <w:rFonts w:asciiTheme="minorHAnsi" w:hAnsiTheme="minorHAnsi"/>
                <w:sz w:val="22"/>
                <w:szCs w:val="22"/>
              </w:rPr>
              <w:t xml:space="preserve">The ESF should </w:t>
            </w:r>
            <w:r w:rsidR="002154CB" w:rsidRPr="00A51DF8">
              <w:rPr>
                <w:rFonts w:asciiTheme="minorHAnsi" w:hAnsiTheme="minorHAnsi"/>
                <w:sz w:val="22"/>
                <w:szCs w:val="22"/>
              </w:rPr>
              <w:t>distinguish</w:t>
            </w:r>
            <w:r w:rsidR="00CD3B2B" w:rsidRPr="00A51DF8">
              <w:rPr>
                <w:rFonts w:asciiTheme="minorHAnsi" w:hAnsiTheme="minorHAnsi"/>
                <w:sz w:val="22"/>
                <w:szCs w:val="22"/>
              </w:rPr>
              <w:t xml:space="preserve"> between emergencies/natural disasters </w:t>
            </w:r>
            <w:r w:rsidR="00A51DF8">
              <w:rPr>
                <w:rFonts w:asciiTheme="minorHAnsi" w:hAnsiTheme="minorHAnsi"/>
                <w:sz w:val="22"/>
                <w:szCs w:val="22"/>
              </w:rPr>
              <w:t xml:space="preserve">on the one hand, and </w:t>
            </w:r>
            <w:r w:rsidR="00CD3B2B" w:rsidRPr="00A51DF8">
              <w:rPr>
                <w:rFonts w:asciiTheme="minorHAnsi" w:hAnsiTheme="minorHAnsi"/>
                <w:sz w:val="22"/>
                <w:szCs w:val="22"/>
              </w:rPr>
              <w:t>FCS</w:t>
            </w:r>
            <w:r w:rsidR="00A51DF8">
              <w:rPr>
                <w:rFonts w:asciiTheme="minorHAnsi" w:hAnsiTheme="minorHAnsi"/>
                <w:sz w:val="22"/>
                <w:szCs w:val="22"/>
              </w:rPr>
              <w:t xml:space="preserve"> on the other hand</w:t>
            </w:r>
            <w:r w:rsidR="00CD3B2B" w:rsidRPr="00A51DF8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E59D3">
              <w:rPr>
                <w:rFonts w:asciiTheme="minorHAnsi" w:hAnsiTheme="minorHAnsi"/>
                <w:sz w:val="22"/>
                <w:szCs w:val="22"/>
              </w:rPr>
              <w:t xml:space="preserve">In some countries, adequate risk assessment and management systems may be in place after natural disasters, while capacity in FCS may be low. </w:t>
            </w:r>
          </w:p>
          <w:p w14:paraId="695CB3A1" w14:textId="5E76915C" w:rsidR="00CD3B2B" w:rsidRPr="002E4DBC" w:rsidRDefault="003176B1" w:rsidP="00CD3B2B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 Board scrutiny is mi</w:t>
            </w:r>
            <w:r w:rsidR="002E4DBC" w:rsidRPr="002E4DBC">
              <w:rPr>
                <w:rFonts w:asciiTheme="minorHAnsi" w:hAnsiTheme="minorHAnsi"/>
                <w:sz w:val="22"/>
                <w:szCs w:val="22"/>
              </w:rPr>
              <w:t xml:space="preserve">ssing during project implementation, shareholders must be able to trust the World Bank. That requires adequate resources </w:t>
            </w:r>
            <w:r w:rsidR="00CD3B2B" w:rsidRPr="002E4DBC">
              <w:rPr>
                <w:rFonts w:asciiTheme="minorHAnsi" w:hAnsiTheme="minorHAnsi"/>
                <w:sz w:val="22"/>
                <w:szCs w:val="22"/>
              </w:rPr>
              <w:t>for monitoring, supervision, and oversight</w:t>
            </w:r>
            <w:r w:rsidR="00CA7472">
              <w:rPr>
                <w:rFonts w:asciiTheme="minorHAnsi" w:hAnsiTheme="minorHAnsi"/>
                <w:sz w:val="22"/>
                <w:szCs w:val="22"/>
              </w:rPr>
              <w:t xml:space="preserve">. Consultation participants expressed concern that these activities are not </w:t>
            </w:r>
            <w:r w:rsidR="00CD3B2B" w:rsidRPr="002E4DBC">
              <w:rPr>
                <w:rFonts w:asciiTheme="minorHAnsi" w:hAnsiTheme="minorHAnsi"/>
                <w:sz w:val="22"/>
                <w:szCs w:val="22"/>
              </w:rPr>
              <w:t xml:space="preserve">a primary </w:t>
            </w:r>
            <w:r w:rsidR="00CA7472">
              <w:rPr>
                <w:rFonts w:asciiTheme="minorHAnsi" w:hAnsiTheme="minorHAnsi"/>
                <w:sz w:val="22"/>
                <w:szCs w:val="22"/>
              </w:rPr>
              <w:t xml:space="preserve">motivation for World </w:t>
            </w:r>
            <w:r w:rsidR="00CD3B2B" w:rsidRPr="002E4DBC">
              <w:rPr>
                <w:rFonts w:asciiTheme="minorHAnsi" w:hAnsiTheme="minorHAnsi"/>
                <w:sz w:val="22"/>
                <w:szCs w:val="22"/>
              </w:rPr>
              <w:t xml:space="preserve">Bank staff, </w:t>
            </w:r>
            <w:r w:rsidR="00CA7472">
              <w:rPr>
                <w:rFonts w:asciiTheme="minorHAnsi" w:hAnsiTheme="minorHAnsi"/>
                <w:sz w:val="22"/>
                <w:szCs w:val="22"/>
              </w:rPr>
              <w:t xml:space="preserve">who need more incentives for monitoring and supervision rather than for closing on loans. </w:t>
            </w:r>
          </w:p>
          <w:p w14:paraId="246429B7" w14:textId="27CD0B75" w:rsidR="00CD3B2B" w:rsidRDefault="00015583" w:rsidP="00CD3B2B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Borrowers will only be able to carry the burden of increased monitoring if they share the World Bank’s commitment with regard to safeguards. The World Bank must </w:t>
            </w:r>
            <w:r w:rsidR="00CD3B2B" w:rsidRPr="00492CEE">
              <w:rPr>
                <w:rFonts w:asciiTheme="minorHAnsi" w:hAnsiTheme="minorHAnsi"/>
                <w:sz w:val="22"/>
                <w:szCs w:val="22"/>
              </w:rPr>
              <w:t xml:space="preserve">address situations where there is no commitment </w:t>
            </w:r>
            <w:r w:rsidR="00E378E1">
              <w:rPr>
                <w:rFonts w:asciiTheme="minorHAnsi" w:hAnsiTheme="minorHAnsi"/>
                <w:sz w:val="22"/>
                <w:szCs w:val="22"/>
              </w:rPr>
              <w:t xml:space="preserve">from the Borrower </w:t>
            </w:r>
            <w:r w:rsidR="00CD3B2B" w:rsidRPr="00492CEE">
              <w:rPr>
                <w:rFonts w:asciiTheme="minorHAnsi" w:hAnsiTheme="minorHAnsi"/>
                <w:sz w:val="22"/>
                <w:szCs w:val="22"/>
              </w:rPr>
              <w:t xml:space="preserve">or </w:t>
            </w:r>
            <w:r w:rsidR="000A78BD">
              <w:rPr>
                <w:rFonts w:asciiTheme="minorHAnsi" w:hAnsiTheme="minorHAnsi"/>
                <w:sz w:val="22"/>
                <w:szCs w:val="22"/>
              </w:rPr>
              <w:t xml:space="preserve">even </w:t>
            </w:r>
            <w:r w:rsidR="00CD3B2B" w:rsidRPr="00492CEE">
              <w:rPr>
                <w:rFonts w:asciiTheme="minorHAnsi" w:hAnsiTheme="minorHAnsi"/>
                <w:sz w:val="22"/>
                <w:szCs w:val="22"/>
              </w:rPr>
              <w:t>actual resistance</w:t>
            </w:r>
            <w:r w:rsidR="000A78BD">
              <w:rPr>
                <w:rFonts w:asciiTheme="minorHAnsi" w:hAnsiTheme="minorHAnsi"/>
                <w:sz w:val="22"/>
                <w:szCs w:val="22"/>
              </w:rPr>
              <w:t xml:space="preserve"> to safeguards</w:t>
            </w:r>
            <w:r w:rsidR="004D6B6C">
              <w:rPr>
                <w:rFonts w:asciiTheme="minorHAnsi" w:hAnsiTheme="minorHAnsi"/>
                <w:sz w:val="22"/>
                <w:szCs w:val="22"/>
              </w:rPr>
              <w:t xml:space="preserve"> and must ensure effective monitoring in those cases.</w:t>
            </w:r>
            <w:r w:rsidR="00CD3B2B" w:rsidRPr="00492C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9CA3F7A" w14:textId="6A7A99FC" w:rsidR="002E23E9" w:rsidRPr="00492CEE" w:rsidRDefault="00875DDF" w:rsidP="00875DDF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 was suggest that there should be i</w:t>
            </w:r>
            <w:r w:rsidR="00CD3B2B" w:rsidRPr="00492CEE">
              <w:rPr>
                <w:rFonts w:asciiTheme="minorHAnsi" w:hAnsiTheme="minorHAnsi"/>
                <w:sz w:val="22"/>
                <w:szCs w:val="22"/>
              </w:rPr>
              <w:t xml:space="preserve">ndependent oversight for staff implementing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safeguards provisions. </w:t>
            </w:r>
          </w:p>
        </w:tc>
      </w:tr>
      <w:tr w:rsidR="002717AA" w:rsidRPr="00E8726F" w14:paraId="58A437B5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2338E48A" w14:textId="77777777" w:rsidR="002717AA" w:rsidRPr="00E8726F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2 (ESS2): Labor and Working Conditions</w:t>
            </w:r>
          </w:p>
        </w:tc>
      </w:tr>
      <w:tr w:rsidR="002E23E9" w:rsidRPr="00E8726F" w14:paraId="456E654C" w14:textId="77777777" w:rsidTr="008B074D">
        <w:trPr>
          <w:trHeight w:val="395"/>
        </w:trPr>
        <w:tc>
          <w:tcPr>
            <w:tcW w:w="13320" w:type="dxa"/>
            <w:shd w:val="clear" w:color="auto" w:fill="auto"/>
          </w:tcPr>
          <w:p w14:paraId="1A0CAAB0" w14:textId="04316C9E" w:rsidR="0092587E" w:rsidRPr="003D7888" w:rsidRDefault="0014363C" w:rsidP="00A56C8F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D7888">
              <w:rPr>
                <w:rFonts w:asciiTheme="minorHAnsi" w:hAnsiTheme="minorHAnsi"/>
                <w:sz w:val="22"/>
                <w:szCs w:val="22"/>
              </w:rPr>
              <w:t xml:space="preserve">Government representatives welcomed that labor provisions are central in the proposed ESF. </w:t>
            </w:r>
            <w:r w:rsidR="00826AD4" w:rsidRPr="003D7888">
              <w:rPr>
                <w:rFonts w:asciiTheme="minorHAnsi" w:hAnsiTheme="minorHAnsi"/>
                <w:sz w:val="22"/>
                <w:szCs w:val="22"/>
              </w:rPr>
              <w:t xml:space="preserve">While the conventions of the International Labor Organizations (ILO) </w:t>
            </w:r>
            <w:r w:rsidR="00A56C8F" w:rsidRPr="003D7888">
              <w:rPr>
                <w:rFonts w:asciiTheme="minorHAnsi" w:hAnsiTheme="minorHAnsi"/>
                <w:sz w:val="22"/>
                <w:szCs w:val="22"/>
              </w:rPr>
              <w:t xml:space="preserve">as well as the Convention for the Rights of Child </w:t>
            </w:r>
            <w:r w:rsidR="00826AD4" w:rsidRPr="003D7888">
              <w:rPr>
                <w:rFonts w:asciiTheme="minorHAnsi" w:hAnsiTheme="minorHAnsi"/>
                <w:sz w:val="22"/>
                <w:szCs w:val="22"/>
              </w:rPr>
              <w:t>are nor directly referenced, the</w:t>
            </w:r>
            <w:r w:rsidR="00B9565A" w:rsidRPr="003D7888">
              <w:rPr>
                <w:rFonts w:asciiTheme="minorHAnsi" w:hAnsiTheme="minorHAnsi"/>
                <w:sz w:val="22"/>
                <w:szCs w:val="22"/>
              </w:rPr>
              <w:t xml:space="preserve"> proposed ESS2 is clearly </w:t>
            </w:r>
            <w:r w:rsidR="00CD3B2B" w:rsidRPr="003D7888">
              <w:rPr>
                <w:rFonts w:asciiTheme="minorHAnsi" w:hAnsiTheme="minorHAnsi"/>
                <w:sz w:val="22"/>
                <w:szCs w:val="22"/>
              </w:rPr>
              <w:t>inspired by those conventions.</w:t>
            </w:r>
            <w:r w:rsidR="0020284E" w:rsidRPr="003D78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7888">
              <w:rPr>
                <w:rFonts w:asciiTheme="minorHAnsi" w:hAnsiTheme="minorHAnsi"/>
                <w:sz w:val="22"/>
                <w:szCs w:val="22"/>
              </w:rPr>
              <w:t xml:space="preserve">Especially the requirements on child labor will be important with regard to </w:t>
            </w:r>
            <w:r w:rsidR="0092587E" w:rsidRPr="003D7888">
              <w:rPr>
                <w:rFonts w:asciiTheme="minorHAnsi" w:hAnsiTheme="minorHAnsi"/>
                <w:sz w:val="22"/>
                <w:szCs w:val="22"/>
              </w:rPr>
              <w:t>Canada’s Official Development Assistance Accountability Act</w:t>
            </w:r>
            <w:r w:rsidR="003D7888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13891" w:rsidRPr="00742E43">
              <w:rPr>
                <w:rFonts w:asciiTheme="minorHAnsi" w:hAnsiTheme="minorHAnsi"/>
                <w:sz w:val="22"/>
                <w:szCs w:val="22"/>
              </w:rPr>
              <w:t xml:space="preserve">ESS2 </w:t>
            </w:r>
            <w:r w:rsidR="00313891">
              <w:rPr>
                <w:rFonts w:asciiTheme="minorHAnsi" w:hAnsiTheme="minorHAnsi"/>
                <w:sz w:val="22"/>
                <w:szCs w:val="22"/>
              </w:rPr>
              <w:t>is well</w:t>
            </w:r>
            <w:r w:rsidR="00313891" w:rsidRPr="00742E43">
              <w:rPr>
                <w:rFonts w:asciiTheme="minorHAnsi" w:hAnsiTheme="minorHAnsi"/>
                <w:sz w:val="22"/>
                <w:szCs w:val="22"/>
              </w:rPr>
              <w:t xml:space="preserve"> timed with </w:t>
            </w:r>
            <w:r w:rsidR="007F23AD">
              <w:rPr>
                <w:rFonts w:asciiTheme="minorHAnsi" w:hAnsiTheme="minorHAnsi"/>
                <w:sz w:val="22"/>
                <w:szCs w:val="22"/>
              </w:rPr>
              <w:t>the p</w:t>
            </w:r>
            <w:r w:rsidR="00313891" w:rsidRPr="00742E43">
              <w:rPr>
                <w:rFonts w:asciiTheme="minorHAnsi" w:hAnsiTheme="minorHAnsi"/>
                <w:sz w:val="22"/>
                <w:szCs w:val="22"/>
              </w:rPr>
              <w:t>ost-2015</w:t>
            </w:r>
            <w:r w:rsidR="007F23AD">
              <w:rPr>
                <w:rFonts w:asciiTheme="minorHAnsi" w:hAnsiTheme="minorHAnsi"/>
                <w:sz w:val="22"/>
                <w:szCs w:val="22"/>
              </w:rPr>
              <w:t xml:space="preserve"> agenda</w:t>
            </w:r>
            <w:r w:rsidR="00313891" w:rsidRPr="00742E4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73C8BD7" w14:textId="72FCF3E8" w:rsidR="00CD3B2B" w:rsidRPr="009B358A" w:rsidRDefault="0020284E" w:rsidP="00A56C8F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B358A">
              <w:rPr>
                <w:rFonts w:asciiTheme="minorHAnsi" w:hAnsiTheme="minorHAnsi"/>
                <w:sz w:val="22"/>
                <w:szCs w:val="22"/>
              </w:rPr>
              <w:t xml:space="preserve">The inclusion of the Occupational Health and Safety Guidelines </w:t>
            </w:r>
            <w:r w:rsidR="00B10393" w:rsidRPr="009B358A">
              <w:rPr>
                <w:rFonts w:asciiTheme="minorHAnsi" w:hAnsiTheme="minorHAnsi"/>
                <w:sz w:val="22"/>
                <w:szCs w:val="22"/>
              </w:rPr>
              <w:t xml:space="preserve">and requirements of adequate compensation was </w:t>
            </w:r>
            <w:r w:rsidR="007927EF" w:rsidRPr="009B358A">
              <w:rPr>
                <w:rFonts w:asciiTheme="minorHAnsi" w:hAnsiTheme="minorHAnsi"/>
                <w:sz w:val="22"/>
                <w:szCs w:val="22"/>
              </w:rPr>
              <w:t xml:space="preserve">also </w:t>
            </w:r>
            <w:r w:rsidR="00B10393" w:rsidRPr="009B358A">
              <w:rPr>
                <w:rFonts w:asciiTheme="minorHAnsi" w:hAnsiTheme="minorHAnsi"/>
                <w:sz w:val="22"/>
                <w:szCs w:val="22"/>
              </w:rPr>
              <w:t>considered</w:t>
            </w:r>
            <w:r w:rsidR="007927EF" w:rsidRPr="009B358A">
              <w:rPr>
                <w:rFonts w:asciiTheme="minorHAnsi" w:hAnsiTheme="minorHAnsi"/>
                <w:sz w:val="22"/>
                <w:szCs w:val="22"/>
              </w:rPr>
              <w:t xml:space="preserve"> a positive aspect of the proposed ESF. </w:t>
            </w:r>
          </w:p>
          <w:p w14:paraId="3E1F8F71" w14:textId="4F39483F" w:rsidR="00B9565A" w:rsidRDefault="00B53E71" w:rsidP="00CD3B2B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grievance mechanism for workers was considered particularly important. The World Bank should consider compensation for workers if ESS2 is violated. </w:t>
            </w:r>
          </w:p>
          <w:p w14:paraId="2EF9EFB9" w14:textId="19AB7B97" w:rsidR="002E23E9" w:rsidRPr="007F23AD" w:rsidRDefault="006D15EB" w:rsidP="007F23AD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The World Bank was asked to be transparent and inclusive when working on guidance for ESS2</w:t>
            </w:r>
            <w:r w:rsidR="00871AE0">
              <w:rPr>
                <w:rFonts w:asciiTheme="minorHAnsi" w:hAnsiTheme="minorHAnsi"/>
                <w:sz w:val="22"/>
                <w:szCs w:val="22"/>
              </w:rPr>
              <w:t xml:space="preserve">, engaging with </w:t>
            </w:r>
            <w:r w:rsidR="00871AE0" w:rsidRPr="00871AE0">
              <w:rPr>
                <w:rFonts w:asciiTheme="minorHAnsi" w:hAnsiTheme="minorHAnsi"/>
                <w:sz w:val="22"/>
                <w:szCs w:val="22"/>
              </w:rPr>
              <w:t>DFATD</w:t>
            </w:r>
            <w:r w:rsidR="00871AE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2A7906" w:rsidRPr="00E8726F" w14:paraId="6B0D6563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3730ED53" w14:textId="668D332F" w:rsidR="002A7906" w:rsidRPr="00E8726F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 xml:space="preserve">Environmental and Social Standard 3 (ESS3): </w:t>
            </w:r>
            <w:r w:rsidR="002154CB"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Resource</w:t>
            </w: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 Efficiency and Pollution Prevention</w:t>
            </w:r>
          </w:p>
        </w:tc>
      </w:tr>
      <w:tr w:rsidR="002E23E9" w:rsidRPr="00E8726F" w14:paraId="5FBC08F4" w14:textId="77777777" w:rsidTr="008B074D">
        <w:trPr>
          <w:trHeight w:val="485"/>
        </w:trPr>
        <w:tc>
          <w:tcPr>
            <w:tcW w:w="13320" w:type="dxa"/>
            <w:shd w:val="clear" w:color="auto" w:fill="auto"/>
          </w:tcPr>
          <w:p w14:paraId="7BF777CE" w14:textId="741CEAF3" w:rsidR="002E23E9" w:rsidRPr="00F11DC0" w:rsidRDefault="007F23AD" w:rsidP="007F23AD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pr</w:t>
            </w:r>
            <w:r w:rsidR="00CD3B2B" w:rsidRPr="00F11DC0">
              <w:rPr>
                <w:rFonts w:asciiTheme="minorHAnsi" w:hAnsiTheme="minorHAnsi"/>
                <w:sz w:val="22"/>
                <w:szCs w:val="22"/>
              </w:rPr>
              <w:t xml:space="preserve">ecautionary approach </w:t>
            </w:r>
            <w:r>
              <w:rPr>
                <w:rFonts w:asciiTheme="minorHAnsi" w:hAnsiTheme="minorHAnsi"/>
                <w:sz w:val="22"/>
                <w:szCs w:val="22"/>
              </w:rPr>
              <w:t>should be clearly</w:t>
            </w:r>
            <w:r w:rsidR="00CD3B2B" w:rsidRPr="00F11DC0">
              <w:rPr>
                <w:rFonts w:asciiTheme="minorHAnsi" w:hAnsiTheme="minorHAnsi"/>
                <w:sz w:val="22"/>
                <w:szCs w:val="22"/>
              </w:rPr>
              <w:t xml:space="preserve"> defined. </w:t>
            </w:r>
          </w:p>
        </w:tc>
      </w:tr>
      <w:tr w:rsidR="00594D12" w:rsidRPr="00E8726F" w14:paraId="4880F186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4BB060DE" w14:textId="77777777" w:rsidR="00594D12" w:rsidRPr="00E8726F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4 (ESS4): Community Health and Safety</w:t>
            </w:r>
          </w:p>
        </w:tc>
      </w:tr>
      <w:tr w:rsidR="002E23E9" w:rsidRPr="00E8726F" w14:paraId="49AC16EF" w14:textId="77777777" w:rsidTr="008B074D">
        <w:trPr>
          <w:trHeight w:val="485"/>
        </w:trPr>
        <w:tc>
          <w:tcPr>
            <w:tcW w:w="13320" w:type="dxa"/>
            <w:shd w:val="clear" w:color="auto" w:fill="auto"/>
          </w:tcPr>
          <w:p w14:paraId="15BE8975" w14:textId="77777777" w:rsidR="002E23E9" w:rsidRPr="00E8726F" w:rsidRDefault="002E23E9" w:rsidP="00E8726F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21FB6" w:rsidRPr="00E8726F" w14:paraId="0376D2EB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69F8A8F6" w14:textId="77777777" w:rsidR="00A21FB6" w:rsidRPr="00E8726F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/>
              <w:rPr>
                <w:rFonts w:asciiTheme="minorHAnsi" w:eastAsia="Batang" w:hAnsiTheme="minorHAnsi"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5 (ESS5): Land Acquisition, Restriction on Land Use and Involuntary Resettlement</w:t>
            </w:r>
          </w:p>
        </w:tc>
      </w:tr>
      <w:tr w:rsidR="002E23E9" w:rsidRPr="00E8726F" w14:paraId="351C97BC" w14:textId="77777777" w:rsidTr="008B074D">
        <w:trPr>
          <w:trHeight w:val="350"/>
        </w:trPr>
        <w:tc>
          <w:tcPr>
            <w:tcW w:w="13320" w:type="dxa"/>
            <w:shd w:val="clear" w:color="auto" w:fill="auto"/>
          </w:tcPr>
          <w:p w14:paraId="008623EB" w14:textId="3155CDD3" w:rsidR="002E23E9" w:rsidRPr="00603450" w:rsidRDefault="002E23E9" w:rsidP="00603450">
            <w:pPr>
              <w:pStyle w:val="ListParagraph"/>
              <w:numPr>
                <w:ilvl w:val="0"/>
                <w:numId w:val="42"/>
              </w:numPr>
              <w:suppressAutoHyphens w:val="0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3E9" w:rsidRPr="00E8726F" w14:paraId="03920985" w14:textId="77777777" w:rsidTr="0028355B">
        <w:trPr>
          <w:trHeight w:val="395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4F5C4F7" w14:textId="77777777" w:rsidR="002E23E9" w:rsidRPr="00E8726F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432"/>
              <w:rPr>
                <w:rFonts w:asciiTheme="minorHAnsi" w:eastAsia="Batang" w:hAnsiTheme="minorHAnsi"/>
                <w:b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Environmental and Social Standard 6 (ESS6): </w:t>
            </w:r>
            <w:r w:rsidR="0028355B"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Biodiversity Conservation and Sustainable Management of Living Natural Resources</w:t>
            </w:r>
          </w:p>
        </w:tc>
      </w:tr>
      <w:tr w:rsidR="002E23E9" w:rsidRPr="00E8726F" w14:paraId="21D9AB43" w14:textId="77777777" w:rsidTr="0028355B">
        <w:trPr>
          <w:trHeight w:val="53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4BD5" w14:textId="51F17295" w:rsidR="003C1568" w:rsidRPr="00F11DC0" w:rsidRDefault="00400C79" w:rsidP="003C1568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Consultation participants welcomed the provisions of the proposed Environmental and Social Standard (ESS) 6. </w:t>
            </w:r>
            <w:r w:rsidR="002C7209">
              <w:rPr>
                <w:rFonts w:asciiTheme="minorHAnsi" w:hAnsiTheme="minorHAnsi"/>
                <w:sz w:val="22"/>
                <w:szCs w:val="22"/>
              </w:rPr>
              <w:t xml:space="preserve">However, it was perceived that there are too many possibilities to diverge from the provisions. </w:t>
            </w:r>
            <w:r w:rsidR="002C2E64">
              <w:rPr>
                <w:rFonts w:asciiTheme="minorHAnsi" w:hAnsiTheme="minorHAnsi"/>
                <w:sz w:val="22"/>
                <w:szCs w:val="22"/>
              </w:rPr>
              <w:t xml:space="preserve">Strict adherence and due diligence is </w:t>
            </w:r>
            <w:r w:rsidR="00CD3B2B" w:rsidRPr="00F11DC0">
              <w:rPr>
                <w:rFonts w:asciiTheme="minorHAnsi" w:hAnsiTheme="minorHAnsi"/>
                <w:sz w:val="22"/>
                <w:szCs w:val="22"/>
              </w:rPr>
              <w:t>particularly important with regard to invasive species</w:t>
            </w:r>
            <w:r w:rsidR="002C2E64">
              <w:rPr>
                <w:rFonts w:asciiTheme="minorHAnsi" w:hAnsiTheme="minorHAnsi"/>
                <w:sz w:val="22"/>
                <w:szCs w:val="22"/>
              </w:rPr>
              <w:t>, as this problem can be managed only with great difficulty</w:t>
            </w:r>
            <w:r w:rsidR="00CD3B2B" w:rsidRPr="00F11DC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C2E64">
              <w:rPr>
                <w:rFonts w:asciiTheme="minorHAnsi" w:hAnsiTheme="minorHAnsi"/>
                <w:sz w:val="22"/>
                <w:szCs w:val="22"/>
              </w:rPr>
              <w:t xml:space="preserve">Risk analysis and due diligence with regard to invasive species should be done upfront before project approval. </w:t>
            </w:r>
          </w:p>
          <w:p w14:paraId="1483DD9E" w14:textId="10A6C8E8" w:rsidR="002E23E9" w:rsidRPr="00CC1913" w:rsidRDefault="00335708" w:rsidP="00CC1913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35708">
              <w:rPr>
                <w:rFonts w:asciiTheme="minorHAnsi" w:hAnsiTheme="minorHAnsi"/>
                <w:sz w:val="22"/>
                <w:szCs w:val="22"/>
              </w:rPr>
              <w:t>The draft Standard should include r</w:t>
            </w:r>
            <w:r w:rsidR="00CD3B2B" w:rsidRPr="00335708">
              <w:rPr>
                <w:rFonts w:asciiTheme="minorHAnsi" w:hAnsiTheme="minorHAnsi"/>
                <w:sz w:val="22"/>
                <w:szCs w:val="22"/>
              </w:rPr>
              <w:t xml:space="preserve">eferences to existing international standards. </w:t>
            </w:r>
          </w:p>
        </w:tc>
      </w:tr>
      <w:tr w:rsidR="002E23E9" w:rsidRPr="00E8726F" w14:paraId="325BF4BA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68BF5A8" w14:textId="77777777" w:rsidR="002E23E9" w:rsidRPr="00E8726F" w:rsidRDefault="0028355B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Environmental and Social Standard 7 (ESS7): Indigenous Peoples </w:t>
            </w:r>
          </w:p>
        </w:tc>
      </w:tr>
      <w:tr w:rsidR="002E23E9" w:rsidRPr="00E8726F" w14:paraId="7CFF3EF6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58B1" w14:textId="2B7F4B20" w:rsidR="002E23E9" w:rsidRPr="00F11DC0" w:rsidRDefault="0071100D" w:rsidP="005039B6">
            <w:pPr>
              <w:pStyle w:val="ListParagraph"/>
              <w:numPr>
                <w:ilvl w:val="0"/>
                <w:numId w:val="46"/>
              </w:numPr>
              <w:suppressAutoHyphens w:val="0"/>
              <w:spacing w:after="0" w:line="240" w:lineRule="auto"/>
              <w:jc w:val="lef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Canadian government perceives the switch from consultation to consent in Free, Prior, and Informed Consent to be </w:t>
            </w:r>
            <w:r w:rsidR="00236669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step back in the safeguard policies. </w:t>
            </w:r>
            <w:r w:rsidR="00A576EE">
              <w:rPr>
                <w:rFonts w:asciiTheme="minorHAnsi" w:hAnsiTheme="minorHAnsi"/>
                <w:sz w:val="22"/>
                <w:szCs w:val="22"/>
              </w:rPr>
              <w:t>Consent should not be defined as a veto</w:t>
            </w:r>
            <w:r w:rsidR="003E6F4E">
              <w:rPr>
                <w:rFonts w:asciiTheme="minorHAnsi" w:hAnsiTheme="minorHAnsi"/>
                <w:sz w:val="22"/>
                <w:szCs w:val="22"/>
              </w:rPr>
              <w:t xml:space="preserve"> because consent </w:t>
            </w:r>
            <w:r w:rsidR="005039B6">
              <w:rPr>
                <w:rFonts w:asciiTheme="minorHAnsi" w:hAnsiTheme="minorHAnsi"/>
                <w:sz w:val="22"/>
                <w:szCs w:val="22"/>
              </w:rPr>
              <w:t>should not become</w:t>
            </w:r>
            <w:bookmarkStart w:id="0" w:name="_GoBack"/>
            <w:bookmarkEnd w:id="0"/>
            <w:r w:rsidR="003E6F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3B2B" w:rsidRPr="00F11DC0">
              <w:rPr>
                <w:rFonts w:asciiTheme="minorHAnsi" w:hAnsiTheme="minorHAnsi"/>
                <w:sz w:val="22"/>
                <w:szCs w:val="22"/>
              </w:rPr>
              <w:t>international customary law</w:t>
            </w:r>
            <w:r w:rsidR="003E6F4E">
              <w:rPr>
                <w:rFonts w:asciiTheme="minorHAnsi" w:hAnsiTheme="minorHAnsi"/>
                <w:sz w:val="22"/>
                <w:szCs w:val="22"/>
              </w:rPr>
              <w:t>, which could have domestic implications</w:t>
            </w:r>
            <w:r w:rsidR="00CD3B2B" w:rsidRPr="00F11DC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E6F4E">
              <w:rPr>
                <w:rFonts w:asciiTheme="minorHAnsi" w:hAnsiTheme="minorHAnsi"/>
                <w:sz w:val="22"/>
                <w:szCs w:val="22"/>
              </w:rPr>
              <w:t xml:space="preserve">The language of the definition needs to be clear in this regard. </w:t>
            </w:r>
          </w:p>
        </w:tc>
      </w:tr>
      <w:tr w:rsidR="0028355B" w:rsidRPr="00E8726F" w14:paraId="38D45A07" w14:textId="77777777" w:rsidTr="00A75177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71F5A34" w14:textId="77777777" w:rsidR="0028355B" w:rsidRPr="00E8726F" w:rsidRDefault="0028355B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Environmental and Social Standard 8 (ESS8): Cultural Heritage </w:t>
            </w:r>
          </w:p>
        </w:tc>
      </w:tr>
      <w:tr w:rsidR="0028355B" w:rsidRPr="00E8726F" w14:paraId="0933E7E4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8FEA" w14:textId="77777777" w:rsidR="0028355B" w:rsidRPr="00E8726F" w:rsidRDefault="0028355B" w:rsidP="00E8726F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8355B" w:rsidRPr="00E8726F" w14:paraId="55195E9A" w14:textId="77777777" w:rsidTr="00A75177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753CE2D" w14:textId="77777777" w:rsidR="0028355B" w:rsidRPr="00E8726F" w:rsidRDefault="0028355B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Environmental and Social Standard 9 (ESS9): Financial Intermediaries </w:t>
            </w:r>
          </w:p>
        </w:tc>
      </w:tr>
      <w:tr w:rsidR="0028355B" w:rsidRPr="00E8726F" w14:paraId="79BF774D" w14:textId="77777777" w:rsidTr="0028355B">
        <w:trPr>
          <w:trHeight w:val="53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1402" w14:textId="77777777" w:rsidR="0028355B" w:rsidRPr="00E8726F" w:rsidRDefault="0028355B" w:rsidP="00E8726F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8355B" w:rsidRPr="00E8726F" w14:paraId="50BD9722" w14:textId="77777777" w:rsidTr="00A75177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150B85D" w14:textId="77777777" w:rsidR="0028355B" w:rsidRPr="00E8726F" w:rsidRDefault="0028355B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Environmental and Social Standard 10 (ESS10): Information Disclosure and Stakeholder Engagement </w:t>
            </w:r>
          </w:p>
        </w:tc>
      </w:tr>
      <w:tr w:rsidR="0028355B" w:rsidRPr="00E8726F" w14:paraId="22E9AACF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DAE8" w14:textId="77777777" w:rsidR="0028355B" w:rsidRPr="00E8726F" w:rsidRDefault="0028355B" w:rsidP="00E8726F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794A8756" w14:textId="77777777" w:rsidR="0041268A" w:rsidRPr="00E8726F" w:rsidRDefault="0041268A" w:rsidP="00E8726F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41268A" w:rsidRPr="00E8726F" w:rsidSect="00150B6C">
      <w:footerReference w:type="even" r:id="rId12"/>
      <w:footerReference w:type="default" r:id="rId13"/>
      <w:pgSz w:w="15840" w:h="12240" w:orient="landscape"/>
      <w:pgMar w:top="90" w:right="1418" w:bottom="360" w:left="1134" w:header="720" w:footer="375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70B96" w14:textId="77777777" w:rsidR="00BE70AE" w:rsidRDefault="00BE70AE">
      <w:pPr>
        <w:spacing w:after="0" w:line="240" w:lineRule="auto"/>
      </w:pPr>
      <w:r>
        <w:separator/>
      </w:r>
    </w:p>
  </w:endnote>
  <w:endnote w:type="continuationSeparator" w:id="0">
    <w:p w14:paraId="51F2064E" w14:textId="77777777" w:rsidR="00BE70AE" w:rsidRDefault="00BE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A27D2" w14:textId="77777777" w:rsidR="00BE70AE" w:rsidRDefault="00BE70AE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5965FFC" w14:textId="77777777" w:rsidR="00BE70AE" w:rsidRDefault="00BE70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1068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52FE4151" w14:textId="77777777" w:rsidR="00BE70AE" w:rsidRPr="00150B6C" w:rsidRDefault="00BE70AE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150B6C">
          <w:rPr>
            <w:rFonts w:asciiTheme="minorHAnsi" w:hAnsiTheme="minorHAnsi"/>
            <w:sz w:val="20"/>
            <w:szCs w:val="20"/>
          </w:rPr>
          <w:fldChar w:fldCharType="begin"/>
        </w:r>
        <w:r w:rsidRPr="00150B6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50B6C">
          <w:rPr>
            <w:rFonts w:asciiTheme="minorHAnsi" w:hAnsiTheme="minorHAnsi"/>
            <w:sz w:val="20"/>
            <w:szCs w:val="20"/>
          </w:rPr>
          <w:fldChar w:fldCharType="separate"/>
        </w:r>
        <w:r w:rsidR="005039B6">
          <w:rPr>
            <w:rFonts w:asciiTheme="minorHAnsi" w:hAnsiTheme="minorHAnsi"/>
            <w:noProof/>
            <w:sz w:val="20"/>
            <w:szCs w:val="20"/>
          </w:rPr>
          <w:t>1</w:t>
        </w:r>
        <w:r w:rsidRPr="00150B6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7F1C965D" w14:textId="77777777" w:rsidR="00BE70AE" w:rsidRDefault="00BE70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39B1E" w14:textId="77777777" w:rsidR="00BE70AE" w:rsidRDefault="00BE70AE">
      <w:pPr>
        <w:spacing w:after="0" w:line="240" w:lineRule="auto"/>
      </w:pPr>
      <w:r>
        <w:separator/>
      </w:r>
    </w:p>
  </w:footnote>
  <w:footnote w:type="continuationSeparator" w:id="0">
    <w:p w14:paraId="76CB0E8E" w14:textId="77777777" w:rsidR="00BE70AE" w:rsidRDefault="00BE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132353"/>
    <w:multiLevelType w:val="hybridMultilevel"/>
    <w:tmpl w:val="AF2C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0E93"/>
    <w:multiLevelType w:val="hybridMultilevel"/>
    <w:tmpl w:val="BBD6BBC0"/>
    <w:lvl w:ilvl="0" w:tplc="5290E2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42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E0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2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8F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24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02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4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8E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54324"/>
    <w:multiLevelType w:val="hybridMultilevel"/>
    <w:tmpl w:val="03F2A1C8"/>
    <w:lvl w:ilvl="0" w:tplc="16B43E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40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8B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8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62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2B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48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B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CC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D603C"/>
    <w:multiLevelType w:val="hybridMultilevel"/>
    <w:tmpl w:val="44ACF2D0"/>
    <w:lvl w:ilvl="0" w:tplc="94AC30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45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0F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85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E1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81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4F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E4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C0AC2"/>
    <w:multiLevelType w:val="multilevel"/>
    <w:tmpl w:val="AF2CD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579CC"/>
    <w:multiLevelType w:val="hybridMultilevel"/>
    <w:tmpl w:val="B860DBE0"/>
    <w:lvl w:ilvl="0" w:tplc="A6DE16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05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E2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6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80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A0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E7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89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77F5A"/>
    <w:multiLevelType w:val="hybridMultilevel"/>
    <w:tmpl w:val="EA04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4471533B"/>
    <w:multiLevelType w:val="hybridMultilevel"/>
    <w:tmpl w:val="7274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065DC"/>
    <w:multiLevelType w:val="hybridMultilevel"/>
    <w:tmpl w:val="5B6492E2"/>
    <w:lvl w:ilvl="0" w:tplc="CB005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44A99"/>
    <w:multiLevelType w:val="hybridMultilevel"/>
    <w:tmpl w:val="418266C6"/>
    <w:lvl w:ilvl="0" w:tplc="34E8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A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C1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28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C8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66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20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E8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01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8B054E"/>
    <w:multiLevelType w:val="hybridMultilevel"/>
    <w:tmpl w:val="5FDC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D7653"/>
    <w:multiLevelType w:val="hybridMultilevel"/>
    <w:tmpl w:val="5AA85096"/>
    <w:lvl w:ilvl="0" w:tplc="EA2C4B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49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62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2F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CF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6B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4B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27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53FA5241"/>
    <w:multiLevelType w:val="hybridMultilevel"/>
    <w:tmpl w:val="C25A7C06"/>
    <w:lvl w:ilvl="0" w:tplc="7CDC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2C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A5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2D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85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00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8C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C9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E27AAB"/>
    <w:multiLevelType w:val="hybridMultilevel"/>
    <w:tmpl w:val="A620B102"/>
    <w:lvl w:ilvl="0" w:tplc="1FB4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6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80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2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41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CC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2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E8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4B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6043C2"/>
    <w:multiLevelType w:val="hybridMultilevel"/>
    <w:tmpl w:val="371EEE94"/>
    <w:lvl w:ilvl="0" w:tplc="38BE2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28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C8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3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A4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04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46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E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80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E51DA"/>
    <w:multiLevelType w:val="hybridMultilevel"/>
    <w:tmpl w:val="AD5E6B46"/>
    <w:lvl w:ilvl="0" w:tplc="BD58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82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8A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66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6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24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A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64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6C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">
    <w:nsid w:val="77C04E98"/>
    <w:multiLevelType w:val="hybridMultilevel"/>
    <w:tmpl w:val="A7CCC612"/>
    <w:lvl w:ilvl="0" w:tplc="B75E461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25ECF"/>
    <w:multiLevelType w:val="hybridMultilevel"/>
    <w:tmpl w:val="EE40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6">
    <w:nsid w:val="7C116600"/>
    <w:multiLevelType w:val="hybridMultilevel"/>
    <w:tmpl w:val="00CAB6F6"/>
    <w:lvl w:ilvl="0" w:tplc="10A84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42"/>
  </w:num>
  <w:num w:numId="4">
    <w:abstractNumId w:val="30"/>
  </w:num>
  <w:num w:numId="5">
    <w:abstractNumId w:val="22"/>
  </w:num>
  <w:num w:numId="6">
    <w:abstractNumId w:val="39"/>
  </w:num>
  <w:num w:numId="7">
    <w:abstractNumId w:val="45"/>
  </w:num>
  <w:num w:numId="8">
    <w:abstractNumId w:val="47"/>
  </w:num>
  <w:num w:numId="9">
    <w:abstractNumId w:val="41"/>
  </w:num>
  <w:num w:numId="10">
    <w:abstractNumId w:val="13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  <w:num w:numId="15">
    <w:abstractNumId w:val="36"/>
  </w:num>
  <w:num w:numId="16">
    <w:abstractNumId w:val="5"/>
  </w:num>
  <w:num w:numId="17">
    <w:abstractNumId w:val="37"/>
  </w:num>
  <w:num w:numId="18">
    <w:abstractNumId w:val="10"/>
  </w:num>
  <w:num w:numId="19">
    <w:abstractNumId w:val="18"/>
  </w:num>
  <w:num w:numId="20">
    <w:abstractNumId w:val="8"/>
  </w:num>
  <w:num w:numId="21">
    <w:abstractNumId w:val="12"/>
  </w:num>
  <w:num w:numId="22">
    <w:abstractNumId w:val="21"/>
  </w:num>
  <w:num w:numId="23">
    <w:abstractNumId w:val="40"/>
  </w:num>
  <w:num w:numId="24">
    <w:abstractNumId w:val="35"/>
  </w:num>
  <w:num w:numId="25">
    <w:abstractNumId w:val="14"/>
  </w:num>
  <w:num w:numId="26">
    <w:abstractNumId w:val="28"/>
  </w:num>
  <w:num w:numId="27">
    <w:abstractNumId w:val="15"/>
  </w:num>
  <w:num w:numId="28">
    <w:abstractNumId w:val="20"/>
  </w:num>
  <w:num w:numId="29">
    <w:abstractNumId w:val="33"/>
  </w:num>
  <w:num w:numId="30">
    <w:abstractNumId w:val="46"/>
  </w:num>
  <w:num w:numId="31">
    <w:abstractNumId w:val="31"/>
  </w:num>
  <w:num w:numId="32">
    <w:abstractNumId w:val="38"/>
  </w:num>
  <w:num w:numId="33">
    <w:abstractNumId w:val="25"/>
  </w:num>
  <w:num w:numId="34">
    <w:abstractNumId w:val="32"/>
  </w:num>
  <w:num w:numId="35">
    <w:abstractNumId w:val="17"/>
  </w:num>
  <w:num w:numId="36">
    <w:abstractNumId w:val="3"/>
  </w:num>
  <w:num w:numId="37">
    <w:abstractNumId w:val="7"/>
  </w:num>
  <w:num w:numId="38">
    <w:abstractNumId w:val="27"/>
  </w:num>
  <w:num w:numId="39">
    <w:abstractNumId w:val="2"/>
  </w:num>
  <w:num w:numId="40">
    <w:abstractNumId w:val="26"/>
  </w:num>
  <w:num w:numId="41">
    <w:abstractNumId w:val="19"/>
  </w:num>
  <w:num w:numId="42">
    <w:abstractNumId w:val="1"/>
  </w:num>
  <w:num w:numId="43">
    <w:abstractNumId w:val="24"/>
  </w:num>
  <w:num w:numId="44">
    <w:abstractNumId w:val="43"/>
  </w:num>
  <w:num w:numId="45">
    <w:abstractNumId w:val="23"/>
  </w:num>
  <w:num w:numId="46">
    <w:abstractNumId w:val="44"/>
  </w:num>
  <w:num w:numId="47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15583"/>
    <w:rsid w:val="00017022"/>
    <w:rsid w:val="000225BA"/>
    <w:rsid w:val="0002336F"/>
    <w:rsid w:val="00024DD6"/>
    <w:rsid w:val="00026C80"/>
    <w:rsid w:val="00030C2C"/>
    <w:rsid w:val="00031C7E"/>
    <w:rsid w:val="00032054"/>
    <w:rsid w:val="000328E3"/>
    <w:rsid w:val="0003575B"/>
    <w:rsid w:val="0003735C"/>
    <w:rsid w:val="00037CDC"/>
    <w:rsid w:val="00037D98"/>
    <w:rsid w:val="00042252"/>
    <w:rsid w:val="000423C3"/>
    <w:rsid w:val="00046FD1"/>
    <w:rsid w:val="00050278"/>
    <w:rsid w:val="00052126"/>
    <w:rsid w:val="00052A60"/>
    <w:rsid w:val="000568E5"/>
    <w:rsid w:val="00056A66"/>
    <w:rsid w:val="000615B0"/>
    <w:rsid w:val="000701AB"/>
    <w:rsid w:val="000744EF"/>
    <w:rsid w:val="00081AF6"/>
    <w:rsid w:val="00083CB4"/>
    <w:rsid w:val="00092809"/>
    <w:rsid w:val="00093B2C"/>
    <w:rsid w:val="00097805"/>
    <w:rsid w:val="000A1804"/>
    <w:rsid w:val="000A5D4A"/>
    <w:rsid w:val="000A6681"/>
    <w:rsid w:val="000A68F9"/>
    <w:rsid w:val="000A6D16"/>
    <w:rsid w:val="000A6D7F"/>
    <w:rsid w:val="000A78BD"/>
    <w:rsid w:val="000A7F3E"/>
    <w:rsid w:val="000B2DE8"/>
    <w:rsid w:val="000B3468"/>
    <w:rsid w:val="000C05A5"/>
    <w:rsid w:val="000C228B"/>
    <w:rsid w:val="000C5064"/>
    <w:rsid w:val="000C51A0"/>
    <w:rsid w:val="000C60DE"/>
    <w:rsid w:val="000D0B99"/>
    <w:rsid w:val="000D1AEB"/>
    <w:rsid w:val="000D2C0A"/>
    <w:rsid w:val="000D3AA5"/>
    <w:rsid w:val="000D65F8"/>
    <w:rsid w:val="000D742B"/>
    <w:rsid w:val="000E2D39"/>
    <w:rsid w:val="000E4A9F"/>
    <w:rsid w:val="000E5A24"/>
    <w:rsid w:val="000E5F00"/>
    <w:rsid w:val="000E6B6A"/>
    <w:rsid w:val="000F219A"/>
    <w:rsid w:val="000F3983"/>
    <w:rsid w:val="000F3E02"/>
    <w:rsid w:val="000F42AD"/>
    <w:rsid w:val="000F70D2"/>
    <w:rsid w:val="00101AD6"/>
    <w:rsid w:val="00112D59"/>
    <w:rsid w:val="00116045"/>
    <w:rsid w:val="0011630F"/>
    <w:rsid w:val="0011666B"/>
    <w:rsid w:val="001223AF"/>
    <w:rsid w:val="0012738A"/>
    <w:rsid w:val="00130DA9"/>
    <w:rsid w:val="00134DC4"/>
    <w:rsid w:val="0013530E"/>
    <w:rsid w:val="00135C10"/>
    <w:rsid w:val="0014341F"/>
    <w:rsid w:val="0014363C"/>
    <w:rsid w:val="00143686"/>
    <w:rsid w:val="00144343"/>
    <w:rsid w:val="001453DE"/>
    <w:rsid w:val="001467E0"/>
    <w:rsid w:val="00150B6C"/>
    <w:rsid w:val="00155228"/>
    <w:rsid w:val="001603D5"/>
    <w:rsid w:val="0016350D"/>
    <w:rsid w:val="00165F5F"/>
    <w:rsid w:val="00166F32"/>
    <w:rsid w:val="00170112"/>
    <w:rsid w:val="0017095E"/>
    <w:rsid w:val="001725DE"/>
    <w:rsid w:val="001737D3"/>
    <w:rsid w:val="00173A55"/>
    <w:rsid w:val="00173E2F"/>
    <w:rsid w:val="0017439C"/>
    <w:rsid w:val="00174746"/>
    <w:rsid w:val="00180399"/>
    <w:rsid w:val="00183415"/>
    <w:rsid w:val="00185589"/>
    <w:rsid w:val="0018566C"/>
    <w:rsid w:val="00187B91"/>
    <w:rsid w:val="001958FD"/>
    <w:rsid w:val="00195AA9"/>
    <w:rsid w:val="00196734"/>
    <w:rsid w:val="001969FB"/>
    <w:rsid w:val="001A131C"/>
    <w:rsid w:val="001A2E21"/>
    <w:rsid w:val="001A6224"/>
    <w:rsid w:val="001A70E7"/>
    <w:rsid w:val="001A7BD2"/>
    <w:rsid w:val="001B3819"/>
    <w:rsid w:val="001B3D64"/>
    <w:rsid w:val="001B5314"/>
    <w:rsid w:val="001B5FD2"/>
    <w:rsid w:val="001B6254"/>
    <w:rsid w:val="001B7C9C"/>
    <w:rsid w:val="001C0DF8"/>
    <w:rsid w:val="001C12BD"/>
    <w:rsid w:val="001C4A97"/>
    <w:rsid w:val="001D02F0"/>
    <w:rsid w:val="001D0A26"/>
    <w:rsid w:val="001D2C28"/>
    <w:rsid w:val="001D3762"/>
    <w:rsid w:val="001D4E40"/>
    <w:rsid w:val="001D76AD"/>
    <w:rsid w:val="001E1CA7"/>
    <w:rsid w:val="001E22F3"/>
    <w:rsid w:val="001E2A55"/>
    <w:rsid w:val="001E3DAC"/>
    <w:rsid w:val="001E74A3"/>
    <w:rsid w:val="001F4168"/>
    <w:rsid w:val="001F4B0A"/>
    <w:rsid w:val="00200A65"/>
    <w:rsid w:val="002017A9"/>
    <w:rsid w:val="0020284E"/>
    <w:rsid w:val="002032D3"/>
    <w:rsid w:val="00203AB7"/>
    <w:rsid w:val="0020463D"/>
    <w:rsid w:val="002047F0"/>
    <w:rsid w:val="00205109"/>
    <w:rsid w:val="00206906"/>
    <w:rsid w:val="002078E0"/>
    <w:rsid w:val="00211152"/>
    <w:rsid w:val="002154CB"/>
    <w:rsid w:val="002248F1"/>
    <w:rsid w:val="002253F7"/>
    <w:rsid w:val="00225F7C"/>
    <w:rsid w:val="00227180"/>
    <w:rsid w:val="00232712"/>
    <w:rsid w:val="0023392A"/>
    <w:rsid w:val="00236099"/>
    <w:rsid w:val="00236669"/>
    <w:rsid w:val="0023669B"/>
    <w:rsid w:val="0024205F"/>
    <w:rsid w:val="00255132"/>
    <w:rsid w:val="002648AA"/>
    <w:rsid w:val="002679D9"/>
    <w:rsid w:val="00267DF3"/>
    <w:rsid w:val="002705F9"/>
    <w:rsid w:val="002717AA"/>
    <w:rsid w:val="00271E83"/>
    <w:rsid w:val="0027488F"/>
    <w:rsid w:val="002801FD"/>
    <w:rsid w:val="00280823"/>
    <w:rsid w:val="0028355B"/>
    <w:rsid w:val="00283919"/>
    <w:rsid w:val="0028464A"/>
    <w:rsid w:val="00292E6E"/>
    <w:rsid w:val="00295A21"/>
    <w:rsid w:val="002A53A4"/>
    <w:rsid w:val="002A5680"/>
    <w:rsid w:val="002A673A"/>
    <w:rsid w:val="002A6B80"/>
    <w:rsid w:val="002A7906"/>
    <w:rsid w:val="002B0F8C"/>
    <w:rsid w:val="002B67F6"/>
    <w:rsid w:val="002C02C4"/>
    <w:rsid w:val="002C093B"/>
    <w:rsid w:val="002C1A68"/>
    <w:rsid w:val="002C26F1"/>
    <w:rsid w:val="002C2E64"/>
    <w:rsid w:val="002C7209"/>
    <w:rsid w:val="002D12DF"/>
    <w:rsid w:val="002D2FBF"/>
    <w:rsid w:val="002D786E"/>
    <w:rsid w:val="002E061F"/>
    <w:rsid w:val="002E1692"/>
    <w:rsid w:val="002E23E9"/>
    <w:rsid w:val="002E3DC8"/>
    <w:rsid w:val="002E4DBC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3891"/>
    <w:rsid w:val="00314A09"/>
    <w:rsid w:val="00316535"/>
    <w:rsid w:val="0031691C"/>
    <w:rsid w:val="003176B1"/>
    <w:rsid w:val="00320395"/>
    <w:rsid w:val="00320F96"/>
    <w:rsid w:val="0032103C"/>
    <w:rsid w:val="00323CE8"/>
    <w:rsid w:val="00325F08"/>
    <w:rsid w:val="00327933"/>
    <w:rsid w:val="00327F38"/>
    <w:rsid w:val="00334486"/>
    <w:rsid w:val="00335708"/>
    <w:rsid w:val="00337BD2"/>
    <w:rsid w:val="003402AA"/>
    <w:rsid w:val="00344222"/>
    <w:rsid w:val="00345D6C"/>
    <w:rsid w:val="003507ED"/>
    <w:rsid w:val="003519A2"/>
    <w:rsid w:val="00352D9C"/>
    <w:rsid w:val="00353D85"/>
    <w:rsid w:val="00353E83"/>
    <w:rsid w:val="00354731"/>
    <w:rsid w:val="003559C0"/>
    <w:rsid w:val="0035744E"/>
    <w:rsid w:val="00361A5B"/>
    <w:rsid w:val="00362CD1"/>
    <w:rsid w:val="0036531B"/>
    <w:rsid w:val="00367E63"/>
    <w:rsid w:val="00371AAC"/>
    <w:rsid w:val="00372BAA"/>
    <w:rsid w:val="003739E9"/>
    <w:rsid w:val="00374DAC"/>
    <w:rsid w:val="00374FDF"/>
    <w:rsid w:val="003811B9"/>
    <w:rsid w:val="00386344"/>
    <w:rsid w:val="00387008"/>
    <w:rsid w:val="0039100E"/>
    <w:rsid w:val="00391433"/>
    <w:rsid w:val="0039156C"/>
    <w:rsid w:val="003918B3"/>
    <w:rsid w:val="003942AC"/>
    <w:rsid w:val="00394329"/>
    <w:rsid w:val="00394346"/>
    <w:rsid w:val="00394652"/>
    <w:rsid w:val="003A366A"/>
    <w:rsid w:val="003A4952"/>
    <w:rsid w:val="003B013D"/>
    <w:rsid w:val="003B06D5"/>
    <w:rsid w:val="003B14C5"/>
    <w:rsid w:val="003B34CF"/>
    <w:rsid w:val="003C1568"/>
    <w:rsid w:val="003C50AD"/>
    <w:rsid w:val="003C798A"/>
    <w:rsid w:val="003D1475"/>
    <w:rsid w:val="003D1587"/>
    <w:rsid w:val="003D18EB"/>
    <w:rsid w:val="003D4776"/>
    <w:rsid w:val="003D5011"/>
    <w:rsid w:val="003D686C"/>
    <w:rsid w:val="003D6B14"/>
    <w:rsid w:val="003D7888"/>
    <w:rsid w:val="003E0D04"/>
    <w:rsid w:val="003E1AAE"/>
    <w:rsid w:val="003E2779"/>
    <w:rsid w:val="003E32AF"/>
    <w:rsid w:val="003E6F4E"/>
    <w:rsid w:val="003F04D4"/>
    <w:rsid w:val="003F2F60"/>
    <w:rsid w:val="003F309E"/>
    <w:rsid w:val="00400C79"/>
    <w:rsid w:val="0040761E"/>
    <w:rsid w:val="0041268A"/>
    <w:rsid w:val="00412EE4"/>
    <w:rsid w:val="00416EDE"/>
    <w:rsid w:val="00424C82"/>
    <w:rsid w:val="00426B51"/>
    <w:rsid w:val="00431D5F"/>
    <w:rsid w:val="00436033"/>
    <w:rsid w:val="00442D97"/>
    <w:rsid w:val="00443EEF"/>
    <w:rsid w:val="00446D15"/>
    <w:rsid w:val="00453CD4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2CEE"/>
    <w:rsid w:val="0049389F"/>
    <w:rsid w:val="00496A48"/>
    <w:rsid w:val="00497432"/>
    <w:rsid w:val="004A35AD"/>
    <w:rsid w:val="004B0E26"/>
    <w:rsid w:val="004B2020"/>
    <w:rsid w:val="004B2825"/>
    <w:rsid w:val="004B695A"/>
    <w:rsid w:val="004B69B8"/>
    <w:rsid w:val="004C2A58"/>
    <w:rsid w:val="004C34CD"/>
    <w:rsid w:val="004C3573"/>
    <w:rsid w:val="004C37E8"/>
    <w:rsid w:val="004C4524"/>
    <w:rsid w:val="004C456F"/>
    <w:rsid w:val="004C6BA6"/>
    <w:rsid w:val="004C76CB"/>
    <w:rsid w:val="004C7FCA"/>
    <w:rsid w:val="004D4CBA"/>
    <w:rsid w:val="004D6875"/>
    <w:rsid w:val="004D68F9"/>
    <w:rsid w:val="004D6B6C"/>
    <w:rsid w:val="004E0D4C"/>
    <w:rsid w:val="004E61B9"/>
    <w:rsid w:val="004F2672"/>
    <w:rsid w:val="004F3586"/>
    <w:rsid w:val="004F4615"/>
    <w:rsid w:val="004F551D"/>
    <w:rsid w:val="004F5D6B"/>
    <w:rsid w:val="004F78BE"/>
    <w:rsid w:val="005039B6"/>
    <w:rsid w:val="00503AC3"/>
    <w:rsid w:val="005065C7"/>
    <w:rsid w:val="00507646"/>
    <w:rsid w:val="005108C6"/>
    <w:rsid w:val="00517A78"/>
    <w:rsid w:val="00521046"/>
    <w:rsid w:val="005214D1"/>
    <w:rsid w:val="00523381"/>
    <w:rsid w:val="0052371D"/>
    <w:rsid w:val="005409E3"/>
    <w:rsid w:val="005420E0"/>
    <w:rsid w:val="00542D82"/>
    <w:rsid w:val="005507FD"/>
    <w:rsid w:val="00551E85"/>
    <w:rsid w:val="00555A56"/>
    <w:rsid w:val="00560F42"/>
    <w:rsid w:val="00561582"/>
    <w:rsid w:val="00562369"/>
    <w:rsid w:val="00564E17"/>
    <w:rsid w:val="0056581D"/>
    <w:rsid w:val="00566924"/>
    <w:rsid w:val="00567698"/>
    <w:rsid w:val="005703C8"/>
    <w:rsid w:val="00572220"/>
    <w:rsid w:val="0057243A"/>
    <w:rsid w:val="0057765C"/>
    <w:rsid w:val="00580742"/>
    <w:rsid w:val="00581F5B"/>
    <w:rsid w:val="00582C42"/>
    <w:rsid w:val="0058647E"/>
    <w:rsid w:val="00590F1D"/>
    <w:rsid w:val="005926E0"/>
    <w:rsid w:val="00592B56"/>
    <w:rsid w:val="005941F6"/>
    <w:rsid w:val="00594D12"/>
    <w:rsid w:val="00595239"/>
    <w:rsid w:val="005A323D"/>
    <w:rsid w:val="005B1D7C"/>
    <w:rsid w:val="005B5868"/>
    <w:rsid w:val="005B5EC4"/>
    <w:rsid w:val="005C2BD1"/>
    <w:rsid w:val="005C3028"/>
    <w:rsid w:val="005C478A"/>
    <w:rsid w:val="005C4C50"/>
    <w:rsid w:val="005C56F1"/>
    <w:rsid w:val="005D07F3"/>
    <w:rsid w:val="005D0D38"/>
    <w:rsid w:val="005D0EF7"/>
    <w:rsid w:val="005D1984"/>
    <w:rsid w:val="005D3E14"/>
    <w:rsid w:val="005D7377"/>
    <w:rsid w:val="005D78E2"/>
    <w:rsid w:val="005E42EE"/>
    <w:rsid w:val="005E6733"/>
    <w:rsid w:val="005E6BA0"/>
    <w:rsid w:val="005F0290"/>
    <w:rsid w:val="005F4373"/>
    <w:rsid w:val="006020DB"/>
    <w:rsid w:val="00602C11"/>
    <w:rsid w:val="00603450"/>
    <w:rsid w:val="00604794"/>
    <w:rsid w:val="00606340"/>
    <w:rsid w:val="00612154"/>
    <w:rsid w:val="00612622"/>
    <w:rsid w:val="00614E58"/>
    <w:rsid w:val="006211B9"/>
    <w:rsid w:val="006239BD"/>
    <w:rsid w:val="006255FB"/>
    <w:rsid w:val="0062765B"/>
    <w:rsid w:val="00627EC8"/>
    <w:rsid w:val="00633799"/>
    <w:rsid w:val="00642F83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06B1"/>
    <w:rsid w:val="006810E8"/>
    <w:rsid w:val="006846AC"/>
    <w:rsid w:val="006904D1"/>
    <w:rsid w:val="006939CE"/>
    <w:rsid w:val="006943D0"/>
    <w:rsid w:val="00694CBC"/>
    <w:rsid w:val="00695C15"/>
    <w:rsid w:val="00696B3E"/>
    <w:rsid w:val="00697501"/>
    <w:rsid w:val="00697FED"/>
    <w:rsid w:val="006A1668"/>
    <w:rsid w:val="006A1A6E"/>
    <w:rsid w:val="006A26A0"/>
    <w:rsid w:val="006B1A71"/>
    <w:rsid w:val="006B1E56"/>
    <w:rsid w:val="006B3516"/>
    <w:rsid w:val="006B36BF"/>
    <w:rsid w:val="006B4543"/>
    <w:rsid w:val="006B4F12"/>
    <w:rsid w:val="006B56D8"/>
    <w:rsid w:val="006B640E"/>
    <w:rsid w:val="006B7CB0"/>
    <w:rsid w:val="006C292F"/>
    <w:rsid w:val="006C2934"/>
    <w:rsid w:val="006C50F0"/>
    <w:rsid w:val="006D15EB"/>
    <w:rsid w:val="006D4EB1"/>
    <w:rsid w:val="006D5D8B"/>
    <w:rsid w:val="006E39AB"/>
    <w:rsid w:val="006E4401"/>
    <w:rsid w:val="006E68C8"/>
    <w:rsid w:val="006E698B"/>
    <w:rsid w:val="006F1EE3"/>
    <w:rsid w:val="006F2DEB"/>
    <w:rsid w:val="006F35B2"/>
    <w:rsid w:val="006F41D7"/>
    <w:rsid w:val="006F5B2A"/>
    <w:rsid w:val="006F7CE9"/>
    <w:rsid w:val="00700002"/>
    <w:rsid w:val="0070187F"/>
    <w:rsid w:val="00702894"/>
    <w:rsid w:val="00703DDF"/>
    <w:rsid w:val="00706D64"/>
    <w:rsid w:val="0071100D"/>
    <w:rsid w:val="00712242"/>
    <w:rsid w:val="00721455"/>
    <w:rsid w:val="007355BC"/>
    <w:rsid w:val="00740F46"/>
    <w:rsid w:val="00742E43"/>
    <w:rsid w:val="007455FD"/>
    <w:rsid w:val="00745D52"/>
    <w:rsid w:val="007462C7"/>
    <w:rsid w:val="00746FCA"/>
    <w:rsid w:val="00751874"/>
    <w:rsid w:val="0075193E"/>
    <w:rsid w:val="0075214B"/>
    <w:rsid w:val="007522AA"/>
    <w:rsid w:val="00752E65"/>
    <w:rsid w:val="0075679B"/>
    <w:rsid w:val="00762FF6"/>
    <w:rsid w:val="007641B0"/>
    <w:rsid w:val="0076500E"/>
    <w:rsid w:val="00765BAF"/>
    <w:rsid w:val="0077436C"/>
    <w:rsid w:val="00775647"/>
    <w:rsid w:val="00780523"/>
    <w:rsid w:val="00780E7C"/>
    <w:rsid w:val="007826D8"/>
    <w:rsid w:val="007927EF"/>
    <w:rsid w:val="007A025C"/>
    <w:rsid w:val="007A4F6E"/>
    <w:rsid w:val="007A53B1"/>
    <w:rsid w:val="007A79F4"/>
    <w:rsid w:val="007B1E0E"/>
    <w:rsid w:val="007C4A25"/>
    <w:rsid w:val="007C6340"/>
    <w:rsid w:val="007D5511"/>
    <w:rsid w:val="007D5F89"/>
    <w:rsid w:val="007E20C5"/>
    <w:rsid w:val="007E2AEC"/>
    <w:rsid w:val="007E3BB0"/>
    <w:rsid w:val="007E59D3"/>
    <w:rsid w:val="007E6044"/>
    <w:rsid w:val="007E67F9"/>
    <w:rsid w:val="007F23AD"/>
    <w:rsid w:val="007F3629"/>
    <w:rsid w:val="008007BC"/>
    <w:rsid w:val="00801272"/>
    <w:rsid w:val="00801D0B"/>
    <w:rsid w:val="008052F1"/>
    <w:rsid w:val="00806222"/>
    <w:rsid w:val="008064A6"/>
    <w:rsid w:val="00815AF9"/>
    <w:rsid w:val="008168C6"/>
    <w:rsid w:val="00816D55"/>
    <w:rsid w:val="0082090B"/>
    <w:rsid w:val="00820B74"/>
    <w:rsid w:val="0082387D"/>
    <w:rsid w:val="008240DE"/>
    <w:rsid w:val="00826AD4"/>
    <w:rsid w:val="00826F47"/>
    <w:rsid w:val="008308F0"/>
    <w:rsid w:val="00830E06"/>
    <w:rsid w:val="00831DE1"/>
    <w:rsid w:val="00832B88"/>
    <w:rsid w:val="00832D7C"/>
    <w:rsid w:val="00833E1D"/>
    <w:rsid w:val="008340FA"/>
    <w:rsid w:val="008341F0"/>
    <w:rsid w:val="0083614D"/>
    <w:rsid w:val="00837F2B"/>
    <w:rsid w:val="00841DF7"/>
    <w:rsid w:val="00842296"/>
    <w:rsid w:val="00843265"/>
    <w:rsid w:val="008470F1"/>
    <w:rsid w:val="008564C4"/>
    <w:rsid w:val="0086217D"/>
    <w:rsid w:val="008642B9"/>
    <w:rsid w:val="00871AE0"/>
    <w:rsid w:val="00873220"/>
    <w:rsid w:val="00875B03"/>
    <w:rsid w:val="00875DDF"/>
    <w:rsid w:val="00877B95"/>
    <w:rsid w:val="00877C0B"/>
    <w:rsid w:val="00884B89"/>
    <w:rsid w:val="00885E07"/>
    <w:rsid w:val="008878D2"/>
    <w:rsid w:val="00895C16"/>
    <w:rsid w:val="008967BD"/>
    <w:rsid w:val="008A0F2A"/>
    <w:rsid w:val="008A533C"/>
    <w:rsid w:val="008B0531"/>
    <w:rsid w:val="008B074D"/>
    <w:rsid w:val="008B4648"/>
    <w:rsid w:val="008B51A1"/>
    <w:rsid w:val="008B5CEC"/>
    <w:rsid w:val="008B7264"/>
    <w:rsid w:val="008B7469"/>
    <w:rsid w:val="008C0E8A"/>
    <w:rsid w:val="008C35AB"/>
    <w:rsid w:val="008C5FCF"/>
    <w:rsid w:val="008C648D"/>
    <w:rsid w:val="008D5294"/>
    <w:rsid w:val="008D6E46"/>
    <w:rsid w:val="008E2F4A"/>
    <w:rsid w:val="008E3CAB"/>
    <w:rsid w:val="008E3F41"/>
    <w:rsid w:val="008E60CF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1341A"/>
    <w:rsid w:val="0091440D"/>
    <w:rsid w:val="009202D6"/>
    <w:rsid w:val="009215AE"/>
    <w:rsid w:val="00921B7D"/>
    <w:rsid w:val="0092324B"/>
    <w:rsid w:val="0092331A"/>
    <w:rsid w:val="009235E9"/>
    <w:rsid w:val="0092587E"/>
    <w:rsid w:val="00926CD8"/>
    <w:rsid w:val="009307FA"/>
    <w:rsid w:val="00930D74"/>
    <w:rsid w:val="009335C8"/>
    <w:rsid w:val="0093422E"/>
    <w:rsid w:val="0093459B"/>
    <w:rsid w:val="00936818"/>
    <w:rsid w:val="00940764"/>
    <w:rsid w:val="00941C03"/>
    <w:rsid w:val="00942BFE"/>
    <w:rsid w:val="00943A1C"/>
    <w:rsid w:val="009441B3"/>
    <w:rsid w:val="009511DD"/>
    <w:rsid w:val="00951AC1"/>
    <w:rsid w:val="0095294E"/>
    <w:rsid w:val="00953A10"/>
    <w:rsid w:val="00954B0D"/>
    <w:rsid w:val="009571C1"/>
    <w:rsid w:val="0096419A"/>
    <w:rsid w:val="0096558C"/>
    <w:rsid w:val="009724B0"/>
    <w:rsid w:val="00972C54"/>
    <w:rsid w:val="00980635"/>
    <w:rsid w:val="00981BE5"/>
    <w:rsid w:val="00985902"/>
    <w:rsid w:val="00990B5E"/>
    <w:rsid w:val="00992BC7"/>
    <w:rsid w:val="00993EAB"/>
    <w:rsid w:val="00994D19"/>
    <w:rsid w:val="009A343C"/>
    <w:rsid w:val="009A4357"/>
    <w:rsid w:val="009B0C90"/>
    <w:rsid w:val="009B172E"/>
    <w:rsid w:val="009B2BF4"/>
    <w:rsid w:val="009B358A"/>
    <w:rsid w:val="009B36E2"/>
    <w:rsid w:val="009C0FFD"/>
    <w:rsid w:val="009C16BB"/>
    <w:rsid w:val="009C27DD"/>
    <w:rsid w:val="009C295B"/>
    <w:rsid w:val="009C509A"/>
    <w:rsid w:val="009D047E"/>
    <w:rsid w:val="009D4938"/>
    <w:rsid w:val="009D7BF5"/>
    <w:rsid w:val="009E4E07"/>
    <w:rsid w:val="009E5FD0"/>
    <w:rsid w:val="009E60A4"/>
    <w:rsid w:val="009E6A80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BFF"/>
    <w:rsid w:val="00A22FD0"/>
    <w:rsid w:val="00A23C5C"/>
    <w:rsid w:val="00A262BD"/>
    <w:rsid w:val="00A26E3B"/>
    <w:rsid w:val="00A271D6"/>
    <w:rsid w:val="00A34312"/>
    <w:rsid w:val="00A35D65"/>
    <w:rsid w:val="00A37BF2"/>
    <w:rsid w:val="00A44601"/>
    <w:rsid w:val="00A51AC5"/>
    <w:rsid w:val="00A51B0F"/>
    <w:rsid w:val="00A51DF8"/>
    <w:rsid w:val="00A55954"/>
    <w:rsid w:val="00A56C8F"/>
    <w:rsid w:val="00A576EE"/>
    <w:rsid w:val="00A576F4"/>
    <w:rsid w:val="00A6050C"/>
    <w:rsid w:val="00A72068"/>
    <w:rsid w:val="00A7218B"/>
    <w:rsid w:val="00A725A6"/>
    <w:rsid w:val="00A73DB4"/>
    <w:rsid w:val="00A75177"/>
    <w:rsid w:val="00A75762"/>
    <w:rsid w:val="00A760E0"/>
    <w:rsid w:val="00A772A8"/>
    <w:rsid w:val="00A778A2"/>
    <w:rsid w:val="00A818AF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B47FB"/>
    <w:rsid w:val="00AC35E9"/>
    <w:rsid w:val="00AC6935"/>
    <w:rsid w:val="00AC6A20"/>
    <w:rsid w:val="00AC71AD"/>
    <w:rsid w:val="00AC78CB"/>
    <w:rsid w:val="00AD199B"/>
    <w:rsid w:val="00AD1D13"/>
    <w:rsid w:val="00AD288F"/>
    <w:rsid w:val="00AD3704"/>
    <w:rsid w:val="00AD3968"/>
    <w:rsid w:val="00AE30D9"/>
    <w:rsid w:val="00AF0A93"/>
    <w:rsid w:val="00AF1D2F"/>
    <w:rsid w:val="00AF31AE"/>
    <w:rsid w:val="00AF52DA"/>
    <w:rsid w:val="00AF61A2"/>
    <w:rsid w:val="00AF6ED0"/>
    <w:rsid w:val="00B00508"/>
    <w:rsid w:val="00B00B8D"/>
    <w:rsid w:val="00B00BB8"/>
    <w:rsid w:val="00B00C48"/>
    <w:rsid w:val="00B046A5"/>
    <w:rsid w:val="00B06E1C"/>
    <w:rsid w:val="00B075C5"/>
    <w:rsid w:val="00B10393"/>
    <w:rsid w:val="00B12479"/>
    <w:rsid w:val="00B13307"/>
    <w:rsid w:val="00B166F0"/>
    <w:rsid w:val="00B16E9C"/>
    <w:rsid w:val="00B210B9"/>
    <w:rsid w:val="00B24A84"/>
    <w:rsid w:val="00B30A0D"/>
    <w:rsid w:val="00B31359"/>
    <w:rsid w:val="00B35BCE"/>
    <w:rsid w:val="00B43AEA"/>
    <w:rsid w:val="00B43E13"/>
    <w:rsid w:val="00B44438"/>
    <w:rsid w:val="00B53E71"/>
    <w:rsid w:val="00B54895"/>
    <w:rsid w:val="00B6296F"/>
    <w:rsid w:val="00B652FE"/>
    <w:rsid w:val="00B65EEC"/>
    <w:rsid w:val="00B66553"/>
    <w:rsid w:val="00B720C1"/>
    <w:rsid w:val="00B7278A"/>
    <w:rsid w:val="00B72FDA"/>
    <w:rsid w:val="00B731F0"/>
    <w:rsid w:val="00B74DBD"/>
    <w:rsid w:val="00B752F0"/>
    <w:rsid w:val="00B7551F"/>
    <w:rsid w:val="00B76A3A"/>
    <w:rsid w:val="00B7734C"/>
    <w:rsid w:val="00B817A6"/>
    <w:rsid w:val="00B87220"/>
    <w:rsid w:val="00B90D46"/>
    <w:rsid w:val="00B94095"/>
    <w:rsid w:val="00B947D5"/>
    <w:rsid w:val="00B9565A"/>
    <w:rsid w:val="00BA0194"/>
    <w:rsid w:val="00BA494C"/>
    <w:rsid w:val="00BA52B0"/>
    <w:rsid w:val="00BB1F9B"/>
    <w:rsid w:val="00BB62D4"/>
    <w:rsid w:val="00BC0E42"/>
    <w:rsid w:val="00BC1A8B"/>
    <w:rsid w:val="00BC454A"/>
    <w:rsid w:val="00BC59D4"/>
    <w:rsid w:val="00BD2BDB"/>
    <w:rsid w:val="00BD45B9"/>
    <w:rsid w:val="00BD7200"/>
    <w:rsid w:val="00BD7218"/>
    <w:rsid w:val="00BE2842"/>
    <w:rsid w:val="00BE70AE"/>
    <w:rsid w:val="00BF18CB"/>
    <w:rsid w:val="00BF32BF"/>
    <w:rsid w:val="00BF360C"/>
    <w:rsid w:val="00BF39AE"/>
    <w:rsid w:val="00BF3D87"/>
    <w:rsid w:val="00BF5F0F"/>
    <w:rsid w:val="00C050F3"/>
    <w:rsid w:val="00C10A79"/>
    <w:rsid w:val="00C1318A"/>
    <w:rsid w:val="00C1490D"/>
    <w:rsid w:val="00C14B81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37F9F"/>
    <w:rsid w:val="00C4401E"/>
    <w:rsid w:val="00C4631D"/>
    <w:rsid w:val="00C532C2"/>
    <w:rsid w:val="00C53915"/>
    <w:rsid w:val="00C56076"/>
    <w:rsid w:val="00C56288"/>
    <w:rsid w:val="00C56F67"/>
    <w:rsid w:val="00C606C1"/>
    <w:rsid w:val="00C63B05"/>
    <w:rsid w:val="00C63B2F"/>
    <w:rsid w:val="00C64909"/>
    <w:rsid w:val="00C67993"/>
    <w:rsid w:val="00C70B3C"/>
    <w:rsid w:val="00C73230"/>
    <w:rsid w:val="00C7347F"/>
    <w:rsid w:val="00C736B5"/>
    <w:rsid w:val="00C737A1"/>
    <w:rsid w:val="00C737FB"/>
    <w:rsid w:val="00C7465C"/>
    <w:rsid w:val="00C75323"/>
    <w:rsid w:val="00C84887"/>
    <w:rsid w:val="00C86E31"/>
    <w:rsid w:val="00C87BDA"/>
    <w:rsid w:val="00C920B4"/>
    <w:rsid w:val="00C93F48"/>
    <w:rsid w:val="00C960AE"/>
    <w:rsid w:val="00C96854"/>
    <w:rsid w:val="00CA31EC"/>
    <w:rsid w:val="00CA35E0"/>
    <w:rsid w:val="00CA53DF"/>
    <w:rsid w:val="00CA7472"/>
    <w:rsid w:val="00CA7E99"/>
    <w:rsid w:val="00CB1BC5"/>
    <w:rsid w:val="00CB25DF"/>
    <w:rsid w:val="00CB268E"/>
    <w:rsid w:val="00CB603E"/>
    <w:rsid w:val="00CB7BBA"/>
    <w:rsid w:val="00CC0149"/>
    <w:rsid w:val="00CC1913"/>
    <w:rsid w:val="00CC308A"/>
    <w:rsid w:val="00CD05E9"/>
    <w:rsid w:val="00CD37EF"/>
    <w:rsid w:val="00CD3B2B"/>
    <w:rsid w:val="00CD481A"/>
    <w:rsid w:val="00CE24E4"/>
    <w:rsid w:val="00CE3AFE"/>
    <w:rsid w:val="00CE71B7"/>
    <w:rsid w:val="00CF3100"/>
    <w:rsid w:val="00CF4060"/>
    <w:rsid w:val="00D04A80"/>
    <w:rsid w:val="00D06820"/>
    <w:rsid w:val="00D075C7"/>
    <w:rsid w:val="00D1158F"/>
    <w:rsid w:val="00D13458"/>
    <w:rsid w:val="00D15331"/>
    <w:rsid w:val="00D15AF1"/>
    <w:rsid w:val="00D1654D"/>
    <w:rsid w:val="00D205EA"/>
    <w:rsid w:val="00D21E42"/>
    <w:rsid w:val="00D22538"/>
    <w:rsid w:val="00D23A7D"/>
    <w:rsid w:val="00D23E72"/>
    <w:rsid w:val="00D2506E"/>
    <w:rsid w:val="00D26D70"/>
    <w:rsid w:val="00D27B79"/>
    <w:rsid w:val="00D30DCF"/>
    <w:rsid w:val="00D31C38"/>
    <w:rsid w:val="00D363D5"/>
    <w:rsid w:val="00D4184B"/>
    <w:rsid w:val="00D43358"/>
    <w:rsid w:val="00D446EB"/>
    <w:rsid w:val="00D468CF"/>
    <w:rsid w:val="00D46F8D"/>
    <w:rsid w:val="00D52E09"/>
    <w:rsid w:val="00D7462B"/>
    <w:rsid w:val="00D779D5"/>
    <w:rsid w:val="00D77CF6"/>
    <w:rsid w:val="00D82B92"/>
    <w:rsid w:val="00D83719"/>
    <w:rsid w:val="00D87419"/>
    <w:rsid w:val="00D87D07"/>
    <w:rsid w:val="00D87DD1"/>
    <w:rsid w:val="00D91DB4"/>
    <w:rsid w:val="00D93E45"/>
    <w:rsid w:val="00D93EC4"/>
    <w:rsid w:val="00DA1005"/>
    <w:rsid w:val="00DA12D0"/>
    <w:rsid w:val="00DA4A01"/>
    <w:rsid w:val="00DA4F42"/>
    <w:rsid w:val="00DB01C2"/>
    <w:rsid w:val="00DB0E8C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2005"/>
    <w:rsid w:val="00DF35D7"/>
    <w:rsid w:val="00DF5CC8"/>
    <w:rsid w:val="00DF6E74"/>
    <w:rsid w:val="00E07CFD"/>
    <w:rsid w:val="00E108B1"/>
    <w:rsid w:val="00E11AD2"/>
    <w:rsid w:val="00E12E4D"/>
    <w:rsid w:val="00E148DA"/>
    <w:rsid w:val="00E1495C"/>
    <w:rsid w:val="00E162CA"/>
    <w:rsid w:val="00E16BFD"/>
    <w:rsid w:val="00E17702"/>
    <w:rsid w:val="00E1794A"/>
    <w:rsid w:val="00E17DBB"/>
    <w:rsid w:val="00E21B7A"/>
    <w:rsid w:val="00E2597F"/>
    <w:rsid w:val="00E25A71"/>
    <w:rsid w:val="00E27FE0"/>
    <w:rsid w:val="00E30562"/>
    <w:rsid w:val="00E31B10"/>
    <w:rsid w:val="00E33464"/>
    <w:rsid w:val="00E35122"/>
    <w:rsid w:val="00E3579B"/>
    <w:rsid w:val="00E35894"/>
    <w:rsid w:val="00E378E1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1B02"/>
    <w:rsid w:val="00E62F90"/>
    <w:rsid w:val="00E64D6C"/>
    <w:rsid w:val="00E664D1"/>
    <w:rsid w:val="00E7114E"/>
    <w:rsid w:val="00E72DFF"/>
    <w:rsid w:val="00E7417F"/>
    <w:rsid w:val="00E76D91"/>
    <w:rsid w:val="00E77D18"/>
    <w:rsid w:val="00E805E8"/>
    <w:rsid w:val="00E81311"/>
    <w:rsid w:val="00E81B6D"/>
    <w:rsid w:val="00E8252A"/>
    <w:rsid w:val="00E83A0B"/>
    <w:rsid w:val="00E84A10"/>
    <w:rsid w:val="00E84C03"/>
    <w:rsid w:val="00E85331"/>
    <w:rsid w:val="00E8726F"/>
    <w:rsid w:val="00E8757D"/>
    <w:rsid w:val="00E94BCB"/>
    <w:rsid w:val="00EA0243"/>
    <w:rsid w:val="00EA1859"/>
    <w:rsid w:val="00EA2EF0"/>
    <w:rsid w:val="00EA526C"/>
    <w:rsid w:val="00EA671C"/>
    <w:rsid w:val="00EB25D9"/>
    <w:rsid w:val="00EB3830"/>
    <w:rsid w:val="00EB6868"/>
    <w:rsid w:val="00EB75B9"/>
    <w:rsid w:val="00EC2056"/>
    <w:rsid w:val="00EC26D9"/>
    <w:rsid w:val="00EC3527"/>
    <w:rsid w:val="00EC4F18"/>
    <w:rsid w:val="00EC524C"/>
    <w:rsid w:val="00ED1AA0"/>
    <w:rsid w:val="00ED2123"/>
    <w:rsid w:val="00ED316F"/>
    <w:rsid w:val="00ED3EF0"/>
    <w:rsid w:val="00ED41F8"/>
    <w:rsid w:val="00EE0C22"/>
    <w:rsid w:val="00EE11EB"/>
    <w:rsid w:val="00EE187F"/>
    <w:rsid w:val="00EE305F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1DC0"/>
    <w:rsid w:val="00F14AC8"/>
    <w:rsid w:val="00F17E83"/>
    <w:rsid w:val="00F203A0"/>
    <w:rsid w:val="00F20726"/>
    <w:rsid w:val="00F2350E"/>
    <w:rsid w:val="00F25D92"/>
    <w:rsid w:val="00F30963"/>
    <w:rsid w:val="00F32AD1"/>
    <w:rsid w:val="00F34040"/>
    <w:rsid w:val="00F34099"/>
    <w:rsid w:val="00F34A52"/>
    <w:rsid w:val="00F36912"/>
    <w:rsid w:val="00F37144"/>
    <w:rsid w:val="00F42741"/>
    <w:rsid w:val="00F461D2"/>
    <w:rsid w:val="00F47482"/>
    <w:rsid w:val="00F47FAA"/>
    <w:rsid w:val="00F507C8"/>
    <w:rsid w:val="00F513F4"/>
    <w:rsid w:val="00F532D3"/>
    <w:rsid w:val="00F535CC"/>
    <w:rsid w:val="00F56B67"/>
    <w:rsid w:val="00F62562"/>
    <w:rsid w:val="00F66383"/>
    <w:rsid w:val="00F7045E"/>
    <w:rsid w:val="00F75151"/>
    <w:rsid w:val="00F762E5"/>
    <w:rsid w:val="00F805D4"/>
    <w:rsid w:val="00F81989"/>
    <w:rsid w:val="00F81BFF"/>
    <w:rsid w:val="00F825F1"/>
    <w:rsid w:val="00F910C3"/>
    <w:rsid w:val="00F923A8"/>
    <w:rsid w:val="00F92DFB"/>
    <w:rsid w:val="00FA06BE"/>
    <w:rsid w:val="00FA0B42"/>
    <w:rsid w:val="00FA5352"/>
    <w:rsid w:val="00FB3B45"/>
    <w:rsid w:val="00FB480B"/>
    <w:rsid w:val="00FB49CA"/>
    <w:rsid w:val="00FC3F39"/>
    <w:rsid w:val="00FC492B"/>
    <w:rsid w:val="00FC5AEC"/>
    <w:rsid w:val="00FC61C1"/>
    <w:rsid w:val="00FC6E39"/>
    <w:rsid w:val="00FD0726"/>
    <w:rsid w:val="00FD292C"/>
    <w:rsid w:val="00FD2A81"/>
    <w:rsid w:val="00FD53F3"/>
    <w:rsid w:val="00FD73AE"/>
    <w:rsid w:val="00FE0189"/>
    <w:rsid w:val="00FE1957"/>
    <w:rsid w:val="00FE278A"/>
    <w:rsid w:val="00FE60A5"/>
    <w:rsid w:val="00FE6120"/>
    <w:rsid w:val="00FE6123"/>
    <w:rsid w:val="00FE6B76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720B0CF"/>
  <w15:docId w15:val="{B0FBCA58-8144-4E68-8F9D-02F9C12C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1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st">
    <w:name w:val="st"/>
    <w:basedOn w:val="DefaultParagraphFont"/>
    <w:rsid w:val="00F34099"/>
  </w:style>
  <w:style w:type="character" w:customStyle="1" w:styleId="Heading3Char">
    <w:name w:val="Heading 3 Char"/>
    <w:basedOn w:val="DefaultParagraphFont"/>
    <w:link w:val="Heading3"/>
    <w:uiPriority w:val="9"/>
    <w:rsid w:val="0070187F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29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2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3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2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4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3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07B434D17428E0B184CD8033A65" ma:contentTypeVersion="0" ma:contentTypeDescription="Create a new document." ma:contentTypeScope="" ma:versionID="d7a1b1109de5e9e359d3c3a7d5fd87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401ABD-FA8F-408E-8EEA-9692213B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413EC29-F8D7-4244-AF52-44373E3C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Anne-Katrin Arnold</cp:lastModifiedBy>
  <cp:revision>108</cp:revision>
  <cp:lastPrinted>2014-09-10T16:30:00Z</cp:lastPrinted>
  <dcterms:created xsi:type="dcterms:W3CDTF">2015-02-24T01:30:00Z</dcterms:created>
  <dcterms:modified xsi:type="dcterms:W3CDTF">2015-02-25T19:06:00Z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0x0101001C77A07B434D17428E0B184CD8033A65</vt:lpwstr>
  </property>
</Properties>
</file>