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2825" w:rsidRDefault="00057399" w:rsidP="003E2779">
      <w:pPr>
        <w:pStyle w:val="Title"/>
        <w:jc w:val="center"/>
        <w:rPr>
          <w:rFonts w:ascii="Calibri" w:hAnsi="Calibri" w:cs="Calibri"/>
          <w:noProof/>
          <w:color w:val="000000"/>
          <w:sz w:val="18"/>
          <w:szCs w:val="18"/>
        </w:rPr>
      </w:pPr>
      <w:r>
        <w:rPr>
          <w:rFonts w:ascii="Calibri" w:hAnsi="Calibri" w:cs="Calibri"/>
          <w:noProof/>
          <w:color w:val="000000"/>
          <w:sz w:val="18"/>
          <w:szCs w:val="18"/>
        </w:rPr>
        <w:drawing>
          <wp:inline distT="0" distB="0" distL="0" distR="0">
            <wp:extent cx="2981325" cy="885825"/>
            <wp:effectExtent l="19050" t="0" r="9525"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srcRect/>
                    <a:stretch>
                      <a:fillRect/>
                    </a:stretch>
                  </pic:blipFill>
                  <pic:spPr bwMode="auto">
                    <a:xfrm>
                      <a:off x="0" y="0"/>
                      <a:ext cx="2981325" cy="885825"/>
                    </a:xfrm>
                    <a:prstGeom prst="rect">
                      <a:avLst/>
                    </a:prstGeom>
                    <a:noFill/>
                    <a:ln w="9525">
                      <a:noFill/>
                      <a:miter lim="800000"/>
                      <a:headEnd/>
                      <a:tailEnd/>
                    </a:ln>
                  </pic:spPr>
                </pic:pic>
              </a:graphicData>
            </a:graphic>
          </wp:inline>
        </w:drawing>
      </w:r>
    </w:p>
    <w:p w:rsidR="006B2825" w:rsidRPr="00B46A50" w:rsidRDefault="006B2825" w:rsidP="00815BA2">
      <w:pPr>
        <w:jc w:val="center"/>
        <w:rPr>
          <w:rFonts w:asciiTheme="minorHAnsi" w:hAnsiTheme="minorHAnsi" w:cstheme="minorHAnsi"/>
          <w:b/>
          <w:color w:val="365F91" w:themeColor="accent1" w:themeShade="BF"/>
          <w:spacing w:val="5"/>
          <w:kern w:val="28"/>
          <w:sz w:val="32"/>
          <w:lang w:val="en-US" w:eastAsia="en-US" w:bidi="ar-SA"/>
        </w:rPr>
      </w:pPr>
      <w:r w:rsidRPr="00B46A50">
        <w:rPr>
          <w:rFonts w:asciiTheme="minorHAnsi" w:hAnsiTheme="minorHAnsi" w:cstheme="minorHAnsi"/>
          <w:b/>
          <w:color w:val="365F91" w:themeColor="accent1" w:themeShade="BF"/>
          <w:spacing w:val="5"/>
          <w:kern w:val="28"/>
          <w:sz w:val="32"/>
          <w:lang w:val="en-US" w:eastAsia="en-US" w:bidi="ar-SA"/>
        </w:rPr>
        <w:t xml:space="preserve">Review </w:t>
      </w:r>
      <w:r w:rsidR="003E3220" w:rsidRPr="00B46A50">
        <w:rPr>
          <w:rFonts w:asciiTheme="minorHAnsi" w:hAnsiTheme="minorHAnsi" w:cstheme="minorHAnsi"/>
          <w:b/>
          <w:color w:val="365F91" w:themeColor="accent1" w:themeShade="BF"/>
          <w:spacing w:val="5"/>
          <w:kern w:val="28"/>
          <w:sz w:val="32"/>
          <w:lang w:val="en-US" w:eastAsia="en-US" w:bidi="ar-SA"/>
        </w:rPr>
        <w:t xml:space="preserve">and </w:t>
      </w:r>
      <w:r w:rsidRPr="00B46A50">
        <w:rPr>
          <w:rFonts w:asciiTheme="minorHAnsi" w:hAnsiTheme="minorHAnsi" w:cstheme="minorHAnsi"/>
          <w:b/>
          <w:color w:val="365F91" w:themeColor="accent1" w:themeShade="BF"/>
          <w:spacing w:val="5"/>
          <w:kern w:val="28"/>
          <w:sz w:val="32"/>
          <w:lang w:val="en-US" w:eastAsia="en-US" w:bidi="ar-SA"/>
        </w:rPr>
        <w:t xml:space="preserve">Update </w:t>
      </w:r>
      <w:r w:rsidR="003E3220" w:rsidRPr="00B46A50">
        <w:rPr>
          <w:rFonts w:asciiTheme="minorHAnsi" w:hAnsiTheme="minorHAnsi" w:cstheme="minorHAnsi"/>
          <w:b/>
          <w:color w:val="365F91" w:themeColor="accent1" w:themeShade="BF"/>
          <w:spacing w:val="5"/>
          <w:kern w:val="28"/>
          <w:sz w:val="32"/>
          <w:lang w:val="en-US" w:eastAsia="en-US" w:bidi="ar-SA"/>
        </w:rPr>
        <w:t xml:space="preserve">of the </w:t>
      </w:r>
      <w:r w:rsidRPr="00B46A50">
        <w:rPr>
          <w:rFonts w:asciiTheme="minorHAnsi" w:hAnsiTheme="minorHAnsi" w:cstheme="minorHAnsi"/>
          <w:b/>
          <w:color w:val="365F91" w:themeColor="accent1" w:themeShade="BF"/>
          <w:spacing w:val="5"/>
          <w:kern w:val="28"/>
          <w:sz w:val="32"/>
          <w:lang w:val="en-US" w:eastAsia="en-US" w:bidi="ar-SA"/>
        </w:rPr>
        <w:t xml:space="preserve">World Bank’s Safeguard Policies </w:t>
      </w:r>
    </w:p>
    <w:p w:rsidR="001827A7" w:rsidRDefault="001827A7" w:rsidP="001827A7">
      <w:pPr>
        <w:jc w:val="center"/>
        <w:rPr>
          <w:rFonts w:asciiTheme="minorHAnsi" w:hAnsiTheme="minorHAnsi" w:cstheme="minorHAnsi"/>
          <w:b/>
          <w:color w:val="365F91" w:themeColor="accent1" w:themeShade="BF"/>
          <w:spacing w:val="5"/>
          <w:kern w:val="28"/>
          <w:sz w:val="32"/>
          <w:lang w:val="en-US" w:eastAsia="en-US" w:bidi="ar-SA"/>
        </w:rPr>
      </w:pPr>
      <w:r w:rsidRPr="00B46A50">
        <w:rPr>
          <w:rFonts w:asciiTheme="minorHAnsi" w:hAnsiTheme="minorHAnsi" w:cstheme="minorHAnsi"/>
          <w:b/>
          <w:color w:val="365F91" w:themeColor="accent1" w:themeShade="BF"/>
          <w:spacing w:val="5"/>
          <w:kern w:val="28"/>
          <w:sz w:val="32"/>
          <w:lang w:val="en-US" w:eastAsia="en-US" w:bidi="ar-SA"/>
        </w:rPr>
        <w:t>Public Institutions</w:t>
      </w:r>
      <w:r>
        <w:rPr>
          <w:rFonts w:ascii="Calibri" w:hAnsi="Calibri" w:cs="Calibri"/>
          <w:bCs/>
          <w:lang w:val="en-US"/>
        </w:rPr>
        <w:t xml:space="preserve"> </w:t>
      </w:r>
      <w:r w:rsidR="006B2825" w:rsidRPr="00B46A50">
        <w:rPr>
          <w:rFonts w:asciiTheme="minorHAnsi" w:hAnsiTheme="minorHAnsi" w:cstheme="minorHAnsi"/>
          <w:b/>
          <w:color w:val="365F91" w:themeColor="accent1" w:themeShade="BF"/>
          <w:spacing w:val="5"/>
          <w:kern w:val="28"/>
          <w:sz w:val="32"/>
          <w:lang w:val="en-US" w:eastAsia="en-US" w:bidi="ar-SA"/>
        </w:rPr>
        <w:t xml:space="preserve">Consultation </w:t>
      </w:r>
    </w:p>
    <w:p w:rsidR="006B2825" w:rsidRPr="00B46A50" w:rsidRDefault="006B2825" w:rsidP="001827A7">
      <w:pPr>
        <w:jc w:val="center"/>
        <w:rPr>
          <w:rFonts w:asciiTheme="minorHAnsi" w:hAnsiTheme="minorHAnsi" w:cstheme="minorHAnsi"/>
          <w:b/>
          <w:color w:val="365F91" w:themeColor="accent1" w:themeShade="BF"/>
          <w:spacing w:val="5"/>
          <w:kern w:val="28"/>
          <w:sz w:val="32"/>
          <w:lang w:val="en-US" w:eastAsia="en-US" w:bidi="ar-SA"/>
        </w:rPr>
      </w:pPr>
      <w:r w:rsidRPr="00B46A50">
        <w:rPr>
          <w:rFonts w:asciiTheme="minorHAnsi" w:hAnsiTheme="minorHAnsi" w:cstheme="minorHAnsi"/>
          <w:b/>
          <w:color w:val="365F91" w:themeColor="accent1" w:themeShade="BF"/>
          <w:spacing w:val="5"/>
          <w:kern w:val="28"/>
          <w:sz w:val="32"/>
          <w:lang w:val="en-US" w:eastAsia="en-US" w:bidi="ar-SA"/>
        </w:rPr>
        <w:t>Feedback Summary</w:t>
      </w:r>
    </w:p>
    <w:p w:rsidR="006B2825" w:rsidRPr="006E0806" w:rsidRDefault="006B2825" w:rsidP="00FD36F7">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Calibri" w:hAnsi="Calibri" w:cs="Calibri"/>
          <w:b/>
          <w:szCs w:val="24"/>
          <w:lang w:val="en-US"/>
        </w:rPr>
      </w:pPr>
      <w:r w:rsidRPr="006E0806">
        <w:rPr>
          <w:rFonts w:ascii="Calibri" w:hAnsi="Calibri" w:cs="Calibri"/>
          <w:b/>
          <w:bCs/>
          <w:szCs w:val="24"/>
          <w:lang w:val="en-US"/>
        </w:rPr>
        <w:t xml:space="preserve">Date: </w:t>
      </w:r>
      <w:r>
        <w:rPr>
          <w:rFonts w:ascii="Calibri" w:hAnsi="Calibri" w:cs="Calibri"/>
          <w:bCs/>
          <w:szCs w:val="24"/>
          <w:lang w:val="en-US"/>
        </w:rPr>
        <w:t>March 21, 2013</w:t>
      </w:r>
    </w:p>
    <w:p w:rsidR="006B2825" w:rsidRPr="006E0806" w:rsidRDefault="006B2825" w:rsidP="00FD36F7">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Calibri" w:hAnsi="Calibri" w:cs="Calibri"/>
          <w:b/>
          <w:szCs w:val="24"/>
          <w:lang w:val="en-US"/>
        </w:rPr>
      </w:pPr>
    </w:p>
    <w:p w:rsidR="006B2825" w:rsidRPr="006E0806" w:rsidRDefault="000E65A1" w:rsidP="00FD36F7">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Calibri" w:hAnsi="Calibri" w:cs="Calibri"/>
          <w:bCs/>
          <w:szCs w:val="24"/>
          <w:lang w:val="en-US"/>
        </w:rPr>
      </w:pPr>
      <w:r>
        <w:rPr>
          <w:rFonts w:ascii="Calibri" w:hAnsi="Calibri" w:cs="Calibri"/>
          <w:b/>
          <w:bCs/>
          <w:szCs w:val="24"/>
          <w:lang w:val="en-US"/>
        </w:rPr>
        <w:t>Location</w:t>
      </w:r>
      <w:bookmarkStart w:id="0" w:name="_GoBack"/>
      <w:bookmarkEnd w:id="0"/>
      <w:r w:rsidR="006B2825" w:rsidRPr="006E0806">
        <w:rPr>
          <w:rFonts w:ascii="Calibri" w:hAnsi="Calibri" w:cs="Calibri"/>
          <w:b/>
          <w:bCs/>
          <w:szCs w:val="24"/>
          <w:lang w:val="en-US"/>
        </w:rPr>
        <w:t xml:space="preserve">: </w:t>
      </w:r>
      <w:r w:rsidR="006B2825">
        <w:rPr>
          <w:rFonts w:ascii="Calibri" w:hAnsi="Calibri" w:cs="Calibri"/>
          <w:bCs/>
          <w:szCs w:val="24"/>
          <w:lang w:val="en-US"/>
        </w:rPr>
        <w:t>Bucharest, Romania</w:t>
      </w:r>
    </w:p>
    <w:p w:rsidR="006B2825" w:rsidRPr="006E0806" w:rsidRDefault="006B2825" w:rsidP="00FD36F7">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Calibri" w:hAnsi="Calibri" w:cs="Calibri"/>
          <w:b/>
          <w:bCs/>
          <w:szCs w:val="24"/>
          <w:lang w:val="en-US"/>
        </w:rPr>
      </w:pPr>
    </w:p>
    <w:p w:rsidR="006B2825" w:rsidRPr="006E0806" w:rsidRDefault="006B2825" w:rsidP="00FD36F7">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Calibri" w:hAnsi="Calibri" w:cs="Calibri"/>
          <w:b/>
          <w:szCs w:val="24"/>
          <w:lang w:val="en-US"/>
        </w:rPr>
      </w:pPr>
      <w:r w:rsidRPr="006E0806">
        <w:rPr>
          <w:rFonts w:ascii="Calibri" w:hAnsi="Calibri" w:cs="Calibri"/>
          <w:b/>
          <w:bCs/>
          <w:szCs w:val="24"/>
          <w:lang w:val="en-US"/>
        </w:rPr>
        <w:t>Country/</w:t>
      </w:r>
      <w:proofErr w:type="spellStart"/>
      <w:r>
        <w:rPr>
          <w:rFonts w:ascii="Calibri" w:hAnsi="Calibri" w:cs="Calibri"/>
          <w:b/>
          <w:bCs/>
          <w:szCs w:val="24"/>
          <w:lang w:val="en-US"/>
        </w:rPr>
        <w:t>i</w:t>
      </w:r>
      <w:r w:rsidRPr="006E0806">
        <w:rPr>
          <w:rFonts w:ascii="Calibri" w:hAnsi="Calibri" w:cs="Calibri"/>
          <w:b/>
          <w:bCs/>
          <w:szCs w:val="24"/>
          <w:lang w:val="en-US"/>
        </w:rPr>
        <w:t>es</w:t>
      </w:r>
      <w:proofErr w:type="spellEnd"/>
      <w:r w:rsidRPr="006E0806">
        <w:rPr>
          <w:rFonts w:ascii="Calibri" w:hAnsi="Calibri" w:cs="Calibri"/>
          <w:b/>
          <w:bCs/>
          <w:szCs w:val="24"/>
          <w:lang w:val="en-US"/>
        </w:rPr>
        <w:t xml:space="preserve"> connected by video conference: </w:t>
      </w:r>
      <w:r>
        <w:rPr>
          <w:rFonts w:ascii="Calibri" w:hAnsi="Calibri" w:cs="Calibri"/>
          <w:bCs/>
          <w:szCs w:val="24"/>
          <w:lang w:val="en-US"/>
        </w:rPr>
        <w:t>Romania, Moldova</w:t>
      </w:r>
    </w:p>
    <w:p w:rsidR="006B2825" w:rsidRPr="00D87AC5" w:rsidRDefault="006B2825" w:rsidP="001827A7">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Calibri" w:hAnsi="Calibri" w:cs="Calibri"/>
          <w:b/>
          <w:szCs w:val="24"/>
          <w:lang w:val="en-US"/>
        </w:rPr>
      </w:pPr>
    </w:p>
    <w:tbl>
      <w:tblPr>
        <w:tblW w:w="13257" w:type="dxa"/>
        <w:tblInd w:w="2" w:type="dxa"/>
        <w:tblLayout w:type="fixed"/>
        <w:tblCellMar>
          <w:top w:w="29" w:type="dxa"/>
          <w:left w:w="29" w:type="dxa"/>
          <w:bottom w:w="29" w:type="dxa"/>
          <w:right w:w="29" w:type="dxa"/>
        </w:tblCellMar>
        <w:tblLook w:val="0000" w:firstRow="0" w:lastRow="0" w:firstColumn="0" w:lastColumn="0" w:noHBand="0" w:noVBand="0"/>
      </w:tblPr>
      <w:tblGrid>
        <w:gridCol w:w="13213"/>
        <w:gridCol w:w="44"/>
      </w:tblGrid>
      <w:tr w:rsidR="006B2825" w:rsidRPr="00D87AC5" w:rsidTr="00B46A50">
        <w:trPr>
          <w:gridAfter w:val="1"/>
          <w:wAfter w:w="44" w:type="dxa"/>
          <w:trHeight w:val="70"/>
        </w:trPr>
        <w:tc>
          <w:tcPr>
            <w:tcW w:w="13213" w:type="dxa"/>
            <w:tcBorders>
              <w:top w:val="single" w:sz="4" w:space="0" w:color="auto"/>
              <w:left w:val="single" w:sz="4" w:space="0" w:color="auto"/>
              <w:bottom w:val="single" w:sz="4" w:space="0" w:color="auto"/>
              <w:right w:val="single" w:sz="4" w:space="0" w:color="auto"/>
            </w:tcBorders>
            <w:shd w:val="clear" w:color="auto" w:fill="DBE5F1"/>
          </w:tcPr>
          <w:p w:rsidR="006B2825" w:rsidRPr="00D87AC5" w:rsidRDefault="006B2825" w:rsidP="00B46A50">
            <w:pPr>
              <w:snapToGrid w:val="0"/>
              <w:spacing w:after="60" w:line="240" w:lineRule="auto"/>
              <w:ind w:left="360" w:hanging="360"/>
              <w:rPr>
                <w:rFonts w:ascii="Calibri" w:eastAsia="Batang" w:hAnsi="Calibri" w:cs="Calibri"/>
                <w:b/>
                <w:color w:val="17365D"/>
                <w:lang w:val="en-US"/>
              </w:rPr>
            </w:pPr>
            <w:r w:rsidRPr="00D87AC5">
              <w:rPr>
                <w:rFonts w:ascii="Calibri" w:eastAsia="Batang" w:hAnsi="Calibri" w:cs="Calibri"/>
                <w:b/>
                <w:color w:val="17365D"/>
                <w:lang w:val="en-US"/>
              </w:rPr>
              <w:t>Feedback from Stakeholders</w:t>
            </w:r>
          </w:p>
        </w:tc>
      </w:tr>
      <w:tr w:rsidR="006B2825" w:rsidRPr="00D87AC5" w:rsidTr="00B46A50">
        <w:trPr>
          <w:gridAfter w:val="1"/>
          <w:wAfter w:w="44" w:type="dxa"/>
          <w:trHeight w:val="70"/>
        </w:trPr>
        <w:tc>
          <w:tcPr>
            <w:tcW w:w="13213" w:type="dxa"/>
            <w:tcBorders>
              <w:top w:val="single" w:sz="4" w:space="0" w:color="auto"/>
              <w:left w:val="single" w:sz="4" w:space="0" w:color="auto"/>
              <w:bottom w:val="single" w:sz="4" w:space="0" w:color="auto"/>
              <w:right w:val="single" w:sz="4" w:space="0" w:color="auto"/>
            </w:tcBorders>
            <w:shd w:val="clear" w:color="auto" w:fill="DBE5F1"/>
          </w:tcPr>
          <w:p w:rsidR="006B2825" w:rsidRPr="001827A7" w:rsidRDefault="006B2825" w:rsidP="00B46A50">
            <w:pPr>
              <w:numPr>
                <w:ilvl w:val="0"/>
                <w:numId w:val="33"/>
              </w:numPr>
              <w:snapToGrid w:val="0"/>
              <w:spacing w:after="60" w:line="240" w:lineRule="auto"/>
              <w:ind w:left="360"/>
              <w:jc w:val="left"/>
              <w:rPr>
                <w:rFonts w:ascii="Calibri" w:eastAsia="Batang" w:hAnsi="Calibri" w:cs="Calibri"/>
                <w:b/>
                <w:color w:val="17365D"/>
                <w:lang w:val="en-US"/>
              </w:rPr>
            </w:pPr>
            <w:r w:rsidRPr="00D87AC5">
              <w:rPr>
                <w:rFonts w:ascii="Calibri" w:hAnsi="Calibri" w:cs="Calibri"/>
                <w:b/>
                <w:color w:val="17365D"/>
                <w:lang w:val="en-US"/>
              </w:rPr>
              <w:t>What has worked well in the current safeguard policies</w:t>
            </w:r>
            <w:r>
              <w:rPr>
                <w:rFonts w:ascii="Calibri" w:hAnsi="Calibri" w:cs="Calibri"/>
                <w:b/>
                <w:color w:val="1F497D"/>
                <w:lang w:val="en-US"/>
              </w:rPr>
              <w:t>?</w:t>
            </w:r>
          </w:p>
        </w:tc>
      </w:tr>
      <w:tr w:rsidR="006B2825" w:rsidRPr="00D87AC5" w:rsidTr="00B46A50">
        <w:trPr>
          <w:gridAfter w:val="1"/>
          <w:wAfter w:w="44" w:type="dxa"/>
          <w:trHeight w:val="70"/>
        </w:trPr>
        <w:tc>
          <w:tcPr>
            <w:tcW w:w="13213" w:type="dxa"/>
            <w:tcBorders>
              <w:top w:val="single" w:sz="4" w:space="0" w:color="auto"/>
              <w:left w:val="single" w:sz="4" w:space="0" w:color="auto"/>
              <w:bottom w:val="single" w:sz="4" w:space="0" w:color="auto"/>
              <w:right w:val="single" w:sz="4" w:space="0" w:color="auto"/>
            </w:tcBorders>
          </w:tcPr>
          <w:p w:rsidR="006B2825" w:rsidRPr="00057399" w:rsidRDefault="006B2825" w:rsidP="00B46A50">
            <w:pPr>
              <w:pStyle w:val="ListParagraph"/>
              <w:numPr>
                <w:ilvl w:val="0"/>
                <w:numId w:val="35"/>
              </w:numPr>
              <w:snapToGrid w:val="0"/>
              <w:spacing w:after="60" w:line="240" w:lineRule="auto"/>
              <w:ind w:left="360"/>
              <w:jc w:val="left"/>
              <w:rPr>
                <w:rFonts w:ascii="Calibri" w:eastAsia="Batang" w:hAnsi="Calibri" w:cs="Calibri"/>
                <w:bCs/>
                <w:szCs w:val="22"/>
                <w:lang w:val="en-US"/>
              </w:rPr>
            </w:pPr>
            <w:r w:rsidRPr="00EB2029">
              <w:rPr>
                <w:rFonts w:ascii="Calibri" w:eastAsia="Batang" w:hAnsi="Calibri" w:cs="Calibri"/>
                <w:b/>
                <w:i/>
                <w:iCs/>
                <w:sz w:val="22"/>
                <w:szCs w:val="22"/>
                <w:lang w:val="en-US"/>
              </w:rPr>
              <w:t xml:space="preserve">Applying social and environmental safeguard policies has contributed to identifying the needs of the population. </w:t>
            </w:r>
            <w:r w:rsidRPr="00EB2029">
              <w:rPr>
                <w:rFonts w:ascii="Calibri" w:eastAsia="Batang" w:hAnsi="Calibri" w:cs="Calibri"/>
                <w:iCs/>
                <w:sz w:val="22"/>
                <w:szCs w:val="22"/>
                <w:lang w:val="en-US"/>
              </w:rPr>
              <w:t>With respect to the project concerning the closing down of mines in Romania and the restoration of the environment, the general goal was to create opportunities for economic</w:t>
            </w:r>
            <w:r>
              <w:rPr>
                <w:rFonts w:ascii="Calibri" w:eastAsia="Batang" w:hAnsi="Calibri" w:cs="Calibri"/>
                <w:iCs/>
                <w:sz w:val="22"/>
                <w:szCs w:val="22"/>
                <w:lang w:val="en-US"/>
              </w:rPr>
              <w:t xml:space="preserve"> </w:t>
            </w:r>
            <w:r w:rsidRPr="00057399">
              <w:rPr>
                <w:rFonts w:ascii="Calibri" w:eastAsia="Batang" w:hAnsi="Calibri" w:cs="Calibri"/>
                <w:bCs/>
                <w:sz w:val="22"/>
                <w:szCs w:val="22"/>
                <w:lang w:val="en-US"/>
              </w:rPr>
              <w:t>and environmental/ecological</w:t>
            </w:r>
            <w:r w:rsidRPr="00EB2029">
              <w:rPr>
                <w:rFonts w:ascii="Calibri" w:eastAsia="Batang" w:hAnsi="Calibri" w:cs="Calibri"/>
                <w:iCs/>
                <w:sz w:val="22"/>
                <w:szCs w:val="22"/>
                <w:lang w:val="en-US"/>
              </w:rPr>
              <w:t xml:space="preserve"> regeneration in the areas that have been affected by the closing down of the mines. Applying social and environmental safeguard policies has contributed to identifying the needs of the population and has opened up the opportunity to develop a </w:t>
            </w:r>
            <w:r w:rsidRPr="00057399">
              <w:rPr>
                <w:rFonts w:ascii="Calibri" w:eastAsia="Batang" w:hAnsi="Calibri" w:cs="Calibri"/>
                <w:bCs/>
                <w:sz w:val="22"/>
                <w:szCs w:val="22"/>
                <w:lang w:val="en-US"/>
              </w:rPr>
              <w:t xml:space="preserve">response that adequately meets </w:t>
            </w:r>
            <w:r w:rsidR="00520A30">
              <w:rPr>
                <w:rFonts w:ascii="Calibri" w:eastAsia="Batang" w:hAnsi="Calibri" w:cs="Calibri"/>
                <w:bCs/>
                <w:sz w:val="22"/>
                <w:szCs w:val="22"/>
                <w:lang w:val="en-US"/>
              </w:rPr>
              <w:t xml:space="preserve">those </w:t>
            </w:r>
            <w:r w:rsidRPr="00057399">
              <w:rPr>
                <w:rFonts w:ascii="Calibri" w:eastAsia="Batang" w:hAnsi="Calibri" w:cs="Calibri"/>
                <w:bCs/>
                <w:sz w:val="22"/>
                <w:szCs w:val="22"/>
                <w:lang w:val="en-US"/>
              </w:rPr>
              <w:t xml:space="preserve">needs. </w:t>
            </w:r>
          </w:p>
          <w:p w:rsidR="006B2825" w:rsidRPr="00EB2029" w:rsidRDefault="006B2825" w:rsidP="00B46A50">
            <w:pPr>
              <w:pStyle w:val="ListParagraph"/>
              <w:numPr>
                <w:ilvl w:val="0"/>
                <w:numId w:val="35"/>
              </w:numPr>
              <w:snapToGrid w:val="0"/>
              <w:spacing w:after="60" w:line="240" w:lineRule="auto"/>
              <w:ind w:left="360"/>
              <w:jc w:val="left"/>
              <w:rPr>
                <w:rFonts w:ascii="Calibri" w:eastAsia="Batang" w:hAnsi="Calibri" w:cs="Calibri"/>
                <w:b/>
                <w:szCs w:val="22"/>
                <w:lang w:val="en-US"/>
              </w:rPr>
            </w:pPr>
            <w:r w:rsidRPr="00EB2029">
              <w:rPr>
                <w:rFonts w:ascii="Calibri" w:eastAsia="Batang" w:hAnsi="Calibri" w:cs="Calibri"/>
                <w:b/>
                <w:i/>
                <w:iCs/>
                <w:sz w:val="22"/>
                <w:szCs w:val="22"/>
                <w:lang w:val="en-US"/>
              </w:rPr>
              <w:t xml:space="preserve">The principles that are the foundation for safeguard policies are suitable and effective in practice. </w:t>
            </w:r>
            <w:r w:rsidRPr="00EB2029">
              <w:rPr>
                <w:rFonts w:ascii="Calibri" w:eastAsia="Batang" w:hAnsi="Calibri" w:cs="Calibri"/>
                <w:bCs/>
                <w:sz w:val="22"/>
                <w:szCs w:val="22"/>
                <w:lang w:val="en-US"/>
              </w:rPr>
              <w:t xml:space="preserve">Regarding projects supported through the Social Investment Fund in the Republic of Moldova, applying safeguard policies has led to effective </w:t>
            </w:r>
            <w:r w:rsidRPr="00057399">
              <w:rPr>
                <w:rFonts w:ascii="Calibri" w:eastAsia="Batang" w:hAnsi="Calibri" w:cs="Calibri"/>
                <w:bCs/>
                <w:sz w:val="22"/>
                <w:szCs w:val="22"/>
                <w:lang w:val="en-US"/>
              </w:rPr>
              <w:t>communication with</w:t>
            </w:r>
            <w:r>
              <w:rPr>
                <w:rFonts w:ascii="Calibri" w:eastAsia="Batang" w:hAnsi="Calibri" w:cs="Calibri"/>
                <w:bCs/>
                <w:sz w:val="22"/>
                <w:szCs w:val="22"/>
                <w:lang w:val="en-US"/>
              </w:rPr>
              <w:t xml:space="preserve"> </w:t>
            </w:r>
            <w:r w:rsidRPr="00057399">
              <w:rPr>
                <w:rFonts w:ascii="Calibri" w:eastAsia="Batang" w:hAnsi="Calibri" w:cs="Calibri"/>
                <w:bCs/>
                <w:sz w:val="22"/>
                <w:szCs w:val="22"/>
                <w:lang w:val="en-US"/>
              </w:rPr>
              <w:t>the communities in the</w:t>
            </w:r>
            <w:r w:rsidRPr="00EB2029">
              <w:rPr>
                <w:rFonts w:ascii="Calibri" w:eastAsia="Batang" w:hAnsi="Calibri" w:cs="Calibri"/>
                <w:bCs/>
                <w:sz w:val="22"/>
                <w:szCs w:val="22"/>
                <w:lang w:val="en-US"/>
              </w:rPr>
              <w:t xml:space="preserve"> districts (</w:t>
            </w:r>
            <w:r w:rsidR="00520A30">
              <w:rPr>
                <w:rFonts w:ascii="Calibri" w:eastAsia="Batang" w:hAnsi="Calibri" w:cs="Calibri"/>
                <w:bCs/>
                <w:sz w:val="22"/>
                <w:szCs w:val="22"/>
                <w:lang w:val="en-US"/>
              </w:rPr>
              <w:t>“</w:t>
            </w:r>
            <w:proofErr w:type="spellStart"/>
            <w:r w:rsidRPr="00EB2029">
              <w:rPr>
                <w:rFonts w:ascii="Calibri" w:eastAsia="Batang" w:hAnsi="Calibri" w:cs="Calibri"/>
                <w:bCs/>
                <w:sz w:val="22"/>
                <w:szCs w:val="22"/>
                <w:lang w:val="en-US"/>
              </w:rPr>
              <w:t>raion</w:t>
            </w:r>
            <w:proofErr w:type="spellEnd"/>
            <w:r w:rsidR="00520A30">
              <w:rPr>
                <w:rFonts w:ascii="Calibri" w:eastAsia="Batang" w:hAnsi="Calibri" w:cs="Calibri"/>
                <w:bCs/>
                <w:sz w:val="22"/>
                <w:szCs w:val="22"/>
                <w:lang w:val="en-US"/>
              </w:rPr>
              <w:t>”</w:t>
            </w:r>
            <w:r w:rsidRPr="00EB2029">
              <w:rPr>
                <w:rFonts w:ascii="Calibri" w:eastAsia="Batang" w:hAnsi="Calibri" w:cs="Calibri"/>
                <w:bCs/>
                <w:sz w:val="22"/>
                <w:szCs w:val="22"/>
                <w:lang w:val="en-US"/>
              </w:rPr>
              <w:t xml:space="preserve">) </w:t>
            </w:r>
            <w:r w:rsidRPr="00057399">
              <w:rPr>
                <w:rFonts w:ascii="Calibri" w:eastAsia="Batang" w:hAnsi="Calibri" w:cs="Calibri"/>
                <w:bCs/>
                <w:sz w:val="22"/>
                <w:szCs w:val="22"/>
                <w:lang w:val="en-US"/>
              </w:rPr>
              <w:t>in which investment projects have been developed.</w:t>
            </w:r>
            <w:r w:rsidRPr="00EB2029">
              <w:rPr>
                <w:rFonts w:ascii="Calibri" w:eastAsia="Batang" w:hAnsi="Calibri" w:cs="Calibri"/>
                <w:bCs/>
                <w:sz w:val="22"/>
                <w:szCs w:val="22"/>
                <w:lang w:val="en-US"/>
              </w:rPr>
              <w:t xml:space="preserve"> </w:t>
            </w:r>
            <w:r w:rsidR="00520A30">
              <w:rPr>
                <w:rFonts w:ascii="Calibri" w:eastAsia="Batang" w:hAnsi="Calibri" w:cs="Calibri"/>
                <w:bCs/>
                <w:sz w:val="22"/>
                <w:szCs w:val="22"/>
                <w:lang w:val="en-US"/>
              </w:rPr>
              <w:t>I</w:t>
            </w:r>
            <w:r w:rsidRPr="00EB2029">
              <w:rPr>
                <w:rFonts w:ascii="Calibri" w:eastAsia="Batang" w:hAnsi="Calibri" w:cs="Calibri"/>
                <w:bCs/>
                <w:sz w:val="22"/>
                <w:szCs w:val="22"/>
                <w:lang w:val="en-US"/>
              </w:rPr>
              <w:t>nfrastructure project</w:t>
            </w:r>
            <w:r w:rsidR="00520A30">
              <w:rPr>
                <w:rFonts w:ascii="Calibri" w:eastAsia="Batang" w:hAnsi="Calibri" w:cs="Calibri"/>
                <w:bCs/>
                <w:sz w:val="22"/>
                <w:szCs w:val="22"/>
                <w:lang w:val="en-US"/>
              </w:rPr>
              <w:t xml:space="preserve"> implementation has also shown</w:t>
            </w:r>
            <w:r w:rsidRPr="00EB2029">
              <w:rPr>
                <w:rFonts w:ascii="Calibri" w:eastAsia="Batang" w:hAnsi="Calibri" w:cs="Calibri"/>
                <w:bCs/>
                <w:sz w:val="22"/>
                <w:szCs w:val="22"/>
                <w:lang w:val="en-US"/>
              </w:rPr>
              <w:t xml:space="preserve"> that the principles that safeguard policies are built on are suitable and effective in practice. </w:t>
            </w:r>
            <w:r w:rsidR="00520A30">
              <w:rPr>
                <w:rFonts w:ascii="Calibri" w:eastAsia="Batang" w:hAnsi="Calibri" w:cs="Calibri"/>
                <w:bCs/>
                <w:sz w:val="22"/>
                <w:szCs w:val="22"/>
                <w:lang w:val="en-US"/>
              </w:rPr>
              <w:t xml:space="preserve">For example, </w:t>
            </w:r>
            <w:r w:rsidR="00520A30" w:rsidRPr="00EB2029">
              <w:rPr>
                <w:rFonts w:ascii="Calibri" w:eastAsia="Batang" w:hAnsi="Calibri" w:cs="Calibri"/>
                <w:bCs/>
                <w:sz w:val="22"/>
                <w:szCs w:val="22"/>
                <w:lang w:val="en-US"/>
              </w:rPr>
              <w:t xml:space="preserve">where roads have been </w:t>
            </w:r>
            <w:r w:rsidR="00520A30">
              <w:rPr>
                <w:rFonts w:ascii="Calibri" w:eastAsia="Batang" w:hAnsi="Calibri" w:cs="Calibri"/>
                <w:bCs/>
                <w:sz w:val="22"/>
                <w:szCs w:val="22"/>
                <w:lang w:val="en-US"/>
              </w:rPr>
              <w:t>built, t</w:t>
            </w:r>
            <w:r w:rsidRPr="00EB2029">
              <w:rPr>
                <w:rFonts w:ascii="Calibri" w:eastAsia="Batang" w:hAnsi="Calibri" w:cs="Calibri"/>
                <w:bCs/>
                <w:sz w:val="22"/>
                <w:szCs w:val="22"/>
                <w:lang w:val="en-US"/>
              </w:rPr>
              <w:t>he population</w:t>
            </w:r>
            <w:r w:rsidR="00520A30">
              <w:rPr>
                <w:rFonts w:ascii="Calibri" w:eastAsia="Batang" w:hAnsi="Calibri" w:cs="Calibri"/>
                <w:bCs/>
                <w:sz w:val="22"/>
                <w:szCs w:val="22"/>
                <w:lang w:val="en-US"/>
              </w:rPr>
              <w:t xml:space="preserve"> was made aware</w:t>
            </w:r>
            <w:r w:rsidRPr="00EB2029">
              <w:rPr>
                <w:rFonts w:ascii="Calibri" w:eastAsia="Batang" w:hAnsi="Calibri" w:cs="Calibri"/>
                <w:bCs/>
                <w:sz w:val="22"/>
                <w:szCs w:val="22"/>
                <w:lang w:val="en-US"/>
              </w:rPr>
              <w:t xml:space="preserve">, </w:t>
            </w:r>
            <w:r w:rsidR="00520A30">
              <w:rPr>
                <w:rFonts w:ascii="Calibri" w:eastAsia="Batang" w:hAnsi="Calibri" w:cs="Calibri"/>
                <w:bCs/>
                <w:sz w:val="22"/>
                <w:szCs w:val="22"/>
                <w:lang w:val="en-US"/>
              </w:rPr>
              <w:t xml:space="preserve">and </w:t>
            </w:r>
            <w:r w:rsidRPr="00EB2029">
              <w:rPr>
                <w:rFonts w:ascii="Calibri" w:eastAsia="Batang" w:hAnsi="Calibri" w:cs="Calibri"/>
                <w:bCs/>
                <w:sz w:val="22"/>
                <w:szCs w:val="22"/>
                <w:lang w:val="en-US"/>
              </w:rPr>
              <w:t>representatives of communities</w:t>
            </w:r>
            <w:r w:rsidR="00520A30">
              <w:rPr>
                <w:rFonts w:ascii="Calibri" w:eastAsia="Batang" w:hAnsi="Calibri" w:cs="Calibri"/>
                <w:bCs/>
                <w:sz w:val="22"/>
                <w:szCs w:val="22"/>
                <w:lang w:val="en-US"/>
              </w:rPr>
              <w:t xml:space="preserve"> have participated </w:t>
            </w:r>
            <w:r w:rsidRPr="00EB2029">
              <w:rPr>
                <w:rFonts w:ascii="Calibri" w:eastAsia="Batang" w:hAnsi="Calibri" w:cs="Calibri"/>
                <w:bCs/>
                <w:sz w:val="22"/>
                <w:szCs w:val="22"/>
                <w:lang w:val="en-US"/>
              </w:rPr>
              <w:t>in developing action plan</w:t>
            </w:r>
            <w:r w:rsidR="00520A30">
              <w:rPr>
                <w:rFonts w:ascii="Calibri" w:eastAsia="Batang" w:hAnsi="Calibri" w:cs="Calibri"/>
                <w:bCs/>
                <w:sz w:val="22"/>
                <w:szCs w:val="22"/>
                <w:lang w:val="en-US"/>
              </w:rPr>
              <w:t>s</w:t>
            </w:r>
            <w:r w:rsidRPr="00EB2029">
              <w:rPr>
                <w:rFonts w:ascii="Calibri" w:eastAsia="Batang" w:hAnsi="Calibri" w:cs="Calibri"/>
                <w:bCs/>
                <w:sz w:val="22"/>
                <w:szCs w:val="22"/>
                <w:lang w:val="en-US"/>
              </w:rPr>
              <w:t xml:space="preserve"> </w:t>
            </w:r>
            <w:r w:rsidR="00520A30">
              <w:rPr>
                <w:rFonts w:ascii="Calibri" w:eastAsia="Batang" w:hAnsi="Calibri" w:cs="Calibri"/>
                <w:bCs/>
                <w:sz w:val="22"/>
                <w:szCs w:val="22"/>
                <w:lang w:val="en-US"/>
              </w:rPr>
              <w:t>for resettlement</w:t>
            </w:r>
            <w:r w:rsidRPr="00EB2029">
              <w:rPr>
                <w:rFonts w:ascii="Calibri" w:eastAsia="Batang" w:hAnsi="Calibri" w:cs="Calibri"/>
                <w:bCs/>
                <w:sz w:val="22"/>
                <w:szCs w:val="22"/>
                <w:lang w:val="en-US"/>
              </w:rPr>
              <w:t xml:space="preserve">. Additionally, community </w:t>
            </w:r>
            <w:r w:rsidR="00520A30">
              <w:rPr>
                <w:rFonts w:ascii="Calibri" w:eastAsia="Batang" w:hAnsi="Calibri" w:cs="Calibri"/>
                <w:bCs/>
                <w:sz w:val="22"/>
                <w:szCs w:val="22"/>
                <w:lang w:val="en-US"/>
              </w:rPr>
              <w:t xml:space="preserve">representatives </w:t>
            </w:r>
            <w:r w:rsidRPr="00EB2029">
              <w:rPr>
                <w:rFonts w:ascii="Calibri" w:eastAsia="Batang" w:hAnsi="Calibri" w:cs="Calibri"/>
                <w:bCs/>
                <w:sz w:val="22"/>
                <w:szCs w:val="22"/>
                <w:lang w:val="en-US"/>
              </w:rPr>
              <w:t xml:space="preserve">and local authorities </w:t>
            </w:r>
            <w:r w:rsidR="00520A30">
              <w:rPr>
                <w:rFonts w:ascii="Calibri" w:eastAsia="Batang" w:hAnsi="Calibri" w:cs="Calibri"/>
                <w:bCs/>
                <w:sz w:val="22"/>
                <w:szCs w:val="22"/>
                <w:lang w:val="en-US"/>
              </w:rPr>
              <w:t xml:space="preserve">have been able to be involved </w:t>
            </w:r>
            <w:r w:rsidRPr="00EB2029">
              <w:rPr>
                <w:rFonts w:ascii="Calibri" w:eastAsia="Batang" w:hAnsi="Calibri" w:cs="Calibri"/>
                <w:bCs/>
                <w:sz w:val="22"/>
                <w:szCs w:val="22"/>
                <w:lang w:val="en-US"/>
              </w:rPr>
              <w:t xml:space="preserve">in the coordination and complaint resolution committees. </w:t>
            </w:r>
            <w:r w:rsidR="00520A30">
              <w:rPr>
                <w:rFonts w:ascii="Calibri" w:eastAsia="Batang" w:hAnsi="Calibri" w:cs="Calibri"/>
                <w:bCs/>
                <w:sz w:val="22"/>
                <w:szCs w:val="22"/>
                <w:lang w:val="en-US"/>
              </w:rPr>
              <w:t>G</w:t>
            </w:r>
            <w:r w:rsidRPr="00EB2029">
              <w:rPr>
                <w:rFonts w:ascii="Calibri" w:eastAsia="Batang" w:hAnsi="Calibri" w:cs="Calibri"/>
                <w:bCs/>
                <w:sz w:val="22"/>
                <w:szCs w:val="22"/>
                <w:lang w:val="en-US"/>
              </w:rPr>
              <w:t>uide</w:t>
            </w:r>
            <w:r w:rsidR="00520A30">
              <w:rPr>
                <w:rFonts w:ascii="Calibri" w:eastAsia="Batang" w:hAnsi="Calibri" w:cs="Calibri"/>
                <w:bCs/>
                <w:sz w:val="22"/>
                <w:szCs w:val="22"/>
                <w:lang w:val="en-US"/>
              </w:rPr>
              <w:t>lines</w:t>
            </w:r>
            <w:r w:rsidRPr="00EB2029">
              <w:rPr>
                <w:rFonts w:ascii="Calibri" w:eastAsia="Batang" w:hAnsi="Calibri" w:cs="Calibri"/>
                <w:bCs/>
                <w:sz w:val="22"/>
                <w:szCs w:val="22"/>
                <w:lang w:val="en-US"/>
              </w:rPr>
              <w:t xml:space="preserve"> elaborated during </w:t>
            </w:r>
            <w:r w:rsidR="00520A30">
              <w:rPr>
                <w:rFonts w:ascii="Calibri" w:eastAsia="Batang" w:hAnsi="Calibri" w:cs="Calibri"/>
                <w:bCs/>
                <w:sz w:val="22"/>
                <w:szCs w:val="22"/>
                <w:lang w:val="en-US"/>
              </w:rPr>
              <w:t xml:space="preserve">safeguard policy </w:t>
            </w:r>
            <w:r w:rsidRPr="00EB2029">
              <w:rPr>
                <w:rFonts w:ascii="Calibri" w:eastAsia="Batang" w:hAnsi="Calibri" w:cs="Calibri"/>
                <w:bCs/>
                <w:sz w:val="22"/>
                <w:szCs w:val="22"/>
                <w:lang w:val="en-US"/>
              </w:rPr>
              <w:t xml:space="preserve">implementation were made available to all stakeholders. The complaints of the population were solved within a month’s time, which helped avoid serious cases of conflict. The correct application of </w:t>
            </w:r>
            <w:r w:rsidR="00520A30">
              <w:rPr>
                <w:rFonts w:ascii="Calibri" w:eastAsia="Batang" w:hAnsi="Calibri" w:cs="Calibri"/>
                <w:bCs/>
                <w:sz w:val="22"/>
                <w:szCs w:val="22"/>
                <w:lang w:val="en-US"/>
              </w:rPr>
              <w:t xml:space="preserve">the </w:t>
            </w:r>
            <w:r w:rsidRPr="00EB2029">
              <w:rPr>
                <w:rFonts w:ascii="Calibri" w:eastAsia="Batang" w:hAnsi="Calibri" w:cs="Calibri"/>
                <w:bCs/>
                <w:sz w:val="22"/>
                <w:szCs w:val="22"/>
                <w:lang w:val="en-US"/>
              </w:rPr>
              <w:t xml:space="preserve">safeguard policies was also made possible by </w:t>
            </w:r>
            <w:r w:rsidRPr="00EB2029">
              <w:rPr>
                <w:rFonts w:ascii="Calibri" w:eastAsia="Batang" w:hAnsi="Calibri" w:cs="Calibri"/>
                <w:bCs/>
                <w:sz w:val="22"/>
                <w:szCs w:val="22"/>
                <w:lang w:val="en-US"/>
              </w:rPr>
              <w:lastRenderedPageBreak/>
              <w:t xml:space="preserve">the current legal framework in the Republic of Moldova, which facilitated the involvement of the communities, the partnership with the local public authorities, </w:t>
            </w:r>
            <w:r w:rsidR="00C51424">
              <w:rPr>
                <w:rFonts w:ascii="Calibri" w:eastAsia="Batang" w:hAnsi="Calibri" w:cs="Calibri"/>
                <w:bCs/>
                <w:sz w:val="22"/>
                <w:szCs w:val="22"/>
                <w:lang w:val="en-US"/>
              </w:rPr>
              <w:t xml:space="preserve">and </w:t>
            </w:r>
            <w:r w:rsidRPr="00EB2029">
              <w:rPr>
                <w:rFonts w:ascii="Calibri" w:eastAsia="Batang" w:hAnsi="Calibri" w:cs="Calibri"/>
                <w:bCs/>
                <w:sz w:val="22"/>
                <w:szCs w:val="22"/>
                <w:lang w:val="en-US"/>
              </w:rPr>
              <w:t xml:space="preserve">the necessary legal approval of the local or district authorities, where applicable, depending on the classification of the roads. To conclude, the correct application of safeguard policies regarding </w:t>
            </w:r>
            <w:r w:rsidR="00C51424">
              <w:rPr>
                <w:rFonts w:ascii="Calibri" w:eastAsia="Batang" w:hAnsi="Calibri" w:cs="Calibri"/>
                <w:bCs/>
                <w:sz w:val="22"/>
                <w:szCs w:val="22"/>
                <w:lang w:val="en-US"/>
              </w:rPr>
              <w:t xml:space="preserve">resettlement </w:t>
            </w:r>
            <w:r w:rsidRPr="00EB2029">
              <w:rPr>
                <w:rFonts w:ascii="Calibri" w:eastAsia="Batang" w:hAnsi="Calibri" w:cs="Calibri"/>
                <w:bCs/>
                <w:sz w:val="22"/>
                <w:szCs w:val="22"/>
                <w:lang w:val="en-US"/>
              </w:rPr>
              <w:t xml:space="preserve">and the </w:t>
            </w:r>
            <w:r w:rsidR="00C51424">
              <w:rPr>
                <w:rFonts w:ascii="Calibri" w:eastAsia="Batang" w:hAnsi="Calibri" w:cs="Calibri"/>
                <w:bCs/>
                <w:sz w:val="22"/>
                <w:szCs w:val="22"/>
                <w:lang w:val="en-US"/>
              </w:rPr>
              <w:t xml:space="preserve">appropriate </w:t>
            </w:r>
            <w:r w:rsidRPr="00EB2029">
              <w:rPr>
                <w:rFonts w:ascii="Calibri" w:eastAsia="Batang" w:hAnsi="Calibri" w:cs="Calibri"/>
                <w:bCs/>
                <w:sz w:val="22"/>
                <w:szCs w:val="22"/>
                <w:lang w:val="en-US"/>
              </w:rPr>
              <w:t>briefing of the population allowed the latter to understand the ultimate importance of the future benefits created by the new roads both for each member of the community, and for the community as a whole.</w:t>
            </w:r>
            <w:r w:rsidRPr="00EB2029">
              <w:rPr>
                <w:rFonts w:ascii="Calibri" w:eastAsia="Batang" w:hAnsi="Calibri" w:cs="Calibri"/>
                <w:b/>
                <w:sz w:val="22"/>
                <w:szCs w:val="22"/>
                <w:lang w:val="en-US"/>
              </w:rPr>
              <w:t xml:space="preserve">  </w:t>
            </w:r>
          </w:p>
          <w:p w:rsidR="006B2825" w:rsidRPr="00EB2029" w:rsidRDefault="00C51424" w:rsidP="00B46A50">
            <w:pPr>
              <w:pStyle w:val="ListParagraph"/>
              <w:numPr>
                <w:ilvl w:val="0"/>
                <w:numId w:val="35"/>
              </w:numPr>
              <w:snapToGrid w:val="0"/>
              <w:spacing w:after="60" w:line="240" w:lineRule="auto"/>
              <w:ind w:left="360"/>
              <w:jc w:val="left"/>
              <w:rPr>
                <w:rFonts w:ascii="Calibri" w:eastAsia="Batang" w:hAnsi="Calibri" w:cs="Calibri"/>
                <w:b/>
                <w:szCs w:val="22"/>
                <w:lang w:val="en-US"/>
              </w:rPr>
            </w:pPr>
            <w:r>
              <w:rPr>
                <w:rFonts w:ascii="Calibri" w:eastAsia="Batang" w:hAnsi="Calibri" w:cs="Calibri"/>
                <w:b/>
                <w:i/>
                <w:iCs/>
                <w:sz w:val="22"/>
                <w:szCs w:val="22"/>
                <w:lang w:val="en-US"/>
              </w:rPr>
              <w:t>C</w:t>
            </w:r>
            <w:r w:rsidR="006B2825" w:rsidRPr="00EB2029">
              <w:rPr>
                <w:rFonts w:ascii="Calibri" w:eastAsia="Batang" w:hAnsi="Calibri" w:cs="Calibri"/>
                <w:b/>
                <w:i/>
                <w:iCs/>
                <w:sz w:val="22"/>
                <w:szCs w:val="22"/>
                <w:lang w:val="en-US"/>
              </w:rPr>
              <w:t xml:space="preserve">ampaigns to create public awareness among stakeholders and beneficiaries are vital in order to properly apply social and environmental safeguard policies. Organizing such campaigns must be a constant priority throughout the implementation stage, and the activities that must be included in such campaigns should be budgeted for accordingly for each project. </w:t>
            </w:r>
            <w:r w:rsidR="006B2825" w:rsidRPr="00EB2029">
              <w:rPr>
                <w:rFonts w:ascii="Calibri" w:eastAsia="Batang" w:hAnsi="Calibri" w:cs="Calibri"/>
                <w:bCs/>
                <w:sz w:val="22"/>
                <w:szCs w:val="22"/>
                <w:lang w:val="en-US"/>
              </w:rPr>
              <w:t xml:space="preserve">In the case of medical infrastructure rehabilitation projects (hospitals, etc.) in Romania, the </w:t>
            </w:r>
            <w:r w:rsidR="00B75D74">
              <w:rPr>
                <w:rFonts w:ascii="Calibri" w:eastAsia="Batang" w:hAnsi="Calibri" w:cs="Calibri"/>
                <w:bCs/>
                <w:sz w:val="22"/>
                <w:szCs w:val="22"/>
                <w:lang w:val="en-US"/>
              </w:rPr>
              <w:t>B</w:t>
            </w:r>
            <w:r w:rsidR="006B2825" w:rsidRPr="00EB2029">
              <w:rPr>
                <w:rFonts w:ascii="Calibri" w:eastAsia="Batang" w:hAnsi="Calibri" w:cs="Calibri"/>
                <w:bCs/>
                <w:sz w:val="22"/>
                <w:szCs w:val="22"/>
                <w:lang w:val="en-US"/>
              </w:rPr>
              <w:t xml:space="preserve">ank’s safeguard policies have proven their utility with respect to civil works contracts signed </w:t>
            </w:r>
            <w:r w:rsidR="00B75D74">
              <w:rPr>
                <w:rFonts w:ascii="Calibri" w:eastAsia="Batang" w:hAnsi="Calibri" w:cs="Calibri"/>
                <w:bCs/>
                <w:sz w:val="22"/>
                <w:szCs w:val="22"/>
                <w:lang w:val="en-US"/>
              </w:rPr>
              <w:t>f</w:t>
            </w:r>
            <w:r w:rsidR="006B2825" w:rsidRPr="00EB2029">
              <w:rPr>
                <w:rFonts w:ascii="Calibri" w:eastAsia="Batang" w:hAnsi="Calibri" w:cs="Calibri"/>
                <w:bCs/>
                <w:sz w:val="22"/>
                <w:szCs w:val="22"/>
                <w:lang w:val="en-US"/>
              </w:rPr>
              <w:t>o</w:t>
            </w:r>
            <w:r w:rsidR="00B75D74">
              <w:rPr>
                <w:rFonts w:ascii="Calibri" w:eastAsia="Batang" w:hAnsi="Calibri" w:cs="Calibri"/>
                <w:bCs/>
                <w:sz w:val="22"/>
                <w:szCs w:val="22"/>
                <w:lang w:val="en-US"/>
              </w:rPr>
              <w:t>r</w:t>
            </w:r>
            <w:r w:rsidR="006B2825" w:rsidRPr="00EB2029">
              <w:rPr>
                <w:rFonts w:ascii="Calibri" w:eastAsia="Batang" w:hAnsi="Calibri" w:cs="Calibri"/>
                <w:bCs/>
                <w:sz w:val="22"/>
                <w:szCs w:val="22"/>
                <w:lang w:val="en-US"/>
              </w:rPr>
              <w:t xml:space="preserve"> the purpose of rehabilitating hospitals and other medical institutions. Such policies were reflected in the Environment</w:t>
            </w:r>
            <w:r w:rsidR="00B75D74">
              <w:rPr>
                <w:rFonts w:ascii="Calibri" w:eastAsia="Batang" w:hAnsi="Calibri" w:cs="Calibri"/>
                <w:bCs/>
                <w:sz w:val="22"/>
                <w:szCs w:val="22"/>
                <w:lang w:val="en-US"/>
              </w:rPr>
              <w:t>al</w:t>
            </w:r>
            <w:r w:rsidR="006B2825" w:rsidRPr="00EB2029">
              <w:rPr>
                <w:rFonts w:ascii="Calibri" w:eastAsia="Batang" w:hAnsi="Calibri" w:cs="Calibri"/>
                <w:bCs/>
                <w:sz w:val="22"/>
                <w:szCs w:val="22"/>
                <w:lang w:val="en-US"/>
              </w:rPr>
              <w:t xml:space="preserve"> Management Plans. The principles and measures set </w:t>
            </w:r>
            <w:r w:rsidR="00B75D74">
              <w:rPr>
                <w:rFonts w:ascii="Calibri" w:eastAsia="Batang" w:hAnsi="Calibri" w:cs="Calibri"/>
                <w:bCs/>
                <w:sz w:val="22"/>
                <w:szCs w:val="22"/>
                <w:lang w:val="en-US"/>
              </w:rPr>
              <w:t xml:space="preserve">forth in </w:t>
            </w:r>
            <w:r w:rsidR="006B2825" w:rsidRPr="00EB2029">
              <w:rPr>
                <w:rFonts w:ascii="Calibri" w:eastAsia="Batang" w:hAnsi="Calibri" w:cs="Calibri"/>
                <w:bCs/>
                <w:sz w:val="22"/>
                <w:szCs w:val="22"/>
                <w:lang w:val="en-US"/>
              </w:rPr>
              <w:t xml:space="preserve">the environmental safeguard policies are in alignment with the measures </w:t>
            </w:r>
            <w:r w:rsidR="00B75D74">
              <w:rPr>
                <w:rFonts w:ascii="Calibri" w:eastAsia="Batang" w:hAnsi="Calibri" w:cs="Calibri"/>
                <w:bCs/>
                <w:sz w:val="22"/>
                <w:szCs w:val="22"/>
                <w:lang w:val="en-US"/>
              </w:rPr>
              <w:t xml:space="preserve">contained in </w:t>
            </w:r>
            <w:r w:rsidR="006B2825" w:rsidRPr="00EB2029">
              <w:rPr>
                <w:rFonts w:ascii="Calibri" w:eastAsia="Batang" w:hAnsi="Calibri" w:cs="Calibri"/>
                <w:bCs/>
                <w:sz w:val="22"/>
                <w:szCs w:val="22"/>
                <w:lang w:val="en-US"/>
              </w:rPr>
              <w:t xml:space="preserve">the national legal framework, </w:t>
            </w:r>
            <w:r w:rsidR="00B75D74">
              <w:rPr>
                <w:rFonts w:ascii="Calibri" w:eastAsia="Batang" w:hAnsi="Calibri" w:cs="Calibri"/>
                <w:bCs/>
                <w:sz w:val="22"/>
                <w:szCs w:val="22"/>
                <w:lang w:val="en-US"/>
              </w:rPr>
              <w:t xml:space="preserve">as well as </w:t>
            </w:r>
            <w:r w:rsidR="006B2825" w:rsidRPr="00EB2029">
              <w:rPr>
                <w:rFonts w:ascii="Calibri" w:eastAsia="Batang" w:hAnsi="Calibri" w:cs="Calibri"/>
                <w:bCs/>
                <w:sz w:val="22"/>
                <w:szCs w:val="22"/>
                <w:lang w:val="en-US"/>
              </w:rPr>
              <w:t>the EU legal framework, with which Romania has had to align its</w:t>
            </w:r>
            <w:r w:rsidR="00B75D74">
              <w:rPr>
                <w:rFonts w:ascii="Calibri" w:eastAsia="Batang" w:hAnsi="Calibri" w:cs="Calibri"/>
                <w:bCs/>
                <w:sz w:val="22"/>
                <w:szCs w:val="22"/>
                <w:lang w:val="en-US"/>
              </w:rPr>
              <w:t>elf</w:t>
            </w:r>
            <w:r w:rsidR="006B2825" w:rsidRPr="00EB2029">
              <w:rPr>
                <w:rFonts w:ascii="Calibri" w:eastAsia="Batang" w:hAnsi="Calibri" w:cs="Calibri"/>
                <w:bCs/>
                <w:sz w:val="22"/>
                <w:szCs w:val="22"/>
                <w:lang w:val="en-US"/>
              </w:rPr>
              <w:t>. Secondly, another positive aspect is that the Environment</w:t>
            </w:r>
            <w:r w:rsidR="00B75D74">
              <w:rPr>
                <w:rFonts w:ascii="Calibri" w:eastAsia="Batang" w:hAnsi="Calibri" w:cs="Calibri"/>
                <w:bCs/>
                <w:sz w:val="22"/>
                <w:szCs w:val="22"/>
                <w:lang w:val="en-US"/>
              </w:rPr>
              <w:t>al</w:t>
            </w:r>
            <w:r w:rsidR="006B2825" w:rsidRPr="00EB2029">
              <w:rPr>
                <w:rFonts w:ascii="Calibri" w:eastAsia="Batang" w:hAnsi="Calibri" w:cs="Calibri"/>
                <w:bCs/>
                <w:sz w:val="22"/>
                <w:szCs w:val="22"/>
                <w:lang w:val="en-US"/>
              </w:rPr>
              <w:t xml:space="preserve"> Management Plan has become integrated in</w:t>
            </w:r>
            <w:r w:rsidR="00B75D74">
              <w:rPr>
                <w:rFonts w:ascii="Calibri" w:eastAsia="Batang" w:hAnsi="Calibri" w:cs="Calibri"/>
                <w:bCs/>
                <w:sz w:val="22"/>
                <w:szCs w:val="22"/>
                <w:lang w:val="en-US"/>
              </w:rPr>
              <w:t>to</w:t>
            </w:r>
            <w:r w:rsidR="006B2825" w:rsidRPr="00EB2029">
              <w:rPr>
                <w:rFonts w:ascii="Calibri" w:eastAsia="Batang" w:hAnsi="Calibri" w:cs="Calibri"/>
                <w:bCs/>
                <w:sz w:val="22"/>
                <w:szCs w:val="22"/>
                <w:lang w:val="en-US"/>
              </w:rPr>
              <w:t xml:space="preserve"> the civil works contracts signed with all suppliers that have been awarded works contracts following public acquisitions procedures. As such, the </w:t>
            </w:r>
            <w:r w:rsidR="00B75D74">
              <w:rPr>
                <w:rFonts w:ascii="Calibri" w:eastAsia="Batang" w:hAnsi="Calibri" w:cs="Calibri"/>
                <w:bCs/>
                <w:sz w:val="22"/>
                <w:szCs w:val="22"/>
                <w:lang w:val="en-US"/>
              </w:rPr>
              <w:t>B</w:t>
            </w:r>
            <w:r w:rsidR="006B2825" w:rsidRPr="00EB2029">
              <w:rPr>
                <w:rFonts w:ascii="Calibri" w:eastAsia="Batang" w:hAnsi="Calibri" w:cs="Calibri"/>
                <w:bCs/>
                <w:sz w:val="22"/>
                <w:szCs w:val="22"/>
                <w:lang w:val="en-US"/>
              </w:rPr>
              <w:t xml:space="preserve">ank’s social and environmental safeguard policies became </w:t>
            </w:r>
            <w:r w:rsidR="00B46A50">
              <w:rPr>
                <w:rFonts w:ascii="Calibri" w:eastAsia="Batang" w:hAnsi="Calibri" w:cs="Calibri"/>
                <w:bCs/>
                <w:sz w:val="22"/>
                <w:szCs w:val="22"/>
                <w:lang w:val="en-US"/>
              </w:rPr>
              <w:t>applicable</w:t>
            </w:r>
            <w:r w:rsidR="00B46A50" w:rsidRPr="00EB2029">
              <w:rPr>
                <w:rFonts w:ascii="Calibri" w:eastAsia="Batang" w:hAnsi="Calibri" w:cs="Calibri"/>
                <w:bCs/>
                <w:sz w:val="22"/>
                <w:szCs w:val="22"/>
                <w:lang w:val="en-US"/>
              </w:rPr>
              <w:t xml:space="preserve"> </w:t>
            </w:r>
            <w:r w:rsidR="006B2825" w:rsidRPr="00EB2029">
              <w:rPr>
                <w:rFonts w:ascii="Calibri" w:eastAsia="Batang" w:hAnsi="Calibri" w:cs="Calibri"/>
                <w:bCs/>
                <w:sz w:val="22"/>
                <w:szCs w:val="22"/>
                <w:lang w:val="en-US"/>
              </w:rPr>
              <w:t xml:space="preserve">and mandatory for the suppliers, as well. Where the hospital rehabilitation program is concerned, the most relevant cases were those where the safeguard policies </w:t>
            </w:r>
            <w:r w:rsidR="006B2825" w:rsidRPr="00057399">
              <w:rPr>
                <w:rFonts w:ascii="Calibri" w:eastAsia="Batang" w:hAnsi="Calibri" w:cs="Calibri"/>
                <w:bCs/>
                <w:sz w:val="22"/>
                <w:szCs w:val="22"/>
                <w:lang w:val="en-US"/>
              </w:rPr>
              <w:t>introduced the constructors’ obligation to take concrete measures with respect to</w:t>
            </w:r>
            <w:r w:rsidR="006B2825" w:rsidRPr="00EB2029">
              <w:rPr>
                <w:rFonts w:ascii="Calibri" w:eastAsia="Batang" w:hAnsi="Calibri" w:cs="Calibri"/>
                <w:bCs/>
                <w:sz w:val="22"/>
                <w:szCs w:val="22"/>
                <w:lang w:val="en-US"/>
              </w:rPr>
              <w:t xml:space="preserve"> the management of construction and demolition waste, etc. </w:t>
            </w:r>
          </w:p>
          <w:p w:rsidR="006B2825" w:rsidRPr="00EB2029" w:rsidRDefault="006B2825" w:rsidP="00B46A50">
            <w:pPr>
              <w:pStyle w:val="ListParagraph"/>
              <w:numPr>
                <w:ilvl w:val="0"/>
                <w:numId w:val="35"/>
              </w:numPr>
              <w:snapToGrid w:val="0"/>
              <w:spacing w:after="60" w:line="240" w:lineRule="auto"/>
              <w:ind w:left="360"/>
              <w:jc w:val="left"/>
              <w:rPr>
                <w:rFonts w:ascii="Calibri" w:eastAsia="Batang" w:hAnsi="Calibri" w:cs="Calibri"/>
                <w:bCs/>
                <w:szCs w:val="22"/>
                <w:lang w:val="en-US"/>
              </w:rPr>
            </w:pPr>
            <w:r w:rsidRPr="00EB2029">
              <w:rPr>
                <w:rFonts w:ascii="Calibri" w:eastAsia="Batang" w:hAnsi="Calibri" w:cs="Calibri"/>
                <w:bCs/>
                <w:sz w:val="22"/>
                <w:szCs w:val="22"/>
                <w:lang w:val="en-US"/>
              </w:rPr>
              <w:t xml:space="preserve">The project of the Ministry for the Environment and Climate Change has entailed multiple investments and public awareness campaigns, including hundreds of meetings with over 90 communities, during which the scope of the project and the interventions made as part of the project were presented to the public. The public was also offered the opportunity to make an informed decision before the implementation stage. The awareness campaign is still being run. Experience shows that positive results can be ensured by a constant effort both in the implementation stage, and after the project goals have been completed. </w:t>
            </w:r>
          </w:p>
          <w:p w:rsidR="006B2825" w:rsidRPr="00F7039C" w:rsidRDefault="006B2825" w:rsidP="00B46A50">
            <w:pPr>
              <w:pStyle w:val="ListParagraph"/>
              <w:numPr>
                <w:ilvl w:val="0"/>
                <w:numId w:val="35"/>
              </w:numPr>
              <w:spacing w:after="60" w:line="240" w:lineRule="auto"/>
              <w:ind w:left="360"/>
              <w:jc w:val="left"/>
              <w:rPr>
                <w:rFonts w:ascii="Calibri" w:hAnsi="Calibri" w:cs="Calibri"/>
                <w:color w:val="333333"/>
                <w:szCs w:val="22"/>
                <w:lang w:val="en-US"/>
              </w:rPr>
            </w:pPr>
            <w:r w:rsidRPr="00F7039C">
              <w:rPr>
                <w:rFonts w:ascii="Calibri" w:hAnsi="Calibri" w:cs="Calibri"/>
                <w:b/>
                <w:bCs/>
                <w:i/>
                <w:iCs/>
                <w:color w:val="333333"/>
                <w:sz w:val="22"/>
                <w:szCs w:val="22"/>
                <w:lang w:val="en-US"/>
              </w:rPr>
              <w:t xml:space="preserve">It is beneficial to draft the technical projects during the implementation of the investment project funded by the </w:t>
            </w:r>
            <w:r w:rsidR="00B75D74">
              <w:rPr>
                <w:rFonts w:ascii="Calibri" w:hAnsi="Calibri" w:cs="Calibri"/>
                <w:b/>
                <w:bCs/>
                <w:i/>
                <w:iCs/>
                <w:color w:val="333333"/>
                <w:sz w:val="22"/>
                <w:szCs w:val="22"/>
                <w:lang w:val="en-US"/>
              </w:rPr>
              <w:t>B</w:t>
            </w:r>
            <w:r w:rsidRPr="00F7039C">
              <w:rPr>
                <w:rFonts w:ascii="Calibri" w:hAnsi="Calibri" w:cs="Calibri"/>
                <w:b/>
                <w:bCs/>
                <w:i/>
                <w:iCs/>
                <w:color w:val="333333"/>
                <w:sz w:val="22"/>
                <w:szCs w:val="22"/>
                <w:lang w:val="en-US"/>
              </w:rPr>
              <w:t xml:space="preserve">ank, not before implementation, in order to allow for proper consideration of safeguard policies. </w:t>
            </w:r>
            <w:r w:rsidRPr="00F7039C">
              <w:rPr>
                <w:rFonts w:ascii="Calibri" w:hAnsi="Calibri" w:cs="Calibri"/>
                <w:color w:val="333333"/>
                <w:sz w:val="22"/>
                <w:szCs w:val="22"/>
                <w:lang w:val="en-US"/>
              </w:rPr>
              <w:t xml:space="preserve">In the case of the projects that were created by the Ministry for the Environment and Climate Change and </w:t>
            </w:r>
            <w:r>
              <w:rPr>
                <w:rFonts w:ascii="Calibri" w:hAnsi="Calibri" w:cs="Calibri"/>
                <w:color w:val="333333"/>
                <w:sz w:val="22"/>
                <w:szCs w:val="22"/>
                <w:lang w:val="en-US"/>
              </w:rPr>
              <w:t xml:space="preserve">which received </w:t>
            </w:r>
            <w:r w:rsidRPr="00F7039C">
              <w:rPr>
                <w:rFonts w:ascii="Calibri" w:hAnsi="Calibri" w:cs="Calibri"/>
                <w:color w:val="333333"/>
                <w:sz w:val="22"/>
                <w:szCs w:val="22"/>
                <w:lang w:val="en-US"/>
              </w:rPr>
              <w:t>fund</w:t>
            </w:r>
            <w:r>
              <w:rPr>
                <w:rFonts w:ascii="Calibri" w:hAnsi="Calibri" w:cs="Calibri"/>
                <w:color w:val="333333"/>
                <w:sz w:val="22"/>
                <w:szCs w:val="22"/>
                <w:lang w:val="en-US"/>
              </w:rPr>
              <w:t>ing</w:t>
            </w:r>
            <w:r w:rsidRPr="00F7039C">
              <w:rPr>
                <w:rFonts w:ascii="Calibri" w:hAnsi="Calibri" w:cs="Calibri"/>
                <w:color w:val="333333"/>
                <w:sz w:val="22"/>
                <w:szCs w:val="22"/>
                <w:lang w:val="en-US"/>
              </w:rPr>
              <w:t xml:space="preserve"> </w:t>
            </w:r>
            <w:r>
              <w:rPr>
                <w:rFonts w:ascii="Calibri" w:hAnsi="Calibri" w:cs="Calibri"/>
                <w:color w:val="333333"/>
                <w:sz w:val="22"/>
                <w:szCs w:val="22"/>
                <w:lang w:val="en-US"/>
              </w:rPr>
              <w:t>from</w:t>
            </w:r>
            <w:r w:rsidRPr="00F7039C">
              <w:rPr>
                <w:rFonts w:ascii="Calibri" w:hAnsi="Calibri" w:cs="Calibri"/>
                <w:color w:val="333333"/>
                <w:sz w:val="22"/>
                <w:szCs w:val="22"/>
                <w:lang w:val="en-US"/>
              </w:rPr>
              <w:t xml:space="preserve"> the </w:t>
            </w:r>
            <w:r w:rsidR="00B75D74">
              <w:rPr>
                <w:rFonts w:ascii="Calibri" w:hAnsi="Calibri" w:cs="Calibri"/>
                <w:color w:val="333333"/>
                <w:sz w:val="22"/>
                <w:szCs w:val="22"/>
                <w:lang w:val="en-US"/>
              </w:rPr>
              <w:t>B</w:t>
            </w:r>
            <w:r w:rsidRPr="00F7039C">
              <w:rPr>
                <w:rFonts w:ascii="Calibri" w:hAnsi="Calibri" w:cs="Calibri"/>
                <w:color w:val="333333"/>
                <w:sz w:val="22"/>
                <w:szCs w:val="22"/>
                <w:lang w:val="en-US"/>
              </w:rPr>
              <w:t xml:space="preserve">ank, the fact that all investments made as part of the project were </w:t>
            </w:r>
            <w:r w:rsidR="00B75D74">
              <w:rPr>
                <w:rFonts w:ascii="Calibri" w:hAnsi="Calibri" w:cs="Calibri"/>
                <w:color w:val="333333"/>
                <w:sz w:val="22"/>
                <w:szCs w:val="22"/>
                <w:lang w:val="en-US"/>
              </w:rPr>
              <w:t xml:space="preserve">developed </w:t>
            </w:r>
            <w:r w:rsidRPr="00F7039C">
              <w:rPr>
                <w:rFonts w:ascii="Calibri" w:hAnsi="Calibri" w:cs="Calibri"/>
                <w:color w:val="333333"/>
                <w:sz w:val="22"/>
                <w:szCs w:val="22"/>
                <w:lang w:val="en-US"/>
              </w:rPr>
              <w:t xml:space="preserve">during the implementation stage facilitated the incorporation of the </w:t>
            </w:r>
            <w:r w:rsidR="00B75D74">
              <w:rPr>
                <w:rFonts w:ascii="Calibri" w:hAnsi="Calibri" w:cs="Calibri"/>
                <w:color w:val="333333"/>
                <w:sz w:val="22"/>
                <w:szCs w:val="22"/>
                <w:lang w:val="en-US"/>
              </w:rPr>
              <w:t>B</w:t>
            </w:r>
            <w:r w:rsidRPr="00F7039C">
              <w:rPr>
                <w:rFonts w:ascii="Calibri" w:hAnsi="Calibri" w:cs="Calibri"/>
                <w:color w:val="333333"/>
                <w:sz w:val="22"/>
                <w:szCs w:val="22"/>
                <w:lang w:val="en-US"/>
              </w:rPr>
              <w:t>ank’s safeguard policies. The pilot project</w:t>
            </w:r>
            <w:r w:rsidRPr="00F7039C">
              <w:rPr>
                <w:rStyle w:val="FootnoteReference"/>
                <w:rFonts w:ascii="Calibri" w:hAnsi="Calibri" w:cs="Calibri"/>
                <w:color w:val="333333"/>
                <w:sz w:val="22"/>
                <w:szCs w:val="22"/>
                <w:lang w:val="en-US"/>
              </w:rPr>
              <w:footnoteReference w:id="1"/>
            </w:r>
            <w:r w:rsidRPr="00F7039C">
              <w:rPr>
                <w:rFonts w:ascii="Calibri" w:hAnsi="Calibri" w:cs="Calibri"/>
                <w:color w:val="333333"/>
                <w:sz w:val="22"/>
                <w:szCs w:val="22"/>
                <w:lang w:val="en-US"/>
              </w:rPr>
              <w:t xml:space="preserve"> show</w:t>
            </w:r>
            <w:r w:rsidR="00B75D74">
              <w:rPr>
                <w:rFonts w:ascii="Calibri" w:hAnsi="Calibri" w:cs="Calibri"/>
                <w:color w:val="333333"/>
                <w:sz w:val="22"/>
                <w:szCs w:val="22"/>
                <w:lang w:val="en-US"/>
              </w:rPr>
              <w:t>ed</w:t>
            </w:r>
            <w:r w:rsidRPr="00F7039C">
              <w:rPr>
                <w:rFonts w:ascii="Calibri" w:hAnsi="Calibri" w:cs="Calibri"/>
                <w:color w:val="333333"/>
                <w:sz w:val="22"/>
                <w:szCs w:val="22"/>
                <w:lang w:val="en-US"/>
              </w:rPr>
              <w:t xml:space="preserve"> that the construction supplier had not included such objectives, expenses and costs in the technical proposal that won him the contract. As such, the provisions of </w:t>
            </w:r>
            <w:r w:rsidR="00B75D74">
              <w:rPr>
                <w:rFonts w:ascii="Calibri" w:hAnsi="Calibri" w:cs="Calibri"/>
                <w:color w:val="333333"/>
                <w:sz w:val="22"/>
                <w:szCs w:val="22"/>
                <w:lang w:val="en-US"/>
              </w:rPr>
              <w:t xml:space="preserve">the </w:t>
            </w:r>
            <w:r w:rsidRPr="00F7039C">
              <w:rPr>
                <w:rFonts w:ascii="Calibri" w:hAnsi="Calibri" w:cs="Calibri"/>
                <w:color w:val="333333"/>
                <w:sz w:val="22"/>
                <w:szCs w:val="22"/>
                <w:lang w:val="en-US"/>
              </w:rPr>
              <w:t>environmental safeguard policies (especially those that referred to managing waste during the construction work</w:t>
            </w:r>
            <w:r w:rsidRPr="00057399">
              <w:rPr>
                <w:rFonts w:ascii="Calibri" w:eastAsia="Batang" w:hAnsi="Calibri" w:cs="Calibri"/>
                <w:bCs/>
                <w:sz w:val="22"/>
                <w:szCs w:val="22"/>
                <w:lang w:val="en-US"/>
              </w:rPr>
              <w:t xml:space="preserve">, </w:t>
            </w:r>
            <w:r w:rsidR="00751F73" w:rsidRPr="00057399">
              <w:rPr>
                <w:rFonts w:ascii="Calibri" w:eastAsia="Batang" w:hAnsi="Calibri" w:cs="Calibri"/>
                <w:bCs/>
                <w:sz w:val="22"/>
                <w:szCs w:val="22"/>
                <w:lang w:val="en-US"/>
              </w:rPr>
              <w:t>avoiding water engorgement</w:t>
            </w:r>
            <w:r w:rsidRPr="00057399">
              <w:rPr>
                <w:rFonts w:ascii="Calibri" w:eastAsia="Batang" w:hAnsi="Calibri" w:cs="Calibri"/>
                <w:bCs/>
                <w:sz w:val="22"/>
                <w:szCs w:val="22"/>
                <w:lang w:val="en-US"/>
              </w:rPr>
              <w:t>, protecting</w:t>
            </w:r>
            <w:r w:rsidRPr="00F7039C">
              <w:rPr>
                <w:rFonts w:ascii="Calibri" w:hAnsi="Calibri" w:cs="Calibri"/>
                <w:color w:val="333333"/>
                <w:sz w:val="22"/>
                <w:szCs w:val="22"/>
                <w:lang w:val="en-US"/>
              </w:rPr>
              <w:t xml:space="preserve"> the waters from pollution, etc.) were included in the Terms of Reference </w:t>
            </w:r>
            <w:r w:rsidR="00B46A50">
              <w:rPr>
                <w:rFonts w:ascii="Calibri" w:hAnsi="Calibri" w:cs="Calibri"/>
                <w:color w:val="333333"/>
                <w:sz w:val="22"/>
                <w:szCs w:val="22"/>
                <w:lang w:val="en-US"/>
              </w:rPr>
              <w:t xml:space="preserve">for </w:t>
            </w:r>
            <w:proofErr w:type="gramStart"/>
            <w:r w:rsidRPr="00F7039C">
              <w:rPr>
                <w:rFonts w:ascii="Calibri" w:hAnsi="Calibri" w:cs="Calibri"/>
                <w:color w:val="333333"/>
                <w:sz w:val="22"/>
                <w:szCs w:val="22"/>
                <w:lang w:val="en-US"/>
              </w:rPr>
              <w:t>he</w:t>
            </w:r>
            <w:proofErr w:type="gramEnd"/>
            <w:r w:rsidRPr="00F7039C">
              <w:rPr>
                <w:rFonts w:ascii="Calibri" w:hAnsi="Calibri" w:cs="Calibri"/>
                <w:color w:val="333333"/>
                <w:sz w:val="22"/>
                <w:szCs w:val="22"/>
                <w:lang w:val="en-US"/>
              </w:rPr>
              <w:t xml:space="preserve"> large-scale implementation of the </w:t>
            </w:r>
            <w:r>
              <w:rPr>
                <w:rFonts w:ascii="Calibri" w:hAnsi="Calibri" w:cs="Calibri"/>
                <w:color w:val="333333"/>
                <w:sz w:val="22"/>
                <w:szCs w:val="22"/>
                <w:lang w:val="en-US"/>
              </w:rPr>
              <w:t>p</w:t>
            </w:r>
            <w:r w:rsidRPr="00F7039C">
              <w:rPr>
                <w:rFonts w:ascii="Calibri" w:hAnsi="Calibri" w:cs="Calibri"/>
                <w:color w:val="333333"/>
                <w:sz w:val="22"/>
                <w:szCs w:val="22"/>
                <w:lang w:val="en-US"/>
              </w:rPr>
              <w:t xml:space="preserve">roject. From a social perspective, there was no problem as the </w:t>
            </w:r>
            <w:r>
              <w:rPr>
                <w:rFonts w:ascii="Calibri" w:hAnsi="Calibri" w:cs="Calibri"/>
                <w:color w:val="333333"/>
                <w:sz w:val="22"/>
                <w:szCs w:val="22"/>
                <w:lang w:val="en-US"/>
              </w:rPr>
              <w:t>p</w:t>
            </w:r>
            <w:r w:rsidRPr="00F7039C">
              <w:rPr>
                <w:rFonts w:ascii="Calibri" w:hAnsi="Calibri" w:cs="Calibri"/>
                <w:color w:val="333333"/>
                <w:sz w:val="22"/>
                <w:szCs w:val="22"/>
                <w:lang w:val="en-US"/>
              </w:rPr>
              <w:t xml:space="preserve">roject was meant for the communities and the public domain and therefore, there was no negative social impact. </w:t>
            </w:r>
          </w:p>
          <w:p w:rsidR="006B2825" w:rsidRPr="00F7039C" w:rsidRDefault="006B2825" w:rsidP="00B46A50">
            <w:pPr>
              <w:pStyle w:val="ListParagraph"/>
              <w:numPr>
                <w:ilvl w:val="0"/>
                <w:numId w:val="35"/>
              </w:numPr>
              <w:spacing w:after="60" w:line="240" w:lineRule="auto"/>
              <w:ind w:left="360"/>
              <w:jc w:val="left"/>
              <w:rPr>
                <w:rFonts w:ascii="Calibri" w:hAnsi="Calibri" w:cs="Calibri"/>
                <w:szCs w:val="22"/>
                <w:lang w:val="en-US"/>
              </w:rPr>
            </w:pPr>
            <w:r w:rsidRPr="00F7039C">
              <w:rPr>
                <w:rFonts w:ascii="Calibri" w:hAnsi="Calibri" w:cs="Calibri"/>
                <w:b/>
                <w:bCs/>
                <w:i/>
                <w:iCs/>
                <w:color w:val="333333"/>
                <w:sz w:val="22"/>
                <w:szCs w:val="22"/>
                <w:lang w:val="en-US"/>
              </w:rPr>
              <w:t xml:space="preserve">The requirements of the Bank safeguard policies and the national legal framework were harmonized from the </w:t>
            </w:r>
            <w:r w:rsidR="00FA7B29">
              <w:rPr>
                <w:rFonts w:ascii="Calibri" w:hAnsi="Calibri" w:cs="Calibri"/>
                <w:b/>
                <w:bCs/>
                <w:i/>
                <w:iCs/>
                <w:color w:val="333333"/>
                <w:sz w:val="22"/>
                <w:szCs w:val="22"/>
                <w:lang w:val="en-US"/>
              </w:rPr>
              <w:t>p</w:t>
            </w:r>
            <w:r w:rsidRPr="00F7039C">
              <w:rPr>
                <w:rFonts w:ascii="Calibri" w:hAnsi="Calibri" w:cs="Calibri"/>
                <w:b/>
                <w:bCs/>
                <w:i/>
                <w:iCs/>
                <w:color w:val="333333"/>
                <w:sz w:val="22"/>
                <w:szCs w:val="22"/>
                <w:lang w:val="en-US"/>
              </w:rPr>
              <w:t xml:space="preserve">roject preparation stage. </w:t>
            </w:r>
            <w:r w:rsidRPr="00F7039C">
              <w:rPr>
                <w:rFonts w:ascii="Calibri" w:hAnsi="Calibri" w:cs="Calibri"/>
                <w:color w:val="333333"/>
                <w:sz w:val="22"/>
                <w:szCs w:val="22"/>
                <w:lang w:val="en-US"/>
              </w:rPr>
              <w:t xml:space="preserve">In </w:t>
            </w:r>
            <w:r w:rsidRPr="00F7039C">
              <w:rPr>
                <w:rFonts w:ascii="Calibri" w:hAnsi="Calibri" w:cs="Calibri"/>
                <w:color w:val="333333"/>
                <w:sz w:val="22"/>
                <w:szCs w:val="22"/>
                <w:lang w:val="en-US"/>
              </w:rPr>
              <w:lastRenderedPageBreak/>
              <w:t>the projects of the Romanian Ministry for the Environment and Climate Change</w:t>
            </w:r>
            <w:r>
              <w:rPr>
                <w:rFonts w:ascii="Calibri" w:hAnsi="Calibri" w:cs="Calibri"/>
                <w:color w:val="333333"/>
                <w:sz w:val="22"/>
                <w:szCs w:val="22"/>
                <w:lang w:val="en-US"/>
              </w:rPr>
              <w:t>,</w:t>
            </w:r>
            <w:r w:rsidRPr="00F7039C">
              <w:rPr>
                <w:rFonts w:ascii="Calibri" w:hAnsi="Calibri" w:cs="Calibri"/>
                <w:color w:val="333333"/>
                <w:sz w:val="22"/>
                <w:szCs w:val="22"/>
                <w:lang w:val="en-US"/>
              </w:rPr>
              <w:t xml:space="preserve"> the Bank requirements w</w:t>
            </w:r>
            <w:r>
              <w:rPr>
                <w:rFonts w:ascii="Calibri" w:hAnsi="Calibri" w:cs="Calibri"/>
                <w:color w:val="333333"/>
                <w:sz w:val="22"/>
                <w:szCs w:val="22"/>
                <w:lang w:val="en-US"/>
              </w:rPr>
              <w:t>ere</w:t>
            </w:r>
            <w:r w:rsidRPr="00F7039C">
              <w:rPr>
                <w:rFonts w:ascii="Calibri" w:hAnsi="Calibri" w:cs="Calibri"/>
                <w:color w:val="333333"/>
                <w:sz w:val="22"/>
                <w:szCs w:val="22"/>
                <w:lang w:val="en-US"/>
              </w:rPr>
              <w:t xml:space="preserve"> successfully harmonized with the </w:t>
            </w:r>
            <w:r w:rsidR="00FA7B29">
              <w:rPr>
                <w:rFonts w:ascii="Calibri" w:hAnsi="Calibri" w:cs="Calibri"/>
                <w:color w:val="333333"/>
                <w:sz w:val="22"/>
                <w:szCs w:val="22"/>
                <w:lang w:val="en-US"/>
              </w:rPr>
              <w:t xml:space="preserve">applicable </w:t>
            </w:r>
            <w:r w:rsidRPr="00F7039C">
              <w:rPr>
                <w:rFonts w:ascii="Calibri" w:hAnsi="Calibri" w:cs="Calibri"/>
                <w:color w:val="333333"/>
                <w:sz w:val="22"/>
                <w:szCs w:val="22"/>
                <w:lang w:val="en-US"/>
              </w:rPr>
              <w:t xml:space="preserve">Romanian legal framework for the “Romanian Waters” National Administration and the National Agency for Environmental Protection, respectively, in 34 counties and 86 local councils, which was a great challenge at the outset. </w:t>
            </w:r>
          </w:p>
          <w:p w:rsidR="006B2825" w:rsidRPr="00F7039C" w:rsidRDefault="006B2825" w:rsidP="00B46A50">
            <w:pPr>
              <w:pStyle w:val="ListParagraph"/>
              <w:numPr>
                <w:ilvl w:val="0"/>
                <w:numId w:val="35"/>
              </w:numPr>
              <w:spacing w:after="60" w:line="240" w:lineRule="auto"/>
              <w:ind w:left="360"/>
              <w:jc w:val="left"/>
              <w:rPr>
                <w:rFonts w:ascii="Calibri" w:hAnsi="Calibri" w:cs="Calibri"/>
                <w:szCs w:val="22"/>
                <w:lang w:val="en-US"/>
              </w:rPr>
            </w:pPr>
            <w:r w:rsidRPr="00C1794E">
              <w:rPr>
                <w:rFonts w:ascii="Calibri" w:hAnsi="Calibri" w:cs="Calibri"/>
                <w:b/>
                <w:bCs/>
                <w:i/>
                <w:sz w:val="22"/>
                <w:szCs w:val="22"/>
                <w:lang w:val="en-US"/>
              </w:rPr>
              <w:t>Applying the Bank’s safeguard policies in the projects and</w:t>
            </w:r>
            <w:r w:rsidR="00FA7B29">
              <w:rPr>
                <w:rFonts w:ascii="Calibri" w:hAnsi="Calibri" w:cs="Calibri"/>
                <w:b/>
                <w:bCs/>
                <w:i/>
                <w:sz w:val="22"/>
                <w:szCs w:val="22"/>
                <w:lang w:val="en-US"/>
              </w:rPr>
              <w:t>/or</w:t>
            </w:r>
            <w:r w:rsidRPr="00C1794E">
              <w:rPr>
                <w:rFonts w:ascii="Calibri" w:hAnsi="Calibri" w:cs="Calibri"/>
                <w:b/>
                <w:bCs/>
                <w:i/>
                <w:sz w:val="22"/>
                <w:szCs w:val="22"/>
                <w:lang w:val="en-US"/>
              </w:rPr>
              <w:t xml:space="preserve"> the programs led to a </w:t>
            </w:r>
            <w:r w:rsidRPr="00057399">
              <w:rPr>
                <w:rFonts w:ascii="Calibri" w:hAnsi="Calibri" w:cs="Calibri"/>
                <w:b/>
                <w:bCs/>
                <w:i/>
                <w:sz w:val="22"/>
                <w:szCs w:val="22"/>
                <w:lang w:val="en-US"/>
              </w:rPr>
              <w:t>positive</w:t>
            </w:r>
            <w:r>
              <w:rPr>
                <w:rFonts w:ascii="Calibri" w:hAnsi="Calibri" w:cs="Calibri"/>
                <w:b/>
                <w:bCs/>
                <w:i/>
                <w:sz w:val="22"/>
                <w:szCs w:val="22"/>
                <w:lang w:val="en-US"/>
              </w:rPr>
              <w:t xml:space="preserve"> </w:t>
            </w:r>
            <w:r w:rsidRPr="00C1794E">
              <w:rPr>
                <w:rFonts w:ascii="Calibri" w:hAnsi="Calibri" w:cs="Calibri"/>
                <w:b/>
                <w:bCs/>
                <w:i/>
                <w:sz w:val="22"/>
                <w:szCs w:val="22"/>
                <w:lang w:val="en-US"/>
              </w:rPr>
              <w:t>behavior change in time.</w:t>
            </w:r>
            <w:r w:rsidRPr="00F7039C">
              <w:rPr>
                <w:rFonts w:ascii="Calibri" w:hAnsi="Calibri" w:cs="Calibri"/>
                <w:b/>
                <w:bCs/>
                <w:sz w:val="22"/>
                <w:szCs w:val="22"/>
                <w:lang w:val="en-US"/>
              </w:rPr>
              <w:t xml:space="preserve"> </w:t>
            </w:r>
            <w:r w:rsidRPr="00F7039C">
              <w:rPr>
                <w:rFonts w:ascii="Calibri" w:hAnsi="Calibri" w:cs="Calibri"/>
                <w:color w:val="333333"/>
                <w:sz w:val="22"/>
                <w:szCs w:val="22"/>
                <w:lang w:val="en-US"/>
              </w:rPr>
              <w:t>In the context of budget constraints and the desire to channel funding in the direction of tangible results, there is the risk that the safeguard policies in the social and environmental realms might become of secondary importance or that concessions might be made when applying such safeguard policies. This would be a big mistake and a step backward, a risk that must be taken into consideration and which must be mitigated.</w:t>
            </w:r>
          </w:p>
          <w:p w:rsidR="006B2825" w:rsidRPr="00EB2029" w:rsidRDefault="006B2825" w:rsidP="00B46A50">
            <w:pPr>
              <w:pStyle w:val="ListParagraph"/>
              <w:numPr>
                <w:ilvl w:val="0"/>
                <w:numId w:val="35"/>
              </w:numPr>
              <w:snapToGrid w:val="0"/>
              <w:spacing w:after="60" w:line="240" w:lineRule="auto"/>
              <w:ind w:left="360"/>
              <w:jc w:val="left"/>
              <w:rPr>
                <w:rFonts w:ascii="Calibri" w:eastAsia="Batang" w:hAnsi="Calibri" w:cs="Calibri"/>
                <w:b/>
                <w:szCs w:val="22"/>
                <w:lang w:val="en-US"/>
              </w:rPr>
            </w:pPr>
            <w:r w:rsidRPr="00EB2029">
              <w:rPr>
                <w:rFonts w:ascii="Calibri" w:eastAsia="Batang" w:hAnsi="Calibri" w:cs="Calibri"/>
                <w:b/>
                <w:i/>
                <w:sz w:val="22"/>
                <w:szCs w:val="22"/>
                <w:lang w:val="en-US"/>
              </w:rPr>
              <w:t xml:space="preserve">The </w:t>
            </w:r>
            <w:r w:rsidR="00FA7B29">
              <w:rPr>
                <w:rFonts w:ascii="Calibri" w:eastAsia="Batang" w:hAnsi="Calibri" w:cs="Calibri"/>
                <w:b/>
                <w:i/>
                <w:sz w:val="22"/>
                <w:szCs w:val="22"/>
                <w:lang w:val="en-US"/>
              </w:rPr>
              <w:t xml:space="preserve">sense </w:t>
            </w:r>
            <w:r w:rsidRPr="00EB2029">
              <w:rPr>
                <w:rFonts w:ascii="Calibri" w:eastAsia="Batang" w:hAnsi="Calibri" w:cs="Calibri"/>
                <w:b/>
                <w:i/>
                <w:sz w:val="22"/>
                <w:szCs w:val="22"/>
                <w:lang w:val="en-US"/>
              </w:rPr>
              <w:t>of ownership of the project and of the investment objectives obtained as a consequence</w:t>
            </w:r>
            <w:r w:rsidRPr="00EB2029">
              <w:rPr>
                <w:rFonts w:ascii="Calibri" w:eastAsia="Batang" w:hAnsi="Calibri" w:cs="Calibri"/>
                <w:b/>
                <w:sz w:val="22"/>
                <w:szCs w:val="22"/>
                <w:lang w:val="en-US"/>
              </w:rPr>
              <w:t xml:space="preserve"> </w:t>
            </w:r>
            <w:r w:rsidRPr="00EB2029">
              <w:rPr>
                <w:rFonts w:ascii="Calibri" w:eastAsia="Batang" w:hAnsi="Calibri" w:cs="Calibri"/>
                <w:sz w:val="22"/>
                <w:szCs w:val="22"/>
                <w:lang w:val="en-US"/>
              </w:rPr>
              <w:t>of the</w:t>
            </w:r>
            <w:r w:rsidRPr="00EB2029">
              <w:rPr>
                <w:rFonts w:ascii="Calibri" w:eastAsia="Batang" w:hAnsi="Calibri" w:cs="Calibri"/>
                <w:b/>
                <w:sz w:val="22"/>
                <w:szCs w:val="22"/>
                <w:lang w:val="en-US"/>
              </w:rPr>
              <w:t xml:space="preserve"> </w:t>
            </w:r>
            <w:r w:rsidRPr="00EB2029">
              <w:rPr>
                <w:rFonts w:ascii="Calibri" w:eastAsia="Batang" w:hAnsi="Calibri" w:cs="Calibri"/>
                <w:bCs/>
                <w:sz w:val="22"/>
                <w:szCs w:val="22"/>
                <w:lang w:val="en-US"/>
              </w:rPr>
              <w:t>project is a success factor which ensures sustainable results obtained following proper application of the Bank’s safeguard policies.</w:t>
            </w:r>
            <w:r w:rsidRPr="00EB2029">
              <w:rPr>
                <w:rFonts w:ascii="Calibri" w:eastAsia="Batang" w:hAnsi="Calibri" w:cs="Calibri"/>
                <w:b/>
                <w:sz w:val="22"/>
                <w:szCs w:val="22"/>
                <w:lang w:val="en-US"/>
              </w:rPr>
              <w:t xml:space="preserve"> </w:t>
            </w:r>
          </w:p>
        </w:tc>
      </w:tr>
      <w:tr w:rsidR="006B2825" w:rsidRPr="00D87AC5" w:rsidTr="00B46A50">
        <w:trPr>
          <w:gridAfter w:val="1"/>
          <w:wAfter w:w="44" w:type="dxa"/>
          <w:trHeight w:val="70"/>
        </w:trPr>
        <w:tc>
          <w:tcPr>
            <w:tcW w:w="13213" w:type="dxa"/>
            <w:tcBorders>
              <w:top w:val="single" w:sz="4" w:space="0" w:color="auto"/>
              <w:left w:val="single" w:sz="4" w:space="0" w:color="auto"/>
              <w:bottom w:val="single" w:sz="4" w:space="0" w:color="auto"/>
              <w:right w:val="single" w:sz="4" w:space="0" w:color="auto"/>
            </w:tcBorders>
            <w:shd w:val="clear" w:color="auto" w:fill="DBE5F1"/>
          </w:tcPr>
          <w:p w:rsidR="006B2825" w:rsidRPr="00D87AC5" w:rsidRDefault="006B2825" w:rsidP="00B46A50">
            <w:pPr>
              <w:pStyle w:val="ListParagraph"/>
              <w:suppressAutoHyphens w:val="0"/>
              <w:spacing w:after="60" w:line="240" w:lineRule="auto"/>
              <w:ind w:left="360" w:hanging="360"/>
              <w:jc w:val="left"/>
              <w:rPr>
                <w:rFonts w:eastAsia="Batang"/>
                <w:b/>
                <w:color w:val="17365D"/>
                <w:szCs w:val="24"/>
                <w:lang w:val="en-US"/>
              </w:rPr>
            </w:pPr>
            <w:r w:rsidRPr="00D87AC5">
              <w:rPr>
                <w:rFonts w:ascii="Calibri" w:eastAsia="Batang" w:hAnsi="Calibri" w:cs="Calibri"/>
                <w:b/>
                <w:sz w:val="22"/>
                <w:szCs w:val="22"/>
                <w:lang w:val="en-US"/>
              </w:rPr>
              <w:lastRenderedPageBreak/>
              <w:t>2. Issues and c</w:t>
            </w:r>
            <w:r w:rsidRPr="00D87AC5">
              <w:rPr>
                <w:rFonts w:ascii="Calibri" w:hAnsi="Calibri" w:cs="Calibri"/>
                <w:b/>
                <w:sz w:val="22"/>
                <w:szCs w:val="22"/>
                <w:lang w:val="en-US"/>
              </w:rPr>
              <w:t>hallenges encountered in the application of the safeguard policies</w:t>
            </w:r>
            <w:r w:rsidRPr="00D87AC5">
              <w:rPr>
                <w:rFonts w:ascii="Calibri" w:hAnsi="Calibri" w:cs="Calibri"/>
                <w:sz w:val="22"/>
                <w:szCs w:val="22"/>
                <w:lang w:val="en-US"/>
              </w:rPr>
              <w:t>.</w:t>
            </w:r>
          </w:p>
        </w:tc>
      </w:tr>
      <w:tr w:rsidR="006B2825" w:rsidRPr="00D87AC5" w:rsidTr="00B46A50">
        <w:trPr>
          <w:trHeight w:val="962"/>
        </w:trPr>
        <w:tc>
          <w:tcPr>
            <w:tcW w:w="13257" w:type="dxa"/>
            <w:gridSpan w:val="2"/>
            <w:tcBorders>
              <w:top w:val="single" w:sz="4" w:space="0" w:color="auto"/>
              <w:left w:val="single" w:sz="4" w:space="0" w:color="auto"/>
              <w:bottom w:val="single" w:sz="4" w:space="0" w:color="auto"/>
              <w:right w:val="single" w:sz="4" w:space="0" w:color="auto"/>
            </w:tcBorders>
          </w:tcPr>
          <w:p w:rsidR="006B2825" w:rsidRPr="00D87AC5" w:rsidRDefault="006B2825" w:rsidP="00B46A50">
            <w:pPr>
              <w:pStyle w:val="ListParagraph"/>
              <w:numPr>
                <w:ilvl w:val="0"/>
                <w:numId w:val="35"/>
              </w:numPr>
              <w:spacing w:after="60" w:line="240" w:lineRule="auto"/>
              <w:ind w:left="360"/>
              <w:jc w:val="left"/>
              <w:rPr>
                <w:rFonts w:ascii="Calibri" w:hAnsi="Calibri" w:cs="Calibri"/>
                <w:color w:val="333333"/>
                <w:szCs w:val="22"/>
                <w:lang w:val="en-US"/>
              </w:rPr>
            </w:pPr>
            <w:r w:rsidRPr="00C1794E">
              <w:rPr>
                <w:rFonts w:ascii="Calibri" w:hAnsi="Calibri" w:cs="Calibri"/>
                <w:b/>
                <w:bCs/>
                <w:i/>
                <w:color w:val="333333"/>
                <w:sz w:val="22"/>
                <w:szCs w:val="22"/>
                <w:lang w:val="en-US"/>
              </w:rPr>
              <w:t xml:space="preserve">The </w:t>
            </w:r>
            <w:r w:rsidR="00FA7B29" w:rsidRPr="00C1794E">
              <w:rPr>
                <w:rFonts w:ascii="Calibri" w:hAnsi="Calibri" w:cs="Calibri"/>
                <w:b/>
                <w:bCs/>
                <w:i/>
                <w:color w:val="333333"/>
                <w:sz w:val="22"/>
                <w:szCs w:val="22"/>
                <w:lang w:val="en-US"/>
              </w:rPr>
              <w:t>principl</w:t>
            </w:r>
            <w:r w:rsidR="00FA7B29">
              <w:rPr>
                <w:rFonts w:ascii="Calibri" w:hAnsi="Calibri" w:cs="Calibri"/>
                <w:b/>
                <w:bCs/>
                <w:i/>
                <w:color w:val="333333"/>
                <w:sz w:val="22"/>
                <w:szCs w:val="22"/>
                <w:lang w:val="en-US"/>
              </w:rPr>
              <w:t>e</w:t>
            </w:r>
            <w:r w:rsidR="00FA7B29" w:rsidRPr="00C1794E">
              <w:rPr>
                <w:rFonts w:ascii="Calibri" w:hAnsi="Calibri" w:cs="Calibri"/>
                <w:b/>
                <w:bCs/>
                <w:i/>
                <w:color w:val="333333"/>
                <w:sz w:val="22"/>
                <w:szCs w:val="22"/>
                <w:lang w:val="en-US"/>
              </w:rPr>
              <w:t xml:space="preserve"> </w:t>
            </w:r>
            <w:r w:rsidR="00FA7B29">
              <w:rPr>
                <w:rFonts w:ascii="Calibri" w:hAnsi="Calibri" w:cs="Calibri"/>
                <w:b/>
                <w:bCs/>
                <w:i/>
                <w:color w:val="333333"/>
                <w:sz w:val="22"/>
                <w:szCs w:val="22"/>
                <w:lang w:val="en-US"/>
              </w:rPr>
              <w:t xml:space="preserve">of </w:t>
            </w:r>
            <w:r w:rsidRPr="00C1794E">
              <w:rPr>
                <w:rFonts w:ascii="Calibri" w:hAnsi="Calibri" w:cs="Calibri"/>
                <w:b/>
                <w:bCs/>
                <w:i/>
                <w:color w:val="333333"/>
                <w:sz w:val="22"/>
                <w:szCs w:val="22"/>
                <w:lang w:val="en-US"/>
              </w:rPr>
              <w:t xml:space="preserve">reimbursement of expenses creates serious obstacles in the way of obtaining pre-financing for carrying out the safeguard policies </w:t>
            </w:r>
            <w:r w:rsidR="00FA7B29">
              <w:rPr>
                <w:rFonts w:ascii="Calibri" w:hAnsi="Calibri" w:cs="Calibri"/>
                <w:b/>
                <w:bCs/>
                <w:i/>
                <w:color w:val="333333"/>
                <w:sz w:val="22"/>
                <w:szCs w:val="22"/>
                <w:lang w:val="en-US"/>
              </w:rPr>
              <w:t xml:space="preserve">by </w:t>
            </w:r>
            <w:r w:rsidRPr="00C1794E">
              <w:rPr>
                <w:rFonts w:ascii="Calibri" w:hAnsi="Calibri" w:cs="Calibri"/>
                <w:b/>
                <w:bCs/>
                <w:i/>
                <w:color w:val="333333"/>
                <w:sz w:val="22"/>
                <w:szCs w:val="22"/>
                <w:lang w:val="en-US"/>
              </w:rPr>
              <w:t xml:space="preserve">the line ministries in charge </w:t>
            </w:r>
            <w:r w:rsidR="00FA7B29">
              <w:rPr>
                <w:rFonts w:ascii="Calibri" w:hAnsi="Calibri" w:cs="Calibri"/>
                <w:b/>
                <w:bCs/>
                <w:i/>
                <w:color w:val="333333"/>
                <w:sz w:val="22"/>
                <w:szCs w:val="22"/>
                <w:lang w:val="en-US"/>
              </w:rPr>
              <w:t xml:space="preserve">of </w:t>
            </w:r>
            <w:r w:rsidRPr="00C1794E">
              <w:rPr>
                <w:rFonts w:ascii="Calibri" w:hAnsi="Calibri" w:cs="Calibri"/>
                <w:b/>
                <w:bCs/>
                <w:i/>
                <w:color w:val="333333"/>
                <w:sz w:val="22"/>
                <w:szCs w:val="22"/>
                <w:lang w:val="en-US"/>
              </w:rPr>
              <w:t xml:space="preserve">management of </w:t>
            </w:r>
            <w:r w:rsidR="00FA7B29">
              <w:rPr>
                <w:rFonts w:ascii="Calibri" w:hAnsi="Calibri" w:cs="Calibri"/>
                <w:b/>
                <w:bCs/>
                <w:i/>
                <w:color w:val="333333"/>
                <w:sz w:val="22"/>
                <w:szCs w:val="22"/>
                <w:lang w:val="en-US"/>
              </w:rPr>
              <w:t xml:space="preserve">Bank </w:t>
            </w:r>
            <w:r w:rsidRPr="00C1794E">
              <w:rPr>
                <w:rFonts w:ascii="Calibri" w:hAnsi="Calibri" w:cs="Calibri"/>
                <w:b/>
                <w:bCs/>
                <w:i/>
                <w:color w:val="333333"/>
                <w:sz w:val="22"/>
                <w:szCs w:val="22"/>
                <w:lang w:val="en-US"/>
              </w:rPr>
              <w:t xml:space="preserve">funded projects/programs. </w:t>
            </w:r>
            <w:r w:rsidRPr="00D87AC5">
              <w:rPr>
                <w:rFonts w:ascii="Calibri" w:hAnsi="Calibri" w:cs="Calibri"/>
                <w:color w:val="333333"/>
                <w:sz w:val="22"/>
                <w:szCs w:val="22"/>
                <w:lang w:val="en-US"/>
              </w:rPr>
              <w:t>The fact that the Bank has introduced</w:t>
            </w:r>
            <w:r w:rsidR="00FA7B29">
              <w:rPr>
                <w:rFonts w:ascii="Calibri" w:hAnsi="Calibri" w:cs="Calibri"/>
                <w:color w:val="333333"/>
                <w:sz w:val="22"/>
                <w:szCs w:val="22"/>
                <w:lang w:val="en-US"/>
              </w:rPr>
              <w:t>,</w:t>
            </w:r>
            <w:r w:rsidRPr="00D87AC5">
              <w:rPr>
                <w:rFonts w:ascii="Calibri" w:hAnsi="Calibri" w:cs="Calibri"/>
                <w:color w:val="333333"/>
                <w:sz w:val="22"/>
                <w:szCs w:val="22"/>
                <w:lang w:val="en-US"/>
              </w:rPr>
              <w:t xml:space="preserve"> </w:t>
            </w:r>
            <w:r>
              <w:rPr>
                <w:rFonts w:ascii="Calibri" w:hAnsi="Calibri" w:cs="Calibri"/>
                <w:color w:val="333333"/>
                <w:sz w:val="22"/>
                <w:szCs w:val="22"/>
                <w:lang w:val="en-US"/>
              </w:rPr>
              <w:t xml:space="preserve">similar to </w:t>
            </w:r>
            <w:r w:rsidR="00FA7B29">
              <w:rPr>
                <w:rFonts w:ascii="Calibri" w:hAnsi="Calibri" w:cs="Calibri"/>
                <w:color w:val="333333"/>
                <w:sz w:val="22"/>
                <w:szCs w:val="22"/>
                <w:lang w:val="en-US"/>
              </w:rPr>
              <w:t xml:space="preserve">the </w:t>
            </w:r>
            <w:r>
              <w:rPr>
                <w:rFonts w:ascii="Calibri" w:hAnsi="Calibri" w:cs="Calibri"/>
                <w:color w:val="333333"/>
                <w:sz w:val="22"/>
                <w:szCs w:val="22"/>
                <w:lang w:val="en-US"/>
              </w:rPr>
              <w:t>EU</w:t>
            </w:r>
            <w:r w:rsidR="00FA7B29">
              <w:rPr>
                <w:rFonts w:ascii="Calibri" w:hAnsi="Calibri" w:cs="Calibri"/>
                <w:color w:val="333333"/>
                <w:sz w:val="22"/>
                <w:szCs w:val="22"/>
                <w:lang w:val="en-US"/>
              </w:rPr>
              <w:t>,</w:t>
            </w:r>
            <w:r>
              <w:rPr>
                <w:rFonts w:ascii="Calibri" w:hAnsi="Calibri" w:cs="Calibri"/>
                <w:color w:val="333333"/>
                <w:sz w:val="22"/>
                <w:szCs w:val="22"/>
                <w:lang w:val="en-US"/>
              </w:rPr>
              <w:t xml:space="preserve"> </w:t>
            </w:r>
            <w:r w:rsidRPr="00D87AC5">
              <w:rPr>
                <w:rFonts w:ascii="Calibri" w:hAnsi="Calibri" w:cs="Calibri"/>
                <w:color w:val="333333"/>
                <w:sz w:val="22"/>
                <w:szCs w:val="22"/>
                <w:lang w:val="en-US"/>
              </w:rPr>
              <w:t>the principle of reimbursab</w:t>
            </w:r>
            <w:r>
              <w:rPr>
                <w:rFonts w:ascii="Calibri" w:hAnsi="Calibri" w:cs="Calibri"/>
                <w:color w:val="333333"/>
                <w:sz w:val="22"/>
                <w:szCs w:val="22"/>
                <w:lang w:val="en-US"/>
              </w:rPr>
              <w:t xml:space="preserve">le expenses </w:t>
            </w:r>
            <w:r w:rsidRPr="00D87AC5">
              <w:rPr>
                <w:rFonts w:ascii="Calibri" w:hAnsi="Calibri" w:cs="Calibri"/>
                <w:color w:val="333333"/>
                <w:sz w:val="22"/>
                <w:szCs w:val="22"/>
                <w:lang w:val="en-US"/>
              </w:rPr>
              <w:t xml:space="preserve">when implementing programs and the projects that have received funding from the </w:t>
            </w:r>
            <w:r>
              <w:rPr>
                <w:rFonts w:ascii="Calibri" w:hAnsi="Calibri" w:cs="Calibri"/>
                <w:color w:val="333333"/>
                <w:sz w:val="22"/>
                <w:szCs w:val="22"/>
                <w:lang w:val="en-US"/>
              </w:rPr>
              <w:t xml:space="preserve">Bank was </w:t>
            </w:r>
            <w:r w:rsidRPr="0095691F">
              <w:rPr>
                <w:rFonts w:ascii="Calibri" w:hAnsi="Calibri" w:cs="Calibri"/>
                <w:color w:val="333333"/>
                <w:sz w:val="22"/>
                <w:szCs w:val="22"/>
                <w:lang w:val="en-US"/>
              </w:rPr>
              <w:t>a less desir</w:t>
            </w:r>
            <w:r w:rsidR="00FA7B29">
              <w:rPr>
                <w:rFonts w:ascii="Calibri" w:hAnsi="Calibri" w:cs="Calibri"/>
                <w:color w:val="333333"/>
                <w:sz w:val="22"/>
                <w:szCs w:val="22"/>
                <w:lang w:val="en-US"/>
              </w:rPr>
              <w:t>able</w:t>
            </w:r>
            <w:r w:rsidRPr="0095691F">
              <w:rPr>
                <w:rFonts w:ascii="Calibri" w:hAnsi="Calibri" w:cs="Calibri"/>
                <w:color w:val="333333"/>
                <w:sz w:val="22"/>
                <w:szCs w:val="22"/>
                <w:lang w:val="en-US"/>
              </w:rPr>
              <w:t xml:space="preserve"> experience.</w:t>
            </w:r>
            <w:r>
              <w:rPr>
                <w:rFonts w:ascii="Calibri" w:hAnsi="Calibri" w:cs="Calibri"/>
                <w:color w:val="333333"/>
                <w:sz w:val="22"/>
                <w:szCs w:val="22"/>
                <w:lang w:val="en-US"/>
              </w:rPr>
              <w:t xml:space="preserve"> The implementation</w:t>
            </w:r>
            <w:r w:rsidRPr="00D87AC5">
              <w:rPr>
                <w:rFonts w:ascii="Calibri" w:hAnsi="Calibri" w:cs="Calibri"/>
                <w:color w:val="333333"/>
                <w:sz w:val="22"/>
                <w:szCs w:val="22"/>
                <w:lang w:val="en-US"/>
              </w:rPr>
              <w:t xml:space="preserve"> of social and environmental safeguard policies is made difficult by the lack of government funding (both the state and the local budget) caused especially by the economic and financial crisis, as well as by a lack of funds that should be specificall</w:t>
            </w:r>
            <w:r>
              <w:rPr>
                <w:rFonts w:ascii="Calibri" w:hAnsi="Calibri" w:cs="Calibri"/>
                <w:color w:val="333333"/>
                <w:sz w:val="22"/>
                <w:szCs w:val="22"/>
                <w:lang w:val="en-US"/>
              </w:rPr>
              <w:t>y designated for the enforcement</w:t>
            </w:r>
            <w:r w:rsidRPr="00D87AC5">
              <w:rPr>
                <w:rFonts w:ascii="Calibri" w:hAnsi="Calibri" w:cs="Calibri"/>
                <w:color w:val="333333"/>
                <w:sz w:val="22"/>
                <w:szCs w:val="22"/>
                <w:lang w:val="en-US"/>
              </w:rPr>
              <w:t xml:space="preserve"> of such policies. </w:t>
            </w:r>
          </w:p>
          <w:p w:rsidR="006B2825" w:rsidRPr="00D87AC5" w:rsidRDefault="006B2825" w:rsidP="00B46A50">
            <w:pPr>
              <w:pStyle w:val="ListParagraph"/>
              <w:numPr>
                <w:ilvl w:val="0"/>
                <w:numId w:val="35"/>
              </w:numPr>
              <w:spacing w:after="60" w:line="240" w:lineRule="auto"/>
              <w:ind w:left="360"/>
              <w:jc w:val="left"/>
              <w:rPr>
                <w:rFonts w:ascii="Calibri" w:hAnsi="Calibri" w:cs="Calibri"/>
                <w:color w:val="333333"/>
                <w:szCs w:val="22"/>
                <w:lang w:val="en-US"/>
              </w:rPr>
            </w:pPr>
            <w:r w:rsidRPr="00C1794E">
              <w:rPr>
                <w:rFonts w:ascii="Calibri" w:hAnsi="Calibri" w:cs="Calibri"/>
                <w:b/>
                <w:bCs/>
                <w:i/>
                <w:color w:val="333333"/>
                <w:sz w:val="22"/>
                <w:szCs w:val="22"/>
                <w:lang w:val="en-US"/>
              </w:rPr>
              <w:t>A certain degree of generalization.</w:t>
            </w:r>
            <w:r w:rsidRPr="00C1794E">
              <w:rPr>
                <w:rFonts w:ascii="Calibri" w:hAnsi="Calibri" w:cs="Calibri"/>
                <w:i/>
                <w:color w:val="333333"/>
                <w:sz w:val="22"/>
                <w:szCs w:val="22"/>
                <w:lang w:val="en-US"/>
              </w:rPr>
              <w:t xml:space="preserve"> </w:t>
            </w:r>
            <w:r w:rsidRPr="00D87AC5">
              <w:rPr>
                <w:rFonts w:ascii="Calibri" w:hAnsi="Calibri" w:cs="Calibri"/>
                <w:color w:val="333333"/>
                <w:sz w:val="22"/>
                <w:szCs w:val="22"/>
                <w:lang w:val="en-US"/>
              </w:rPr>
              <w:t xml:space="preserve">On the other hand, the existing policies tend to generalize to a great extent, in the sense that they merely express a set of principles, as opposed to setting out mandatory norms. </w:t>
            </w:r>
          </w:p>
          <w:p w:rsidR="006B2825" w:rsidRPr="00D87AC5" w:rsidRDefault="006B2825" w:rsidP="00B46A50">
            <w:pPr>
              <w:pStyle w:val="ListParagraph"/>
              <w:numPr>
                <w:ilvl w:val="0"/>
                <w:numId w:val="35"/>
              </w:numPr>
              <w:spacing w:after="60" w:line="240" w:lineRule="auto"/>
              <w:ind w:left="360"/>
              <w:jc w:val="left"/>
              <w:rPr>
                <w:rFonts w:ascii="Calibri" w:hAnsi="Calibri" w:cs="Calibri"/>
                <w:color w:val="333333"/>
                <w:szCs w:val="22"/>
                <w:lang w:val="en-US"/>
              </w:rPr>
            </w:pPr>
            <w:r w:rsidRPr="00C1794E">
              <w:rPr>
                <w:rFonts w:ascii="Calibri" w:hAnsi="Calibri" w:cs="Calibri"/>
                <w:b/>
                <w:bCs/>
                <w:i/>
                <w:color w:val="333333"/>
                <w:sz w:val="22"/>
                <w:szCs w:val="22"/>
                <w:lang w:val="en-US"/>
              </w:rPr>
              <w:t>The main outstanding challenge is raising awareness regarding the need to include in the project budgets the amount necessary for the application of social and environmental safeguard policies.</w:t>
            </w:r>
            <w:r w:rsidRPr="00D87AC5">
              <w:rPr>
                <w:rFonts w:ascii="Calibri" w:hAnsi="Calibri" w:cs="Calibri"/>
                <w:b/>
                <w:bCs/>
                <w:color w:val="333333"/>
                <w:sz w:val="22"/>
                <w:szCs w:val="22"/>
                <w:lang w:val="en-US"/>
              </w:rPr>
              <w:t xml:space="preserve"> </w:t>
            </w:r>
            <w:r w:rsidRPr="00D87AC5">
              <w:rPr>
                <w:rFonts w:ascii="Calibri" w:hAnsi="Calibri" w:cs="Calibri"/>
                <w:bCs/>
                <w:color w:val="333333"/>
                <w:sz w:val="22"/>
                <w:szCs w:val="22"/>
                <w:lang w:val="en-US"/>
              </w:rPr>
              <w:t>The financial crisis and the recession have affected contractors. Where budgets are limited, contractors are at a loss for determining the exact amount that shou</w:t>
            </w:r>
            <w:r>
              <w:rPr>
                <w:rFonts w:ascii="Calibri" w:hAnsi="Calibri" w:cs="Calibri"/>
                <w:bCs/>
                <w:color w:val="333333"/>
                <w:sz w:val="22"/>
                <w:szCs w:val="22"/>
                <w:lang w:val="en-US"/>
              </w:rPr>
              <w:t>ld be allocated for the actual works and the amo</w:t>
            </w:r>
            <w:r w:rsidRPr="00D87AC5">
              <w:rPr>
                <w:rFonts w:ascii="Calibri" w:hAnsi="Calibri" w:cs="Calibri"/>
                <w:bCs/>
                <w:color w:val="333333"/>
                <w:sz w:val="22"/>
                <w:szCs w:val="22"/>
                <w:lang w:val="en-US"/>
              </w:rPr>
              <w:t>unt that should be allocated for environme</w:t>
            </w:r>
            <w:r>
              <w:rPr>
                <w:rFonts w:ascii="Calibri" w:hAnsi="Calibri" w:cs="Calibri"/>
                <w:bCs/>
                <w:color w:val="333333"/>
                <w:sz w:val="22"/>
                <w:szCs w:val="22"/>
                <w:lang w:val="en-US"/>
              </w:rPr>
              <w:t>n</w:t>
            </w:r>
            <w:r w:rsidRPr="00D87AC5">
              <w:rPr>
                <w:rFonts w:ascii="Calibri" w:hAnsi="Calibri" w:cs="Calibri"/>
                <w:bCs/>
                <w:color w:val="333333"/>
                <w:sz w:val="22"/>
                <w:szCs w:val="22"/>
                <w:lang w:val="en-US"/>
              </w:rPr>
              <w:t>tal protection measures and activities.</w:t>
            </w:r>
            <w:r w:rsidRPr="00D87AC5">
              <w:rPr>
                <w:rFonts w:ascii="Calibri" w:hAnsi="Calibri" w:cs="Calibri"/>
                <w:color w:val="333333"/>
                <w:sz w:val="22"/>
                <w:szCs w:val="22"/>
                <w:lang w:val="en-US"/>
              </w:rPr>
              <w:t xml:space="preserve"> On the other hand, construction contractors that participate in public acquisition procedures keep a tight eye on their budgets so that they remain competitive. </w:t>
            </w:r>
          </w:p>
          <w:p w:rsidR="006B2825" w:rsidRPr="00D87AC5" w:rsidRDefault="006B2825" w:rsidP="00B46A50">
            <w:pPr>
              <w:pStyle w:val="ListParagraph"/>
              <w:numPr>
                <w:ilvl w:val="0"/>
                <w:numId w:val="35"/>
              </w:numPr>
              <w:spacing w:after="60" w:line="240" w:lineRule="auto"/>
              <w:ind w:left="360"/>
              <w:jc w:val="left"/>
              <w:rPr>
                <w:rFonts w:ascii="Calibri" w:hAnsi="Calibri" w:cs="Calibri"/>
                <w:color w:val="333333"/>
                <w:szCs w:val="22"/>
                <w:lang w:val="en-US"/>
              </w:rPr>
            </w:pPr>
            <w:r w:rsidRPr="00D87AC5">
              <w:rPr>
                <w:rFonts w:ascii="Calibri" w:hAnsi="Calibri" w:cs="Calibri"/>
                <w:color w:val="333333"/>
                <w:sz w:val="22"/>
                <w:szCs w:val="22"/>
                <w:lang w:val="en-US"/>
              </w:rPr>
              <w:t>If project budgets do not include a budget line for such expenses, it is very hard to cover the financial implications of implementing social and environmental safeguard policies while running the contracts allocated to the suppliers. Therefore, it may be concluded that, at least where the Romanian Ministry of Health’s projects are concerned, things seem normal at the le</w:t>
            </w:r>
            <w:r>
              <w:rPr>
                <w:rFonts w:ascii="Calibri" w:hAnsi="Calibri" w:cs="Calibri"/>
                <w:color w:val="333333"/>
                <w:sz w:val="22"/>
                <w:szCs w:val="22"/>
                <w:lang w:val="en-US"/>
              </w:rPr>
              <w:t>vel of policies, norms, activit</w:t>
            </w:r>
            <w:r w:rsidRPr="00D87AC5">
              <w:rPr>
                <w:rFonts w:ascii="Calibri" w:hAnsi="Calibri" w:cs="Calibri"/>
                <w:color w:val="333333"/>
                <w:sz w:val="22"/>
                <w:szCs w:val="22"/>
                <w:lang w:val="en-US"/>
              </w:rPr>
              <w:t>y pla</w:t>
            </w:r>
            <w:r>
              <w:rPr>
                <w:rFonts w:ascii="Calibri" w:hAnsi="Calibri" w:cs="Calibri"/>
                <w:color w:val="333333"/>
                <w:sz w:val="22"/>
                <w:szCs w:val="22"/>
                <w:lang w:val="en-US"/>
              </w:rPr>
              <w:t>ns and implementation framework</w:t>
            </w:r>
            <w:r w:rsidRPr="00D87AC5">
              <w:rPr>
                <w:rFonts w:ascii="Calibri" w:hAnsi="Calibri" w:cs="Calibri"/>
                <w:color w:val="333333"/>
                <w:sz w:val="22"/>
                <w:szCs w:val="22"/>
                <w:lang w:val="en-US"/>
              </w:rPr>
              <w:t>, but there is a persistent challenge to raise public awareness in the absence of dedicated budget lines</w:t>
            </w:r>
            <w:r>
              <w:rPr>
                <w:rFonts w:ascii="Calibri" w:hAnsi="Calibri" w:cs="Calibri"/>
                <w:color w:val="333333"/>
                <w:sz w:val="22"/>
                <w:szCs w:val="22"/>
                <w:lang w:val="en-US"/>
              </w:rPr>
              <w:t xml:space="preserve"> </w:t>
            </w:r>
            <w:r w:rsidRPr="00057399">
              <w:rPr>
                <w:rFonts w:ascii="Calibri" w:hAnsi="Calibri" w:cs="Calibri"/>
                <w:color w:val="333333"/>
                <w:sz w:val="22"/>
                <w:szCs w:val="22"/>
                <w:lang w:val="en-US"/>
              </w:rPr>
              <w:t>and also to effectively translate theory into practice.</w:t>
            </w:r>
            <w:r w:rsidRPr="00D87AC5">
              <w:rPr>
                <w:rFonts w:ascii="Calibri" w:hAnsi="Calibri" w:cs="Calibri"/>
                <w:color w:val="333333"/>
                <w:sz w:val="22"/>
                <w:szCs w:val="22"/>
                <w:lang w:val="en-US"/>
              </w:rPr>
              <w:t xml:space="preserve"> </w:t>
            </w:r>
          </w:p>
          <w:p w:rsidR="006B2825" w:rsidRPr="00B46A50" w:rsidRDefault="006B2825" w:rsidP="00B46A50">
            <w:pPr>
              <w:pStyle w:val="ListParagraph"/>
              <w:numPr>
                <w:ilvl w:val="0"/>
                <w:numId w:val="35"/>
              </w:numPr>
              <w:spacing w:after="60" w:line="240" w:lineRule="auto"/>
              <w:ind w:left="360"/>
              <w:jc w:val="left"/>
              <w:rPr>
                <w:rFonts w:ascii="Calibri" w:hAnsi="Calibri" w:cs="Calibri"/>
                <w:color w:val="333333"/>
                <w:sz w:val="22"/>
                <w:szCs w:val="22"/>
                <w:lang w:val="en-US"/>
              </w:rPr>
            </w:pPr>
            <w:r w:rsidRPr="00C1794E">
              <w:rPr>
                <w:rFonts w:ascii="Calibri" w:hAnsi="Calibri" w:cs="Calibri"/>
                <w:b/>
                <w:bCs/>
                <w:i/>
                <w:sz w:val="22"/>
                <w:szCs w:val="22"/>
                <w:lang w:val="en-US"/>
              </w:rPr>
              <w:t xml:space="preserve">The occurrence of new associated risks during the implementation of investment projects. </w:t>
            </w:r>
            <w:r w:rsidRPr="00D87AC5">
              <w:rPr>
                <w:rFonts w:ascii="Calibri" w:hAnsi="Calibri" w:cs="Calibri"/>
                <w:sz w:val="22"/>
                <w:szCs w:val="22"/>
                <w:lang w:val="en-US"/>
              </w:rPr>
              <w:t xml:space="preserve">This is the case for the project </w:t>
            </w:r>
            <w:r>
              <w:rPr>
                <w:rFonts w:ascii="Calibri" w:hAnsi="Calibri" w:cs="Calibri"/>
                <w:sz w:val="22"/>
                <w:szCs w:val="22"/>
                <w:lang w:val="en-US"/>
              </w:rPr>
              <w:t>implemented by the Ministry of Justice concerning the</w:t>
            </w:r>
            <w:r w:rsidRPr="00D87AC5">
              <w:rPr>
                <w:rFonts w:ascii="Calibri" w:hAnsi="Calibri" w:cs="Calibri"/>
                <w:sz w:val="22"/>
                <w:szCs w:val="22"/>
                <w:lang w:val="en-US"/>
              </w:rPr>
              <w:t xml:space="preserve"> rehabilitation of courthouses, etc. Although it is an investment project, the largest part of the funding </w:t>
            </w:r>
            <w:r>
              <w:rPr>
                <w:rFonts w:ascii="Calibri" w:hAnsi="Calibri" w:cs="Calibri"/>
                <w:sz w:val="22"/>
                <w:szCs w:val="22"/>
                <w:lang w:val="en-US"/>
              </w:rPr>
              <w:t xml:space="preserve">(up to 60-70%) </w:t>
            </w:r>
            <w:r w:rsidRPr="00D87AC5">
              <w:rPr>
                <w:rFonts w:ascii="Calibri" w:hAnsi="Calibri" w:cs="Calibri"/>
                <w:sz w:val="22"/>
                <w:szCs w:val="22"/>
                <w:lang w:val="en-US"/>
              </w:rPr>
              <w:t>is allocated to the rehabilitation of the judiciary infrastructure. Many of the judiciary buildings are old (historical or architectural monuments) and are part of the nat</w:t>
            </w:r>
            <w:r>
              <w:rPr>
                <w:rFonts w:ascii="Calibri" w:hAnsi="Calibri" w:cs="Calibri"/>
                <w:sz w:val="22"/>
                <w:szCs w:val="22"/>
                <w:lang w:val="en-US"/>
              </w:rPr>
              <w:t>i</w:t>
            </w:r>
            <w:r w:rsidRPr="00D87AC5">
              <w:rPr>
                <w:rFonts w:ascii="Calibri" w:hAnsi="Calibri" w:cs="Calibri"/>
                <w:sz w:val="22"/>
                <w:szCs w:val="22"/>
                <w:lang w:val="en-US"/>
              </w:rPr>
              <w:t xml:space="preserve">onal historical </w:t>
            </w:r>
            <w:r>
              <w:rPr>
                <w:rFonts w:ascii="Calibri" w:hAnsi="Calibri" w:cs="Calibri"/>
                <w:sz w:val="22"/>
                <w:szCs w:val="22"/>
                <w:lang w:val="en-US"/>
              </w:rPr>
              <w:t>and cultural heritage</w:t>
            </w:r>
            <w:r w:rsidRPr="00D87AC5">
              <w:rPr>
                <w:rFonts w:ascii="Calibri" w:hAnsi="Calibri" w:cs="Calibri"/>
                <w:sz w:val="22"/>
                <w:szCs w:val="22"/>
                <w:lang w:val="en-US"/>
              </w:rPr>
              <w:t xml:space="preserve">. The rehabilitation of such buildings entails high costs but also additional concerns regarding other investment objectives. The change in status for such a building, from </w:t>
            </w:r>
            <w:r w:rsidRPr="005E0ECE">
              <w:rPr>
                <w:rFonts w:ascii="Calibri" w:hAnsi="Calibri" w:cs="Calibri"/>
                <w:i/>
                <w:iCs/>
                <w:sz w:val="22"/>
                <w:szCs w:val="22"/>
                <w:lang w:val="en-US"/>
              </w:rPr>
              <w:t xml:space="preserve">an ordinary building to a heritage </w:t>
            </w:r>
            <w:r w:rsidRPr="005E0ECE">
              <w:rPr>
                <w:rFonts w:ascii="Calibri" w:hAnsi="Calibri" w:cs="Calibri"/>
                <w:i/>
                <w:iCs/>
                <w:sz w:val="22"/>
                <w:szCs w:val="22"/>
                <w:lang w:val="en-US"/>
              </w:rPr>
              <w:lastRenderedPageBreak/>
              <w:t>building</w:t>
            </w:r>
            <w:r w:rsidRPr="00D87AC5">
              <w:rPr>
                <w:rFonts w:ascii="Calibri" w:hAnsi="Calibri" w:cs="Calibri"/>
                <w:sz w:val="22"/>
                <w:szCs w:val="22"/>
                <w:lang w:val="en-US"/>
              </w:rPr>
              <w:t xml:space="preserve">, often occurs after the implementation of the </w:t>
            </w:r>
            <w:r w:rsidR="00133AAE">
              <w:rPr>
                <w:rFonts w:ascii="Calibri" w:hAnsi="Calibri" w:cs="Calibri"/>
                <w:sz w:val="22"/>
                <w:szCs w:val="22"/>
                <w:lang w:val="en-US"/>
              </w:rPr>
              <w:t>p</w:t>
            </w:r>
            <w:r w:rsidRPr="00D87AC5">
              <w:rPr>
                <w:rFonts w:ascii="Calibri" w:hAnsi="Calibri" w:cs="Calibri"/>
                <w:sz w:val="22"/>
                <w:szCs w:val="22"/>
                <w:lang w:val="en-US"/>
              </w:rPr>
              <w:t>roject has begun, which implies changes in the procedures for obtaining the necessary authorizations and a different timeline for sub</w:t>
            </w:r>
            <w:r>
              <w:rPr>
                <w:rFonts w:ascii="Calibri" w:hAnsi="Calibri" w:cs="Calibri"/>
                <w:sz w:val="22"/>
                <w:szCs w:val="22"/>
                <w:lang w:val="en-US"/>
              </w:rPr>
              <w:t>mitting the documents and recei</w:t>
            </w:r>
            <w:r w:rsidRPr="00D87AC5">
              <w:rPr>
                <w:rFonts w:ascii="Calibri" w:hAnsi="Calibri" w:cs="Calibri"/>
                <w:sz w:val="22"/>
                <w:szCs w:val="22"/>
                <w:lang w:val="en-US"/>
              </w:rPr>
              <w:t xml:space="preserve">ving the construction work authorization documents. This often leads to significant delays and it always leads to high unexpected costs.   </w:t>
            </w:r>
          </w:p>
        </w:tc>
      </w:tr>
      <w:tr w:rsidR="006B2825" w:rsidRPr="00D87AC5" w:rsidTr="00B46A50">
        <w:trPr>
          <w:gridAfter w:val="1"/>
          <w:wAfter w:w="44" w:type="dxa"/>
          <w:trHeight w:val="458"/>
        </w:trPr>
        <w:tc>
          <w:tcPr>
            <w:tcW w:w="13213" w:type="dxa"/>
            <w:tcBorders>
              <w:top w:val="single" w:sz="4" w:space="0" w:color="auto"/>
              <w:left w:val="single" w:sz="4" w:space="0" w:color="auto"/>
              <w:bottom w:val="single" w:sz="4" w:space="0" w:color="auto"/>
              <w:right w:val="single" w:sz="4" w:space="0" w:color="auto"/>
            </w:tcBorders>
            <w:shd w:val="clear" w:color="auto" w:fill="DBE5F1"/>
          </w:tcPr>
          <w:p w:rsidR="006B2825" w:rsidRPr="00D87AC5" w:rsidRDefault="006B2825" w:rsidP="00B46A50">
            <w:pPr>
              <w:spacing w:after="60" w:line="240" w:lineRule="auto"/>
              <w:ind w:left="360" w:hanging="360"/>
              <w:jc w:val="left"/>
              <w:rPr>
                <w:rFonts w:eastAsia="Batang"/>
                <w:lang w:val="en-US"/>
              </w:rPr>
            </w:pPr>
            <w:r w:rsidRPr="00D87AC5">
              <w:rPr>
                <w:rFonts w:ascii="Calibri" w:eastAsia="Batang" w:hAnsi="Calibri" w:cs="Calibri"/>
                <w:b/>
                <w:bCs/>
                <w:color w:val="17365D"/>
                <w:sz w:val="22"/>
                <w:szCs w:val="22"/>
                <w:lang w:val="en-US"/>
              </w:rPr>
              <w:lastRenderedPageBreak/>
              <w:t>3. A</w:t>
            </w:r>
            <w:r w:rsidRPr="00D87AC5">
              <w:rPr>
                <w:rFonts w:ascii="Calibri" w:hAnsi="Calibri" w:cs="Calibri"/>
                <w:b/>
                <w:color w:val="17365D"/>
                <w:sz w:val="22"/>
                <w:szCs w:val="22"/>
                <w:lang w:val="en-US"/>
              </w:rPr>
              <w:t>spects of the environmental and social safeguard policies that the Bank can improve to ensure that these policies continue to be an effective and efficient tool to achieve sustainable development and results on the ground.</w:t>
            </w:r>
          </w:p>
        </w:tc>
      </w:tr>
      <w:tr w:rsidR="006B2825" w:rsidRPr="00D87AC5" w:rsidTr="00B46A50">
        <w:trPr>
          <w:gridAfter w:val="1"/>
          <w:wAfter w:w="44" w:type="dxa"/>
          <w:trHeight w:val="458"/>
        </w:trPr>
        <w:tc>
          <w:tcPr>
            <w:tcW w:w="13213" w:type="dxa"/>
            <w:tcBorders>
              <w:top w:val="single" w:sz="4" w:space="0" w:color="auto"/>
              <w:left w:val="single" w:sz="4" w:space="0" w:color="auto"/>
              <w:bottom w:val="single" w:sz="4" w:space="0" w:color="auto"/>
              <w:right w:val="single" w:sz="4" w:space="0" w:color="auto"/>
            </w:tcBorders>
            <w:shd w:val="clear" w:color="auto" w:fill="FFFFFF"/>
          </w:tcPr>
          <w:p w:rsidR="006B2825" w:rsidRPr="00B46A50" w:rsidRDefault="006B2825" w:rsidP="00B46A50">
            <w:pPr>
              <w:pStyle w:val="ListParagraph"/>
              <w:numPr>
                <w:ilvl w:val="0"/>
                <w:numId w:val="35"/>
              </w:numPr>
              <w:spacing w:after="60" w:line="240" w:lineRule="auto"/>
              <w:ind w:left="360"/>
              <w:jc w:val="left"/>
              <w:rPr>
                <w:rFonts w:ascii="Calibri" w:eastAsia="Batang" w:hAnsi="Calibri" w:cs="Calibri"/>
                <w:sz w:val="22"/>
                <w:szCs w:val="22"/>
                <w:lang w:val="en-US"/>
              </w:rPr>
            </w:pPr>
            <w:r w:rsidRPr="00B46A50">
              <w:rPr>
                <w:rFonts w:ascii="Calibri" w:eastAsia="Batang" w:hAnsi="Calibri" w:cs="Calibri"/>
                <w:b/>
                <w:bCs/>
                <w:i/>
                <w:sz w:val="22"/>
                <w:szCs w:val="22"/>
                <w:lang w:val="en-US"/>
              </w:rPr>
              <w:t>Ensuring that the experience and the best practices acquired by beneficiaries may be transferred to new projects that receive funding from other sources.</w:t>
            </w:r>
            <w:r w:rsidRPr="00B46A50">
              <w:rPr>
                <w:rFonts w:ascii="Calibri" w:eastAsia="Batang" w:hAnsi="Calibri" w:cs="Calibri"/>
                <w:b/>
                <w:bCs/>
                <w:sz w:val="22"/>
                <w:szCs w:val="22"/>
                <w:lang w:val="en-US"/>
              </w:rPr>
              <w:t xml:space="preserve"> </w:t>
            </w:r>
            <w:r w:rsidRPr="00B46A50">
              <w:rPr>
                <w:rFonts w:ascii="Calibri" w:eastAsia="Batang" w:hAnsi="Calibri" w:cs="Calibri"/>
                <w:sz w:val="22"/>
                <w:szCs w:val="22"/>
                <w:lang w:val="en-US"/>
              </w:rPr>
              <w:t xml:space="preserve">Once they have become aware of and accustomed to the principles and the implementation of social and environmental safeguard policies, public institutions tend to incorporate them and to impose them in the Terms of Reference pertaining to subsequent activities. They also tend to extend them to projects that are funded either from their own budget or with help from other </w:t>
            </w:r>
            <w:proofErr w:type="gramStart"/>
            <w:r w:rsidRPr="00B46A50">
              <w:rPr>
                <w:rFonts w:ascii="Calibri" w:eastAsia="Batang" w:hAnsi="Calibri" w:cs="Calibri"/>
                <w:sz w:val="22"/>
                <w:szCs w:val="22"/>
                <w:lang w:val="en-US"/>
              </w:rPr>
              <w:t xml:space="preserve">donors, </w:t>
            </w:r>
            <w:r w:rsidRPr="00133AAE">
              <w:rPr>
                <w:rFonts w:ascii="Calibri" w:eastAsia="Batang" w:hAnsi="Calibri" w:cs="Calibri"/>
                <w:sz w:val="22"/>
                <w:szCs w:val="22"/>
                <w:lang w:val="en-US"/>
              </w:rPr>
              <w:t>which</w:t>
            </w:r>
            <w:r w:rsidRPr="00B46A50">
              <w:rPr>
                <w:rFonts w:ascii="Calibri" w:eastAsia="Batang" w:hAnsi="Calibri" w:cs="Calibri"/>
                <w:sz w:val="22"/>
                <w:szCs w:val="22"/>
                <w:lang w:val="en-US"/>
              </w:rPr>
              <w:t xml:space="preserve"> contribute</w:t>
            </w:r>
            <w:r w:rsidR="00133AAE">
              <w:rPr>
                <w:rFonts w:ascii="Calibri" w:eastAsia="Batang" w:hAnsi="Calibri" w:cs="Calibri"/>
                <w:sz w:val="22"/>
                <w:szCs w:val="22"/>
                <w:lang w:val="en-US"/>
              </w:rPr>
              <w:t>s</w:t>
            </w:r>
            <w:proofErr w:type="gramEnd"/>
            <w:r w:rsidRPr="00B46A50">
              <w:rPr>
                <w:rFonts w:ascii="Calibri" w:eastAsia="Batang" w:hAnsi="Calibri" w:cs="Calibri"/>
                <w:sz w:val="22"/>
                <w:szCs w:val="22"/>
                <w:lang w:val="en-US"/>
              </w:rPr>
              <w:t xml:space="preserve"> to the dissemination and the achievement of a consistent practice regarding the enforcement of social and environmental safeguard policies. The Bank’s role in this process is that of a catalyst and a leader. </w:t>
            </w:r>
          </w:p>
          <w:p w:rsidR="006B2825" w:rsidRPr="00B46A50" w:rsidRDefault="006B2825" w:rsidP="00B46A50">
            <w:pPr>
              <w:pStyle w:val="ListParagraph"/>
              <w:numPr>
                <w:ilvl w:val="0"/>
                <w:numId w:val="35"/>
              </w:numPr>
              <w:spacing w:after="60" w:line="240" w:lineRule="auto"/>
              <w:ind w:left="360"/>
              <w:jc w:val="left"/>
              <w:rPr>
                <w:rFonts w:ascii="Calibri" w:eastAsia="Batang" w:hAnsi="Calibri" w:cs="Calibri"/>
                <w:b/>
                <w:bCs/>
                <w:color w:val="17365D"/>
                <w:sz w:val="22"/>
                <w:lang w:val="en-US"/>
              </w:rPr>
            </w:pPr>
            <w:r w:rsidRPr="00B46A50">
              <w:rPr>
                <w:rFonts w:ascii="Calibri" w:eastAsia="Batang" w:hAnsi="Calibri" w:cs="Calibri"/>
                <w:b/>
                <w:bCs/>
                <w:i/>
                <w:sz w:val="22"/>
                <w:szCs w:val="22"/>
                <w:lang w:val="en-US"/>
              </w:rPr>
              <w:t>The multiplication effect</w:t>
            </w:r>
            <w:r w:rsidRPr="00B46A50">
              <w:rPr>
                <w:rFonts w:ascii="Calibri" w:eastAsia="Batang" w:hAnsi="Calibri" w:cs="Calibri"/>
                <w:i/>
                <w:sz w:val="22"/>
                <w:szCs w:val="22"/>
                <w:lang w:val="en-US"/>
              </w:rPr>
              <w:t xml:space="preserve">. </w:t>
            </w:r>
            <w:r w:rsidRPr="00B46A50">
              <w:rPr>
                <w:rFonts w:ascii="Calibri" w:eastAsia="Batang" w:hAnsi="Calibri" w:cs="Calibri"/>
                <w:sz w:val="22"/>
                <w:szCs w:val="22"/>
                <w:lang w:val="en-US"/>
              </w:rPr>
              <w:t>In addition, public institutions transfer the lessons they have learned in the Environment</w:t>
            </w:r>
            <w:r w:rsidR="00133AAE">
              <w:rPr>
                <w:rFonts w:ascii="Calibri" w:eastAsia="Batang" w:hAnsi="Calibri" w:cs="Calibri"/>
                <w:sz w:val="22"/>
                <w:szCs w:val="22"/>
                <w:lang w:val="en-US"/>
              </w:rPr>
              <w:t>al</w:t>
            </w:r>
            <w:r w:rsidRPr="00B46A50">
              <w:rPr>
                <w:rFonts w:ascii="Calibri" w:eastAsia="Batang" w:hAnsi="Calibri" w:cs="Calibri"/>
                <w:sz w:val="22"/>
                <w:szCs w:val="22"/>
                <w:lang w:val="en-US"/>
              </w:rPr>
              <w:t xml:space="preserve"> Management Plans, as part of their attempt to use the same tools piloted and experienced in the </w:t>
            </w:r>
            <w:r w:rsidR="00133AAE">
              <w:rPr>
                <w:rFonts w:ascii="Calibri" w:eastAsia="Batang" w:hAnsi="Calibri" w:cs="Calibri"/>
                <w:sz w:val="22"/>
                <w:szCs w:val="22"/>
                <w:lang w:val="en-US"/>
              </w:rPr>
              <w:t xml:space="preserve">Bank </w:t>
            </w:r>
            <w:r w:rsidRPr="00B46A50">
              <w:rPr>
                <w:rFonts w:ascii="Calibri" w:eastAsia="Batang" w:hAnsi="Calibri" w:cs="Calibri"/>
                <w:sz w:val="22"/>
                <w:szCs w:val="22"/>
                <w:lang w:val="en-US"/>
              </w:rPr>
              <w:t>supported projects/programs.</w:t>
            </w:r>
          </w:p>
        </w:tc>
      </w:tr>
      <w:tr w:rsidR="006B2825" w:rsidRPr="00D87AC5" w:rsidTr="00B46A50">
        <w:trPr>
          <w:gridAfter w:val="1"/>
          <w:wAfter w:w="44" w:type="dxa"/>
          <w:trHeight w:val="458"/>
        </w:trPr>
        <w:tc>
          <w:tcPr>
            <w:tcW w:w="13213" w:type="dxa"/>
            <w:tcBorders>
              <w:top w:val="single" w:sz="4" w:space="0" w:color="auto"/>
              <w:left w:val="single" w:sz="4" w:space="0" w:color="auto"/>
              <w:bottom w:val="single" w:sz="4" w:space="0" w:color="auto"/>
              <w:right w:val="single" w:sz="4" w:space="0" w:color="auto"/>
            </w:tcBorders>
            <w:shd w:val="clear" w:color="auto" w:fill="DBE5F1"/>
          </w:tcPr>
          <w:p w:rsidR="006B2825" w:rsidRPr="00D87AC5" w:rsidRDefault="006B2825" w:rsidP="00B46A50">
            <w:pPr>
              <w:spacing w:after="60" w:line="240" w:lineRule="auto"/>
              <w:ind w:left="360" w:hanging="360"/>
              <w:jc w:val="left"/>
              <w:rPr>
                <w:rFonts w:eastAsia="Batang"/>
                <w:lang w:val="en-US"/>
              </w:rPr>
            </w:pPr>
            <w:r w:rsidRPr="00D87AC5">
              <w:rPr>
                <w:rFonts w:ascii="Calibri" w:hAnsi="Calibri" w:cs="Calibri"/>
                <w:b/>
                <w:color w:val="17365D"/>
                <w:sz w:val="22"/>
                <w:szCs w:val="22"/>
                <w:lang w:val="en-US"/>
              </w:rPr>
              <w:t>4. How can the Bank better support borrowers in their efforts to strengthen their systems and institutions with respect to environmental and social safeguards practices</w:t>
            </w:r>
            <w:r>
              <w:rPr>
                <w:rFonts w:ascii="Calibri" w:hAnsi="Calibri" w:cs="Calibri"/>
                <w:b/>
                <w:color w:val="17365D"/>
                <w:sz w:val="22"/>
                <w:szCs w:val="22"/>
                <w:lang w:val="en-US"/>
              </w:rPr>
              <w:t xml:space="preserve"> in order</w:t>
            </w:r>
            <w:r w:rsidRPr="00D87AC5">
              <w:rPr>
                <w:rFonts w:ascii="Calibri" w:hAnsi="Calibri" w:cs="Calibri"/>
                <w:b/>
                <w:color w:val="17365D"/>
                <w:sz w:val="22"/>
                <w:szCs w:val="22"/>
                <w:lang w:val="en-US"/>
              </w:rPr>
              <w:t xml:space="preserve"> to yield more sustainable results on the ground</w:t>
            </w:r>
            <w:r>
              <w:rPr>
                <w:rFonts w:ascii="Calibri" w:hAnsi="Calibri" w:cs="Calibri"/>
                <w:b/>
                <w:color w:val="17365D"/>
                <w:sz w:val="22"/>
                <w:szCs w:val="22"/>
                <w:lang w:val="en-US"/>
              </w:rPr>
              <w:t>?</w:t>
            </w:r>
          </w:p>
        </w:tc>
      </w:tr>
      <w:tr w:rsidR="006B2825" w:rsidRPr="00133AAE" w:rsidTr="00B46A50">
        <w:trPr>
          <w:trHeight w:val="1205"/>
        </w:trPr>
        <w:tc>
          <w:tcPr>
            <w:tcW w:w="13257" w:type="dxa"/>
            <w:gridSpan w:val="2"/>
            <w:tcBorders>
              <w:top w:val="single" w:sz="4" w:space="0" w:color="auto"/>
              <w:left w:val="single" w:sz="4" w:space="0" w:color="auto"/>
              <w:bottom w:val="single" w:sz="4" w:space="0" w:color="auto"/>
              <w:right w:val="single" w:sz="4" w:space="0" w:color="auto"/>
            </w:tcBorders>
          </w:tcPr>
          <w:p w:rsidR="006B2825" w:rsidRPr="00B46A50" w:rsidRDefault="006B2825" w:rsidP="00B46A50">
            <w:pPr>
              <w:pStyle w:val="ListParagraph"/>
              <w:widowControl w:val="0"/>
              <w:numPr>
                <w:ilvl w:val="0"/>
                <w:numId w:val="35"/>
              </w:numPr>
              <w:autoSpaceDE w:val="0"/>
              <w:autoSpaceDN w:val="0"/>
              <w:adjustRightInd w:val="0"/>
              <w:spacing w:after="60" w:line="240" w:lineRule="auto"/>
              <w:ind w:left="360"/>
              <w:jc w:val="left"/>
              <w:rPr>
                <w:rFonts w:ascii="Calibri" w:hAnsi="Calibri" w:cs="Calibri"/>
                <w:b/>
                <w:sz w:val="22"/>
                <w:szCs w:val="22"/>
                <w:lang w:val="en-US"/>
              </w:rPr>
            </w:pPr>
            <w:r w:rsidRPr="00B46A50">
              <w:rPr>
                <w:rFonts w:ascii="Calibri" w:hAnsi="Calibri" w:cs="Calibri"/>
                <w:b/>
                <w:i/>
                <w:sz w:val="22"/>
                <w:szCs w:val="22"/>
                <w:lang w:val="en-US"/>
              </w:rPr>
              <w:t>Including provisions and measures pertaining to safeguard policies from an early stage of the program/project preparation.</w:t>
            </w:r>
            <w:r w:rsidRPr="00B46A50">
              <w:rPr>
                <w:rFonts w:ascii="Calibri" w:hAnsi="Calibri" w:cs="Calibri"/>
                <w:b/>
                <w:sz w:val="22"/>
                <w:szCs w:val="22"/>
                <w:lang w:val="en-US"/>
              </w:rPr>
              <w:t xml:space="preserve"> </w:t>
            </w:r>
            <w:r w:rsidRPr="00B46A50">
              <w:rPr>
                <w:rFonts w:ascii="Calibri" w:hAnsi="Calibri" w:cs="Calibri"/>
                <w:bCs/>
                <w:sz w:val="22"/>
                <w:szCs w:val="22"/>
                <w:lang w:val="en-US"/>
              </w:rPr>
              <w:t xml:space="preserve">To this end, it is necessary to take into consideration a comparative analysis of the principles, regulations and norms of the Bank’s safeguard policies and the national legal framework. Subsequent alterations or adjustments of provisions in order to ensure full harmonization will entail additional time </w:t>
            </w:r>
            <w:r w:rsidR="00133AAE">
              <w:rPr>
                <w:rFonts w:ascii="Calibri" w:hAnsi="Calibri" w:cs="Calibri"/>
                <w:bCs/>
                <w:sz w:val="22"/>
                <w:szCs w:val="22"/>
                <w:lang w:val="en-US"/>
              </w:rPr>
              <w:t xml:space="preserve">and </w:t>
            </w:r>
            <w:r w:rsidRPr="00B46A50">
              <w:rPr>
                <w:rFonts w:ascii="Calibri" w:hAnsi="Calibri" w:cs="Calibri"/>
                <w:bCs/>
                <w:sz w:val="22"/>
                <w:szCs w:val="22"/>
                <w:lang w:val="en-US"/>
              </w:rPr>
              <w:t xml:space="preserve">resources. Where the national legal framework is stricter than the Bank’s policies, the Bank should adapt its requirements accordingly. Where provisions are not fully harmonized, there is a great delay in </w:t>
            </w:r>
            <w:r w:rsidR="004C30E6">
              <w:rPr>
                <w:rFonts w:ascii="Calibri" w:hAnsi="Calibri" w:cs="Calibri"/>
                <w:bCs/>
                <w:sz w:val="22"/>
                <w:szCs w:val="22"/>
                <w:lang w:val="en-US"/>
              </w:rPr>
              <w:t xml:space="preserve">project </w:t>
            </w:r>
            <w:r w:rsidRPr="00B46A50">
              <w:rPr>
                <w:rFonts w:ascii="Calibri" w:hAnsi="Calibri" w:cs="Calibri"/>
                <w:bCs/>
                <w:sz w:val="22"/>
                <w:szCs w:val="22"/>
                <w:lang w:val="en-US"/>
              </w:rPr>
              <w:t>implementation and there may also be potentially unforeseen consequences. Romania, which became a</w:t>
            </w:r>
            <w:r w:rsidR="004C30E6">
              <w:rPr>
                <w:rFonts w:ascii="Calibri" w:hAnsi="Calibri" w:cs="Calibri"/>
                <w:bCs/>
                <w:sz w:val="22"/>
                <w:szCs w:val="22"/>
                <w:lang w:val="en-US"/>
              </w:rPr>
              <w:t>n</w:t>
            </w:r>
            <w:r w:rsidRPr="00B46A50">
              <w:rPr>
                <w:rFonts w:ascii="Calibri" w:hAnsi="Calibri" w:cs="Calibri"/>
                <w:bCs/>
                <w:sz w:val="22"/>
                <w:szCs w:val="22"/>
                <w:lang w:val="en-US"/>
              </w:rPr>
              <w:t xml:space="preserve"> EU member </w:t>
            </w:r>
            <w:r w:rsidR="004C30E6">
              <w:rPr>
                <w:rFonts w:ascii="Calibri" w:hAnsi="Calibri" w:cs="Calibri"/>
                <w:bCs/>
                <w:sz w:val="22"/>
                <w:szCs w:val="22"/>
                <w:lang w:val="en-US"/>
              </w:rPr>
              <w:t xml:space="preserve">on </w:t>
            </w:r>
            <w:r w:rsidRPr="00B46A50">
              <w:rPr>
                <w:rFonts w:ascii="Calibri" w:hAnsi="Calibri" w:cs="Calibri"/>
                <w:bCs/>
                <w:sz w:val="22"/>
                <w:szCs w:val="22"/>
                <w:lang w:val="en-US"/>
              </w:rPr>
              <w:t xml:space="preserve">January 1, 2007, had to incorporate EU regulations into </w:t>
            </w:r>
            <w:r w:rsidR="004C30E6">
              <w:rPr>
                <w:rFonts w:ascii="Calibri" w:hAnsi="Calibri" w:cs="Calibri"/>
                <w:bCs/>
                <w:sz w:val="22"/>
                <w:szCs w:val="22"/>
                <w:lang w:val="en-US"/>
              </w:rPr>
              <w:t xml:space="preserve">its </w:t>
            </w:r>
            <w:r w:rsidRPr="00B46A50">
              <w:rPr>
                <w:rFonts w:ascii="Calibri" w:hAnsi="Calibri" w:cs="Calibri"/>
                <w:bCs/>
                <w:sz w:val="22"/>
                <w:szCs w:val="22"/>
                <w:lang w:val="en-US"/>
              </w:rPr>
              <w:t>national legislation. However, there may be some issues in areas where the process of bringing regulations into compliance with the EU</w:t>
            </w:r>
            <w:r w:rsidR="004C30E6">
              <w:rPr>
                <w:rFonts w:ascii="Calibri" w:hAnsi="Calibri" w:cs="Calibri"/>
                <w:bCs/>
                <w:sz w:val="22"/>
                <w:szCs w:val="22"/>
                <w:lang w:val="en-US"/>
              </w:rPr>
              <w:t xml:space="preserve"> </w:t>
            </w:r>
            <w:proofErr w:type="spellStart"/>
            <w:r w:rsidRPr="00B46A50">
              <w:rPr>
                <w:rFonts w:ascii="Calibri" w:hAnsi="Calibri" w:cs="Calibri"/>
                <w:bCs/>
                <w:sz w:val="22"/>
                <w:szCs w:val="22"/>
                <w:lang w:val="en-US"/>
              </w:rPr>
              <w:t>acquis</w:t>
            </w:r>
            <w:proofErr w:type="spellEnd"/>
            <w:r w:rsidRPr="00B46A50">
              <w:rPr>
                <w:rFonts w:ascii="Calibri" w:hAnsi="Calibri" w:cs="Calibri"/>
                <w:bCs/>
                <w:sz w:val="22"/>
                <w:szCs w:val="22"/>
                <w:lang w:val="en-US"/>
              </w:rPr>
              <w:t xml:space="preserve"> has not taken place yet. On the other hand, even when EU regulations have been integrated in</w:t>
            </w:r>
            <w:r w:rsidR="004C30E6">
              <w:rPr>
                <w:rFonts w:ascii="Calibri" w:hAnsi="Calibri" w:cs="Calibri"/>
                <w:bCs/>
                <w:sz w:val="22"/>
                <w:szCs w:val="22"/>
                <w:lang w:val="en-US"/>
              </w:rPr>
              <w:t>to</w:t>
            </w:r>
            <w:r w:rsidRPr="00B46A50">
              <w:rPr>
                <w:rFonts w:ascii="Calibri" w:hAnsi="Calibri" w:cs="Calibri"/>
                <w:bCs/>
                <w:sz w:val="22"/>
                <w:szCs w:val="22"/>
                <w:lang w:val="en-US"/>
              </w:rPr>
              <w:t xml:space="preserve"> the national legal framework, there may still be serious concern regarding their enforcement, as we have shown. </w:t>
            </w:r>
          </w:p>
          <w:p w:rsidR="006B2825" w:rsidRPr="00B46A50" w:rsidRDefault="006B2825" w:rsidP="00B46A50">
            <w:pPr>
              <w:pStyle w:val="ListParagraph"/>
              <w:widowControl w:val="0"/>
              <w:numPr>
                <w:ilvl w:val="0"/>
                <w:numId w:val="35"/>
              </w:numPr>
              <w:autoSpaceDE w:val="0"/>
              <w:autoSpaceDN w:val="0"/>
              <w:adjustRightInd w:val="0"/>
              <w:spacing w:after="60" w:line="240" w:lineRule="auto"/>
              <w:ind w:left="360"/>
              <w:jc w:val="left"/>
              <w:rPr>
                <w:rFonts w:ascii="Calibri" w:hAnsi="Calibri" w:cs="Calibri"/>
                <w:b/>
                <w:sz w:val="22"/>
                <w:szCs w:val="22"/>
                <w:lang w:val="en-US"/>
              </w:rPr>
            </w:pPr>
            <w:r w:rsidRPr="00B46A50">
              <w:rPr>
                <w:rFonts w:ascii="Calibri" w:hAnsi="Calibri" w:cs="Calibri"/>
                <w:b/>
                <w:i/>
                <w:sz w:val="22"/>
                <w:szCs w:val="22"/>
                <w:lang w:val="en-US"/>
              </w:rPr>
              <w:t>Providing ongoing technical assistance and support to shareholders and clients.</w:t>
            </w:r>
            <w:r w:rsidRPr="00B46A50">
              <w:rPr>
                <w:rFonts w:ascii="Calibri" w:hAnsi="Calibri" w:cs="Calibri"/>
                <w:b/>
                <w:sz w:val="22"/>
                <w:szCs w:val="22"/>
                <w:lang w:val="en-US"/>
              </w:rPr>
              <w:t xml:space="preserve"> </w:t>
            </w:r>
            <w:r w:rsidRPr="00B46A50">
              <w:rPr>
                <w:rFonts w:ascii="Calibri" w:hAnsi="Calibri" w:cs="Calibri"/>
                <w:bCs/>
                <w:sz w:val="22"/>
                <w:szCs w:val="22"/>
                <w:lang w:val="en-US"/>
              </w:rPr>
              <w:t xml:space="preserve">Bank-funded projects have been successful because they have gone </w:t>
            </w:r>
            <w:r w:rsidR="004C30E6">
              <w:rPr>
                <w:rFonts w:ascii="Calibri" w:hAnsi="Calibri" w:cs="Calibri"/>
                <w:bCs/>
                <w:sz w:val="22"/>
                <w:szCs w:val="22"/>
                <w:lang w:val="en-US"/>
              </w:rPr>
              <w:t xml:space="preserve">through </w:t>
            </w:r>
            <w:r w:rsidRPr="00B46A50">
              <w:rPr>
                <w:rFonts w:ascii="Calibri" w:hAnsi="Calibri" w:cs="Calibri"/>
                <w:bCs/>
                <w:sz w:val="22"/>
                <w:szCs w:val="22"/>
                <w:lang w:val="en-US"/>
              </w:rPr>
              <w:t xml:space="preserve">all necessary stages and countries </w:t>
            </w:r>
            <w:r w:rsidR="004C30E6">
              <w:rPr>
                <w:rFonts w:ascii="Calibri" w:hAnsi="Calibri" w:cs="Calibri"/>
                <w:bCs/>
                <w:sz w:val="22"/>
                <w:szCs w:val="22"/>
                <w:lang w:val="en-US"/>
              </w:rPr>
              <w:t xml:space="preserve">have </w:t>
            </w:r>
            <w:r w:rsidRPr="00B46A50">
              <w:rPr>
                <w:rFonts w:ascii="Calibri" w:hAnsi="Calibri" w:cs="Calibri"/>
                <w:bCs/>
                <w:sz w:val="22"/>
                <w:szCs w:val="22"/>
                <w:lang w:val="en-US"/>
              </w:rPr>
              <w:t>benefit</w:t>
            </w:r>
            <w:r w:rsidR="004C30E6">
              <w:rPr>
                <w:rFonts w:ascii="Calibri" w:hAnsi="Calibri" w:cs="Calibri"/>
                <w:bCs/>
                <w:sz w:val="22"/>
                <w:szCs w:val="22"/>
                <w:lang w:val="en-US"/>
              </w:rPr>
              <w:t>ed</w:t>
            </w:r>
            <w:r w:rsidRPr="00B46A50">
              <w:rPr>
                <w:rFonts w:ascii="Calibri" w:hAnsi="Calibri" w:cs="Calibri"/>
                <w:bCs/>
                <w:sz w:val="22"/>
                <w:szCs w:val="22"/>
                <w:lang w:val="en-US"/>
              </w:rPr>
              <w:t xml:space="preserve"> from technical assistance throughout all legislative/regulatory stages, such as the social or environmental analysis or the ecological analysis, followed by the actual investment stage. </w:t>
            </w:r>
          </w:p>
          <w:p w:rsidR="006B2825" w:rsidRPr="00B46A50" w:rsidRDefault="006B2825" w:rsidP="00B46A50">
            <w:pPr>
              <w:pStyle w:val="ListParagraph"/>
              <w:widowControl w:val="0"/>
              <w:numPr>
                <w:ilvl w:val="0"/>
                <w:numId w:val="35"/>
              </w:numPr>
              <w:autoSpaceDE w:val="0"/>
              <w:autoSpaceDN w:val="0"/>
              <w:adjustRightInd w:val="0"/>
              <w:spacing w:after="60" w:line="240" w:lineRule="auto"/>
              <w:ind w:left="360"/>
              <w:jc w:val="left"/>
              <w:rPr>
                <w:rFonts w:ascii="Calibri" w:hAnsi="Calibri" w:cs="Calibri"/>
                <w:b/>
                <w:i/>
                <w:sz w:val="22"/>
                <w:szCs w:val="22"/>
                <w:lang w:val="en-US"/>
              </w:rPr>
            </w:pPr>
            <w:r w:rsidRPr="00B46A50">
              <w:rPr>
                <w:rFonts w:ascii="Calibri" w:hAnsi="Calibri" w:cs="Calibri"/>
                <w:b/>
                <w:i/>
                <w:sz w:val="22"/>
                <w:szCs w:val="22"/>
                <w:lang w:val="en-US"/>
              </w:rPr>
              <w:t xml:space="preserve">Improving/increasing the funding flow for the Republic of Moldova. </w:t>
            </w:r>
          </w:p>
          <w:p w:rsidR="006B2825" w:rsidRPr="00B46A50" w:rsidRDefault="006B2825" w:rsidP="00B46A50">
            <w:pPr>
              <w:pStyle w:val="ListParagraph"/>
              <w:widowControl w:val="0"/>
              <w:numPr>
                <w:ilvl w:val="0"/>
                <w:numId w:val="35"/>
              </w:numPr>
              <w:autoSpaceDE w:val="0"/>
              <w:autoSpaceDN w:val="0"/>
              <w:adjustRightInd w:val="0"/>
              <w:spacing w:after="60" w:line="240" w:lineRule="auto"/>
              <w:ind w:left="360"/>
              <w:rPr>
                <w:rFonts w:ascii="Calibri" w:hAnsi="Calibri" w:cs="Calibri"/>
                <w:b/>
                <w:sz w:val="22"/>
                <w:szCs w:val="22"/>
                <w:lang w:val="en-US"/>
              </w:rPr>
            </w:pPr>
            <w:r w:rsidRPr="00B46A50">
              <w:rPr>
                <w:rFonts w:ascii="Calibri" w:hAnsi="Calibri" w:cs="Calibri"/>
                <w:b/>
                <w:i/>
                <w:sz w:val="22"/>
                <w:szCs w:val="22"/>
                <w:lang w:val="en-US"/>
              </w:rPr>
              <w:t>Providing support and guidance in order to achieve consistency in implementation at the level of tertiary regulation.</w:t>
            </w:r>
            <w:r w:rsidRPr="00B46A50">
              <w:rPr>
                <w:rFonts w:ascii="Calibri" w:hAnsi="Calibri" w:cs="Calibri"/>
                <w:b/>
                <w:sz w:val="22"/>
                <w:szCs w:val="22"/>
                <w:lang w:val="en-US"/>
              </w:rPr>
              <w:t xml:space="preserve"> </w:t>
            </w:r>
            <w:r w:rsidRPr="00B46A50">
              <w:rPr>
                <w:rFonts w:ascii="Calibri" w:hAnsi="Calibri" w:cs="Calibri"/>
                <w:bCs/>
                <w:sz w:val="22"/>
                <w:szCs w:val="22"/>
                <w:lang w:val="en-US"/>
              </w:rPr>
              <w:t xml:space="preserve">In order to better reinforce the requirements of safeguard policies even after they have been incorporated into or harmonized with the EU legislation and/or the national legislation, there remains a pervasive need for support at the level of secondary legislation, but especially at the level of tertiary regulation, which </w:t>
            </w:r>
            <w:r w:rsidR="004C30E6">
              <w:rPr>
                <w:rFonts w:ascii="Calibri" w:hAnsi="Calibri" w:cs="Calibri"/>
                <w:bCs/>
                <w:sz w:val="22"/>
                <w:szCs w:val="22"/>
                <w:lang w:val="en-US"/>
              </w:rPr>
              <w:t xml:space="preserve">has </w:t>
            </w:r>
            <w:r w:rsidRPr="00B46A50">
              <w:rPr>
                <w:rFonts w:ascii="Calibri" w:hAnsi="Calibri" w:cs="Calibri"/>
                <w:bCs/>
                <w:sz w:val="22"/>
                <w:szCs w:val="22"/>
                <w:lang w:val="en-US"/>
              </w:rPr>
              <w:t xml:space="preserve">to do with technical prescriptions and enforcement norms. Such prescriptions and norms often fall under the mandate </w:t>
            </w:r>
            <w:r w:rsidR="004C30E6">
              <w:rPr>
                <w:rFonts w:ascii="Calibri" w:hAnsi="Calibri" w:cs="Calibri"/>
                <w:bCs/>
                <w:sz w:val="22"/>
                <w:szCs w:val="22"/>
                <w:lang w:val="en-US"/>
              </w:rPr>
              <w:t xml:space="preserve">of </w:t>
            </w:r>
            <w:r w:rsidRPr="00B46A50">
              <w:rPr>
                <w:rFonts w:ascii="Calibri" w:hAnsi="Calibri" w:cs="Calibri"/>
                <w:bCs/>
                <w:sz w:val="22"/>
                <w:szCs w:val="22"/>
                <w:lang w:val="en-US"/>
              </w:rPr>
              <w:t xml:space="preserve">national or regional regulating authorities, which usually don’t take part in the development of the project/program but whose decisions affect </w:t>
            </w:r>
            <w:r w:rsidRPr="00B46A50">
              <w:rPr>
                <w:rFonts w:ascii="Calibri" w:hAnsi="Calibri" w:cs="Calibri"/>
                <w:bCs/>
                <w:sz w:val="22"/>
                <w:szCs w:val="22"/>
                <w:lang w:val="en-US"/>
              </w:rPr>
              <w:lastRenderedPageBreak/>
              <w:t xml:space="preserve">implementation. Usually, such public entities are territorially decentralized and don’t have consistent practice </w:t>
            </w:r>
            <w:r w:rsidR="004C30E6">
              <w:rPr>
                <w:rFonts w:ascii="Calibri" w:hAnsi="Calibri" w:cs="Calibri"/>
                <w:bCs/>
                <w:sz w:val="22"/>
                <w:szCs w:val="22"/>
                <w:lang w:val="en-US"/>
              </w:rPr>
              <w:t xml:space="preserve">with </w:t>
            </w:r>
            <w:r w:rsidRPr="00B46A50">
              <w:rPr>
                <w:rFonts w:ascii="Calibri" w:hAnsi="Calibri" w:cs="Calibri"/>
                <w:bCs/>
                <w:sz w:val="22"/>
                <w:szCs w:val="22"/>
                <w:lang w:val="en-US"/>
              </w:rPr>
              <w:t>the legislation that governs the framework for applying safeguard policies. In addition to this lack of consistency in monitoring the enforcement of the relevant legislation, there is either a lack of communication or a poor communication between the various public entities that should act in a coordinated manner.</w:t>
            </w:r>
            <w:r w:rsidRPr="00B46A50">
              <w:rPr>
                <w:rFonts w:ascii="Calibri" w:hAnsi="Calibri" w:cs="Calibri"/>
                <w:b/>
                <w:sz w:val="22"/>
                <w:szCs w:val="22"/>
                <w:lang w:val="en-US"/>
              </w:rPr>
              <w:t xml:space="preserve">    </w:t>
            </w:r>
          </w:p>
        </w:tc>
      </w:tr>
      <w:tr w:rsidR="006B2825" w:rsidRPr="00D87AC5" w:rsidTr="00B46A50">
        <w:trPr>
          <w:gridAfter w:val="1"/>
          <w:wAfter w:w="44" w:type="dxa"/>
          <w:trHeight w:val="70"/>
        </w:trPr>
        <w:tc>
          <w:tcPr>
            <w:tcW w:w="13213" w:type="dxa"/>
            <w:tcBorders>
              <w:top w:val="single" w:sz="4" w:space="0" w:color="auto"/>
              <w:left w:val="single" w:sz="4" w:space="0" w:color="auto"/>
              <w:bottom w:val="single" w:sz="4" w:space="0" w:color="auto"/>
              <w:right w:val="single" w:sz="4" w:space="0" w:color="auto"/>
            </w:tcBorders>
            <w:shd w:val="clear" w:color="auto" w:fill="DBE5F1"/>
          </w:tcPr>
          <w:p w:rsidR="006B2825" w:rsidRPr="00B46A50" w:rsidRDefault="006B2825" w:rsidP="00B46A50">
            <w:pPr>
              <w:numPr>
                <w:ilvl w:val="0"/>
                <w:numId w:val="34"/>
              </w:numPr>
              <w:snapToGrid w:val="0"/>
              <w:spacing w:after="60" w:line="240" w:lineRule="auto"/>
              <w:ind w:left="360"/>
              <w:jc w:val="left"/>
              <w:rPr>
                <w:rFonts w:ascii="Calibri" w:eastAsia="Batang" w:hAnsi="Calibri" w:cs="Calibri"/>
                <w:b/>
                <w:color w:val="17365D"/>
                <w:sz w:val="22"/>
                <w:szCs w:val="22"/>
                <w:lang w:val="en-US"/>
              </w:rPr>
            </w:pPr>
            <w:r w:rsidRPr="00D87AC5">
              <w:rPr>
                <w:rFonts w:ascii="Calibri" w:eastAsia="Batang" w:hAnsi="Calibri" w:cs="Calibri"/>
                <w:b/>
                <w:color w:val="17365D"/>
                <w:sz w:val="22"/>
                <w:szCs w:val="22"/>
                <w:lang w:val="en-US"/>
              </w:rPr>
              <w:lastRenderedPageBreak/>
              <w:t>E</w:t>
            </w:r>
            <w:r w:rsidRPr="00D87AC5">
              <w:rPr>
                <w:rFonts w:ascii="Calibri" w:hAnsi="Calibri" w:cs="Calibri"/>
                <w:b/>
                <w:color w:val="17365D"/>
                <w:sz w:val="22"/>
                <w:szCs w:val="22"/>
                <w:lang w:val="en-US"/>
              </w:rPr>
              <w:t>xamples of environmental and social assessment and risk management approaches (used by either public or private institutions) that the review should take into consideration.</w:t>
            </w:r>
          </w:p>
        </w:tc>
      </w:tr>
      <w:tr w:rsidR="006B2825" w:rsidRPr="00D87AC5" w:rsidTr="00B46A50">
        <w:trPr>
          <w:trHeight w:val="1007"/>
        </w:trPr>
        <w:tc>
          <w:tcPr>
            <w:tcW w:w="13257" w:type="dxa"/>
            <w:gridSpan w:val="2"/>
            <w:tcBorders>
              <w:top w:val="single" w:sz="4" w:space="0" w:color="auto"/>
              <w:left w:val="single" w:sz="4" w:space="0" w:color="auto"/>
              <w:bottom w:val="single" w:sz="4" w:space="0" w:color="auto"/>
              <w:right w:val="single" w:sz="4" w:space="0" w:color="auto"/>
            </w:tcBorders>
          </w:tcPr>
          <w:p w:rsidR="006B2825" w:rsidRPr="00D87AC5" w:rsidRDefault="006B2825" w:rsidP="00B46A50">
            <w:pPr>
              <w:pStyle w:val="ListParagraph"/>
              <w:numPr>
                <w:ilvl w:val="0"/>
                <w:numId w:val="35"/>
              </w:numPr>
              <w:spacing w:after="60" w:line="240" w:lineRule="auto"/>
              <w:ind w:left="360"/>
              <w:jc w:val="left"/>
              <w:rPr>
                <w:rFonts w:ascii="Calibri" w:hAnsi="Calibri" w:cs="Calibri"/>
                <w:color w:val="333333"/>
                <w:szCs w:val="22"/>
                <w:lang w:val="en-US"/>
              </w:rPr>
            </w:pPr>
            <w:r w:rsidRPr="00C1794E">
              <w:rPr>
                <w:rFonts w:ascii="Calibri" w:hAnsi="Calibri" w:cs="Calibri"/>
                <w:b/>
                <w:bCs/>
                <w:i/>
                <w:color w:val="333333"/>
                <w:sz w:val="22"/>
                <w:szCs w:val="22"/>
                <w:lang w:val="en-US"/>
              </w:rPr>
              <w:t>The policies</w:t>
            </w:r>
            <w:r>
              <w:rPr>
                <w:rFonts w:ascii="Calibri" w:hAnsi="Calibri" w:cs="Calibri"/>
                <w:b/>
                <w:bCs/>
                <w:i/>
                <w:color w:val="333333"/>
                <w:sz w:val="22"/>
                <w:szCs w:val="22"/>
                <w:lang w:val="en-US"/>
              </w:rPr>
              <w:t>, regulations</w:t>
            </w:r>
            <w:r w:rsidRPr="00C1794E">
              <w:rPr>
                <w:rFonts w:ascii="Calibri" w:hAnsi="Calibri" w:cs="Calibri"/>
                <w:b/>
                <w:bCs/>
                <w:i/>
                <w:color w:val="333333"/>
                <w:sz w:val="22"/>
                <w:szCs w:val="22"/>
                <w:lang w:val="en-US"/>
              </w:rPr>
              <w:t xml:space="preserve"> and principles </w:t>
            </w:r>
            <w:r>
              <w:rPr>
                <w:rFonts w:ascii="Calibri" w:hAnsi="Calibri" w:cs="Calibri"/>
                <w:b/>
                <w:bCs/>
                <w:i/>
                <w:color w:val="333333"/>
                <w:sz w:val="22"/>
                <w:szCs w:val="22"/>
                <w:lang w:val="en-US"/>
              </w:rPr>
              <w:t>have been harmonized</w:t>
            </w:r>
            <w:r w:rsidRPr="00C1794E">
              <w:rPr>
                <w:rFonts w:ascii="Calibri" w:hAnsi="Calibri" w:cs="Calibri"/>
                <w:b/>
                <w:bCs/>
                <w:i/>
                <w:color w:val="333333"/>
                <w:sz w:val="22"/>
                <w:szCs w:val="22"/>
                <w:lang w:val="en-US"/>
              </w:rPr>
              <w:t xml:space="preserve"> but their enforcement remains a challenge. </w:t>
            </w:r>
            <w:r w:rsidRPr="00825815">
              <w:rPr>
                <w:rFonts w:ascii="Calibri" w:hAnsi="Calibri" w:cs="Calibri"/>
                <w:bCs/>
                <w:color w:val="333333"/>
                <w:sz w:val="22"/>
                <w:szCs w:val="22"/>
                <w:lang w:val="en-US"/>
              </w:rPr>
              <w:t xml:space="preserve">The reality of project implementation experience shows that </w:t>
            </w:r>
            <w:r>
              <w:rPr>
                <w:rFonts w:ascii="Calibri" w:hAnsi="Calibri" w:cs="Calibri"/>
                <w:bCs/>
                <w:color w:val="333333"/>
                <w:sz w:val="22"/>
                <w:szCs w:val="22"/>
                <w:lang w:val="en-US"/>
              </w:rPr>
              <w:t xml:space="preserve">immediately </w:t>
            </w:r>
            <w:r w:rsidRPr="00825815">
              <w:rPr>
                <w:rFonts w:ascii="Calibri" w:hAnsi="Calibri" w:cs="Calibri"/>
                <w:bCs/>
                <w:color w:val="333333"/>
                <w:sz w:val="22"/>
                <w:szCs w:val="22"/>
                <w:lang w:val="en-US"/>
              </w:rPr>
              <w:t>after an accident</w:t>
            </w:r>
            <w:r>
              <w:rPr>
                <w:rFonts w:ascii="Calibri" w:hAnsi="Calibri" w:cs="Calibri"/>
                <w:bCs/>
                <w:color w:val="333333"/>
                <w:sz w:val="22"/>
                <w:szCs w:val="22"/>
                <w:lang w:val="en-US"/>
              </w:rPr>
              <w:t xml:space="preserve"> that ha</w:t>
            </w:r>
            <w:r w:rsidR="00844DC3">
              <w:rPr>
                <w:rFonts w:ascii="Calibri" w:hAnsi="Calibri" w:cs="Calibri"/>
                <w:bCs/>
                <w:color w:val="333333"/>
                <w:sz w:val="22"/>
                <w:szCs w:val="22"/>
                <w:lang w:val="en-US"/>
              </w:rPr>
              <w:t>s</w:t>
            </w:r>
            <w:r>
              <w:rPr>
                <w:rFonts w:ascii="Calibri" w:hAnsi="Calibri" w:cs="Calibri"/>
                <w:bCs/>
                <w:color w:val="333333"/>
                <w:sz w:val="22"/>
                <w:szCs w:val="22"/>
                <w:lang w:val="en-US"/>
              </w:rPr>
              <w:t xml:space="preserve"> damaged the environment or communities,</w:t>
            </w:r>
            <w:r w:rsidRPr="00825815">
              <w:rPr>
                <w:rFonts w:ascii="Calibri" w:hAnsi="Calibri" w:cs="Calibri"/>
                <w:bCs/>
                <w:color w:val="333333"/>
                <w:sz w:val="22"/>
                <w:szCs w:val="22"/>
                <w:lang w:val="en-US"/>
              </w:rPr>
              <w:t xml:space="preserve"> things are done properly but </w:t>
            </w:r>
            <w:r>
              <w:rPr>
                <w:rFonts w:ascii="Calibri" w:hAnsi="Calibri" w:cs="Calibri"/>
                <w:bCs/>
                <w:color w:val="333333"/>
                <w:sz w:val="22"/>
                <w:szCs w:val="22"/>
                <w:lang w:val="en-US"/>
              </w:rPr>
              <w:t xml:space="preserve">a few weeks later, things revert to their previous state. </w:t>
            </w:r>
            <w:r w:rsidRPr="00825815">
              <w:rPr>
                <w:rFonts w:ascii="Calibri" w:hAnsi="Calibri" w:cs="Calibri"/>
                <w:color w:val="333333"/>
                <w:sz w:val="22"/>
                <w:szCs w:val="22"/>
                <w:lang w:val="en-US"/>
              </w:rPr>
              <w:t>Therefore, severe provisions have to be introduced so that the</w:t>
            </w:r>
            <w:r>
              <w:rPr>
                <w:rFonts w:ascii="Calibri" w:hAnsi="Calibri" w:cs="Calibri"/>
                <w:color w:val="333333"/>
                <w:sz w:val="22"/>
                <w:szCs w:val="22"/>
                <w:lang w:val="en-US"/>
              </w:rPr>
              <w:t xml:space="preserve"> aspects related to the protection of the</w:t>
            </w:r>
            <w:r w:rsidRPr="00825815">
              <w:rPr>
                <w:rFonts w:ascii="Calibri" w:hAnsi="Calibri" w:cs="Calibri"/>
                <w:color w:val="333333"/>
                <w:sz w:val="22"/>
                <w:szCs w:val="22"/>
                <w:lang w:val="en-US"/>
              </w:rPr>
              <w:t xml:space="preserve"> environment </w:t>
            </w:r>
            <w:r>
              <w:rPr>
                <w:rFonts w:ascii="Calibri" w:hAnsi="Calibri" w:cs="Calibri"/>
                <w:color w:val="333333"/>
                <w:sz w:val="22"/>
                <w:szCs w:val="22"/>
                <w:lang w:val="en-US"/>
              </w:rPr>
              <w:t xml:space="preserve">no longer depend on the </w:t>
            </w:r>
            <w:r w:rsidR="00844DC3">
              <w:rPr>
                <w:rFonts w:ascii="Calibri" w:hAnsi="Calibri" w:cs="Calibri"/>
                <w:color w:val="333333"/>
                <w:sz w:val="22"/>
                <w:szCs w:val="22"/>
                <w:lang w:val="en-US"/>
              </w:rPr>
              <w:t xml:space="preserve">degree of </w:t>
            </w:r>
            <w:r>
              <w:rPr>
                <w:rFonts w:ascii="Calibri" w:hAnsi="Calibri" w:cs="Calibri"/>
                <w:color w:val="333333"/>
                <w:sz w:val="22"/>
                <w:szCs w:val="22"/>
                <w:lang w:val="en-US"/>
              </w:rPr>
              <w:t>awareness; instead, they should become mandatory. The same applies to future policies pertaining to labor/occupational safety.</w:t>
            </w:r>
            <w:r w:rsidRPr="00D87AC5">
              <w:rPr>
                <w:rFonts w:ascii="Calibri" w:hAnsi="Calibri" w:cs="Calibri"/>
                <w:color w:val="333333"/>
                <w:sz w:val="22"/>
                <w:szCs w:val="22"/>
                <w:lang w:val="en-US"/>
              </w:rPr>
              <w:t xml:space="preserve"> </w:t>
            </w:r>
          </w:p>
          <w:p w:rsidR="006B2825" w:rsidRPr="00D87AC5" w:rsidRDefault="006B2825" w:rsidP="00B46A50">
            <w:pPr>
              <w:pStyle w:val="ListParagraph"/>
              <w:numPr>
                <w:ilvl w:val="0"/>
                <w:numId w:val="35"/>
              </w:numPr>
              <w:spacing w:after="60" w:line="240" w:lineRule="auto"/>
              <w:ind w:left="360"/>
              <w:jc w:val="left"/>
              <w:rPr>
                <w:rFonts w:ascii="Calibri" w:hAnsi="Calibri" w:cs="Calibri"/>
                <w:b/>
                <w:color w:val="17365D"/>
                <w:szCs w:val="22"/>
                <w:lang w:val="en-US"/>
              </w:rPr>
            </w:pPr>
            <w:r w:rsidRPr="00C1794E">
              <w:rPr>
                <w:rFonts w:ascii="Calibri" w:hAnsi="Calibri" w:cs="Calibri"/>
                <w:b/>
                <w:bCs/>
                <w:i/>
                <w:color w:val="333333"/>
                <w:sz w:val="22"/>
                <w:szCs w:val="22"/>
                <w:lang w:val="en-US"/>
              </w:rPr>
              <w:t>The long waiting time to obtain authorization from national regulat</w:t>
            </w:r>
            <w:r w:rsidR="00BC5299">
              <w:rPr>
                <w:rFonts w:ascii="Calibri" w:hAnsi="Calibri" w:cs="Calibri"/>
                <w:b/>
                <w:bCs/>
                <w:i/>
                <w:color w:val="333333"/>
                <w:sz w:val="22"/>
                <w:szCs w:val="22"/>
                <w:lang w:val="en-US"/>
              </w:rPr>
              <w:t>ory</w:t>
            </w:r>
            <w:r w:rsidRPr="00C1794E">
              <w:rPr>
                <w:rFonts w:ascii="Calibri" w:hAnsi="Calibri" w:cs="Calibri"/>
                <w:b/>
                <w:bCs/>
                <w:i/>
                <w:color w:val="333333"/>
                <w:sz w:val="22"/>
                <w:szCs w:val="22"/>
                <w:lang w:val="en-US"/>
              </w:rPr>
              <w:t xml:space="preserve"> and controlling agencies, as well as the strained relationship with environmental NGOs can lead to delays in the implementation and to unforeseen costs.</w:t>
            </w:r>
            <w:r w:rsidRPr="00273311">
              <w:rPr>
                <w:rFonts w:ascii="Calibri" w:hAnsi="Calibri" w:cs="Calibri"/>
                <w:b/>
                <w:bCs/>
                <w:color w:val="333333"/>
                <w:sz w:val="22"/>
                <w:szCs w:val="22"/>
                <w:lang w:val="en-US"/>
              </w:rPr>
              <w:t xml:space="preserve"> </w:t>
            </w:r>
            <w:r>
              <w:rPr>
                <w:rFonts w:ascii="Calibri" w:hAnsi="Calibri" w:cs="Calibri"/>
                <w:color w:val="333333"/>
                <w:sz w:val="22"/>
                <w:szCs w:val="22"/>
                <w:lang w:val="en-US"/>
              </w:rPr>
              <w:t>The stance taken by control authorities with respect to environmental issues shows that one must make sure to obtain the necessary authorization documents ahead of time because such procedures can take a very long time. The same applies to organizing public hearings related to obtaining the necessary authorization documents</w:t>
            </w:r>
            <w:r w:rsidRPr="00D87AC5">
              <w:rPr>
                <w:rFonts w:ascii="Calibri" w:hAnsi="Calibri" w:cs="Calibri"/>
                <w:color w:val="333333"/>
                <w:sz w:val="22"/>
                <w:szCs w:val="22"/>
                <w:lang w:val="en-US"/>
              </w:rPr>
              <w:t>.</w:t>
            </w:r>
            <w:r>
              <w:rPr>
                <w:rFonts w:ascii="Calibri" w:hAnsi="Calibri" w:cs="Calibri"/>
                <w:color w:val="333333"/>
                <w:sz w:val="22"/>
                <w:szCs w:val="22"/>
                <w:lang w:val="en-US"/>
              </w:rPr>
              <w:t xml:space="preserve"> The relationship with environmental NGOs is strained.</w:t>
            </w:r>
            <w:r w:rsidRPr="00D87AC5">
              <w:rPr>
                <w:rFonts w:ascii="Calibri" w:hAnsi="Calibri" w:cs="Calibri"/>
                <w:color w:val="333333"/>
                <w:sz w:val="22"/>
                <w:szCs w:val="22"/>
                <w:lang w:val="en-US"/>
              </w:rPr>
              <w:t xml:space="preserve"> </w:t>
            </w:r>
          </w:p>
        </w:tc>
      </w:tr>
      <w:tr w:rsidR="006B2825" w:rsidRPr="00623B0C" w:rsidTr="00B46A50">
        <w:trPr>
          <w:trHeight w:val="70"/>
        </w:trPr>
        <w:tc>
          <w:tcPr>
            <w:tcW w:w="13257" w:type="dxa"/>
            <w:gridSpan w:val="2"/>
            <w:tcBorders>
              <w:top w:val="single" w:sz="4" w:space="0" w:color="auto"/>
              <w:left w:val="single" w:sz="4" w:space="0" w:color="auto"/>
              <w:bottom w:val="single" w:sz="4" w:space="0" w:color="auto"/>
              <w:right w:val="single" w:sz="4" w:space="0" w:color="auto"/>
            </w:tcBorders>
            <w:shd w:val="clear" w:color="auto" w:fill="DBE5F1"/>
          </w:tcPr>
          <w:p w:rsidR="006B2825" w:rsidRPr="001827A7" w:rsidRDefault="006B2825" w:rsidP="00B46A50">
            <w:pPr>
              <w:pStyle w:val="ListParagraph"/>
              <w:numPr>
                <w:ilvl w:val="0"/>
                <w:numId w:val="34"/>
              </w:numPr>
              <w:suppressAutoHyphens w:val="0"/>
              <w:spacing w:after="60" w:line="240" w:lineRule="auto"/>
              <w:ind w:left="360"/>
              <w:jc w:val="left"/>
              <w:rPr>
                <w:rFonts w:ascii="Calibri" w:hAnsi="Calibri" w:cs="Calibri"/>
                <w:szCs w:val="22"/>
                <w:lang w:val="en-US"/>
              </w:rPr>
            </w:pPr>
            <w:r w:rsidRPr="00A410C1">
              <w:rPr>
                <w:rFonts w:ascii="Calibri" w:hAnsi="Calibri" w:cs="Calibri"/>
                <w:b/>
                <w:color w:val="17365D"/>
                <w:sz w:val="22"/>
                <w:szCs w:val="22"/>
                <w:lang w:val="en-US"/>
              </w:rPr>
              <w:t>Recommendations with respect to any of the emerging areas described in the paper (i.e., disabilities; labor and occupational health and safety; human rights, land tenure and natural resources; free, prior and informed consent of Indigenous Peoples; gender; and climate change).</w:t>
            </w:r>
            <w:r w:rsidRPr="00A410C1">
              <w:rPr>
                <w:rFonts w:ascii="Calibri" w:hAnsi="Calibri" w:cs="Calibri"/>
                <w:sz w:val="22"/>
                <w:szCs w:val="22"/>
                <w:lang w:val="en-US"/>
              </w:rPr>
              <w:t xml:space="preserve"> </w:t>
            </w:r>
          </w:p>
        </w:tc>
      </w:tr>
      <w:tr w:rsidR="006B2825" w:rsidRPr="00B7129A" w:rsidTr="00B46A50">
        <w:trPr>
          <w:trHeight w:val="1268"/>
        </w:trPr>
        <w:tc>
          <w:tcPr>
            <w:tcW w:w="13257" w:type="dxa"/>
            <w:gridSpan w:val="2"/>
            <w:tcBorders>
              <w:top w:val="single" w:sz="4" w:space="0" w:color="auto"/>
              <w:left w:val="single" w:sz="4" w:space="0" w:color="auto"/>
              <w:bottom w:val="single" w:sz="4" w:space="0" w:color="auto"/>
              <w:right w:val="single" w:sz="4" w:space="0" w:color="auto"/>
            </w:tcBorders>
          </w:tcPr>
          <w:p w:rsidR="006B2825" w:rsidRPr="00EB2029" w:rsidRDefault="006B2825" w:rsidP="00B46A50">
            <w:pPr>
              <w:pStyle w:val="ListParagraph"/>
              <w:widowControl w:val="0"/>
              <w:numPr>
                <w:ilvl w:val="0"/>
                <w:numId w:val="36"/>
              </w:numPr>
              <w:suppressAutoHyphens w:val="0"/>
              <w:autoSpaceDE w:val="0"/>
              <w:autoSpaceDN w:val="0"/>
              <w:adjustRightInd w:val="0"/>
              <w:spacing w:after="60" w:line="240" w:lineRule="auto"/>
              <w:ind w:left="360"/>
              <w:jc w:val="left"/>
              <w:rPr>
                <w:rFonts w:ascii="Calibri" w:hAnsi="Calibri" w:cs="Calibri"/>
                <w:bCs/>
                <w:szCs w:val="22"/>
                <w:lang w:val="en-US"/>
              </w:rPr>
            </w:pPr>
            <w:r w:rsidRPr="00EB2029">
              <w:rPr>
                <w:rFonts w:ascii="Calibri" w:hAnsi="Calibri" w:cs="Calibri"/>
                <w:bCs/>
                <w:sz w:val="22"/>
                <w:szCs w:val="22"/>
                <w:lang w:val="en-US"/>
              </w:rPr>
              <w:t xml:space="preserve">Monitoring and evaluation of the Risk Management Plan with an eye to identifying further emerging risks associated with the implementation of projects, as well as monitoring and evaluation aimed at safeguarding proper implementation of the </w:t>
            </w:r>
            <w:r w:rsidR="00BC5299">
              <w:rPr>
                <w:rFonts w:ascii="Calibri" w:hAnsi="Calibri" w:cs="Calibri"/>
                <w:bCs/>
                <w:sz w:val="22"/>
                <w:szCs w:val="22"/>
                <w:lang w:val="en-US"/>
              </w:rPr>
              <w:t>r</w:t>
            </w:r>
            <w:r w:rsidRPr="00EB2029">
              <w:rPr>
                <w:rFonts w:ascii="Calibri" w:hAnsi="Calibri" w:cs="Calibri"/>
                <w:bCs/>
                <w:sz w:val="22"/>
                <w:szCs w:val="22"/>
                <w:lang w:val="en-US"/>
              </w:rPr>
              <w:t xml:space="preserve">isk </w:t>
            </w:r>
            <w:r w:rsidR="00BC5299">
              <w:rPr>
                <w:rFonts w:ascii="Calibri" w:hAnsi="Calibri" w:cs="Calibri"/>
                <w:bCs/>
                <w:sz w:val="22"/>
                <w:szCs w:val="22"/>
                <w:lang w:val="en-US"/>
              </w:rPr>
              <w:t>m</w:t>
            </w:r>
            <w:r w:rsidRPr="00EB2029">
              <w:rPr>
                <w:rFonts w:ascii="Calibri" w:hAnsi="Calibri" w:cs="Calibri"/>
                <w:bCs/>
                <w:sz w:val="22"/>
                <w:szCs w:val="22"/>
                <w:lang w:val="en-US"/>
              </w:rPr>
              <w:t xml:space="preserve">itigation </w:t>
            </w:r>
            <w:r w:rsidR="00BC5299">
              <w:rPr>
                <w:rFonts w:ascii="Calibri" w:hAnsi="Calibri" w:cs="Calibri"/>
                <w:bCs/>
                <w:sz w:val="22"/>
                <w:szCs w:val="22"/>
                <w:lang w:val="en-US"/>
              </w:rPr>
              <w:t>m</w:t>
            </w:r>
            <w:r w:rsidRPr="00EB2029">
              <w:rPr>
                <w:rFonts w:ascii="Calibri" w:hAnsi="Calibri" w:cs="Calibri"/>
                <w:bCs/>
                <w:sz w:val="22"/>
                <w:szCs w:val="22"/>
                <w:lang w:val="en-US"/>
              </w:rPr>
              <w:t xml:space="preserve">easures. </w:t>
            </w:r>
          </w:p>
          <w:p w:rsidR="006B2825" w:rsidRPr="00EB2029" w:rsidRDefault="006B2825" w:rsidP="00B46A50">
            <w:pPr>
              <w:pStyle w:val="ListParagraph"/>
              <w:widowControl w:val="0"/>
              <w:numPr>
                <w:ilvl w:val="0"/>
                <w:numId w:val="36"/>
              </w:numPr>
              <w:suppressAutoHyphens w:val="0"/>
              <w:autoSpaceDE w:val="0"/>
              <w:autoSpaceDN w:val="0"/>
              <w:adjustRightInd w:val="0"/>
              <w:spacing w:after="60" w:line="240" w:lineRule="auto"/>
              <w:ind w:left="360"/>
              <w:jc w:val="left"/>
              <w:rPr>
                <w:rFonts w:ascii="Calibri" w:hAnsi="Calibri" w:cs="Calibri"/>
                <w:bCs/>
                <w:szCs w:val="22"/>
                <w:lang w:val="en-US"/>
              </w:rPr>
            </w:pPr>
            <w:r w:rsidRPr="00EB2029">
              <w:rPr>
                <w:rFonts w:ascii="Calibri" w:hAnsi="Calibri" w:cs="Calibri"/>
                <w:bCs/>
                <w:sz w:val="22"/>
                <w:szCs w:val="22"/>
                <w:lang w:val="en-US"/>
              </w:rPr>
              <w:t>Safeguard policies in new fields such as the protection of disabled people should be included in all the projects that have an investment component related to social, economic or environmental infrastructure right from the preparation stage, so that current issues may be avoided (e.g., in rehabilitation projects for schools). Such issues refer to the situation where</w:t>
            </w:r>
            <w:r w:rsidR="00BC5299">
              <w:rPr>
                <w:rFonts w:ascii="Calibri" w:hAnsi="Calibri" w:cs="Calibri"/>
                <w:bCs/>
                <w:sz w:val="22"/>
                <w:szCs w:val="22"/>
                <w:lang w:val="en-US"/>
              </w:rPr>
              <w:t xml:space="preserve">, </w:t>
            </w:r>
            <w:r w:rsidRPr="00EB2029">
              <w:rPr>
                <w:rFonts w:ascii="Calibri" w:hAnsi="Calibri" w:cs="Calibri"/>
                <w:bCs/>
                <w:sz w:val="22"/>
                <w:szCs w:val="22"/>
                <w:lang w:val="en-US"/>
              </w:rPr>
              <w:t xml:space="preserve">once the investments had been completed, it became obvious that such investments did not correspond to principles of social inclusion and to the educational requirements of disabled children. Taking such requirements into account right from the program/project preparation stage will lead to lower expenses than those incurred </w:t>
            </w:r>
            <w:r w:rsidR="00BC5299">
              <w:rPr>
                <w:rFonts w:ascii="Calibri" w:hAnsi="Calibri" w:cs="Calibri"/>
                <w:bCs/>
                <w:sz w:val="22"/>
                <w:szCs w:val="22"/>
                <w:lang w:val="en-US"/>
              </w:rPr>
              <w:t xml:space="preserve">when </w:t>
            </w:r>
            <w:r w:rsidRPr="00EB2029">
              <w:rPr>
                <w:rFonts w:ascii="Calibri" w:hAnsi="Calibri" w:cs="Calibri"/>
                <w:bCs/>
                <w:sz w:val="22"/>
                <w:szCs w:val="22"/>
                <w:lang w:val="en-US"/>
              </w:rPr>
              <w:t xml:space="preserve">schools that have already undergone rehabilitation need to be included in further supplementary projects in order to have the infrastructure adapted to the requirements and needs of disabled students </w:t>
            </w:r>
          </w:p>
          <w:p w:rsidR="006B2825" w:rsidRPr="00EB2029" w:rsidRDefault="006B2825" w:rsidP="00B46A50">
            <w:pPr>
              <w:pStyle w:val="ListParagraph"/>
              <w:widowControl w:val="0"/>
              <w:numPr>
                <w:ilvl w:val="0"/>
                <w:numId w:val="36"/>
              </w:numPr>
              <w:suppressAutoHyphens w:val="0"/>
              <w:autoSpaceDE w:val="0"/>
              <w:autoSpaceDN w:val="0"/>
              <w:adjustRightInd w:val="0"/>
              <w:spacing w:after="60" w:line="240" w:lineRule="auto"/>
              <w:ind w:left="360"/>
              <w:jc w:val="left"/>
              <w:rPr>
                <w:rFonts w:ascii="Calibri" w:hAnsi="Calibri" w:cs="Calibri"/>
                <w:bCs/>
                <w:szCs w:val="22"/>
                <w:lang w:val="en-US"/>
              </w:rPr>
            </w:pPr>
            <w:r w:rsidRPr="00EB2029">
              <w:rPr>
                <w:rFonts w:ascii="Calibri" w:hAnsi="Calibri" w:cs="Calibri"/>
                <w:bCs/>
                <w:sz w:val="22"/>
                <w:szCs w:val="22"/>
                <w:lang w:val="en-US"/>
              </w:rPr>
              <w:t xml:space="preserve">There should be additional flexibility with respect to risks that are unforeseen in the preparation stage but which may occur during the implementation stage (e.g., investments in buildings/sites that are included in the historical and cultural heritage of the beneficiary). At the same time, it would be beneficial to grant certain facilities the option of supplementing contracts in cases where risks that were impossible to foresee in the project preparation stage do occur.  </w:t>
            </w:r>
          </w:p>
          <w:p w:rsidR="006B2825" w:rsidRPr="00EB2029" w:rsidRDefault="006B2825" w:rsidP="00B46A50">
            <w:pPr>
              <w:pStyle w:val="ListParagraph"/>
              <w:widowControl w:val="0"/>
              <w:numPr>
                <w:ilvl w:val="0"/>
                <w:numId w:val="36"/>
              </w:numPr>
              <w:suppressAutoHyphens w:val="0"/>
              <w:autoSpaceDE w:val="0"/>
              <w:autoSpaceDN w:val="0"/>
              <w:adjustRightInd w:val="0"/>
              <w:spacing w:after="60" w:line="240" w:lineRule="auto"/>
              <w:ind w:left="360"/>
              <w:jc w:val="left"/>
              <w:rPr>
                <w:rFonts w:ascii="Calibri" w:hAnsi="Calibri" w:cs="Calibri"/>
                <w:bCs/>
                <w:szCs w:val="22"/>
                <w:lang w:val="en-US"/>
              </w:rPr>
            </w:pPr>
            <w:r w:rsidRPr="00EB2029">
              <w:rPr>
                <w:rFonts w:ascii="Calibri" w:hAnsi="Calibri" w:cs="Calibri"/>
                <w:bCs/>
                <w:sz w:val="22"/>
                <w:szCs w:val="22"/>
                <w:lang w:val="en-US"/>
              </w:rPr>
              <w:lastRenderedPageBreak/>
              <w:t xml:space="preserve">Ongoing focus on educating the various stakeholder groups with respect to social and environmental safeguard policies and their enforcement, so that all stakeholders may have the same understanding of the scope and application of such policies throughout the implementation of investment projects. Project budgets should reflect a real and concrete interest </w:t>
            </w:r>
            <w:r w:rsidR="00BC5299">
              <w:rPr>
                <w:rFonts w:ascii="Calibri" w:hAnsi="Calibri" w:cs="Calibri"/>
                <w:bCs/>
                <w:sz w:val="22"/>
                <w:szCs w:val="22"/>
                <w:lang w:val="en-US"/>
              </w:rPr>
              <w:t xml:space="preserve">in </w:t>
            </w:r>
            <w:r w:rsidRPr="00EB2029">
              <w:rPr>
                <w:rFonts w:ascii="Calibri" w:hAnsi="Calibri" w:cs="Calibri"/>
                <w:bCs/>
                <w:sz w:val="22"/>
                <w:szCs w:val="22"/>
                <w:lang w:val="en-US"/>
              </w:rPr>
              <w:t xml:space="preserve">educating stakeholders, as opposed to the current state, where such an interest is only verbal and optional. If project budgets adequately include such activities, public awareness will cease to be of secondary importance in such projects. </w:t>
            </w:r>
          </w:p>
          <w:p w:rsidR="006B2825" w:rsidRPr="00EB2029" w:rsidRDefault="006B2825" w:rsidP="00B46A50">
            <w:pPr>
              <w:pStyle w:val="ListParagraph"/>
              <w:widowControl w:val="0"/>
              <w:numPr>
                <w:ilvl w:val="0"/>
                <w:numId w:val="36"/>
              </w:numPr>
              <w:suppressAutoHyphens w:val="0"/>
              <w:autoSpaceDE w:val="0"/>
              <w:autoSpaceDN w:val="0"/>
              <w:adjustRightInd w:val="0"/>
              <w:spacing w:after="60" w:line="240" w:lineRule="auto"/>
              <w:ind w:left="360"/>
              <w:jc w:val="left"/>
              <w:rPr>
                <w:rFonts w:ascii="Calibri" w:hAnsi="Calibri" w:cs="Calibri"/>
                <w:bCs/>
                <w:szCs w:val="22"/>
                <w:lang w:val="en-US"/>
              </w:rPr>
            </w:pPr>
            <w:r w:rsidRPr="00EB2029">
              <w:rPr>
                <w:rFonts w:ascii="Calibri" w:hAnsi="Calibri" w:cs="Calibri"/>
                <w:bCs/>
                <w:sz w:val="22"/>
                <w:szCs w:val="22"/>
                <w:lang w:val="en-US"/>
              </w:rPr>
              <w:t>Safeguard policies should remain a priority in spite of the costs associated with their application, because the very fact that they are being implemented is a form of transferring best practices. In addition, such policies have an intrinsic value by contributing to multiplying relevant effects where strengthening administrative and institutional capacity is concerned. Therefore, it would be advisable that the Bank improves construction-related practices and prepares technical guides/prescriptions that allow for more consistent practices of shareholders.</w:t>
            </w:r>
          </w:p>
          <w:p w:rsidR="006B2825" w:rsidRPr="001827A7" w:rsidRDefault="006B2825" w:rsidP="00B46A50">
            <w:pPr>
              <w:pStyle w:val="ListParagraph"/>
              <w:widowControl w:val="0"/>
              <w:numPr>
                <w:ilvl w:val="0"/>
                <w:numId w:val="36"/>
              </w:numPr>
              <w:suppressAutoHyphens w:val="0"/>
              <w:autoSpaceDE w:val="0"/>
              <w:autoSpaceDN w:val="0"/>
              <w:adjustRightInd w:val="0"/>
              <w:spacing w:after="60" w:line="240" w:lineRule="auto"/>
              <w:ind w:left="360"/>
              <w:jc w:val="left"/>
              <w:rPr>
                <w:rFonts w:ascii="Calibri" w:hAnsi="Calibri" w:cs="Calibri"/>
                <w:b/>
                <w:color w:val="17365D"/>
                <w:szCs w:val="22"/>
                <w:lang w:val="en-US"/>
              </w:rPr>
            </w:pPr>
            <w:r w:rsidRPr="00EB2029">
              <w:rPr>
                <w:rFonts w:ascii="Calibri" w:hAnsi="Calibri" w:cs="Calibri"/>
                <w:bCs/>
                <w:sz w:val="22"/>
                <w:szCs w:val="22"/>
                <w:lang w:val="en-US"/>
              </w:rPr>
              <w:t xml:space="preserve">The set of indicators that measure the impact/success of projects/programs should also include indicators that are specifically relevant for the implementation of social and environmental </w:t>
            </w:r>
            <w:r w:rsidR="00BC5299" w:rsidRPr="00EB2029">
              <w:rPr>
                <w:rFonts w:ascii="Calibri" w:hAnsi="Calibri" w:cs="Calibri"/>
                <w:bCs/>
                <w:sz w:val="22"/>
                <w:szCs w:val="22"/>
                <w:lang w:val="en-US"/>
              </w:rPr>
              <w:t xml:space="preserve">safeguard </w:t>
            </w:r>
            <w:r w:rsidRPr="00EB2029">
              <w:rPr>
                <w:rFonts w:ascii="Calibri" w:hAnsi="Calibri" w:cs="Calibri"/>
                <w:bCs/>
                <w:sz w:val="22"/>
                <w:szCs w:val="22"/>
                <w:lang w:val="en-US"/>
              </w:rPr>
              <w:t xml:space="preserve">policies, both in current and emerging fields. There should also be an implementation plan, reporting requirements, as well as requirements concerning the timeline and the costs associated with the implementation of safeguard policies.  </w:t>
            </w:r>
          </w:p>
        </w:tc>
      </w:tr>
      <w:tr w:rsidR="006B2825" w:rsidRPr="00D87AC5" w:rsidTr="00B46A50">
        <w:trPr>
          <w:gridAfter w:val="1"/>
          <w:wAfter w:w="44" w:type="dxa"/>
          <w:trHeight w:val="70"/>
        </w:trPr>
        <w:tc>
          <w:tcPr>
            <w:tcW w:w="13213" w:type="dxa"/>
            <w:tcBorders>
              <w:top w:val="single" w:sz="4" w:space="0" w:color="auto"/>
              <w:left w:val="single" w:sz="4" w:space="0" w:color="auto"/>
              <w:bottom w:val="single" w:sz="4" w:space="0" w:color="auto"/>
              <w:right w:val="single" w:sz="4" w:space="0" w:color="auto"/>
            </w:tcBorders>
            <w:shd w:val="clear" w:color="auto" w:fill="DBE5F1"/>
          </w:tcPr>
          <w:p w:rsidR="006B2825" w:rsidRPr="00D87AC5" w:rsidRDefault="006B2825" w:rsidP="00B46A50">
            <w:pPr>
              <w:snapToGrid w:val="0"/>
              <w:spacing w:after="60" w:line="240" w:lineRule="auto"/>
              <w:ind w:left="360" w:hanging="360"/>
              <w:jc w:val="left"/>
              <w:rPr>
                <w:rFonts w:ascii="Calibri" w:eastAsia="Batang" w:hAnsi="Calibri" w:cs="Calibri"/>
                <w:b/>
                <w:color w:val="17365D"/>
                <w:lang w:val="en-US"/>
              </w:rPr>
            </w:pPr>
            <w:r w:rsidRPr="00D87AC5">
              <w:rPr>
                <w:rFonts w:ascii="Calibri" w:eastAsia="Batang" w:hAnsi="Calibri" w:cs="Calibri"/>
                <w:b/>
                <w:color w:val="17365D"/>
                <w:sz w:val="22"/>
                <w:szCs w:val="22"/>
                <w:lang w:val="en-US"/>
              </w:rPr>
              <w:lastRenderedPageBreak/>
              <w:t>12. A</w:t>
            </w:r>
            <w:r w:rsidRPr="00D87AC5">
              <w:rPr>
                <w:rFonts w:ascii="Calibri" w:hAnsi="Calibri" w:cs="Calibri"/>
                <w:b/>
                <w:color w:val="17365D"/>
                <w:sz w:val="22"/>
                <w:szCs w:val="22"/>
                <w:lang w:val="en-US"/>
              </w:rPr>
              <w:t>ny additional comments or suggestions.</w:t>
            </w:r>
            <w:r>
              <w:rPr>
                <w:rFonts w:ascii="Calibri" w:hAnsi="Calibri" w:cs="Calibri"/>
                <w:b/>
                <w:color w:val="17365D"/>
                <w:sz w:val="22"/>
                <w:szCs w:val="22"/>
                <w:lang w:val="en-US"/>
              </w:rPr>
              <w:t xml:space="preserve"> </w:t>
            </w:r>
          </w:p>
        </w:tc>
      </w:tr>
      <w:tr w:rsidR="006B2825" w:rsidRPr="00D87AC5" w:rsidTr="00B46A50">
        <w:trPr>
          <w:trHeight w:val="1268"/>
        </w:trPr>
        <w:tc>
          <w:tcPr>
            <w:tcW w:w="13257" w:type="dxa"/>
            <w:gridSpan w:val="2"/>
            <w:tcBorders>
              <w:top w:val="single" w:sz="4" w:space="0" w:color="auto"/>
              <w:left w:val="single" w:sz="4" w:space="0" w:color="auto"/>
              <w:bottom w:val="single" w:sz="4" w:space="0" w:color="auto"/>
              <w:right w:val="single" w:sz="4" w:space="0" w:color="BFBFBF"/>
            </w:tcBorders>
          </w:tcPr>
          <w:p w:rsidR="006B2825" w:rsidRPr="00EB2029" w:rsidRDefault="006B2825" w:rsidP="00B46A50">
            <w:pPr>
              <w:pStyle w:val="ListParagraph"/>
              <w:widowControl w:val="0"/>
              <w:suppressAutoHyphens w:val="0"/>
              <w:autoSpaceDE w:val="0"/>
              <w:autoSpaceDN w:val="0"/>
              <w:adjustRightInd w:val="0"/>
              <w:spacing w:after="60" w:line="240" w:lineRule="auto"/>
              <w:ind w:left="360" w:hanging="360"/>
              <w:jc w:val="left"/>
              <w:rPr>
                <w:rFonts w:ascii="Calibri" w:hAnsi="Calibri" w:cs="Calibri"/>
                <w:b/>
                <w:szCs w:val="22"/>
                <w:lang w:val="en-US"/>
              </w:rPr>
            </w:pPr>
            <w:r w:rsidRPr="00EB2029">
              <w:rPr>
                <w:rFonts w:ascii="Calibri" w:hAnsi="Calibri" w:cs="Calibri"/>
                <w:b/>
                <w:sz w:val="22"/>
                <w:szCs w:val="22"/>
                <w:lang w:val="en-US"/>
              </w:rPr>
              <w:t>Final comments and concluding remarks</w:t>
            </w:r>
            <w:r>
              <w:rPr>
                <w:rFonts w:ascii="Calibri" w:hAnsi="Calibri" w:cs="Calibri"/>
                <w:b/>
                <w:sz w:val="22"/>
                <w:szCs w:val="22"/>
                <w:lang w:val="en-US"/>
              </w:rPr>
              <w:t xml:space="preserve"> made during the meeting</w:t>
            </w:r>
            <w:r w:rsidRPr="00EB2029">
              <w:rPr>
                <w:rFonts w:ascii="Calibri" w:hAnsi="Calibri" w:cs="Calibri"/>
                <w:b/>
                <w:sz w:val="22"/>
                <w:szCs w:val="22"/>
                <w:lang w:val="en-US"/>
              </w:rPr>
              <w:t>:</w:t>
            </w:r>
          </w:p>
          <w:p w:rsidR="006B2825" w:rsidRPr="00EB2029" w:rsidRDefault="006B2825" w:rsidP="00B46A50">
            <w:pPr>
              <w:pStyle w:val="ListParagraph"/>
              <w:widowControl w:val="0"/>
              <w:numPr>
                <w:ilvl w:val="0"/>
                <w:numId w:val="36"/>
              </w:numPr>
              <w:suppressAutoHyphens w:val="0"/>
              <w:autoSpaceDE w:val="0"/>
              <w:autoSpaceDN w:val="0"/>
              <w:adjustRightInd w:val="0"/>
              <w:spacing w:after="60" w:line="240" w:lineRule="auto"/>
              <w:ind w:left="360"/>
              <w:jc w:val="left"/>
              <w:rPr>
                <w:rFonts w:ascii="Calibri" w:hAnsi="Calibri" w:cs="Calibri"/>
                <w:bCs/>
                <w:szCs w:val="22"/>
                <w:lang w:val="en-US"/>
              </w:rPr>
            </w:pPr>
            <w:r w:rsidRPr="00EB2029">
              <w:rPr>
                <w:rFonts w:ascii="Calibri" w:hAnsi="Calibri" w:cs="Calibri"/>
                <w:b/>
                <w:i/>
                <w:sz w:val="22"/>
                <w:szCs w:val="22"/>
                <w:lang w:val="en-US"/>
              </w:rPr>
              <w:t>Safeguard policy implementation driven by controlling authorities vs. by community awareness.</w:t>
            </w:r>
            <w:r w:rsidRPr="00EB2029">
              <w:rPr>
                <w:rFonts w:ascii="Calibri" w:hAnsi="Calibri" w:cs="Calibri"/>
                <w:b/>
                <w:sz w:val="22"/>
                <w:szCs w:val="22"/>
                <w:lang w:val="en-US"/>
              </w:rPr>
              <w:t xml:space="preserve"> </w:t>
            </w:r>
            <w:r w:rsidRPr="00EB2029">
              <w:rPr>
                <w:rFonts w:ascii="Calibri" w:hAnsi="Calibri" w:cs="Calibri"/>
                <w:bCs/>
                <w:sz w:val="22"/>
                <w:szCs w:val="22"/>
                <w:lang w:val="en-US"/>
              </w:rPr>
              <w:t xml:space="preserve">Where the implementation of the Bank’s safeguard policies is concerned, even when such policies and the national legal framework are in harmony, control authorities </w:t>
            </w:r>
            <w:r w:rsidR="00BC5299" w:rsidRPr="00EB2029">
              <w:rPr>
                <w:rFonts w:ascii="Calibri" w:hAnsi="Calibri" w:cs="Calibri"/>
                <w:bCs/>
                <w:sz w:val="22"/>
                <w:szCs w:val="22"/>
                <w:lang w:val="en-US"/>
              </w:rPr>
              <w:t xml:space="preserve">cannot be relied on </w:t>
            </w:r>
            <w:r w:rsidRPr="00EB2029">
              <w:rPr>
                <w:rFonts w:ascii="Calibri" w:hAnsi="Calibri" w:cs="Calibri"/>
                <w:bCs/>
                <w:sz w:val="22"/>
                <w:szCs w:val="22"/>
                <w:lang w:val="en-US"/>
              </w:rPr>
              <w:t xml:space="preserve">to monitor the proper implementation of such policies. On the other hand, where there is an upfront investment in public awareness and education activities, control of the implementation can be driven by community awareness.   </w:t>
            </w:r>
          </w:p>
          <w:p w:rsidR="006B2825" w:rsidRPr="00D87AC5" w:rsidRDefault="006B2825" w:rsidP="00B46A50">
            <w:pPr>
              <w:pStyle w:val="ListParagraph"/>
              <w:widowControl w:val="0"/>
              <w:numPr>
                <w:ilvl w:val="0"/>
                <w:numId w:val="36"/>
              </w:numPr>
              <w:suppressAutoHyphens w:val="0"/>
              <w:autoSpaceDE w:val="0"/>
              <w:autoSpaceDN w:val="0"/>
              <w:adjustRightInd w:val="0"/>
              <w:spacing w:after="60" w:line="240" w:lineRule="auto"/>
              <w:ind w:left="360"/>
              <w:jc w:val="left"/>
              <w:rPr>
                <w:rFonts w:ascii="Calibri" w:hAnsi="Calibri" w:cs="Calibri"/>
                <w:b/>
                <w:color w:val="17365D"/>
                <w:szCs w:val="22"/>
                <w:lang w:val="en-US"/>
              </w:rPr>
            </w:pPr>
            <w:r w:rsidRPr="00EB2029">
              <w:rPr>
                <w:rFonts w:ascii="Calibri" w:hAnsi="Calibri" w:cs="Calibri"/>
                <w:b/>
                <w:i/>
                <w:sz w:val="22"/>
                <w:szCs w:val="22"/>
                <w:lang w:val="en-US"/>
              </w:rPr>
              <w:t>Active approach in safeguarding policy implementation.</w:t>
            </w:r>
            <w:r w:rsidRPr="00EB2029">
              <w:rPr>
                <w:rFonts w:ascii="Calibri" w:hAnsi="Calibri" w:cs="Calibri"/>
                <w:b/>
                <w:sz w:val="22"/>
                <w:szCs w:val="22"/>
                <w:lang w:val="en-US"/>
              </w:rPr>
              <w:t xml:space="preserve"> </w:t>
            </w:r>
            <w:r w:rsidRPr="00EB2029">
              <w:rPr>
                <w:rFonts w:ascii="Calibri" w:hAnsi="Calibri" w:cs="Calibri"/>
                <w:bCs/>
                <w:sz w:val="22"/>
                <w:szCs w:val="22"/>
                <w:lang w:val="en-US"/>
              </w:rPr>
              <w:t>Last but not least, when implementing safeguard policies, it is necessary to introduce an active/proactive, anticipative approach</w:t>
            </w:r>
            <w:r w:rsidRPr="00EB2029">
              <w:rPr>
                <w:rFonts w:ascii="Calibri" w:hAnsi="Calibri" w:cs="Calibri"/>
                <w:b/>
                <w:sz w:val="22"/>
                <w:szCs w:val="22"/>
                <w:lang w:val="en-US"/>
              </w:rPr>
              <w:t>.</w:t>
            </w:r>
            <w:r w:rsidRPr="00D87AC5">
              <w:rPr>
                <w:rFonts w:ascii="Calibri" w:hAnsi="Calibri" w:cs="Calibri"/>
                <w:b/>
                <w:color w:val="17365D"/>
                <w:sz w:val="22"/>
                <w:szCs w:val="22"/>
                <w:lang w:val="en-US"/>
              </w:rPr>
              <w:t xml:space="preserve"> </w:t>
            </w:r>
          </w:p>
        </w:tc>
      </w:tr>
    </w:tbl>
    <w:p w:rsidR="006B2825" w:rsidRPr="00D87AC5" w:rsidRDefault="006B2825">
      <w:pPr>
        <w:rPr>
          <w:rFonts w:ascii="Calibri" w:hAnsi="Calibri" w:cs="Calibri"/>
          <w:b/>
          <w:color w:val="17365D"/>
          <w:sz w:val="22"/>
          <w:szCs w:val="22"/>
          <w:lang w:val="en-US"/>
        </w:rPr>
      </w:pPr>
    </w:p>
    <w:sectPr w:rsidR="006B2825" w:rsidRPr="00D87AC5" w:rsidSect="006B2825">
      <w:headerReference w:type="default" r:id="rId9"/>
      <w:footerReference w:type="default" r:id="rId10"/>
      <w:pgSz w:w="15840" w:h="12240" w:orient="landscape"/>
      <w:pgMar w:top="90" w:right="1418" w:bottom="540" w:left="1134"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6F" w:rsidRDefault="00C05E6F">
      <w:pPr>
        <w:spacing w:after="0" w:line="240" w:lineRule="auto"/>
      </w:pPr>
      <w:r>
        <w:separator/>
      </w:r>
    </w:p>
  </w:endnote>
  <w:endnote w:type="continuationSeparator" w:id="0">
    <w:p w:rsidR="00C05E6F" w:rsidRDefault="00C0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541311"/>
      <w:docPartObj>
        <w:docPartGallery w:val="Page Numbers (Bottom of Page)"/>
        <w:docPartUnique/>
      </w:docPartObj>
    </w:sdtPr>
    <w:sdtEndPr>
      <w:rPr>
        <w:noProof/>
      </w:rPr>
    </w:sdtEndPr>
    <w:sdtContent>
      <w:p w:rsidR="00B46A50" w:rsidRDefault="00B46A50">
        <w:pPr>
          <w:pStyle w:val="Footer"/>
          <w:jc w:val="right"/>
        </w:pPr>
        <w:r>
          <w:fldChar w:fldCharType="begin"/>
        </w:r>
        <w:r>
          <w:instrText xml:space="preserve"> PAGE   \* MERGEFORMAT </w:instrText>
        </w:r>
        <w:r>
          <w:fldChar w:fldCharType="separate"/>
        </w:r>
        <w:r w:rsidR="000E65A1">
          <w:rPr>
            <w:noProof/>
          </w:rPr>
          <w:t>1</w:t>
        </w:r>
        <w:r>
          <w:rPr>
            <w:noProof/>
          </w:rPr>
          <w:fldChar w:fldCharType="end"/>
        </w:r>
      </w:p>
    </w:sdtContent>
  </w:sdt>
  <w:p w:rsidR="006B2825" w:rsidRDefault="006B28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6F" w:rsidRDefault="00C05E6F">
      <w:pPr>
        <w:spacing w:after="0" w:line="240" w:lineRule="auto"/>
      </w:pPr>
      <w:r>
        <w:separator/>
      </w:r>
    </w:p>
  </w:footnote>
  <w:footnote w:type="continuationSeparator" w:id="0">
    <w:p w:rsidR="00C05E6F" w:rsidRDefault="00C05E6F">
      <w:pPr>
        <w:spacing w:after="0" w:line="240" w:lineRule="auto"/>
      </w:pPr>
      <w:r>
        <w:continuationSeparator/>
      </w:r>
    </w:p>
  </w:footnote>
  <w:footnote w:id="1">
    <w:p w:rsidR="006B2825" w:rsidRDefault="006B2825">
      <w:pPr>
        <w:pStyle w:val="FootnoteText"/>
      </w:pPr>
      <w:r>
        <w:rPr>
          <w:rStyle w:val="FootnoteReference"/>
        </w:rPr>
        <w:footnoteRef/>
      </w:r>
      <w:r>
        <w:t xml:space="preserve"> In </w:t>
      </w:r>
      <w:proofErr w:type="spellStart"/>
      <w:r>
        <w:t>the</w:t>
      </w:r>
      <w:proofErr w:type="spellEnd"/>
      <w:r>
        <w:t xml:space="preserve"> </w:t>
      </w:r>
      <w:proofErr w:type="spellStart"/>
      <w:r>
        <w:t>county</w:t>
      </w:r>
      <w:proofErr w:type="spellEnd"/>
      <w:r>
        <w:t xml:space="preserve"> of Calarasi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25" w:rsidRDefault="006B2825">
    <w:pPr>
      <w:pStyle w:val="Header"/>
      <w:rPr>
        <w:sz w:val="18"/>
        <w:szCs w:val="18"/>
      </w:rPr>
    </w:pPr>
  </w:p>
  <w:p w:rsidR="006B2825" w:rsidRPr="00ED2123" w:rsidRDefault="006B2825">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36384E"/>
    <w:multiLevelType w:val="hybridMultilevel"/>
    <w:tmpl w:val="A3906E5A"/>
    <w:lvl w:ilvl="0" w:tplc="EDA69F76">
      <w:numFmt w:val="bullet"/>
      <w:lvlText w:val="-"/>
      <w:lvlJc w:val="left"/>
      <w:pPr>
        <w:tabs>
          <w:tab w:val="num" w:pos="1800"/>
        </w:tabs>
        <w:ind w:left="1800" w:hanging="360"/>
      </w:pPr>
      <w:rPr>
        <w:rFonts w:ascii="Calibri" w:eastAsia="Batang" w:hAnsi="Calibri"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4976FE"/>
    <w:multiLevelType w:val="hybridMultilevel"/>
    <w:tmpl w:val="FD5674CA"/>
    <w:lvl w:ilvl="0" w:tplc="EDA69F76">
      <w:numFmt w:val="bullet"/>
      <w:lvlText w:val="-"/>
      <w:lvlJc w:val="left"/>
      <w:pPr>
        <w:tabs>
          <w:tab w:val="num" w:pos="1080"/>
        </w:tabs>
        <w:ind w:left="1080" w:hanging="360"/>
      </w:pPr>
      <w:rPr>
        <w:rFonts w:ascii="Calibri" w:eastAsia="Batang"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33A1334"/>
    <w:multiLevelType w:val="hybridMultilevel"/>
    <w:tmpl w:val="D81A20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3731F64"/>
    <w:multiLevelType w:val="hybridMultilevel"/>
    <w:tmpl w:val="8C68D6BC"/>
    <w:lvl w:ilvl="0" w:tplc="74C875E0">
      <w:start w:val="5"/>
      <w:numFmt w:val="decimal"/>
      <w:lvlText w:val="%1."/>
      <w:lvlJc w:val="left"/>
      <w:pPr>
        <w:tabs>
          <w:tab w:val="num" w:pos="720"/>
        </w:tabs>
        <w:ind w:left="720" w:hanging="360"/>
      </w:pPr>
      <w:rPr>
        <w:rFonts w:eastAsia="Batang"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8EF0698"/>
    <w:multiLevelType w:val="hybridMultilevel"/>
    <w:tmpl w:val="BC60607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hint="default"/>
      </w:rPr>
    </w:lvl>
    <w:lvl w:ilvl="8" w:tplc="04090005">
      <w:start w:val="1"/>
      <w:numFmt w:val="bullet"/>
      <w:lvlText w:val=""/>
      <w:lvlJc w:val="left"/>
      <w:pPr>
        <w:ind w:left="6660" w:hanging="360"/>
      </w:pPr>
      <w:rPr>
        <w:rFonts w:ascii="Wingdings" w:hAnsi="Wingdings" w:hint="default"/>
      </w:rPr>
    </w:lvl>
  </w:abstractNum>
  <w:abstractNum w:abstractNumId="16">
    <w:nsid w:val="3033584E"/>
    <w:multiLevelType w:val="hybridMultilevel"/>
    <w:tmpl w:val="B72ECCE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0597506"/>
    <w:multiLevelType w:val="hybridMultilevel"/>
    <w:tmpl w:val="8A00BAE2"/>
    <w:lvl w:ilvl="0" w:tplc="50BEE638">
      <w:start w:val="1"/>
      <w:numFmt w:val="decimal"/>
      <w:lvlText w:val="%1."/>
      <w:lvlJc w:val="left"/>
      <w:pPr>
        <w:tabs>
          <w:tab w:val="num" w:pos="540"/>
        </w:tabs>
        <w:ind w:left="540" w:hanging="360"/>
      </w:pPr>
      <w:rPr>
        <w:rFonts w:eastAsia="Batang" w:cs="Times New Roman" w:hint="default"/>
        <w:color w:val="17365D"/>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8">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abstractNum w:abstractNumId="23">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E9E5153"/>
    <w:multiLevelType w:val="hybridMultilevel"/>
    <w:tmpl w:val="3FA0371C"/>
    <w:lvl w:ilvl="0" w:tplc="EDA69F76">
      <w:numFmt w:val="bullet"/>
      <w:lvlText w:val="-"/>
      <w:lvlJc w:val="left"/>
      <w:pPr>
        <w:tabs>
          <w:tab w:val="num" w:pos="1800"/>
        </w:tabs>
        <w:ind w:left="1800" w:hanging="360"/>
      </w:pPr>
      <w:rPr>
        <w:rFonts w:ascii="Calibri" w:eastAsia="Batang" w:hAnsi="Calibri"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imes New Roman" w:hAnsi="Arial"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abstractNum w:abstractNumId="26">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abstractNum w:abstractNumId="27">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abstractNum w:abstractNumId="32">
    <w:nsid w:val="6D325C72"/>
    <w:multiLevelType w:val="hybridMultilevel"/>
    <w:tmpl w:val="AE9ADE74"/>
    <w:lvl w:ilvl="0" w:tplc="EDA69F76">
      <w:numFmt w:val="bullet"/>
      <w:lvlText w:val="-"/>
      <w:lvlJc w:val="left"/>
      <w:pPr>
        <w:tabs>
          <w:tab w:val="num" w:pos="1800"/>
        </w:tabs>
        <w:ind w:left="1800" w:hanging="360"/>
      </w:pPr>
      <w:rPr>
        <w:rFonts w:ascii="Calibri" w:eastAsia="Batang" w:hAnsi="Calibri"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06F2BC8"/>
    <w:multiLevelType w:val="hybridMultilevel"/>
    <w:tmpl w:val="989E81E6"/>
    <w:lvl w:ilvl="0" w:tplc="04090001">
      <w:start w:val="1"/>
      <w:numFmt w:val="bullet"/>
      <w:lvlText w:val=""/>
      <w:lvlJc w:val="left"/>
      <w:pPr>
        <w:ind w:left="750" w:hanging="360"/>
      </w:pPr>
      <w:rPr>
        <w:rFonts w:ascii="Symbol" w:hAnsi="Symbol" w:hint="default"/>
      </w:rPr>
    </w:lvl>
    <w:lvl w:ilvl="1" w:tplc="04090005">
      <w:start w:val="1"/>
      <w:numFmt w:val="bullet"/>
      <w:lvlText w:val=""/>
      <w:lvlJc w:val="left"/>
      <w:pPr>
        <w:ind w:left="1470" w:hanging="360"/>
      </w:pPr>
      <w:rPr>
        <w:rFonts w:ascii="Wingdings" w:hAnsi="Wingdings"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35">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abstractNum w:abstractNumId="36">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abstractNum w:abstractNumId="37">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abstractNum w:abstractNumId="38">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num w:numId="1">
    <w:abstractNumId w:val="27"/>
  </w:num>
  <w:num w:numId="2">
    <w:abstractNumId w:val="25"/>
  </w:num>
  <w:num w:numId="3">
    <w:abstractNumId w:val="36"/>
  </w:num>
  <w:num w:numId="4">
    <w:abstractNumId w:val="26"/>
  </w:num>
  <w:num w:numId="5">
    <w:abstractNumId w:val="22"/>
  </w:num>
  <w:num w:numId="6">
    <w:abstractNumId w:val="31"/>
  </w:num>
  <w:num w:numId="7">
    <w:abstractNumId w:val="37"/>
  </w:num>
  <w:num w:numId="8">
    <w:abstractNumId w:val="38"/>
  </w:num>
  <w:num w:numId="9">
    <w:abstractNumId w:val="35"/>
  </w:num>
  <w:num w:numId="10">
    <w:abstractNumId w:val="11"/>
  </w:num>
  <w:num w:numId="11">
    <w:abstractNumId w:val="2"/>
  </w:num>
  <w:num w:numId="12">
    <w:abstractNumId w:val="8"/>
  </w:num>
  <w:num w:numId="13">
    <w:abstractNumId w:val="6"/>
  </w:num>
  <w:num w:numId="14">
    <w:abstractNumId w:val="4"/>
  </w:num>
  <w:num w:numId="15">
    <w:abstractNumId w:val="29"/>
  </w:num>
  <w:num w:numId="16">
    <w:abstractNumId w:val="3"/>
  </w:num>
  <w:num w:numId="17">
    <w:abstractNumId w:val="30"/>
  </w:num>
  <w:num w:numId="18">
    <w:abstractNumId w:val="7"/>
  </w:num>
  <w:num w:numId="19">
    <w:abstractNumId w:val="18"/>
  </w:num>
  <w:num w:numId="20">
    <w:abstractNumId w:val="5"/>
  </w:num>
  <w:num w:numId="21">
    <w:abstractNumId w:val="9"/>
  </w:num>
  <w:num w:numId="22">
    <w:abstractNumId w:val="21"/>
  </w:num>
  <w:num w:numId="23">
    <w:abstractNumId w:val="33"/>
  </w:num>
  <w:num w:numId="24">
    <w:abstractNumId w:val="28"/>
  </w:num>
  <w:num w:numId="25">
    <w:abstractNumId w:val="12"/>
  </w:num>
  <w:num w:numId="26">
    <w:abstractNumId w:val="23"/>
  </w:num>
  <w:num w:numId="27">
    <w:abstractNumId w:val="13"/>
  </w:num>
  <w:num w:numId="28">
    <w:abstractNumId w:val="19"/>
  </w:num>
  <w:num w:numId="29">
    <w:abstractNumId w:val="15"/>
  </w:num>
  <w:num w:numId="30">
    <w:abstractNumId w:val="20"/>
  </w:num>
  <w:num w:numId="31">
    <w:abstractNumId w:val="34"/>
  </w:num>
  <w:num w:numId="32">
    <w:abstractNumId w:val="16"/>
  </w:num>
  <w:num w:numId="33">
    <w:abstractNumId w:val="17"/>
  </w:num>
  <w:num w:numId="34">
    <w:abstractNumId w:val="14"/>
  </w:num>
  <w:num w:numId="35">
    <w:abstractNumId w:val="10"/>
  </w:num>
  <w:num w:numId="36">
    <w:abstractNumId w:val="1"/>
  </w:num>
  <w:num w:numId="37">
    <w:abstractNumId w:val="2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isplayBackgroundShape/>
  <w:embedSystemFonts/>
  <w:proofState w:spelling="clean" w:grammar="clean"/>
  <w:defaultTabStop w:val="720"/>
  <w:hyphenationZone w:val="425"/>
  <w:doNotHyphenateCaps/>
  <w:drawingGridHorizontalSpacing w:val="200"/>
  <w:drawingGridVerticalSpacing w:val="0"/>
  <w:displayHorizontalDrawingGridEvery w:val="0"/>
  <w:displayVerticalDrawingGridEvery w:val="0"/>
  <w:noPunctuationKerning/>
  <w:characterSpacingControl w:val="doNotCompress"/>
  <w:strictFirstAndLastChar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0ABD"/>
    <w:rsid w:val="0000255A"/>
    <w:rsid w:val="0000474A"/>
    <w:rsid w:val="00007DA4"/>
    <w:rsid w:val="00014E36"/>
    <w:rsid w:val="000225BA"/>
    <w:rsid w:val="0002336F"/>
    <w:rsid w:val="00024DD6"/>
    <w:rsid w:val="00026C80"/>
    <w:rsid w:val="00030C2C"/>
    <w:rsid w:val="00032054"/>
    <w:rsid w:val="000328E3"/>
    <w:rsid w:val="0003575B"/>
    <w:rsid w:val="0003735C"/>
    <w:rsid w:val="00037CDC"/>
    <w:rsid w:val="00037D98"/>
    <w:rsid w:val="00042252"/>
    <w:rsid w:val="000423C3"/>
    <w:rsid w:val="0004662B"/>
    <w:rsid w:val="00046EF3"/>
    <w:rsid w:val="00050278"/>
    <w:rsid w:val="00050C7E"/>
    <w:rsid w:val="00052126"/>
    <w:rsid w:val="00052A60"/>
    <w:rsid w:val="000568E5"/>
    <w:rsid w:val="00057399"/>
    <w:rsid w:val="000615B0"/>
    <w:rsid w:val="000615BA"/>
    <w:rsid w:val="000701AB"/>
    <w:rsid w:val="00071222"/>
    <w:rsid w:val="00073B7F"/>
    <w:rsid w:val="000744EF"/>
    <w:rsid w:val="000752C2"/>
    <w:rsid w:val="00081AF6"/>
    <w:rsid w:val="00083BC8"/>
    <w:rsid w:val="00083CB4"/>
    <w:rsid w:val="00085358"/>
    <w:rsid w:val="00092809"/>
    <w:rsid w:val="00093B2C"/>
    <w:rsid w:val="00097805"/>
    <w:rsid w:val="000A0C2B"/>
    <w:rsid w:val="000A1804"/>
    <w:rsid w:val="000A44E2"/>
    <w:rsid w:val="000A4D37"/>
    <w:rsid w:val="000A6D16"/>
    <w:rsid w:val="000A7F3E"/>
    <w:rsid w:val="000B107D"/>
    <w:rsid w:val="000B2DE8"/>
    <w:rsid w:val="000B3468"/>
    <w:rsid w:val="000B7199"/>
    <w:rsid w:val="000C0142"/>
    <w:rsid w:val="000C05A5"/>
    <w:rsid w:val="000C228B"/>
    <w:rsid w:val="000C51A0"/>
    <w:rsid w:val="000C60DE"/>
    <w:rsid w:val="000D0B99"/>
    <w:rsid w:val="000D1AEB"/>
    <w:rsid w:val="000D2C0A"/>
    <w:rsid w:val="000D5985"/>
    <w:rsid w:val="000D65F8"/>
    <w:rsid w:val="000D742B"/>
    <w:rsid w:val="000E4A9F"/>
    <w:rsid w:val="000E5A24"/>
    <w:rsid w:val="000E5F00"/>
    <w:rsid w:val="000E65A1"/>
    <w:rsid w:val="000E69BA"/>
    <w:rsid w:val="000E6B6A"/>
    <w:rsid w:val="000F248E"/>
    <w:rsid w:val="000F3983"/>
    <w:rsid w:val="000F3E02"/>
    <w:rsid w:val="000F42AD"/>
    <w:rsid w:val="000F70D2"/>
    <w:rsid w:val="00101AD6"/>
    <w:rsid w:val="0011094D"/>
    <w:rsid w:val="00111408"/>
    <w:rsid w:val="00112D59"/>
    <w:rsid w:val="00116045"/>
    <w:rsid w:val="0011666B"/>
    <w:rsid w:val="00121E95"/>
    <w:rsid w:val="0012738A"/>
    <w:rsid w:val="00132F4A"/>
    <w:rsid w:val="00133AAE"/>
    <w:rsid w:val="0013530E"/>
    <w:rsid w:val="0014341F"/>
    <w:rsid w:val="00143686"/>
    <w:rsid w:val="00144343"/>
    <w:rsid w:val="001453DE"/>
    <w:rsid w:val="001467E0"/>
    <w:rsid w:val="0015696B"/>
    <w:rsid w:val="001603D5"/>
    <w:rsid w:val="001610E1"/>
    <w:rsid w:val="00165F5F"/>
    <w:rsid w:val="00166F32"/>
    <w:rsid w:val="00170112"/>
    <w:rsid w:val="0017095E"/>
    <w:rsid w:val="001737D3"/>
    <w:rsid w:val="00173A55"/>
    <w:rsid w:val="00173E2F"/>
    <w:rsid w:val="0017439C"/>
    <w:rsid w:val="00174746"/>
    <w:rsid w:val="00180399"/>
    <w:rsid w:val="001815C4"/>
    <w:rsid w:val="001827A7"/>
    <w:rsid w:val="00185589"/>
    <w:rsid w:val="0018566C"/>
    <w:rsid w:val="0018640F"/>
    <w:rsid w:val="001958FD"/>
    <w:rsid w:val="00195AA9"/>
    <w:rsid w:val="00196734"/>
    <w:rsid w:val="001969FB"/>
    <w:rsid w:val="00197A59"/>
    <w:rsid w:val="001A131C"/>
    <w:rsid w:val="001A143B"/>
    <w:rsid w:val="001A2983"/>
    <w:rsid w:val="001A7BD2"/>
    <w:rsid w:val="001B3819"/>
    <w:rsid w:val="001B3D64"/>
    <w:rsid w:val="001B5FD2"/>
    <w:rsid w:val="001B6254"/>
    <w:rsid w:val="001C0DF8"/>
    <w:rsid w:val="001C4A97"/>
    <w:rsid w:val="001D02F0"/>
    <w:rsid w:val="001D09CC"/>
    <w:rsid w:val="001D0A26"/>
    <w:rsid w:val="001D3762"/>
    <w:rsid w:val="001D4E40"/>
    <w:rsid w:val="001D76AD"/>
    <w:rsid w:val="001E1CA7"/>
    <w:rsid w:val="001E22F3"/>
    <w:rsid w:val="001E2A55"/>
    <w:rsid w:val="001E3856"/>
    <w:rsid w:val="001E3B04"/>
    <w:rsid w:val="001E74A3"/>
    <w:rsid w:val="001F4168"/>
    <w:rsid w:val="001F4B0A"/>
    <w:rsid w:val="00200A65"/>
    <w:rsid w:val="002017A9"/>
    <w:rsid w:val="002032D3"/>
    <w:rsid w:val="00203AB7"/>
    <w:rsid w:val="0020463D"/>
    <w:rsid w:val="00205109"/>
    <w:rsid w:val="00206906"/>
    <w:rsid w:val="0020711E"/>
    <w:rsid w:val="002078E0"/>
    <w:rsid w:val="002109B7"/>
    <w:rsid w:val="00211152"/>
    <w:rsid w:val="002139B0"/>
    <w:rsid w:val="002248F1"/>
    <w:rsid w:val="002253F7"/>
    <w:rsid w:val="00227180"/>
    <w:rsid w:val="00232712"/>
    <w:rsid w:val="0023392A"/>
    <w:rsid w:val="00236099"/>
    <w:rsid w:val="0023669B"/>
    <w:rsid w:val="0024205F"/>
    <w:rsid w:val="0024388C"/>
    <w:rsid w:val="002468D9"/>
    <w:rsid w:val="0025272F"/>
    <w:rsid w:val="00255132"/>
    <w:rsid w:val="00261C3C"/>
    <w:rsid w:val="002648AA"/>
    <w:rsid w:val="002659D6"/>
    <w:rsid w:val="002705F9"/>
    <w:rsid w:val="002717AA"/>
    <w:rsid w:val="00273311"/>
    <w:rsid w:val="0027488F"/>
    <w:rsid w:val="002801FD"/>
    <w:rsid w:val="00283919"/>
    <w:rsid w:val="002850FE"/>
    <w:rsid w:val="00290664"/>
    <w:rsid w:val="00292E6E"/>
    <w:rsid w:val="002945D6"/>
    <w:rsid w:val="00295A21"/>
    <w:rsid w:val="002A53A4"/>
    <w:rsid w:val="002A5680"/>
    <w:rsid w:val="002A673A"/>
    <w:rsid w:val="002A6B29"/>
    <w:rsid w:val="002A6B80"/>
    <w:rsid w:val="002A7906"/>
    <w:rsid w:val="002B327A"/>
    <w:rsid w:val="002B67F6"/>
    <w:rsid w:val="002C02C4"/>
    <w:rsid w:val="002C1A68"/>
    <w:rsid w:val="002C26F1"/>
    <w:rsid w:val="002C2AB6"/>
    <w:rsid w:val="002C3B19"/>
    <w:rsid w:val="002C6D17"/>
    <w:rsid w:val="002D786E"/>
    <w:rsid w:val="002E1692"/>
    <w:rsid w:val="002E3DC8"/>
    <w:rsid w:val="002E7551"/>
    <w:rsid w:val="002E7FA4"/>
    <w:rsid w:val="002F017A"/>
    <w:rsid w:val="002F0BC3"/>
    <w:rsid w:val="002F0F6D"/>
    <w:rsid w:val="002F156A"/>
    <w:rsid w:val="002F5B95"/>
    <w:rsid w:val="002F77A6"/>
    <w:rsid w:val="0030042C"/>
    <w:rsid w:val="00303113"/>
    <w:rsid w:val="00306114"/>
    <w:rsid w:val="00306208"/>
    <w:rsid w:val="003062D3"/>
    <w:rsid w:val="00307B5D"/>
    <w:rsid w:val="00311CAC"/>
    <w:rsid w:val="0031223D"/>
    <w:rsid w:val="00312459"/>
    <w:rsid w:val="00312956"/>
    <w:rsid w:val="0031379B"/>
    <w:rsid w:val="00314A09"/>
    <w:rsid w:val="0031691C"/>
    <w:rsid w:val="00320395"/>
    <w:rsid w:val="00320F96"/>
    <w:rsid w:val="00323CE8"/>
    <w:rsid w:val="00324C94"/>
    <w:rsid w:val="00327933"/>
    <w:rsid w:val="00337BD2"/>
    <w:rsid w:val="003402AA"/>
    <w:rsid w:val="00340FB0"/>
    <w:rsid w:val="00344222"/>
    <w:rsid w:val="00345D6C"/>
    <w:rsid w:val="003507ED"/>
    <w:rsid w:val="00351378"/>
    <w:rsid w:val="00353D85"/>
    <w:rsid w:val="00353E83"/>
    <w:rsid w:val="00354731"/>
    <w:rsid w:val="003559C0"/>
    <w:rsid w:val="0035744E"/>
    <w:rsid w:val="0036088F"/>
    <w:rsid w:val="00361A5B"/>
    <w:rsid w:val="00367E63"/>
    <w:rsid w:val="00372BAA"/>
    <w:rsid w:val="003739E9"/>
    <w:rsid w:val="00374FDF"/>
    <w:rsid w:val="00377D6A"/>
    <w:rsid w:val="00377ED2"/>
    <w:rsid w:val="003811B9"/>
    <w:rsid w:val="00386344"/>
    <w:rsid w:val="00387008"/>
    <w:rsid w:val="0039156C"/>
    <w:rsid w:val="003918B3"/>
    <w:rsid w:val="00391E63"/>
    <w:rsid w:val="003924EB"/>
    <w:rsid w:val="003942AC"/>
    <w:rsid w:val="00394329"/>
    <w:rsid w:val="00394346"/>
    <w:rsid w:val="003A033E"/>
    <w:rsid w:val="003A07BA"/>
    <w:rsid w:val="003A366A"/>
    <w:rsid w:val="003B013D"/>
    <w:rsid w:val="003B06D5"/>
    <w:rsid w:val="003B14C5"/>
    <w:rsid w:val="003B34CF"/>
    <w:rsid w:val="003C798A"/>
    <w:rsid w:val="003D1475"/>
    <w:rsid w:val="003D1587"/>
    <w:rsid w:val="003D4776"/>
    <w:rsid w:val="003D5011"/>
    <w:rsid w:val="003D686C"/>
    <w:rsid w:val="003E1578"/>
    <w:rsid w:val="003E1AAE"/>
    <w:rsid w:val="003E2779"/>
    <w:rsid w:val="003E3220"/>
    <w:rsid w:val="003E32AF"/>
    <w:rsid w:val="003F2F60"/>
    <w:rsid w:val="003F309E"/>
    <w:rsid w:val="003F4361"/>
    <w:rsid w:val="00401CE4"/>
    <w:rsid w:val="00402688"/>
    <w:rsid w:val="0040761E"/>
    <w:rsid w:val="0041268A"/>
    <w:rsid w:val="00416EDE"/>
    <w:rsid w:val="00424C82"/>
    <w:rsid w:val="00426B51"/>
    <w:rsid w:val="00431D5F"/>
    <w:rsid w:val="00435157"/>
    <w:rsid w:val="00436033"/>
    <w:rsid w:val="00442D97"/>
    <w:rsid w:val="00443EEF"/>
    <w:rsid w:val="00446A4C"/>
    <w:rsid w:val="00446D15"/>
    <w:rsid w:val="004475A7"/>
    <w:rsid w:val="00457F6D"/>
    <w:rsid w:val="0046032B"/>
    <w:rsid w:val="004604F5"/>
    <w:rsid w:val="004632C5"/>
    <w:rsid w:val="00466CE3"/>
    <w:rsid w:val="00471C63"/>
    <w:rsid w:val="00473315"/>
    <w:rsid w:val="00474F9B"/>
    <w:rsid w:val="0047503A"/>
    <w:rsid w:val="00481ACF"/>
    <w:rsid w:val="00482510"/>
    <w:rsid w:val="00485E76"/>
    <w:rsid w:val="00486F14"/>
    <w:rsid w:val="00491A35"/>
    <w:rsid w:val="00491D90"/>
    <w:rsid w:val="0049389F"/>
    <w:rsid w:val="00496A48"/>
    <w:rsid w:val="00497432"/>
    <w:rsid w:val="004A35AD"/>
    <w:rsid w:val="004A68E3"/>
    <w:rsid w:val="004A708D"/>
    <w:rsid w:val="004B0E26"/>
    <w:rsid w:val="004B1598"/>
    <w:rsid w:val="004B2020"/>
    <w:rsid w:val="004B2825"/>
    <w:rsid w:val="004B3B2B"/>
    <w:rsid w:val="004B69B8"/>
    <w:rsid w:val="004C2A58"/>
    <w:rsid w:val="004C30E6"/>
    <w:rsid w:val="004C34CD"/>
    <w:rsid w:val="004C3573"/>
    <w:rsid w:val="004C37E8"/>
    <w:rsid w:val="004C451A"/>
    <w:rsid w:val="004C4524"/>
    <w:rsid w:val="004C6151"/>
    <w:rsid w:val="004C6BA6"/>
    <w:rsid w:val="004C7FCA"/>
    <w:rsid w:val="004D059D"/>
    <w:rsid w:val="004D4CBA"/>
    <w:rsid w:val="004D668A"/>
    <w:rsid w:val="004D6875"/>
    <w:rsid w:val="004D68F9"/>
    <w:rsid w:val="004D6FE9"/>
    <w:rsid w:val="004E3CD7"/>
    <w:rsid w:val="004E61B9"/>
    <w:rsid w:val="004F2672"/>
    <w:rsid w:val="004F3586"/>
    <w:rsid w:val="004F4615"/>
    <w:rsid w:val="004F551D"/>
    <w:rsid w:val="004F5D6B"/>
    <w:rsid w:val="004F78BE"/>
    <w:rsid w:val="00500253"/>
    <w:rsid w:val="00503AC3"/>
    <w:rsid w:val="0050433C"/>
    <w:rsid w:val="005065C7"/>
    <w:rsid w:val="00507646"/>
    <w:rsid w:val="00517A78"/>
    <w:rsid w:val="00520A30"/>
    <w:rsid w:val="00521046"/>
    <w:rsid w:val="005214D1"/>
    <w:rsid w:val="00540811"/>
    <w:rsid w:val="005409E3"/>
    <w:rsid w:val="005420E0"/>
    <w:rsid w:val="00542D82"/>
    <w:rsid w:val="00551E85"/>
    <w:rsid w:val="00552A9D"/>
    <w:rsid w:val="00555A56"/>
    <w:rsid w:val="0055756C"/>
    <w:rsid w:val="00560F42"/>
    <w:rsid w:val="00561582"/>
    <w:rsid w:val="00562369"/>
    <w:rsid w:val="00566924"/>
    <w:rsid w:val="00567698"/>
    <w:rsid w:val="005703C8"/>
    <w:rsid w:val="005704E5"/>
    <w:rsid w:val="0057243A"/>
    <w:rsid w:val="00574316"/>
    <w:rsid w:val="0057765C"/>
    <w:rsid w:val="00577BA0"/>
    <w:rsid w:val="00580742"/>
    <w:rsid w:val="00581F5B"/>
    <w:rsid w:val="00582C42"/>
    <w:rsid w:val="00587023"/>
    <w:rsid w:val="00587DD9"/>
    <w:rsid w:val="00590F1D"/>
    <w:rsid w:val="005913DA"/>
    <w:rsid w:val="00591AEA"/>
    <w:rsid w:val="005926E0"/>
    <w:rsid w:val="00592B56"/>
    <w:rsid w:val="005941F6"/>
    <w:rsid w:val="00594D12"/>
    <w:rsid w:val="00595239"/>
    <w:rsid w:val="00597629"/>
    <w:rsid w:val="005A323D"/>
    <w:rsid w:val="005B5868"/>
    <w:rsid w:val="005B686B"/>
    <w:rsid w:val="005C2BD1"/>
    <w:rsid w:val="005C3028"/>
    <w:rsid w:val="005C478A"/>
    <w:rsid w:val="005C4C50"/>
    <w:rsid w:val="005C6C94"/>
    <w:rsid w:val="005C7307"/>
    <w:rsid w:val="005C786C"/>
    <w:rsid w:val="005D07F3"/>
    <w:rsid w:val="005D0D38"/>
    <w:rsid w:val="005D0EF7"/>
    <w:rsid w:val="005D1984"/>
    <w:rsid w:val="005E0ECE"/>
    <w:rsid w:val="005E6733"/>
    <w:rsid w:val="005F0290"/>
    <w:rsid w:val="005F284C"/>
    <w:rsid w:val="005F4373"/>
    <w:rsid w:val="006020DB"/>
    <w:rsid w:val="00602C11"/>
    <w:rsid w:val="00604794"/>
    <w:rsid w:val="00612154"/>
    <w:rsid w:val="00614E58"/>
    <w:rsid w:val="006211B9"/>
    <w:rsid w:val="00623B0C"/>
    <w:rsid w:val="0062765B"/>
    <w:rsid w:val="00627EC8"/>
    <w:rsid w:val="00630A25"/>
    <w:rsid w:val="00632073"/>
    <w:rsid w:val="00633799"/>
    <w:rsid w:val="00634CD5"/>
    <w:rsid w:val="0064715C"/>
    <w:rsid w:val="006522E7"/>
    <w:rsid w:val="00656550"/>
    <w:rsid w:val="00660C57"/>
    <w:rsid w:val="006657CD"/>
    <w:rsid w:val="00665A65"/>
    <w:rsid w:val="00665F7F"/>
    <w:rsid w:val="00666285"/>
    <w:rsid w:val="0067308A"/>
    <w:rsid w:val="00674EEA"/>
    <w:rsid w:val="00676021"/>
    <w:rsid w:val="00676077"/>
    <w:rsid w:val="00676792"/>
    <w:rsid w:val="00677147"/>
    <w:rsid w:val="006810E8"/>
    <w:rsid w:val="00682E2D"/>
    <w:rsid w:val="006846AC"/>
    <w:rsid w:val="00687018"/>
    <w:rsid w:val="00687A4D"/>
    <w:rsid w:val="006935F9"/>
    <w:rsid w:val="00694CBC"/>
    <w:rsid w:val="00695C15"/>
    <w:rsid w:val="00696B3E"/>
    <w:rsid w:val="00697FED"/>
    <w:rsid w:val="006A13F9"/>
    <w:rsid w:val="006A1A6E"/>
    <w:rsid w:val="006A26A0"/>
    <w:rsid w:val="006B1A71"/>
    <w:rsid w:val="006B1D99"/>
    <w:rsid w:val="006B1E56"/>
    <w:rsid w:val="006B1F5D"/>
    <w:rsid w:val="006B2825"/>
    <w:rsid w:val="006B3516"/>
    <w:rsid w:val="006B36BF"/>
    <w:rsid w:val="006B4543"/>
    <w:rsid w:val="006B4F12"/>
    <w:rsid w:val="006B640E"/>
    <w:rsid w:val="006B74C8"/>
    <w:rsid w:val="006B7CB0"/>
    <w:rsid w:val="006C292F"/>
    <w:rsid w:val="006C2934"/>
    <w:rsid w:val="006C50F0"/>
    <w:rsid w:val="006D4EB1"/>
    <w:rsid w:val="006D5D8B"/>
    <w:rsid w:val="006D761F"/>
    <w:rsid w:val="006D7F10"/>
    <w:rsid w:val="006E0806"/>
    <w:rsid w:val="006E4401"/>
    <w:rsid w:val="006E68C8"/>
    <w:rsid w:val="006E698B"/>
    <w:rsid w:val="006F4085"/>
    <w:rsid w:val="006F4170"/>
    <w:rsid w:val="006F5B2A"/>
    <w:rsid w:val="006F7CE9"/>
    <w:rsid w:val="00703DDF"/>
    <w:rsid w:val="00706D64"/>
    <w:rsid w:val="00712242"/>
    <w:rsid w:val="007158EF"/>
    <w:rsid w:val="00717217"/>
    <w:rsid w:val="0072112F"/>
    <w:rsid w:val="00721455"/>
    <w:rsid w:val="007455FD"/>
    <w:rsid w:val="00745D52"/>
    <w:rsid w:val="00746FCA"/>
    <w:rsid w:val="00751874"/>
    <w:rsid w:val="0075193E"/>
    <w:rsid w:val="00751F73"/>
    <w:rsid w:val="0075214B"/>
    <w:rsid w:val="007522AA"/>
    <w:rsid w:val="00752E65"/>
    <w:rsid w:val="007543AD"/>
    <w:rsid w:val="0075679B"/>
    <w:rsid w:val="007641B0"/>
    <w:rsid w:val="0076500E"/>
    <w:rsid w:val="00765BAF"/>
    <w:rsid w:val="007715C0"/>
    <w:rsid w:val="0077436C"/>
    <w:rsid w:val="00775647"/>
    <w:rsid w:val="00780523"/>
    <w:rsid w:val="00780E7C"/>
    <w:rsid w:val="007826D8"/>
    <w:rsid w:val="00785020"/>
    <w:rsid w:val="00785833"/>
    <w:rsid w:val="00795F06"/>
    <w:rsid w:val="007A025C"/>
    <w:rsid w:val="007A3B58"/>
    <w:rsid w:val="007A4F6E"/>
    <w:rsid w:val="007A53B1"/>
    <w:rsid w:val="007A7878"/>
    <w:rsid w:val="007A79F4"/>
    <w:rsid w:val="007B1E0E"/>
    <w:rsid w:val="007C4A25"/>
    <w:rsid w:val="007C6340"/>
    <w:rsid w:val="007D5F89"/>
    <w:rsid w:val="007E0DC5"/>
    <w:rsid w:val="007E1B15"/>
    <w:rsid w:val="007E20C5"/>
    <w:rsid w:val="007E2AEC"/>
    <w:rsid w:val="007E3BB0"/>
    <w:rsid w:val="007E44F6"/>
    <w:rsid w:val="007E6044"/>
    <w:rsid w:val="007E67F9"/>
    <w:rsid w:val="007F3629"/>
    <w:rsid w:val="007F5E14"/>
    <w:rsid w:val="007F68D0"/>
    <w:rsid w:val="007F7815"/>
    <w:rsid w:val="008007BC"/>
    <w:rsid w:val="00801272"/>
    <w:rsid w:val="00801D0B"/>
    <w:rsid w:val="008052F1"/>
    <w:rsid w:val="008064A6"/>
    <w:rsid w:val="00812542"/>
    <w:rsid w:val="00815AF9"/>
    <w:rsid w:val="00815BA2"/>
    <w:rsid w:val="0082090B"/>
    <w:rsid w:val="00822953"/>
    <w:rsid w:val="00822E95"/>
    <w:rsid w:val="008240DE"/>
    <w:rsid w:val="00825787"/>
    <w:rsid w:val="00825815"/>
    <w:rsid w:val="00826F47"/>
    <w:rsid w:val="008308F0"/>
    <w:rsid w:val="00831DE1"/>
    <w:rsid w:val="00832B88"/>
    <w:rsid w:val="00837F2B"/>
    <w:rsid w:val="00840B42"/>
    <w:rsid w:val="00841DF7"/>
    <w:rsid w:val="00844DC3"/>
    <w:rsid w:val="00854024"/>
    <w:rsid w:val="008564C4"/>
    <w:rsid w:val="00865E12"/>
    <w:rsid w:val="00870C29"/>
    <w:rsid w:val="00873220"/>
    <w:rsid w:val="00875B03"/>
    <w:rsid w:val="00877B95"/>
    <w:rsid w:val="00877C0B"/>
    <w:rsid w:val="00883EDE"/>
    <w:rsid w:val="00885E07"/>
    <w:rsid w:val="0088722B"/>
    <w:rsid w:val="008878D2"/>
    <w:rsid w:val="00895C16"/>
    <w:rsid w:val="008967BD"/>
    <w:rsid w:val="008A0F2A"/>
    <w:rsid w:val="008A21D0"/>
    <w:rsid w:val="008A4E0E"/>
    <w:rsid w:val="008B0531"/>
    <w:rsid w:val="008B4648"/>
    <w:rsid w:val="008B5CEC"/>
    <w:rsid w:val="008B6723"/>
    <w:rsid w:val="008B7469"/>
    <w:rsid w:val="008C35AB"/>
    <w:rsid w:val="008C5FCF"/>
    <w:rsid w:val="008C648D"/>
    <w:rsid w:val="008D005D"/>
    <w:rsid w:val="008D5294"/>
    <w:rsid w:val="008D6E46"/>
    <w:rsid w:val="008E6553"/>
    <w:rsid w:val="008E663F"/>
    <w:rsid w:val="008E6961"/>
    <w:rsid w:val="008F4648"/>
    <w:rsid w:val="008F4652"/>
    <w:rsid w:val="008F514A"/>
    <w:rsid w:val="008F7565"/>
    <w:rsid w:val="00901980"/>
    <w:rsid w:val="0090611C"/>
    <w:rsid w:val="00906582"/>
    <w:rsid w:val="009077FA"/>
    <w:rsid w:val="0091180A"/>
    <w:rsid w:val="00912D3B"/>
    <w:rsid w:val="00913414"/>
    <w:rsid w:val="00914556"/>
    <w:rsid w:val="009202D6"/>
    <w:rsid w:val="009215AE"/>
    <w:rsid w:val="00921B7D"/>
    <w:rsid w:val="009235E9"/>
    <w:rsid w:val="00925B03"/>
    <w:rsid w:val="00925DC9"/>
    <w:rsid w:val="00926CD8"/>
    <w:rsid w:val="009307FA"/>
    <w:rsid w:val="00930D74"/>
    <w:rsid w:val="009335C8"/>
    <w:rsid w:val="0093422E"/>
    <w:rsid w:val="00936818"/>
    <w:rsid w:val="00940764"/>
    <w:rsid w:val="00941C03"/>
    <w:rsid w:val="00943A1C"/>
    <w:rsid w:val="00947ECE"/>
    <w:rsid w:val="009511DD"/>
    <w:rsid w:val="00951AC1"/>
    <w:rsid w:val="0095294E"/>
    <w:rsid w:val="00953A10"/>
    <w:rsid w:val="00954B0D"/>
    <w:rsid w:val="0095691F"/>
    <w:rsid w:val="009571C1"/>
    <w:rsid w:val="0096419A"/>
    <w:rsid w:val="00967524"/>
    <w:rsid w:val="009724B0"/>
    <w:rsid w:val="00972C54"/>
    <w:rsid w:val="00980635"/>
    <w:rsid w:val="00981BE5"/>
    <w:rsid w:val="00985BC2"/>
    <w:rsid w:val="00990229"/>
    <w:rsid w:val="00990B5E"/>
    <w:rsid w:val="009916CB"/>
    <w:rsid w:val="00992F55"/>
    <w:rsid w:val="00993EAB"/>
    <w:rsid w:val="00994D19"/>
    <w:rsid w:val="009A0DBB"/>
    <w:rsid w:val="009A343C"/>
    <w:rsid w:val="009B0C46"/>
    <w:rsid w:val="009B2BF4"/>
    <w:rsid w:val="009B36E2"/>
    <w:rsid w:val="009C0FFD"/>
    <w:rsid w:val="009C16BB"/>
    <w:rsid w:val="009C27DD"/>
    <w:rsid w:val="009C509A"/>
    <w:rsid w:val="009C7C02"/>
    <w:rsid w:val="009D4938"/>
    <w:rsid w:val="009D7BF5"/>
    <w:rsid w:val="009E411D"/>
    <w:rsid w:val="009E4E07"/>
    <w:rsid w:val="009E5FD0"/>
    <w:rsid w:val="009E60A4"/>
    <w:rsid w:val="009E6AC5"/>
    <w:rsid w:val="009F14D6"/>
    <w:rsid w:val="009F279E"/>
    <w:rsid w:val="00A007E3"/>
    <w:rsid w:val="00A02FEB"/>
    <w:rsid w:val="00A03042"/>
    <w:rsid w:val="00A048D1"/>
    <w:rsid w:val="00A06B4E"/>
    <w:rsid w:val="00A07E56"/>
    <w:rsid w:val="00A10665"/>
    <w:rsid w:val="00A135FF"/>
    <w:rsid w:val="00A1539F"/>
    <w:rsid w:val="00A20AB9"/>
    <w:rsid w:val="00A21FB6"/>
    <w:rsid w:val="00A22FD0"/>
    <w:rsid w:val="00A23C5C"/>
    <w:rsid w:val="00A262BD"/>
    <w:rsid w:val="00A26E3B"/>
    <w:rsid w:val="00A271D6"/>
    <w:rsid w:val="00A34312"/>
    <w:rsid w:val="00A368A8"/>
    <w:rsid w:val="00A37BF2"/>
    <w:rsid w:val="00A410C1"/>
    <w:rsid w:val="00A44601"/>
    <w:rsid w:val="00A51AC5"/>
    <w:rsid w:val="00A51B0F"/>
    <w:rsid w:val="00A54647"/>
    <w:rsid w:val="00A55954"/>
    <w:rsid w:val="00A6050C"/>
    <w:rsid w:val="00A64D38"/>
    <w:rsid w:val="00A6776C"/>
    <w:rsid w:val="00A75762"/>
    <w:rsid w:val="00A760E0"/>
    <w:rsid w:val="00A772A8"/>
    <w:rsid w:val="00A778A2"/>
    <w:rsid w:val="00A83E2A"/>
    <w:rsid w:val="00A840E8"/>
    <w:rsid w:val="00A85678"/>
    <w:rsid w:val="00A85F40"/>
    <w:rsid w:val="00A87FE8"/>
    <w:rsid w:val="00A900BA"/>
    <w:rsid w:val="00A91A3A"/>
    <w:rsid w:val="00A92CCE"/>
    <w:rsid w:val="00A9542C"/>
    <w:rsid w:val="00A9590E"/>
    <w:rsid w:val="00A9794C"/>
    <w:rsid w:val="00AA044A"/>
    <w:rsid w:val="00AA23E1"/>
    <w:rsid w:val="00AA59A1"/>
    <w:rsid w:val="00AA7CA7"/>
    <w:rsid w:val="00AA7FC7"/>
    <w:rsid w:val="00AB0A31"/>
    <w:rsid w:val="00AB1D59"/>
    <w:rsid w:val="00AB26C6"/>
    <w:rsid w:val="00AB2C51"/>
    <w:rsid w:val="00AB3901"/>
    <w:rsid w:val="00AB6BC2"/>
    <w:rsid w:val="00AC35E9"/>
    <w:rsid w:val="00AC6935"/>
    <w:rsid w:val="00AC71AD"/>
    <w:rsid w:val="00AC78CB"/>
    <w:rsid w:val="00AD288F"/>
    <w:rsid w:val="00AD3704"/>
    <w:rsid w:val="00AD6110"/>
    <w:rsid w:val="00AE30D9"/>
    <w:rsid w:val="00AE5083"/>
    <w:rsid w:val="00AE6AAA"/>
    <w:rsid w:val="00AF0A93"/>
    <w:rsid w:val="00AF1D2F"/>
    <w:rsid w:val="00AF1E1E"/>
    <w:rsid w:val="00AF31AE"/>
    <w:rsid w:val="00AF52DA"/>
    <w:rsid w:val="00AF61A2"/>
    <w:rsid w:val="00AF6ED0"/>
    <w:rsid w:val="00B00B8D"/>
    <w:rsid w:val="00B02199"/>
    <w:rsid w:val="00B0229D"/>
    <w:rsid w:val="00B046A5"/>
    <w:rsid w:val="00B06E1C"/>
    <w:rsid w:val="00B075C5"/>
    <w:rsid w:val="00B12479"/>
    <w:rsid w:val="00B13307"/>
    <w:rsid w:val="00B166F0"/>
    <w:rsid w:val="00B210B9"/>
    <w:rsid w:val="00B24A84"/>
    <w:rsid w:val="00B30A0D"/>
    <w:rsid w:val="00B34087"/>
    <w:rsid w:val="00B35BCE"/>
    <w:rsid w:val="00B43AEA"/>
    <w:rsid w:val="00B44438"/>
    <w:rsid w:val="00B46A50"/>
    <w:rsid w:val="00B5277B"/>
    <w:rsid w:val="00B54895"/>
    <w:rsid w:val="00B55D4E"/>
    <w:rsid w:val="00B57115"/>
    <w:rsid w:val="00B6296F"/>
    <w:rsid w:val="00B62A67"/>
    <w:rsid w:val="00B652FE"/>
    <w:rsid w:val="00B65EEC"/>
    <w:rsid w:val="00B66553"/>
    <w:rsid w:val="00B7129A"/>
    <w:rsid w:val="00B7278A"/>
    <w:rsid w:val="00B72FDA"/>
    <w:rsid w:val="00B731F0"/>
    <w:rsid w:val="00B74DBD"/>
    <w:rsid w:val="00B7551F"/>
    <w:rsid w:val="00B75D74"/>
    <w:rsid w:val="00B76A3A"/>
    <w:rsid w:val="00B7734C"/>
    <w:rsid w:val="00B87220"/>
    <w:rsid w:val="00B90D46"/>
    <w:rsid w:val="00B947D5"/>
    <w:rsid w:val="00BA2A7D"/>
    <w:rsid w:val="00BA494C"/>
    <w:rsid w:val="00BA4A15"/>
    <w:rsid w:val="00BA52B0"/>
    <w:rsid w:val="00BB62D4"/>
    <w:rsid w:val="00BC0E42"/>
    <w:rsid w:val="00BC1A8B"/>
    <w:rsid w:val="00BC5299"/>
    <w:rsid w:val="00BC7BEA"/>
    <w:rsid w:val="00BD45B9"/>
    <w:rsid w:val="00BD4986"/>
    <w:rsid w:val="00BD5B8B"/>
    <w:rsid w:val="00BD7218"/>
    <w:rsid w:val="00BE2842"/>
    <w:rsid w:val="00BE64F8"/>
    <w:rsid w:val="00BF18CB"/>
    <w:rsid w:val="00BF32BF"/>
    <w:rsid w:val="00BF360C"/>
    <w:rsid w:val="00BF3CB3"/>
    <w:rsid w:val="00BF3D87"/>
    <w:rsid w:val="00BF5C90"/>
    <w:rsid w:val="00BF5DE3"/>
    <w:rsid w:val="00BF5F0F"/>
    <w:rsid w:val="00C05E6F"/>
    <w:rsid w:val="00C1023B"/>
    <w:rsid w:val="00C10A79"/>
    <w:rsid w:val="00C1318A"/>
    <w:rsid w:val="00C1490D"/>
    <w:rsid w:val="00C14B81"/>
    <w:rsid w:val="00C1794E"/>
    <w:rsid w:val="00C23D76"/>
    <w:rsid w:val="00C2461A"/>
    <w:rsid w:val="00C25CD2"/>
    <w:rsid w:val="00C333B3"/>
    <w:rsid w:val="00C33550"/>
    <w:rsid w:val="00C33DD9"/>
    <w:rsid w:val="00C362F6"/>
    <w:rsid w:val="00C36B34"/>
    <w:rsid w:val="00C37185"/>
    <w:rsid w:val="00C4631D"/>
    <w:rsid w:val="00C51424"/>
    <w:rsid w:val="00C532C2"/>
    <w:rsid w:val="00C53915"/>
    <w:rsid w:val="00C55998"/>
    <w:rsid w:val="00C56076"/>
    <w:rsid w:val="00C606C1"/>
    <w:rsid w:val="00C63B05"/>
    <w:rsid w:val="00C64909"/>
    <w:rsid w:val="00C67D26"/>
    <w:rsid w:val="00C67F68"/>
    <w:rsid w:val="00C70B3C"/>
    <w:rsid w:val="00C7347F"/>
    <w:rsid w:val="00C737A1"/>
    <w:rsid w:val="00C737FB"/>
    <w:rsid w:val="00C7465C"/>
    <w:rsid w:val="00C84887"/>
    <w:rsid w:val="00C86E31"/>
    <w:rsid w:val="00C87BDA"/>
    <w:rsid w:val="00C920B4"/>
    <w:rsid w:val="00C92ADF"/>
    <w:rsid w:val="00C93F48"/>
    <w:rsid w:val="00C96854"/>
    <w:rsid w:val="00CA31EC"/>
    <w:rsid w:val="00CA45CC"/>
    <w:rsid w:val="00CA53DF"/>
    <w:rsid w:val="00CA5A2A"/>
    <w:rsid w:val="00CA7D9C"/>
    <w:rsid w:val="00CA7E99"/>
    <w:rsid w:val="00CB1BC5"/>
    <w:rsid w:val="00CB3459"/>
    <w:rsid w:val="00CB7BBA"/>
    <w:rsid w:val="00CC0149"/>
    <w:rsid w:val="00CD05E9"/>
    <w:rsid w:val="00CD37EF"/>
    <w:rsid w:val="00CD481A"/>
    <w:rsid w:val="00CD64F5"/>
    <w:rsid w:val="00CE21B4"/>
    <w:rsid w:val="00CE24E4"/>
    <w:rsid w:val="00CE3AFE"/>
    <w:rsid w:val="00CE71B7"/>
    <w:rsid w:val="00CF05C7"/>
    <w:rsid w:val="00CF3100"/>
    <w:rsid w:val="00CF4060"/>
    <w:rsid w:val="00D023B5"/>
    <w:rsid w:val="00D04866"/>
    <w:rsid w:val="00D04A80"/>
    <w:rsid w:val="00D06820"/>
    <w:rsid w:val="00D13458"/>
    <w:rsid w:val="00D15331"/>
    <w:rsid w:val="00D1627C"/>
    <w:rsid w:val="00D1654D"/>
    <w:rsid w:val="00D23A7D"/>
    <w:rsid w:val="00D23E72"/>
    <w:rsid w:val="00D26D70"/>
    <w:rsid w:val="00D27B79"/>
    <w:rsid w:val="00D30DCF"/>
    <w:rsid w:val="00D31C38"/>
    <w:rsid w:val="00D33B9B"/>
    <w:rsid w:val="00D35F45"/>
    <w:rsid w:val="00D363D5"/>
    <w:rsid w:val="00D37884"/>
    <w:rsid w:val="00D4184B"/>
    <w:rsid w:val="00D43659"/>
    <w:rsid w:val="00D44262"/>
    <w:rsid w:val="00D446EB"/>
    <w:rsid w:val="00D722B0"/>
    <w:rsid w:val="00D7462B"/>
    <w:rsid w:val="00D779D5"/>
    <w:rsid w:val="00D77CF6"/>
    <w:rsid w:val="00D87419"/>
    <w:rsid w:val="00D87AC5"/>
    <w:rsid w:val="00D87D07"/>
    <w:rsid w:val="00D87DD1"/>
    <w:rsid w:val="00D91DB4"/>
    <w:rsid w:val="00D924F4"/>
    <w:rsid w:val="00D93EC4"/>
    <w:rsid w:val="00DA0EC0"/>
    <w:rsid w:val="00DA1005"/>
    <w:rsid w:val="00DA12D0"/>
    <w:rsid w:val="00DA4F42"/>
    <w:rsid w:val="00DA5337"/>
    <w:rsid w:val="00DB01C2"/>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681B"/>
    <w:rsid w:val="00DE7224"/>
    <w:rsid w:val="00DE7249"/>
    <w:rsid w:val="00DE7778"/>
    <w:rsid w:val="00DF1BA2"/>
    <w:rsid w:val="00DF2005"/>
    <w:rsid w:val="00DF35D7"/>
    <w:rsid w:val="00DF5CC8"/>
    <w:rsid w:val="00E07CFD"/>
    <w:rsid w:val="00E108B1"/>
    <w:rsid w:val="00E11AD2"/>
    <w:rsid w:val="00E12E4D"/>
    <w:rsid w:val="00E141FB"/>
    <w:rsid w:val="00E148DA"/>
    <w:rsid w:val="00E16BFD"/>
    <w:rsid w:val="00E16E98"/>
    <w:rsid w:val="00E17702"/>
    <w:rsid w:val="00E17DBB"/>
    <w:rsid w:val="00E21B7A"/>
    <w:rsid w:val="00E228E8"/>
    <w:rsid w:val="00E2597F"/>
    <w:rsid w:val="00E25A71"/>
    <w:rsid w:val="00E27300"/>
    <w:rsid w:val="00E27FE0"/>
    <w:rsid w:val="00E31B10"/>
    <w:rsid w:val="00E35122"/>
    <w:rsid w:val="00E3579B"/>
    <w:rsid w:val="00E35894"/>
    <w:rsid w:val="00E42005"/>
    <w:rsid w:val="00E44704"/>
    <w:rsid w:val="00E44E0D"/>
    <w:rsid w:val="00E468E8"/>
    <w:rsid w:val="00E501D5"/>
    <w:rsid w:val="00E509BD"/>
    <w:rsid w:val="00E51C96"/>
    <w:rsid w:val="00E52769"/>
    <w:rsid w:val="00E52D71"/>
    <w:rsid w:val="00E5378A"/>
    <w:rsid w:val="00E55FE0"/>
    <w:rsid w:val="00E57074"/>
    <w:rsid w:val="00E62F90"/>
    <w:rsid w:val="00E6487E"/>
    <w:rsid w:val="00E64D6C"/>
    <w:rsid w:val="00E664D1"/>
    <w:rsid w:val="00E714D4"/>
    <w:rsid w:val="00E72DFF"/>
    <w:rsid w:val="00E7417F"/>
    <w:rsid w:val="00E76D91"/>
    <w:rsid w:val="00E77D18"/>
    <w:rsid w:val="00E805E8"/>
    <w:rsid w:val="00E80C05"/>
    <w:rsid w:val="00E8252A"/>
    <w:rsid w:val="00E8370E"/>
    <w:rsid w:val="00E83950"/>
    <w:rsid w:val="00E83A0B"/>
    <w:rsid w:val="00E84A10"/>
    <w:rsid w:val="00E84C03"/>
    <w:rsid w:val="00E85331"/>
    <w:rsid w:val="00E94BCB"/>
    <w:rsid w:val="00E94F1D"/>
    <w:rsid w:val="00EA0243"/>
    <w:rsid w:val="00EA1859"/>
    <w:rsid w:val="00EA526C"/>
    <w:rsid w:val="00EA6201"/>
    <w:rsid w:val="00EA671C"/>
    <w:rsid w:val="00EB1893"/>
    <w:rsid w:val="00EB2029"/>
    <w:rsid w:val="00EB25D9"/>
    <w:rsid w:val="00EB3830"/>
    <w:rsid w:val="00EB40D7"/>
    <w:rsid w:val="00EB6868"/>
    <w:rsid w:val="00EB75B9"/>
    <w:rsid w:val="00EC2056"/>
    <w:rsid w:val="00EC209F"/>
    <w:rsid w:val="00EC26D9"/>
    <w:rsid w:val="00EC4F18"/>
    <w:rsid w:val="00EC524C"/>
    <w:rsid w:val="00ED1AA0"/>
    <w:rsid w:val="00ED2123"/>
    <w:rsid w:val="00ED316F"/>
    <w:rsid w:val="00ED3290"/>
    <w:rsid w:val="00ED4F7D"/>
    <w:rsid w:val="00ED57E9"/>
    <w:rsid w:val="00EE0C22"/>
    <w:rsid w:val="00EE11EB"/>
    <w:rsid w:val="00EE5D78"/>
    <w:rsid w:val="00EE68BE"/>
    <w:rsid w:val="00EF252F"/>
    <w:rsid w:val="00EF2849"/>
    <w:rsid w:val="00EF7C0B"/>
    <w:rsid w:val="00F00E8D"/>
    <w:rsid w:val="00F0583F"/>
    <w:rsid w:val="00F05C44"/>
    <w:rsid w:val="00F066E5"/>
    <w:rsid w:val="00F07187"/>
    <w:rsid w:val="00F10288"/>
    <w:rsid w:val="00F11331"/>
    <w:rsid w:val="00F14AC8"/>
    <w:rsid w:val="00F17E83"/>
    <w:rsid w:val="00F203A0"/>
    <w:rsid w:val="00F20726"/>
    <w:rsid w:val="00F2350E"/>
    <w:rsid w:val="00F245F2"/>
    <w:rsid w:val="00F25D92"/>
    <w:rsid w:val="00F32AD1"/>
    <w:rsid w:val="00F34040"/>
    <w:rsid w:val="00F37144"/>
    <w:rsid w:val="00F47482"/>
    <w:rsid w:val="00F47FAA"/>
    <w:rsid w:val="00F507C8"/>
    <w:rsid w:val="00F513F4"/>
    <w:rsid w:val="00F532D3"/>
    <w:rsid w:val="00F535CC"/>
    <w:rsid w:val="00F56B67"/>
    <w:rsid w:val="00F601EB"/>
    <w:rsid w:val="00F62562"/>
    <w:rsid w:val="00F7039C"/>
    <w:rsid w:val="00F7045E"/>
    <w:rsid w:val="00F70CF1"/>
    <w:rsid w:val="00F75151"/>
    <w:rsid w:val="00F762E5"/>
    <w:rsid w:val="00F805D4"/>
    <w:rsid w:val="00F81989"/>
    <w:rsid w:val="00F81BFF"/>
    <w:rsid w:val="00F902A6"/>
    <w:rsid w:val="00F910C3"/>
    <w:rsid w:val="00F923A8"/>
    <w:rsid w:val="00F92DFB"/>
    <w:rsid w:val="00F93709"/>
    <w:rsid w:val="00FA06BE"/>
    <w:rsid w:val="00FA0B42"/>
    <w:rsid w:val="00FA0FB8"/>
    <w:rsid w:val="00FA495D"/>
    <w:rsid w:val="00FA5337"/>
    <w:rsid w:val="00FA7B29"/>
    <w:rsid w:val="00FB21CD"/>
    <w:rsid w:val="00FB3B45"/>
    <w:rsid w:val="00FC04F7"/>
    <w:rsid w:val="00FC3F39"/>
    <w:rsid w:val="00FC492B"/>
    <w:rsid w:val="00FC61C1"/>
    <w:rsid w:val="00FD0726"/>
    <w:rsid w:val="00FD1CC9"/>
    <w:rsid w:val="00FD292C"/>
    <w:rsid w:val="00FD2A81"/>
    <w:rsid w:val="00FD36F7"/>
    <w:rsid w:val="00FD53F3"/>
    <w:rsid w:val="00FD731E"/>
    <w:rsid w:val="00FD73AE"/>
    <w:rsid w:val="00FE1957"/>
    <w:rsid w:val="00FE278A"/>
    <w:rsid w:val="00FE36CD"/>
    <w:rsid w:val="00FE6120"/>
    <w:rsid w:val="00FE6123"/>
    <w:rsid w:val="00FE6B76"/>
    <w:rsid w:val="00FE7AFE"/>
    <w:rsid w:val="00FF21C1"/>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link w:val="Heading1Char"/>
    <w:uiPriority w:val="99"/>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BE5"/>
    <w:rPr>
      <w:rFonts w:ascii="Times New Roman" w:hAnsi="Times New Roman" w:cs="Times New Roman"/>
      <w:b/>
      <w:bCs/>
      <w:sz w:val="24"/>
      <w:szCs w:val="24"/>
    </w:rPr>
  </w:style>
  <w:style w:type="paragraph" w:styleId="BalloonText">
    <w:name w:val="Balloon Text"/>
    <w:basedOn w:val="Normal"/>
    <w:link w:val="BalloonTextChar1"/>
    <w:uiPriority w:val="99"/>
    <w:semiHidden/>
    <w:rsid w:val="00981BE5"/>
    <w:pPr>
      <w:spacing w:after="0"/>
    </w:pPr>
    <w:rPr>
      <w:rFonts w:ascii="Tahoma" w:hAnsi="Tahoma" w:cs="Tahoma"/>
      <w:sz w:val="16"/>
      <w:szCs w:val="16"/>
    </w:rPr>
  </w:style>
  <w:style w:type="character" w:customStyle="1" w:styleId="BalloonTextChar">
    <w:name w:val="Balloon Text Char"/>
    <w:basedOn w:val="DefaultParagraphFont"/>
    <w:uiPriority w:val="99"/>
    <w:locked/>
    <w:rsid w:val="00981BE5"/>
    <w:rPr>
      <w:rFonts w:ascii="Tahoma" w:hAnsi="Tahoma" w:cs="Tahoma"/>
      <w:sz w:val="16"/>
      <w:szCs w:val="16"/>
      <w:lang w:val="es-CO"/>
    </w:rPr>
  </w:style>
  <w:style w:type="character" w:customStyle="1" w:styleId="Absatz-Standardschriftart">
    <w:name w:val="Absatz-Standardschriftart"/>
    <w:uiPriority w:val="99"/>
    <w:rsid w:val="00981BE5"/>
  </w:style>
  <w:style w:type="character" w:customStyle="1" w:styleId="WW-Absatz-Standardschriftart">
    <w:name w:val="WW-Absatz-Standardschriftart"/>
    <w:uiPriority w:val="99"/>
    <w:rsid w:val="00981BE5"/>
  </w:style>
  <w:style w:type="character" w:customStyle="1" w:styleId="WW-Absatz-Standardschriftart1">
    <w:name w:val="WW-Absatz-Standardschriftart1"/>
    <w:uiPriority w:val="99"/>
    <w:rsid w:val="00981BE5"/>
  </w:style>
  <w:style w:type="character" w:customStyle="1" w:styleId="BodyText2Char">
    <w:name w:val="Body Text 2 Char"/>
    <w:basedOn w:val="DefaultParagraphFont"/>
    <w:uiPriority w:val="99"/>
    <w:rsid w:val="00981BE5"/>
    <w:rPr>
      <w:rFonts w:ascii="Arial" w:hAnsi="Arial" w:cs="Arial"/>
      <w:color w:val="000000"/>
      <w:sz w:val="20"/>
      <w:szCs w:val="20"/>
      <w:lang w:val="en-GB"/>
    </w:rPr>
  </w:style>
  <w:style w:type="character" w:customStyle="1" w:styleId="FooterChar">
    <w:name w:val="Footer Char"/>
    <w:basedOn w:val="DefaultParagraphFont"/>
    <w:uiPriority w:val="99"/>
    <w:rsid w:val="00981BE5"/>
    <w:rPr>
      <w:rFonts w:ascii="Times New Roman" w:hAnsi="Times New Roman" w:cs="Times New Roman"/>
      <w:sz w:val="24"/>
      <w:szCs w:val="24"/>
      <w:lang w:val="en-GB"/>
    </w:rPr>
  </w:style>
  <w:style w:type="character" w:customStyle="1" w:styleId="PageNumber1">
    <w:name w:val="Page Number1"/>
    <w:basedOn w:val="DefaultParagraphFont"/>
    <w:uiPriority w:val="99"/>
    <w:rsid w:val="00981BE5"/>
    <w:rPr>
      <w:rFonts w:cs="Times New Roman"/>
    </w:rPr>
  </w:style>
  <w:style w:type="character" w:styleId="Emphasis">
    <w:name w:val="Emphasis"/>
    <w:basedOn w:val="DefaultParagraphFont"/>
    <w:uiPriority w:val="99"/>
    <w:qFormat/>
    <w:rsid w:val="00981BE5"/>
    <w:rPr>
      <w:rFonts w:cs="Times New Roman"/>
      <w:i/>
      <w:iCs/>
    </w:rPr>
  </w:style>
  <w:style w:type="character" w:customStyle="1" w:styleId="HeaderChar">
    <w:name w:val="Header Char"/>
    <w:basedOn w:val="DefaultParagraphFont"/>
    <w:uiPriority w:val="99"/>
    <w:rsid w:val="00981BE5"/>
    <w:rPr>
      <w:rFonts w:ascii="Times New Roman" w:hAnsi="Times New Roman" w:cs="Times New Roman"/>
      <w:sz w:val="24"/>
      <w:szCs w:val="24"/>
      <w:lang w:val="es-CO"/>
    </w:rPr>
  </w:style>
  <w:style w:type="character" w:customStyle="1" w:styleId="ListLabel1">
    <w:name w:val="ListLabel 1"/>
    <w:uiPriority w:val="99"/>
    <w:rsid w:val="00981BE5"/>
    <w:rPr>
      <w:b/>
    </w:rPr>
  </w:style>
  <w:style w:type="character" w:customStyle="1" w:styleId="NumberingSymbols">
    <w:name w:val="Numbering Symbols"/>
    <w:uiPriority w:val="99"/>
    <w:rsid w:val="00981BE5"/>
  </w:style>
  <w:style w:type="paragraph" w:customStyle="1" w:styleId="Heading">
    <w:name w:val="Heading"/>
    <w:basedOn w:val="Normal"/>
    <w:next w:val="BodyText"/>
    <w:uiPriority w:val="99"/>
    <w:rsid w:val="00981BE5"/>
    <w:pPr>
      <w:keepNext/>
      <w:spacing w:before="240"/>
    </w:pPr>
    <w:rPr>
      <w:rFonts w:ascii="Arial" w:eastAsia="Microsoft YaHei" w:hAnsi="Arial" w:cs="Mangal"/>
      <w:sz w:val="28"/>
      <w:szCs w:val="28"/>
    </w:rPr>
  </w:style>
  <w:style w:type="paragraph" w:styleId="BodyText">
    <w:name w:val="Body Text"/>
    <w:basedOn w:val="Normal"/>
    <w:link w:val="BodyTextChar"/>
    <w:uiPriority w:val="99"/>
    <w:rsid w:val="00981BE5"/>
  </w:style>
  <w:style w:type="character" w:customStyle="1" w:styleId="BodyTextChar">
    <w:name w:val="Body Text Char"/>
    <w:basedOn w:val="DefaultParagraphFont"/>
    <w:link w:val="BodyText"/>
    <w:uiPriority w:val="99"/>
    <w:semiHidden/>
    <w:locked/>
    <w:rsid w:val="005C786C"/>
    <w:rPr>
      <w:rFonts w:cs="Mangal"/>
      <w:kern w:val="1"/>
      <w:sz w:val="21"/>
      <w:szCs w:val="21"/>
      <w:lang w:val="es-CO" w:eastAsia="hi-IN" w:bidi="hi-IN"/>
    </w:rPr>
  </w:style>
  <w:style w:type="paragraph" w:styleId="List">
    <w:name w:val="List"/>
    <w:basedOn w:val="BodyText"/>
    <w:uiPriority w:val="99"/>
    <w:rsid w:val="00981BE5"/>
    <w:rPr>
      <w:rFonts w:cs="Mangal"/>
    </w:rPr>
  </w:style>
  <w:style w:type="paragraph" w:styleId="Caption">
    <w:name w:val="caption"/>
    <w:basedOn w:val="Normal"/>
    <w:uiPriority w:val="99"/>
    <w:qFormat/>
    <w:rsid w:val="00981BE5"/>
    <w:pPr>
      <w:suppressLineNumbers/>
      <w:spacing w:before="120"/>
    </w:pPr>
    <w:rPr>
      <w:rFonts w:cs="Mangal"/>
      <w:i/>
      <w:iCs/>
    </w:rPr>
  </w:style>
  <w:style w:type="paragraph" w:customStyle="1" w:styleId="Index">
    <w:name w:val="Index"/>
    <w:basedOn w:val="Normal"/>
    <w:uiPriority w:val="99"/>
    <w:rsid w:val="00981BE5"/>
    <w:pPr>
      <w:suppressLineNumbers/>
    </w:pPr>
    <w:rPr>
      <w:rFonts w:cs="Mangal"/>
    </w:rPr>
  </w:style>
  <w:style w:type="paragraph" w:styleId="BodyText2">
    <w:name w:val="Body Text 2"/>
    <w:basedOn w:val="Normal"/>
    <w:link w:val="BodyText2Char1"/>
    <w:uiPriority w:val="99"/>
    <w:rsid w:val="00981BE5"/>
    <w:pPr>
      <w:spacing w:after="0" w:line="280" w:lineRule="atLeast"/>
      <w:ind w:right="-12"/>
    </w:pPr>
    <w:rPr>
      <w:rFonts w:ascii="Arial" w:hAnsi="Arial" w:cs="Arial"/>
      <w:color w:val="000000"/>
      <w:szCs w:val="20"/>
      <w:lang w:val="en-GB"/>
    </w:rPr>
  </w:style>
  <w:style w:type="character" w:customStyle="1" w:styleId="BodyText2Char1">
    <w:name w:val="Body Text 2 Char1"/>
    <w:basedOn w:val="DefaultParagraphFont"/>
    <w:link w:val="BodyText2"/>
    <w:uiPriority w:val="99"/>
    <w:semiHidden/>
    <w:locked/>
    <w:rsid w:val="005C786C"/>
    <w:rPr>
      <w:rFonts w:cs="Mangal"/>
      <w:kern w:val="1"/>
      <w:sz w:val="21"/>
      <w:szCs w:val="21"/>
      <w:lang w:val="es-CO" w:eastAsia="hi-IN" w:bidi="hi-IN"/>
    </w:rPr>
  </w:style>
  <w:style w:type="paragraph" w:styleId="Footer">
    <w:name w:val="footer"/>
    <w:basedOn w:val="Normal"/>
    <w:link w:val="FooterChar1"/>
    <w:uiPriority w:val="99"/>
    <w:rsid w:val="00981BE5"/>
    <w:pPr>
      <w:suppressLineNumbers/>
      <w:tabs>
        <w:tab w:val="center" w:pos="4153"/>
        <w:tab w:val="right" w:pos="8306"/>
      </w:tabs>
      <w:spacing w:after="0"/>
      <w:jc w:val="left"/>
    </w:pPr>
    <w:rPr>
      <w:lang w:val="en-GB"/>
    </w:rPr>
  </w:style>
  <w:style w:type="character" w:customStyle="1" w:styleId="FooterChar1">
    <w:name w:val="Footer Char1"/>
    <w:basedOn w:val="DefaultParagraphFont"/>
    <w:link w:val="Footer"/>
    <w:uiPriority w:val="99"/>
    <w:semiHidden/>
    <w:locked/>
    <w:rsid w:val="005C786C"/>
    <w:rPr>
      <w:rFonts w:cs="Mangal"/>
      <w:kern w:val="1"/>
      <w:sz w:val="21"/>
      <w:szCs w:val="21"/>
      <w:lang w:val="es-CO" w:eastAsia="hi-IN" w:bidi="hi-IN"/>
    </w:rPr>
  </w:style>
  <w:style w:type="character" w:customStyle="1" w:styleId="BalloonTextChar1">
    <w:name w:val="Balloon Text Char1"/>
    <w:basedOn w:val="DefaultParagraphFont"/>
    <w:link w:val="BalloonText"/>
    <w:uiPriority w:val="99"/>
    <w:semiHidden/>
    <w:locked/>
    <w:rsid w:val="005C786C"/>
    <w:rPr>
      <w:rFonts w:cs="Mangal"/>
      <w:kern w:val="1"/>
      <w:sz w:val="2"/>
      <w:lang w:val="es-CO" w:eastAsia="hi-IN" w:bidi="hi-IN"/>
    </w:rPr>
  </w:style>
  <w:style w:type="paragraph" w:styleId="Header">
    <w:name w:val="header"/>
    <w:basedOn w:val="Normal"/>
    <w:link w:val="HeaderChar1"/>
    <w:uiPriority w:val="99"/>
    <w:rsid w:val="00981BE5"/>
    <w:pPr>
      <w:suppressLineNumbers/>
      <w:tabs>
        <w:tab w:val="center" w:pos="4680"/>
        <w:tab w:val="right" w:pos="9360"/>
      </w:tabs>
      <w:spacing w:after="0"/>
    </w:pPr>
  </w:style>
  <w:style w:type="character" w:customStyle="1" w:styleId="HeaderChar1">
    <w:name w:val="Header Char1"/>
    <w:basedOn w:val="DefaultParagraphFont"/>
    <w:link w:val="Header"/>
    <w:uiPriority w:val="99"/>
    <w:semiHidden/>
    <w:locked/>
    <w:rsid w:val="005C786C"/>
    <w:rPr>
      <w:rFonts w:cs="Mangal"/>
      <w:kern w:val="1"/>
      <w:sz w:val="21"/>
      <w:szCs w:val="21"/>
      <w:lang w:val="es-CO" w:eastAsia="hi-IN" w:bidi="hi-IN"/>
    </w:rPr>
  </w:style>
  <w:style w:type="paragraph" w:customStyle="1" w:styleId="CharCharCharChar">
    <w:name w:val="Char Char Char Char"/>
    <w:basedOn w:val="Normal"/>
    <w:uiPriority w:val="99"/>
    <w:rsid w:val="00981BE5"/>
    <w:pPr>
      <w:spacing w:after="160" w:line="240" w:lineRule="exact"/>
      <w:jc w:val="left"/>
    </w:pPr>
    <w:rPr>
      <w:rFonts w:ascii="Tahoma" w:hAnsi="Tahoma"/>
      <w:szCs w:val="20"/>
      <w:lang w:val="en-US"/>
    </w:rPr>
  </w:style>
  <w:style w:type="paragraph" w:customStyle="1" w:styleId="Framecontents">
    <w:name w:val="Frame contents"/>
    <w:basedOn w:val="BodyText"/>
    <w:uiPriority w:val="99"/>
    <w:rsid w:val="00981BE5"/>
  </w:style>
  <w:style w:type="paragraph" w:customStyle="1" w:styleId="Enterinformationhere">
    <w:name w:val="Enter information here"/>
    <w:basedOn w:val="Normal"/>
    <w:uiPriority w:val="99"/>
    <w:rsid w:val="00981BE5"/>
    <w:pPr>
      <w:spacing w:after="0"/>
    </w:pPr>
  </w:style>
  <w:style w:type="paragraph" w:customStyle="1" w:styleId="TableContents">
    <w:name w:val="Table Contents"/>
    <w:basedOn w:val="Normal"/>
    <w:uiPriority w:val="99"/>
    <w:rsid w:val="00981BE5"/>
    <w:pPr>
      <w:suppressLineNumbers/>
    </w:pPr>
  </w:style>
  <w:style w:type="paragraph" w:customStyle="1" w:styleId="TableHeading">
    <w:name w:val="Table Heading"/>
    <w:basedOn w:val="TableContents"/>
    <w:uiPriority w:val="99"/>
    <w:rsid w:val="00981BE5"/>
    <w:pPr>
      <w:jc w:val="center"/>
    </w:pPr>
    <w:rPr>
      <w:b/>
      <w:bCs/>
    </w:rPr>
  </w:style>
  <w:style w:type="paragraph" w:styleId="NoSpacing">
    <w:name w:val="No Spacing"/>
    <w:uiPriority w:val="99"/>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99"/>
    <w:qFormat/>
    <w:rsid w:val="00832B88"/>
    <w:pPr>
      <w:ind w:left="720"/>
    </w:pPr>
    <w:rPr>
      <w:rFonts w:cs="Mangal"/>
      <w:szCs w:val="21"/>
    </w:rPr>
  </w:style>
  <w:style w:type="character" w:styleId="Hyperlink">
    <w:name w:val="Hyperlink"/>
    <w:basedOn w:val="DefaultParagraphFont"/>
    <w:uiPriority w:val="99"/>
    <w:rsid w:val="0013530E"/>
    <w:rPr>
      <w:rFonts w:cs="Times New Roman"/>
      <w:color w:val="0000FF"/>
      <w:u w:val="single"/>
    </w:rPr>
  </w:style>
  <w:style w:type="character" w:styleId="FollowedHyperlink">
    <w:name w:val="FollowedHyperlink"/>
    <w:basedOn w:val="DefaultParagraphFont"/>
    <w:uiPriority w:val="99"/>
    <w:semiHidden/>
    <w:rsid w:val="00AC78CB"/>
    <w:rPr>
      <w:rFonts w:cs="Times New Roman"/>
      <w:color w:val="800080"/>
      <w:u w:val="single"/>
    </w:rPr>
  </w:style>
  <w:style w:type="character" w:customStyle="1" w:styleId="notranslate">
    <w:name w:val="notranslate"/>
    <w:basedOn w:val="DefaultParagraphFont"/>
    <w:uiPriority w:val="99"/>
    <w:rsid w:val="003B06D5"/>
    <w:rPr>
      <w:rFonts w:cs="Times New Roman"/>
    </w:rPr>
  </w:style>
  <w:style w:type="paragraph" w:styleId="Title">
    <w:name w:val="Title"/>
    <w:basedOn w:val="Normal"/>
    <w:next w:val="Normal"/>
    <w:link w:val="TitleChar"/>
    <w:uiPriority w:val="99"/>
    <w:qFormat/>
    <w:rsid w:val="003E2779"/>
    <w:pPr>
      <w:pBdr>
        <w:bottom w:val="single" w:sz="8" w:space="4" w:color="4F81BD"/>
      </w:pBdr>
      <w:suppressAutoHyphens w:val="0"/>
      <w:spacing w:after="300" w:line="240" w:lineRule="auto"/>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99"/>
    <w:locked/>
    <w:rsid w:val="003E2779"/>
    <w:rPr>
      <w:rFonts w:ascii="Cambria" w:hAnsi="Cambria" w:cs="Times New Roman"/>
      <w:color w:val="17365D"/>
      <w:spacing w:val="5"/>
      <w:kern w:val="28"/>
      <w:sz w:val="52"/>
      <w:szCs w:val="52"/>
    </w:rPr>
  </w:style>
  <w:style w:type="table" w:styleId="TableGrid">
    <w:name w:val="Table Grid"/>
    <w:basedOn w:val="TableNormal"/>
    <w:uiPriority w:val="99"/>
    <w:rsid w:val="006D7F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E3B04"/>
    <w:rPr>
      <w:sz w:val="20"/>
      <w:szCs w:val="20"/>
    </w:rPr>
  </w:style>
  <w:style w:type="character" w:customStyle="1" w:styleId="FootnoteTextChar">
    <w:name w:val="Footnote Text Char"/>
    <w:basedOn w:val="DefaultParagraphFont"/>
    <w:link w:val="FootnoteText"/>
    <w:uiPriority w:val="99"/>
    <w:semiHidden/>
    <w:locked/>
    <w:rsid w:val="00486F14"/>
    <w:rPr>
      <w:rFonts w:cs="Mangal"/>
      <w:kern w:val="1"/>
      <w:sz w:val="18"/>
      <w:szCs w:val="18"/>
      <w:lang w:val="es-CO" w:eastAsia="hi-IN" w:bidi="hi-IN"/>
    </w:rPr>
  </w:style>
  <w:style w:type="character" w:styleId="FootnoteReference">
    <w:name w:val="footnote reference"/>
    <w:basedOn w:val="DefaultParagraphFont"/>
    <w:uiPriority w:val="99"/>
    <w:semiHidden/>
    <w:rsid w:val="001E3B04"/>
    <w:rPr>
      <w:rFonts w:cs="Times New Roman"/>
      <w:vertAlign w:val="superscript"/>
    </w:rPr>
  </w:style>
  <w:style w:type="character" w:styleId="CommentReference">
    <w:name w:val="annotation reference"/>
    <w:basedOn w:val="DefaultParagraphFont"/>
    <w:uiPriority w:val="99"/>
    <w:semiHidden/>
    <w:rsid w:val="00BA4A15"/>
    <w:rPr>
      <w:rFonts w:cs="Times New Roman"/>
      <w:sz w:val="16"/>
      <w:szCs w:val="16"/>
    </w:rPr>
  </w:style>
  <w:style w:type="paragraph" w:styleId="CommentText">
    <w:name w:val="annotation text"/>
    <w:basedOn w:val="Normal"/>
    <w:link w:val="CommentTextChar"/>
    <w:uiPriority w:val="99"/>
    <w:semiHidden/>
    <w:rsid w:val="00BA4A15"/>
    <w:rPr>
      <w:rFonts w:cs="Mangal"/>
      <w:sz w:val="20"/>
      <w:szCs w:val="18"/>
    </w:rPr>
  </w:style>
  <w:style w:type="character" w:customStyle="1" w:styleId="CommentTextChar">
    <w:name w:val="Comment Text Char"/>
    <w:basedOn w:val="DefaultParagraphFont"/>
    <w:link w:val="CommentText"/>
    <w:uiPriority w:val="99"/>
    <w:semiHidden/>
    <w:locked/>
    <w:rsid w:val="00BA4A15"/>
    <w:rPr>
      <w:rFonts w:cs="Mangal"/>
      <w:kern w:val="1"/>
      <w:sz w:val="18"/>
      <w:szCs w:val="18"/>
      <w:lang w:val="es-CO" w:eastAsia="hi-IN" w:bidi="hi-IN"/>
    </w:rPr>
  </w:style>
  <w:style w:type="paragraph" w:styleId="CommentSubject">
    <w:name w:val="annotation subject"/>
    <w:basedOn w:val="CommentText"/>
    <w:next w:val="CommentText"/>
    <w:link w:val="CommentSubjectChar"/>
    <w:uiPriority w:val="99"/>
    <w:semiHidden/>
    <w:rsid w:val="00BA4A15"/>
    <w:rPr>
      <w:b/>
      <w:bCs/>
    </w:rPr>
  </w:style>
  <w:style w:type="character" w:customStyle="1" w:styleId="CommentSubjectChar">
    <w:name w:val="Comment Subject Char"/>
    <w:basedOn w:val="CommentTextChar"/>
    <w:link w:val="CommentSubject"/>
    <w:uiPriority w:val="99"/>
    <w:semiHidden/>
    <w:locked/>
    <w:rsid w:val="00BA4A15"/>
    <w:rPr>
      <w:rFonts w:cs="Mangal"/>
      <w:b/>
      <w:bCs/>
      <w:kern w:val="1"/>
      <w:sz w:val="18"/>
      <w:szCs w:val="18"/>
      <w:lang w:val="es-CO" w:eastAsia="hi-IN" w:bidi="hi-IN"/>
    </w:rPr>
  </w:style>
  <w:style w:type="paragraph" w:styleId="Revision">
    <w:name w:val="Revision"/>
    <w:hidden/>
    <w:uiPriority w:val="99"/>
    <w:semiHidden/>
    <w:rsid w:val="00B75D74"/>
    <w:rPr>
      <w:rFonts w:cs="Mangal"/>
      <w:kern w:val="1"/>
      <w:sz w:val="24"/>
      <w:szCs w:val="21"/>
      <w:lang w:val="es-C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link w:val="Heading1Char"/>
    <w:uiPriority w:val="99"/>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BE5"/>
    <w:rPr>
      <w:rFonts w:ascii="Times New Roman" w:hAnsi="Times New Roman" w:cs="Times New Roman"/>
      <w:b/>
      <w:bCs/>
      <w:sz w:val="24"/>
      <w:szCs w:val="24"/>
    </w:rPr>
  </w:style>
  <w:style w:type="paragraph" w:styleId="BalloonText">
    <w:name w:val="Balloon Text"/>
    <w:basedOn w:val="Normal"/>
    <w:link w:val="BalloonTextChar1"/>
    <w:uiPriority w:val="99"/>
    <w:semiHidden/>
    <w:rsid w:val="00981BE5"/>
    <w:pPr>
      <w:spacing w:after="0"/>
    </w:pPr>
    <w:rPr>
      <w:rFonts w:ascii="Tahoma" w:hAnsi="Tahoma" w:cs="Tahoma"/>
      <w:sz w:val="16"/>
      <w:szCs w:val="16"/>
    </w:rPr>
  </w:style>
  <w:style w:type="character" w:customStyle="1" w:styleId="BalloonTextChar">
    <w:name w:val="Balloon Text Char"/>
    <w:basedOn w:val="DefaultParagraphFont"/>
    <w:uiPriority w:val="99"/>
    <w:locked/>
    <w:rsid w:val="00981BE5"/>
    <w:rPr>
      <w:rFonts w:ascii="Tahoma" w:hAnsi="Tahoma" w:cs="Tahoma"/>
      <w:sz w:val="16"/>
      <w:szCs w:val="16"/>
      <w:lang w:val="es-CO"/>
    </w:rPr>
  </w:style>
  <w:style w:type="character" w:customStyle="1" w:styleId="Absatz-Standardschriftart">
    <w:name w:val="Absatz-Standardschriftart"/>
    <w:uiPriority w:val="99"/>
    <w:rsid w:val="00981BE5"/>
  </w:style>
  <w:style w:type="character" w:customStyle="1" w:styleId="WW-Absatz-Standardschriftart">
    <w:name w:val="WW-Absatz-Standardschriftart"/>
    <w:uiPriority w:val="99"/>
    <w:rsid w:val="00981BE5"/>
  </w:style>
  <w:style w:type="character" w:customStyle="1" w:styleId="WW-Absatz-Standardschriftart1">
    <w:name w:val="WW-Absatz-Standardschriftart1"/>
    <w:uiPriority w:val="99"/>
    <w:rsid w:val="00981BE5"/>
  </w:style>
  <w:style w:type="character" w:customStyle="1" w:styleId="BodyText2Char">
    <w:name w:val="Body Text 2 Char"/>
    <w:basedOn w:val="DefaultParagraphFont"/>
    <w:uiPriority w:val="99"/>
    <w:rsid w:val="00981BE5"/>
    <w:rPr>
      <w:rFonts w:ascii="Arial" w:hAnsi="Arial" w:cs="Arial"/>
      <w:color w:val="000000"/>
      <w:sz w:val="20"/>
      <w:szCs w:val="20"/>
      <w:lang w:val="en-GB"/>
    </w:rPr>
  </w:style>
  <w:style w:type="character" w:customStyle="1" w:styleId="FooterChar">
    <w:name w:val="Footer Char"/>
    <w:basedOn w:val="DefaultParagraphFont"/>
    <w:uiPriority w:val="99"/>
    <w:rsid w:val="00981BE5"/>
    <w:rPr>
      <w:rFonts w:ascii="Times New Roman" w:hAnsi="Times New Roman" w:cs="Times New Roman"/>
      <w:sz w:val="24"/>
      <w:szCs w:val="24"/>
      <w:lang w:val="en-GB"/>
    </w:rPr>
  </w:style>
  <w:style w:type="character" w:customStyle="1" w:styleId="PageNumber1">
    <w:name w:val="Page Number1"/>
    <w:basedOn w:val="DefaultParagraphFont"/>
    <w:uiPriority w:val="99"/>
    <w:rsid w:val="00981BE5"/>
    <w:rPr>
      <w:rFonts w:cs="Times New Roman"/>
    </w:rPr>
  </w:style>
  <w:style w:type="character" w:styleId="Emphasis">
    <w:name w:val="Emphasis"/>
    <w:basedOn w:val="DefaultParagraphFont"/>
    <w:uiPriority w:val="99"/>
    <w:qFormat/>
    <w:rsid w:val="00981BE5"/>
    <w:rPr>
      <w:rFonts w:cs="Times New Roman"/>
      <w:i/>
      <w:iCs/>
    </w:rPr>
  </w:style>
  <w:style w:type="character" w:customStyle="1" w:styleId="HeaderChar">
    <w:name w:val="Header Char"/>
    <w:basedOn w:val="DefaultParagraphFont"/>
    <w:uiPriority w:val="99"/>
    <w:rsid w:val="00981BE5"/>
    <w:rPr>
      <w:rFonts w:ascii="Times New Roman" w:hAnsi="Times New Roman" w:cs="Times New Roman"/>
      <w:sz w:val="24"/>
      <w:szCs w:val="24"/>
      <w:lang w:val="es-CO"/>
    </w:rPr>
  </w:style>
  <w:style w:type="character" w:customStyle="1" w:styleId="ListLabel1">
    <w:name w:val="ListLabel 1"/>
    <w:uiPriority w:val="99"/>
    <w:rsid w:val="00981BE5"/>
    <w:rPr>
      <w:b/>
    </w:rPr>
  </w:style>
  <w:style w:type="character" w:customStyle="1" w:styleId="NumberingSymbols">
    <w:name w:val="Numbering Symbols"/>
    <w:uiPriority w:val="99"/>
    <w:rsid w:val="00981BE5"/>
  </w:style>
  <w:style w:type="paragraph" w:customStyle="1" w:styleId="Heading">
    <w:name w:val="Heading"/>
    <w:basedOn w:val="Normal"/>
    <w:next w:val="BodyText"/>
    <w:uiPriority w:val="99"/>
    <w:rsid w:val="00981BE5"/>
    <w:pPr>
      <w:keepNext/>
      <w:spacing w:before="240"/>
    </w:pPr>
    <w:rPr>
      <w:rFonts w:ascii="Arial" w:eastAsia="Microsoft YaHei" w:hAnsi="Arial" w:cs="Mangal"/>
      <w:sz w:val="28"/>
      <w:szCs w:val="28"/>
    </w:rPr>
  </w:style>
  <w:style w:type="paragraph" w:styleId="BodyText">
    <w:name w:val="Body Text"/>
    <w:basedOn w:val="Normal"/>
    <w:link w:val="BodyTextChar"/>
    <w:uiPriority w:val="99"/>
    <w:rsid w:val="00981BE5"/>
  </w:style>
  <w:style w:type="character" w:customStyle="1" w:styleId="BodyTextChar">
    <w:name w:val="Body Text Char"/>
    <w:basedOn w:val="DefaultParagraphFont"/>
    <w:link w:val="BodyText"/>
    <w:uiPriority w:val="99"/>
    <w:semiHidden/>
    <w:locked/>
    <w:rsid w:val="005C786C"/>
    <w:rPr>
      <w:rFonts w:cs="Mangal"/>
      <w:kern w:val="1"/>
      <w:sz w:val="21"/>
      <w:szCs w:val="21"/>
      <w:lang w:val="es-CO" w:eastAsia="hi-IN" w:bidi="hi-IN"/>
    </w:rPr>
  </w:style>
  <w:style w:type="paragraph" w:styleId="List">
    <w:name w:val="List"/>
    <w:basedOn w:val="BodyText"/>
    <w:uiPriority w:val="99"/>
    <w:rsid w:val="00981BE5"/>
    <w:rPr>
      <w:rFonts w:cs="Mangal"/>
    </w:rPr>
  </w:style>
  <w:style w:type="paragraph" w:styleId="Caption">
    <w:name w:val="caption"/>
    <w:basedOn w:val="Normal"/>
    <w:uiPriority w:val="99"/>
    <w:qFormat/>
    <w:rsid w:val="00981BE5"/>
    <w:pPr>
      <w:suppressLineNumbers/>
      <w:spacing w:before="120"/>
    </w:pPr>
    <w:rPr>
      <w:rFonts w:cs="Mangal"/>
      <w:i/>
      <w:iCs/>
    </w:rPr>
  </w:style>
  <w:style w:type="paragraph" w:customStyle="1" w:styleId="Index">
    <w:name w:val="Index"/>
    <w:basedOn w:val="Normal"/>
    <w:uiPriority w:val="99"/>
    <w:rsid w:val="00981BE5"/>
    <w:pPr>
      <w:suppressLineNumbers/>
    </w:pPr>
    <w:rPr>
      <w:rFonts w:cs="Mangal"/>
    </w:rPr>
  </w:style>
  <w:style w:type="paragraph" w:styleId="BodyText2">
    <w:name w:val="Body Text 2"/>
    <w:basedOn w:val="Normal"/>
    <w:link w:val="BodyText2Char1"/>
    <w:uiPriority w:val="99"/>
    <w:rsid w:val="00981BE5"/>
    <w:pPr>
      <w:spacing w:after="0" w:line="280" w:lineRule="atLeast"/>
      <w:ind w:right="-12"/>
    </w:pPr>
    <w:rPr>
      <w:rFonts w:ascii="Arial" w:hAnsi="Arial" w:cs="Arial"/>
      <w:color w:val="000000"/>
      <w:szCs w:val="20"/>
      <w:lang w:val="en-GB"/>
    </w:rPr>
  </w:style>
  <w:style w:type="character" w:customStyle="1" w:styleId="BodyText2Char1">
    <w:name w:val="Body Text 2 Char1"/>
    <w:basedOn w:val="DefaultParagraphFont"/>
    <w:link w:val="BodyText2"/>
    <w:uiPriority w:val="99"/>
    <w:semiHidden/>
    <w:locked/>
    <w:rsid w:val="005C786C"/>
    <w:rPr>
      <w:rFonts w:cs="Mangal"/>
      <w:kern w:val="1"/>
      <w:sz w:val="21"/>
      <w:szCs w:val="21"/>
      <w:lang w:val="es-CO" w:eastAsia="hi-IN" w:bidi="hi-IN"/>
    </w:rPr>
  </w:style>
  <w:style w:type="paragraph" w:styleId="Footer">
    <w:name w:val="footer"/>
    <w:basedOn w:val="Normal"/>
    <w:link w:val="FooterChar1"/>
    <w:uiPriority w:val="99"/>
    <w:rsid w:val="00981BE5"/>
    <w:pPr>
      <w:suppressLineNumbers/>
      <w:tabs>
        <w:tab w:val="center" w:pos="4153"/>
        <w:tab w:val="right" w:pos="8306"/>
      </w:tabs>
      <w:spacing w:after="0"/>
      <w:jc w:val="left"/>
    </w:pPr>
    <w:rPr>
      <w:lang w:val="en-GB"/>
    </w:rPr>
  </w:style>
  <w:style w:type="character" w:customStyle="1" w:styleId="FooterChar1">
    <w:name w:val="Footer Char1"/>
    <w:basedOn w:val="DefaultParagraphFont"/>
    <w:link w:val="Footer"/>
    <w:uiPriority w:val="99"/>
    <w:semiHidden/>
    <w:locked/>
    <w:rsid w:val="005C786C"/>
    <w:rPr>
      <w:rFonts w:cs="Mangal"/>
      <w:kern w:val="1"/>
      <w:sz w:val="21"/>
      <w:szCs w:val="21"/>
      <w:lang w:val="es-CO" w:eastAsia="hi-IN" w:bidi="hi-IN"/>
    </w:rPr>
  </w:style>
  <w:style w:type="character" w:customStyle="1" w:styleId="BalloonTextChar1">
    <w:name w:val="Balloon Text Char1"/>
    <w:basedOn w:val="DefaultParagraphFont"/>
    <w:link w:val="BalloonText"/>
    <w:uiPriority w:val="99"/>
    <w:semiHidden/>
    <w:locked/>
    <w:rsid w:val="005C786C"/>
    <w:rPr>
      <w:rFonts w:cs="Mangal"/>
      <w:kern w:val="1"/>
      <w:sz w:val="2"/>
      <w:lang w:val="es-CO" w:eastAsia="hi-IN" w:bidi="hi-IN"/>
    </w:rPr>
  </w:style>
  <w:style w:type="paragraph" w:styleId="Header">
    <w:name w:val="header"/>
    <w:basedOn w:val="Normal"/>
    <w:link w:val="HeaderChar1"/>
    <w:uiPriority w:val="99"/>
    <w:rsid w:val="00981BE5"/>
    <w:pPr>
      <w:suppressLineNumbers/>
      <w:tabs>
        <w:tab w:val="center" w:pos="4680"/>
        <w:tab w:val="right" w:pos="9360"/>
      </w:tabs>
      <w:spacing w:after="0"/>
    </w:pPr>
  </w:style>
  <w:style w:type="character" w:customStyle="1" w:styleId="HeaderChar1">
    <w:name w:val="Header Char1"/>
    <w:basedOn w:val="DefaultParagraphFont"/>
    <w:link w:val="Header"/>
    <w:uiPriority w:val="99"/>
    <w:semiHidden/>
    <w:locked/>
    <w:rsid w:val="005C786C"/>
    <w:rPr>
      <w:rFonts w:cs="Mangal"/>
      <w:kern w:val="1"/>
      <w:sz w:val="21"/>
      <w:szCs w:val="21"/>
      <w:lang w:val="es-CO" w:eastAsia="hi-IN" w:bidi="hi-IN"/>
    </w:rPr>
  </w:style>
  <w:style w:type="paragraph" w:customStyle="1" w:styleId="CharCharCharChar">
    <w:name w:val="Char Char Char Char"/>
    <w:basedOn w:val="Normal"/>
    <w:uiPriority w:val="99"/>
    <w:rsid w:val="00981BE5"/>
    <w:pPr>
      <w:spacing w:after="160" w:line="240" w:lineRule="exact"/>
      <w:jc w:val="left"/>
    </w:pPr>
    <w:rPr>
      <w:rFonts w:ascii="Tahoma" w:hAnsi="Tahoma"/>
      <w:szCs w:val="20"/>
      <w:lang w:val="en-US"/>
    </w:rPr>
  </w:style>
  <w:style w:type="paragraph" w:customStyle="1" w:styleId="Framecontents">
    <w:name w:val="Frame contents"/>
    <w:basedOn w:val="BodyText"/>
    <w:uiPriority w:val="99"/>
    <w:rsid w:val="00981BE5"/>
  </w:style>
  <w:style w:type="paragraph" w:customStyle="1" w:styleId="Enterinformationhere">
    <w:name w:val="Enter information here"/>
    <w:basedOn w:val="Normal"/>
    <w:uiPriority w:val="99"/>
    <w:rsid w:val="00981BE5"/>
    <w:pPr>
      <w:spacing w:after="0"/>
    </w:pPr>
  </w:style>
  <w:style w:type="paragraph" w:customStyle="1" w:styleId="TableContents">
    <w:name w:val="Table Contents"/>
    <w:basedOn w:val="Normal"/>
    <w:uiPriority w:val="99"/>
    <w:rsid w:val="00981BE5"/>
    <w:pPr>
      <w:suppressLineNumbers/>
    </w:pPr>
  </w:style>
  <w:style w:type="paragraph" w:customStyle="1" w:styleId="TableHeading">
    <w:name w:val="Table Heading"/>
    <w:basedOn w:val="TableContents"/>
    <w:uiPriority w:val="99"/>
    <w:rsid w:val="00981BE5"/>
    <w:pPr>
      <w:jc w:val="center"/>
    </w:pPr>
    <w:rPr>
      <w:b/>
      <w:bCs/>
    </w:rPr>
  </w:style>
  <w:style w:type="paragraph" w:styleId="NoSpacing">
    <w:name w:val="No Spacing"/>
    <w:uiPriority w:val="99"/>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99"/>
    <w:qFormat/>
    <w:rsid w:val="00832B88"/>
    <w:pPr>
      <w:ind w:left="720"/>
    </w:pPr>
    <w:rPr>
      <w:rFonts w:cs="Mangal"/>
      <w:szCs w:val="21"/>
    </w:rPr>
  </w:style>
  <w:style w:type="character" w:styleId="Hyperlink">
    <w:name w:val="Hyperlink"/>
    <w:basedOn w:val="DefaultParagraphFont"/>
    <w:uiPriority w:val="99"/>
    <w:rsid w:val="0013530E"/>
    <w:rPr>
      <w:rFonts w:cs="Times New Roman"/>
      <w:color w:val="0000FF"/>
      <w:u w:val="single"/>
    </w:rPr>
  </w:style>
  <w:style w:type="character" w:styleId="FollowedHyperlink">
    <w:name w:val="FollowedHyperlink"/>
    <w:basedOn w:val="DefaultParagraphFont"/>
    <w:uiPriority w:val="99"/>
    <w:semiHidden/>
    <w:rsid w:val="00AC78CB"/>
    <w:rPr>
      <w:rFonts w:cs="Times New Roman"/>
      <w:color w:val="800080"/>
      <w:u w:val="single"/>
    </w:rPr>
  </w:style>
  <w:style w:type="character" w:customStyle="1" w:styleId="notranslate">
    <w:name w:val="notranslate"/>
    <w:basedOn w:val="DefaultParagraphFont"/>
    <w:uiPriority w:val="99"/>
    <w:rsid w:val="003B06D5"/>
    <w:rPr>
      <w:rFonts w:cs="Times New Roman"/>
    </w:rPr>
  </w:style>
  <w:style w:type="paragraph" w:styleId="Title">
    <w:name w:val="Title"/>
    <w:basedOn w:val="Normal"/>
    <w:next w:val="Normal"/>
    <w:link w:val="TitleChar"/>
    <w:uiPriority w:val="99"/>
    <w:qFormat/>
    <w:rsid w:val="003E2779"/>
    <w:pPr>
      <w:pBdr>
        <w:bottom w:val="single" w:sz="8" w:space="4" w:color="4F81BD"/>
      </w:pBdr>
      <w:suppressAutoHyphens w:val="0"/>
      <w:spacing w:after="300" w:line="240" w:lineRule="auto"/>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99"/>
    <w:locked/>
    <w:rsid w:val="003E2779"/>
    <w:rPr>
      <w:rFonts w:ascii="Cambria" w:hAnsi="Cambria" w:cs="Times New Roman"/>
      <w:color w:val="17365D"/>
      <w:spacing w:val="5"/>
      <w:kern w:val="28"/>
      <w:sz w:val="52"/>
      <w:szCs w:val="52"/>
    </w:rPr>
  </w:style>
  <w:style w:type="table" w:styleId="TableGrid">
    <w:name w:val="Table Grid"/>
    <w:basedOn w:val="TableNormal"/>
    <w:uiPriority w:val="99"/>
    <w:rsid w:val="006D7F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E3B04"/>
    <w:rPr>
      <w:sz w:val="20"/>
      <w:szCs w:val="20"/>
    </w:rPr>
  </w:style>
  <w:style w:type="character" w:customStyle="1" w:styleId="FootnoteTextChar">
    <w:name w:val="Footnote Text Char"/>
    <w:basedOn w:val="DefaultParagraphFont"/>
    <w:link w:val="FootnoteText"/>
    <w:uiPriority w:val="99"/>
    <w:semiHidden/>
    <w:locked/>
    <w:rsid w:val="00486F14"/>
    <w:rPr>
      <w:rFonts w:cs="Mangal"/>
      <w:kern w:val="1"/>
      <w:sz w:val="18"/>
      <w:szCs w:val="18"/>
      <w:lang w:val="es-CO" w:eastAsia="hi-IN" w:bidi="hi-IN"/>
    </w:rPr>
  </w:style>
  <w:style w:type="character" w:styleId="FootnoteReference">
    <w:name w:val="footnote reference"/>
    <w:basedOn w:val="DefaultParagraphFont"/>
    <w:uiPriority w:val="99"/>
    <w:semiHidden/>
    <w:rsid w:val="001E3B04"/>
    <w:rPr>
      <w:rFonts w:cs="Times New Roman"/>
      <w:vertAlign w:val="superscript"/>
    </w:rPr>
  </w:style>
  <w:style w:type="character" w:styleId="CommentReference">
    <w:name w:val="annotation reference"/>
    <w:basedOn w:val="DefaultParagraphFont"/>
    <w:uiPriority w:val="99"/>
    <w:semiHidden/>
    <w:rsid w:val="00BA4A15"/>
    <w:rPr>
      <w:rFonts w:cs="Times New Roman"/>
      <w:sz w:val="16"/>
      <w:szCs w:val="16"/>
    </w:rPr>
  </w:style>
  <w:style w:type="paragraph" w:styleId="CommentText">
    <w:name w:val="annotation text"/>
    <w:basedOn w:val="Normal"/>
    <w:link w:val="CommentTextChar"/>
    <w:uiPriority w:val="99"/>
    <w:semiHidden/>
    <w:rsid w:val="00BA4A15"/>
    <w:rPr>
      <w:rFonts w:cs="Mangal"/>
      <w:sz w:val="20"/>
      <w:szCs w:val="18"/>
    </w:rPr>
  </w:style>
  <w:style w:type="character" w:customStyle="1" w:styleId="CommentTextChar">
    <w:name w:val="Comment Text Char"/>
    <w:basedOn w:val="DefaultParagraphFont"/>
    <w:link w:val="CommentText"/>
    <w:uiPriority w:val="99"/>
    <w:semiHidden/>
    <w:locked/>
    <w:rsid w:val="00BA4A15"/>
    <w:rPr>
      <w:rFonts w:cs="Mangal"/>
      <w:kern w:val="1"/>
      <w:sz w:val="18"/>
      <w:szCs w:val="18"/>
      <w:lang w:val="es-CO" w:eastAsia="hi-IN" w:bidi="hi-IN"/>
    </w:rPr>
  </w:style>
  <w:style w:type="paragraph" w:styleId="CommentSubject">
    <w:name w:val="annotation subject"/>
    <w:basedOn w:val="CommentText"/>
    <w:next w:val="CommentText"/>
    <w:link w:val="CommentSubjectChar"/>
    <w:uiPriority w:val="99"/>
    <w:semiHidden/>
    <w:rsid w:val="00BA4A15"/>
    <w:rPr>
      <w:b/>
      <w:bCs/>
    </w:rPr>
  </w:style>
  <w:style w:type="character" w:customStyle="1" w:styleId="CommentSubjectChar">
    <w:name w:val="Comment Subject Char"/>
    <w:basedOn w:val="CommentTextChar"/>
    <w:link w:val="CommentSubject"/>
    <w:uiPriority w:val="99"/>
    <w:semiHidden/>
    <w:locked/>
    <w:rsid w:val="00BA4A15"/>
    <w:rPr>
      <w:rFonts w:cs="Mangal"/>
      <w:b/>
      <w:bCs/>
      <w:kern w:val="1"/>
      <w:sz w:val="18"/>
      <w:szCs w:val="18"/>
      <w:lang w:val="es-CO" w:eastAsia="hi-IN" w:bidi="hi-IN"/>
    </w:rPr>
  </w:style>
  <w:style w:type="paragraph" w:styleId="Revision">
    <w:name w:val="Revision"/>
    <w:hidden/>
    <w:uiPriority w:val="99"/>
    <w:semiHidden/>
    <w:rsid w:val="00B75D74"/>
    <w:rPr>
      <w:rFonts w:cs="Mangal"/>
      <w:kern w:val="1"/>
      <w:sz w:val="24"/>
      <w:szCs w:val="21"/>
      <w:lang w:val="es-C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8177">
      <w:marLeft w:val="0"/>
      <w:marRight w:val="0"/>
      <w:marTop w:val="0"/>
      <w:marBottom w:val="0"/>
      <w:divBdr>
        <w:top w:val="none" w:sz="0" w:space="0" w:color="auto"/>
        <w:left w:val="none" w:sz="0" w:space="0" w:color="auto"/>
        <w:bottom w:val="none" w:sz="0" w:space="0" w:color="auto"/>
        <w:right w:val="none" w:sz="0" w:space="0" w:color="auto"/>
      </w:divBdr>
    </w:div>
    <w:div w:id="1747848178">
      <w:marLeft w:val="0"/>
      <w:marRight w:val="0"/>
      <w:marTop w:val="0"/>
      <w:marBottom w:val="0"/>
      <w:divBdr>
        <w:top w:val="none" w:sz="0" w:space="0" w:color="auto"/>
        <w:left w:val="none" w:sz="0" w:space="0" w:color="auto"/>
        <w:bottom w:val="none" w:sz="0" w:space="0" w:color="auto"/>
        <w:right w:val="none" w:sz="0" w:space="0" w:color="auto"/>
      </w:divBdr>
    </w:div>
    <w:div w:id="1747848180">
      <w:marLeft w:val="0"/>
      <w:marRight w:val="0"/>
      <w:marTop w:val="0"/>
      <w:marBottom w:val="0"/>
      <w:divBdr>
        <w:top w:val="none" w:sz="0" w:space="0" w:color="auto"/>
        <w:left w:val="none" w:sz="0" w:space="0" w:color="auto"/>
        <w:bottom w:val="none" w:sz="0" w:space="0" w:color="auto"/>
        <w:right w:val="none" w:sz="0" w:space="0" w:color="auto"/>
      </w:divBdr>
    </w:div>
    <w:div w:id="1747848183">
      <w:marLeft w:val="0"/>
      <w:marRight w:val="0"/>
      <w:marTop w:val="0"/>
      <w:marBottom w:val="0"/>
      <w:divBdr>
        <w:top w:val="none" w:sz="0" w:space="0" w:color="auto"/>
        <w:left w:val="none" w:sz="0" w:space="0" w:color="auto"/>
        <w:bottom w:val="none" w:sz="0" w:space="0" w:color="auto"/>
        <w:right w:val="none" w:sz="0" w:space="0" w:color="auto"/>
      </w:divBdr>
    </w:div>
    <w:div w:id="1747848185">
      <w:marLeft w:val="0"/>
      <w:marRight w:val="0"/>
      <w:marTop w:val="0"/>
      <w:marBottom w:val="0"/>
      <w:divBdr>
        <w:top w:val="none" w:sz="0" w:space="0" w:color="auto"/>
        <w:left w:val="none" w:sz="0" w:space="0" w:color="auto"/>
        <w:bottom w:val="none" w:sz="0" w:space="0" w:color="auto"/>
        <w:right w:val="none" w:sz="0" w:space="0" w:color="auto"/>
      </w:divBdr>
    </w:div>
    <w:div w:id="1747848186">
      <w:marLeft w:val="0"/>
      <w:marRight w:val="0"/>
      <w:marTop w:val="0"/>
      <w:marBottom w:val="0"/>
      <w:divBdr>
        <w:top w:val="none" w:sz="0" w:space="0" w:color="auto"/>
        <w:left w:val="none" w:sz="0" w:space="0" w:color="auto"/>
        <w:bottom w:val="none" w:sz="0" w:space="0" w:color="auto"/>
        <w:right w:val="none" w:sz="0" w:space="0" w:color="auto"/>
      </w:divBdr>
    </w:div>
    <w:div w:id="1747848187">
      <w:marLeft w:val="0"/>
      <w:marRight w:val="0"/>
      <w:marTop w:val="0"/>
      <w:marBottom w:val="0"/>
      <w:divBdr>
        <w:top w:val="none" w:sz="0" w:space="0" w:color="auto"/>
        <w:left w:val="none" w:sz="0" w:space="0" w:color="auto"/>
        <w:bottom w:val="none" w:sz="0" w:space="0" w:color="auto"/>
        <w:right w:val="none" w:sz="0" w:space="0" w:color="auto"/>
      </w:divBdr>
    </w:div>
    <w:div w:id="1747848188">
      <w:marLeft w:val="0"/>
      <w:marRight w:val="0"/>
      <w:marTop w:val="0"/>
      <w:marBottom w:val="0"/>
      <w:divBdr>
        <w:top w:val="none" w:sz="0" w:space="0" w:color="auto"/>
        <w:left w:val="none" w:sz="0" w:space="0" w:color="auto"/>
        <w:bottom w:val="none" w:sz="0" w:space="0" w:color="auto"/>
        <w:right w:val="none" w:sz="0" w:space="0" w:color="auto"/>
      </w:divBdr>
    </w:div>
    <w:div w:id="1747848189">
      <w:marLeft w:val="0"/>
      <w:marRight w:val="0"/>
      <w:marTop w:val="0"/>
      <w:marBottom w:val="0"/>
      <w:divBdr>
        <w:top w:val="none" w:sz="0" w:space="0" w:color="auto"/>
        <w:left w:val="none" w:sz="0" w:space="0" w:color="auto"/>
        <w:bottom w:val="none" w:sz="0" w:space="0" w:color="auto"/>
        <w:right w:val="none" w:sz="0" w:space="0" w:color="auto"/>
      </w:divBdr>
    </w:div>
    <w:div w:id="1747848190">
      <w:marLeft w:val="0"/>
      <w:marRight w:val="0"/>
      <w:marTop w:val="0"/>
      <w:marBottom w:val="0"/>
      <w:divBdr>
        <w:top w:val="none" w:sz="0" w:space="0" w:color="auto"/>
        <w:left w:val="none" w:sz="0" w:space="0" w:color="auto"/>
        <w:bottom w:val="none" w:sz="0" w:space="0" w:color="auto"/>
        <w:right w:val="none" w:sz="0" w:space="0" w:color="auto"/>
      </w:divBdr>
    </w:div>
    <w:div w:id="1747848191">
      <w:marLeft w:val="0"/>
      <w:marRight w:val="0"/>
      <w:marTop w:val="0"/>
      <w:marBottom w:val="0"/>
      <w:divBdr>
        <w:top w:val="none" w:sz="0" w:space="0" w:color="auto"/>
        <w:left w:val="none" w:sz="0" w:space="0" w:color="auto"/>
        <w:bottom w:val="none" w:sz="0" w:space="0" w:color="auto"/>
        <w:right w:val="none" w:sz="0" w:space="0" w:color="auto"/>
      </w:divBdr>
    </w:div>
    <w:div w:id="1747848192">
      <w:marLeft w:val="0"/>
      <w:marRight w:val="0"/>
      <w:marTop w:val="0"/>
      <w:marBottom w:val="0"/>
      <w:divBdr>
        <w:top w:val="none" w:sz="0" w:space="0" w:color="auto"/>
        <w:left w:val="none" w:sz="0" w:space="0" w:color="auto"/>
        <w:bottom w:val="none" w:sz="0" w:space="0" w:color="auto"/>
        <w:right w:val="none" w:sz="0" w:space="0" w:color="auto"/>
      </w:divBdr>
    </w:div>
    <w:div w:id="1747848193">
      <w:marLeft w:val="0"/>
      <w:marRight w:val="0"/>
      <w:marTop w:val="0"/>
      <w:marBottom w:val="0"/>
      <w:divBdr>
        <w:top w:val="none" w:sz="0" w:space="0" w:color="auto"/>
        <w:left w:val="none" w:sz="0" w:space="0" w:color="auto"/>
        <w:bottom w:val="none" w:sz="0" w:space="0" w:color="auto"/>
        <w:right w:val="none" w:sz="0" w:space="0" w:color="auto"/>
      </w:divBdr>
    </w:div>
    <w:div w:id="1747848195">
      <w:marLeft w:val="0"/>
      <w:marRight w:val="0"/>
      <w:marTop w:val="0"/>
      <w:marBottom w:val="0"/>
      <w:divBdr>
        <w:top w:val="none" w:sz="0" w:space="0" w:color="auto"/>
        <w:left w:val="none" w:sz="0" w:space="0" w:color="auto"/>
        <w:bottom w:val="none" w:sz="0" w:space="0" w:color="auto"/>
        <w:right w:val="none" w:sz="0" w:space="0" w:color="auto"/>
      </w:divBdr>
    </w:div>
    <w:div w:id="1747848196">
      <w:marLeft w:val="0"/>
      <w:marRight w:val="0"/>
      <w:marTop w:val="0"/>
      <w:marBottom w:val="0"/>
      <w:divBdr>
        <w:top w:val="none" w:sz="0" w:space="0" w:color="auto"/>
        <w:left w:val="none" w:sz="0" w:space="0" w:color="auto"/>
        <w:bottom w:val="none" w:sz="0" w:space="0" w:color="auto"/>
        <w:right w:val="none" w:sz="0" w:space="0" w:color="auto"/>
      </w:divBdr>
    </w:div>
    <w:div w:id="1747848199">
      <w:marLeft w:val="0"/>
      <w:marRight w:val="0"/>
      <w:marTop w:val="0"/>
      <w:marBottom w:val="0"/>
      <w:divBdr>
        <w:top w:val="none" w:sz="0" w:space="0" w:color="auto"/>
        <w:left w:val="none" w:sz="0" w:space="0" w:color="auto"/>
        <w:bottom w:val="none" w:sz="0" w:space="0" w:color="auto"/>
        <w:right w:val="none" w:sz="0" w:space="0" w:color="auto"/>
      </w:divBdr>
      <w:divsChild>
        <w:div w:id="1747848208">
          <w:marLeft w:val="0"/>
          <w:marRight w:val="0"/>
          <w:marTop w:val="0"/>
          <w:marBottom w:val="0"/>
          <w:divBdr>
            <w:top w:val="none" w:sz="0" w:space="0" w:color="auto"/>
            <w:left w:val="none" w:sz="0" w:space="0" w:color="auto"/>
            <w:bottom w:val="none" w:sz="0" w:space="0" w:color="auto"/>
            <w:right w:val="none" w:sz="0" w:space="0" w:color="auto"/>
          </w:divBdr>
          <w:divsChild>
            <w:div w:id="1747848227">
              <w:marLeft w:val="0"/>
              <w:marRight w:val="0"/>
              <w:marTop w:val="0"/>
              <w:marBottom w:val="0"/>
              <w:divBdr>
                <w:top w:val="none" w:sz="0" w:space="0" w:color="auto"/>
                <w:left w:val="none" w:sz="0" w:space="0" w:color="auto"/>
                <w:bottom w:val="none" w:sz="0" w:space="0" w:color="auto"/>
                <w:right w:val="none" w:sz="0" w:space="0" w:color="auto"/>
              </w:divBdr>
              <w:divsChild>
                <w:div w:id="1747848194">
                  <w:marLeft w:val="0"/>
                  <w:marRight w:val="0"/>
                  <w:marTop w:val="0"/>
                  <w:marBottom w:val="0"/>
                  <w:divBdr>
                    <w:top w:val="none" w:sz="0" w:space="0" w:color="auto"/>
                    <w:left w:val="none" w:sz="0" w:space="0" w:color="auto"/>
                    <w:bottom w:val="none" w:sz="0" w:space="0" w:color="auto"/>
                    <w:right w:val="none" w:sz="0" w:space="0" w:color="auto"/>
                  </w:divBdr>
                  <w:divsChild>
                    <w:div w:id="1747848176">
                      <w:marLeft w:val="0"/>
                      <w:marRight w:val="0"/>
                      <w:marTop w:val="0"/>
                      <w:marBottom w:val="0"/>
                      <w:divBdr>
                        <w:top w:val="none" w:sz="0" w:space="0" w:color="auto"/>
                        <w:left w:val="none" w:sz="0" w:space="0" w:color="auto"/>
                        <w:bottom w:val="none" w:sz="0" w:space="0" w:color="auto"/>
                        <w:right w:val="none" w:sz="0" w:space="0" w:color="auto"/>
                      </w:divBdr>
                      <w:divsChild>
                        <w:div w:id="1747848206">
                          <w:marLeft w:val="0"/>
                          <w:marRight w:val="0"/>
                          <w:marTop w:val="0"/>
                          <w:marBottom w:val="0"/>
                          <w:divBdr>
                            <w:top w:val="none" w:sz="0" w:space="0" w:color="auto"/>
                            <w:left w:val="none" w:sz="0" w:space="0" w:color="auto"/>
                            <w:bottom w:val="none" w:sz="0" w:space="0" w:color="auto"/>
                            <w:right w:val="none" w:sz="0" w:space="0" w:color="auto"/>
                          </w:divBdr>
                          <w:divsChild>
                            <w:div w:id="1747848203">
                              <w:marLeft w:val="0"/>
                              <w:marRight w:val="0"/>
                              <w:marTop w:val="0"/>
                              <w:marBottom w:val="0"/>
                              <w:divBdr>
                                <w:top w:val="none" w:sz="0" w:space="0" w:color="auto"/>
                                <w:left w:val="none" w:sz="0" w:space="0" w:color="auto"/>
                                <w:bottom w:val="none" w:sz="0" w:space="0" w:color="auto"/>
                                <w:right w:val="none" w:sz="0" w:space="0" w:color="auto"/>
                              </w:divBdr>
                              <w:divsChild>
                                <w:div w:id="1747848197">
                                  <w:marLeft w:val="0"/>
                                  <w:marRight w:val="0"/>
                                  <w:marTop w:val="0"/>
                                  <w:marBottom w:val="0"/>
                                  <w:divBdr>
                                    <w:top w:val="single" w:sz="6" w:space="0" w:color="F5F5F5"/>
                                    <w:left w:val="single" w:sz="6" w:space="0" w:color="F5F5F5"/>
                                    <w:bottom w:val="single" w:sz="6" w:space="0" w:color="F5F5F5"/>
                                    <w:right w:val="single" w:sz="6" w:space="0" w:color="F5F5F5"/>
                                  </w:divBdr>
                                  <w:divsChild>
                                    <w:div w:id="1747848179">
                                      <w:marLeft w:val="0"/>
                                      <w:marRight w:val="0"/>
                                      <w:marTop w:val="0"/>
                                      <w:marBottom w:val="0"/>
                                      <w:divBdr>
                                        <w:top w:val="none" w:sz="0" w:space="0" w:color="auto"/>
                                        <w:left w:val="none" w:sz="0" w:space="0" w:color="auto"/>
                                        <w:bottom w:val="none" w:sz="0" w:space="0" w:color="auto"/>
                                        <w:right w:val="none" w:sz="0" w:space="0" w:color="auto"/>
                                      </w:divBdr>
                                      <w:divsChild>
                                        <w:div w:id="17478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848200">
      <w:marLeft w:val="0"/>
      <w:marRight w:val="0"/>
      <w:marTop w:val="0"/>
      <w:marBottom w:val="0"/>
      <w:divBdr>
        <w:top w:val="none" w:sz="0" w:space="0" w:color="auto"/>
        <w:left w:val="none" w:sz="0" w:space="0" w:color="auto"/>
        <w:bottom w:val="none" w:sz="0" w:space="0" w:color="auto"/>
        <w:right w:val="none" w:sz="0" w:space="0" w:color="auto"/>
      </w:divBdr>
    </w:div>
    <w:div w:id="1747848201">
      <w:marLeft w:val="0"/>
      <w:marRight w:val="0"/>
      <w:marTop w:val="0"/>
      <w:marBottom w:val="0"/>
      <w:divBdr>
        <w:top w:val="none" w:sz="0" w:space="0" w:color="auto"/>
        <w:left w:val="none" w:sz="0" w:space="0" w:color="auto"/>
        <w:bottom w:val="none" w:sz="0" w:space="0" w:color="auto"/>
        <w:right w:val="none" w:sz="0" w:space="0" w:color="auto"/>
      </w:divBdr>
    </w:div>
    <w:div w:id="1747848202">
      <w:marLeft w:val="0"/>
      <w:marRight w:val="0"/>
      <w:marTop w:val="0"/>
      <w:marBottom w:val="0"/>
      <w:divBdr>
        <w:top w:val="none" w:sz="0" w:space="0" w:color="auto"/>
        <w:left w:val="none" w:sz="0" w:space="0" w:color="auto"/>
        <w:bottom w:val="none" w:sz="0" w:space="0" w:color="auto"/>
        <w:right w:val="none" w:sz="0" w:space="0" w:color="auto"/>
      </w:divBdr>
      <w:divsChild>
        <w:div w:id="1747848226">
          <w:marLeft w:val="0"/>
          <w:marRight w:val="0"/>
          <w:marTop w:val="0"/>
          <w:marBottom w:val="0"/>
          <w:divBdr>
            <w:top w:val="none" w:sz="0" w:space="0" w:color="auto"/>
            <w:left w:val="none" w:sz="0" w:space="0" w:color="auto"/>
            <w:bottom w:val="none" w:sz="0" w:space="0" w:color="auto"/>
            <w:right w:val="none" w:sz="0" w:space="0" w:color="auto"/>
          </w:divBdr>
          <w:divsChild>
            <w:div w:id="1747848224">
              <w:marLeft w:val="0"/>
              <w:marRight w:val="0"/>
              <w:marTop w:val="0"/>
              <w:marBottom w:val="0"/>
              <w:divBdr>
                <w:top w:val="none" w:sz="0" w:space="0" w:color="auto"/>
                <w:left w:val="none" w:sz="0" w:space="0" w:color="auto"/>
                <w:bottom w:val="none" w:sz="0" w:space="0" w:color="auto"/>
                <w:right w:val="none" w:sz="0" w:space="0" w:color="auto"/>
              </w:divBdr>
              <w:divsChild>
                <w:div w:id="1747848228">
                  <w:marLeft w:val="0"/>
                  <w:marRight w:val="0"/>
                  <w:marTop w:val="0"/>
                  <w:marBottom w:val="0"/>
                  <w:divBdr>
                    <w:top w:val="none" w:sz="0" w:space="0" w:color="auto"/>
                    <w:left w:val="none" w:sz="0" w:space="0" w:color="auto"/>
                    <w:bottom w:val="none" w:sz="0" w:space="0" w:color="auto"/>
                    <w:right w:val="none" w:sz="0" w:space="0" w:color="auto"/>
                  </w:divBdr>
                  <w:divsChild>
                    <w:div w:id="1747848204">
                      <w:marLeft w:val="0"/>
                      <w:marRight w:val="0"/>
                      <w:marTop w:val="0"/>
                      <w:marBottom w:val="0"/>
                      <w:divBdr>
                        <w:top w:val="none" w:sz="0" w:space="0" w:color="auto"/>
                        <w:left w:val="none" w:sz="0" w:space="0" w:color="auto"/>
                        <w:bottom w:val="none" w:sz="0" w:space="0" w:color="auto"/>
                        <w:right w:val="none" w:sz="0" w:space="0" w:color="auto"/>
                      </w:divBdr>
                      <w:divsChild>
                        <w:div w:id="1747848182">
                          <w:marLeft w:val="0"/>
                          <w:marRight w:val="0"/>
                          <w:marTop w:val="0"/>
                          <w:marBottom w:val="0"/>
                          <w:divBdr>
                            <w:top w:val="none" w:sz="0" w:space="0" w:color="auto"/>
                            <w:left w:val="none" w:sz="0" w:space="0" w:color="auto"/>
                            <w:bottom w:val="none" w:sz="0" w:space="0" w:color="auto"/>
                            <w:right w:val="none" w:sz="0" w:space="0" w:color="auto"/>
                          </w:divBdr>
                          <w:divsChild>
                            <w:div w:id="1747848230">
                              <w:marLeft w:val="0"/>
                              <w:marRight w:val="0"/>
                              <w:marTop w:val="0"/>
                              <w:marBottom w:val="0"/>
                              <w:divBdr>
                                <w:top w:val="none" w:sz="0" w:space="0" w:color="auto"/>
                                <w:left w:val="none" w:sz="0" w:space="0" w:color="auto"/>
                                <w:bottom w:val="none" w:sz="0" w:space="0" w:color="auto"/>
                                <w:right w:val="none" w:sz="0" w:space="0" w:color="auto"/>
                              </w:divBdr>
                              <w:divsChild>
                                <w:div w:id="1747848210">
                                  <w:marLeft w:val="0"/>
                                  <w:marRight w:val="0"/>
                                  <w:marTop w:val="0"/>
                                  <w:marBottom w:val="0"/>
                                  <w:divBdr>
                                    <w:top w:val="single" w:sz="6" w:space="0" w:color="F5F5F5"/>
                                    <w:left w:val="single" w:sz="6" w:space="0" w:color="F5F5F5"/>
                                    <w:bottom w:val="single" w:sz="6" w:space="0" w:color="F5F5F5"/>
                                    <w:right w:val="single" w:sz="6" w:space="0" w:color="F5F5F5"/>
                                  </w:divBdr>
                                  <w:divsChild>
                                    <w:div w:id="1747848184">
                                      <w:marLeft w:val="0"/>
                                      <w:marRight w:val="0"/>
                                      <w:marTop w:val="0"/>
                                      <w:marBottom w:val="0"/>
                                      <w:divBdr>
                                        <w:top w:val="none" w:sz="0" w:space="0" w:color="auto"/>
                                        <w:left w:val="none" w:sz="0" w:space="0" w:color="auto"/>
                                        <w:bottom w:val="none" w:sz="0" w:space="0" w:color="auto"/>
                                        <w:right w:val="none" w:sz="0" w:space="0" w:color="auto"/>
                                      </w:divBdr>
                                      <w:divsChild>
                                        <w:div w:id="17478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848205">
      <w:marLeft w:val="0"/>
      <w:marRight w:val="0"/>
      <w:marTop w:val="0"/>
      <w:marBottom w:val="0"/>
      <w:divBdr>
        <w:top w:val="none" w:sz="0" w:space="0" w:color="auto"/>
        <w:left w:val="none" w:sz="0" w:space="0" w:color="auto"/>
        <w:bottom w:val="none" w:sz="0" w:space="0" w:color="auto"/>
        <w:right w:val="none" w:sz="0" w:space="0" w:color="auto"/>
      </w:divBdr>
    </w:div>
    <w:div w:id="1747848207">
      <w:marLeft w:val="0"/>
      <w:marRight w:val="0"/>
      <w:marTop w:val="0"/>
      <w:marBottom w:val="0"/>
      <w:divBdr>
        <w:top w:val="none" w:sz="0" w:space="0" w:color="auto"/>
        <w:left w:val="none" w:sz="0" w:space="0" w:color="auto"/>
        <w:bottom w:val="none" w:sz="0" w:space="0" w:color="auto"/>
        <w:right w:val="none" w:sz="0" w:space="0" w:color="auto"/>
      </w:divBdr>
    </w:div>
    <w:div w:id="1747848209">
      <w:marLeft w:val="0"/>
      <w:marRight w:val="0"/>
      <w:marTop w:val="0"/>
      <w:marBottom w:val="0"/>
      <w:divBdr>
        <w:top w:val="none" w:sz="0" w:space="0" w:color="auto"/>
        <w:left w:val="none" w:sz="0" w:space="0" w:color="auto"/>
        <w:bottom w:val="none" w:sz="0" w:space="0" w:color="auto"/>
        <w:right w:val="none" w:sz="0" w:space="0" w:color="auto"/>
      </w:divBdr>
    </w:div>
    <w:div w:id="1747848211">
      <w:marLeft w:val="0"/>
      <w:marRight w:val="0"/>
      <w:marTop w:val="0"/>
      <w:marBottom w:val="0"/>
      <w:divBdr>
        <w:top w:val="none" w:sz="0" w:space="0" w:color="auto"/>
        <w:left w:val="none" w:sz="0" w:space="0" w:color="auto"/>
        <w:bottom w:val="none" w:sz="0" w:space="0" w:color="auto"/>
        <w:right w:val="none" w:sz="0" w:space="0" w:color="auto"/>
      </w:divBdr>
    </w:div>
    <w:div w:id="1747848212">
      <w:marLeft w:val="0"/>
      <w:marRight w:val="0"/>
      <w:marTop w:val="0"/>
      <w:marBottom w:val="0"/>
      <w:divBdr>
        <w:top w:val="none" w:sz="0" w:space="0" w:color="auto"/>
        <w:left w:val="none" w:sz="0" w:space="0" w:color="auto"/>
        <w:bottom w:val="none" w:sz="0" w:space="0" w:color="auto"/>
        <w:right w:val="none" w:sz="0" w:space="0" w:color="auto"/>
      </w:divBdr>
    </w:div>
    <w:div w:id="1747848213">
      <w:marLeft w:val="0"/>
      <w:marRight w:val="0"/>
      <w:marTop w:val="0"/>
      <w:marBottom w:val="0"/>
      <w:divBdr>
        <w:top w:val="none" w:sz="0" w:space="0" w:color="auto"/>
        <w:left w:val="none" w:sz="0" w:space="0" w:color="auto"/>
        <w:bottom w:val="none" w:sz="0" w:space="0" w:color="auto"/>
        <w:right w:val="none" w:sz="0" w:space="0" w:color="auto"/>
      </w:divBdr>
    </w:div>
    <w:div w:id="1747848214">
      <w:marLeft w:val="0"/>
      <w:marRight w:val="0"/>
      <w:marTop w:val="0"/>
      <w:marBottom w:val="0"/>
      <w:divBdr>
        <w:top w:val="none" w:sz="0" w:space="0" w:color="auto"/>
        <w:left w:val="none" w:sz="0" w:space="0" w:color="auto"/>
        <w:bottom w:val="none" w:sz="0" w:space="0" w:color="auto"/>
        <w:right w:val="none" w:sz="0" w:space="0" w:color="auto"/>
      </w:divBdr>
    </w:div>
    <w:div w:id="1747848215">
      <w:marLeft w:val="0"/>
      <w:marRight w:val="0"/>
      <w:marTop w:val="0"/>
      <w:marBottom w:val="0"/>
      <w:divBdr>
        <w:top w:val="none" w:sz="0" w:space="0" w:color="auto"/>
        <w:left w:val="none" w:sz="0" w:space="0" w:color="auto"/>
        <w:bottom w:val="none" w:sz="0" w:space="0" w:color="auto"/>
        <w:right w:val="none" w:sz="0" w:space="0" w:color="auto"/>
      </w:divBdr>
    </w:div>
    <w:div w:id="1747848216">
      <w:marLeft w:val="0"/>
      <w:marRight w:val="0"/>
      <w:marTop w:val="0"/>
      <w:marBottom w:val="0"/>
      <w:divBdr>
        <w:top w:val="none" w:sz="0" w:space="0" w:color="auto"/>
        <w:left w:val="none" w:sz="0" w:space="0" w:color="auto"/>
        <w:bottom w:val="none" w:sz="0" w:space="0" w:color="auto"/>
        <w:right w:val="none" w:sz="0" w:space="0" w:color="auto"/>
      </w:divBdr>
    </w:div>
    <w:div w:id="1747848217">
      <w:marLeft w:val="0"/>
      <w:marRight w:val="0"/>
      <w:marTop w:val="0"/>
      <w:marBottom w:val="0"/>
      <w:divBdr>
        <w:top w:val="none" w:sz="0" w:space="0" w:color="auto"/>
        <w:left w:val="none" w:sz="0" w:space="0" w:color="auto"/>
        <w:bottom w:val="none" w:sz="0" w:space="0" w:color="auto"/>
        <w:right w:val="none" w:sz="0" w:space="0" w:color="auto"/>
      </w:divBdr>
    </w:div>
    <w:div w:id="1747848218">
      <w:marLeft w:val="0"/>
      <w:marRight w:val="0"/>
      <w:marTop w:val="0"/>
      <w:marBottom w:val="0"/>
      <w:divBdr>
        <w:top w:val="none" w:sz="0" w:space="0" w:color="auto"/>
        <w:left w:val="none" w:sz="0" w:space="0" w:color="auto"/>
        <w:bottom w:val="none" w:sz="0" w:space="0" w:color="auto"/>
        <w:right w:val="none" w:sz="0" w:space="0" w:color="auto"/>
      </w:divBdr>
    </w:div>
    <w:div w:id="1747848219">
      <w:marLeft w:val="0"/>
      <w:marRight w:val="0"/>
      <w:marTop w:val="0"/>
      <w:marBottom w:val="0"/>
      <w:divBdr>
        <w:top w:val="none" w:sz="0" w:space="0" w:color="auto"/>
        <w:left w:val="none" w:sz="0" w:space="0" w:color="auto"/>
        <w:bottom w:val="none" w:sz="0" w:space="0" w:color="auto"/>
        <w:right w:val="none" w:sz="0" w:space="0" w:color="auto"/>
      </w:divBdr>
    </w:div>
    <w:div w:id="1747848220">
      <w:marLeft w:val="0"/>
      <w:marRight w:val="0"/>
      <w:marTop w:val="0"/>
      <w:marBottom w:val="0"/>
      <w:divBdr>
        <w:top w:val="none" w:sz="0" w:space="0" w:color="auto"/>
        <w:left w:val="none" w:sz="0" w:space="0" w:color="auto"/>
        <w:bottom w:val="none" w:sz="0" w:space="0" w:color="auto"/>
        <w:right w:val="none" w:sz="0" w:space="0" w:color="auto"/>
      </w:divBdr>
    </w:div>
    <w:div w:id="1747848221">
      <w:marLeft w:val="0"/>
      <w:marRight w:val="0"/>
      <w:marTop w:val="0"/>
      <w:marBottom w:val="0"/>
      <w:divBdr>
        <w:top w:val="none" w:sz="0" w:space="0" w:color="auto"/>
        <w:left w:val="none" w:sz="0" w:space="0" w:color="auto"/>
        <w:bottom w:val="none" w:sz="0" w:space="0" w:color="auto"/>
        <w:right w:val="none" w:sz="0" w:space="0" w:color="auto"/>
      </w:divBdr>
      <w:divsChild>
        <w:div w:id="1747848198">
          <w:marLeft w:val="0"/>
          <w:marRight w:val="0"/>
          <w:marTop w:val="450"/>
          <w:marBottom w:val="0"/>
          <w:divBdr>
            <w:top w:val="none" w:sz="0" w:space="0" w:color="auto"/>
            <w:left w:val="none" w:sz="0" w:space="0" w:color="auto"/>
            <w:bottom w:val="single" w:sz="6" w:space="0" w:color="999999"/>
            <w:right w:val="none" w:sz="0" w:space="0" w:color="auto"/>
          </w:divBdr>
        </w:div>
      </w:divsChild>
    </w:div>
    <w:div w:id="1747848222">
      <w:marLeft w:val="0"/>
      <w:marRight w:val="0"/>
      <w:marTop w:val="0"/>
      <w:marBottom w:val="0"/>
      <w:divBdr>
        <w:top w:val="none" w:sz="0" w:space="0" w:color="auto"/>
        <w:left w:val="none" w:sz="0" w:space="0" w:color="auto"/>
        <w:bottom w:val="none" w:sz="0" w:space="0" w:color="auto"/>
        <w:right w:val="none" w:sz="0" w:space="0" w:color="auto"/>
      </w:divBdr>
    </w:div>
    <w:div w:id="1747848223">
      <w:marLeft w:val="0"/>
      <w:marRight w:val="0"/>
      <w:marTop w:val="0"/>
      <w:marBottom w:val="0"/>
      <w:divBdr>
        <w:top w:val="none" w:sz="0" w:space="0" w:color="auto"/>
        <w:left w:val="none" w:sz="0" w:space="0" w:color="auto"/>
        <w:bottom w:val="none" w:sz="0" w:space="0" w:color="auto"/>
        <w:right w:val="none" w:sz="0" w:space="0" w:color="auto"/>
      </w:divBdr>
    </w:div>
    <w:div w:id="1747848225">
      <w:marLeft w:val="0"/>
      <w:marRight w:val="0"/>
      <w:marTop w:val="0"/>
      <w:marBottom w:val="0"/>
      <w:divBdr>
        <w:top w:val="none" w:sz="0" w:space="0" w:color="auto"/>
        <w:left w:val="none" w:sz="0" w:space="0" w:color="auto"/>
        <w:bottom w:val="none" w:sz="0" w:space="0" w:color="auto"/>
        <w:right w:val="none" w:sz="0" w:space="0" w:color="auto"/>
      </w:divBdr>
    </w:div>
    <w:div w:id="1747848229">
      <w:marLeft w:val="0"/>
      <w:marRight w:val="0"/>
      <w:marTop w:val="0"/>
      <w:marBottom w:val="0"/>
      <w:divBdr>
        <w:top w:val="none" w:sz="0" w:space="0" w:color="auto"/>
        <w:left w:val="none" w:sz="0" w:space="0" w:color="auto"/>
        <w:bottom w:val="none" w:sz="0" w:space="0" w:color="auto"/>
        <w:right w:val="none" w:sz="0" w:space="0" w:color="auto"/>
      </w:divBdr>
    </w:div>
    <w:div w:id="1747848231">
      <w:marLeft w:val="0"/>
      <w:marRight w:val="0"/>
      <w:marTop w:val="0"/>
      <w:marBottom w:val="0"/>
      <w:divBdr>
        <w:top w:val="none" w:sz="0" w:space="0" w:color="auto"/>
        <w:left w:val="none" w:sz="0" w:space="0" w:color="auto"/>
        <w:bottom w:val="none" w:sz="0" w:space="0" w:color="auto"/>
        <w:right w:val="none" w:sz="0" w:space="0" w:color="auto"/>
      </w:divBdr>
    </w:div>
    <w:div w:id="1747848232">
      <w:marLeft w:val="0"/>
      <w:marRight w:val="0"/>
      <w:marTop w:val="0"/>
      <w:marBottom w:val="0"/>
      <w:divBdr>
        <w:top w:val="none" w:sz="0" w:space="0" w:color="auto"/>
        <w:left w:val="none" w:sz="0" w:space="0" w:color="auto"/>
        <w:bottom w:val="none" w:sz="0" w:space="0" w:color="auto"/>
        <w:right w:val="none" w:sz="0" w:space="0" w:color="auto"/>
      </w:divBdr>
    </w:div>
    <w:div w:id="1747848233">
      <w:marLeft w:val="0"/>
      <w:marRight w:val="0"/>
      <w:marTop w:val="0"/>
      <w:marBottom w:val="0"/>
      <w:divBdr>
        <w:top w:val="none" w:sz="0" w:space="0" w:color="auto"/>
        <w:left w:val="none" w:sz="0" w:space="0" w:color="auto"/>
        <w:bottom w:val="none" w:sz="0" w:space="0" w:color="auto"/>
        <w:right w:val="none" w:sz="0" w:space="0" w:color="auto"/>
      </w:divBdr>
    </w:div>
    <w:div w:id="1747848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3065</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Consultation Feedback Summary</vt:lpstr>
    </vt:vector>
  </TitlesOfParts>
  <Company>The World Bank Group</Company>
  <LinksUpToDate>false</LinksUpToDate>
  <CharactersWithSpaces>20578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Feedback Summary</dc:title>
  <dc:creator>wb216390</dc:creator>
  <cp:lastModifiedBy>Ida Mori</cp:lastModifiedBy>
  <cp:revision>3</cp:revision>
  <cp:lastPrinted>2013-03-21T19:06:00Z</cp:lastPrinted>
  <dcterms:created xsi:type="dcterms:W3CDTF">2013-06-04T22:49:00Z</dcterms:created>
  <dcterms:modified xsi:type="dcterms:W3CDTF">2013-06-06T21:18:00Z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