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FB0DE9" w:rsidP="00FB0DE9">
      <w:pPr>
        <w:pStyle w:val="Title"/>
        <w:jc w:val="center"/>
        <w:rPr>
          <w:rFonts w:asciiTheme="majorHAnsi" w:hAnsiTheme="majorHAnsi"/>
          <w:color w:val="323E4F" w:themeColor="text2" w:themeShade="BF"/>
          <w:sz w:val="32"/>
          <w:szCs w:val="32"/>
        </w:rPr>
      </w:pPr>
      <w:bookmarkStart w:id="0" w:name="_GoBack"/>
      <w:bookmarkEnd w:id="0"/>
      <w:r>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CE441D">
        <w:rPr>
          <w:rFonts w:asciiTheme="majorBidi" w:hAnsiTheme="majorBidi" w:cstheme="majorBidi"/>
          <w:b/>
          <w:bCs/>
          <w:sz w:val="22"/>
          <w:szCs w:val="22"/>
          <w:lang w:val="en-US"/>
        </w:rPr>
        <w:t>November 23, 2015</w:t>
      </w:r>
    </w:p>
    <w:p w:rsidR="00944F46" w:rsidRPr="00944F46" w:rsidRDefault="00CE441D" w:rsidP="00CE441D">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Location: Riyadh, KSA</w:t>
      </w:r>
    </w:p>
    <w:p w:rsidR="00944F46" w:rsidRDefault="00CE441D" w:rsidP="00A60B99">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 xml:space="preserve">Audience: </w:t>
      </w:r>
      <w:r w:rsidR="00A60B99">
        <w:rPr>
          <w:rFonts w:asciiTheme="majorBidi" w:hAnsiTheme="majorBidi" w:cstheme="majorBidi"/>
          <w:b/>
          <w:bCs/>
          <w:sz w:val="22"/>
          <w:szCs w:val="22"/>
          <w:lang w:val="en-US"/>
        </w:rPr>
        <w:t>Government official and Ministries representatives</w:t>
      </w:r>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rsidTr="00944F46">
        <w:tc>
          <w:tcPr>
            <w:tcW w:w="985"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rsidTr="00944F46">
        <w:tc>
          <w:tcPr>
            <w:tcW w:w="985"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rsidR="00944F46" w:rsidRPr="005A321F" w:rsidRDefault="005A321F" w:rsidP="005A321F">
            <w:pPr>
              <w:ind w:left="-18"/>
              <w:jc w:val="both"/>
              <w:rPr>
                <w:rFonts w:ascii="Times New Roman" w:hAnsi="Times New Roman"/>
                <w:color w:val="000000"/>
                <w:sz w:val="24"/>
                <w:szCs w:val="24"/>
              </w:rPr>
            </w:pPr>
            <w:r>
              <w:rPr>
                <w:rFonts w:ascii="Times New Roman" w:hAnsi="Times New Roman"/>
                <w:color w:val="000000"/>
                <w:sz w:val="24"/>
                <w:szCs w:val="24"/>
              </w:rPr>
              <w:t>The Government officials reiterated that it is important to respect the country context and national sovereignty with regard to the human rights approach.</w:t>
            </w:r>
          </w:p>
        </w:tc>
      </w:tr>
      <w:tr w:rsidR="00944F46" w:rsidRPr="00F248C2" w:rsidTr="00944F46">
        <w:tc>
          <w:tcPr>
            <w:tcW w:w="985" w:type="dxa"/>
            <w:vMerge w:val="restart"/>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ESP/</w:t>
            </w:r>
          </w:p>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ESS1</w:t>
            </w:r>
          </w:p>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23659A">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Specific aspects of the non-discrimination principle in complex social and political contexts, including where recognition of certain groups </w:t>
            </w:r>
            <w:r w:rsidRPr="00944F46">
              <w:rPr>
                <w:rFonts w:ascii="Times New Roman" w:hAnsi="Times New Roman"/>
                <w:sz w:val="24"/>
                <w:szCs w:val="24"/>
              </w:rPr>
              <w:lastRenderedPageBreak/>
              <w:t>is not in accordance with national law</w:t>
            </w:r>
          </w:p>
        </w:tc>
        <w:tc>
          <w:tcPr>
            <w:tcW w:w="7650" w:type="dxa"/>
          </w:tcPr>
          <w:p w:rsidR="00944F46" w:rsidRPr="005A321F" w:rsidRDefault="005A321F" w:rsidP="005A321F">
            <w:pPr>
              <w:ind w:left="-18"/>
              <w:jc w:val="both"/>
              <w:rPr>
                <w:rFonts w:ascii="Times New Roman" w:hAnsi="Times New Roman"/>
                <w:sz w:val="24"/>
                <w:szCs w:val="24"/>
              </w:rPr>
            </w:pPr>
            <w:r>
              <w:rPr>
                <w:rFonts w:ascii="Times New Roman" w:hAnsi="Times New Roman"/>
                <w:color w:val="000000"/>
                <w:sz w:val="24"/>
                <w:szCs w:val="24"/>
              </w:rPr>
              <w:lastRenderedPageBreak/>
              <w:t xml:space="preserve">The Saudi </w:t>
            </w:r>
            <w:r w:rsidRPr="005A321F">
              <w:rPr>
                <w:rFonts w:ascii="Times New Roman" w:hAnsi="Times New Roman"/>
                <w:color w:val="000000"/>
                <w:sz w:val="24"/>
                <w:szCs w:val="24"/>
              </w:rPr>
              <w:t>Gov</w:t>
            </w:r>
            <w:r>
              <w:rPr>
                <w:rFonts w:ascii="Times New Roman" w:hAnsi="Times New Roman"/>
                <w:color w:val="000000"/>
                <w:sz w:val="24"/>
                <w:szCs w:val="24"/>
              </w:rPr>
              <w:t>ernmen</w:t>
            </w:r>
            <w:r w:rsidRPr="005A321F">
              <w:rPr>
                <w:rFonts w:ascii="Times New Roman" w:hAnsi="Times New Roman"/>
                <w:color w:val="000000"/>
                <w:sz w:val="24"/>
                <w:szCs w:val="24"/>
              </w:rPr>
              <w:t xml:space="preserve">t has no problem with the principle </w:t>
            </w:r>
            <w:r>
              <w:rPr>
                <w:rFonts w:ascii="Times New Roman" w:hAnsi="Times New Roman"/>
                <w:color w:val="000000"/>
                <w:sz w:val="24"/>
                <w:szCs w:val="24"/>
              </w:rPr>
              <w:t xml:space="preserve">of nondiscrimination </w:t>
            </w:r>
            <w:r w:rsidRPr="005A321F">
              <w:rPr>
                <w:rFonts w:ascii="Times New Roman" w:hAnsi="Times New Roman"/>
                <w:color w:val="000000"/>
                <w:sz w:val="24"/>
                <w:szCs w:val="24"/>
              </w:rPr>
              <w:t>and much is enshrined in Saudi law</w:t>
            </w:r>
            <w:r>
              <w:rPr>
                <w:rFonts w:ascii="Times New Roman" w:hAnsi="Times New Roman"/>
                <w:color w:val="000000"/>
                <w:sz w:val="24"/>
                <w:szCs w:val="24"/>
              </w:rPr>
              <w:t>s</w:t>
            </w:r>
            <w:r w:rsidRPr="005A321F">
              <w:rPr>
                <w:rFonts w:ascii="Times New Roman" w:hAnsi="Times New Roman"/>
                <w:color w:val="000000"/>
                <w:sz w:val="24"/>
                <w:szCs w:val="24"/>
              </w:rPr>
              <w:t xml:space="preserve"> and practice but the</w:t>
            </w:r>
            <w:r>
              <w:rPr>
                <w:rFonts w:ascii="Times New Roman" w:hAnsi="Times New Roman"/>
                <w:color w:val="000000"/>
                <w:sz w:val="24"/>
                <w:szCs w:val="24"/>
              </w:rPr>
              <w:t xml:space="preserve"> approach to the</w:t>
            </w:r>
            <w:r w:rsidRPr="005A321F">
              <w:rPr>
                <w:rFonts w:ascii="Times New Roman" w:hAnsi="Times New Roman"/>
                <w:color w:val="000000"/>
                <w:sz w:val="24"/>
                <w:szCs w:val="24"/>
              </w:rPr>
              <w:t xml:space="preserve"> LGBTI </w:t>
            </w:r>
            <w:r>
              <w:rPr>
                <w:rFonts w:ascii="Times New Roman" w:hAnsi="Times New Roman"/>
                <w:color w:val="000000"/>
                <w:sz w:val="24"/>
                <w:szCs w:val="24"/>
              </w:rPr>
              <w:t>issue</w:t>
            </w:r>
            <w:r w:rsidRPr="005A321F">
              <w:rPr>
                <w:rFonts w:ascii="Times New Roman" w:hAnsi="Times New Roman"/>
                <w:color w:val="000000"/>
                <w:sz w:val="24"/>
                <w:szCs w:val="24"/>
              </w:rPr>
              <w:t xml:space="preserve"> </w:t>
            </w:r>
            <w:r>
              <w:rPr>
                <w:rFonts w:ascii="Times New Roman" w:hAnsi="Times New Roman"/>
                <w:color w:val="000000"/>
                <w:sz w:val="24"/>
                <w:szCs w:val="24"/>
              </w:rPr>
              <w:t>is against the Saudi</w:t>
            </w:r>
            <w:r w:rsidRPr="005A321F">
              <w:rPr>
                <w:rFonts w:ascii="Times New Roman" w:hAnsi="Times New Roman"/>
                <w:color w:val="000000"/>
                <w:sz w:val="24"/>
                <w:szCs w:val="24"/>
              </w:rPr>
              <w:t xml:space="preserve"> profound religious and cultural values. </w:t>
            </w:r>
            <w:r>
              <w:rPr>
                <w:rFonts w:ascii="Times New Roman" w:hAnsi="Times New Roman"/>
                <w:color w:val="000000"/>
                <w:sz w:val="24"/>
                <w:szCs w:val="24"/>
              </w:rPr>
              <w:t>According to the Saudi officials, p</w:t>
            </w:r>
            <w:r w:rsidRPr="005A321F">
              <w:rPr>
                <w:rFonts w:ascii="Times New Roman" w:hAnsi="Times New Roman"/>
                <w:color w:val="000000"/>
                <w:sz w:val="24"/>
                <w:szCs w:val="24"/>
              </w:rPr>
              <w:t>eople find it offensive</w:t>
            </w:r>
            <w:r>
              <w:rPr>
                <w:rFonts w:ascii="Times New Roman" w:hAnsi="Times New Roman"/>
                <w:color w:val="000000"/>
                <w:sz w:val="24"/>
                <w:szCs w:val="24"/>
              </w:rPr>
              <w:t xml:space="preserve"> and this would never be tolerated in KSA.</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rsidR="005A321F" w:rsidRPr="002B6DA8" w:rsidRDefault="005A321F" w:rsidP="002B6DA8">
            <w:pPr>
              <w:ind w:left="-18"/>
              <w:rPr>
                <w:rFonts w:ascii="Times New Roman" w:hAnsi="Times New Roman"/>
                <w:sz w:val="24"/>
                <w:szCs w:val="24"/>
              </w:rPr>
            </w:pPr>
            <w:r w:rsidRPr="002B6DA8">
              <w:rPr>
                <w:rFonts w:ascii="Times New Roman" w:hAnsi="Times New Roman"/>
                <w:sz w:val="24"/>
                <w:szCs w:val="24"/>
              </w:rPr>
              <w:t>The Government officials welcomed the use of Borrower Frameworks and believed that it should be encouraged and supported by the Bank.</w:t>
            </w:r>
          </w:p>
          <w:p w:rsidR="005A321F" w:rsidRPr="005A321F" w:rsidRDefault="005A321F" w:rsidP="005A321F">
            <w:pPr>
              <w:pStyle w:val="ListParagraph"/>
              <w:ind w:left="342"/>
              <w:rPr>
                <w:rFonts w:ascii="Times New Roman" w:hAnsi="Times New Roman"/>
                <w:sz w:val="24"/>
                <w:szCs w:val="24"/>
              </w:rPr>
            </w:pPr>
          </w:p>
          <w:p w:rsidR="00944F46" w:rsidRDefault="00944F46" w:rsidP="005A321F">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rsidR="00944F46" w:rsidRPr="00944F46" w:rsidDel="00EF3E5D"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rsidR="00944F46" w:rsidRPr="00FB0DE9" w:rsidRDefault="00944F46" w:rsidP="00FB0DE9">
            <w:pPr>
              <w:ind w:left="-18"/>
              <w:jc w:val="both"/>
              <w:rPr>
                <w:rFonts w:ascii="Times New Roman" w:hAnsi="Times New Roman"/>
                <w:sz w:val="24"/>
                <w:szCs w:val="24"/>
              </w:rPr>
            </w:pPr>
          </w:p>
        </w:tc>
      </w:tr>
      <w:tr w:rsidR="004A022A" w:rsidRPr="00F248C2" w:rsidTr="00944F46">
        <w:tc>
          <w:tcPr>
            <w:tcW w:w="985" w:type="dxa"/>
            <w:vMerge w:val="restart"/>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ESS1</w:t>
            </w:r>
          </w:p>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rsidR="004A022A" w:rsidRPr="00FB0DE9" w:rsidRDefault="004A022A" w:rsidP="00FB0DE9">
            <w:pPr>
              <w:ind w:left="-18"/>
              <w:jc w:val="both"/>
              <w:rPr>
                <w:rFonts w:ascii="Times New Roman" w:hAnsi="Times New Roman"/>
                <w:sz w:val="24"/>
                <w:szCs w:val="24"/>
              </w:rPr>
            </w:pPr>
          </w:p>
        </w:tc>
      </w:tr>
      <w:tr w:rsidR="004A022A" w:rsidRPr="00F248C2" w:rsidTr="00944F46">
        <w:tc>
          <w:tcPr>
            <w:tcW w:w="985" w:type="dxa"/>
            <w:vMerge/>
            <w:shd w:val="clear" w:color="auto" w:fill="E7E6E6" w:themeFill="background2"/>
          </w:tcPr>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rsidR="004A022A" w:rsidRPr="003202FE" w:rsidRDefault="004A022A" w:rsidP="004D1AE5">
            <w:pPr>
              <w:pStyle w:val="ListParagraph"/>
              <w:ind w:left="342"/>
              <w:jc w:val="both"/>
              <w:rPr>
                <w:rFonts w:ascii="Times New Roman" w:hAnsi="Times New Roman"/>
                <w:sz w:val="24"/>
                <w:szCs w:val="24"/>
              </w:rPr>
            </w:pPr>
          </w:p>
        </w:tc>
      </w:tr>
      <w:tr w:rsidR="004A022A" w:rsidRPr="00F248C2" w:rsidTr="00944F46">
        <w:tc>
          <w:tcPr>
            <w:tcW w:w="985"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ESS2</w:t>
            </w:r>
          </w:p>
        </w:tc>
        <w:tc>
          <w:tcPr>
            <w:tcW w:w="2160"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contractors, community and voluntary labor and primary suppliers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Constraints in making grievance mechanisms available to all project workers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rsidR="00C85BFF" w:rsidRDefault="00C85BFF" w:rsidP="002B6DA8">
            <w:pPr>
              <w:ind w:left="-18"/>
              <w:jc w:val="both"/>
              <w:rPr>
                <w:rFonts w:ascii="Times New Roman" w:hAnsi="Times New Roman"/>
                <w:sz w:val="24"/>
                <w:szCs w:val="24"/>
              </w:rPr>
            </w:pPr>
            <w:r w:rsidRPr="00C85BFF">
              <w:rPr>
                <w:rFonts w:ascii="Times New Roman" w:hAnsi="Times New Roman"/>
                <w:sz w:val="24"/>
                <w:szCs w:val="24"/>
              </w:rPr>
              <w:lastRenderedPageBreak/>
              <w:t xml:space="preserve">The Government officials requested further clarifications on the definition of third parties. There should be mutual agreement on their use by Bank and country. Saudi Arabia has a large number of contract workers and labor laws, but it is the contractor that needs to respect these with regard to its workers. </w:t>
            </w:r>
          </w:p>
          <w:p w:rsidR="00C85BFF" w:rsidRDefault="00C85BFF" w:rsidP="002B6DA8">
            <w:pPr>
              <w:ind w:left="-18"/>
              <w:jc w:val="both"/>
              <w:rPr>
                <w:rFonts w:ascii="Times New Roman" w:hAnsi="Times New Roman"/>
                <w:sz w:val="24"/>
                <w:szCs w:val="24"/>
              </w:rPr>
            </w:pPr>
          </w:p>
          <w:p w:rsidR="00C85BFF" w:rsidRDefault="00C85BFF" w:rsidP="002B6DA8">
            <w:pPr>
              <w:ind w:left="-18"/>
              <w:jc w:val="both"/>
              <w:rPr>
                <w:rFonts w:ascii="Times New Roman" w:hAnsi="Times New Roman"/>
                <w:sz w:val="24"/>
                <w:szCs w:val="24"/>
              </w:rPr>
            </w:pPr>
            <w:r w:rsidRPr="00C85BFF">
              <w:rPr>
                <w:rFonts w:ascii="Times New Roman" w:hAnsi="Times New Roman"/>
                <w:sz w:val="24"/>
                <w:szCs w:val="24"/>
              </w:rPr>
              <w:t>There are limitations to the extent that the Government can check everything contractors do. There is a confidential hot line that workers can contact if they have problems at work in KSA.</w:t>
            </w:r>
          </w:p>
          <w:p w:rsidR="00C85BFF" w:rsidRDefault="00C85BFF" w:rsidP="002B6DA8">
            <w:pPr>
              <w:ind w:left="-18"/>
              <w:jc w:val="both"/>
              <w:rPr>
                <w:rFonts w:ascii="Times New Roman" w:hAnsi="Times New Roman"/>
                <w:sz w:val="24"/>
                <w:szCs w:val="24"/>
              </w:rPr>
            </w:pPr>
          </w:p>
          <w:p w:rsidR="00C85BFF" w:rsidRPr="00C85BFF" w:rsidRDefault="00C85BFF" w:rsidP="002B6DA8">
            <w:pPr>
              <w:ind w:left="-18"/>
              <w:jc w:val="both"/>
              <w:rPr>
                <w:rFonts w:ascii="Times New Roman" w:hAnsi="Times New Roman"/>
                <w:sz w:val="24"/>
                <w:szCs w:val="24"/>
              </w:rPr>
            </w:pPr>
            <w:r>
              <w:rPr>
                <w:rFonts w:ascii="Times New Roman" w:hAnsi="Times New Roman"/>
                <w:sz w:val="24"/>
                <w:szCs w:val="24"/>
              </w:rPr>
              <w:t xml:space="preserve">The Saudi officials stated that the country has a similar Grievance redress mechanism that the workers use to </w:t>
            </w:r>
            <w:r w:rsidRPr="00C85BFF">
              <w:rPr>
                <w:rFonts w:ascii="Times New Roman" w:hAnsi="Times New Roman"/>
                <w:sz w:val="24"/>
                <w:szCs w:val="24"/>
              </w:rPr>
              <w:t>raise their concerns.</w:t>
            </w:r>
          </w:p>
          <w:p w:rsidR="004A022A" w:rsidRDefault="004A022A" w:rsidP="004D1AE5">
            <w:pPr>
              <w:pStyle w:val="ListParagraph"/>
              <w:ind w:left="342"/>
              <w:jc w:val="both"/>
              <w:rPr>
                <w:rFonts w:ascii="Times New Roman" w:hAnsi="Times New Roman"/>
                <w:sz w:val="24"/>
                <w:szCs w:val="24"/>
              </w:rPr>
            </w:pPr>
          </w:p>
        </w:tc>
      </w:tr>
      <w:tr w:rsidR="00C87D2F" w:rsidRPr="00F248C2" w:rsidTr="00944F46">
        <w:tc>
          <w:tcPr>
            <w:tcW w:w="985"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Implications required for the Borrower of estimating and reducing GHG emissions for Bank projects, in line with the proposed standard</w:t>
            </w:r>
          </w:p>
        </w:tc>
        <w:tc>
          <w:tcPr>
            <w:tcW w:w="7650" w:type="dxa"/>
          </w:tcPr>
          <w:p w:rsidR="002B6DA8" w:rsidRDefault="00C85BFF" w:rsidP="00C85BFF">
            <w:pPr>
              <w:ind w:left="-18"/>
              <w:jc w:val="both"/>
              <w:rPr>
                <w:rFonts w:ascii="Times New Roman" w:hAnsi="Times New Roman"/>
                <w:sz w:val="24"/>
                <w:szCs w:val="24"/>
              </w:rPr>
            </w:pPr>
            <w:r>
              <w:rPr>
                <w:rFonts w:ascii="Times New Roman" w:hAnsi="Times New Roman"/>
                <w:sz w:val="24"/>
                <w:szCs w:val="24"/>
              </w:rPr>
              <w:lastRenderedPageBreak/>
              <w:t xml:space="preserve">Saudi Government officials </w:t>
            </w:r>
            <w:r w:rsidRPr="00C85BFF">
              <w:rPr>
                <w:rFonts w:ascii="Times New Roman" w:hAnsi="Times New Roman"/>
                <w:sz w:val="24"/>
                <w:szCs w:val="24"/>
              </w:rPr>
              <w:t>expressed support for the principles of the ESF and noted the recognition in the ESF that technically and financially it may not be appropriate to require GHG estimations in all projects and co</w:t>
            </w:r>
            <w:r>
              <w:rPr>
                <w:rFonts w:ascii="Times New Roman" w:hAnsi="Times New Roman"/>
                <w:sz w:val="24"/>
                <w:szCs w:val="24"/>
              </w:rPr>
              <w:t xml:space="preserve">untries. </w:t>
            </w:r>
          </w:p>
          <w:p w:rsidR="002B6DA8" w:rsidRDefault="002B6DA8" w:rsidP="00C85BFF">
            <w:pPr>
              <w:ind w:left="-18"/>
              <w:jc w:val="both"/>
              <w:rPr>
                <w:rFonts w:ascii="Times New Roman" w:hAnsi="Times New Roman"/>
                <w:sz w:val="24"/>
                <w:szCs w:val="24"/>
              </w:rPr>
            </w:pPr>
          </w:p>
          <w:p w:rsidR="002B6DA8" w:rsidRDefault="00C85BFF" w:rsidP="00C85BFF">
            <w:pPr>
              <w:ind w:left="-18"/>
              <w:jc w:val="both"/>
              <w:rPr>
                <w:rFonts w:ascii="Times New Roman" w:hAnsi="Times New Roman"/>
                <w:sz w:val="24"/>
                <w:szCs w:val="24"/>
              </w:rPr>
            </w:pPr>
            <w:r>
              <w:rPr>
                <w:rFonts w:ascii="Times New Roman" w:hAnsi="Times New Roman"/>
                <w:sz w:val="24"/>
                <w:szCs w:val="24"/>
              </w:rPr>
              <w:t>Even under the CDM in KS</w:t>
            </w:r>
            <w:r w:rsidRPr="00C85BFF">
              <w:rPr>
                <w:rFonts w:ascii="Times New Roman" w:hAnsi="Times New Roman"/>
                <w:sz w:val="24"/>
                <w:szCs w:val="24"/>
              </w:rPr>
              <w:t>A</w:t>
            </w:r>
            <w:r>
              <w:rPr>
                <w:rFonts w:ascii="Times New Roman" w:hAnsi="Times New Roman"/>
                <w:sz w:val="24"/>
                <w:szCs w:val="24"/>
              </w:rPr>
              <w:t>,</w:t>
            </w:r>
            <w:r w:rsidRPr="00C85BFF">
              <w:rPr>
                <w:rFonts w:ascii="Times New Roman" w:hAnsi="Times New Roman"/>
                <w:sz w:val="24"/>
                <w:szCs w:val="24"/>
              </w:rPr>
              <w:t xml:space="preserve"> the difficulties and cost of establishing a baseline for GHGs was noted. </w:t>
            </w:r>
            <w:r>
              <w:rPr>
                <w:rFonts w:ascii="Times New Roman" w:hAnsi="Times New Roman"/>
                <w:sz w:val="24"/>
                <w:szCs w:val="24"/>
              </w:rPr>
              <w:t>The Bank was urged</w:t>
            </w:r>
            <w:r w:rsidRPr="00C85BFF">
              <w:rPr>
                <w:rFonts w:ascii="Times New Roman" w:hAnsi="Times New Roman"/>
                <w:sz w:val="24"/>
                <w:szCs w:val="24"/>
              </w:rPr>
              <w:t xml:space="preserve"> to practical and understanding of Borrower constraints. </w:t>
            </w:r>
          </w:p>
          <w:p w:rsidR="002B6DA8" w:rsidRDefault="002B6DA8" w:rsidP="00C85BFF">
            <w:pPr>
              <w:ind w:left="-18"/>
              <w:jc w:val="both"/>
              <w:rPr>
                <w:rFonts w:ascii="Times New Roman" w:hAnsi="Times New Roman"/>
                <w:sz w:val="24"/>
                <w:szCs w:val="24"/>
              </w:rPr>
            </w:pPr>
          </w:p>
          <w:p w:rsidR="00C85BFF" w:rsidRPr="00C85BFF" w:rsidRDefault="00C85BFF" w:rsidP="00C85BFF">
            <w:pPr>
              <w:ind w:left="-18"/>
              <w:jc w:val="both"/>
              <w:rPr>
                <w:rFonts w:ascii="Times New Roman" w:hAnsi="Times New Roman"/>
                <w:sz w:val="24"/>
                <w:szCs w:val="24"/>
              </w:rPr>
            </w:pPr>
            <w:r w:rsidRPr="00C85BFF">
              <w:rPr>
                <w:rFonts w:ascii="Times New Roman" w:hAnsi="Times New Roman"/>
                <w:sz w:val="24"/>
                <w:szCs w:val="24"/>
              </w:rPr>
              <w:t>Also</w:t>
            </w:r>
            <w:r>
              <w:rPr>
                <w:rFonts w:ascii="Times New Roman" w:hAnsi="Times New Roman"/>
                <w:sz w:val="24"/>
                <w:szCs w:val="24"/>
              </w:rPr>
              <w:t>, they</w:t>
            </w:r>
            <w:r w:rsidRPr="00C85BFF">
              <w:rPr>
                <w:rFonts w:ascii="Times New Roman" w:hAnsi="Times New Roman"/>
                <w:sz w:val="24"/>
                <w:szCs w:val="24"/>
              </w:rPr>
              <w:t xml:space="preserve"> noted international obligations under the UNCCC need to be take into consideration. Reliance on consultants to undertake GHG estimations can be costly.</w:t>
            </w:r>
          </w:p>
          <w:p w:rsidR="00C87D2F" w:rsidRDefault="00C87D2F" w:rsidP="004D1AE5">
            <w:pPr>
              <w:pStyle w:val="ListParagraph"/>
              <w:ind w:left="342"/>
              <w:jc w:val="both"/>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ESS5</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rsidR="00C85BFF" w:rsidRPr="00C85BFF" w:rsidRDefault="00C85BFF" w:rsidP="00C85BFF">
            <w:pPr>
              <w:ind w:left="-18"/>
              <w:jc w:val="both"/>
              <w:rPr>
                <w:rFonts w:ascii="Times New Roman" w:hAnsi="Times New Roman"/>
                <w:sz w:val="24"/>
                <w:szCs w:val="24"/>
              </w:rPr>
            </w:pPr>
            <w:r>
              <w:rPr>
                <w:rFonts w:ascii="Times New Roman" w:hAnsi="Times New Roman"/>
                <w:sz w:val="24"/>
                <w:szCs w:val="24"/>
              </w:rPr>
              <w:t xml:space="preserve">Saudi Arabia </w:t>
            </w:r>
            <w:r w:rsidRPr="00C85BFF">
              <w:rPr>
                <w:rFonts w:ascii="Times New Roman" w:hAnsi="Times New Roman"/>
                <w:sz w:val="24"/>
                <w:szCs w:val="24"/>
              </w:rPr>
              <w:t>can recognize the challenges that Borrowers face in this regard and especially the landless and illegal occupiers. The need to have an early assessment of the issues and a cutoff date was highlighted. Use of eminent domain should be undertaken when appropriate to prevent projects from being delayed.</w:t>
            </w:r>
          </w:p>
          <w:p w:rsidR="00D26D02" w:rsidRPr="00FB0DE9" w:rsidRDefault="00D26D02" w:rsidP="00FB0DE9">
            <w:pPr>
              <w:jc w:val="both"/>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ESS6</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rsidR="00944F46" w:rsidRDefault="00944F46" w:rsidP="004B014C">
            <w:pPr>
              <w:pStyle w:val="ListParagraph"/>
              <w:ind w:left="432"/>
              <w:jc w:val="both"/>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color w:val="000000"/>
                <w:sz w:val="24"/>
                <w:szCs w:val="24"/>
              </w:rPr>
            </w:pPr>
            <w:r w:rsidRPr="00944F46">
              <w:rPr>
                <w:rFonts w:ascii="Times New Roman" w:hAnsi="Times New Roman" w:cs="Times New Roman"/>
                <w:color w:val="000000"/>
                <w:sz w:val="24"/>
                <w:szCs w:val="24"/>
              </w:rPr>
              <w:t>ESS7</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 xml:space="preserve">Implementation of ESS7 in countries where the constitution does not acknowledge Indigenous Peoples or only recognizes certain groups as indigenous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rsidR="00A92E95" w:rsidRPr="00FB0DE9" w:rsidRDefault="00C85BFF" w:rsidP="00C85BFF">
            <w:pPr>
              <w:ind w:left="-18"/>
              <w:jc w:val="both"/>
              <w:rPr>
                <w:rFonts w:asciiTheme="majorBidi" w:hAnsiTheme="majorBidi" w:cstheme="majorBidi"/>
                <w:color w:val="000000"/>
                <w:sz w:val="24"/>
                <w:szCs w:val="24"/>
              </w:rPr>
            </w:pPr>
            <w:r w:rsidRPr="00C85BFF">
              <w:rPr>
                <w:rFonts w:ascii="Times New Roman" w:hAnsi="Times New Roman"/>
                <w:sz w:val="24"/>
                <w:szCs w:val="24"/>
              </w:rPr>
              <w:lastRenderedPageBreak/>
              <w:t>There was a note on the need to consider car</w:t>
            </w:r>
            <w:r>
              <w:rPr>
                <w:rFonts w:ascii="Times New Roman" w:hAnsi="Times New Roman"/>
                <w:sz w:val="24"/>
                <w:szCs w:val="24"/>
              </w:rPr>
              <w:t>efully impacts on tribal peoples</w:t>
            </w:r>
            <w:r w:rsidRPr="00C85BFF">
              <w:rPr>
                <w:rFonts w:ascii="Times New Roman" w:hAnsi="Times New Roman"/>
                <w:sz w:val="24"/>
                <w:szCs w:val="24"/>
              </w:rPr>
              <w:t xml:space="preserve">. </w:t>
            </w:r>
            <w:r>
              <w:rPr>
                <w:rFonts w:ascii="Times New Roman" w:hAnsi="Times New Roman"/>
                <w:sz w:val="24"/>
                <w:szCs w:val="24"/>
              </w:rPr>
              <w:t>The officials e</w:t>
            </w:r>
            <w:r w:rsidRPr="00C85BFF">
              <w:rPr>
                <w:rFonts w:ascii="Times New Roman" w:hAnsi="Times New Roman"/>
                <w:sz w:val="24"/>
                <w:szCs w:val="24"/>
              </w:rPr>
              <w:t xml:space="preserve">xpressed understanding and support for the concerns of many African countries that the use of the term "indigenous" causes problems.  </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cultural heritage requirements when cultural heritage has not been </w:t>
            </w:r>
            <w:r w:rsidRPr="00944F46">
              <w:rPr>
                <w:rFonts w:ascii="Times New Roman" w:hAnsi="Times New Roman"/>
                <w:sz w:val="24"/>
                <w:szCs w:val="24"/>
              </w:rPr>
              <w:lastRenderedPageBreak/>
              <w:t>legally protected or previously identified or disturbed</w:t>
            </w:r>
          </w:p>
        </w:tc>
        <w:tc>
          <w:tcPr>
            <w:tcW w:w="7650" w:type="dxa"/>
          </w:tcPr>
          <w:p w:rsidR="00944F46" w:rsidRPr="004B014C" w:rsidRDefault="00944F46" w:rsidP="004B014C">
            <w:pPr>
              <w:jc w:val="both"/>
              <w:rPr>
                <w:rFonts w:asciiTheme="majorBidi" w:hAnsiTheme="majorBidi" w:cstheme="majorBidi"/>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ESS9</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rsidR="00944F46" w:rsidRPr="00FB0DE9" w:rsidRDefault="00944F46" w:rsidP="00FB0DE9">
            <w:pPr>
              <w:ind w:left="-18"/>
              <w:jc w:val="both"/>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rsidR="00944F46" w:rsidRPr="00944F46" w:rsidRDefault="00944F46" w:rsidP="00071BD2">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rsidR="00944F46" w:rsidRDefault="00944F46" w:rsidP="004B014C">
            <w:pPr>
              <w:pStyle w:val="ListParagraph"/>
              <w:ind w:left="342"/>
              <w:jc w:val="both"/>
              <w:rPr>
                <w:rFonts w:ascii="Times New Roman" w:hAnsi="Times New Roman"/>
                <w:sz w:val="24"/>
                <w:szCs w:val="24"/>
              </w:rPr>
            </w:pPr>
          </w:p>
        </w:tc>
      </w:tr>
      <w:tr w:rsidR="00944F46" w:rsidRPr="00F248C2" w:rsidTr="00944F46">
        <w:tc>
          <w:tcPr>
            <w:tcW w:w="985" w:type="dxa"/>
            <w:vMerge w:val="restar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General</w:t>
            </w:r>
          </w:p>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C232FC">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rsidR="00944F46" w:rsidRDefault="00944F46" w:rsidP="004B014C">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D07482">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lastRenderedPageBreak/>
              <w:t>Mitigation of additional burden and cost and options for improving implementation efficiency while maintaining effectiveness</w:t>
            </w:r>
          </w:p>
        </w:tc>
        <w:tc>
          <w:tcPr>
            <w:tcW w:w="7650" w:type="dxa"/>
          </w:tcPr>
          <w:p w:rsidR="00944F46" w:rsidRPr="00FB0DE9" w:rsidRDefault="00E32508" w:rsidP="00FB0DE9">
            <w:pPr>
              <w:ind w:left="-18"/>
              <w:jc w:val="both"/>
              <w:rPr>
                <w:rFonts w:ascii="Times New Roman" w:hAnsi="Times New Roman"/>
                <w:sz w:val="24"/>
                <w:szCs w:val="24"/>
              </w:rPr>
            </w:pPr>
            <w:r w:rsidRPr="00FB0DE9">
              <w:rPr>
                <w:rFonts w:ascii="Times New Roman" w:hAnsi="Times New Roman"/>
                <w:sz w:val="24"/>
                <w:szCs w:val="24"/>
              </w:rPr>
              <w:lastRenderedPageBreak/>
              <w:t xml:space="preserve"> </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rsidR="00C85BFF" w:rsidRPr="00C85BFF" w:rsidRDefault="00C85BFF" w:rsidP="00C85BFF">
            <w:pPr>
              <w:jc w:val="both"/>
              <w:rPr>
                <w:rFonts w:ascii="Times New Roman" w:hAnsi="Times New Roman"/>
                <w:sz w:val="24"/>
                <w:szCs w:val="24"/>
              </w:rPr>
            </w:pPr>
            <w:r w:rsidRPr="00C85BFF">
              <w:rPr>
                <w:rFonts w:ascii="Times New Roman" w:hAnsi="Times New Roman"/>
                <w:sz w:val="24"/>
                <w:szCs w:val="24"/>
              </w:rPr>
              <w:t>The Government officials indicated that there will be a need to help countries adapt to the ESF and build their capacity and thus support use of Borrower frameworks which is better for countries as they have more ownership of E and S issues on their projects.</w:t>
            </w:r>
          </w:p>
          <w:p w:rsidR="00D26D02" w:rsidRPr="00C85BFF" w:rsidRDefault="00D26D02" w:rsidP="00C85BFF">
            <w:pPr>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rsidR="00944F46" w:rsidRDefault="00944F46" w:rsidP="00C85BFF">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7650" w:type="dxa"/>
          </w:tcPr>
          <w:p w:rsidR="00944F46" w:rsidRDefault="00944F46" w:rsidP="00C85BFF">
            <w:pPr>
              <w:pStyle w:val="ListParagraph"/>
              <w:ind w:left="342"/>
              <w:jc w:val="both"/>
              <w:rPr>
                <w:rFonts w:ascii="Times New Roman" w:hAnsi="Times New Roman"/>
                <w:sz w:val="24"/>
                <w:szCs w:val="24"/>
              </w:rPr>
            </w:pPr>
          </w:p>
        </w:tc>
      </w:tr>
      <w:tr w:rsidR="00071885" w:rsidRPr="00F248C2" w:rsidTr="00C3310F">
        <w:tc>
          <w:tcPr>
            <w:tcW w:w="6655" w:type="dxa"/>
            <w:gridSpan w:val="3"/>
            <w:shd w:val="clear" w:color="auto" w:fill="E7E6E6" w:themeFill="background2"/>
          </w:tcPr>
          <w:p w:rsidR="00071885" w:rsidRDefault="00071885" w:rsidP="00071885">
            <w:pPr>
              <w:jc w:val="both"/>
              <w:rPr>
                <w:rFonts w:ascii="Times New Roman" w:hAnsi="Times New Roman"/>
                <w:sz w:val="24"/>
                <w:szCs w:val="24"/>
              </w:rPr>
            </w:pPr>
            <w:r>
              <w:rPr>
                <w:rFonts w:ascii="Times New Roman" w:hAnsi="Times New Roman"/>
                <w:sz w:val="24"/>
                <w:szCs w:val="24"/>
              </w:rPr>
              <w:t>Other issues</w:t>
            </w:r>
          </w:p>
          <w:p w:rsidR="00071885" w:rsidRDefault="00071885" w:rsidP="00071885">
            <w:pPr>
              <w:jc w:val="both"/>
              <w:rPr>
                <w:rFonts w:ascii="Times New Roman" w:hAnsi="Times New Roman"/>
                <w:sz w:val="24"/>
                <w:szCs w:val="24"/>
              </w:rPr>
            </w:pPr>
          </w:p>
          <w:p w:rsidR="00071885" w:rsidRPr="00071885" w:rsidRDefault="00071885" w:rsidP="00071885">
            <w:pPr>
              <w:jc w:val="both"/>
              <w:rPr>
                <w:rFonts w:ascii="Times New Roman" w:hAnsi="Times New Roman"/>
                <w:sz w:val="24"/>
                <w:szCs w:val="24"/>
              </w:rPr>
            </w:pPr>
          </w:p>
        </w:tc>
        <w:tc>
          <w:tcPr>
            <w:tcW w:w="7650" w:type="dxa"/>
          </w:tcPr>
          <w:p w:rsidR="00FD7599" w:rsidRPr="00FB0DE9" w:rsidRDefault="00C85BFF" w:rsidP="00C85BFF">
            <w:pPr>
              <w:jc w:val="both"/>
              <w:rPr>
                <w:rFonts w:ascii="Times New Roman" w:hAnsi="Times New Roman"/>
                <w:sz w:val="24"/>
                <w:szCs w:val="24"/>
              </w:rPr>
            </w:pPr>
            <w:r>
              <w:rPr>
                <w:rFonts w:ascii="Times New Roman" w:hAnsi="Times New Roman"/>
                <w:sz w:val="24"/>
                <w:szCs w:val="24"/>
              </w:rPr>
              <w:t xml:space="preserve">There was a </w:t>
            </w:r>
            <w:r w:rsidRPr="005A321F">
              <w:rPr>
                <w:rFonts w:ascii="Times New Roman" w:hAnsi="Times New Roman"/>
                <w:sz w:val="24"/>
                <w:szCs w:val="24"/>
              </w:rPr>
              <w:t>question about the changeover from OPs to ESSs and whether existing projects would have to change to meet the new standards.</w:t>
            </w:r>
          </w:p>
        </w:tc>
      </w:tr>
    </w:tbl>
    <w:p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D3D" w:rsidRDefault="00CB4D3D" w:rsidP="002A2CFE">
      <w:pPr>
        <w:spacing w:after="0" w:line="240" w:lineRule="auto"/>
      </w:pPr>
      <w:r>
        <w:separator/>
      </w:r>
    </w:p>
  </w:endnote>
  <w:endnote w:type="continuationSeparator" w:id="0">
    <w:p w:rsidR="00CB4D3D" w:rsidRDefault="00CB4D3D" w:rsidP="002A2CFE">
      <w:pPr>
        <w:spacing w:after="0" w:line="240" w:lineRule="auto"/>
      </w:pPr>
      <w:r>
        <w:continuationSeparator/>
      </w:r>
    </w:p>
  </w:endnote>
  <w:endnote w:type="continuationNotice" w:id="1">
    <w:p w:rsidR="00CB4D3D" w:rsidRDefault="00CB4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4C3993">
          <w:rPr>
            <w:rFonts w:ascii="Times New Roman" w:hAnsi="Times New Roman" w:cs="Times New Roman"/>
            <w:noProof/>
            <w:sz w:val="20"/>
            <w:szCs w:val="20"/>
          </w:rPr>
          <w:t>8</w:t>
        </w:r>
        <w:r w:rsidRPr="00B32950">
          <w:rPr>
            <w:rFonts w:ascii="Times New Roman" w:hAnsi="Times New Roman" w:cs="Times New Roman"/>
            <w:noProof/>
            <w:sz w:val="20"/>
            <w:szCs w:val="20"/>
          </w:rPr>
          <w:fldChar w:fldCharType="end"/>
        </w:r>
      </w:p>
    </w:sdtContent>
  </w:sdt>
  <w:p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D3D" w:rsidRDefault="00CB4D3D" w:rsidP="002A2CFE">
      <w:pPr>
        <w:spacing w:after="0" w:line="240" w:lineRule="auto"/>
      </w:pPr>
      <w:r>
        <w:separator/>
      </w:r>
    </w:p>
  </w:footnote>
  <w:footnote w:type="continuationSeparator" w:id="0">
    <w:p w:rsidR="00CB4D3D" w:rsidRDefault="00CB4D3D" w:rsidP="002A2CFE">
      <w:pPr>
        <w:spacing w:after="0" w:line="240" w:lineRule="auto"/>
      </w:pPr>
      <w:r>
        <w:continuationSeparator/>
      </w:r>
    </w:p>
  </w:footnote>
  <w:footnote w:type="continuationNotice" w:id="1">
    <w:p w:rsidR="00CB4D3D" w:rsidRDefault="00CB4D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4"/>
  </w:num>
  <w:num w:numId="8">
    <w:abstractNumId w:val="10"/>
  </w:num>
  <w:num w:numId="9">
    <w:abstractNumId w:val="9"/>
  </w:num>
  <w:num w:numId="10">
    <w:abstractNumId w:val="3"/>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60EF"/>
    <w:rsid w:val="00026364"/>
    <w:rsid w:val="00027054"/>
    <w:rsid w:val="000336A3"/>
    <w:rsid w:val="00037EE7"/>
    <w:rsid w:val="00040B41"/>
    <w:rsid w:val="000419FF"/>
    <w:rsid w:val="00042513"/>
    <w:rsid w:val="00047C4E"/>
    <w:rsid w:val="00053362"/>
    <w:rsid w:val="0005339B"/>
    <w:rsid w:val="00055656"/>
    <w:rsid w:val="00055907"/>
    <w:rsid w:val="00071885"/>
    <w:rsid w:val="00071BD2"/>
    <w:rsid w:val="00073D66"/>
    <w:rsid w:val="000811A8"/>
    <w:rsid w:val="000830BB"/>
    <w:rsid w:val="000833C2"/>
    <w:rsid w:val="00091E8A"/>
    <w:rsid w:val="000932B4"/>
    <w:rsid w:val="00095B65"/>
    <w:rsid w:val="000A17BB"/>
    <w:rsid w:val="000A1CA2"/>
    <w:rsid w:val="000A3A99"/>
    <w:rsid w:val="000B33E5"/>
    <w:rsid w:val="000B6D97"/>
    <w:rsid w:val="000C2C9A"/>
    <w:rsid w:val="000C379E"/>
    <w:rsid w:val="000D207A"/>
    <w:rsid w:val="000D289A"/>
    <w:rsid w:val="000D5C4B"/>
    <w:rsid w:val="000E6821"/>
    <w:rsid w:val="000F4BFE"/>
    <w:rsid w:val="000F4D29"/>
    <w:rsid w:val="000F7552"/>
    <w:rsid w:val="00105808"/>
    <w:rsid w:val="00122172"/>
    <w:rsid w:val="0012279D"/>
    <w:rsid w:val="001341BB"/>
    <w:rsid w:val="00135480"/>
    <w:rsid w:val="001409EF"/>
    <w:rsid w:val="00143016"/>
    <w:rsid w:val="00143AFC"/>
    <w:rsid w:val="00144F04"/>
    <w:rsid w:val="001459D8"/>
    <w:rsid w:val="00163038"/>
    <w:rsid w:val="00171F36"/>
    <w:rsid w:val="00182A56"/>
    <w:rsid w:val="0018639F"/>
    <w:rsid w:val="00193D0E"/>
    <w:rsid w:val="00197F14"/>
    <w:rsid w:val="001A2EB8"/>
    <w:rsid w:val="001B467B"/>
    <w:rsid w:val="001C5B10"/>
    <w:rsid w:val="001D3DB1"/>
    <w:rsid w:val="001D4666"/>
    <w:rsid w:val="001D7A18"/>
    <w:rsid w:val="001E55D1"/>
    <w:rsid w:val="001E61A5"/>
    <w:rsid w:val="00202567"/>
    <w:rsid w:val="00205480"/>
    <w:rsid w:val="0020711F"/>
    <w:rsid w:val="00217107"/>
    <w:rsid w:val="00224D63"/>
    <w:rsid w:val="00226BE3"/>
    <w:rsid w:val="002338A2"/>
    <w:rsid w:val="0023659A"/>
    <w:rsid w:val="00242AD8"/>
    <w:rsid w:val="00243F3E"/>
    <w:rsid w:val="00250D57"/>
    <w:rsid w:val="002513D5"/>
    <w:rsid w:val="002530B6"/>
    <w:rsid w:val="00262E1C"/>
    <w:rsid w:val="002736E5"/>
    <w:rsid w:val="002744A1"/>
    <w:rsid w:val="00276204"/>
    <w:rsid w:val="00282F1B"/>
    <w:rsid w:val="0029188A"/>
    <w:rsid w:val="002A096A"/>
    <w:rsid w:val="002A2CFE"/>
    <w:rsid w:val="002B19ED"/>
    <w:rsid w:val="002B3D8A"/>
    <w:rsid w:val="002B4214"/>
    <w:rsid w:val="002B5F16"/>
    <w:rsid w:val="002B6DA8"/>
    <w:rsid w:val="002D5BA1"/>
    <w:rsid w:val="002E7855"/>
    <w:rsid w:val="002F2CD2"/>
    <w:rsid w:val="002F45A4"/>
    <w:rsid w:val="00300C38"/>
    <w:rsid w:val="00315C22"/>
    <w:rsid w:val="003202FE"/>
    <w:rsid w:val="00327EC9"/>
    <w:rsid w:val="00331AB4"/>
    <w:rsid w:val="0035406A"/>
    <w:rsid w:val="00355F4A"/>
    <w:rsid w:val="00356796"/>
    <w:rsid w:val="00366948"/>
    <w:rsid w:val="00381278"/>
    <w:rsid w:val="00381AD4"/>
    <w:rsid w:val="00383C66"/>
    <w:rsid w:val="003852D6"/>
    <w:rsid w:val="00394CA5"/>
    <w:rsid w:val="003A3AFF"/>
    <w:rsid w:val="003A647D"/>
    <w:rsid w:val="003B0F7B"/>
    <w:rsid w:val="003B155E"/>
    <w:rsid w:val="003B3DBC"/>
    <w:rsid w:val="003B5F46"/>
    <w:rsid w:val="003D11E6"/>
    <w:rsid w:val="003D4A7B"/>
    <w:rsid w:val="003E4EC3"/>
    <w:rsid w:val="003E7BBA"/>
    <w:rsid w:val="003F1223"/>
    <w:rsid w:val="003F710F"/>
    <w:rsid w:val="00404676"/>
    <w:rsid w:val="00412FE5"/>
    <w:rsid w:val="00420CFF"/>
    <w:rsid w:val="004241C3"/>
    <w:rsid w:val="004256AD"/>
    <w:rsid w:val="00426441"/>
    <w:rsid w:val="004269B4"/>
    <w:rsid w:val="00426EAF"/>
    <w:rsid w:val="0043075D"/>
    <w:rsid w:val="00432368"/>
    <w:rsid w:val="00444D49"/>
    <w:rsid w:val="00446F4F"/>
    <w:rsid w:val="00447B65"/>
    <w:rsid w:val="00452976"/>
    <w:rsid w:val="004646E2"/>
    <w:rsid w:val="004716A6"/>
    <w:rsid w:val="00477137"/>
    <w:rsid w:val="004808FE"/>
    <w:rsid w:val="0049193E"/>
    <w:rsid w:val="00493231"/>
    <w:rsid w:val="004A022A"/>
    <w:rsid w:val="004A7E4C"/>
    <w:rsid w:val="004B014C"/>
    <w:rsid w:val="004B42DC"/>
    <w:rsid w:val="004B75C6"/>
    <w:rsid w:val="004C3993"/>
    <w:rsid w:val="004C660E"/>
    <w:rsid w:val="004C788C"/>
    <w:rsid w:val="004D1AC7"/>
    <w:rsid w:val="004D1AE5"/>
    <w:rsid w:val="004E15D0"/>
    <w:rsid w:val="004E3AAD"/>
    <w:rsid w:val="004F11ED"/>
    <w:rsid w:val="005032BD"/>
    <w:rsid w:val="005039CD"/>
    <w:rsid w:val="0051172F"/>
    <w:rsid w:val="00523D1A"/>
    <w:rsid w:val="005277C3"/>
    <w:rsid w:val="00527CA3"/>
    <w:rsid w:val="005566FF"/>
    <w:rsid w:val="00557376"/>
    <w:rsid w:val="00566F76"/>
    <w:rsid w:val="00570D27"/>
    <w:rsid w:val="00571E5D"/>
    <w:rsid w:val="005818DD"/>
    <w:rsid w:val="00586B31"/>
    <w:rsid w:val="00587E9E"/>
    <w:rsid w:val="005907B4"/>
    <w:rsid w:val="005A2B56"/>
    <w:rsid w:val="005A321F"/>
    <w:rsid w:val="005D31D7"/>
    <w:rsid w:val="005D3B1D"/>
    <w:rsid w:val="005D6FC2"/>
    <w:rsid w:val="005E4057"/>
    <w:rsid w:val="005E4F6B"/>
    <w:rsid w:val="005E6F14"/>
    <w:rsid w:val="005E7DDD"/>
    <w:rsid w:val="005F7AF0"/>
    <w:rsid w:val="00600956"/>
    <w:rsid w:val="00601D29"/>
    <w:rsid w:val="00624C2C"/>
    <w:rsid w:val="00626FC2"/>
    <w:rsid w:val="00635FF7"/>
    <w:rsid w:val="00641839"/>
    <w:rsid w:val="0064513A"/>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2440"/>
    <w:rsid w:val="006A6B8C"/>
    <w:rsid w:val="006C013F"/>
    <w:rsid w:val="006C6925"/>
    <w:rsid w:val="006D0315"/>
    <w:rsid w:val="006D0C7A"/>
    <w:rsid w:val="006E0FC0"/>
    <w:rsid w:val="006E5E73"/>
    <w:rsid w:val="006F10AD"/>
    <w:rsid w:val="006F1287"/>
    <w:rsid w:val="006F72CE"/>
    <w:rsid w:val="00701A96"/>
    <w:rsid w:val="00703AE3"/>
    <w:rsid w:val="007162E0"/>
    <w:rsid w:val="00722EE5"/>
    <w:rsid w:val="00732E9B"/>
    <w:rsid w:val="0074685A"/>
    <w:rsid w:val="007507AB"/>
    <w:rsid w:val="00752A48"/>
    <w:rsid w:val="00754617"/>
    <w:rsid w:val="007563DC"/>
    <w:rsid w:val="00762E8F"/>
    <w:rsid w:val="0076753E"/>
    <w:rsid w:val="0077044E"/>
    <w:rsid w:val="00775C67"/>
    <w:rsid w:val="0077675F"/>
    <w:rsid w:val="00777D96"/>
    <w:rsid w:val="007815E1"/>
    <w:rsid w:val="00784151"/>
    <w:rsid w:val="007901C3"/>
    <w:rsid w:val="007A67B8"/>
    <w:rsid w:val="007B23CA"/>
    <w:rsid w:val="007B366F"/>
    <w:rsid w:val="007C52D6"/>
    <w:rsid w:val="007D5A1B"/>
    <w:rsid w:val="007F1591"/>
    <w:rsid w:val="007F3C78"/>
    <w:rsid w:val="007F6E34"/>
    <w:rsid w:val="008065AA"/>
    <w:rsid w:val="008076E7"/>
    <w:rsid w:val="008141AA"/>
    <w:rsid w:val="00816846"/>
    <w:rsid w:val="008177C2"/>
    <w:rsid w:val="00817CF6"/>
    <w:rsid w:val="00830847"/>
    <w:rsid w:val="0083299A"/>
    <w:rsid w:val="00835B5D"/>
    <w:rsid w:val="00835F54"/>
    <w:rsid w:val="00861101"/>
    <w:rsid w:val="00862832"/>
    <w:rsid w:val="00866392"/>
    <w:rsid w:val="00880AE0"/>
    <w:rsid w:val="00880E95"/>
    <w:rsid w:val="00881A95"/>
    <w:rsid w:val="008902BD"/>
    <w:rsid w:val="00895AF5"/>
    <w:rsid w:val="00897C8B"/>
    <w:rsid w:val="008A0685"/>
    <w:rsid w:val="008A7945"/>
    <w:rsid w:val="008B109C"/>
    <w:rsid w:val="008B2BBD"/>
    <w:rsid w:val="008B4BEC"/>
    <w:rsid w:val="008B55B4"/>
    <w:rsid w:val="008B6107"/>
    <w:rsid w:val="008C4949"/>
    <w:rsid w:val="008D1F03"/>
    <w:rsid w:val="008D335A"/>
    <w:rsid w:val="008D55C0"/>
    <w:rsid w:val="008E0747"/>
    <w:rsid w:val="008E22B2"/>
    <w:rsid w:val="008E2333"/>
    <w:rsid w:val="008F2E17"/>
    <w:rsid w:val="008F460C"/>
    <w:rsid w:val="00906E14"/>
    <w:rsid w:val="009079A0"/>
    <w:rsid w:val="00915308"/>
    <w:rsid w:val="00933D3E"/>
    <w:rsid w:val="009371DC"/>
    <w:rsid w:val="00940AFF"/>
    <w:rsid w:val="00944F46"/>
    <w:rsid w:val="0095441A"/>
    <w:rsid w:val="009558DA"/>
    <w:rsid w:val="0096383D"/>
    <w:rsid w:val="00967DE9"/>
    <w:rsid w:val="00972434"/>
    <w:rsid w:val="00975C6B"/>
    <w:rsid w:val="00993083"/>
    <w:rsid w:val="009A1E16"/>
    <w:rsid w:val="009A6727"/>
    <w:rsid w:val="009C23F0"/>
    <w:rsid w:val="009C3726"/>
    <w:rsid w:val="009C7751"/>
    <w:rsid w:val="009C78BE"/>
    <w:rsid w:val="009D6FFE"/>
    <w:rsid w:val="009D7485"/>
    <w:rsid w:val="009F4A29"/>
    <w:rsid w:val="00A027C9"/>
    <w:rsid w:val="00A07218"/>
    <w:rsid w:val="00A13098"/>
    <w:rsid w:val="00A2541E"/>
    <w:rsid w:val="00A47BD0"/>
    <w:rsid w:val="00A55DB0"/>
    <w:rsid w:val="00A56621"/>
    <w:rsid w:val="00A60B99"/>
    <w:rsid w:val="00A618FF"/>
    <w:rsid w:val="00A62E2F"/>
    <w:rsid w:val="00A6465A"/>
    <w:rsid w:val="00A73655"/>
    <w:rsid w:val="00A73745"/>
    <w:rsid w:val="00A7696A"/>
    <w:rsid w:val="00A91DA5"/>
    <w:rsid w:val="00A92E95"/>
    <w:rsid w:val="00A95446"/>
    <w:rsid w:val="00A95B3A"/>
    <w:rsid w:val="00A97FC4"/>
    <w:rsid w:val="00AA5EEE"/>
    <w:rsid w:val="00AB755A"/>
    <w:rsid w:val="00AC6B2C"/>
    <w:rsid w:val="00AC7F54"/>
    <w:rsid w:val="00AD0ED6"/>
    <w:rsid w:val="00AD3A3A"/>
    <w:rsid w:val="00AD48E4"/>
    <w:rsid w:val="00AD4C4B"/>
    <w:rsid w:val="00AD5F7D"/>
    <w:rsid w:val="00AD71E2"/>
    <w:rsid w:val="00AE23B0"/>
    <w:rsid w:val="00AE6DDC"/>
    <w:rsid w:val="00AF37F5"/>
    <w:rsid w:val="00B00978"/>
    <w:rsid w:val="00B028FD"/>
    <w:rsid w:val="00B03436"/>
    <w:rsid w:val="00B045EF"/>
    <w:rsid w:val="00B10233"/>
    <w:rsid w:val="00B13C7D"/>
    <w:rsid w:val="00B14DBE"/>
    <w:rsid w:val="00B201CA"/>
    <w:rsid w:val="00B21ECF"/>
    <w:rsid w:val="00B24E47"/>
    <w:rsid w:val="00B30BB6"/>
    <w:rsid w:val="00B30D06"/>
    <w:rsid w:val="00B32950"/>
    <w:rsid w:val="00B3524D"/>
    <w:rsid w:val="00B375E7"/>
    <w:rsid w:val="00B4546A"/>
    <w:rsid w:val="00B50635"/>
    <w:rsid w:val="00B713EC"/>
    <w:rsid w:val="00B733AD"/>
    <w:rsid w:val="00B766E7"/>
    <w:rsid w:val="00B9160D"/>
    <w:rsid w:val="00B91E92"/>
    <w:rsid w:val="00B92914"/>
    <w:rsid w:val="00BA0C90"/>
    <w:rsid w:val="00BA246A"/>
    <w:rsid w:val="00BA2FC6"/>
    <w:rsid w:val="00BA6FA2"/>
    <w:rsid w:val="00BA6FFD"/>
    <w:rsid w:val="00BA733C"/>
    <w:rsid w:val="00BB2B6D"/>
    <w:rsid w:val="00BB4F61"/>
    <w:rsid w:val="00BC2797"/>
    <w:rsid w:val="00BC40E8"/>
    <w:rsid w:val="00BC7630"/>
    <w:rsid w:val="00BD181B"/>
    <w:rsid w:val="00BD26DC"/>
    <w:rsid w:val="00BD34F0"/>
    <w:rsid w:val="00BE65B4"/>
    <w:rsid w:val="00BE7E8A"/>
    <w:rsid w:val="00BF4CC7"/>
    <w:rsid w:val="00C00F05"/>
    <w:rsid w:val="00C03DBB"/>
    <w:rsid w:val="00C03E65"/>
    <w:rsid w:val="00C06A91"/>
    <w:rsid w:val="00C07EA5"/>
    <w:rsid w:val="00C15C04"/>
    <w:rsid w:val="00C211D3"/>
    <w:rsid w:val="00C22AB2"/>
    <w:rsid w:val="00C232FC"/>
    <w:rsid w:val="00C24412"/>
    <w:rsid w:val="00C2589A"/>
    <w:rsid w:val="00C3017B"/>
    <w:rsid w:val="00C47725"/>
    <w:rsid w:val="00C534DD"/>
    <w:rsid w:val="00C54B7D"/>
    <w:rsid w:val="00C550D1"/>
    <w:rsid w:val="00C56F4F"/>
    <w:rsid w:val="00C572F4"/>
    <w:rsid w:val="00C66EF5"/>
    <w:rsid w:val="00C84365"/>
    <w:rsid w:val="00C85BFF"/>
    <w:rsid w:val="00C87D2F"/>
    <w:rsid w:val="00C91B3B"/>
    <w:rsid w:val="00C97455"/>
    <w:rsid w:val="00CA0664"/>
    <w:rsid w:val="00CA30E3"/>
    <w:rsid w:val="00CB4D3D"/>
    <w:rsid w:val="00CC24E3"/>
    <w:rsid w:val="00CE03B4"/>
    <w:rsid w:val="00CE441D"/>
    <w:rsid w:val="00CE5025"/>
    <w:rsid w:val="00CF25A4"/>
    <w:rsid w:val="00CF2C3B"/>
    <w:rsid w:val="00D02300"/>
    <w:rsid w:val="00D04802"/>
    <w:rsid w:val="00D07482"/>
    <w:rsid w:val="00D1296A"/>
    <w:rsid w:val="00D17448"/>
    <w:rsid w:val="00D26D02"/>
    <w:rsid w:val="00D31152"/>
    <w:rsid w:val="00D3274E"/>
    <w:rsid w:val="00D36161"/>
    <w:rsid w:val="00D36DA0"/>
    <w:rsid w:val="00D40038"/>
    <w:rsid w:val="00D44D6A"/>
    <w:rsid w:val="00D46F6F"/>
    <w:rsid w:val="00D5074E"/>
    <w:rsid w:val="00D91E64"/>
    <w:rsid w:val="00D9319E"/>
    <w:rsid w:val="00D93809"/>
    <w:rsid w:val="00D94EFE"/>
    <w:rsid w:val="00DA16E0"/>
    <w:rsid w:val="00DB1699"/>
    <w:rsid w:val="00DB3B2B"/>
    <w:rsid w:val="00DB5291"/>
    <w:rsid w:val="00DB67A4"/>
    <w:rsid w:val="00DB6D92"/>
    <w:rsid w:val="00DC0170"/>
    <w:rsid w:val="00DE0DEA"/>
    <w:rsid w:val="00DE3335"/>
    <w:rsid w:val="00DF100E"/>
    <w:rsid w:val="00DF3346"/>
    <w:rsid w:val="00E01E6E"/>
    <w:rsid w:val="00E04CBC"/>
    <w:rsid w:val="00E04FA3"/>
    <w:rsid w:val="00E2042C"/>
    <w:rsid w:val="00E2294C"/>
    <w:rsid w:val="00E3187B"/>
    <w:rsid w:val="00E32508"/>
    <w:rsid w:val="00E34E6A"/>
    <w:rsid w:val="00E43617"/>
    <w:rsid w:val="00E4794A"/>
    <w:rsid w:val="00E76A83"/>
    <w:rsid w:val="00E81112"/>
    <w:rsid w:val="00E83F31"/>
    <w:rsid w:val="00E93B9C"/>
    <w:rsid w:val="00E9469D"/>
    <w:rsid w:val="00E94D14"/>
    <w:rsid w:val="00E9586E"/>
    <w:rsid w:val="00EB181A"/>
    <w:rsid w:val="00EB311F"/>
    <w:rsid w:val="00EB6992"/>
    <w:rsid w:val="00EC625F"/>
    <w:rsid w:val="00EC7F2F"/>
    <w:rsid w:val="00ED0015"/>
    <w:rsid w:val="00ED5487"/>
    <w:rsid w:val="00ED5AF8"/>
    <w:rsid w:val="00ED63AF"/>
    <w:rsid w:val="00EE7D5C"/>
    <w:rsid w:val="00EF3E5D"/>
    <w:rsid w:val="00F019A5"/>
    <w:rsid w:val="00F023DA"/>
    <w:rsid w:val="00F131D2"/>
    <w:rsid w:val="00F15007"/>
    <w:rsid w:val="00F17728"/>
    <w:rsid w:val="00F20FCE"/>
    <w:rsid w:val="00F22DEC"/>
    <w:rsid w:val="00F248C2"/>
    <w:rsid w:val="00F26484"/>
    <w:rsid w:val="00F36D84"/>
    <w:rsid w:val="00F438B7"/>
    <w:rsid w:val="00F44503"/>
    <w:rsid w:val="00F461C8"/>
    <w:rsid w:val="00F46783"/>
    <w:rsid w:val="00F46C09"/>
    <w:rsid w:val="00F55E20"/>
    <w:rsid w:val="00F61213"/>
    <w:rsid w:val="00F63E16"/>
    <w:rsid w:val="00F93A41"/>
    <w:rsid w:val="00FB0AFA"/>
    <w:rsid w:val="00FB0DE9"/>
    <w:rsid w:val="00FB26B2"/>
    <w:rsid w:val="00FB494F"/>
    <w:rsid w:val="00FC10BF"/>
    <w:rsid w:val="00FC1C64"/>
    <w:rsid w:val="00FC31A5"/>
    <w:rsid w:val="00FC5C8B"/>
    <w:rsid w:val="00FC64DA"/>
    <w:rsid w:val="00FD02A3"/>
    <w:rsid w:val="00FD0445"/>
    <w:rsid w:val="00FD59FF"/>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238A5-9468-40AA-9F12-2587C827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cp:revision>
  <cp:lastPrinted>2015-07-31T13:09:00Z</cp:lastPrinted>
  <dcterms:created xsi:type="dcterms:W3CDTF">2016-04-17T11:32:00Z</dcterms:created>
  <dcterms:modified xsi:type="dcterms:W3CDTF">2016-04-17T11:32:00Z</dcterms:modified>
</cp:coreProperties>
</file>