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DD4CC3" w:rsidRDefault="003E2779" w:rsidP="00EB75B9">
      <w:pPr>
        <w:jc w:val="center"/>
        <w:rPr>
          <w:rFonts w:asciiTheme="majorHAnsi" w:hAnsiTheme="majorHAnsi"/>
        </w:rPr>
      </w:pPr>
      <w:bookmarkStart w:id="0" w:name="_GoBack"/>
      <w:bookmarkEnd w:id="0"/>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Date: September 15, 2014 – 14:00</w:t>
      </w:r>
    </w:p>
    <w:p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Berlin, Germany – </w:t>
      </w:r>
      <w:proofErr w:type="spellStart"/>
      <w:r w:rsidRPr="00F81073">
        <w:rPr>
          <w:rFonts w:asciiTheme="majorHAnsi" w:hAnsiTheme="majorHAnsi" w:cs="Times New Roman"/>
          <w:b/>
          <w:bCs/>
          <w:sz w:val="22"/>
          <w:szCs w:val="22"/>
          <w:lang w:val="en-US"/>
        </w:rPr>
        <w:t>BDI</w:t>
      </w:r>
      <w:proofErr w:type="spellEnd"/>
    </w:p>
    <w:p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Pr="00F81073">
        <w:rPr>
          <w:rFonts w:asciiTheme="majorHAnsi" w:hAnsiTheme="majorHAnsi" w:cs="Times New Roman"/>
          <w:b/>
          <w:sz w:val="22"/>
          <w:szCs w:val="22"/>
          <w:lang w:val="en-US"/>
        </w:rPr>
        <w:t>: 19</w:t>
      </w:r>
    </w:p>
    <w:p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F81073">
        <w:rPr>
          <w:rFonts w:asciiTheme="majorHAnsi" w:hAnsiTheme="majorHAnsi" w:cs="Times New Roman"/>
          <w:b/>
          <w:sz w:val="22"/>
          <w:szCs w:val="22"/>
        </w:rPr>
        <w:br/>
        <w:t xml:space="preserve">Overview and General Reactions: </w:t>
      </w:r>
      <w:r w:rsidR="005F28E8">
        <w:rPr>
          <w:rFonts w:asciiTheme="majorHAnsi" w:hAnsiTheme="majorHAnsi" w:cs="Times New Roman"/>
          <w:b/>
          <w:sz w:val="22"/>
          <w:szCs w:val="22"/>
        </w:rPr>
        <w:t xml:space="preserve"> </w:t>
      </w:r>
      <w:r w:rsidR="00742F1C">
        <w:rPr>
          <w:rFonts w:asciiTheme="majorHAnsi" w:hAnsiTheme="majorHAnsi" w:cs="Times New Roman"/>
          <w:sz w:val="22"/>
          <w:szCs w:val="22"/>
        </w:rPr>
        <w:t>A consultation session with multiple stakeholde</w:t>
      </w:r>
      <w:r w:rsidR="00BF09E5">
        <w:rPr>
          <w:rFonts w:asciiTheme="majorHAnsi" w:hAnsiTheme="majorHAnsi" w:cs="Times New Roman"/>
          <w:sz w:val="22"/>
          <w:szCs w:val="22"/>
        </w:rPr>
        <w:t>rs took place on September 15</w:t>
      </w:r>
      <w:r w:rsidR="00742F1C">
        <w:rPr>
          <w:rFonts w:asciiTheme="majorHAnsi" w:hAnsiTheme="majorHAnsi" w:cs="Times New Roman"/>
          <w:sz w:val="22"/>
          <w:szCs w:val="22"/>
        </w:rPr>
        <w:t xml:space="preserve">, 2014 at the </w:t>
      </w:r>
      <w:r w:rsidR="002B7484">
        <w:rPr>
          <w:rFonts w:asciiTheme="majorHAnsi" w:hAnsiTheme="majorHAnsi" w:cs="Times New Roman"/>
          <w:sz w:val="22"/>
          <w:szCs w:val="22"/>
        </w:rPr>
        <w:t xml:space="preserve">invitation of </w:t>
      </w:r>
      <w:proofErr w:type="spellStart"/>
      <w:r w:rsidR="00742F1C" w:rsidRPr="00742F1C">
        <w:rPr>
          <w:rFonts w:asciiTheme="majorHAnsi" w:hAnsiTheme="majorHAnsi" w:cs="Times New Roman"/>
          <w:sz w:val="22"/>
          <w:szCs w:val="22"/>
        </w:rPr>
        <w:t>Bundesverband</w:t>
      </w:r>
      <w:proofErr w:type="spellEnd"/>
      <w:r w:rsidR="00742F1C" w:rsidRPr="00742F1C">
        <w:rPr>
          <w:rFonts w:asciiTheme="majorHAnsi" w:hAnsiTheme="majorHAnsi" w:cs="Times New Roman"/>
          <w:sz w:val="22"/>
          <w:szCs w:val="22"/>
        </w:rPr>
        <w:t xml:space="preserve"> der </w:t>
      </w:r>
      <w:proofErr w:type="spellStart"/>
      <w:r w:rsidR="00742F1C" w:rsidRPr="00742F1C">
        <w:rPr>
          <w:rFonts w:asciiTheme="majorHAnsi" w:hAnsiTheme="majorHAnsi" w:cs="Times New Roman"/>
          <w:sz w:val="22"/>
          <w:szCs w:val="22"/>
        </w:rPr>
        <w:t>Deutschen</w:t>
      </w:r>
      <w:proofErr w:type="spellEnd"/>
      <w:r w:rsidR="00742F1C" w:rsidRPr="00742F1C">
        <w:rPr>
          <w:rFonts w:asciiTheme="majorHAnsi" w:hAnsiTheme="majorHAnsi" w:cs="Times New Roman"/>
          <w:sz w:val="22"/>
          <w:szCs w:val="22"/>
        </w:rPr>
        <w:t xml:space="preserve"> </w:t>
      </w:r>
      <w:proofErr w:type="spellStart"/>
      <w:r w:rsidR="00742F1C" w:rsidRPr="00742F1C">
        <w:rPr>
          <w:rFonts w:asciiTheme="majorHAnsi" w:hAnsiTheme="majorHAnsi" w:cs="Times New Roman"/>
          <w:sz w:val="22"/>
          <w:szCs w:val="22"/>
        </w:rPr>
        <w:t>Industrie</w:t>
      </w:r>
      <w:proofErr w:type="spellEnd"/>
      <w:r w:rsidR="00742F1C" w:rsidRPr="00742F1C">
        <w:rPr>
          <w:rFonts w:asciiTheme="majorHAnsi" w:hAnsiTheme="majorHAnsi" w:cs="Times New Roman"/>
          <w:sz w:val="22"/>
          <w:szCs w:val="22"/>
        </w:rPr>
        <w:t xml:space="preserve"> </w:t>
      </w:r>
      <w:r w:rsidR="00742F1C">
        <w:rPr>
          <w:rFonts w:asciiTheme="majorHAnsi" w:hAnsiTheme="majorHAnsi" w:cs="Times New Roman"/>
          <w:sz w:val="22"/>
          <w:szCs w:val="22"/>
        </w:rPr>
        <w:t>(</w:t>
      </w:r>
      <w:proofErr w:type="spellStart"/>
      <w:r w:rsidR="00742F1C">
        <w:rPr>
          <w:rFonts w:asciiTheme="majorHAnsi" w:hAnsiTheme="majorHAnsi" w:cs="Times New Roman"/>
          <w:sz w:val="22"/>
          <w:szCs w:val="22"/>
        </w:rPr>
        <w:t>BDI</w:t>
      </w:r>
      <w:proofErr w:type="spellEnd"/>
      <w:r w:rsidR="00742F1C">
        <w:rPr>
          <w:rFonts w:asciiTheme="majorHAnsi" w:hAnsiTheme="majorHAnsi" w:cs="Times New Roman"/>
          <w:sz w:val="22"/>
          <w:szCs w:val="22"/>
        </w:rPr>
        <w:t xml:space="preserve">) in Berlin, Germany. </w:t>
      </w:r>
      <w:r w:rsidRPr="00F81073">
        <w:rPr>
          <w:rFonts w:asciiTheme="majorHAnsi" w:hAnsiTheme="majorHAnsi"/>
          <w:sz w:val="22"/>
          <w:szCs w:val="22"/>
        </w:rPr>
        <w:t xml:space="preserve">The general response </w:t>
      </w:r>
      <w:r w:rsidR="005F28E8">
        <w:rPr>
          <w:rFonts w:asciiTheme="majorHAnsi" w:hAnsiTheme="majorHAnsi"/>
          <w:sz w:val="22"/>
          <w:szCs w:val="22"/>
        </w:rPr>
        <w:t>to</w:t>
      </w:r>
      <w:r w:rsidRPr="00F81073">
        <w:rPr>
          <w:rFonts w:asciiTheme="majorHAnsi" w:hAnsiTheme="majorHAnsi"/>
          <w:sz w:val="22"/>
          <w:szCs w:val="22"/>
        </w:rPr>
        <w:t xml:space="preserve"> the reform </w:t>
      </w:r>
      <w:r w:rsidR="005F28E8">
        <w:rPr>
          <w:rFonts w:asciiTheme="majorHAnsi" w:hAnsiTheme="majorHAnsi"/>
          <w:sz w:val="22"/>
          <w:szCs w:val="22"/>
        </w:rPr>
        <w:t>was positive</w:t>
      </w:r>
      <w:r w:rsidRPr="00F81073">
        <w:rPr>
          <w:rFonts w:asciiTheme="majorHAnsi" w:hAnsiTheme="majorHAnsi"/>
          <w:sz w:val="22"/>
          <w:szCs w:val="22"/>
        </w:rPr>
        <w:t xml:space="preserve">, with most concerns </w:t>
      </w:r>
      <w:r w:rsidR="002B7484">
        <w:rPr>
          <w:rFonts w:asciiTheme="majorHAnsi" w:hAnsiTheme="majorHAnsi"/>
          <w:sz w:val="22"/>
          <w:szCs w:val="22"/>
        </w:rPr>
        <w:t xml:space="preserve">expressed by these stakeholders in the first consultation phase </w:t>
      </w:r>
      <w:proofErr w:type="gramStart"/>
      <w:r w:rsidR="005F28E8">
        <w:rPr>
          <w:rFonts w:asciiTheme="majorHAnsi" w:hAnsiTheme="majorHAnsi"/>
          <w:sz w:val="22"/>
          <w:szCs w:val="22"/>
        </w:rPr>
        <w:t>being covered</w:t>
      </w:r>
      <w:proofErr w:type="gramEnd"/>
      <w:r w:rsidR="005F28E8">
        <w:rPr>
          <w:rFonts w:asciiTheme="majorHAnsi" w:hAnsiTheme="majorHAnsi"/>
          <w:sz w:val="22"/>
          <w:szCs w:val="22"/>
        </w:rPr>
        <w:t xml:space="preserve">.  Value for </w:t>
      </w:r>
      <w:r w:rsidRPr="00F81073">
        <w:rPr>
          <w:rFonts w:asciiTheme="majorHAnsi" w:hAnsiTheme="majorHAnsi"/>
          <w:sz w:val="22"/>
          <w:szCs w:val="22"/>
        </w:rPr>
        <w:t>M</w:t>
      </w:r>
      <w:r w:rsidR="005F28E8">
        <w:rPr>
          <w:rFonts w:asciiTheme="majorHAnsi" w:hAnsiTheme="majorHAnsi"/>
          <w:sz w:val="22"/>
          <w:szCs w:val="22"/>
        </w:rPr>
        <w:t>oney (</w:t>
      </w:r>
      <w:proofErr w:type="spellStart"/>
      <w:r w:rsidR="005F28E8">
        <w:rPr>
          <w:rFonts w:asciiTheme="majorHAnsi" w:hAnsiTheme="majorHAnsi"/>
          <w:sz w:val="22"/>
          <w:szCs w:val="22"/>
        </w:rPr>
        <w:t>VfM</w:t>
      </w:r>
      <w:proofErr w:type="spellEnd"/>
      <w:r w:rsidR="005F28E8">
        <w:rPr>
          <w:rFonts w:asciiTheme="majorHAnsi" w:hAnsiTheme="majorHAnsi"/>
          <w:sz w:val="22"/>
          <w:szCs w:val="22"/>
        </w:rPr>
        <w:t>)</w:t>
      </w:r>
      <w:r w:rsidRPr="00F81073">
        <w:rPr>
          <w:rFonts w:asciiTheme="majorHAnsi" w:hAnsiTheme="majorHAnsi"/>
          <w:sz w:val="22"/>
          <w:szCs w:val="22"/>
        </w:rPr>
        <w:t xml:space="preserve"> and sustainable results further </w:t>
      </w:r>
      <w:r w:rsidR="005F28E8">
        <w:rPr>
          <w:rFonts w:asciiTheme="majorHAnsi" w:hAnsiTheme="majorHAnsi"/>
          <w:sz w:val="22"/>
          <w:szCs w:val="22"/>
        </w:rPr>
        <w:t>detailed that</w:t>
      </w:r>
      <w:r w:rsidRPr="00F81073">
        <w:rPr>
          <w:rFonts w:asciiTheme="majorHAnsi" w:hAnsiTheme="majorHAnsi"/>
          <w:sz w:val="22"/>
          <w:szCs w:val="22"/>
        </w:rPr>
        <w:t xml:space="preserve"> the reform was continuing in the right direction.  Some of the main concerns included worry about defining acceptable procurement standards, especially when considering the need to ensure quality and integrity, with a high importance placed on sustainable criteria, or the quality of life cycle evaluation.  </w:t>
      </w:r>
      <w:r w:rsidRPr="00F81073">
        <w:rPr>
          <w:rFonts w:asciiTheme="majorHAnsi" w:hAnsiTheme="majorHAnsi" w:cs="Times New Roman"/>
          <w:sz w:val="22"/>
          <w:szCs w:val="22"/>
        </w:rPr>
        <w:t xml:space="preserve">Overall, the consultations were successful for the parties involved, though it </w:t>
      </w:r>
      <w:proofErr w:type="gramStart"/>
      <w:r w:rsidRPr="00F81073">
        <w:rPr>
          <w:rFonts w:asciiTheme="majorHAnsi" w:hAnsiTheme="majorHAnsi" w:cs="Times New Roman"/>
          <w:sz w:val="22"/>
          <w:szCs w:val="22"/>
        </w:rPr>
        <w:t>was expressed</w:t>
      </w:r>
      <w:proofErr w:type="gramEnd"/>
      <w:r w:rsidRPr="00F81073">
        <w:rPr>
          <w:rFonts w:asciiTheme="majorHAnsi" w:hAnsiTheme="majorHAnsi" w:cs="Times New Roman"/>
          <w:sz w:val="22"/>
          <w:szCs w:val="22"/>
        </w:rPr>
        <w:t xml:space="preserve"> that stakeholders would like to see more sustainability, and more tran</w:t>
      </w:r>
      <w:r w:rsidR="005F28E8">
        <w:rPr>
          <w:rFonts w:asciiTheme="majorHAnsi" w:hAnsiTheme="majorHAnsi" w:cs="Times New Roman"/>
          <w:sz w:val="22"/>
          <w:szCs w:val="22"/>
        </w:rPr>
        <w:t>sparency as we continue forward</w:t>
      </w:r>
      <w:r w:rsidRPr="00F81073">
        <w:rPr>
          <w:rFonts w:asciiTheme="majorHAnsi" w:hAnsiTheme="majorHAnsi" w:cs="Times New Roman"/>
          <w:sz w:val="22"/>
          <w:szCs w:val="22"/>
        </w:rPr>
        <w:t xml:space="preserve">.  </w:t>
      </w:r>
    </w:p>
    <w:p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rsidTr="002C093B">
        <w:trPr>
          <w:trHeight w:val="70"/>
        </w:trPr>
        <w:tc>
          <w:tcPr>
            <w:tcW w:w="13320" w:type="dxa"/>
            <w:shd w:val="clear" w:color="auto" w:fill="DBE5F1" w:themeFill="accent1" w:themeFillTint="33"/>
          </w:tcPr>
          <w:p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rsidTr="002C093B">
        <w:tblPrEx>
          <w:tblCellMar>
            <w:left w:w="0" w:type="dxa"/>
            <w:right w:w="0" w:type="dxa"/>
          </w:tblCellMar>
        </w:tblPrEx>
        <w:trPr>
          <w:trHeight w:val="70"/>
        </w:trPr>
        <w:tc>
          <w:tcPr>
            <w:tcW w:w="13320" w:type="dxa"/>
            <w:shd w:val="clear" w:color="auto" w:fill="DBE5F1" w:themeFill="accent1" w:themeFillTint="33"/>
          </w:tcPr>
          <w:p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 xml:space="preserve">How should the Bank implement support to </w:t>
            </w:r>
            <w:proofErr w:type="gramStart"/>
            <w:r w:rsidRPr="00F81073">
              <w:rPr>
                <w:rFonts w:asciiTheme="majorHAnsi" w:hAnsiTheme="majorHAnsi"/>
                <w:b/>
                <w:bCs/>
                <w:color w:val="17365D" w:themeColor="text2" w:themeShade="BF"/>
                <w:sz w:val="22"/>
                <w:szCs w:val="22"/>
              </w:rPr>
              <w:t>borrower procurement capacity building</w:t>
            </w:r>
            <w:proofErr w:type="gramEnd"/>
            <w:r w:rsidRPr="00F81073">
              <w:rPr>
                <w:rFonts w:asciiTheme="majorHAnsi" w:hAnsiTheme="majorHAnsi"/>
                <w:b/>
                <w:bCs/>
                <w:color w:val="17365D" w:themeColor="text2" w:themeShade="BF"/>
                <w:sz w:val="22"/>
                <w:szCs w:val="22"/>
              </w:rPr>
              <w:t xml:space="preserve"> and institutional strengthening?</w:t>
            </w:r>
          </w:p>
        </w:tc>
      </w:tr>
      <w:tr w:rsidR="002E23E9" w:rsidRPr="00F81073" w:rsidTr="006A6B03">
        <w:trPr>
          <w:trHeight w:val="980"/>
        </w:trPr>
        <w:tc>
          <w:tcPr>
            <w:tcW w:w="13320" w:type="dxa"/>
            <w:shd w:val="clear" w:color="auto" w:fill="auto"/>
          </w:tcPr>
          <w:p w:rsidR="00F81073" w:rsidRPr="00F81073" w:rsidRDefault="00BF09E5" w:rsidP="00F81073">
            <w:pPr>
              <w:pStyle w:val="ListParagraph"/>
              <w:numPr>
                <w:ilvl w:val="0"/>
                <w:numId w:val="11"/>
              </w:numPr>
              <w:tabs>
                <w:tab w:val="left" w:pos="7920"/>
              </w:tabs>
              <w:rPr>
                <w:rFonts w:asciiTheme="majorHAnsi" w:hAnsiTheme="majorHAnsi"/>
                <w:sz w:val="22"/>
                <w:szCs w:val="22"/>
              </w:rPr>
            </w:pPr>
            <w:r>
              <w:rPr>
                <w:rFonts w:asciiTheme="majorHAnsi" w:hAnsiTheme="majorHAnsi"/>
                <w:sz w:val="22"/>
                <w:szCs w:val="22"/>
              </w:rPr>
              <w:t>Participants suggested offering</w:t>
            </w:r>
            <w:r w:rsidR="005F28E8">
              <w:rPr>
                <w:rFonts w:asciiTheme="majorHAnsi" w:hAnsiTheme="majorHAnsi"/>
                <w:sz w:val="22"/>
                <w:szCs w:val="22"/>
              </w:rPr>
              <w:t xml:space="preserve"> </w:t>
            </w:r>
            <w:r w:rsidR="00F81073" w:rsidRPr="00F81073">
              <w:rPr>
                <w:rFonts w:asciiTheme="majorHAnsi" w:hAnsiTheme="majorHAnsi"/>
                <w:sz w:val="22"/>
                <w:szCs w:val="22"/>
              </w:rPr>
              <w:t>more choices and</w:t>
            </w:r>
            <w:r w:rsidR="005F28E8">
              <w:rPr>
                <w:rFonts w:asciiTheme="majorHAnsi" w:hAnsiTheme="majorHAnsi"/>
                <w:sz w:val="22"/>
                <w:szCs w:val="22"/>
              </w:rPr>
              <w:t xml:space="preserve"> more</w:t>
            </w:r>
            <w:r w:rsidR="00F81073" w:rsidRPr="00F81073">
              <w:rPr>
                <w:rFonts w:asciiTheme="majorHAnsi" w:hAnsiTheme="majorHAnsi"/>
                <w:sz w:val="22"/>
                <w:szCs w:val="22"/>
              </w:rPr>
              <w:t xml:space="preserve"> guidance </w:t>
            </w:r>
            <w:r w:rsidR="005F28E8">
              <w:rPr>
                <w:rFonts w:asciiTheme="majorHAnsi" w:hAnsiTheme="majorHAnsi"/>
                <w:sz w:val="22"/>
                <w:szCs w:val="22"/>
              </w:rPr>
              <w:t xml:space="preserve">to the borrower to </w:t>
            </w:r>
            <w:r w:rsidR="00F81073" w:rsidRPr="00F81073">
              <w:rPr>
                <w:rFonts w:asciiTheme="majorHAnsi" w:hAnsiTheme="majorHAnsi"/>
                <w:sz w:val="22"/>
                <w:szCs w:val="22"/>
              </w:rPr>
              <w:t xml:space="preserve">enable the borrower to make </w:t>
            </w:r>
            <w:r>
              <w:rPr>
                <w:rFonts w:asciiTheme="majorHAnsi" w:hAnsiTheme="majorHAnsi"/>
                <w:sz w:val="22"/>
                <w:szCs w:val="22"/>
              </w:rPr>
              <w:t>as informed a decision as possible</w:t>
            </w:r>
            <w:r w:rsidR="005F28E8">
              <w:rPr>
                <w:rFonts w:asciiTheme="majorHAnsi" w:hAnsiTheme="majorHAnsi"/>
                <w:sz w:val="22"/>
                <w:szCs w:val="22"/>
              </w:rPr>
              <w:t xml:space="preserve">. </w:t>
            </w:r>
            <w:r w:rsidR="00F81073" w:rsidRPr="00F81073">
              <w:rPr>
                <w:rFonts w:asciiTheme="majorHAnsi" w:hAnsiTheme="majorHAnsi"/>
                <w:sz w:val="22"/>
                <w:szCs w:val="22"/>
              </w:rPr>
              <w:t xml:space="preserve"> </w:t>
            </w:r>
          </w:p>
          <w:p w:rsidR="00F81073" w:rsidRPr="00F81073" w:rsidRDefault="00BF09E5" w:rsidP="00F81073">
            <w:pPr>
              <w:pStyle w:val="ListParagraph"/>
              <w:numPr>
                <w:ilvl w:val="0"/>
                <w:numId w:val="11"/>
              </w:numPr>
              <w:tabs>
                <w:tab w:val="left" w:pos="7920"/>
              </w:tabs>
              <w:rPr>
                <w:rFonts w:asciiTheme="majorHAnsi" w:hAnsiTheme="majorHAnsi" w:cs="Times New Roman"/>
                <w:sz w:val="22"/>
                <w:szCs w:val="22"/>
              </w:rPr>
            </w:pPr>
            <w:r>
              <w:rPr>
                <w:rFonts w:asciiTheme="majorHAnsi" w:hAnsiTheme="majorHAnsi"/>
                <w:sz w:val="22"/>
                <w:szCs w:val="22"/>
              </w:rPr>
              <w:t xml:space="preserve">It was also noted that the </w:t>
            </w:r>
            <w:proofErr w:type="gramStart"/>
            <w:r>
              <w:rPr>
                <w:rFonts w:asciiTheme="majorHAnsi" w:hAnsiTheme="majorHAnsi"/>
                <w:sz w:val="22"/>
                <w:szCs w:val="22"/>
              </w:rPr>
              <w:t>procurement</w:t>
            </w:r>
            <w:r w:rsidR="00F81073" w:rsidRPr="00F81073">
              <w:rPr>
                <w:rFonts w:asciiTheme="majorHAnsi" w:hAnsiTheme="majorHAnsi"/>
                <w:sz w:val="22"/>
                <w:szCs w:val="22"/>
              </w:rPr>
              <w:t xml:space="preserve"> plan</w:t>
            </w:r>
            <w:r>
              <w:rPr>
                <w:rFonts w:asciiTheme="majorHAnsi" w:hAnsiTheme="majorHAnsi"/>
                <w:sz w:val="22"/>
                <w:szCs w:val="22"/>
              </w:rPr>
              <w:t xml:space="preserve"> should be </w:t>
            </w:r>
            <w:r w:rsidR="00F81073" w:rsidRPr="00F81073">
              <w:rPr>
                <w:rFonts w:asciiTheme="majorHAnsi" w:hAnsiTheme="majorHAnsi"/>
                <w:sz w:val="22"/>
                <w:szCs w:val="22"/>
              </w:rPr>
              <w:t>signed off by the Bank</w:t>
            </w:r>
            <w:proofErr w:type="gramEnd"/>
            <w:r w:rsidR="00F81073" w:rsidRPr="00F81073">
              <w:rPr>
                <w:rFonts w:asciiTheme="majorHAnsi" w:hAnsiTheme="majorHAnsi"/>
                <w:sz w:val="22"/>
                <w:szCs w:val="22"/>
              </w:rPr>
              <w:t>,</w:t>
            </w:r>
            <w:r w:rsidR="005F28E8">
              <w:rPr>
                <w:rFonts w:asciiTheme="majorHAnsi" w:hAnsiTheme="majorHAnsi"/>
                <w:sz w:val="22"/>
                <w:szCs w:val="22"/>
              </w:rPr>
              <w:t xml:space="preserve"> </w:t>
            </w:r>
            <w:r>
              <w:rPr>
                <w:rFonts w:asciiTheme="majorHAnsi" w:hAnsiTheme="majorHAnsi"/>
                <w:sz w:val="22"/>
                <w:szCs w:val="22"/>
              </w:rPr>
              <w:t>while</w:t>
            </w:r>
            <w:r w:rsidR="00F81073" w:rsidRPr="00F81073">
              <w:rPr>
                <w:rFonts w:asciiTheme="majorHAnsi" w:hAnsiTheme="majorHAnsi"/>
                <w:sz w:val="22"/>
                <w:szCs w:val="22"/>
              </w:rPr>
              <w:t xml:space="preserve"> high risk/high value </w:t>
            </w:r>
            <w:r w:rsidR="005F28E8">
              <w:rPr>
                <w:rFonts w:asciiTheme="majorHAnsi" w:hAnsiTheme="majorHAnsi"/>
                <w:sz w:val="22"/>
                <w:szCs w:val="22"/>
              </w:rPr>
              <w:t xml:space="preserve">contracts </w:t>
            </w:r>
            <w:r w:rsidR="00F81073" w:rsidRPr="00F81073">
              <w:rPr>
                <w:rFonts w:asciiTheme="majorHAnsi" w:hAnsiTheme="majorHAnsi"/>
                <w:sz w:val="22"/>
                <w:szCs w:val="22"/>
              </w:rPr>
              <w:t>should be signed off by C</w:t>
            </w:r>
            <w:r w:rsidR="005F28E8">
              <w:rPr>
                <w:rFonts w:asciiTheme="majorHAnsi" w:hAnsiTheme="majorHAnsi"/>
                <w:sz w:val="22"/>
                <w:szCs w:val="22"/>
              </w:rPr>
              <w:t xml:space="preserve">hief </w:t>
            </w:r>
            <w:r w:rsidR="00F81073" w:rsidRPr="00F81073">
              <w:rPr>
                <w:rFonts w:asciiTheme="majorHAnsi" w:hAnsiTheme="majorHAnsi"/>
                <w:sz w:val="22"/>
                <w:szCs w:val="22"/>
              </w:rPr>
              <w:t>P</w:t>
            </w:r>
            <w:r w:rsidR="005F28E8">
              <w:rPr>
                <w:rFonts w:asciiTheme="majorHAnsi" w:hAnsiTheme="majorHAnsi"/>
                <w:sz w:val="22"/>
                <w:szCs w:val="22"/>
              </w:rPr>
              <w:t xml:space="preserve">rocurement </w:t>
            </w:r>
            <w:r w:rsidR="00F81073" w:rsidRPr="00F81073">
              <w:rPr>
                <w:rFonts w:asciiTheme="majorHAnsi" w:hAnsiTheme="majorHAnsi"/>
                <w:sz w:val="22"/>
                <w:szCs w:val="22"/>
              </w:rPr>
              <w:t>O</w:t>
            </w:r>
            <w:r w:rsidR="005F28E8">
              <w:rPr>
                <w:rFonts w:asciiTheme="majorHAnsi" w:hAnsiTheme="majorHAnsi"/>
                <w:sz w:val="22"/>
                <w:szCs w:val="22"/>
              </w:rPr>
              <w:t>fficer (</w:t>
            </w:r>
            <w:proofErr w:type="spellStart"/>
            <w:r w:rsidR="005F28E8">
              <w:rPr>
                <w:rFonts w:asciiTheme="majorHAnsi" w:hAnsiTheme="majorHAnsi"/>
                <w:sz w:val="22"/>
                <w:szCs w:val="22"/>
              </w:rPr>
              <w:t>CPO</w:t>
            </w:r>
            <w:proofErr w:type="spellEnd"/>
            <w:r w:rsidR="005F28E8">
              <w:rPr>
                <w:rFonts w:asciiTheme="majorHAnsi" w:hAnsiTheme="majorHAnsi"/>
                <w:sz w:val="22"/>
                <w:szCs w:val="22"/>
              </w:rPr>
              <w:t>).</w:t>
            </w:r>
          </w:p>
          <w:p w:rsidR="00C21CEC" w:rsidRPr="00C21CEC" w:rsidRDefault="005F28E8" w:rsidP="00BF09E5">
            <w:pPr>
              <w:pStyle w:val="ListParagraph"/>
              <w:numPr>
                <w:ilvl w:val="0"/>
                <w:numId w:val="11"/>
              </w:numPr>
              <w:suppressAutoHyphens w:val="0"/>
              <w:spacing w:after="0" w:line="276" w:lineRule="auto"/>
              <w:rPr>
                <w:rFonts w:asciiTheme="majorHAnsi" w:hAnsiTheme="majorHAnsi" w:cs="Times New Roman"/>
                <w:bCs/>
                <w:sz w:val="22"/>
                <w:szCs w:val="22"/>
              </w:rPr>
            </w:pPr>
            <w:r>
              <w:rPr>
                <w:rFonts w:asciiTheme="majorHAnsi" w:hAnsiTheme="majorHAnsi"/>
                <w:sz w:val="22"/>
                <w:szCs w:val="22"/>
              </w:rPr>
              <w:t>The Bank</w:t>
            </w:r>
            <w:r w:rsidR="00F81073" w:rsidRPr="00F81073">
              <w:rPr>
                <w:rFonts w:asciiTheme="majorHAnsi" w:hAnsiTheme="majorHAnsi"/>
                <w:sz w:val="22"/>
                <w:szCs w:val="22"/>
              </w:rPr>
              <w:t xml:space="preserve"> </w:t>
            </w:r>
            <w:r w:rsidR="00BF09E5">
              <w:rPr>
                <w:rFonts w:asciiTheme="majorHAnsi" w:hAnsiTheme="majorHAnsi"/>
                <w:sz w:val="22"/>
                <w:szCs w:val="22"/>
              </w:rPr>
              <w:t>should</w:t>
            </w:r>
            <w:r w:rsidR="00F81073" w:rsidRPr="00F81073">
              <w:rPr>
                <w:rFonts w:asciiTheme="majorHAnsi" w:hAnsiTheme="majorHAnsi"/>
                <w:sz w:val="22"/>
                <w:szCs w:val="22"/>
              </w:rPr>
              <w:t xml:space="preserve"> to design a sustainable capacity-training program that is </w:t>
            </w:r>
            <w:r w:rsidR="00BF09E5">
              <w:rPr>
                <w:rFonts w:asciiTheme="majorHAnsi" w:hAnsiTheme="majorHAnsi"/>
                <w:sz w:val="22"/>
                <w:szCs w:val="22"/>
              </w:rPr>
              <w:t xml:space="preserve">more </w:t>
            </w:r>
            <w:r w:rsidR="00F81073" w:rsidRPr="00F81073">
              <w:rPr>
                <w:rFonts w:asciiTheme="majorHAnsi" w:hAnsiTheme="majorHAnsi"/>
                <w:sz w:val="22"/>
                <w:szCs w:val="22"/>
              </w:rPr>
              <w:t>efficient</w:t>
            </w:r>
            <w:r>
              <w:rPr>
                <w:rFonts w:asciiTheme="majorHAnsi" w:hAnsiTheme="majorHAnsi"/>
                <w:sz w:val="22"/>
                <w:szCs w:val="22"/>
              </w:rPr>
              <w:t xml:space="preserve"> on a lower budget. </w:t>
            </w:r>
          </w:p>
          <w:p w:rsidR="002E23E9" w:rsidRPr="00F81073" w:rsidRDefault="00C21CEC" w:rsidP="00BF09E5">
            <w:pPr>
              <w:pStyle w:val="ListParagraph"/>
              <w:numPr>
                <w:ilvl w:val="0"/>
                <w:numId w:val="11"/>
              </w:numPr>
              <w:suppressAutoHyphens w:val="0"/>
              <w:spacing w:after="0" w:line="276" w:lineRule="auto"/>
              <w:rPr>
                <w:rFonts w:asciiTheme="majorHAnsi" w:hAnsiTheme="majorHAnsi" w:cs="Times New Roman"/>
                <w:bCs/>
                <w:sz w:val="22"/>
                <w:szCs w:val="22"/>
              </w:rPr>
            </w:pPr>
            <w:r>
              <w:rPr>
                <w:rFonts w:asciiTheme="majorHAnsi" w:hAnsiTheme="majorHAnsi"/>
                <w:sz w:val="22"/>
                <w:szCs w:val="22"/>
              </w:rPr>
              <w:t xml:space="preserve">The </w:t>
            </w:r>
            <w:r w:rsidRPr="00F81073">
              <w:rPr>
                <w:rFonts w:asciiTheme="majorHAnsi" w:hAnsiTheme="majorHAnsi"/>
                <w:sz w:val="22"/>
                <w:szCs w:val="22"/>
              </w:rPr>
              <w:t>Bank needs to maintain leadership in procurement with high capacity</w:t>
            </w:r>
            <w:r>
              <w:rPr>
                <w:rFonts w:asciiTheme="majorHAnsi" w:hAnsiTheme="majorHAnsi"/>
                <w:sz w:val="22"/>
                <w:szCs w:val="22"/>
              </w:rPr>
              <w:t xml:space="preserve"> and institution </w:t>
            </w:r>
            <w:r w:rsidRPr="00F81073">
              <w:rPr>
                <w:rFonts w:asciiTheme="majorHAnsi" w:hAnsiTheme="majorHAnsi"/>
                <w:sz w:val="22"/>
                <w:szCs w:val="22"/>
              </w:rPr>
              <w:t>building.</w:t>
            </w:r>
          </w:p>
        </w:tc>
      </w:tr>
      <w:tr w:rsidR="00A840E8" w:rsidRPr="00F81073" w:rsidTr="002C093B">
        <w:tblPrEx>
          <w:tblCellMar>
            <w:left w:w="0" w:type="dxa"/>
            <w:right w:w="0" w:type="dxa"/>
          </w:tblCellMar>
        </w:tblPrEx>
        <w:trPr>
          <w:trHeight w:val="70"/>
        </w:trPr>
        <w:tc>
          <w:tcPr>
            <w:tcW w:w="13320" w:type="dxa"/>
            <w:shd w:val="clear" w:color="auto" w:fill="DBE5F1" w:themeFill="accent1" w:themeFillTint="33"/>
          </w:tcPr>
          <w:p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 xml:space="preserve">How should the Bank operationalize the potential broader use of value-for-money criteria in </w:t>
            </w:r>
            <w:proofErr w:type="gramStart"/>
            <w:r w:rsidRPr="00F81073">
              <w:rPr>
                <w:rFonts w:asciiTheme="majorHAnsi" w:eastAsia="Batang" w:hAnsiTheme="majorHAnsi"/>
                <w:b/>
                <w:bCs/>
                <w:color w:val="17365D" w:themeColor="text2" w:themeShade="BF"/>
                <w:sz w:val="22"/>
                <w:szCs w:val="22"/>
              </w:rPr>
              <w:t xml:space="preserve">borrower contract award </w:t>
            </w:r>
            <w:r w:rsidRPr="00F81073">
              <w:rPr>
                <w:rFonts w:asciiTheme="majorHAnsi" w:eastAsia="Batang" w:hAnsiTheme="majorHAnsi"/>
                <w:b/>
                <w:bCs/>
                <w:color w:val="17365D" w:themeColor="text2" w:themeShade="BF"/>
                <w:sz w:val="22"/>
                <w:szCs w:val="22"/>
              </w:rPr>
              <w:lastRenderedPageBreak/>
              <w:t>decisions</w:t>
            </w:r>
            <w:proofErr w:type="gramEnd"/>
            <w:r w:rsidRPr="00F81073">
              <w:rPr>
                <w:rFonts w:asciiTheme="majorHAnsi" w:eastAsia="Batang" w:hAnsiTheme="majorHAnsi"/>
                <w:b/>
                <w:bCs/>
                <w:color w:val="17365D" w:themeColor="text2" w:themeShade="BF"/>
                <w:sz w:val="22"/>
                <w:szCs w:val="22"/>
              </w:rPr>
              <w:t>?</w:t>
            </w:r>
          </w:p>
        </w:tc>
      </w:tr>
      <w:tr w:rsidR="00F81073" w:rsidRPr="00F81073" w:rsidTr="00C21CEC">
        <w:trPr>
          <w:trHeight w:val="728"/>
        </w:trPr>
        <w:tc>
          <w:tcPr>
            <w:tcW w:w="13320" w:type="dxa"/>
            <w:shd w:val="clear" w:color="auto" w:fill="auto"/>
          </w:tcPr>
          <w:p w:rsidR="00F81073" w:rsidRPr="006518CB" w:rsidRDefault="005F28E8" w:rsidP="006518CB">
            <w:pPr>
              <w:pStyle w:val="ListParagraph"/>
              <w:numPr>
                <w:ilvl w:val="0"/>
                <w:numId w:val="41"/>
              </w:numPr>
              <w:tabs>
                <w:tab w:val="left" w:pos="7920"/>
              </w:tabs>
              <w:rPr>
                <w:rFonts w:asciiTheme="majorHAnsi" w:hAnsiTheme="majorHAnsi" w:cs="Times New Roman"/>
                <w:sz w:val="22"/>
                <w:szCs w:val="22"/>
              </w:rPr>
            </w:pPr>
            <w:r>
              <w:rPr>
                <w:rFonts w:asciiTheme="majorHAnsi" w:hAnsiTheme="majorHAnsi"/>
                <w:sz w:val="22"/>
                <w:szCs w:val="22"/>
              </w:rPr>
              <w:lastRenderedPageBreak/>
              <w:t>A</w:t>
            </w:r>
            <w:r w:rsidR="00F81073" w:rsidRPr="00F81073">
              <w:rPr>
                <w:rFonts w:asciiTheme="majorHAnsi" w:hAnsiTheme="majorHAnsi"/>
                <w:sz w:val="22"/>
                <w:szCs w:val="22"/>
              </w:rPr>
              <w:t>ltern</w:t>
            </w:r>
            <w:r>
              <w:rPr>
                <w:rFonts w:asciiTheme="majorHAnsi" w:hAnsiTheme="majorHAnsi"/>
                <w:sz w:val="22"/>
                <w:szCs w:val="22"/>
              </w:rPr>
              <w:t xml:space="preserve">ative procurement arrangements can have significant </w:t>
            </w:r>
            <w:r w:rsidR="00C21CEC">
              <w:rPr>
                <w:rFonts w:asciiTheme="majorHAnsi" w:hAnsiTheme="majorHAnsi"/>
                <w:sz w:val="22"/>
                <w:szCs w:val="22"/>
              </w:rPr>
              <w:t>consequences;</w:t>
            </w:r>
            <w:r>
              <w:rPr>
                <w:rFonts w:asciiTheme="majorHAnsi" w:hAnsiTheme="majorHAnsi"/>
                <w:sz w:val="22"/>
                <w:szCs w:val="22"/>
              </w:rPr>
              <w:t xml:space="preserve"> </w:t>
            </w:r>
            <w:proofErr w:type="gramStart"/>
            <w:r>
              <w:rPr>
                <w:rFonts w:asciiTheme="majorHAnsi" w:hAnsiTheme="majorHAnsi"/>
                <w:sz w:val="22"/>
                <w:szCs w:val="22"/>
              </w:rPr>
              <w:t>therefore</w:t>
            </w:r>
            <w:proofErr w:type="gramEnd"/>
            <w:r>
              <w:rPr>
                <w:rFonts w:asciiTheme="majorHAnsi" w:hAnsiTheme="majorHAnsi"/>
                <w:sz w:val="22"/>
                <w:szCs w:val="22"/>
              </w:rPr>
              <w:t xml:space="preserve"> the Bank needs to ensure the procurement process is </w:t>
            </w:r>
            <w:proofErr w:type="spellStart"/>
            <w:r>
              <w:rPr>
                <w:rFonts w:asciiTheme="majorHAnsi" w:hAnsiTheme="majorHAnsi"/>
                <w:sz w:val="22"/>
                <w:szCs w:val="22"/>
              </w:rPr>
              <w:t>throroughly</w:t>
            </w:r>
            <w:proofErr w:type="spellEnd"/>
            <w:r>
              <w:rPr>
                <w:rFonts w:asciiTheme="majorHAnsi" w:hAnsiTheme="majorHAnsi"/>
                <w:sz w:val="22"/>
                <w:szCs w:val="22"/>
              </w:rPr>
              <w:t xml:space="preserve"> monitored. </w:t>
            </w:r>
          </w:p>
          <w:p w:rsidR="006518CB" w:rsidRPr="006518CB" w:rsidRDefault="006518CB" w:rsidP="006518CB">
            <w:pPr>
              <w:pStyle w:val="ListParagraph"/>
              <w:numPr>
                <w:ilvl w:val="0"/>
                <w:numId w:val="41"/>
              </w:numPr>
              <w:tabs>
                <w:tab w:val="left" w:pos="7920"/>
              </w:tabs>
              <w:rPr>
                <w:rFonts w:asciiTheme="majorHAnsi" w:hAnsiTheme="majorHAnsi"/>
                <w:sz w:val="22"/>
                <w:szCs w:val="22"/>
              </w:rPr>
            </w:pPr>
            <w:r>
              <w:rPr>
                <w:rFonts w:asciiTheme="majorHAnsi" w:hAnsiTheme="majorHAnsi"/>
                <w:sz w:val="22"/>
                <w:szCs w:val="22"/>
              </w:rPr>
              <w:t>The Bank</w:t>
            </w:r>
            <w:r w:rsidRPr="00F81073">
              <w:rPr>
                <w:rFonts w:asciiTheme="majorHAnsi" w:hAnsiTheme="majorHAnsi"/>
                <w:sz w:val="22"/>
                <w:szCs w:val="22"/>
              </w:rPr>
              <w:t xml:space="preserve"> need</w:t>
            </w:r>
            <w:r>
              <w:rPr>
                <w:rFonts w:asciiTheme="majorHAnsi" w:hAnsiTheme="majorHAnsi"/>
                <w:sz w:val="22"/>
                <w:szCs w:val="22"/>
              </w:rPr>
              <w:t>s to provide</w:t>
            </w:r>
            <w:r w:rsidRPr="00F81073">
              <w:rPr>
                <w:rFonts w:asciiTheme="majorHAnsi" w:hAnsiTheme="majorHAnsi"/>
                <w:sz w:val="22"/>
                <w:szCs w:val="22"/>
              </w:rPr>
              <w:t xml:space="preserve"> full transparency on the point of pre-defined non-price attributes. </w:t>
            </w:r>
          </w:p>
        </w:tc>
      </w:tr>
      <w:tr w:rsidR="00941C03" w:rsidRPr="00F81073" w:rsidTr="002C093B">
        <w:tblPrEx>
          <w:tblCellMar>
            <w:left w:w="0" w:type="dxa"/>
            <w:right w:w="0" w:type="dxa"/>
          </w:tblCellMar>
        </w:tblPrEx>
        <w:trPr>
          <w:trHeight w:val="458"/>
        </w:trPr>
        <w:tc>
          <w:tcPr>
            <w:tcW w:w="13320" w:type="dxa"/>
            <w:shd w:val="clear" w:color="auto" w:fill="DBE5F1" w:themeFill="accent1" w:themeFillTint="33"/>
          </w:tcPr>
          <w:p w:rsidR="00222A7F" w:rsidRPr="00F81073"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target its procurement staff resources to get the best results?</w:t>
            </w:r>
          </w:p>
          <w:p w:rsidR="00941C03" w:rsidRPr="00F81073" w:rsidRDefault="00941C03" w:rsidP="00DB01C2">
            <w:pPr>
              <w:snapToGrid w:val="0"/>
              <w:ind w:left="180" w:right="180"/>
              <w:rPr>
                <w:rFonts w:asciiTheme="majorHAnsi" w:eastAsia="Batang" w:hAnsiTheme="majorHAnsi"/>
                <w:color w:val="17365D" w:themeColor="text2" w:themeShade="BF"/>
                <w:sz w:val="22"/>
                <w:szCs w:val="22"/>
              </w:rPr>
            </w:pPr>
          </w:p>
        </w:tc>
      </w:tr>
      <w:tr w:rsidR="002E23E9" w:rsidRPr="00F81073" w:rsidTr="00F81073">
        <w:trPr>
          <w:trHeight w:val="576"/>
        </w:trPr>
        <w:tc>
          <w:tcPr>
            <w:tcW w:w="13320" w:type="dxa"/>
            <w:shd w:val="clear" w:color="auto" w:fill="auto"/>
          </w:tcPr>
          <w:p w:rsidR="00C21CEC" w:rsidRPr="00F81073" w:rsidRDefault="00C21CEC" w:rsidP="00C21CEC">
            <w:pPr>
              <w:pStyle w:val="ListParagraph"/>
              <w:numPr>
                <w:ilvl w:val="0"/>
                <w:numId w:val="41"/>
              </w:numPr>
              <w:tabs>
                <w:tab w:val="left" w:pos="7920"/>
              </w:tabs>
              <w:rPr>
                <w:rFonts w:asciiTheme="majorHAnsi" w:hAnsiTheme="majorHAnsi" w:cs="Times New Roman"/>
                <w:sz w:val="22"/>
                <w:szCs w:val="22"/>
              </w:rPr>
            </w:pPr>
            <w:r>
              <w:rPr>
                <w:rFonts w:asciiTheme="majorHAnsi" w:hAnsiTheme="majorHAnsi"/>
                <w:sz w:val="22"/>
                <w:szCs w:val="22"/>
              </w:rPr>
              <w:t>Participants expressed concern that c</w:t>
            </w:r>
            <w:r w:rsidRPr="00F81073">
              <w:rPr>
                <w:rFonts w:asciiTheme="majorHAnsi" w:hAnsiTheme="majorHAnsi"/>
                <w:sz w:val="22"/>
                <w:szCs w:val="22"/>
              </w:rPr>
              <w:t xml:space="preserve">ost-cutting </w:t>
            </w:r>
            <w:r w:rsidR="005709C3">
              <w:rPr>
                <w:rFonts w:asciiTheme="majorHAnsi" w:hAnsiTheme="majorHAnsi"/>
                <w:sz w:val="22"/>
                <w:szCs w:val="22"/>
              </w:rPr>
              <w:t>measures</w:t>
            </w:r>
            <w:r w:rsidRPr="00F81073">
              <w:rPr>
                <w:rFonts w:asciiTheme="majorHAnsi" w:hAnsiTheme="majorHAnsi"/>
                <w:sz w:val="22"/>
                <w:szCs w:val="22"/>
              </w:rPr>
              <w:t xml:space="preserve"> at the Bank will have an effect on the way the Bank does procurement</w:t>
            </w:r>
            <w:r>
              <w:rPr>
                <w:rFonts w:asciiTheme="majorHAnsi" w:hAnsiTheme="majorHAnsi"/>
                <w:sz w:val="22"/>
                <w:szCs w:val="22"/>
              </w:rPr>
              <w:t>, and suggested how the Bank will eventually need to become a solutions Bank</w:t>
            </w:r>
            <w:r w:rsidRPr="00F81073">
              <w:rPr>
                <w:rFonts w:asciiTheme="majorHAnsi" w:hAnsiTheme="majorHAnsi"/>
                <w:sz w:val="22"/>
                <w:szCs w:val="22"/>
              </w:rPr>
              <w:t xml:space="preserve">. </w:t>
            </w:r>
          </w:p>
          <w:p w:rsidR="002E23E9" w:rsidRPr="00F81073" w:rsidRDefault="002E23E9" w:rsidP="00742F1C">
            <w:pPr>
              <w:pStyle w:val="ListParagraph"/>
              <w:widowControl w:val="0"/>
              <w:autoSpaceDE w:val="0"/>
              <w:autoSpaceDN w:val="0"/>
              <w:adjustRightInd w:val="0"/>
              <w:spacing w:after="40"/>
              <w:ind w:left="325" w:right="40"/>
              <w:jc w:val="left"/>
              <w:rPr>
                <w:rFonts w:asciiTheme="majorHAnsi" w:hAnsiTheme="majorHAnsi" w:cs="Times New Roman"/>
                <w:color w:val="262626"/>
                <w:sz w:val="22"/>
                <w:szCs w:val="22"/>
              </w:rPr>
            </w:pPr>
          </w:p>
        </w:tc>
      </w:tr>
      <w:tr w:rsidR="00173E2F" w:rsidRPr="00F81073" w:rsidTr="002C093B">
        <w:tblPrEx>
          <w:tblCellMar>
            <w:left w:w="0" w:type="dxa"/>
            <w:right w:w="0" w:type="dxa"/>
          </w:tblCellMar>
        </w:tblPrEx>
        <w:trPr>
          <w:trHeight w:val="70"/>
        </w:trPr>
        <w:tc>
          <w:tcPr>
            <w:tcW w:w="13320" w:type="dxa"/>
            <w:shd w:val="clear" w:color="auto" w:fill="DBE5F1" w:themeFill="accent1" w:themeFillTint="33"/>
          </w:tcPr>
          <w:p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 xml:space="preserve">How and when </w:t>
            </w:r>
            <w:proofErr w:type="gramStart"/>
            <w:r w:rsidRPr="00F81073">
              <w:rPr>
                <w:rFonts w:asciiTheme="majorHAnsi" w:eastAsia="Batang" w:hAnsiTheme="majorHAnsi"/>
                <w:b/>
                <w:bCs/>
                <w:color w:val="17365D" w:themeColor="text2" w:themeShade="BF"/>
                <w:sz w:val="22"/>
                <w:szCs w:val="22"/>
              </w:rPr>
              <w:t>should alternative procurement arrangements be used</w:t>
            </w:r>
            <w:proofErr w:type="gramEnd"/>
            <w:r w:rsidRPr="00F81073">
              <w:rPr>
                <w:rFonts w:asciiTheme="majorHAnsi" w:eastAsia="Batang" w:hAnsiTheme="majorHAnsi"/>
                <w:b/>
                <w:bCs/>
                <w:color w:val="17365D" w:themeColor="text2" w:themeShade="BF"/>
                <w:sz w:val="22"/>
                <w:szCs w:val="22"/>
              </w:rPr>
              <w:t xml:space="preserve"> for procurement in Bank projects and how should they be assessed?</w:t>
            </w:r>
          </w:p>
        </w:tc>
      </w:tr>
      <w:tr w:rsidR="002E23E9" w:rsidRPr="00F81073" w:rsidTr="00F81073">
        <w:trPr>
          <w:trHeight w:val="576"/>
        </w:trPr>
        <w:tc>
          <w:tcPr>
            <w:tcW w:w="13320" w:type="dxa"/>
            <w:shd w:val="clear" w:color="auto" w:fill="auto"/>
          </w:tcPr>
          <w:p w:rsidR="00C21CEC" w:rsidRPr="00F81073" w:rsidRDefault="00C21CEC" w:rsidP="00C21CEC">
            <w:pPr>
              <w:pStyle w:val="ListParagraph"/>
              <w:numPr>
                <w:ilvl w:val="0"/>
                <w:numId w:val="41"/>
              </w:numPr>
              <w:tabs>
                <w:tab w:val="left" w:pos="7920"/>
              </w:tabs>
              <w:rPr>
                <w:rFonts w:asciiTheme="majorHAnsi" w:hAnsiTheme="majorHAnsi"/>
                <w:sz w:val="22"/>
                <w:szCs w:val="22"/>
              </w:rPr>
            </w:pPr>
            <w:r>
              <w:rPr>
                <w:rFonts w:asciiTheme="majorHAnsi" w:hAnsiTheme="majorHAnsi"/>
                <w:sz w:val="22"/>
                <w:szCs w:val="22"/>
              </w:rPr>
              <w:t xml:space="preserve">The participants expressed having had </w:t>
            </w:r>
            <w:r w:rsidRPr="00F81073">
              <w:rPr>
                <w:rFonts w:asciiTheme="majorHAnsi" w:hAnsiTheme="majorHAnsi"/>
                <w:sz w:val="22"/>
                <w:szCs w:val="22"/>
              </w:rPr>
              <w:t xml:space="preserve">negative experiences with some countries who have not achieved </w:t>
            </w:r>
            <w:r w:rsidR="004D284B">
              <w:rPr>
                <w:rFonts w:asciiTheme="majorHAnsi" w:hAnsiTheme="majorHAnsi"/>
                <w:sz w:val="22"/>
                <w:szCs w:val="22"/>
              </w:rPr>
              <w:t xml:space="preserve">high procurement </w:t>
            </w:r>
            <w:r>
              <w:rPr>
                <w:rFonts w:asciiTheme="majorHAnsi" w:hAnsiTheme="majorHAnsi"/>
                <w:sz w:val="22"/>
                <w:szCs w:val="22"/>
              </w:rPr>
              <w:t>standards</w:t>
            </w:r>
            <w:r w:rsidR="004D284B">
              <w:rPr>
                <w:rFonts w:asciiTheme="majorHAnsi" w:hAnsiTheme="majorHAnsi"/>
                <w:sz w:val="22"/>
                <w:szCs w:val="22"/>
              </w:rPr>
              <w:t xml:space="preserve">, such as those set by the Bank. They </w:t>
            </w:r>
            <w:r>
              <w:rPr>
                <w:rFonts w:asciiTheme="majorHAnsi" w:hAnsiTheme="majorHAnsi"/>
                <w:sz w:val="22"/>
                <w:szCs w:val="22"/>
              </w:rPr>
              <w:t xml:space="preserve">suggested that </w:t>
            </w:r>
            <w:r w:rsidRPr="00F81073">
              <w:rPr>
                <w:rFonts w:asciiTheme="majorHAnsi" w:hAnsiTheme="majorHAnsi"/>
                <w:sz w:val="22"/>
                <w:szCs w:val="22"/>
              </w:rPr>
              <w:t>if countries</w:t>
            </w:r>
            <w:r w:rsidR="00DC46B7">
              <w:rPr>
                <w:rFonts w:asciiTheme="majorHAnsi" w:hAnsiTheme="majorHAnsi"/>
                <w:sz w:val="22"/>
                <w:szCs w:val="22"/>
              </w:rPr>
              <w:t xml:space="preserve">’ national procurement arrangements are going to </w:t>
            </w:r>
            <w:proofErr w:type="gramStart"/>
            <w:r w:rsidR="00DC46B7">
              <w:rPr>
                <w:rFonts w:asciiTheme="majorHAnsi" w:hAnsiTheme="majorHAnsi"/>
                <w:sz w:val="22"/>
                <w:szCs w:val="22"/>
              </w:rPr>
              <w:t>be used</w:t>
            </w:r>
            <w:proofErr w:type="gramEnd"/>
            <w:r w:rsidR="00DC46B7">
              <w:rPr>
                <w:rFonts w:asciiTheme="majorHAnsi" w:hAnsiTheme="majorHAnsi"/>
                <w:sz w:val="22"/>
                <w:szCs w:val="22"/>
              </w:rPr>
              <w:t xml:space="preserve"> for World Bank projects, </w:t>
            </w:r>
            <w:r>
              <w:rPr>
                <w:rFonts w:asciiTheme="majorHAnsi" w:hAnsiTheme="majorHAnsi"/>
                <w:sz w:val="22"/>
                <w:szCs w:val="22"/>
              </w:rPr>
              <w:t>the Bank</w:t>
            </w:r>
            <w:r w:rsidRPr="00F81073">
              <w:rPr>
                <w:rFonts w:asciiTheme="majorHAnsi" w:hAnsiTheme="majorHAnsi"/>
                <w:sz w:val="22"/>
                <w:szCs w:val="22"/>
              </w:rPr>
              <w:t xml:space="preserve"> should only</w:t>
            </w:r>
            <w:r>
              <w:rPr>
                <w:rFonts w:asciiTheme="majorHAnsi" w:hAnsiTheme="majorHAnsi"/>
                <w:sz w:val="22"/>
                <w:szCs w:val="22"/>
              </w:rPr>
              <w:t xml:space="preserve"> allow</w:t>
            </w:r>
            <w:r w:rsidRPr="00F81073">
              <w:rPr>
                <w:rFonts w:asciiTheme="majorHAnsi" w:hAnsiTheme="majorHAnsi"/>
                <w:sz w:val="22"/>
                <w:szCs w:val="22"/>
              </w:rPr>
              <w:t xml:space="preserve"> </w:t>
            </w:r>
            <w:r w:rsidR="00DC46B7">
              <w:rPr>
                <w:rFonts w:asciiTheme="majorHAnsi" w:hAnsiTheme="majorHAnsi"/>
                <w:sz w:val="22"/>
                <w:szCs w:val="22"/>
              </w:rPr>
              <w:t xml:space="preserve">this for </w:t>
            </w:r>
            <w:r w:rsidRPr="00F81073">
              <w:rPr>
                <w:rFonts w:asciiTheme="majorHAnsi" w:hAnsiTheme="majorHAnsi"/>
                <w:sz w:val="22"/>
                <w:szCs w:val="22"/>
              </w:rPr>
              <w:t>full G</w:t>
            </w:r>
            <w:r>
              <w:rPr>
                <w:rFonts w:asciiTheme="majorHAnsi" w:hAnsiTheme="majorHAnsi"/>
                <w:sz w:val="22"/>
                <w:szCs w:val="22"/>
              </w:rPr>
              <w:t xml:space="preserve">overnment </w:t>
            </w:r>
            <w:r w:rsidRPr="00F81073">
              <w:rPr>
                <w:rFonts w:asciiTheme="majorHAnsi" w:hAnsiTheme="majorHAnsi"/>
                <w:sz w:val="22"/>
                <w:szCs w:val="22"/>
              </w:rPr>
              <w:t>P</w:t>
            </w:r>
            <w:r>
              <w:rPr>
                <w:rFonts w:asciiTheme="majorHAnsi" w:hAnsiTheme="majorHAnsi"/>
                <w:sz w:val="22"/>
                <w:szCs w:val="22"/>
              </w:rPr>
              <w:t xml:space="preserve">rocurement </w:t>
            </w:r>
            <w:r w:rsidRPr="00F81073">
              <w:rPr>
                <w:rFonts w:asciiTheme="majorHAnsi" w:hAnsiTheme="majorHAnsi"/>
                <w:sz w:val="22"/>
                <w:szCs w:val="22"/>
              </w:rPr>
              <w:t>A</w:t>
            </w:r>
            <w:r>
              <w:rPr>
                <w:rFonts w:asciiTheme="majorHAnsi" w:hAnsiTheme="majorHAnsi"/>
                <w:sz w:val="22"/>
                <w:szCs w:val="22"/>
              </w:rPr>
              <w:t>greement (GPA)</w:t>
            </w:r>
            <w:r w:rsidRPr="00F81073">
              <w:rPr>
                <w:rFonts w:asciiTheme="majorHAnsi" w:hAnsiTheme="majorHAnsi"/>
                <w:sz w:val="22"/>
                <w:szCs w:val="22"/>
              </w:rPr>
              <w:t xml:space="preserve"> members, not associated members. </w:t>
            </w:r>
          </w:p>
          <w:p w:rsidR="002E23E9" w:rsidRPr="00487748" w:rsidRDefault="00C21CEC" w:rsidP="00487748">
            <w:pPr>
              <w:pStyle w:val="ListParagraph"/>
              <w:numPr>
                <w:ilvl w:val="0"/>
                <w:numId w:val="41"/>
              </w:numPr>
              <w:tabs>
                <w:tab w:val="left" w:pos="7920"/>
              </w:tabs>
              <w:rPr>
                <w:rFonts w:asciiTheme="majorHAnsi" w:hAnsiTheme="majorHAnsi" w:cs="Times New Roman"/>
                <w:sz w:val="22"/>
                <w:szCs w:val="22"/>
              </w:rPr>
            </w:pPr>
            <w:r w:rsidRPr="00F81073">
              <w:rPr>
                <w:rFonts w:asciiTheme="majorHAnsi" w:hAnsiTheme="majorHAnsi"/>
                <w:sz w:val="22"/>
                <w:szCs w:val="22"/>
              </w:rPr>
              <w:t>For large complex projects, I</w:t>
            </w:r>
            <w:r>
              <w:rPr>
                <w:rFonts w:asciiTheme="majorHAnsi" w:hAnsiTheme="majorHAnsi"/>
                <w:sz w:val="22"/>
                <w:szCs w:val="22"/>
              </w:rPr>
              <w:t xml:space="preserve">nternational </w:t>
            </w:r>
            <w:r w:rsidRPr="00F81073">
              <w:rPr>
                <w:rFonts w:asciiTheme="majorHAnsi" w:hAnsiTheme="majorHAnsi"/>
                <w:sz w:val="22"/>
                <w:szCs w:val="22"/>
              </w:rPr>
              <w:t>C</w:t>
            </w:r>
            <w:r>
              <w:rPr>
                <w:rFonts w:asciiTheme="majorHAnsi" w:hAnsiTheme="majorHAnsi"/>
                <w:sz w:val="22"/>
                <w:szCs w:val="22"/>
              </w:rPr>
              <w:t xml:space="preserve">ompetitive </w:t>
            </w:r>
            <w:r w:rsidRPr="00F81073">
              <w:rPr>
                <w:rFonts w:asciiTheme="majorHAnsi" w:hAnsiTheme="majorHAnsi"/>
                <w:sz w:val="22"/>
                <w:szCs w:val="22"/>
              </w:rPr>
              <w:t>B</w:t>
            </w:r>
            <w:r>
              <w:rPr>
                <w:rFonts w:asciiTheme="majorHAnsi" w:hAnsiTheme="majorHAnsi"/>
                <w:sz w:val="22"/>
                <w:szCs w:val="22"/>
              </w:rPr>
              <w:t>idding (</w:t>
            </w:r>
            <w:proofErr w:type="spellStart"/>
            <w:r>
              <w:rPr>
                <w:rFonts w:asciiTheme="majorHAnsi" w:hAnsiTheme="majorHAnsi"/>
                <w:sz w:val="22"/>
                <w:szCs w:val="22"/>
              </w:rPr>
              <w:t>ICB</w:t>
            </w:r>
            <w:proofErr w:type="spellEnd"/>
            <w:r>
              <w:rPr>
                <w:rFonts w:asciiTheme="majorHAnsi" w:hAnsiTheme="majorHAnsi"/>
                <w:sz w:val="22"/>
                <w:szCs w:val="22"/>
              </w:rPr>
              <w:t>)</w:t>
            </w:r>
            <w:r w:rsidRPr="00F81073">
              <w:rPr>
                <w:rFonts w:asciiTheme="majorHAnsi" w:hAnsiTheme="majorHAnsi"/>
                <w:sz w:val="22"/>
                <w:szCs w:val="22"/>
              </w:rPr>
              <w:t xml:space="preserve"> should be applicable in any case, even for GPA members. </w:t>
            </w:r>
          </w:p>
        </w:tc>
      </w:tr>
      <w:tr w:rsidR="002717AA" w:rsidRPr="00F81073" w:rsidTr="002C093B">
        <w:tblPrEx>
          <w:tblCellMar>
            <w:left w:w="0" w:type="dxa"/>
            <w:right w:w="0" w:type="dxa"/>
          </w:tblCellMar>
        </w:tblPrEx>
        <w:trPr>
          <w:trHeight w:val="70"/>
        </w:trPr>
        <w:tc>
          <w:tcPr>
            <w:tcW w:w="13320" w:type="dxa"/>
            <w:shd w:val="clear" w:color="auto" w:fill="DBE5F1" w:themeFill="accent1" w:themeFillTint="33"/>
          </w:tcPr>
          <w:p w:rsidR="00222A7F" w:rsidRPr="00F81073"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 xml:space="preserve">How </w:t>
            </w:r>
            <w:proofErr w:type="gramStart"/>
            <w:r w:rsidRPr="00F81073">
              <w:rPr>
                <w:rFonts w:asciiTheme="majorHAnsi" w:eastAsia="Batang" w:hAnsiTheme="majorHAnsi"/>
                <w:b/>
                <w:bCs/>
                <w:color w:val="17365D" w:themeColor="text2" w:themeShade="BF"/>
                <w:sz w:val="22"/>
                <w:szCs w:val="22"/>
              </w:rPr>
              <w:t>should sustainable procurement matters be addressed</w:t>
            </w:r>
            <w:proofErr w:type="gramEnd"/>
            <w:r w:rsidRPr="00F81073">
              <w:rPr>
                <w:rFonts w:asciiTheme="majorHAnsi" w:eastAsia="Batang" w:hAnsiTheme="majorHAnsi"/>
                <w:b/>
                <w:bCs/>
                <w:color w:val="17365D" w:themeColor="text2" w:themeShade="BF"/>
                <w:sz w:val="22"/>
                <w:szCs w:val="22"/>
              </w:rPr>
              <w:t xml:space="preserve"> in Bank-financed contracts?</w:t>
            </w:r>
          </w:p>
          <w:p w:rsidR="002717AA" w:rsidRPr="00F81073" w:rsidRDefault="002717AA" w:rsidP="0064715C">
            <w:pPr>
              <w:snapToGrid w:val="0"/>
              <w:ind w:left="180" w:right="180"/>
              <w:rPr>
                <w:rFonts w:asciiTheme="majorHAnsi" w:eastAsia="Batang" w:hAnsiTheme="majorHAnsi"/>
                <w:color w:val="17365D" w:themeColor="text2" w:themeShade="BF"/>
                <w:sz w:val="22"/>
                <w:szCs w:val="22"/>
              </w:rPr>
            </w:pPr>
          </w:p>
        </w:tc>
      </w:tr>
      <w:tr w:rsidR="002E23E9" w:rsidRPr="00F81073" w:rsidTr="00945D51">
        <w:trPr>
          <w:trHeight w:val="980"/>
        </w:trPr>
        <w:tc>
          <w:tcPr>
            <w:tcW w:w="13320" w:type="dxa"/>
            <w:shd w:val="clear" w:color="auto" w:fill="auto"/>
          </w:tcPr>
          <w:p w:rsidR="002E23E9" w:rsidRPr="00405135" w:rsidRDefault="004F262A" w:rsidP="00405135">
            <w:pPr>
              <w:pStyle w:val="ListParagraph"/>
              <w:widowControl w:val="0"/>
              <w:numPr>
                <w:ilvl w:val="0"/>
                <w:numId w:val="1"/>
              </w:numPr>
              <w:autoSpaceDE w:val="0"/>
              <w:autoSpaceDN w:val="0"/>
              <w:adjustRightInd w:val="0"/>
              <w:spacing w:after="40" w:line="276" w:lineRule="auto"/>
              <w:ind w:right="40"/>
              <w:jc w:val="left"/>
              <w:rPr>
                <w:rFonts w:asciiTheme="majorHAnsi" w:hAnsiTheme="majorHAnsi" w:cs="Times New Roman"/>
                <w:sz w:val="22"/>
                <w:szCs w:val="22"/>
              </w:rPr>
            </w:pPr>
            <w:r>
              <w:rPr>
                <w:rFonts w:asciiTheme="majorHAnsi" w:hAnsiTheme="majorHAnsi" w:cs="Times New Roman"/>
                <w:sz w:val="22"/>
                <w:szCs w:val="22"/>
              </w:rPr>
              <w:t xml:space="preserve"> </w:t>
            </w:r>
          </w:p>
        </w:tc>
      </w:tr>
      <w:tr w:rsidR="002A7906" w:rsidRPr="00F81073" w:rsidTr="002C093B">
        <w:tblPrEx>
          <w:tblCellMar>
            <w:left w:w="0" w:type="dxa"/>
            <w:right w:w="0" w:type="dxa"/>
          </w:tblCellMar>
        </w:tblPrEx>
        <w:trPr>
          <w:trHeight w:val="70"/>
        </w:trPr>
        <w:tc>
          <w:tcPr>
            <w:tcW w:w="13320" w:type="dxa"/>
            <w:shd w:val="clear" w:color="auto" w:fill="DBE5F1" w:themeFill="accent1" w:themeFillTint="33"/>
          </w:tcPr>
          <w:p w:rsidR="00222A7F" w:rsidRPr="00F81073"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p w:rsidR="002A7906" w:rsidRPr="00F81073" w:rsidRDefault="002A7906" w:rsidP="001453DE">
            <w:pPr>
              <w:snapToGrid w:val="0"/>
              <w:ind w:left="180" w:right="180"/>
              <w:rPr>
                <w:rFonts w:asciiTheme="majorHAnsi" w:eastAsia="Batang" w:hAnsiTheme="majorHAnsi"/>
                <w:color w:val="17365D" w:themeColor="text2" w:themeShade="BF"/>
                <w:sz w:val="22"/>
                <w:szCs w:val="22"/>
              </w:rPr>
            </w:pPr>
          </w:p>
        </w:tc>
      </w:tr>
      <w:tr w:rsidR="002E23E9" w:rsidRPr="00F81073" w:rsidTr="00F81073">
        <w:trPr>
          <w:trHeight w:val="576"/>
        </w:trPr>
        <w:tc>
          <w:tcPr>
            <w:tcW w:w="13320" w:type="dxa"/>
            <w:shd w:val="clear" w:color="auto" w:fill="auto"/>
          </w:tcPr>
          <w:p w:rsidR="004F262A" w:rsidRPr="00F81073" w:rsidRDefault="004F262A" w:rsidP="004F262A">
            <w:pPr>
              <w:pStyle w:val="ListParagraph"/>
              <w:numPr>
                <w:ilvl w:val="0"/>
                <w:numId w:val="1"/>
              </w:numPr>
              <w:tabs>
                <w:tab w:val="left" w:pos="7920"/>
              </w:tabs>
              <w:rPr>
                <w:rFonts w:asciiTheme="majorHAnsi" w:hAnsiTheme="majorHAnsi"/>
                <w:sz w:val="22"/>
                <w:szCs w:val="22"/>
              </w:rPr>
            </w:pPr>
            <w:r>
              <w:rPr>
                <w:rFonts w:asciiTheme="majorHAnsi" w:hAnsiTheme="majorHAnsi"/>
                <w:sz w:val="22"/>
                <w:szCs w:val="22"/>
              </w:rPr>
              <w:t>Participants suggested s</w:t>
            </w:r>
            <w:r w:rsidRPr="00F81073">
              <w:rPr>
                <w:rFonts w:asciiTheme="majorHAnsi" w:hAnsiTheme="majorHAnsi"/>
                <w:sz w:val="22"/>
                <w:szCs w:val="22"/>
              </w:rPr>
              <w:t>trengthen</w:t>
            </w:r>
            <w:r>
              <w:rPr>
                <w:rFonts w:asciiTheme="majorHAnsi" w:hAnsiTheme="majorHAnsi"/>
                <w:sz w:val="22"/>
                <w:szCs w:val="22"/>
              </w:rPr>
              <w:t>ing</w:t>
            </w:r>
            <w:r w:rsidRPr="00F81073">
              <w:rPr>
                <w:rFonts w:asciiTheme="majorHAnsi" w:hAnsiTheme="majorHAnsi"/>
                <w:sz w:val="22"/>
                <w:szCs w:val="22"/>
              </w:rPr>
              <w:t xml:space="preserve"> the Bank’s sanction policy by allowing the Bank to take legal action against corrupt clients/borrowers or their legal representatives</w:t>
            </w:r>
            <w:r>
              <w:rPr>
                <w:rFonts w:asciiTheme="majorHAnsi" w:hAnsiTheme="majorHAnsi"/>
                <w:sz w:val="22"/>
                <w:szCs w:val="22"/>
              </w:rPr>
              <w:t xml:space="preserve"> to help combat fraud and corruption issues</w:t>
            </w:r>
            <w:r w:rsidRPr="00F81073">
              <w:rPr>
                <w:rFonts w:asciiTheme="majorHAnsi" w:hAnsiTheme="majorHAnsi"/>
                <w:sz w:val="22"/>
                <w:szCs w:val="22"/>
              </w:rPr>
              <w:t>.</w:t>
            </w:r>
          </w:p>
          <w:p w:rsidR="002E23E9" w:rsidRPr="00F81073" w:rsidRDefault="002E23E9" w:rsidP="00742F1C">
            <w:pPr>
              <w:pStyle w:val="ListParagraph"/>
              <w:ind w:left="309"/>
              <w:rPr>
                <w:rFonts w:asciiTheme="majorHAnsi" w:hAnsiTheme="majorHAnsi" w:cs="Times New Roman"/>
                <w:color w:val="333333"/>
                <w:sz w:val="22"/>
                <w:szCs w:val="22"/>
              </w:rPr>
            </w:pPr>
          </w:p>
        </w:tc>
      </w:tr>
      <w:tr w:rsidR="00594D12" w:rsidRPr="00F81073" w:rsidTr="002C093B">
        <w:tblPrEx>
          <w:tblCellMar>
            <w:left w:w="0" w:type="dxa"/>
            <w:right w:w="0" w:type="dxa"/>
          </w:tblCellMar>
        </w:tblPrEx>
        <w:trPr>
          <w:trHeight w:val="70"/>
        </w:trPr>
        <w:tc>
          <w:tcPr>
            <w:tcW w:w="13320" w:type="dxa"/>
            <w:shd w:val="clear" w:color="auto" w:fill="DBE5F1" w:themeFill="accent1" w:themeFillTint="33"/>
          </w:tcPr>
          <w:p w:rsidR="00222A7F" w:rsidRPr="00F81073" w:rsidRDefault="008A533C" w:rsidP="00150B6C">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p w:rsidR="00594D12" w:rsidRPr="00F81073" w:rsidRDefault="00594D12" w:rsidP="001453DE">
            <w:pPr>
              <w:snapToGrid w:val="0"/>
              <w:ind w:left="180" w:right="180"/>
              <w:rPr>
                <w:rFonts w:asciiTheme="majorHAnsi" w:eastAsia="Batang" w:hAnsiTheme="majorHAnsi"/>
                <w:color w:val="17365D" w:themeColor="text2" w:themeShade="BF"/>
                <w:sz w:val="22"/>
                <w:szCs w:val="22"/>
              </w:rPr>
            </w:pPr>
          </w:p>
        </w:tc>
      </w:tr>
      <w:tr w:rsidR="002E23E9" w:rsidRPr="00F81073" w:rsidTr="00F81073">
        <w:trPr>
          <w:trHeight w:val="576"/>
        </w:trPr>
        <w:tc>
          <w:tcPr>
            <w:tcW w:w="13320" w:type="dxa"/>
            <w:shd w:val="clear" w:color="auto" w:fill="auto"/>
          </w:tcPr>
          <w:p w:rsidR="002E23E9" w:rsidRPr="00F81073" w:rsidRDefault="002E23E9" w:rsidP="00742F1C">
            <w:pPr>
              <w:pStyle w:val="ListParagraph"/>
              <w:ind w:left="309"/>
              <w:rPr>
                <w:rFonts w:asciiTheme="majorHAnsi" w:hAnsiTheme="majorHAnsi" w:cs="Times New Roman"/>
                <w:color w:val="333333"/>
                <w:sz w:val="22"/>
                <w:szCs w:val="22"/>
              </w:rPr>
            </w:pPr>
          </w:p>
        </w:tc>
      </w:tr>
      <w:tr w:rsidR="00A21FB6" w:rsidRPr="00F81073" w:rsidTr="002C093B">
        <w:tblPrEx>
          <w:tblCellMar>
            <w:left w:w="0" w:type="dxa"/>
            <w:right w:w="0" w:type="dxa"/>
          </w:tblCellMar>
        </w:tblPrEx>
        <w:trPr>
          <w:trHeight w:val="70"/>
        </w:trPr>
        <w:tc>
          <w:tcPr>
            <w:tcW w:w="13320" w:type="dxa"/>
            <w:shd w:val="clear" w:color="auto" w:fill="DBE5F1" w:themeFill="accent1" w:themeFillTint="33"/>
          </w:tcPr>
          <w:p w:rsidR="00222A7F" w:rsidRPr="00F81073" w:rsidRDefault="008A533C" w:rsidP="00150B6C">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p w:rsidR="00A21FB6" w:rsidRPr="00F81073" w:rsidRDefault="00A21FB6" w:rsidP="001453DE">
            <w:pPr>
              <w:snapToGrid w:val="0"/>
              <w:rPr>
                <w:rFonts w:asciiTheme="majorHAnsi" w:eastAsia="Batang" w:hAnsiTheme="majorHAnsi"/>
                <w:color w:val="17365D" w:themeColor="text2" w:themeShade="BF"/>
                <w:sz w:val="22"/>
                <w:szCs w:val="22"/>
              </w:rPr>
            </w:pPr>
          </w:p>
        </w:tc>
      </w:tr>
      <w:tr w:rsidR="002E23E9" w:rsidRPr="00F81073" w:rsidTr="00F81073">
        <w:trPr>
          <w:trHeight w:val="576"/>
        </w:trPr>
        <w:tc>
          <w:tcPr>
            <w:tcW w:w="13320" w:type="dxa"/>
            <w:shd w:val="clear" w:color="auto" w:fill="auto"/>
          </w:tcPr>
          <w:p w:rsidR="002E23E9" w:rsidRPr="00F81073" w:rsidRDefault="002E23E9" w:rsidP="00742F1C">
            <w:pPr>
              <w:pStyle w:val="ListParagraph"/>
              <w:ind w:left="309"/>
              <w:rPr>
                <w:rFonts w:asciiTheme="majorHAnsi" w:hAnsiTheme="majorHAnsi" w:cs="Times New Roman"/>
                <w:sz w:val="22"/>
                <w:szCs w:val="22"/>
              </w:rPr>
            </w:pPr>
          </w:p>
        </w:tc>
      </w:tr>
      <w:tr w:rsidR="002E23E9" w:rsidRPr="00F81073" w:rsidTr="00150B6C">
        <w:trPr>
          <w:trHeight w:val="71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81073" w:rsidTr="00F81073">
        <w:trPr>
          <w:trHeight w:val="576"/>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Pr="00F81073" w:rsidRDefault="002E23E9" w:rsidP="00742F1C">
            <w:pPr>
              <w:pStyle w:val="ListParagraph"/>
              <w:ind w:left="309"/>
              <w:rPr>
                <w:rFonts w:asciiTheme="majorHAnsi" w:hAnsiTheme="majorHAnsi" w:cs="Times New Roman"/>
                <w:sz w:val="22"/>
                <w:szCs w:val="22"/>
              </w:rPr>
            </w:pPr>
          </w:p>
        </w:tc>
      </w:tr>
      <w:tr w:rsidR="002E23E9" w:rsidRPr="00F81073" w:rsidTr="00150B6C">
        <w:trPr>
          <w:trHeight w:val="755"/>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F81073" w:rsidRDefault="008A533C" w:rsidP="00150B6C">
            <w:pPr>
              <w:numPr>
                <w:ilvl w:val="0"/>
                <w:numId w:val="30"/>
              </w:numPr>
              <w:snapToGrid w:val="0"/>
              <w:ind w:left="432"/>
              <w:rPr>
                <w:rFonts w:asciiTheme="majorHAnsi" w:hAnsiTheme="majorHAnsi"/>
                <w:sz w:val="22"/>
                <w:szCs w:val="22"/>
              </w:rPr>
            </w:pPr>
            <w:proofErr w:type="gramStart"/>
            <w:r w:rsidRPr="00F81073">
              <w:rPr>
                <w:rFonts w:asciiTheme="majorHAnsi" w:eastAsia="Batang" w:hAnsiTheme="majorHAnsi"/>
                <w:b/>
                <w:color w:val="17365D" w:themeColor="text2" w:themeShade="BF"/>
                <w:sz w:val="22"/>
                <w:szCs w:val="22"/>
              </w:rPr>
              <w:t>General comments on other issues emanating from the Bank's proposals?</w:t>
            </w:r>
            <w:proofErr w:type="gramEnd"/>
          </w:p>
        </w:tc>
      </w:tr>
      <w:tr w:rsidR="002E23E9" w:rsidRPr="00F81073" w:rsidTr="002E23E9">
        <w:trPr>
          <w:trHeight w:val="1007"/>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F81073" w:rsidRPr="00F81073" w:rsidRDefault="004F262A" w:rsidP="00F81073">
            <w:pPr>
              <w:pStyle w:val="ListParagraph"/>
              <w:numPr>
                <w:ilvl w:val="0"/>
                <w:numId w:val="1"/>
              </w:numPr>
              <w:tabs>
                <w:tab w:val="left" w:pos="7920"/>
              </w:tabs>
              <w:rPr>
                <w:rFonts w:asciiTheme="majorHAnsi" w:hAnsiTheme="majorHAnsi"/>
                <w:sz w:val="22"/>
                <w:szCs w:val="22"/>
              </w:rPr>
            </w:pPr>
            <w:r>
              <w:rPr>
                <w:rFonts w:asciiTheme="majorHAnsi" w:hAnsiTheme="majorHAnsi"/>
                <w:sz w:val="22"/>
                <w:szCs w:val="22"/>
              </w:rPr>
              <w:t xml:space="preserve">It </w:t>
            </w:r>
            <w:proofErr w:type="gramStart"/>
            <w:r>
              <w:rPr>
                <w:rFonts w:asciiTheme="majorHAnsi" w:hAnsiTheme="majorHAnsi"/>
                <w:sz w:val="22"/>
                <w:szCs w:val="22"/>
              </w:rPr>
              <w:t>was welcomed</w:t>
            </w:r>
            <w:proofErr w:type="gramEnd"/>
            <w:r>
              <w:rPr>
                <w:rFonts w:asciiTheme="majorHAnsi" w:hAnsiTheme="majorHAnsi"/>
                <w:sz w:val="22"/>
                <w:szCs w:val="22"/>
              </w:rPr>
              <w:t xml:space="preserve"> </w:t>
            </w:r>
            <w:r w:rsidR="00F81073" w:rsidRPr="00F81073">
              <w:rPr>
                <w:rFonts w:asciiTheme="majorHAnsi" w:hAnsiTheme="majorHAnsi"/>
                <w:sz w:val="22"/>
                <w:szCs w:val="22"/>
              </w:rPr>
              <w:t xml:space="preserve">that </w:t>
            </w:r>
            <w:proofErr w:type="spellStart"/>
            <w:r w:rsidR="00F81073" w:rsidRPr="00F81073">
              <w:rPr>
                <w:rFonts w:asciiTheme="majorHAnsi" w:hAnsiTheme="majorHAnsi"/>
                <w:sz w:val="22"/>
                <w:szCs w:val="22"/>
              </w:rPr>
              <w:t>ICB</w:t>
            </w:r>
            <w:proofErr w:type="spellEnd"/>
            <w:r w:rsidR="00F81073" w:rsidRPr="00F81073">
              <w:rPr>
                <w:rFonts w:asciiTheme="majorHAnsi" w:hAnsiTheme="majorHAnsi"/>
                <w:sz w:val="22"/>
                <w:szCs w:val="22"/>
              </w:rPr>
              <w:t xml:space="preserve"> remains </w:t>
            </w:r>
            <w:r>
              <w:rPr>
                <w:rFonts w:asciiTheme="majorHAnsi" w:hAnsiTheme="majorHAnsi"/>
                <w:sz w:val="22"/>
                <w:szCs w:val="22"/>
              </w:rPr>
              <w:t xml:space="preserve">the </w:t>
            </w:r>
            <w:r w:rsidR="00F81073" w:rsidRPr="00F81073">
              <w:rPr>
                <w:rFonts w:asciiTheme="majorHAnsi" w:hAnsiTheme="majorHAnsi"/>
                <w:sz w:val="22"/>
                <w:szCs w:val="22"/>
              </w:rPr>
              <w:t>preferred procurement arrangement, but</w:t>
            </w:r>
            <w:r>
              <w:rPr>
                <w:rFonts w:asciiTheme="majorHAnsi" w:hAnsiTheme="majorHAnsi"/>
                <w:sz w:val="22"/>
                <w:szCs w:val="22"/>
              </w:rPr>
              <w:t xml:space="preserve"> participants would </w:t>
            </w:r>
            <w:r w:rsidR="00F81073" w:rsidRPr="00F81073">
              <w:rPr>
                <w:rFonts w:asciiTheme="majorHAnsi" w:hAnsiTheme="majorHAnsi"/>
                <w:sz w:val="22"/>
                <w:szCs w:val="22"/>
              </w:rPr>
              <w:t xml:space="preserve">need more information about the </w:t>
            </w:r>
            <w:r w:rsidR="002E02BC">
              <w:rPr>
                <w:rFonts w:asciiTheme="majorHAnsi" w:hAnsiTheme="majorHAnsi"/>
                <w:sz w:val="22"/>
                <w:szCs w:val="22"/>
              </w:rPr>
              <w:t>proposed</w:t>
            </w:r>
            <w:r w:rsidR="00F81073" w:rsidRPr="00F81073">
              <w:rPr>
                <w:rFonts w:asciiTheme="majorHAnsi" w:hAnsiTheme="majorHAnsi"/>
                <w:sz w:val="22"/>
                <w:szCs w:val="22"/>
              </w:rPr>
              <w:t xml:space="preserve"> thresholds for market segments.</w:t>
            </w:r>
          </w:p>
          <w:p w:rsidR="00F81073" w:rsidRPr="00F81073" w:rsidRDefault="00791D41" w:rsidP="00F81073">
            <w:pPr>
              <w:pStyle w:val="ListParagraph"/>
              <w:numPr>
                <w:ilvl w:val="0"/>
                <w:numId w:val="1"/>
              </w:numPr>
              <w:tabs>
                <w:tab w:val="left" w:pos="7920"/>
              </w:tabs>
              <w:rPr>
                <w:rFonts w:asciiTheme="majorHAnsi" w:hAnsiTheme="majorHAnsi"/>
                <w:sz w:val="22"/>
                <w:szCs w:val="22"/>
              </w:rPr>
            </w:pPr>
            <w:r>
              <w:rPr>
                <w:rFonts w:asciiTheme="majorHAnsi" w:hAnsiTheme="majorHAnsi"/>
                <w:sz w:val="22"/>
                <w:szCs w:val="22"/>
              </w:rPr>
              <w:t>The Bank</w:t>
            </w:r>
            <w:r w:rsidR="00F81073" w:rsidRPr="00F81073">
              <w:rPr>
                <w:rFonts w:asciiTheme="majorHAnsi" w:hAnsiTheme="majorHAnsi"/>
                <w:sz w:val="22"/>
                <w:szCs w:val="22"/>
              </w:rPr>
              <w:t xml:space="preserve"> need</w:t>
            </w:r>
            <w:r>
              <w:rPr>
                <w:rFonts w:asciiTheme="majorHAnsi" w:hAnsiTheme="majorHAnsi"/>
                <w:sz w:val="22"/>
                <w:szCs w:val="22"/>
              </w:rPr>
              <w:t>s</w:t>
            </w:r>
            <w:r w:rsidR="00F81073" w:rsidRPr="00F81073">
              <w:rPr>
                <w:rFonts w:asciiTheme="majorHAnsi" w:hAnsiTheme="majorHAnsi"/>
                <w:sz w:val="22"/>
                <w:szCs w:val="22"/>
              </w:rPr>
              <w:t xml:space="preserve"> to define who </w:t>
            </w:r>
            <w:r>
              <w:rPr>
                <w:rFonts w:asciiTheme="majorHAnsi" w:hAnsiTheme="majorHAnsi"/>
                <w:sz w:val="22"/>
                <w:szCs w:val="22"/>
              </w:rPr>
              <w:t>the</w:t>
            </w:r>
            <w:r w:rsidR="00F81073" w:rsidRPr="00F81073">
              <w:rPr>
                <w:rFonts w:asciiTheme="majorHAnsi" w:hAnsiTheme="majorHAnsi"/>
                <w:sz w:val="22"/>
                <w:szCs w:val="22"/>
              </w:rPr>
              <w:t xml:space="preserve"> strategic key suppliers </w:t>
            </w:r>
            <w:r>
              <w:rPr>
                <w:rFonts w:asciiTheme="majorHAnsi" w:hAnsiTheme="majorHAnsi"/>
                <w:sz w:val="22"/>
                <w:szCs w:val="22"/>
              </w:rPr>
              <w:t xml:space="preserve">are </w:t>
            </w:r>
            <w:r w:rsidR="00F81073" w:rsidRPr="00F81073">
              <w:rPr>
                <w:rFonts w:asciiTheme="majorHAnsi" w:hAnsiTheme="majorHAnsi"/>
                <w:sz w:val="22"/>
                <w:szCs w:val="22"/>
              </w:rPr>
              <w:t xml:space="preserve">and which market segments </w:t>
            </w:r>
            <w:proofErr w:type="gramStart"/>
            <w:r w:rsidR="00F81073" w:rsidRPr="00F81073">
              <w:rPr>
                <w:rFonts w:asciiTheme="majorHAnsi" w:hAnsiTheme="majorHAnsi"/>
                <w:sz w:val="22"/>
                <w:szCs w:val="22"/>
              </w:rPr>
              <w:t>are considered</w:t>
            </w:r>
            <w:proofErr w:type="gramEnd"/>
            <w:r w:rsidR="00F81073" w:rsidRPr="00F81073">
              <w:rPr>
                <w:rFonts w:asciiTheme="majorHAnsi" w:hAnsiTheme="majorHAnsi"/>
                <w:sz w:val="22"/>
                <w:szCs w:val="22"/>
              </w:rPr>
              <w:t xml:space="preserve"> out </w:t>
            </w:r>
            <w:r>
              <w:rPr>
                <w:rFonts w:asciiTheme="majorHAnsi" w:hAnsiTheme="majorHAnsi"/>
                <w:sz w:val="22"/>
                <w:szCs w:val="22"/>
              </w:rPr>
              <w:t xml:space="preserve">of the </w:t>
            </w:r>
            <w:r w:rsidR="00F81073" w:rsidRPr="00F81073">
              <w:rPr>
                <w:rFonts w:asciiTheme="majorHAnsi" w:hAnsiTheme="majorHAnsi"/>
                <w:sz w:val="22"/>
                <w:szCs w:val="22"/>
              </w:rPr>
              <w:t xml:space="preserve">key markets.  </w:t>
            </w:r>
          </w:p>
          <w:p w:rsidR="00F81073" w:rsidRPr="00F81073" w:rsidRDefault="00F81073" w:rsidP="00F81073">
            <w:pPr>
              <w:pStyle w:val="ListParagraph"/>
              <w:numPr>
                <w:ilvl w:val="0"/>
                <w:numId w:val="1"/>
              </w:numPr>
              <w:tabs>
                <w:tab w:val="left" w:pos="7920"/>
              </w:tabs>
              <w:rPr>
                <w:rFonts w:asciiTheme="majorHAnsi" w:hAnsiTheme="majorHAnsi"/>
                <w:sz w:val="22"/>
                <w:szCs w:val="22"/>
              </w:rPr>
            </w:pPr>
            <w:r w:rsidRPr="00F81073">
              <w:rPr>
                <w:rFonts w:asciiTheme="majorHAnsi" w:hAnsiTheme="majorHAnsi"/>
                <w:sz w:val="22"/>
                <w:szCs w:val="22"/>
              </w:rPr>
              <w:t xml:space="preserve">Permanent international advisory should be composed of </w:t>
            </w:r>
            <w:r w:rsidR="005C7034">
              <w:rPr>
                <w:rFonts w:asciiTheme="majorHAnsi" w:hAnsiTheme="majorHAnsi"/>
                <w:sz w:val="22"/>
                <w:szCs w:val="22"/>
              </w:rPr>
              <w:t xml:space="preserve">a </w:t>
            </w:r>
            <w:r w:rsidRPr="00F81073">
              <w:rPr>
                <w:rFonts w:asciiTheme="majorHAnsi" w:hAnsiTheme="majorHAnsi"/>
                <w:sz w:val="22"/>
                <w:szCs w:val="22"/>
              </w:rPr>
              <w:t xml:space="preserve">broad range of experts from donors and borrowers and their private sectors and </w:t>
            </w:r>
            <w:r w:rsidR="00C31829">
              <w:rPr>
                <w:rFonts w:asciiTheme="majorHAnsi" w:hAnsiTheme="majorHAnsi"/>
                <w:sz w:val="22"/>
                <w:szCs w:val="22"/>
              </w:rPr>
              <w:t xml:space="preserve">civil society </w:t>
            </w:r>
            <w:r w:rsidRPr="00F81073">
              <w:rPr>
                <w:rFonts w:asciiTheme="majorHAnsi" w:hAnsiTheme="majorHAnsi"/>
                <w:sz w:val="22"/>
                <w:szCs w:val="22"/>
              </w:rPr>
              <w:t>organizations.</w:t>
            </w:r>
          </w:p>
          <w:p w:rsidR="00F81073" w:rsidRPr="00F81073" w:rsidRDefault="00F81073" w:rsidP="00F81073">
            <w:pPr>
              <w:pStyle w:val="ListParagraph"/>
              <w:numPr>
                <w:ilvl w:val="0"/>
                <w:numId w:val="1"/>
              </w:numPr>
              <w:tabs>
                <w:tab w:val="left" w:pos="7920"/>
              </w:tabs>
              <w:rPr>
                <w:rFonts w:asciiTheme="majorHAnsi" w:hAnsiTheme="majorHAnsi"/>
                <w:sz w:val="22"/>
                <w:szCs w:val="22"/>
              </w:rPr>
            </w:pPr>
            <w:r w:rsidRPr="00F81073">
              <w:rPr>
                <w:rFonts w:asciiTheme="majorHAnsi" w:hAnsiTheme="majorHAnsi"/>
                <w:sz w:val="22"/>
                <w:szCs w:val="22"/>
              </w:rPr>
              <w:t xml:space="preserve">With more flexibility on procurement strategy and contract forms, </w:t>
            </w:r>
            <w:r w:rsidR="00791D41">
              <w:rPr>
                <w:rFonts w:asciiTheme="majorHAnsi" w:hAnsiTheme="majorHAnsi"/>
                <w:sz w:val="22"/>
                <w:szCs w:val="22"/>
              </w:rPr>
              <w:t>the Bank</w:t>
            </w:r>
            <w:r w:rsidRPr="00F81073">
              <w:rPr>
                <w:rFonts w:asciiTheme="majorHAnsi" w:hAnsiTheme="majorHAnsi"/>
                <w:sz w:val="22"/>
                <w:szCs w:val="22"/>
              </w:rPr>
              <w:t xml:space="preserve"> </w:t>
            </w:r>
            <w:r w:rsidR="000018FC">
              <w:rPr>
                <w:rFonts w:asciiTheme="majorHAnsi" w:hAnsiTheme="majorHAnsi"/>
                <w:sz w:val="22"/>
                <w:szCs w:val="22"/>
              </w:rPr>
              <w:t xml:space="preserve">should </w:t>
            </w:r>
            <w:r w:rsidR="00791D41">
              <w:rPr>
                <w:rFonts w:asciiTheme="majorHAnsi" w:hAnsiTheme="majorHAnsi"/>
                <w:sz w:val="22"/>
                <w:szCs w:val="22"/>
              </w:rPr>
              <w:t>fully define</w:t>
            </w:r>
            <w:r w:rsidRPr="00F81073">
              <w:rPr>
                <w:rFonts w:asciiTheme="majorHAnsi" w:hAnsiTheme="majorHAnsi"/>
                <w:sz w:val="22"/>
                <w:szCs w:val="22"/>
              </w:rPr>
              <w:t xml:space="preserve"> the role of third party stakeholders</w:t>
            </w:r>
            <w:r w:rsidR="000018FC">
              <w:rPr>
                <w:rFonts w:asciiTheme="majorHAnsi" w:hAnsiTheme="majorHAnsi"/>
                <w:sz w:val="22"/>
                <w:szCs w:val="22"/>
              </w:rPr>
              <w:t xml:space="preserve"> in the procurement process</w:t>
            </w:r>
            <w:r w:rsidRPr="00F81073">
              <w:rPr>
                <w:rFonts w:asciiTheme="majorHAnsi" w:hAnsiTheme="majorHAnsi"/>
                <w:sz w:val="22"/>
                <w:szCs w:val="22"/>
              </w:rPr>
              <w:t xml:space="preserve">.  </w:t>
            </w:r>
          </w:p>
          <w:p w:rsidR="002E23E9" w:rsidRPr="00405135" w:rsidRDefault="00791D41" w:rsidP="00791D41">
            <w:pPr>
              <w:pStyle w:val="ListParagraph"/>
              <w:numPr>
                <w:ilvl w:val="0"/>
                <w:numId w:val="1"/>
              </w:numPr>
              <w:rPr>
                <w:rFonts w:asciiTheme="majorHAnsi" w:hAnsiTheme="majorHAnsi" w:cs="Times New Roman"/>
                <w:sz w:val="22"/>
                <w:szCs w:val="22"/>
              </w:rPr>
            </w:pPr>
            <w:r>
              <w:rPr>
                <w:rFonts w:asciiTheme="majorHAnsi" w:hAnsiTheme="majorHAnsi"/>
                <w:sz w:val="22"/>
                <w:szCs w:val="22"/>
              </w:rPr>
              <w:t>If the Bank can more</w:t>
            </w:r>
            <w:r w:rsidR="00F81073" w:rsidRPr="00F81073">
              <w:rPr>
                <w:rFonts w:asciiTheme="majorHAnsi" w:hAnsiTheme="majorHAnsi"/>
                <w:sz w:val="22"/>
                <w:szCs w:val="22"/>
              </w:rPr>
              <w:t xml:space="preserve"> clearly define who decides what is ap</w:t>
            </w:r>
            <w:r>
              <w:rPr>
                <w:rFonts w:asciiTheme="majorHAnsi" w:hAnsiTheme="majorHAnsi"/>
                <w:sz w:val="22"/>
                <w:szCs w:val="22"/>
              </w:rPr>
              <w:t xml:space="preserve">propriate in a reliable manner, </w:t>
            </w:r>
            <w:r w:rsidR="00106C96">
              <w:rPr>
                <w:rFonts w:asciiTheme="majorHAnsi" w:hAnsiTheme="majorHAnsi"/>
                <w:sz w:val="22"/>
                <w:szCs w:val="22"/>
              </w:rPr>
              <w:t xml:space="preserve">Borrowers will be better </w:t>
            </w:r>
            <w:r>
              <w:rPr>
                <w:rFonts w:asciiTheme="majorHAnsi" w:hAnsiTheme="majorHAnsi"/>
                <w:sz w:val="22"/>
                <w:szCs w:val="22"/>
              </w:rPr>
              <w:t xml:space="preserve">able to make informed </w:t>
            </w:r>
            <w:r w:rsidR="000F2812">
              <w:rPr>
                <w:rFonts w:asciiTheme="majorHAnsi" w:hAnsiTheme="majorHAnsi"/>
                <w:sz w:val="22"/>
                <w:szCs w:val="22"/>
              </w:rPr>
              <w:t xml:space="preserve">procurement </w:t>
            </w:r>
            <w:r>
              <w:rPr>
                <w:rFonts w:asciiTheme="majorHAnsi" w:hAnsiTheme="majorHAnsi"/>
                <w:sz w:val="22"/>
                <w:szCs w:val="22"/>
              </w:rPr>
              <w:t xml:space="preserve">decisions. </w:t>
            </w:r>
          </w:p>
          <w:p w:rsidR="00405135" w:rsidRPr="00F81073" w:rsidRDefault="00405135" w:rsidP="00405135">
            <w:pPr>
              <w:pStyle w:val="ListParagraph"/>
              <w:numPr>
                <w:ilvl w:val="0"/>
                <w:numId w:val="1"/>
              </w:numPr>
              <w:tabs>
                <w:tab w:val="left" w:pos="7920"/>
              </w:tabs>
              <w:rPr>
                <w:rFonts w:asciiTheme="majorHAnsi" w:hAnsiTheme="majorHAnsi" w:cs="Times New Roman"/>
                <w:sz w:val="22"/>
                <w:szCs w:val="22"/>
              </w:rPr>
            </w:pPr>
            <w:r w:rsidRPr="00F81073">
              <w:rPr>
                <w:rFonts w:asciiTheme="majorHAnsi" w:hAnsiTheme="majorHAnsi"/>
                <w:sz w:val="22"/>
                <w:szCs w:val="22"/>
              </w:rPr>
              <w:t xml:space="preserve">For the largest contracts, </w:t>
            </w:r>
            <w:r>
              <w:rPr>
                <w:rFonts w:asciiTheme="majorHAnsi" w:hAnsiTheme="majorHAnsi"/>
                <w:sz w:val="22"/>
                <w:szCs w:val="22"/>
              </w:rPr>
              <w:t>participants suggested that the Bank</w:t>
            </w:r>
            <w:r w:rsidRPr="00F81073">
              <w:rPr>
                <w:rFonts w:asciiTheme="majorHAnsi" w:hAnsiTheme="majorHAnsi"/>
                <w:sz w:val="22"/>
                <w:szCs w:val="22"/>
              </w:rPr>
              <w:t xml:space="preserve"> incorporate elements of the construction sector’s transparency initiative (which is</w:t>
            </w:r>
            <w:r>
              <w:rPr>
                <w:rFonts w:asciiTheme="majorHAnsi" w:hAnsiTheme="majorHAnsi"/>
                <w:sz w:val="22"/>
                <w:szCs w:val="22"/>
              </w:rPr>
              <w:t xml:space="preserve"> in turn,</w:t>
            </w:r>
            <w:r w:rsidRPr="00F81073">
              <w:rPr>
                <w:rFonts w:asciiTheme="majorHAnsi" w:hAnsiTheme="majorHAnsi"/>
                <w:sz w:val="22"/>
                <w:szCs w:val="22"/>
              </w:rPr>
              <w:t xml:space="preserve"> funded by the Bank).</w:t>
            </w:r>
          </w:p>
          <w:p w:rsidR="00405135" w:rsidRPr="00F81073" w:rsidRDefault="00405135" w:rsidP="00405135">
            <w:pPr>
              <w:pStyle w:val="ListParagraph"/>
              <w:numPr>
                <w:ilvl w:val="0"/>
                <w:numId w:val="1"/>
              </w:numPr>
              <w:rPr>
                <w:rFonts w:asciiTheme="majorHAnsi" w:hAnsiTheme="majorHAnsi" w:cs="Times New Roman"/>
                <w:sz w:val="22"/>
                <w:szCs w:val="22"/>
              </w:rPr>
            </w:pPr>
            <w:r>
              <w:rPr>
                <w:rFonts w:asciiTheme="majorHAnsi" w:hAnsiTheme="majorHAnsi" w:cs="Times New Roman"/>
                <w:sz w:val="22"/>
                <w:szCs w:val="22"/>
              </w:rPr>
              <w:t xml:space="preserve">Additionally, a recommendation from the meeting was </w:t>
            </w:r>
            <w:proofErr w:type="gramStart"/>
            <w:r>
              <w:rPr>
                <w:rFonts w:asciiTheme="majorHAnsi" w:hAnsiTheme="majorHAnsi" w:cs="Times New Roman"/>
                <w:sz w:val="22"/>
                <w:szCs w:val="22"/>
              </w:rPr>
              <w:t>to m</w:t>
            </w:r>
            <w:r w:rsidRPr="00F81073">
              <w:rPr>
                <w:rFonts w:asciiTheme="majorHAnsi" w:hAnsiTheme="majorHAnsi" w:cs="Times New Roman"/>
                <w:sz w:val="22"/>
                <w:szCs w:val="22"/>
              </w:rPr>
              <w:t>ore fully define</w:t>
            </w:r>
            <w:proofErr w:type="gramEnd"/>
            <w:r w:rsidRPr="00F81073">
              <w:rPr>
                <w:rFonts w:asciiTheme="majorHAnsi" w:hAnsiTheme="majorHAnsi" w:cs="Times New Roman"/>
                <w:sz w:val="22"/>
                <w:szCs w:val="22"/>
              </w:rPr>
              <w:t xml:space="preserve"> the role of engineers, project managers, </w:t>
            </w:r>
            <w:r>
              <w:rPr>
                <w:rFonts w:asciiTheme="majorHAnsi" w:hAnsiTheme="majorHAnsi" w:cs="Times New Roman"/>
                <w:sz w:val="22"/>
                <w:szCs w:val="22"/>
              </w:rPr>
              <w:t xml:space="preserve">procurement officers, </w:t>
            </w:r>
            <w:r w:rsidRPr="00F81073">
              <w:rPr>
                <w:rFonts w:asciiTheme="majorHAnsi" w:hAnsiTheme="majorHAnsi" w:cs="Times New Roman"/>
                <w:sz w:val="22"/>
                <w:szCs w:val="22"/>
              </w:rPr>
              <w:t>etc.</w:t>
            </w:r>
            <w:r>
              <w:rPr>
                <w:rFonts w:asciiTheme="majorHAnsi" w:hAnsiTheme="majorHAnsi" w:cs="Times New Roman"/>
                <w:sz w:val="22"/>
                <w:szCs w:val="22"/>
              </w:rPr>
              <w:t xml:space="preserve"> in order to create a more informed staff/consultant base.  </w:t>
            </w:r>
          </w:p>
        </w:tc>
      </w:tr>
    </w:tbl>
    <w:p w:rsidR="0041268A" w:rsidRPr="00DD4CC3" w:rsidRDefault="0041268A" w:rsidP="00AC78CB">
      <w:pPr>
        <w:rPr>
          <w:rFonts w:asciiTheme="majorHAnsi" w:hAnsiTheme="majorHAnsi"/>
        </w:rPr>
      </w:pPr>
    </w:p>
    <w:sectPr w:rsidR="0041268A" w:rsidRPr="00DD4CC3"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E4" w:rsidRDefault="007C24E4">
      <w:pPr>
        <w:spacing w:after="0" w:line="240" w:lineRule="auto"/>
      </w:pPr>
      <w:r>
        <w:separator/>
      </w:r>
    </w:p>
  </w:endnote>
  <w:endnote w:type="continuationSeparator" w:id="0">
    <w:p w:rsidR="007C24E4" w:rsidRDefault="007C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F429D6">
          <w:rPr>
            <w:rFonts w:asciiTheme="minorHAnsi" w:hAnsiTheme="minorHAnsi"/>
            <w:noProof/>
            <w:sz w:val="20"/>
            <w:szCs w:val="20"/>
          </w:rPr>
          <w:t>1</w:t>
        </w:r>
        <w:r w:rsidRPr="00150B6C">
          <w:rPr>
            <w:rFonts w:asciiTheme="minorHAnsi" w:hAnsiTheme="minorHAnsi"/>
            <w:noProof/>
            <w:sz w:val="20"/>
            <w:szCs w:val="20"/>
          </w:rPr>
          <w:fldChar w:fldCharType="end"/>
        </w:r>
      </w:p>
    </w:sdtContent>
  </w:sdt>
  <w:p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E4" w:rsidRDefault="007C24E4">
      <w:pPr>
        <w:spacing w:after="0" w:line="240" w:lineRule="auto"/>
      </w:pPr>
      <w:r>
        <w:separator/>
      </w:r>
    </w:p>
  </w:footnote>
  <w:footnote w:type="continuationSeparator" w:id="0">
    <w:p w:rsidR="007C24E4" w:rsidRDefault="007C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07" w:rsidRDefault="00D87D07">
    <w:pPr>
      <w:pStyle w:val="Header"/>
      <w:rPr>
        <w:sz w:val="18"/>
        <w:szCs w:val="18"/>
      </w:rPr>
    </w:pPr>
  </w:p>
  <w:p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8">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4">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5">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9">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1">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2">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7">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0">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2"/>
  </w:num>
  <w:num w:numId="2">
    <w:abstractNumId w:val="26"/>
  </w:num>
  <w:num w:numId="3">
    <w:abstractNumId w:val="40"/>
  </w:num>
  <w:num w:numId="4">
    <w:abstractNumId w:val="27"/>
  </w:num>
  <w:num w:numId="5">
    <w:abstractNumId w:val="21"/>
  </w:num>
  <w:num w:numId="6">
    <w:abstractNumId w:val="37"/>
  </w:num>
  <w:num w:numId="7">
    <w:abstractNumId w:val="42"/>
  </w:num>
  <w:num w:numId="8">
    <w:abstractNumId w:val="44"/>
  </w:num>
  <w:num w:numId="9">
    <w:abstractNumId w:val="39"/>
  </w:num>
  <w:num w:numId="10">
    <w:abstractNumId w:val="14"/>
  </w:num>
  <w:num w:numId="11">
    <w:abstractNumId w:val="4"/>
  </w:num>
  <w:num w:numId="12">
    <w:abstractNumId w:val="12"/>
  </w:num>
  <w:num w:numId="13">
    <w:abstractNumId w:val="10"/>
  </w:num>
  <w:num w:numId="14">
    <w:abstractNumId w:val="6"/>
  </w:num>
  <w:num w:numId="15">
    <w:abstractNumId w:val="34"/>
  </w:num>
  <w:num w:numId="16">
    <w:abstractNumId w:val="5"/>
  </w:num>
  <w:num w:numId="17">
    <w:abstractNumId w:val="35"/>
  </w:num>
  <w:num w:numId="18">
    <w:abstractNumId w:val="11"/>
  </w:num>
  <w:num w:numId="19">
    <w:abstractNumId w:val="18"/>
  </w:num>
  <w:num w:numId="20">
    <w:abstractNumId w:val="9"/>
  </w:num>
  <w:num w:numId="21">
    <w:abstractNumId w:val="13"/>
  </w:num>
  <w:num w:numId="22">
    <w:abstractNumId w:val="20"/>
  </w:num>
  <w:num w:numId="23">
    <w:abstractNumId w:val="38"/>
  </w:num>
  <w:num w:numId="24">
    <w:abstractNumId w:val="33"/>
  </w:num>
  <w:num w:numId="25">
    <w:abstractNumId w:val="15"/>
  </w:num>
  <w:num w:numId="26">
    <w:abstractNumId w:val="25"/>
  </w:num>
  <w:num w:numId="27">
    <w:abstractNumId w:val="16"/>
  </w:num>
  <w:num w:numId="28">
    <w:abstractNumId w:val="19"/>
  </w:num>
  <w:num w:numId="29">
    <w:abstractNumId w:val="31"/>
  </w:num>
  <w:num w:numId="30">
    <w:abstractNumId w:val="43"/>
  </w:num>
  <w:num w:numId="31">
    <w:abstractNumId w:val="28"/>
  </w:num>
  <w:num w:numId="32">
    <w:abstractNumId w:val="36"/>
  </w:num>
  <w:num w:numId="33">
    <w:abstractNumId w:val="23"/>
  </w:num>
  <w:num w:numId="34">
    <w:abstractNumId w:val="30"/>
  </w:num>
  <w:num w:numId="35">
    <w:abstractNumId w:val="17"/>
  </w:num>
  <w:num w:numId="36">
    <w:abstractNumId w:val="3"/>
  </w:num>
  <w:num w:numId="37">
    <w:abstractNumId w:val="8"/>
  </w:num>
  <w:num w:numId="38">
    <w:abstractNumId w:val="24"/>
  </w:num>
  <w:num w:numId="39">
    <w:abstractNumId w:val="1"/>
  </w:num>
  <w:num w:numId="40">
    <w:abstractNumId w:val="29"/>
  </w:num>
  <w:num w:numId="41">
    <w:abstractNumId w:val="7"/>
  </w:num>
  <w:num w:numId="42">
    <w:abstractNumId w:val="2"/>
  </w:num>
  <w:num w:numId="43">
    <w:abstractNumId w:val="41"/>
  </w:num>
  <w:num w:numId="4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18FC"/>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2812"/>
    <w:rsid w:val="000F3983"/>
    <w:rsid w:val="000F3E02"/>
    <w:rsid w:val="000F42AD"/>
    <w:rsid w:val="000F70D2"/>
    <w:rsid w:val="00101AD6"/>
    <w:rsid w:val="00106C9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B7484"/>
    <w:rsid w:val="002C02C4"/>
    <w:rsid w:val="002C093B"/>
    <w:rsid w:val="002C1A68"/>
    <w:rsid w:val="002C26F1"/>
    <w:rsid w:val="002D786E"/>
    <w:rsid w:val="002E02BC"/>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5135"/>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87748"/>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284B"/>
    <w:rsid w:val="004D4CBA"/>
    <w:rsid w:val="004D6875"/>
    <w:rsid w:val="004D68F9"/>
    <w:rsid w:val="004E0D4C"/>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09C3"/>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C7034"/>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18CB"/>
    <w:rsid w:val="006522E7"/>
    <w:rsid w:val="006657CD"/>
    <w:rsid w:val="00665A65"/>
    <w:rsid w:val="00665F7F"/>
    <w:rsid w:val="0067308A"/>
    <w:rsid w:val="00674EEA"/>
    <w:rsid w:val="00676077"/>
    <w:rsid w:val="00676792"/>
    <w:rsid w:val="00677147"/>
    <w:rsid w:val="006806B1"/>
    <w:rsid w:val="006810E8"/>
    <w:rsid w:val="006846AC"/>
    <w:rsid w:val="006904D1"/>
    <w:rsid w:val="00693E30"/>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24E4"/>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87BF4"/>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09E5"/>
    <w:rsid w:val="00BF18CB"/>
    <w:rsid w:val="00BF32BF"/>
    <w:rsid w:val="00BF360C"/>
    <w:rsid w:val="00BF3D87"/>
    <w:rsid w:val="00BF5F0F"/>
    <w:rsid w:val="00C050F3"/>
    <w:rsid w:val="00C10A79"/>
    <w:rsid w:val="00C1318A"/>
    <w:rsid w:val="00C1490D"/>
    <w:rsid w:val="00C14B81"/>
    <w:rsid w:val="00C21CEC"/>
    <w:rsid w:val="00C23D76"/>
    <w:rsid w:val="00C2461A"/>
    <w:rsid w:val="00C25CD2"/>
    <w:rsid w:val="00C31829"/>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61780"/>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6B7"/>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29D6"/>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CC879DA9-6667-4F06-98D3-3B04C72F54CC}">
  <ds:schemaRef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C6A3C4-128A-4B1E-A894-B7C9E83E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2</cp:revision>
  <cp:lastPrinted>2012-05-24T21:00:00Z</cp:lastPrinted>
  <dcterms:created xsi:type="dcterms:W3CDTF">2015-02-11T18:34:00Z</dcterms:created>
  <dcterms:modified xsi:type="dcterms:W3CDTF">2015-02-11T18:34:00Z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