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71B316" w14:textId="77777777" w:rsidR="00EB75B9" w:rsidRPr="00DD4CC3" w:rsidRDefault="003E2779" w:rsidP="00EB75B9">
      <w:pPr>
        <w:jc w:val="center"/>
        <w:rPr>
          <w:rFonts w:asciiTheme="majorHAnsi" w:hAnsiTheme="majorHAnsi"/>
        </w:rPr>
      </w:pPr>
      <w:bookmarkStart w:id="0" w:name="_GoBack"/>
      <w:bookmarkEnd w:id="0"/>
      <w:r w:rsidRPr="00DD4CC3">
        <w:rPr>
          <w:rFonts w:asciiTheme="majorHAnsi" w:hAnsiTheme="majorHAnsi"/>
          <w:noProof/>
          <w:lang w:eastAsia="en-US" w:bidi="ar-SA"/>
        </w:rPr>
        <w:drawing>
          <wp:inline distT="0" distB="0" distL="0" distR="0" wp14:anchorId="5271B371" wp14:editId="5271B372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71B317" w14:textId="77777777"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eastAsia="en-US" w:bidi="ar-SA"/>
        </w:rPr>
        <w:t xml:space="preserve">The World Bank </w:t>
      </w:r>
    </w:p>
    <w:p w14:paraId="5271B318" w14:textId="77777777" w:rsidR="003E2779" w:rsidRPr="00DD4CC3" w:rsidRDefault="005409E3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14:paraId="5271B319" w14:textId="77777777" w:rsidR="003E2779" w:rsidRPr="00DD4CC3" w:rsidRDefault="003E2779" w:rsidP="003E2779">
      <w:pPr>
        <w:pStyle w:val="Title"/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b/>
          <w:color w:val="17365D" w:themeColor="text2" w:themeShade="BF"/>
          <w:sz w:val="32"/>
          <w:szCs w:val="32"/>
        </w:rPr>
        <w:t>Feedback Summary</w:t>
      </w:r>
    </w:p>
    <w:p w14:paraId="78E72C37" w14:textId="77777777" w:rsidR="007F63D0" w:rsidRPr="0031349E" w:rsidRDefault="007F63D0" w:rsidP="007F63D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31349E">
        <w:rPr>
          <w:rFonts w:asciiTheme="majorHAnsi" w:hAnsiTheme="majorHAnsi" w:cs="Times New Roman"/>
          <w:b/>
          <w:bCs/>
          <w:sz w:val="22"/>
          <w:szCs w:val="22"/>
          <w:lang w:val="en-US"/>
        </w:rPr>
        <w:t>Date: September 15, 2014 – 10:00</w:t>
      </w:r>
    </w:p>
    <w:p w14:paraId="57983D7A" w14:textId="77777777" w:rsidR="007F63D0" w:rsidRPr="0031349E" w:rsidRDefault="007F63D0" w:rsidP="007F63D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</w:p>
    <w:p w14:paraId="067B6922" w14:textId="77777777" w:rsidR="007F63D0" w:rsidRPr="0031349E" w:rsidRDefault="007F63D0" w:rsidP="007F63D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  <w:r w:rsidRPr="0031349E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Location (City, Country): Berlin, Germany – BMZ </w:t>
      </w:r>
    </w:p>
    <w:p w14:paraId="477D01D6" w14:textId="77777777" w:rsidR="007F63D0" w:rsidRPr="0031349E" w:rsidRDefault="007F63D0" w:rsidP="007F63D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14:paraId="21BC4955" w14:textId="77777777" w:rsidR="007F63D0" w:rsidRPr="0031349E" w:rsidRDefault="007F63D0" w:rsidP="007F63D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31349E">
        <w:rPr>
          <w:rFonts w:asciiTheme="majorHAnsi" w:hAnsiTheme="majorHAnsi" w:cs="Times New Roman"/>
          <w:b/>
          <w:bCs/>
          <w:sz w:val="22"/>
          <w:szCs w:val="22"/>
          <w:lang w:val="en-US"/>
        </w:rPr>
        <w:t>Total Number of Participants</w:t>
      </w:r>
      <w:r w:rsidRPr="0031349E">
        <w:rPr>
          <w:rFonts w:asciiTheme="majorHAnsi" w:hAnsiTheme="majorHAnsi" w:cs="Times New Roman"/>
          <w:b/>
          <w:sz w:val="22"/>
          <w:szCs w:val="22"/>
          <w:lang w:val="en-US"/>
        </w:rPr>
        <w:t xml:space="preserve">: </w:t>
      </w:r>
    </w:p>
    <w:p w14:paraId="4F560C82" w14:textId="6E63473F" w:rsidR="007F63D0" w:rsidRPr="0031349E" w:rsidRDefault="007F63D0" w:rsidP="007F63D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sz w:val="22"/>
          <w:szCs w:val="22"/>
        </w:rPr>
      </w:pPr>
      <w:r w:rsidRPr="0031349E">
        <w:rPr>
          <w:rFonts w:asciiTheme="majorHAnsi" w:hAnsiTheme="majorHAnsi" w:cs="Times New Roman"/>
          <w:b/>
          <w:sz w:val="22"/>
          <w:szCs w:val="22"/>
        </w:rPr>
        <w:br/>
        <w:t xml:space="preserve">Overview and General Reactions:  </w:t>
      </w:r>
      <w:r w:rsidR="00D6373A">
        <w:rPr>
          <w:rFonts w:asciiTheme="majorHAnsi" w:hAnsiTheme="majorHAnsi" w:cs="Times New Roman"/>
          <w:sz w:val="22"/>
          <w:szCs w:val="22"/>
        </w:rPr>
        <w:t>O</w:t>
      </w:r>
      <w:r w:rsidR="00D6373A" w:rsidRPr="0031349E">
        <w:rPr>
          <w:rFonts w:asciiTheme="majorHAnsi" w:hAnsiTheme="majorHAnsi"/>
          <w:sz w:val="22"/>
          <w:szCs w:val="22"/>
        </w:rPr>
        <w:t>verall</w:t>
      </w:r>
      <w:r w:rsidR="00D6373A">
        <w:rPr>
          <w:rFonts w:asciiTheme="majorHAnsi" w:hAnsiTheme="majorHAnsi"/>
          <w:sz w:val="22"/>
          <w:szCs w:val="22"/>
        </w:rPr>
        <w:t>, p</w:t>
      </w:r>
      <w:r w:rsidRPr="0031349E">
        <w:rPr>
          <w:rFonts w:asciiTheme="majorHAnsi" w:hAnsiTheme="majorHAnsi" w:cs="Times New Roman"/>
          <w:sz w:val="22"/>
          <w:szCs w:val="22"/>
        </w:rPr>
        <w:t xml:space="preserve">articipants were </w:t>
      </w:r>
      <w:r w:rsidRPr="0031349E">
        <w:rPr>
          <w:rFonts w:asciiTheme="majorHAnsi" w:hAnsiTheme="majorHAnsi"/>
          <w:sz w:val="22"/>
          <w:szCs w:val="22"/>
        </w:rPr>
        <w:t xml:space="preserve">content with the proposed reform, especially </w:t>
      </w:r>
      <w:r w:rsidR="00D6373A">
        <w:rPr>
          <w:rFonts w:asciiTheme="majorHAnsi" w:hAnsiTheme="majorHAnsi"/>
          <w:sz w:val="22"/>
          <w:szCs w:val="22"/>
        </w:rPr>
        <w:t xml:space="preserve">considering </w:t>
      </w:r>
      <w:r w:rsidRPr="0031349E">
        <w:rPr>
          <w:rFonts w:asciiTheme="majorHAnsi" w:hAnsiTheme="majorHAnsi"/>
          <w:sz w:val="22"/>
          <w:szCs w:val="22"/>
        </w:rPr>
        <w:t>the focus on V</w:t>
      </w:r>
      <w:r w:rsidR="00D6373A">
        <w:rPr>
          <w:rFonts w:asciiTheme="majorHAnsi" w:hAnsiTheme="majorHAnsi"/>
          <w:sz w:val="22"/>
          <w:szCs w:val="22"/>
        </w:rPr>
        <w:t>alue for Money (V</w:t>
      </w:r>
      <w:r w:rsidRPr="0031349E">
        <w:rPr>
          <w:rFonts w:asciiTheme="majorHAnsi" w:hAnsiTheme="majorHAnsi"/>
          <w:sz w:val="22"/>
          <w:szCs w:val="22"/>
        </w:rPr>
        <w:t>fM</w:t>
      </w:r>
      <w:r w:rsidR="00D6373A">
        <w:rPr>
          <w:rFonts w:asciiTheme="majorHAnsi" w:hAnsiTheme="majorHAnsi"/>
          <w:sz w:val="22"/>
          <w:szCs w:val="22"/>
        </w:rPr>
        <w:t>)</w:t>
      </w:r>
      <w:r w:rsidRPr="0031349E">
        <w:rPr>
          <w:rFonts w:asciiTheme="majorHAnsi" w:hAnsiTheme="majorHAnsi"/>
          <w:sz w:val="22"/>
          <w:szCs w:val="22"/>
        </w:rPr>
        <w:t xml:space="preserve"> and </w:t>
      </w:r>
      <w:r w:rsidR="00D6373A">
        <w:rPr>
          <w:rFonts w:asciiTheme="majorHAnsi" w:hAnsiTheme="majorHAnsi"/>
          <w:sz w:val="22"/>
          <w:szCs w:val="22"/>
        </w:rPr>
        <w:t xml:space="preserve">building </w:t>
      </w:r>
      <w:r w:rsidRPr="0031349E">
        <w:rPr>
          <w:rFonts w:asciiTheme="majorHAnsi" w:hAnsiTheme="majorHAnsi"/>
          <w:sz w:val="22"/>
          <w:szCs w:val="22"/>
        </w:rPr>
        <w:t>sustainable results. Participants expressed thanks for the consultative process</w:t>
      </w:r>
      <w:r w:rsidR="000E1430">
        <w:rPr>
          <w:rFonts w:asciiTheme="majorHAnsi" w:hAnsiTheme="majorHAnsi"/>
          <w:sz w:val="22"/>
          <w:szCs w:val="22"/>
        </w:rPr>
        <w:t xml:space="preserve"> and commended the team for having come up with a proposal that balances the different shareholder and stakeholder views received so far. They</w:t>
      </w:r>
      <w:r w:rsidRPr="0031349E">
        <w:rPr>
          <w:rFonts w:asciiTheme="majorHAnsi" w:hAnsiTheme="majorHAnsi"/>
          <w:sz w:val="22"/>
          <w:szCs w:val="22"/>
        </w:rPr>
        <w:t xml:space="preserve"> </w:t>
      </w:r>
      <w:r w:rsidR="000E1430" w:rsidRPr="0031349E">
        <w:rPr>
          <w:rFonts w:asciiTheme="majorHAnsi" w:hAnsiTheme="majorHAnsi"/>
          <w:sz w:val="22"/>
          <w:szCs w:val="22"/>
        </w:rPr>
        <w:t>agree</w:t>
      </w:r>
      <w:r w:rsidR="000E1430">
        <w:rPr>
          <w:rFonts w:asciiTheme="majorHAnsi" w:hAnsiTheme="majorHAnsi"/>
          <w:sz w:val="22"/>
          <w:szCs w:val="22"/>
        </w:rPr>
        <w:t>d</w:t>
      </w:r>
      <w:r w:rsidR="000E1430" w:rsidRPr="0031349E">
        <w:rPr>
          <w:rFonts w:asciiTheme="majorHAnsi" w:hAnsiTheme="majorHAnsi"/>
          <w:sz w:val="22"/>
          <w:szCs w:val="22"/>
        </w:rPr>
        <w:t xml:space="preserve"> </w:t>
      </w:r>
      <w:r w:rsidRPr="0031349E">
        <w:rPr>
          <w:rFonts w:asciiTheme="majorHAnsi" w:hAnsiTheme="majorHAnsi"/>
          <w:sz w:val="22"/>
          <w:szCs w:val="22"/>
        </w:rPr>
        <w:t xml:space="preserve">in many ways with </w:t>
      </w:r>
      <w:r w:rsidR="001B4382">
        <w:rPr>
          <w:rFonts w:asciiTheme="majorHAnsi" w:hAnsiTheme="majorHAnsi"/>
          <w:sz w:val="22"/>
          <w:szCs w:val="22"/>
        </w:rPr>
        <w:t xml:space="preserve">the </w:t>
      </w:r>
      <w:r w:rsidRPr="0031349E">
        <w:rPr>
          <w:rFonts w:asciiTheme="majorHAnsi" w:hAnsiTheme="majorHAnsi"/>
          <w:sz w:val="22"/>
          <w:szCs w:val="22"/>
        </w:rPr>
        <w:t>proposed framework as it currently stands</w:t>
      </w:r>
      <w:r w:rsidR="000E1430">
        <w:rPr>
          <w:rFonts w:asciiTheme="majorHAnsi" w:hAnsiTheme="majorHAnsi"/>
          <w:sz w:val="22"/>
          <w:szCs w:val="22"/>
        </w:rPr>
        <w:t xml:space="preserve"> – including its structure, Vision statement and core principles</w:t>
      </w:r>
      <w:r w:rsidRPr="0031349E">
        <w:rPr>
          <w:rFonts w:asciiTheme="majorHAnsi" w:hAnsiTheme="majorHAnsi"/>
          <w:sz w:val="22"/>
          <w:szCs w:val="22"/>
        </w:rPr>
        <w:t>. Despite having come a long way and having reached a “good middle ground,” there are still some clarification points and input</w:t>
      </w:r>
      <w:r w:rsidR="00AD4CDA">
        <w:rPr>
          <w:rFonts w:asciiTheme="majorHAnsi" w:hAnsiTheme="majorHAnsi"/>
          <w:sz w:val="22"/>
          <w:szCs w:val="22"/>
        </w:rPr>
        <w:t xml:space="preserve"> o</w:t>
      </w:r>
      <w:r w:rsidR="00460024">
        <w:rPr>
          <w:rFonts w:asciiTheme="majorHAnsi" w:hAnsiTheme="majorHAnsi"/>
          <w:sz w:val="22"/>
          <w:szCs w:val="22"/>
        </w:rPr>
        <w:t>n aspects that could be improved</w:t>
      </w:r>
      <w:r w:rsidRPr="0031349E">
        <w:rPr>
          <w:rFonts w:asciiTheme="majorHAnsi" w:hAnsiTheme="majorHAnsi"/>
          <w:sz w:val="22"/>
          <w:szCs w:val="22"/>
        </w:rPr>
        <w:t xml:space="preserve">, such as more clearly defining the link between VfM </w:t>
      </w:r>
      <w:r w:rsidR="005849A4">
        <w:rPr>
          <w:rFonts w:asciiTheme="majorHAnsi" w:hAnsiTheme="majorHAnsi"/>
          <w:sz w:val="22"/>
          <w:szCs w:val="22"/>
        </w:rPr>
        <w:t xml:space="preserve">and the principle of </w:t>
      </w:r>
      <w:r w:rsidRPr="0031349E">
        <w:rPr>
          <w:rFonts w:asciiTheme="majorHAnsi" w:hAnsiTheme="majorHAnsi"/>
          <w:sz w:val="22"/>
          <w:szCs w:val="22"/>
        </w:rPr>
        <w:t>econom</w:t>
      </w:r>
      <w:r w:rsidR="005849A4">
        <w:rPr>
          <w:rFonts w:asciiTheme="majorHAnsi" w:hAnsiTheme="majorHAnsi"/>
          <w:sz w:val="22"/>
          <w:szCs w:val="22"/>
        </w:rPr>
        <w:t>y</w:t>
      </w:r>
      <w:r w:rsidRPr="0031349E">
        <w:rPr>
          <w:rFonts w:asciiTheme="majorHAnsi" w:hAnsiTheme="majorHAnsi"/>
          <w:sz w:val="22"/>
          <w:szCs w:val="22"/>
        </w:rPr>
        <w:t>.  Participants specifically appreciated the</w:t>
      </w:r>
      <w:r w:rsidR="000E1430">
        <w:rPr>
          <w:rFonts w:asciiTheme="majorHAnsi" w:hAnsiTheme="majorHAnsi"/>
          <w:sz w:val="22"/>
          <w:szCs w:val="22"/>
        </w:rPr>
        <w:t xml:space="preserve"> inclusion of sustainable procurement, the intended stronger</w:t>
      </w:r>
      <w:r w:rsidRPr="0031349E">
        <w:rPr>
          <w:rFonts w:asciiTheme="majorHAnsi" w:hAnsiTheme="majorHAnsi"/>
          <w:sz w:val="22"/>
          <w:szCs w:val="22"/>
        </w:rPr>
        <w:t xml:space="preserve"> focus on </w:t>
      </w:r>
      <w:r w:rsidR="000E1430">
        <w:rPr>
          <w:rFonts w:asciiTheme="majorHAnsi" w:hAnsiTheme="majorHAnsi"/>
          <w:sz w:val="22"/>
          <w:szCs w:val="22"/>
        </w:rPr>
        <w:t xml:space="preserve">strengthening </w:t>
      </w:r>
      <w:r w:rsidRPr="0031349E">
        <w:rPr>
          <w:rFonts w:asciiTheme="majorHAnsi" w:hAnsiTheme="majorHAnsi"/>
          <w:sz w:val="22"/>
          <w:szCs w:val="22"/>
        </w:rPr>
        <w:t xml:space="preserve">capacity </w:t>
      </w:r>
      <w:r w:rsidR="000E1430">
        <w:rPr>
          <w:rFonts w:asciiTheme="majorHAnsi" w:hAnsiTheme="majorHAnsi"/>
          <w:sz w:val="22"/>
          <w:szCs w:val="22"/>
        </w:rPr>
        <w:t>of borrower procurement systems and increased use of alternative procurement arrangements</w:t>
      </w:r>
      <w:r w:rsidRPr="0031349E">
        <w:rPr>
          <w:rFonts w:asciiTheme="majorHAnsi" w:hAnsiTheme="majorHAnsi"/>
          <w:sz w:val="22"/>
          <w:szCs w:val="22"/>
        </w:rPr>
        <w:t>,</w:t>
      </w:r>
      <w:r w:rsidR="000E1430">
        <w:rPr>
          <w:rFonts w:asciiTheme="majorHAnsi" w:hAnsiTheme="majorHAnsi"/>
          <w:sz w:val="22"/>
          <w:szCs w:val="22"/>
        </w:rPr>
        <w:t xml:space="preserve"> the envisaged</w:t>
      </w:r>
      <w:r w:rsidRPr="0031349E">
        <w:rPr>
          <w:rFonts w:asciiTheme="majorHAnsi" w:hAnsiTheme="majorHAnsi"/>
          <w:sz w:val="22"/>
          <w:szCs w:val="22"/>
        </w:rPr>
        <w:t xml:space="preserve"> fit for purpose, </w:t>
      </w:r>
      <w:r w:rsidR="000E1430">
        <w:rPr>
          <w:rFonts w:asciiTheme="majorHAnsi" w:hAnsiTheme="majorHAnsi"/>
          <w:sz w:val="22"/>
          <w:szCs w:val="22"/>
        </w:rPr>
        <w:t xml:space="preserve">and </w:t>
      </w:r>
      <w:r w:rsidRPr="0031349E">
        <w:rPr>
          <w:rFonts w:asciiTheme="majorHAnsi" w:hAnsiTheme="majorHAnsi"/>
          <w:sz w:val="22"/>
          <w:szCs w:val="22"/>
        </w:rPr>
        <w:t xml:space="preserve">risk </w:t>
      </w:r>
      <w:r w:rsidR="000E1430">
        <w:rPr>
          <w:rFonts w:asciiTheme="majorHAnsi" w:hAnsiTheme="majorHAnsi"/>
          <w:sz w:val="22"/>
          <w:szCs w:val="22"/>
        </w:rPr>
        <w:t>based approach</w:t>
      </w:r>
      <w:r w:rsidRPr="0031349E">
        <w:rPr>
          <w:rFonts w:asciiTheme="majorHAnsi" w:hAnsiTheme="majorHAnsi"/>
          <w:sz w:val="22"/>
          <w:szCs w:val="22"/>
        </w:rPr>
        <w:t xml:space="preserve">, and expressed hopes that </w:t>
      </w:r>
      <w:r w:rsidR="000E1430">
        <w:rPr>
          <w:rFonts w:asciiTheme="majorHAnsi" w:hAnsiTheme="majorHAnsi"/>
          <w:sz w:val="22"/>
          <w:szCs w:val="22"/>
        </w:rPr>
        <w:t>further consultations and deliberations</w:t>
      </w:r>
      <w:r w:rsidRPr="0031349E">
        <w:rPr>
          <w:rFonts w:asciiTheme="majorHAnsi" w:hAnsiTheme="majorHAnsi"/>
          <w:sz w:val="22"/>
          <w:szCs w:val="22"/>
        </w:rPr>
        <w:t xml:space="preserve"> would not dilute</w:t>
      </w:r>
      <w:r w:rsidR="00A5756B">
        <w:rPr>
          <w:rFonts w:asciiTheme="majorHAnsi" w:hAnsiTheme="majorHAnsi"/>
          <w:sz w:val="22"/>
          <w:szCs w:val="22"/>
        </w:rPr>
        <w:t xml:space="preserve"> what is currently on the table</w:t>
      </w:r>
      <w:r w:rsidRPr="0031349E">
        <w:rPr>
          <w:rFonts w:asciiTheme="majorHAnsi" w:hAnsiTheme="majorHAnsi"/>
          <w:sz w:val="22"/>
          <w:szCs w:val="22"/>
        </w:rPr>
        <w:t xml:space="preserve">.  </w:t>
      </w:r>
    </w:p>
    <w:p w14:paraId="5271B325" w14:textId="77777777" w:rsidR="005B1D7C" w:rsidRPr="0031349E" w:rsidRDefault="005B1D7C" w:rsidP="00225F7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31349E" w14:paraId="5271B328" w14:textId="77777777" w:rsidTr="002C093B"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5271B326" w14:textId="77777777" w:rsidR="00B16E9C" w:rsidRPr="0031349E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  <w:r w:rsidRPr="0031349E"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  <w:t>Specific Feedback from Stakeholders</w:t>
            </w:r>
          </w:p>
          <w:p w14:paraId="5271B327" w14:textId="77777777" w:rsidR="00B16E9C" w:rsidRPr="0031349E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13530E" w:rsidRPr="0031349E" w14:paraId="5271B32A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5271B329" w14:textId="5A40D242" w:rsidR="0013530E" w:rsidRPr="0031349E" w:rsidRDefault="008A533C" w:rsidP="00150B6C">
            <w:pPr>
              <w:pStyle w:val="ListParagraph"/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31349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Bank implement support to borrower procurement capacity building and institutional strengthening?</w:t>
            </w:r>
          </w:p>
        </w:tc>
      </w:tr>
      <w:tr w:rsidR="002E23E9" w:rsidRPr="0031349E" w14:paraId="5271B32F" w14:textId="77777777" w:rsidTr="00BA28BE">
        <w:trPr>
          <w:trHeight w:val="377"/>
        </w:trPr>
        <w:tc>
          <w:tcPr>
            <w:tcW w:w="13320" w:type="dxa"/>
            <w:shd w:val="clear" w:color="auto" w:fill="auto"/>
          </w:tcPr>
          <w:p w14:paraId="089FADDA" w14:textId="6DC3F6CC" w:rsidR="007F63D0" w:rsidRPr="0031349E" w:rsidRDefault="009F39AA" w:rsidP="007F63D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Participants suggested that the Bank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work together to identify countries </w:t>
            </w:r>
            <w:r>
              <w:rPr>
                <w:rFonts w:asciiTheme="majorHAnsi" w:hAnsiTheme="majorHAnsi"/>
                <w:sz w:val="22"/>
                <w:szCs w:val="22"/>
              </w:rPr>
              <w:t>to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support through colleagues working on public procurement on the ground.  In addition,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participants </w:t>
            </w:r>
            <w:r w:rsidR="00B835CA">
              <w:rPr>
                <w:rFonts w:asciiTheme="majorHAnsi" w:hAnsiTheme="majorHAnsi"/>
                <w:sz w:val="22"/>
                <w:szCs w:val="22"/>
              </w:rPr>
              <w:t>asked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that the Bank provide the means to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identify countries that are conducive to capacity building. </w:t>
            </w:r>
          </w:p>
          <w:p w14:paraId="70DD3353" w14:textId="27AB2FEB" w:rsidR="007F63D0" w:rsidRPr="0031349E" w:rsidRDefault="009F39AA" w:rsidP="007F63D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participants were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especially interested in collaboration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with the Bank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to improve capacity building and system strengthening.</w:t>
            </w:r>
          </w:p>
          <w:p w14:paraId="5271B32E" w14:textId="276A854F" w:rsidR="00BA28BE" w:rsidRPr="00BA28BE" w:rsidRDefault="009F39AA" w:rsidP="00BA28BE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76" w:lineRule="auto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In a similar vein, having a way of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determining how much support a fragile state will get for developing a procurement strategy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was a concern expressed throughout the meeting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>; this is in an effort to have a joint approach to fragile countries across World Bank.</w:t>
            </w:r>
          </w:p>
        </w:tc>
      </w:tr>
      <w:tr w:rsidR="00A840E8" w:rsidRPr="0031349E" w14:paraId="5271B331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5271B330" w14:textId="03CF0918" w:rsidR="00A840E8" w:rsidRPr="0031349E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31349E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lastRenderedPageBreak/>
              <w:t>How should the Bank operationalize the potential broader use of value-for-money criteria in borrower contract award decisions?</w:t>
            </w:r>
          </w:p>
        </w:tc>
      </w:tr>
      <w:tr w:rsidR="002E23E9" w:rsidRPr="0031349E" w14:paraId="5271B336" w14:textId="77777777" w:rsidTr="00C9351A">
        <w:trPr>
          <w:trHeight w:val="962"/>
        </w:trPr>
        <w:tc>
          <w:tcPr>
            <w:tcW w:w="13320" w:type="dxa"/>
            <w:shd w:val="clear" w:color="auto" w:fill="auto"/>
          </w:tcPr>
          <w:p w14:paraId="6C36658D" w14:textId="52762DF2" w:rsidR="007F63D0" w:rsidRPr="0031349E" w:rsidRDefault="009F39AA" w:rsidP="007F63D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Some participants struggled to understand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how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 Bank is going to apply a VfM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when </w:t>
            </w:r>
            <w:r>
              <w:rPr>
                <w:rFonts w:asciiTheme="majorHAnsi" w:hAnsiTheme="majorHAnsi"/>
                <w:sz w:val="22"/>
                <w:szCs w:val="22"/>
              </w:rPr>
              <w:t>the Bank is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dealing with countrie</w:t>
            </w:r>
            <w:r w:rsidR="0012259E">
              <w:rPr>
                <w:rFonts w:asciiTheme="majorHAnsi" w:hAnsiTheme="majorHAnsi"/>
                <w:sz w:val="22"/>
                <w:szCs w:val="22"/>
              </w:rPr>
              <w:t xml:space="preserve">s that still favor lowest price. Participants asked The Bank to set out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a set of </w:t>
            </w:r>
            <w:r w:rsidR="0012259E">
              <w:rPr>
                <w:rFonts w:asciiTheme="majorHAnsi" w:hAnsiTheme="majorHAnsi"/>
                <w:sz w:val="22"/>
                <w:szCs w:val="22"/>
              </w:rPr>
              <w:t>principles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that ensures </w:t>
            </w:r>
            <w:r w:rsidR="0012259E">
              <w:rPr>
                <w:rFonts w:asciiTheme="majorHAnsi" w:hAnsiTheme="majorHAnsi"/>
                <w:sz w:val="22"/>
                <w:szCs w:val="22"/>
              </w:rPr>
              <w:t xml:space="preserve">that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VfM is the deciding factor in the assignment of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procurement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>contract.</w:t>
            </w:r>
          </w:p>
          <w:p w14:paraId="5271B335" w14:textId="5D374B39" w:rsidR="002E23E9" w:rsidRPr="0031349E" w:rsidRDefault="009F39AA" w:rsidP="00593C20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ajorHAnsi" w:hAnsiTheme="majorHAnsi" w:cs="Times New Roman"/>
                <w:color w:val="333333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addition, it was suggested that including a set of incentives for quality criteria may further help promote fair assessments of procurement contracts. </w:t>
            </w:r>
          </w:p>
        </w:tc>
      </w:tr>
      <w:tr w:rsidR="00941C03" w:rsidRPr="0031349E" w14:paraId="5271B338" w14:textId="77777777" w:rsidTr="002C093B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3320" w:type="dxa"/>
            <w:shd w:val="clear" w:color="auto" w:fill="DBE5F1" w:themeFill="accent1" w:themeFillTint="33"/>
          </w:tcPr>
          <w:p w14:paraId="11B7E7B0" w14:textId="77777777" w:rsidR="00222A7F" w:rsidRPr="0031349E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31349E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target its procurement staff resources to get the best results?</w:t>
            </w:r>
          </w:p>
          <w:p w14:paraId="5271B337" w14:textId="578B2FDC" w:rsidR="00941C03" w:rsidRPr="0031349E" w:rsidRDefault="00941C03" w:rsidP="00DB01C2">
            <w:pPr>
              <w:snapToGrid w:val="0"/>
              <w:ind w:left="18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</w:p>
        </w:tc>
      </w:tr>
      <w:tr w:rsidR="002E23E9" w:rsidRPr="0031349E" w14:paraId="5271B33E" w14:textId="77777777" w:rsidTr="002E23E9">
        <w:trPr>
          <w:trHeight w:val="962"/>
        </w:trPr>
        <w:tc>
          <w:tcPr>
            <w:tcW w:w="13320" w:type="dxa"/>
            <w:shd w:val="clear" w:color="auto" w:fill="auto"/>
          </w:tcPr>
          <w:p w14:paraId="2EB67580" w14:textId="359E5C92" w:rsidR="007F63D0" w:rsidRPr="0031349E" w:rsidRDefault="009F39AA" w:rsidP="007F63D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Participants </w:t>
            </w:r>
            <w:r w:rsidR="00593C20">
              <w:rPr>
                <w:rFonts w:asciiTheme="majorHAnsi" w:hAnsiTheme="majorHAnsi"/>
                <w:sz w:val="22"/>
                <w:szCs w:val="22"/>
              </w:rPr>
              <w:t xml:space="preserve">asked the Bank to provide </w:t>
            </w:r>
            <w:r w:rsidR="00EB4AF9">
              <w:rPr>
                <w:rFonts w:asciiTheme="majorHAnsi" w:hAnsiTheme="majorHAnsi"/>
                <w:sz w:val="22"/>
                <w:szCs w:val="22"/>
              </w:rPr>
              <w:t>a timeline</w:t>
            </w:r>
            <w:r w:rsidR="00593C20">
              <w:rPr>
                <w:rFonts w:asciiTheme="majorHAnsi" w:hAnsiTheme="majorHAnsi"/>
                <w:sz w:val="22"/>
                <w:szCs w:val="22"/>
              </w:rPr>
              <w:t xml:space="preserve"> on the </w:t>
            </w:r>
            <w:r w:rsidR="00EB4AF9">
              <w:rPr>
                <w:rFonts w:asciiTheme="majorHAnsi" w:hAnsiTheme="majorHAnsi"/>
                <w:sz w:val="22"/>
                <w:szCs w:val="22"/>
              </w:rPr>
              <w:t xml:space="preserve">procurement reform process, while also illustrating how the Bank is planning to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link project support to capacity building.   </w:t>
            </w:r>
          </w:p>
          <w:p w14:paraId="28C66DB1" w14:textId="5F476808" w:rsidR="007F63D0" w:rsidRPr="0031349E" w:rsidRDefault="00EB4AF9" w:rsidP="007F63D0">
            <w:pPr>
              <w:pStyle w:val="ListParagraph"/>
              <w:numPr>
                <w:ilvl w:val="0"/>
                <w:numId w:val="42"/>
              </w:numPr>
              <w:tabs>
                <w:tab w:val="left" w:pos="79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another comment, participants agreed that the Bank </w:t>
            </w:r>
            <w:r w:rsidR="00806D43">
              <w:rPr>
                <w:rFonts w:asciiTheme="majorHAnsi" w:hAnsiTheme="majorHAnsi"/>
                <w:sz w:val="22"/>
                <w:szCs w:val="22"/>
              </w:rPr>
              <w:t>should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focus </w:t>
            </w:r>
            <w:r w:rsidR="00806D43">
              <w:rPr>
                <w:rFonts w:asciiTheme="majorHAnsi" w:hAnsiTheme="majorHAnsi"/>
                <w:sz w:val="22"/>
                <w:szCs w:val="22"/>
              </w:rPr>
              <w:t xml:space="preserve">on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this reform and prioritize </w:t>
            </w:r>
            <w:r>
              <w:rPr>
                <w:rFonts w:asciiTheme="majorHAnsi" w:hAnsiTheme="majorHAnsi"/>
                <w:sz w:val="22"/>
                <w:szCs w:val="22"/>
              </w:rPr>
              <w:t>its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goals,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adding that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>a pragmatic and long-term approach is important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 its success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430F477B" w14:textId="7A213A05" w:rsidR="007F63D0" w:rsidRPr="0031349E" w:rsidRDefault="00EB4AF9" w:rsidP="007F63D0">
            <w:pPr>
              <w:pStyle w:val="ListParagraph"/>
              <w:numPr>
                <w:ilvl w:val="0"/>
                <w:numId w:val="42"/>
              </w:numPr>
              <w:tabs>
                <w:tab w:val="left" w:pos="79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assessing the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larger context,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participant mentioned the importance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that </w:t>
            </w:r>
            <w:r>
              <w:rPr>
                <w:rFonts w:asciiTheme="majorHAnsi" w:hAnsiTheme="majorHAnsi"/>
                <w:sz w:val="22"/>
                <w:szCs w:val="22"/>
              </w:rPr>
              <w:t>the Bank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06D43" w:rsidRPr="0031349E">
              <w:rPr>
                <w:rFonts w:asciiTheme="majorHAnsi" w:hAnsiTheme="majorHAnsi"/>
                <w:sz w:val="22"/>
                <w:szCs w:val="22"/>
              </w:rPr>
              <w:t>determines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a</w:t>
            </w:r>
            <w:r w:rsidR="00624D7F">
              <w:rPr>
                <w:rFonts w:asciiTheme="majorHAnsi" w:hAnsiTheme="majorHAnsi"/>
                <w:sz w:val="22"/>
                <w:szCs w:val="22"/>
              </w:rPr>
              <w:t xml:space="preserve"> procurement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approach that is systematic for the entire country. </w:t>
            </w:r>
          </w:p>
          <w:p w14:paraId="3C360091" w14:textId="0D177E41" w:rsidR="007F63D0" w:rsidRPr="0031349E" w:rsidRDefault="007F63D0" w:rsidP="007F63D0">
            <w:pPr>
              <w:pStyle w:val="ListParagraph"/>
              <w:numPr>
                <w:ilvl w:val="0"/>
                <w:numId w:val="42"/>
              </w:numPr>
              <w:tabs>
                <w:tab w:val="left" w:pos="7920"/>
              </w:tabs>
              <w:rPr>
                <w:rFonts w:asciiTheme="majorHAnsi" w:hAnsiTheme="majorHAnsi"/>
                <w:sz w:val="22"/>
                <w:szCs w:val="22"/>
              </w:rPr>
            </w:pPr>
            <w:r w:rsidRPr="0031349E">
              <w:rPr>
                <w:rFonts w:asciiTheme="majorHAnsi" w:hAnsiTheme="majorHAnsi"/>
                <w:sz w:val="22"/>
                <w:szCs w:val="22"/>
              </w:rPr>
              <w:t xml:space="preserve">In order for sustainable procurement to work, </w:t>
            </w:r>
            <w:r w:rsidR="00EB4AF9">
              <w:rPr>
                <w:rFonts w:asciiTheme="majorHAnsi" w:hAnsiTheme="majorHAnsi"/>
                <w:sz w:val="22"/>
                <w:szCs w:val="22"/>
              </w:rPr>
              <w:t xml:space="preserve">the Bank </w:t>
            </w:r>
            <w:r w:rsidR="00806D43">
              <w:rPr>
                <w:rFonts w:asciiTheme="majorHAnsi" w:hAnsiTheme="majorHAnsi"/>
                <w:sz w:val="22"/>
                <w:szCs w:val="22"/>
              </w:rPr>
              <w:t>should</w:t>
            </w:r>
            <w:r w:rsidRPr="0031349E">
              <w:rPr>
                <w:rFonts w:asciiTheme="majorHAnsi" w:hAnsiTheme="majorHAnsi"/>
                <w:sz w:val="22"/>
                <w:szCs w:val="22"/>
              </w:rPr>
              <w:t xml:space="preserve"> define a new assessment tool, such as MAPS or a revision of MAPS. </w:t>
            </w:r>
          </w:p>
          <w:p w14:paraId="5271B33D" w14:textId="56DF4C74" w:rsidR="002E23E9" w:rsidRPr="0031349E" w:rsidRDefault="00806D43" w:rsidP="00806D4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40"/>
              <w:ind w:right="40"/>
              <w:jc w:val="left"/>
              <w:rPr>
                <w:rFonts w:asciiTheme="majorHAnsi" w:hAnsiTheme="majorHAnsi" w:cs="Times New Roman"/>
                <w:color w:val="262626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Bank should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>determine the scope of sustainability, whether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the Bank is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hoping to promote broader sustainability goals beyond safeguards,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if this is the case, then the Bank should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have an understanding of how </w:t>
            </w:r>
            <w:r>
              <w:rPr>
                <w:rFonts w:asciiTheme="majorHAnsi" w:hAnsiTheme="majorHAnsi"/>
                <w:sz w:val="22"/>
                <w:szCs w:val="22"/>
              </w:rPr>
              <w:t>it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will address risks once they are identified.</w:t>
            </w:r>
          </w:p>
        </w:tc>
      </w:tr>
      <w:tr w:rsidR="00173E2F" w:rsidRPr="0031349E" w14:paraId="5271B340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5271B33F" w14:textId="1FB08E50" w:rsidR="00173E2F" w:rsidRPr="0031349E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  <w:r w:rsidRPr="0031349E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and when should alternative procurement arrangements be used for procurement in Bank projects and how should they be assessed?</w:t>
            </w:r>
          </w:p>
        </w:tc>
      </w:tr>
      <w:tr w:rsidR="002E23E9" w:rsidRPr="0031349E" w14:paraId="5271B346" w14:textId="77777777" w:rsidTr="007F63D0">
        <w:trPr>
          <w:trHeight w:val="576"/>
        </w:trPr>
        <w:tc>
          <w:tcPr>
            <w:tcW w:w="13320" w:type="dxa"/>
            <w:shd w:val="clear" w:color="auto" w:fill="auto"/>
          </w:tcPr>
          <w:p w14:paraId="5271B345" w14:textId="10AC74BD" w:rsidR="002E23E9" w:rsidRPr="00597601" w:rsidRDefault="00597601" w:rsidP="00597601">
            <w:pPr>
              <w:pStyle w:val="ListParagraph"/>
              <w:numPr>
                <w:ilvl w:val="0"/>
                <w:numId w:val="45"/>
              </w:numPr>
              <w:spacing w:line="240" w:lineRule="auto"/>
              <w:jc w:val="left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 xml:space="preserve">Participants welcomed to proposal to utilize procurement arrangements of members of the Government Procurement Agreement (GPA), but would like to see the use of these arrangements extended beyond GPA members. </w:t>
            </w:r>
          </w:p>
        </w:tc>
      </w:tr>
      <w:tr w:rsidR="002717AA" w:rsidRPr="0031349E" w14:paraId="5271B348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6DAEE66A" w14:textId="77777777" w:rsidR="00222A7F" w:rsidRPr="0031349E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31349E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sustainable procurement matters be addressed in Bank-financed contracts?</w:t>
            </w:r>
          </w:p>
          <w:p w14:paraId="5271B347" w14:textId="5E25DD7D" w:rsidR="002717AA" w:rsidRPr="0031349E" w:rsidRDefault="002717AA" w:rsidP="0064715C">
            <w:pPr>
              <w:snapToGrid w:val="0"/>
              <w:ind w:left="18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</w:p>
        </w:tc>
      </w:tr>
      <w:tr w:rsidR="002E23E9" w:rsidRPr="0031349E" w14:paraId="5271B34C" w14:textId="77777777" w:rsidTr="007F63D0">
        <w:trPr>
          <w:trHeight w:val="576"/>
        </w:trPr>
        <w:tc>
          <w:tcPr>
            <w:tcW w:w="13320" w:type="dxa"/>
            <w:shd w:val="clear" w:color="auto" w:fill="auto"/>
          </w:tcPr>
          <w:p w14:paraId="5271B34B" w14:textId="24552C53" w:rsidR="002E23E9" w:rsidRPr="00980B3C" w:rsidRDefault="00980B3C" w:rsidP="00980B3C">
            <w:pPr>
              <w:pStyle w:val="ListParagraph"/>
              <w:numPr>
                <w:ilvl w:val="0"/>
                <w:numId w:val="42"/>
              </w:numPr>
              <w:tabs>
                <w:tab w:val="left" w:pos="79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Sustainable procurement is particularly important </w:t>
            </w:r>
            <w:r w:rsidRPr="0031349E">
              <w:rPr>
                <w:rFonts w:asciiTheme="majorHAnsi" w:hAnsiTheme="majorHAnsi"/>
                <w:sz w:val="22"/>
                <w:szCs w:val="22"/>
              </w:rPr>
              <w:t>for those contracts that are both high risk and high value.</w:t>
            </w:r>
          </w:p>
        </w:tc>
      </w:tr>
      <w:tr w:rsidR="002A7906" w:rsidRPr="0031349E" w14:paraId="5271B34E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3C58565E" w14:textId="77777777" w:rsidR="00222A7F" w:rsidRPr="0031349E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31349E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manage fraud and corruption issues in the procurements it finances?</w:t>
            </w:r>
          </w:p>
          <w:p w14:paraId="5271B34D" w14:textId="0A280519" w:rsidR="002A7906" w:rsidRPr="0031349E" w:rsidRDefault="002A7906" w:rsidP="001453DE">
            <w:pPr>
              <w:snapToGrid w:val="0"/>
              <w:ind w:left="18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</w:p>
        </w:tc>
      </w:tr>
      <w:tr w:rsidR="002E23E9" w:rsidRPr="0031349E" w14:paraId="5271B358" w14:textId="77777777" w:rsidTr="007F63D0">
        <w:trPr>
          <w:trHeight w:val="576"/>
        </w:trPr>
        <w:tc>
          <w:tcPr>
            <w:tcW w:w="13320" w:type="dxa"/>
            <w:shd w:val="clear" w:color="auto" w:fill="auto"/>
          </w:tcPr>
          <w:p w14:paraId="5271B357" w14:textId="7E8A01AD" w:rsidR="002E23E9" w:rsidRPr="0031349E" w:rsidRDefault="002E23E9" w:rsidP="007F63D0">
            <w:pPr>
              <w:rPr>
                <w:rFonts w:asciiTheme="majorHAnsi" w:hAnsiTheme="majorHAnsi"/>
                <w:color w:val="333333"/>
                <w:sz w:val="22"/>
                <w:szCs w:val="22"/>
              </w:rPr>
            </w:pPr>
          </w:p>
        </w:tc>
      </w:tr>
      <w:tr w:rsidR="00594D12" w:rsidRPr="0031349E" w14:paraId="5271B35A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1EE2E862" w14:textId="77777777" w:rsidR="00222A7F" w:rsidRPr="0031349E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31349E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lastRenderedPageBreak/>
              <w:t>What would be suitable procurement metrics that the Bank should use to improve performance?</w:t>
            </w:r>
          </w:p>
          <w:p w14:paraId="5271B359" w14:textId="3C3D834D" w:rsidR="00594D12" w:rsidRPr="0031349E" w:rsidRDefault="00594D12" w:rsidP="001453DE">
            <w:pPr>
              <w:snapToGrid w:val="0"/>
              <w:ind w:left="18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</w:p>
        </w:tc>
      </w:tr>
      <w:tr w:rsidR="002E23E9" w:rsidRPr="0031349E" w14:paraId="5271B361" w14:textId="77777777" w:rsidTr="007F63D0">
        <w:trPr>
          <w:trHeight w:val="576"/>
        </w:trPr>
        <w:tc>
          <w:tcPr>
            <w:tcW w:w="13320" w:type="dxa"/>
            <w:shd w:val="clear" w:color="auto" w:fill="auto"/>
          </w:tcPr>
          <w:p w14:paraId="5271B360" w14:textId="47D04670" w:rsidR="002E23E9" w:rsidRPr="0031349E" w:rsidRDefault="002E23E9" w:rsidP="007F63D0">
            <w:pPr>
              <w:rPr>
                <w:rFonts w:asciiTheme="majorHAnsi" w:hAnsiTheme="majorHAnsi"/>
                <w:color w:val="333333"/>
                <w:sz w:val="22"/>
                <w:szCs w:val="22"/>
              </w:rPr>
            </w:pPr>
          </w:p>
        </w:tc>
      </w:tr>
      <w:tr w:rsidR="00A21FB6" w:rsidRPr="0031349E" w14:paraId="5271B363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017AA659" w14:textId="77777777" w:rsidR="00222A7F" w:rsidRPr="0031349E" w:rsidRDefault="008A533C" w:rsidP="00150B6C">
            <w:pPr>
              <w:numPr>
                <w:ilvl w:val="0"/>
                <w:numId w:val="30"/>
              </w:numPr>
              <w:snapToGrid w:val="0"/>
              <w:ind w:left="54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31349E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role should the Bank have with regard to complaints monitoring?</w:t>
            </w:r>
          </w:p>
          <w:p w14:paraId="5271B362" w14:textId="7FA53F4F" w:rsidR="00A21FB6" w:rsidRPr="0031349E" w:rsidRDefault="00A21FB6" w:rsidP="001453DE">
            <w:pPr>
              <w:snapToGrid w:val="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</w:p>
        </w:tc>
      </w:tr>
      <w:tr w:rsidR="002E23E9" w:rsidRPr="0031349E" w14:paraId="5271B36F" w14:textId="77777777" w:rsidTr="007F63D0">
        <w:trPr>
          <w:trHeight w:val="576"/>
        </w:trPr>
        <w:tc>
          <w:tcPr>
            <w:tcW w:w="13320" w:type="dxa"/>
            <w:shd w:val="clear" w:color="auto" w:fill="auto"/>
          </w:tcPr>
          <w:p w14:paraId="5271B36E" w14:textId="1C969F4B" w:rsidR="002E23E9" w:rsidRPr="0031349E" w:rsidRDefault="002E23E9" w:rsidP="007F63D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23E9" w:rsidRPr="0031349E" w14:paraId="3A1A315B" w14:textId="77777777" w:rsidTr="00150B6C">
        <w:trPr>
          <w:trHeight w:val="71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39FFE1" w14:textId="18C5CABB" w:rsidR="002E23E9" w:rsidRPr="0031349E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31349E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should be the Bank’s role in contract management, and with regard to improving performance of suppliers?</w:t>
            </w:r>
          </w:p>
        </w:tc>
      </w:tr>
      <w:tr w:rsidR="002E23E9" w:rsidRPr="0031349E" w14:paraId="65D14FC7" w14:textId="77777777" w:rsidTr="002E23E9">
        <w:trPr>
          <w:trHeight w:val="1007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147A" w14:textId="77777777" w:rsidR="00806D43" w:rsidRDefault="00806D43" w:rsidP="007F63D0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Participants agreed with the Bank’s statement that t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>ransparency and participation is key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 success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further mentioned the possibility of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an open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contracting partnership to enhance transparency and participation throughout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 supply chain. </w:t>
            </w:r>
          </w:p>
          <w:p w14:paraId="31E3AD50" w14:textId="2D124740" w:rsidR="007F63D0" w:rsidRPr="0031349E" w:rsidRDefault="00806D43" w:rsidP="007F63D0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Participants additionally suggested that the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procurement review process address some of the ideas of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 open contracting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partnership. </w:t>
            </w:r>
          </w:p>
          <w:p w14:paraId="19E44900" w14:textId="572E3395" w:rsidR="002E23E9" w:rsidRPr="0031349E" w:rsidRDefault="00806D43" w:rsidP="00DA28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 a later comment</w:t>
            </w:r>
            <w:r w:rsidR="00B30374">
              <w:rPr>
                <w:rFonts w:asciiTheme="majorHAnsi" w:hAnsiTheme="majorHAnsi"/>
                <w:sz w:val="22"/>
                <w:szCs w:val="22"/>
              </w:rPr>
              <w:t xml:space="preserve"> interested in enhancing civil society involvement and transparency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a participant expressed interest in giving other stakeholder groups – those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>not directly involved in procurement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process </w:t>
            </w:r>
            <w:r w:rsidR="00DA2887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</w:t>
            </w:r>
            <w:r w:rsidR="00DA288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voice, suggesting they be allowed to make complaints</w:t>
            </w:r>
            <w:r w:rsidR="00B30374">
              <w:rPr>
                <w:rFonts w:asciiTheme="majorHAnsi" w:hAnsiTheme="majorHAnsi"/>
                <w:sz w:val="22"/>
                <w:szCs w:val="22"/>
              </w:rPr>
              <w:t>.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2E23E9" w:rsidRPr="0031349E" w14:paraId="3A5C9AA9" w14:textId="77777777" w:rsidTr="00150B6C">
        <w:trPr>
          <w:trHeight w:val="75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EE69C6" w14:textId="3E6B6A43" w:rsidR="002E23E9" w:rsidRPr="0031349E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31349E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General comments on other issues emanating from the Bank's proposals?</w:t>
            </w:r>
          </w:p>
        </w:tc>
      </w:tr>
      <w:tr w:rsidR="002E23E9" w:rsidRPr="0031349E" w14:paraId="3782240F" w14:textId="77777777" w:rsidTr="002E23E9">
        <w:trPr>
          <w:trHeight w:val="1007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150C" w14:textId="6307CC2A" w:rsidR="002E23E9" w:rsidRPr="00BA28BE" w:rsidRDefault="00B30374" w:rsidP="00BA28BE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Participants noted the difficulty some p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rocurement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contracts may have in </w:t>
            </w:r>
            <w:r w:rsidR="00DA2887">
              <w:rPr>
                <w:rFonts w:asciiTheme="majorHAnsi" w:hAnsiTheme="majorHAnsi"/>
                <w:sz w:val="22"/>
                <w:szCs w:val="22"/>
              </w:rPr>
              <w:t>certain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political environment</w:t>
            </w:r>
            <w:r w:rsidR="00DA2887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and suggested </w:t>
            </w:r>
            <w:r w:rsidR="00787554">
              <w:rPr>
                <w:rFonts w:asciiTheme="majorHAnsi" w:hAnsiTheme="majorHAnsi"/>
                <w:sz w:val="22"/>
                <w:szCs w:val="22"/>
              </w:rPr>
              <w:t xml:space="preserve">it would be helpful to account for </w:t>
            </w:r>
            <w:r>
              <w:rPr>
                <w:rFonts w:asciiTheme="majorHAnsi" w:hAnsiTheme="majorHAnsi"/>
                <w:sz w:val="22"/>
                <w:szCs w:val="22"/>
              </w:rPr>
              <w:t>these “soft factors”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 xml:space="preserve"> on the ground </w:t>
            </w:r>
            <w:r w:rsidR="00787554">
              <w:rPr>
                <w:rFonts w:asciiTheme="majorHAnsi" w:hAnsiTheme="majorHAnsi"/>
                <w:sz w:val="22"/>
                <w:szCs w:val="22"/>
              </w:rPr>
              <w:t>through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 </w:t>
            </w:r>
            <w:r w:rsidR="007F63D0" w:rsidRPr="0031349E">
              <w:rPr>
                <w:rFonts w:asciiTheme="majorHAnsi" w:hAnsiTheme="majorHAnsi"/>
                <w:sz w:val="22"/>
                <w:szCs w:val="22"/>
              </w:rPr>
              <w:t>assessor.</w:t>
            </w:r>
          </w:p>
        </w:tc>
      </w:tr>
    </w:tbl>
    <w:p w14:paraId="5271B370" w14:textId="77777777" w:rsidR="0041268A" w:rsidRPr="0031349E" w:rsidRDefault="0041268A" w:rsidP="00AC78CB">
      <w:pPr>
        <w:rPr>
          <w:rFonts w:asciiTheme="majorHAnsi" w:hAnsiTheme="majorHAnsi"/>
          <w:sz w:val="22"/>
          <w:szCs w:val="22"/>
        </w:rPr>
      </w:pPr>
    </w:p>
    <w:sectPr w:rsidR="0041268A" w:rsidRPr="0031349E" w:rsidSect="00150B6C">
      <w:headerReference w:type="default" r:id="rId12"/>
      <w:footerReference w:type="even" r:id="rId13"/>
      <w:footerReference w:type="default" r:id="rId14"/>
      <w:pgSz w:w="15840" w:h="12240" w:orient="landscape"/>
      <w:pgMar w:top="90" w:right="1418" w:bottom="360" w:left="1134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1C2D" w14:textId="77777777" w:rsidR="00211849" w:rsidRDefault="00211849">
      <w:pPr>
        <w:spacing w:after="0" w:line="240" w:lineRule="auto"/>
      </w:pPr>
      <w:r>
        <w:separator/>
      </w:r>
    </w:p>
  </w:endnote>
  <w:endnote w:type="continuationSeparator" w:id="0">
    <w:p w14:paraId="458B5E9D" w14:textId="77777777" w:rsidR="00211849" w:rsidRDefault="0021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B379" w14:textId="77777777" w:rsidR="00D87D07" w:rsidRDefault="008A533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14:paraId="5271B37A" w14:textId="77777777"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3BD3AE8F" w14:textId="1D9399EC" w:rsidR="00150B6C" w:rsidRPr="00150B6C" w:rsidRDefault="00150B6C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8775D2">
          <w:rPr>
            <w:rFonts w:asciiTheme="minorHAnsi" w:hAnsiTheme="minorHAnsi"/>
            <w:noProof/>
            <w:sz w:val="20"/>
            <w:szCs w:val="20"/>
          </w:rPr>
          <w:t>2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5271B37C" w14:textId="77777777"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E5AA8" w14:textId="77777777" w:rsidR="00211849" w:rsidRDefault="00211849">
      <w:pPr>
        <w:spacing w:after="0" w:line="240" w:lineRule="auto"/>
      </w:pPr>
      <w:r>
        <w:separator/>
      </w:r>
    </w:p>
  </w:footnote>
  <w:footnote w:type="continuationSeparator" w:id="0">
    <w:p w14:paraId="561ECE46" w14:textId="77777777" w:rsidR="00211849" w:rsidRDefault="0021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B377" w14:textId="77777777" w:rsidR="00D87D07" w:rsidRDefault="00D87D07">
    <w:pPr>
      <w:pStyle w:val="Header"/>
      <w:rPr>
        <w:sz w:val="18"/>
        <w:szCs w:val="18"/>
      </w:rPr>
    </w:pPr>
  </w:p>
  <w:p w14:paraId="5271B378" w14:textId="77777777"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AF0E93"/>
    <w:multiLevelType w:val="hybridMultilevel"/>
    <w:tmpl w:val="BBD6BBC0"/>
    <w:lvl w:ilvl="0" w:tplc="5290E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2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2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24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E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4324"/>
    <w:multiLevelType w:val="hybridMultilevel"/>
    <w:tmpl w:val="03F2A1C8"/>
    <w:lvl w:ilvl="0" w:tplc="16B43E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4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8B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8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2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2B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48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C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603C"/>
    <w:multiLevelType w:val="hybridMultilevel"/>
    <w:tmpl w:val="44ACF2D0"/>
    <w:lvl w:ilvl="0" w:tplc="94AC30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5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0F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85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E1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4F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3BA0"/>
    <w:multiLevelType w:val="hybridMultilevel"/>
    <w:tmpl w:val="782C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60163"/>
    <w:multiLevelType w:val="hybridMultilevel"/>
    <w:tmpl w:val="C204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579CC"/>
    <w:multiLevelType w:val="hybridMultilevel"/>
    <w:tmpl w:val="B860DBE0"/>
    <w:lvl w:ilvl="0" w:tplc="A6DE16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5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E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0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7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89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42D23583"/>
    <w:multiLevelType w:val="hybridMultilevel"/>
    <w:tmpl w:val="1C9E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F2FE1"/>
    <w:multiLevelType w:val="hybridMultilevel"/>
    <w:tmpl w:val="ED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44A99"/>
    <w:multiLevelType w:val="hybridMultilevel"/>
    <w:tmpl w:val="418266C6"/>
    <w:lvl w:ilvl="0" w:tplc="34E8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6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13101"/>
    <w:multiLevelType w:val="hybridMultilevel"/>
    <w:tmpl w:val="6CC8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D7653"/>
    <w:multiLevelType w:val="hybridMultilevel"/>
    <w:tmpl w:val="5AA85096"/>
    <w:lvl w:ilvl="0" w:tplc="EA2C4B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6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F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B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3FA5241"/>
    <w:multiLevelType w:val="hybridMultilevel"/>
    <w:tmpl w:val="C25A7C06"/>
    <w:lvl w:ilvl="0" w:tplc="7CDC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2C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A5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5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00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C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C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27AAB"/>
    <w:multiLevelType w:val="hybridMultilevel"/>
    <w:tmpl w:val="A620B102"/>
    <w:lvl w:ilvl="0" w:tplc="1FB4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0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2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1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C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4B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6043C2"/>
    <w:multiLevelType w:val="hybridMultilevel"/>
    <w:tmpl w:val="371EEE94"/>
    <w:lvl w:ilvl="0" w:tplc="38BE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2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8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4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E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80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E51DA"/>
    <w:multiLevelType w:val="hybridMultilevel"/>
    <w:tmpl w:val="AD5E6B46"/>
    <w:lvl w:ilvl="0" w:tplc="BD58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2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6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A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64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C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7C116600"/>
    <w:multiLevelType w:val="hybridMultilevel"/>
    <w:tmpl w:val="067AD88A"/>
    <w:lvl w:ilvl="0" w:tplc="ADAAE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40"/>
  </w:num>
  <w:num w:numId="4">
    <w:abstractNumId w:val="28"/>
  </w:num>
  <w:num w:numId="5">
    <w:abstractNumId w:val="20"/>
  </w:num>
  <w:num w:numId="6">
    <w:abstractNumId w:val="37"/>
  </w:num>
  <w:num w:numId="7">
    <w:abstractNumId w:val="41"/>
  </w:num>
  <w:num w:numId="8">
    <w:abstractNumId w:val="43"/>
  </w:num>
  <w:num w:numId="9">
    <w:abstractNumId w:val="39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34"/>
  </w:num>
  <w:num w:numId="16">
    <w:abstractNumId w:val="4"/>
  </w:num>
  <w:num w:numId="17">
    <w:abstractNumId w:val="35"/>
  </w:num>
  <w:num w:numId="18">
    <w:abstractNumId w:val="9"/>
  </w:num>
  <w:num w:numId="19">
    <w:abstractNumId w:val="17"/>
  </w:num>
  <w:num w:numId="20">
    <w:abstractNumId w:val="7"/>
  </w:num>
  <w:num w:numId="21">
    <w:abstractNumId w:val="11"/>
  </w:num>
  <w:num w:numId="22">
    <w:abstractNumId w:val="19"/>
  </w:num>
  <w:num w:numId="23">
    <w:abstractNumId w:val="38"/>
  </w:num>
  <w:num w:numId="24">
    <w:abstractNumId w:val="33"/>
  </w:num>
  <w:num w:numId="25">
    <w:abstractNumId w:val="13"/>
  </w:num>
  <w:num w:numId="26">
    <w:abstractNumId w:val="26"/>
  </w:num>
  <w:num w:numId="27">
    <w:abstractNumId w:val="14"/>
  </w:num>
  <w:num w:numId="28">
    <w:abstractNumId w:val="18"/>
  </w:num>
  <w:num w:numId="29">
    <w:abstractNumId w:val="31"/>
  </w:num>
  <w:num w:numId="30">
    <w:abstractNumId w:val="42"/>
  </w:num>
  <w:num w:numId="31">
    <w:abstractNumId w:val="29"/>
  </w:num>
  <w:num w:numId="32">
    <w:abstractNumId w:val="36"/>
  </w:num>
  <w:num w:numId="33">
    <w:abstractNumId w:val="23"/>
  </w:num>
  <w:num w:numId="34">
    <w:abstractNumId w:val="30"/>
  </w:num>
  <w:num w:numId="35">
    <w:abstractNumId w:val="16"/>
  </w:num>
  <w:num w:numId="36">
    <w:abstractNumId w:val="2"/>
  </w:num>
  <w:num w:numId="37">
    <w:abstractNumId w:val="6"/>
  </w:num>
  <w:num w:numId="38">
    <w:abstractNumId w:val="25"/>
  </w:num>
  <w:num w:numId="39">
    <w:abstractNumId w:val="1"/>
  </w:num>
  <w:num w:numId="40">
    <w:abstractNumId w:val="22"/>
  </w:num>
  <w:num w:numId="41">
    <w:abstractNumId w:val="21"/>
  </w:num>
  <w:num w:numId="42">
    <w:abstractNumId w:val="8"/>
  </w:num>
  <w:num w:numId="43">
    <w:abstractNumId w:val="32"/>
  </w:num>
  <w:num w:numId="44">
    <w:abstractNumId w:val="24"/>
  </w:num>
  <w:num w:numId="45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255A"/>
    <w:rsid w:val="00007DA4"/>
    <w:rsid w:val="00014E36"/>
    <w:rsid w:val="00017022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6FD1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8F9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1430"/>
    <w:rsid w:val="000E2D39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23AF"/>
    <w:rsid w:val="0012259E"/>
    <w:rsid w:val="0012738A"/>
    <w:rsid w:val="0013530E"/>
    <w:rsid w:val="0014341F"/>
    <w:rsid w:val="00143686"/>
    <w:rsid w:val="00144343"/>
    <w:rsid w:val="001453DE"/>
    <w:rsid w:val="001467E0"/>
    <w:rsid w:val="00150B6C"/>
    <w:rsid w:val="00155228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87B91"/>
    <w:rsid w:val="001958FD"/>
    <w:rsid w:val="00195AA9"/>
    <w:rsid w:val="00196734"/>
    <w:rsid w:val="001969FB"/>
    <w:rsid w:val="001A131C"/>
    <w:rsid w:val="001A6224"/>
    <w:rsid w:val="001A70E7"/>
    <w:rsid w:val="001A7BD2"/>
    <w:rsid w:val="001B3819"/>
    <w:rsid w:val="001B3D64"/>
    <w:rsid w:val="001B4382"/>
    <w:rsid w:val="001B5314"/>
    <w:rsid w:val="001B5FD2"/>
    <w:rsid w:val="001B6254"/>
    <w:rsid w:val="001C0DF8"/>
    <w:rsid w:val="001C12BD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11849"/>
    <w:rsid w:val="00222A7F"/>
    <w:rsid w:val="002248F1"/>
    <w:rsid w:val="002253F7"/>
    <w:rsid w:val="00225F7C"/>
    <w:rsid w:val="00227180"/>
    <w:rsid w:val="00232712"/>
    <w:rsid w:val="0023392A"/>
    <w:rsid w:val="00236099"/>
    <w:rsid w:val="0023669B"/>
    <w:rsid w:val="0024205F"/>
    <w:rsid w:val="00255132"/>
    <w:rsid w:val="002648AA"/>
    <w:rsid w:val="002679D9"/>
    <w:rsid w:val="002705F9"/>
    <w:rsid w:val="002717AA"/>
    <w:rsid w:val="0027488F"/>
    <w:rsid w:val="002801FD"/>
    <w:rsid w:val="00283919"/>
    <w:rsid w:val="0028464A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093B"/>
    <w:rsid w:val="002C1A68"/>
    <w:rsid w:val="002C26F1"/>
    <w:rsid w:val="002D786E"/>
    <w:rsid w:val="002E061F"/>
    <w:rsid w:val="002E1692"/>
    <w:rsid w:val="002E23E9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49E"/>
    <w:rsid w:val="0031379B"/>
    <w:rsid w:val="00314A09"/>
    <w:rsid w:val="0031691C"/>
    <w:rsid w:val="00320395"/>
    <w:rsid w:val="00320F96"/>
    <w:rsid w:val="0032103C"/>
    <w:rsid w:val="00323CE8"/>
    <w:rsid w:val="00327933"/>
    <w:rsid w:val="00337BD2"/>
    <w:rsid w:val="003402AA"/>
    <w:rsid w:val="00344222"/>
    <w:rsid w:val="00345D6C"/>
    <w:rsid w:val="003507ED"/>
    <w:rsid w:val="00352D9C"/>
    <w:rsid w:val="00353D85"/>
    <w:rsid w:val="00353E83"/>
    <w:rsid w:val="00354731"/>
    <w:rsid w:val="003559C0"/>
    <w:rsid w:val="0035744E"/>
    <w:rsid w:val="00361A5B"/>
    <w:rsid w:val="0036531B"/>
    <w:rsid w:val="00367E63"/>
    <w:rsid w:val="00372BAA"/>
    <w:rsid w:val="003739E9"/>
    <w:rsid w:val="00374DAC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0D04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3CD4"/>
    <w:rsid w:val="00457F6D"/>
    <w:rsid w:val="00460024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5A"/>
    <w:rsid w:val="004B69B8"/>
    <w:rsid w:val="004C2A58"/>
    <w:rsid w:val="004C34CD"/>
    <w:rsid w:val="004C3573"/>
    <w:rsid w:val="004C37E8"/>
    <w:rsid w:val="004C4524"/>
    <w:rsid w:val="004C6BA6"/>
    <w:rsid w:val="004C76CB"/>
    <w:rsid w:val="004C7FCA"/>
    <w:rsid w:val="004D4CBA"/>
    <w:rsid w:val="004D6875"/>
    <w:rsid w:val="004D68F9"/>
    <w:rsid w:val="004E0D4C"/>
    <w:rsid w:val="004E61B9"/>
    <w:rsid w:val="004F2672"/>
    <w:rsid w:val="004F3586"/>
    <w:rsid w:val="004F4615"/>
    <w:rsid w:val="004F551D"/>
    <w:rsid w:val="004F5D6B"/>
    <w:rsid w:val="004F7302"/>
    <w:rsid w:val="004F78BE"/>
    <w:rsid w:val="00503AC3"/>
    <w:rsid w:val="005065C7"/>
    <w:rsid w:val="00507646"/>
    <w:rsid w:val="005108C6"/>
    <w:rsid w:val="00517A78"/>
    <w:rsid w:val="00521046"/>
    <w:rsid w:val="005214D1"/>
    <w:rsid w:val="0052371D"/>
    <w:rsid w:val="005409E3"/>
    <w:rsid w:val="005420E0"/>
    <w:rsid w:val="00542D82"/>
    <w:rsid w:val="00551E85"/>
    <w:rsid w:val="00555A56"/>
    <w:rsid w:val="00560F42"/>
    <w:rsid w:val="00561582"/>
    <w:rsid w:val="00562369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849A4"/>
    <w:rsid w:val="00590F1D"/>
    <w:rsid w:val="005926E0"/>
    <w:rsid w:val="00592B56"/>
    <w:rsid w:val="00593C20"/>
    <w:rsid w:val="005941F6"/>
    <w:rsid w:val="00594D12"/>
    <w:rsid w:val="00595239"/>
    <w:rsid w:val="00597601"/>
    <w:rsid w:val="005A323D"/>
    <w:rsid w:val="005B1D7C"/>
    <w:rsid w:val="005B5868"/>
    <w:rsid w:val="005C2BD1"/>
    <w:rsid w:val="005C3028"/>
    <w:rsid w:val="005C478A"/>
    <w:rsid w:val="005C4C50"/>
    <w:rsid w:val="005C56F1"/>
    <w:rsid w:val="005D07F3"/>
    <w:rsid w:val="005D0D38"/>
    <w:rsid w:val="005D0EF7"/>
    <w:rsid w:val="005D1984"/>
    <w:rsid w:val="005E6733"/>
    <w:rsid w:val="005F0290"/>
    <w:rsid w:val="005F10E0"/>
    <w:rsid w:val="005F4373"/>
    <w:rsid w:val="006020DB"/>
    <w:rsid w:val="00602C11"/>
    <w:rsid w:val="00604794"/>
    <w:rsid w:val="00606340"/>
    <w:rsid w:val="00612154"/>
    <w:rsid w:val="00612622"/>
    <w:rsid w:val="00614E58"/>
    <w:rsid w:val="006211B9"/>
    <w:rsid w:val="00624D7F"/>
    <w:rsid w:val="006255FB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06B1"/>
    <w:rsid w:val="006810E8"/>
    <w:rsid w:val="006846AC"/>
    <w:rsid w:val="006904D1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56D8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2DEB"/>
    <w:rsid w:val="006F41D7"/>
    <w:rsid w:val="006F5B2A"/>
    <w:rsid w:val="006F7CE9"/>
    <w:rsid w:val="00700002"/>
    <w:rsid w:val="00703DDF"/>
    <w:rsid w:val="00706D64"/>
    <w:rsid w:val="00712242"/>
    <w:rsid w:val="00721455"/>
    <w:rsid w:val="007355BC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2FF6"/>
    <w:rsid w:val="007641B0"/>
    <w:rsid w:val="0076500E"/>
    <w:rsid w:val="00765BAF"/>
    <w:rsid w:val="0077436C"/>
    <w:rsid w:val="00775647"/>
    <w:rsid w:val="00780523"/>
    <w:rsid w:val="00780E7C"/>
    <w:rsid w:val="007826D8"/>
    <w:rsid w:val="00787554"/>
    <w:rsid w:val="007A025C"/>
    <w:rsid w:val="007A4F6E"/>
    <w:rsid w:val="007A53B1"/>
    <w:rsid w:val="007A79F4"/>
    <w:rsid w:val="007B1E0E"/>
    <w:rsid w:val="007C4A25"/>
    <w:rsid w:val="007C6340"/>
    <w:rsid w:val="007D5511"/>
    <w:rsid w:val="007D5F89"/>
    <w:rsid w:val="007E20C5"/>
    <w:rsid w:val="007E2AEC"/>
    <w:rsid w:val="007E3BB0"/>
    <w:rsid w:val="007E6044"/>
    <w:rsid w:val="007E67F9"/>
    <w:rsid w:val="007F3629"/>
    <w:rsid w:val="007F63D0"/>
    <w:rsid w:val="008007BC"/>
    <w:rsid w:val="00801272"/>
    <w:rsid w:val="00801D0B"/>
    <w:rsid w:val="008052F1"/>
    <w:rsid w:val="008064A6"/>
    <w:rsid w:val="00806D43"/>
    <w:rsid w:val="00815AF9"/>
    <w:rsid w:val="0082090B"/>
    <w:rsid w:val="008240DE"/>
    <w:rsid w:val="00826F47"/>
    <w:rsid w:val="008308F0"/>
    <w:rsid w:val="00830E06"/>
    <w:rsid w:val="00831DE1"/>
    <w:rsid w:val="00832B88"/>
    <w:rsid w:val="008340FA"/>
    <w:rsid w:val="008341F0"/>
    <w:rsid w:val="00837F2B"/>
    <w:rsid w:val="00841DF7"/>
    <w:rsid w:val="00842296"/>
    <w:rsid w:val="008470F1"/>
    <w:rsid w:val="008564C4"/>
    <w:rsid w:val="00873220"/>
    <w:rsid w:val="00875B03"/>
    <w:rsid w:val="008775D2"/>
    <w:rsid w:val="00877B95"/>
    <w:rsid w:val="00877C0B"/>
    <w:rsid w:val="00885E07"/>
    <w:rsid w:val="008878D2"/>
    <w:rsid w:val="00895C16"/>
    <w:rsid w:val="008967BD"/>
    <w:rsid w:val="008A0F2A"/>
    <w:rsid w:val="008A533C"/>
    <w:rsid w:val="008B0531"/>
    <w:rsid w:val="008B4648"/>
    <w:rsid w:val="008B5CEC"/>
    <w:rsid w:val="008B7264"/>
    <w:rsid w:val="008B7469"/>
    <w:rsid w:val="008C35AB"/>
    <w:rsid w:val="008C5FCF"/>
    <w:rsid w:val="008C648D"/>
    <w:rsid w:val="008D5294"/>
    <w:rsid w:val="008D6E46"/>
    <w:rsid w:val="008E3CAB"/>
    <w:rsid w:val="008E60CF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1341A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AC1"/>
    <w:rsid w:val="0095294E"/>
    <w:rsid w:val="00953A10"/>
    <w:rsid w:val="00954B0D"/>
    <w:rsid w:val="009571C1"/>
    <w:rsid w:val="0096419A"/>
    <w:rsid w:val="0096558C"/>
    <w:rsid w:val="009724B0"/>
    <w:rsid w:val="00972C54"/>
    <w:rsid w:val="00980635"/>
    <w:rsid w:val="00980B3C"/>
    <w:rsid w:val="00981BE5"/>
    <w:rsid w:val="00990B5E"/>
    <w:rsid w:val="00993EAB"/>
    <w:rsid w:val="00994D19"/>
    <w:rsid w:val="009A2B77"/>
    <w:rsid w:val="009A343C"/>
    <w:rsid w:val="009B2BF4"/>
    <w:rsid w:val="009B36E2"/>
    <w:rsid w:val="009C0FFD"/>
    <w:rsid w:val="009C16BB"/>
    <w:rsid w:val="009C27DD"/>
    <w:rsid w:val="009C509A"/>
    <w:rsid w:val="009D047E"/>
    <w:rsid w:val="009D4938"/>
    <w:rsid w:val="009D7BF5"/>
    <w:rsid w:val="009E4E07"/>
    <w:rsid w:val="009E5FD0"/>
    <w:rsid w:val="009E60A4"/>
    <w:rsid w:val="009E6AC5"/>
    <w:rsid w:val="009F14D6"/>
    <w:rsid w:val="009F279E"/>
    <w:rsid w:val="009F39AA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5756B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6A20"/>
    <w:rsid w:val="00AC71AD"/>
    <w:rsid w:val="00AC78CB"/>
    <w:rsid w:val="00AD199B"/>
    <w:rsid w:val="00AD288F"/>
    <w:rsid w:val="00AD3704"/>
    <w:rsid w:val="00AD3968"/>
    <w:rsid w:val="00AD4CDA"/>
    <w:rsid w:val="00AE30D9"/>
    <w:rsid w:val="00AF0A93"/>
    <w:rsid w:val="00AF1D2F"/>
    <w:rsid w:val="00AF31AE"/>
    <w:rsid w:val="00AF52DA"/>
    <w:rsid w:val="00AF61A2"/>
    <w:rsid w:val="00AF6ED0"/>
    <w:rsid w:val="00B00B8D"/>
    <w:rsid w:val="00B00C48"/>
    <w:rsid w:val="00B046A5"/>
    <w:rsid w:val="00B06E1C"/>
    <w:rsid w:val="00B075C5"/>
    <w:rsid w:val="00B12479"/>
    <w:rsid w:val="00B13307"/>
    <w:rsid w:val="00B166F0"/>
    <w:rsid w:val="00B16E9C"/>
    <w:rsid w:val="00B210B9"/>
    <w:rsid w:val="00B24A84"/>
    <w:rsid w:val="00B30374"/>
    <w:rsid w:val="00B30A0D"/>
    <w:rsid w:val="00B35BCE"/>
    <w:rsid w:val="00B43AEA"/>
    <w:rsid w:val="00B43E13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6A3A"/>
    <w:rsid w:val="00B7734C"/>
    <w:rsid w:val="00B835CA"/>
    <w:rsid w:val="00B87220"/>
    <w:rsid w:val="00B90D46"/>
    <w:rsid w:val="00B94095"/>
    <w:rsid w:val="00B947D5"/>
    <w:rsid w:val="00BA0194"/>
    <w:rsid w:val="00BA28BE"/>
    <w:rsid w:val="00BA494C"/>
    <w:rsid w:val="00BA52B0"/>
    <w:rsid w:val="00BB1F9B"/>
    <w:rsid w:val="00BB62D4"/>
    <w:rsid w:val="00BC0E42"/>
    <w:rsid w:val="00BC1A8B"/>
    <w:rsid w:val="00BC454A"/>
    <w:rsid w:val="00BD45B9"/>
    <w:rsid w:val="00BD7218"/>
    <w:rsid w:val="00BE2842"/>
    <w:rsid w:val="00BF18CB"/>
    <w:rsid w:val="00BF32BF"/>
    <w:rsid w:val="00BF360C"/>
    <w:rsid w:val="00BF3D87"/>
    <w:rsid w:val="00BF5F0F"/>
    <w:rsid w:val="00C050F3"/>
    <w:rsid w:val="00C10A79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56F67"/>
    <w:rsid w:val="00C606C1"/>
    <w:rsid w:val="00C63B05"/>
    <w:rsid w:val="00C64909"/>
    <w:rsid w:val="00C70B3C"/>
    <w:rsid w:val="00C73230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0AE"/>
    <w:rsid w:val="00C96854"/>
    <w:rsid w:val="00CA31EC"/>
    <w:rsid w:val="00CA35E0"/>
    <w:rsid w:val="00CA53DF"/>
    <w:rsid w:val="00CA7E99"/>
    <w:rsid w:val="00CB1BC5"/>
    <w:rsid w:val="00CB25D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2538"/>
    <w:rsid w:val="00D23A7D"/>
    <w:rsid w:val="00D23E72"/>
    <w:rsid w:val="00D2506E"/>
    <w:rsid w:val="00D26D70"/>
    <w:rsid w:val="00D27B79"/>
    <w:rsid w:val="00D30DCF"/>
    <w:rsid w:val="00D31C38"/>
    <w:rsid w:val="00D363D5"/>
    <w:rsid w:val="00D4184B"/>
    <w:rsid w:val="00D43358"/>
    <w:rsid w:val="00D446EB"/>
    <w:rsid w:val="00D46F8D"/>
    <w:rsid w:val="00D6373A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C4"/>
    <w:rsid w:val="00DA1005"/>
    <w:rsid w:val="00DA12D0"/>
    <w:rsid w:val="00DA2887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2005"/>
    <w:rsid w:val="00DF35D7"/>
    <w:rsid w:val="00DF5CC8"/>
    <w:rsid w:val="00E07CFD"/>
    <w:rsid w:val="00E108B1"/>
    <w:rsid w:val="00E11AD2"/>
    <w:rsid w:val="00E12E4D"/>
    <w:rsid w:val="00E148DA"/>
    <w:rsid w:val="00E162C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4D6C"/>
    <w:rsid w:val="00E664D1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757D"/>
    <w:rsid w:val="00E94BCB"/>
    <w:rsid w:val="00EA0243"/>
    <w:rsid w:val="00EA1859"/>
    <w:rsid w:val="00EA2EF0"/>
    <w:rsid w:val="00EA526C"/>
    <w:rsid w:val="00EA671C"/>
    <w:rsid w:val="00EB25D9"/>
    <w:rsid w:val="00EB3830"/>
    <w:rsid w:val="00EB4AF9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D41F8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61D2"/>
    <w:rsid w:val="00F47482"/>
    <w:rsid w:val="00F47FAA"/>
    <w:rsid w:val="00F507C8"/>
    <w:rsid w:val="00F513F4"/>
    <w:rsid w:val="00F532D3"/>
    <w:rsid w:val="00F535CC"/>
    <w:rsid w:val="00F56B67"/>
    <w:rsid w:val="00F62562"/>
    <w:rsid w:val="00F66383"/>
    <w:rsid w:val="00F7045E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B480B"/>
    <w:rsid w:val="00FB49CA"/>
    <w:rsid w:val="00FC3F39"/>
    <w:rsid w:val="00FC492B"/>
    <w:rsid w:val="00FC5AEC"/>
    <w:rsid w:val="00FC61C1"/>
    <w:rsid w:val="00FD0726"/>
    <w:rsid w:val="00FD292C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271B316"/>
  <w15:docId w15:val="{3DABADAE-C3EC-4B92-B1B5-4EAAFE05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DA1E75-8A4B-41F5-975A-FCD73F99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Andrew Browne</cp:lastModifiedBy>
  <cp:revision>2</cp:revision>
  <cp:lastPrinted>2012-05-24T21:00:00Z</cp:lastPrinted>
  <dcterms:created xsi:type="dcterms:W3CDTF">2015-02-26T21:31:00Z</dcterms:created>
  <dcterms:modified xsi:type="dcterms:W3CDTF">2015-02-26T21:31:00Z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