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71B316" w14:textId="77777777" w:rsidR="00EB75B9" w:rsidRPr="00DD4CC3" w:rsidRDefault="003E2779" w:rsidP="00EB75B9">
      <w:pPr>
        <w:jc w:val="center"/>
        <w:rPr>
          <w:rFonts w:asciiTheme="majorHAnsi" w:hAnsiTheme="majorHAnsi"/>
        </w:rPr>
      </w:pPr>
      <w:bookmarkStart w:id="0" w:name="_GoBack"/>
      <w:bookmarkEnd w:id="0"/>
      <w:r w:rsidRPr="00DD4CC3">
        <w:rPr>
          <w:rFonts w:asciiTheme="majorHAnsi" w:hAnsiTheme="majorHAnsi"/>
          <w:noProof/>
          <w:lang w:eastAsia="zh-CN" w:bidi="ar-SA"/>
        </w:rPr>
        <w:drawing>
          <wp:inline distT="0" distB="0" distL="0" distR="0" wp14:anchorId="5271B371" wp14:editId="5271B372">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2"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14:paraId="5271B317" w14:textId="77777777" w:rsidR="00EB75B9" w:rsidRPr="00DD4CC3" w:rsidRDefault="00EB75B9" w:rsidP="00EB75B9">
      <w:pPr>
        <w:jc w:val="center"/>
        <w:rPr>
          <w:rFonts w:asciiTheme="majorHAnsi" w:hAnsiTheme="majorHAnsi"/>
          <w:color w:val="17365D" w:themeColor="text2" w:themeShade="BF"/>
          <w:spacing w:val="5"/>
          <w:kern w:val="28"/>
          <w:szCs w:val="32"/>
          <w:lang w:eastAsia="en-US" w:bidi="ar-SA"/>
        </w:rPr>
      </w:pPr>
      <w:r w:rsidRPr="00DD4CC3">
        <w:rPr>
          <w:rFonts w:asciiTheme="majorHAnsi" w:hAnsiTheme="majorHAnsi"/>
          <w:color w:val="17365D" w:themeColor="text2" w:themeShade="BF"/>
          <w:spacing w:val="5"/>
          <w:kern w:val="28"/>
          <w:szCs w:val="32"/>
          <w:lang w:eastAsia="en-US" w:bidi="ar-SA"/>
        </w:rPr>
        <w:t xml:space="preserve">The World Bank </w:t>
      </w:r>
    </w:p>
    <w:p w14:paraId="5271B318" w14:textId="77777777" w:rsidR="003E2779" w:rsidRPr="00DD4CC3" w:rsidRDefault="005409E3" w:rsidP="003E2779">
      <w:pPr>
        <w:pStyle w:val="Title"/>
        <w:jc w:val="center"/>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Procurement Policy</w:t>
      </w:r>
      <w:r w:rsidR="003E2779" w:rsidRPr="00DD4CC3">
        <w:rPr>
          <w:rFonts w:asciiTheme="majorHAnsi" w:hAnsiTheme="majorHAnsi"/>
          <w:color w:val="17365D" w:themeColor="text2" w:themeShade="BF"/>
          <w:sz w:val="32"/>
          <w:szCs w:val="32"/>
        </w:rPr>
        <w:t xml:space="preserve"> Review </w:t>
      </w:r>
    </w:p>
    <w:p w14:paraId="5271B319" w14:textId="77777777" w:rsidR="003E2779" w:rsidRPr="00DD4CC3" w:rsidRDefault="003E2779" w:rsidP="003E2779">
      <w:pPr>
        <w:pStyle w:val="Title"/>
        <w:jc w:val="center"/>
        <w:rPr>
          <w:rFonts w:asciiTheme="majorHAnsi" w:hAnsiTheme="majorHAnsi"/>
        </w:rPr>
      </w:pPr>
      <w:r w:rsidRPr="00DD4CC3">
        <w:rPr>
          <w:rFonts w:asciiTheme="majorHAnsi" w:hAnsiTheme="majorHAnsi"/>
          <w:b/>
          <w:color w:val="17365D" w:themeColor="text2" w:themeShade="BF"/>
          <w:sz w:val="32"/>
          <w:szCs w:val="32"/>
        </w:rPr>
        <w:t>Feedback Summary</w:t>
      </w:r>
    </w:p>
    <w:p w14:paraId="6B9DDCA1" w14:textId="79FAEEF3" w:rsidR="00F81073" w:rsidRDefault="002D44DA"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r>
        <w:rPr>
          <w:rFonts w:asciiTheme="majorHAnsi" w:hAnsiTheme="majorHAnsi" w:cs="Times New Roman"/>
          <w:b/>
          <w:bCs/>
          <w:sz w:val="22"/>
          <w:szCs w:val="22"/>
          <w:lang w:val="en-US"/>
        </w:rPr>
        <w:t>Date: September 18</w:t>
      </w:r>
      <w:r w:rsidR="00C10BCD">
        <w:rPr>
          <w:rFonts w:asciiTheme="majorHAnsi" w:hAnsiTheme="majorHAnsi" w:cs="Times New Roman"/>
          <w:b/>
          <w:bCs/>
          <w:sz w:val="22"/>
          <w:szCs w:val="22"/>
          <w:lang w:val="en-US"/>
        </w:rPr>
        <w:t>, 2014</w:t>
      </w:r>
    </w:p>
    <w:p w14:paraId="5779E2B4" w14:textId="77777777" w:rsidR="00C10BCD" w:rsidRPr="00F81073" w:rsidRDefault="00C10BCD"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p>
    <w:p w14:paraId="2225F610" w14:textId="6F138203" w:rsidR="00F81073" w:rsidRPr="00F81073" w:rsidRDefault="002D44DA"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r>
        <w:rPr>
          <w:rFonts w:asciiTheme="majorHAnsi" w:hAnsiTheme="majorHAnsi" w:cs="Times New Roman"/>
          <w:b/>
          <w:bCs/>
          <w:sz w:val="22"/>
          <w:szCs w:val="22"/>
          <w:lang w:val="en-US"/>
        </w:rPr>
        <w:t>Location (City, Country): Brussels</w:t>
      </w:r>
      <w:r w:rsidR="00F81073" w:rsidRPr="00F81073">
        <w:rPr>
          <w:rFonts w:asciiTheme="majorHAnsi" w:hAnsiTheme="majorHAnsi" w:cs="Times New Roman"/>
          <w:b/>
          <w:bCs/>
          <w:sz w:val="22"/>
          <w:szCs w:val="22"/>
          <w:lang w:val="en-US"/>
        </w:rPr>
        <w:t xml:space="preserve">, </w:t>
      </w:r>
      <w:r>
        <w:rPr>
          <w:rFonts w:asciiTheme="majorHAnsi" w:hAnsiTheme="majorHAnsi" w:cs="Times New Roman"/>
          <w:b/>
          <w:bCs/>
          <w:sz w:val="22"/>
          <w:szCs w:val="22"/>
          <w:lang w:val="en-US"/>
        </w:rPr>
        <w:t>Belgium</w:t>
      </w:r>
    </w:p>
    <w:p w14:paraId="255D9B1B" w14:textId="77777777"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p>
    <w:p w14:paraId="131425BD" w14:textId="1DCEC0C2" w:rsidR="00F81073" w:rsidRPr="00F81073" w:rsidRDefault="00F81073" w:rsidP="00D9440D">
      <w:pPr>
        <w:pStyle w:val="BodyText2"/>
        <w:tabs>
          <w:tab w:val="left" w:pos="720"/>
          <w:tab w:val="left" w:pos="1440"/>
          <w:tab w:val="left" w:pos="2160"/>
          <w:tab w:val="left" w:pos="2880"/>
        </w:tabs>
        <w:jc w:val="left"/>
        <w:rPr>
          <w:rFonts w:asciiTheme="majorHAnsi" w:hAnsiTheme="majorHAnsi" w:cs="Times New Roman"/>
          <w:b/>
          <w:sz w:val="22"/>
          <w:szCs w:val="22"/>
          <w:lang w:val="en-US"/>
        </w:rPr>
      </w:pPr>
      <w:r w:rsidRPr="00F81073">
        <w:rPr>
          <w:rFonts w:asciiTheme="majorHAnsi" w:hAnsiTheme="majorHAnsi" w:cs="Times New Roman"/>
          <w:b/>
          <w:bCs/>
          <w:sz w:val="22"/>
          <w:szCs w:val="22"/>
          <w:lang w:val="en-US"/>
        </w:rPr>
        <w:t>Total Number of Participants</w:t>
      </w:r>
      <w:r w:rsidR="002D44DA">
        <w:rPr>
          <w:rFonts w:asciiTheme="majorHAnsi" w:hAnsiTheme="majorHAnsi" w:cs="Times New Roman"/>
          <w:b/>
          <w:sz w:val="22"/>
          <w:szCs w:val="22"/>
          <w:lang w:val="en-US"/>
        </w:rPr>
        <w:t>: 13</w:t>
      </w:r>
      <w:r w:rsidR="00D9440D">
        <w:rPr>
          <w:rFonts w:asciiTheme="majorHAnsi" w:hAnsiTheme="majorHAnsi" w:cs="Times New Roman"/>
          <w:b/>
          <w:sz w:val="22"/>
          <w:szCs w:val="22"/>
          <w:lang w:val="en-US"/>
        </w:rPr>
        <w:tab/>
      </w:r>
    </w:p>
    <w:p w14:paraId="06F88FB7" w14:textId="64FDE316" w:rsidR="00F81073" w:rsidRPr="006B262E"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color w:val="FF0000"/>
          <w:sz w:val="22"/>
          <w:szCs w:val="22"/>
        </w:rPr>
      </w:pPr>
      <w:r w:rsidRPr="00F81073">
        <w:rPr>
          <w:rFonts w:asciiTheme="majorHAnsi" w:hAnsiTheme="majorHAnsi" w:cs="Times New Roman"/>
          <w:b/>
          <w:sz w:val="22"/>
          <w:szCs w:val="22"/>
        </w:rPr>
        <w:br/>
        <w:t xml:space="preserve">Overview and General Reactions: </w:t>
      </w:r>
      <w:r w:rsidR="005F28E8">
        <w:rPr>
          <w:rFonts w:asciiTheme="majorHAnsi" w:hAnsiTheme="majorHAnsi" w:cs="Times New Roman"/>
          <w:b/>
          <w:sz w:val="22"/>
          <w:szCs w:val="22"/>
        </w:rPr>
        <w:t xml:space="preserve"> </w:t>
      </w:r>
      <w:r w:rsidR="00742F1C" w:rsidRPr="007E69C3">
        <w:rPr>
          <w:rFonts w:asciiTheme="majorHAnsi" w:hAnsiTheme="majorHAnsi" w:cs="Times New Roman"/>
          <w:color w:val="auto"/>
          <w:sz w:val="22"/>
          <w:szCs w:val="22"/>
        </w:rPr>
        <w:t xml:space="preserve">A consultation session with </w:t>
      </w:r>
      <w:r w:rsidR="00994880">
        <w:rPr>
          <w:rFonts w:asciiTheme="majorHAnsi" w:hAnsiTheme="majorHAnsi" w:cs="Times New Roman"/>
          <w:color w:val="auto"/>
          <w:sz w:val="22"/>
          <w:szCs w:val="22"/>
        </w:rPr>
        <w:t>civil society</w:t>
      </w:r>
      <w:r w:rsidR="00874B27">
        <w:rPr>
          <w:rFonts w:asciiTheme="majorHAnsi" w:hAnsiTheme="majorHAnsi" w:cs="Times New Roman"/>
          <w:color w:val="auto"/>
          <w:sz w:val="22"/>
          <w:szCs w:val="22"/>
        </w:rPr>
        <w:t xml:space="preserve"> organizations</w:t>
      </w:r>
      <w:r w:rsidR="002D44DA" w:rsidRPr="007E69C3">
        <w:rPr>
          <w:rFonts w:asciiTheme="majorHAnsi" w:hAnsiTheme="majorHAnsi" w:cs="Times New Roman"/>
          <w:color w:val="auto"/>
          <w:sz w:val="22"/>
          <w:szCs w:val="22"/>
        </w:rPr>
        <w:t xml:space="preserve"> took place on September 18, 2014 </w:t>
      </w:r>
      <w:r w:rsidR="00742F1C" w:rsidRPr="007E69C3">
        <w:rPr>
          <w:rFonts w:asciiTheme="majorHAnsi" w:hAnsiTheme="majorHAnsi" w:cs="Times New Roman"/>
          <w:color w:val="auto"/>
          <w:sz w:val="22"/>
          <w:szCs w:val="22"/>
        </w:rPr>
        <w:t xml:space="preserve">in </w:t>
      </w:r>
      <w:r w:rsidR="002D44DA" w:rsidRPr="007E69C3">
        <w:rPr>
          <w:rFonts w:asciiTheme="majorHAnsi" w:hAnsiTheme="majorHAnsi" w:cs="Times New Roman"/>
          <w:color w:val="auto"/>
          <w:sz w:val="22"/>
          <w:szCs w:val="22"/>
        </w:rPr>
        <w:t>Brussels</w:t>
      </w:r>
      <w:r w:rsidR="00742F1C" w:rsidRPr="007E69C3">
        <w:rPr>
          <w:rFonts w:asciiTheme="majorHAnsi" w:hAnsiTheme="majorHAnsi" w:cs="Times New Roman"/>
          <w:color w:val="auto"/>
          <w:sz w:val="22"/>
          <w:szCs w:val="22"/>
        </w:rPr>
        <w:t xml:space="preserve">, </w:t>
      </w:r>
      <w:r w:rsidR="002D44DA" w:rsidRPr="007E69C3">
        <w:rPr>
          <w:rFonts w:asciiTheme="majorHAnsi" w:hAnsiTheme="majorHAnsi" w:cs="Times New Roman"/>
          <w:color w:val="auto"/>
          <w:sz w:val="22"/>
          <w:szCs w:val="22"/>
        </w:rPr>
        <w:t>Belgium</w:t>
      </w:r>
      <w:r w:rsidR="00742F1C" w:rsidRPr="007E69C3">
        <w:rPr>
          <w:rFonts w:asciiTheme="majorHAnsi" w:hAnsiTheme="majorHAnsi" w:cs="Times New Roman"/>
          <w:color w:val="auto"/>
          <w:sz w:val="22"/>
          <w:szCs w:val="22"/>
        </w:rPr>
        <w:t xml:space="preserve">. </w:t>
      </w:r>
      <w:r w:rsidRPr="007E69C3">
        <w:rPr>
          <w:rFonts w:asciiTheme="majorHAnsi" w:hAnsiTheme="majorHAnsi"/>
          <w:color w:val="auto"/>
          <w:sz w:val="22"/>
          <w:szCs w:val="22"/>
        </w:rPr>
        <w:t xml:space="preserve">The </w:t>
      </w:r>
      <w:r w:rsidR="002D44DA" w:rsidRPr="007E69C3">
        <w:rPr>
          <w:rFonts w:asciiTheme="majorHAnsi" w:hAnsiTheme="majorHAnsi"/>
          <w:color w:val="auto"/>
          <w:sz w:val="22"/>
          <w:szCs w:val="22"/>
        </w:rPr>
        <w:t>overall reaction</w:t>
      </w:r>
      <w:r w:rsidRPr="007E69C3">
        <w:rPr>
          <w:rFonts w:asciiTheme="majorHAnsi" w:hAnsiTheme="majorHAnsi"/>
          <w:color w:val="auto"/>
          <w:sz w:val="22"/>
          <w:szCs w:val="22"/>
        </w:rPr>
        <w:t xml:space="preserve"> </w:t>
      </w:r>
      <w:r w:rsidR="005F28E8" w:rsidRPr="007E69C3">
        <w:rPr>
          <w:rFonts w:asciiTheme="majorHAnsi" w:hAnsiTheme="majorHAnsi"/>
          <w:color w:val="auto"/>
          <w:sz w:val="22"/>
          <w:szCs w:val="22"/>
        </w:rPr>
        <w:t>to</w:t>
      </w:r>
      <w:r w:rsidRPr="007E69C3">
        <w:rPr>
          <w:rFonts w:asciiTheme="majorHAnsi" w:hAnsiTheme="majorHAnsi"/>
          <w:color w:val="auto"/>
          <w:sz w:val="22"/>
          <w:szCs w:val="22"/>
        </w:rPr>
        <w:t xml:space="preserve"> the reform </w:t>
      </w:r>
      <w:r w:rsidR="005F28E8" w:rsidRPr="007E69C3">
        <w:rPr>
          <w:rFonts w:asciiTheme="majorHAnsi" w:hAnsiTheme="majorHAnsi"/>
          <w:color w:val="auto"/>
          <w:sz w:val="22"/>
          <w:szCs w:val="22"/>
        </w:rPr>
        <w:t>was positive</w:t>
      </w:r>
      <w:r w:rsidR="002D44DA" w:rsidRPr="007E69C3">
        <w:rPr>
          <w:rFonts w:asciiTheme="majorHAnsi" w:hAnsiTheme="majorHAnsi"/>
          <w:color w:val="auto"/>
          <w:sz w:val="22"/>
          <w:szCs w:val="22"/>
        </w:rPr>
        <w:t>, with many of the participants applauding the direction the Bank is taking its procurement policy</w:t>
      </w:r>
      <w:r w:rsidR="005F28E8" w:rsidRPr="007E69C3">
        <w:rPr>
          <w:rFonts w:asciiTheme="majorHAnsi" w:hAnsiTheme="majorHAnsi"/>
          <w:color w:val="auto"/>
          <w:sz w:val="22"/>
          <w:szCs w:val="22"/>
        </w:rPr>
        <w:t xml:space="preserve">.  </w:t>
      </w:r>
      <w:r w:rsidR="007E69C3" w:rsidRPr="007E69C3">
        <w:rPr>
          <w:rFonts w:asciiTheme="majorHAnsi" w:hAnsiTheme="majorHAnsi"/>
          <w:color w:val="auto"/>
          <w:sz w:val="22"/>
          <w:szCs w:val="22"/>
        </w:rPr>
        <w:t>Sustainable procurement matters were</w:t>
      </w:r>
      <w:r w:rsidR="002D44DA" w:rsidRPr="007E69C3">
        <w:rPr>
          <w:rFonts w:asciiTheme="majorHAnsi" w:hAnsiTheme="majorHAnsi"/>
          <w:color w:val="auto"/>
          <w:sz w:val="22"/>
          <w:szCs w:val="22"/>
        </w:rPr>
        <w:t xml:space="preserve"> among the central concerns of the consultation, with much of the discussion </w:t>
      </w:r>
      <w:r w:rsidR="006A0DC9">
        <w:rPr>
          <w:rFonts w:asciiTheme="majorHAnsi" w:hAnsiTheme="majorHAnsi"/>
          <w:color w:val="auto"/>
          <w:sz w:val="22"/>
          <w:szCs w:val="22"/>
        </w:rPr>
        <w:t>focusing</w:t>
      </w:r>
      <w:r w:rsidR="002D44DA" w:rsidRPr="007E69C3">
        <w:rPr>
          <w:rFonts w:asciiTheme="majorHAnsi" w:hAnsiTheme="majorHAnsi"/>
          <w:color w:val="auto"/>
          <w:sz w:val="22"/>
          <w:szCs w:val="22"/>
        </w:rPr>
        <w:t xml:space="preserve"> on </w:t>
      </w:r>
      <w:r w:rsidR="007E69C3" w:rsidRPr="007E69C3">
        <w:rPr>
          <w:rFonts w:asciiTheme="majorHAnsi" w:hAnsiTheme="majorHAnsi"/>
          <w:color w:val="auto"/>
          <w:sz w:val="22"/>
          <w:szCs w:val="22"/>
        </w:rPr>
        <w:t>issues with outlinging and identifying risks.</w:t>
      </w:r>
      <w:r w:rsidRPr="007E69C3">
        <w:rPr>
          <w:rFonts w:asciiTheme="majorHAnsi" w:hAnsiTheme="majorHAnsi" w:cs="Times New Roman"/>
          <w:color w:val="auto"/>
          <w:sz w:val="22"/>
          <w:szCs w:val="22"/>
        </w:rPr>
        <w:t xml:space="preserve">  </w:t>
      </w:r>
      <w:r w:rsidR="007E69C3" w:rsidRPr="007E69C3">
        <w:rPr>
          <w:rFonts w:asciiTheme="majorHAnsi" w:hAnsiTheme="majorHAnsi" w:cs="Times New Roman"/>
          <w:color w:val="auto"/>
          <w:sz w:val="22"/>
          <w:szCs w:val="22"/>
        </w:rPr>
        <w:t xml:space="preserve">The event concluded on a positive note, with valued suggestions being offered, questions addressed, and future strategies and goals outlined, resulting in an overall successful procurement policy review. </w:t>
      </w:r>
    </w:p>
    <w:p w14:paraId="5271B325" w14:textId="77777777" w:rsidR="005B1D7C" w:rsidRPr="00F81073" w:rsidRDefault="005B1D7C"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F81073" w14:paraId="5271B328" w14:textId="77777777" w:rsidTr="00980628">
        <w:trPr>
          <w:trHeight w:val="432"/>
        </w:trPr>
        <w:tc>
          <w:tcPr>
            <w:tcW w:w="13320" w:type="dxa"/>
            <w:shd w:val="clear" w:color="auto" w:fill="DBE5F1" w:themeFill="accent1" w:themeFillTint="33"/>
          </w:tcPr>
          <w:p w14:paraId="5271B326" w14:textId="77777777" w:rsidR="00B16E9C" w:rsidRPr="00F81073"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r w:rsidRPr="00F81073">
              <w:rPr>
                <w:rFonts w:asciiTheme="majorHAnsi" w:eastAsia="Batang" w:hAnsiTheme="majorHAnsi" w:cs="Times New Roman"/>
                <w:b/>
                <w:color w:val="17365D" w:themeColor="text2" w:themeShade="BF"/>
                <w:sz w:val="22"/>
                <w:szCs w:val="22"/>
              </w:rPr>
              <w:t>Specific Feedback from Stakeholders</w:t>
            </w:r>
          </w:p>
          <w:p w14:paraId="5271B327" w14:textId="77777777" w:rsidR="00B16E9C" w:rsidRPr="00F81073"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p>
        </w:tc>
      </w:tr>
      <w:tr w:rsidR="0013530E" w:rsidRPr="00F81073" w14:paraId="5271B32A" w14:textId="77777777" w:rsidTr="00980628">
        <w:tblPrEx>
          <w:tblCellMar>
            <w:left w:w="0" w:type="dxa"/>
            <w:right w:w="0" w:type="dxa"/>
          </w:tblCellMar>
        </w:tblPrEx>
        <w:trPr>
          <w:trHeight w:val="432"/>
        </w:trPr>
        <w:tc>
          <w:tcPr>
            <w:tcW w:w="13320" w:type="dxa"/>
            <w:shd w:val="clear" w:color="auto" w:fill="DBE5F1" w:themeFill="accent1" w:themeFillTint="33"/>
          </w:tcPr>
          <w:p w14:paraId="5271B329" w14:textId="5A40D242" w:rsidR="0013530E" w:rsidRPr="00F81073" w:rsidRDefault="008A533C" w:rsidP="00150B6C">
            <w:pPr>
              <w:pStyle w:val="ListParagraph"/>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hAnsiTheme="majorHAnsi"/>
                <w:b/>
                <w:bCs/>
                <w:color w:val="17365D" w:themeColor="text2" w:themeShade="BF"/>
                <w:sz w:val="22"/>
                <w:szCs w:val="22"/>
              </w:rPr>
              <w:t>How should the Bank implement support to borrower procurement capacity building and institutional strengthening?</w:t>
            </w:r>
          </w:p>
        </w:tc>
      </w:tr>
      <w:tr w:rsidR="002E23E9" w:rsidRPr="00F81073" w14:paraId="5271B32F" w14:textId="77777777" w:rsidTr="00980628">
        <w:trPr>
          <w:trHeight w:val="432"/>
        </w:trPr>
        <w:tc>
          <w:tcPr>
            <w:tcW w:w="13320" w:type="dxa"/>
            <w:shd w:val="clear" w:color="auto" w:fill="auto"/>
          </w:tcPr>
          <w:p w14:paraId="5271B32E" w14:textId="50917F08" w:rsidR="00980628" w:rsidRPr="00226232" w:rsidRDefault="00226232" w:rsidP="00226232">
            <w:pPr>
              <w:pStyle w:val="ListParagraph"/>
              <w:numPr>
                <w:ilvl w:val="0"/>
                <w:numId w:val="50"/>
              </w:numPr>
              <w:tabs>
                <w:tab w:val="left" w:pos="7920"/>
              </w:tabs>
              <w:rPr>
                <w:rFonts w:asciiTheme="majorHAnsi" w:hAnsiTheme="majorHAnsi"/>
                <w:bCs/>
                <w:sz w:val="22"/>
                <w:szCs w:val="22"/>
              </w:rPr>
            </w:pPr>
            <w:r>
              <w:rPr>
                <w:rFonts w:asciiTheme="majorHAnsi" w:hAnsiTheme="majorHAnsi"/>
                <w:bCs/>
                <w:sz w:val="22"/>
                <w:szCs w:val="22"/>
              </w:rPr>
              <w:t xml:space="preserve">The implementation of the new procurement framework should be accompanied by capacity building so that the new rules would not create a new burden on procurement professionals. </w:t>
            </w:r>
          </w:p>
        </w:tc>
      </w:tr>
      <w:tr w:rsidR="00A840E8" w:rsidRPr="00F81073" w14:paraId="5271B331" w14:textId="77777777" w:rsidTr="00980628">
        <w:tblPrEx>
          <w:tblCellMar>
            <w:left w:w="0" w:type="dxa"/>
            <w:right w:w="0" w:type="dxa"/>
          </w:tblCellMar>
        </w:tblPrEx>
        <w:trPr>
          <w:trHeight w:val="432"/>
        </w:trPr>
        <w:tc>
          <w:tcPr>
            <w:tcW w:w="13320" w:type="dxa"/>
            <w:shd w:val="clear" w:color="auto" w:fill="DBE5F1" w:themeFill="accent1" w:themeFillTint="33"/>
          </w:tcPr>
          <w:p w14:paraId="5271B330" w14:textId="03CF0918" w:rsidR="00A840E8" w:rsidRPr="00F81073" w:rsidRDefault="008A533C" w:rsidP="00150B6C">
            <w:pPr>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Bank operationalize the potential broader use of value-for-money criteria in borrower contract award decisions?</w:t>
            </w:r>
          </w:p>
        </w:tc>
      </w:tr>
      <w:tr w:rsidR="00F81073" w:rsidRPr="00F81073" w14:paraId="4E1B4909" w14:textId="77777777" w:rsidTr="00980628">
        <w:trPr>
          <w:trHeight w:val="432"/>
        </w:trPr>
        <w:tc>
          <w:tcPr>
            <w:tcW w:w="13320" w:type="dxa"/>
            <w:shd w:val="clear" w:color="auto" w:fill="auto"/>
          </w:tcPr>
          <w:p w14:paraId="730086F9" w14:textId="77777777" w:rsidR="00F81073" w:rsidRPr="00975D27" w:rsidRDefault="00F102F6" w:rsidP="00F102F6">
            <w:pPr>
              <w:pStyle w:val="ListParagraph"/>
              <w:numPr>
                <w:ilvl w:val="0"/>
                <w:numId w:val="49"/>
              </w:numPr>
              <w:tabs>
                <w:tab w:val="left" w:pos="7920"/>
              </w:tabs>
              <w:rPr>
                <w:rFonts w:asciiTheme="majorHAnsi" w:hAnsiTheme="majorHAnsi" w:cs="Times New Roman"/>
                <w:sz w:val="22"/>
                <w:szCs w:val="22"/>
              </w:rPr>
            </w:pPr>
            <w:r>
              <w:t>While the definition of VfM should be flexible, it should include sustainability aspects.</w:t>
            </w:r>
          </w:p>
          <w:p w14:paraId="2E820C36" w14:textId="7646E495" w:rsidR="00975D27" w:rsidRPr="00F81073" w:rsidRDefault="00975D27" w:rsidP="00F102F6">
            <w:pPr>
              <w:pStyle w:val="ListParagraph"/>
              <w:numPr>
                <w:ilvl w:val="0"/>
                <w:numId w:val="49"/>
              </w:numPr>
              <w:tabs>
                <w:tab w:val="left" w:pos="7920"/>
              </w:tabs>
              <w:rPr>
                <w:rFonts w:asciiTheme="majorHAnsi" w:hAnsiTheme="majorHAnsi" w:cs="Times New Roman"/>
                <w:sz w:val="22"/>
                <w:szCs w:val="22"/>
              </w:rPr>
            </w:pPr>
            <w:r>
              <w:t xml:space="preserve">Follow-up costs beyond the initial acquisition cost need to be considered in a VfM approach. </w:t>
            </w:r>
          </w:p>
        </w:tc>
      </w:tr>
    </w:tbl>
    <w:p w14:paraId="486C2A20" w14:textId="77777777" w:rsidR="00034371" w:rsidRDefault="00034371">
      <w:r>
        <w:br w:type="page"/>
      </w: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320"/>
      </w:tblGrid>
      <w:tr w:rsidR="00941C03" w:rsidRPr="00F81073" w14:paraId="5271B338" w14:textId="77777777" w:rsidTr="00980628">
        <w:trPr>
          <w:trHeight w:val="432"/>
        </w:trPr>
        <w:tc>
          <w:tcPr>
            <w:tcW w:w="13320" w:type="dxa"/>
            <w:shd w:val="clear" w:color="auto" w:fill="DBE5F1" w:themeFill="accent1" w:themeFillTint="33"/>
          </w:tcPr>
          <w:p w14:paraId="5271B337" w14:textId="415080DB" w:rsidR="00941C03" w:rsidRPr="00980628" w:rsidRDefault="008A533C" w:rsidP="00980628">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lastRenderedPageBreak/>
              <w:t>How should the World Bank target its procurement staff resources to get the best results?</w:t>
            </w:r>
          </w:p>
        </w:tc>
      </w:tr>
      <w:tr w:rsidR="002E23E9" w:rsidRPr="00F81073" w14:paraId="5271B33E" w14:textId="77777777" w:rsidTr="00980628">
        <w:tblPrEx>
          <w:tblCellMar>
            <w:left w:w="108" w:type="dxa"/>
            <w:right w:w="108" w:type="dxa"/>
          </w:tblCellMar>
        </w:tblPrEx>
        <w:trPr>
          <w:trHeight w:val="432"/>
        </w:trPr>
        <w:tc>
          <w:tcPr>
            <w:tcW w:w="13320" w:type="dxa"/>
            <w:shd w:val="clear" w:color="auto" w:fill="auto"/>
          </w:tcPr>
          <w:p w14:paraId="5271B33D" w14:textId="70402EA1" w:rsidR="002E23E9" w:rsidRPr="00B51DF5" w:rsidRDefault="002E23E9" w:rsidP="00B51DF5">
            <w:pPr>
              <w:widowControl w:val="0"/>
              <w:autoSpaceDE w:val="0"/>
              <w:autoSpaceDN w:val="0"/>
              <w:adjustRightInd w:val="0"/>
              <w:spacing w:after="40"/>
              <w:ind w:right="40"/>
              <w:jc w:val="left"/>
              <w:rPr>
                <w:rFonts w:asciiTheme="majorHAnsi" w:hAnsiTheme="majorHAnsi"/>
                <w:sz w:val="22"/>
                <w:szCs w:val="22"/>
              </w:rPr>
            </w:pPr>
          </w:p>
        </w:tc>
      </w:tr>
      <w:tr w:rsidR="00173E2F" w:rsidRPr="00F81073" w14:paraId="5271B340" w14:textId="77777777" w:rsidTr="00980628">
        <w:trPr>
          <w:trHeight w:val="432"/>
        </w:trPr>
        <w:tc>
          <w:tcPr>
            <w:tcW w:w="13320" w:type="dxa"/>
            <w:shd w:val="clear" w:color="auto" w:fill="DBE5F1" w:themeFill="accent1" w:themeFillTint="33"/>
          </w:tcPr>
          <w:p w14:paraId="5271B33F" w14:textId="1FB08E50" w:rsidR="00173E2F" w:rsidRPr="00F81073" w:rsidRDefault="008A533C" w:rsidP="00150B6C">
            <w:pPr>
              <w:numPr>
                <w:ilvl w:val="0"/>
                <w:numId w:val="30"/>
              </w:numPr>
              <w:snapToGrid w:val="0"/>
              <w:ind w:left="540" w:right="180"/>
              <w:rPr>
                <w:rFonts w:asciiTheme="majorHAnsi" w:eastAsia="Batang" w:hAnsiTheme="majorHAnsi"/>
                <w:color w:val="17365D" w:themeColor="text2" w:themeShade="BF"/>
                <w:sz w:val="22"/>
                <w:szCs w:val="22"/>
              </w:rPr>
            </w:pPr>
            <w:r w:rsidRPr="00F81073">
              <w:rPr>
                <w:rFonts w:asciiTheme="majorHAnsi" w:eastAsia="Batang" w:hAnsiTheme="majorHAnsi"/>
                <w:b/>
                <w:bCs/>
                <w:color w:val="17365D" w:themeColor="text2" w:themeShade="BF"/>
                <w:sz w:val="22"/>
                <w:szCs w:val="22"/>
              </w:rPr>
              <w:t>How and when should alternative procurement arrangements be used for procurement in Bank projects and how should they be assessed?</w:t>
            </w:r>
          </w:p>
        </w:tc>
      </w:tr>
      <w:tr w:rsidR="002E23E9" w:rsidRPr="00F81073" w14:paraId="5271B346" w14:textId="77777777" w:rsidTr="00980628">
        <w:tblPrEx>
          <w:tblCellMar>
            <w:left w:w="108" w:type="dxa"/>
            <w:right w:w="108" w:type="dxa"/>
          </w:tblCellMar>
        </w:tblPrEx>
        <w:trPr>
          <w:trHeight w:val="432"/>
        </w:trPr>
        <w:tc>
          <w:tcPr>
            <w:tcW w:w="13320" w:type="dxa"/>
            <w:shd w:val="clear" w:color="auto" w:fill="auto"/>
          </w:tcPr>
          <w:p w14:paraId="7DFD0768" w14:textId="356E4A8B" w:rsidR="002E23E9" w:rsidRPr="002B5C2C" w:rsidRDefault="00B80495" w:rsidP="00B80495">
            <w:pPr>
              <w:pStyle w:val="ListParagraph"/>
              <w:numPr>
                <w:ilvl w:val="0"/>
                <w:numId w:val="48"/>
              </w:numPr>
              <w:jc w:val="left"/>
              <w:rPr>
                <w:rFonts w:asciiTheme="majorHAnsi" w:eastAsia="Batang" w:hAnsiTheme="majorHAnsi" w:cs="Times New Roman"/>
                <w:sz w:val="22"/>
                <w:szCs w:val="22"/>
              </w:rPr>
            </w:pPr>
            <w:r>
              <w:rPr>
                <w:rFonts w:asciiTheme="majorHAnsi" w:hAnsiTheme="majorHAnsi"/>
                <w:sz w:val="22"/>
                <w:szCs w:val="22"/>
              </w:rPr>
              <w:t>Regarding the proposal to use the procurement arrangements of GPA member states</w:t>
            </w:r>
            <w:r w:rsidR="00B42E5F">
              <w:rPr>
                <w:rFonts w:asciiTheme="majorHAnsi" w:hAnsiTheme="majorHAnsi"/>
                <w:sz w:val="22"/>
                <w:szCs w:val="22"/>
              </w:rPr>
              <w:t>, participa</w:t>
            </w:r>
            <w:r w:rsidR="00A11157">
              <w:rPr>
                <w:rFonts w:asciiTheme="majorHAnsi" w:hAnsiTheme="majorHAnsi"/>
                <w:sz w:val="22"/>
                <w:szCs w:val="22"/>
              </w:rPr>
              <w:t>nts suggested expanding the crit</w:t>
            </w:r>
            <w:r w:rsidR="00B42E5F">
              <w:rPr>
                <w:rFonts w:asciiTheme="majorHAnsi" w:hAnsiTheme="majorHAnsi"/>
                <w:sz w:val="22"/>
                <w:szCs w:val="22"/>
              </w:rPr>
              <w:t>eria to include a wider range of countries and expressed concern that considering only GPA countries is not pushing countries to join GPA, but rather is more a mechanism to simplify the Bank’s work.</w:t>
            </w:r>
          </w:p>
          <w:p w14:paraId="6B24729B" w14:textId="77777777" w:rsidR="002B5C2C" w:rsidRPr="0019397F" w:rsidRDefault="002B5C2C" w:rsidP="002B5C2C">
            <w:pPr>
              <w:pStyle w:val="ListParagraph"/>
              <w:numPr>
                <w:ilvl w:val="0"/>
                <w:numId w:val="48"/>
              </w:numPr>
              <w:jc w:val="left"/>
              <w:rPr>
                <w:rFonts w:asciiTheme="majorHAnsi" w:eastAsia="Batang" w:hAnsiTheme="majorHAnsi" w:cs="Times New Roman"/>
                <w:sz w:val="22"/>
                <w:szCs w:val="22"/>
              </w:rPr>
            </w:pPr>
            <w:r>
              <w:t xml:space="preserve">Any diagnostic tools used to assess alternative procurement arrangements would need to be flexible and fit for purpose. </w:t>
            </w:r>
          </w:p>
          <w:p w14:paraId="5271B345" w14:textId="164009AC" w:rsidR="0019397F" w:rsidRPr="00F81073" w:rsidRDefault="0019397F" w:rsidP="0019397F">
            <w:pPr>
              <w:pStyle w:val="ListParagraph"/>
              <w:numPr>
                <w:ilvl w:val="0"/>
                <w:numId w:val="48"/>
              </w:numPr>
              <w:jc w:val="left"/>
              <w:rPr>
                <w:rFonts w:asciiTheme="majorHAnsi" w:eastAsia="Batang" w:hAnsiTheme="majorHAnsi" w:cs="Times New Roman"/>
                <w:sz w:val="22"/>
                <w:szCs w:val="22"/>
              </w:rPr>
            </w:pPr>
            <w:r>
              <w:t xml:space="preserve">When assessing alternative procurement arrangements, companies may face an increased burden as they will need to understand procurement at the country- as well as the project-level. </w:t>
            </w:r>
          </w:p>
        </w:tc>
      </w:tr>
      <w:tr w:rsidR="002717AA" w:rsidRPr="00F81073" w14:paraId="5271B348" w14:textId="77777777" w:rsidTr="00980628">
        <w:trPr>
          <w:trHeight w:val="432"/>
        </w:trPr>
        <w:tc>
          <w:tcPr>
            <w:tcW w:w="13320" w:type="dxa"/>
            <w:shd w:val="clear" w:color="auto" w:fill="DBE5F1" w:themeFill="accent1" w:themeFillTint="33"/>
          </w:tcPr>
          <w:p w14:paraId="5271B347" w14:textId="7BEBCB4A" w:rsidR="002717AA" w:rsidRPr="00980628" w:rsidRDefault="008A533C" w:rsidP="00980628">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sustainable procurement matters be addressed in Bank-financed contracts?</w:t>
            </w:r>
          </w:p>
        </w:tc>
      </w:tr>
      <w:tr w:rsidR="002E23E9" w:rsidRPr="00F81073" w14:paraId="5271B34C" w14:textId="77777777" w:rsidTr="00980628">
        <w:tblPrEx>
          <w:tblCellMar>
            <w:left w:w="108" w:type="dxa"/>
            <w:right w:w="108" w:type="dxa"/>
          </w:tblCellMar>
        </w:tblPrEx>
        <w:trPr>
          <w:trHeight w:val="432"/>
        </w:trPr>
        <w:tc>
          <w:tcPr>
            <w:tcW w:w="13320" w:type="dxa"/>
            <w:shd w:val="clear" w:color="auto" w:fill="auto"/>
          </w:tcPr>
          <w:p w14:paraId="6F677207" w14:textId="21CE032D" w:rsidR="002E23E9" w:rsidRDefault="00980628" w:rsidP="00980628">
            <w:pPr>
              <w:pStyle w:val="ListParagraph"/>
              <w:numPr>
                <w:ilvl w:val="0"/>
                <w:numId w:val="45"/>
              </w:numPr>
              <w:jc w:val="left"/>
              <w:rPr>
                <w:rFonts w:asciiTheme="majorHAnsi" w:hAnsiTheme="majorHAnsi"/>
                <w:sz w:val="22"/>
                <w:szCs w:val="22"/>
              </w:rPr>
            </w:pPr>
            <w:r w:rsidRPr="00980628">
              <w:rPr>
                <w:rFonts w:asciiTheme="majorHAnsi" w:hAnsiTheme="majorHAnsi"/>
                <w:sz w:val="22"/>
                <w:szCs w:val="22"/>
              </w:rPr>
              <w:t xml:space="preserve">Regarding sustainable procurement participants acknowledged that while </w:t>
            </w:r>
            <w:r w:rsidR="00892ED7">
              <w:rPr>
                <w:rFonts w:asciiTheme="majorHAnsi" w:hAnsiTheme="majorHAnsi"/>
                <w:sz w:val="22"/>
                <w:szCs w:val="22"/>
              </w:rPr>
              <w:t>not all Borrwers may want to implement sustainable procurement</w:t>
            </w:r>
            <w:r w:rsidRPr="00980628">
              <w:rPr>
                <w:rFonts w:asciiTheme="majorHAnsi" w:hAnsiTheme="majorHAnsi"/>
                <w:sz w:val="22"/>
                <w:szCs w:val="22"/>
              </w:rPr>
              <w:t xml:space="preserve">, the implementation of </w:t>
            </w:r>
            <w:r w:rsidR="00A023EB">
              <w:rPr>
                <w:rFonts w:asciiTheme="majorHAnsi" w:hAnsiTheme="majorHAnsi"/>
                <w:sz w:val="22"/>
                <w:szCs w:val="22"/>
              </w:rPr>
              <w:t xml:space="preserve">the </w:t>
            </w:r>
            <w:r w:rsidRPr="00980628">
              <w:rPr>
                <w:rFonts w:asciiTheme="majorHAnsi" w:hAnsiTheme="majorHAnsi"/>
                <w:sz w:val="22"/>
                <w:szCs w:val="22"/>
              </w:rPr>
              <w:t>VfM approach should allow for more sustainable opportunities and solutions to arise.</w:t>
            </w:r>
          </w:p>
          <w:p w14:paraId="5DD29A35" w14:textId="0F48DFC9" w:rsidR="000551F2" w:rsidRDefault="000551F2" w:rsidP="000551F2">
            <w:pPr>
              <w:pStyle w:val="ListParagraph"/>
              <w:numPr>
                <w:ilvl w:val="0"/>
                <w:numId w:val="45"/>
              </w:numPr>
              <w:rPr>
                <w:rFonts w:asciiTheme="majorHAnsi" w:hAnsiTheme="majorHAnsi"/>
                <w:sz w:val="22"/>
                <w:szCs w:val="22"/>
              </w:rPr>
            </w:pPr>
            <w:r>
              <w:rPr>
                <w:rFonts w:asciiTheme="majorHAnsi" w:hAnsiTheme="majorHAnsi"/>
                <w:sz w:val="22"/>
                <w:szCs w:val="22"/>
              </w:rPr>
              <w:t xml:space="preserve">Participants suggested the Bank </w:t>
            </w:r>
            <w:r w:rsidR="00147975">
              <w:rPr>
                <w:rFonts w:asciiTheme="majorHAnsi" w:hAnsiTheme="majorHAnsi"/>
                <w:sz w:val="22"/>
                <w:szCs w:val="22"/>
              </w:rPr>
              <w:t>outline examples for social cri</w:t>
            </w:r>
            <w:r>
              <w:rPr>
                <w:rFonts w:asciiTheme="majorHAnsi" w:hAnsiTheme="majorHAnsi"/>
                <w:sz w:val="22"/>
                <w:szCs w:val="22"/>
              </w:rPr>
              <w:t>teria, and also recommended using a sample auditing process to evaluate the risk of certain low value projects.</w:t>
            </w:r>
          </w:p>
          <w:p w14:paraId="6308D1B3" w14:textId="308888A9" w:rsidR="00980628" w:rsidRDefault="000551F2" w:rsidP="00980628">
            <w:pPr>
              <w:pStyle w:val="ListParagraph"/>
              <w:numPr>
                <w:ilvl w:val="0"/>
                <w:numId w:val="45"/>
              </w:numPr>
              <w:jc w:val="left"/>
              <w:rPr>
                <w:rFonts w:asciiTheme="majorHAnsi" w:hAnsiTheme="majorHAnsi"/>
                <w:sz w:val="22"/>
                <w:szCs w:val="22"/>
              </w:rPr>
            </w:pPr>
            <w:r>
              <w:rPr>
                <w:rFonts w:asciiTheme="majorHAnsi" w:hAnsiTheme="majorHAnsi"/>
                <w:sz w:val="22"/>
                <w:szCs w:val="22"/>
              </w:rPr>
              <w:t>Implementing a Bank-wide performance metrics tracking system that includes sustainability factors</w:t>
            </w:r>
            <w:r w:rsidR="00C4368E">
              <w:rPr>
                <w:rFonts w:asciiTheme="majorHAnsi" w:hAnsiTheme="majorHAnsi"/>
                <w:sz w:val="22"/>
                <w:szCs w:val="22"/>
              </w:rPr>
              <w:t xml:space="preserve"> (including social aspects)</w:t>
            </w:r>
            <w:r>
              <w:rPr>
                <w:rFonts w:asciiTheme="majorHAnsi" w:hAnsiTheme="majorHAnsi"/>
                <w:sz w:val="22"/>
                <w:szCs w:val="22"/>
              </w:rPr>
              <w:t xml:space="preserve"> would further increase accountablility.</w:t>
            </w:r>
          </w:p>
          <w:p w14:paraId="3752AD3F" w14:textId="77777777" w:rsidR="000551F2" w:rsidRDefault="00DD0FF2" w:rsidP="00980628">
            <w:pPr>
              <w:pStyle w:val="ListParagraph"/>
              <w:numPr>
                <w:ilvl w:val="0"/>
                <w:numId w:val="45"/>
              </w:numPr>
              <w:jc w:val="left"/>
              <w:rPr>
                <w:rFonts w:asciiTheme="majorHAnsi" w:hAnsiTheme="majorHAnsi"/>
                <w:sz w:val="22"/>
                <w:szCs w:val="22"/>
              </w:rPr>
            </w:pPr>
            <w:r>
              <w:rPr>
                <w:rFonts w:asciiTheme="majorHAnsi" w:hAnsiTheme="majorHAnsi"/>
                <w:sz w:val="22"/>
                <w:szCs w:val="22"/>
              </w:rPr>
              <w:t>While s</w:t>
            </w:r>
            <w:r w:rsidR="000551F2">
              <w:rPr>
                <w:rFonts w:asciiTheme="majorHAnsi" w:hAnsiTheme="majorHAnsi"/>
                <w:sz w:val="22"/>
                <w:szCs w:val="22"/>
              </w:rPr>
              <w:t xml:space="preserve">afeguards are accountability mechanisms, sustainable public procurement is a strategic opportunity for countries to put sustainability directly into their strategies to achieve outcomes (including social), and thus should be a tool to give countries new opportunities to achieve sustainable outcomes. </w:t>
            </w:r>
          </w:p>
          <w:p w14:paraId="5271B34B" w14:textId="4F37A718" w:rsidR="00FE55AE" w:rsidRPr="00980628" w:rsidRDefault="00FE55AE" w:rsidP="00980628">
            <w:pPr>
              <w:pStyle w:val="ListParagraph"/>
              <w:numPr>
                <w:ilvl w:val="0"/>
                <w:numId w:val="45"/>
              </w:numPr>
              <w:jc w:val="left"/>
              <w:rPr>
                <w:rFonts w:asciiTheme="majorHAnsi" w:hAnsiTheme="majorHAnsi"/>
                <w:sz w:val="22"/>
                <w:szCs w:val="22"/>
              </w:rPr>
            </w:pPr>
            <w:r>
              <w:rPr>
                <w:rFonts w:asciiTheme="majorHAnsi" w:hAnsiTheme="majorHAnsi"/>
                <w:sz w:val="22"/>
                <w:szCs w:val="22"/>
              </w:rPr>
              <w:t xml:space="preserve">Procurement should be used as a strategic tool to achieve sustainability outcomes, including on climate change. </w:t>
            </w:r>
          </w:p>
        </w:tc>
      </w:tr>
      <w:tr w:rsidR="002A7906" w:rsidRPr="00F81073" w14:paraId="5271B34E" w14:textId="77777777" w:rsidTr="00980628">
        <w:trPr>
          <w:trHeight w:val="432"/>
        </w:trPr>
        <w:tc>
          <w:tcPr>
            <w:tcW w:w="13320" w:type="dxa"/>
            <w:shd w:val="clear" w:color="auto" w:fill="DBE5F1" w:themeFill="accent1" w:themeFillTint="33"/>
          </w:tcPr>
          <w:p w14:paraId="5271B34D" w14:textId="7A7C8471" w:rsidR="002A7906" w:rsidRPr="00980628" w:rsidRDefault="008A533C" w:rsidP="00980628">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World Bank manage fraud and corruption issues in the procurements it finances?</w:t>
            </w:r>
          </w:p>
        </w:tc>
      </w:tr>
      <w:tr w:rsidR="002E23E9" w:rsidRPr="00F81073" w14:paraId="5271B358" w14:textId="77777777" w:rsidTr="00980628">
        <w:tblPrEx>
          <w:tblCellMar>
            <w:left w:w="108" w:type="dxa"/>
            <w:right w:w="108" w:type="dxa"/>
          </w:tblCellMar>
        </w:tblPrEx>
        <w:trPr>
          <w:trHeight w:val="432"/>
        </w:trPr>
        <w:tc>
          <w:tcPr>
            <w:tcW w:w="13320" w:type="dxa"/>
            <w:shd w:val="clear" w:color="auto" w:fill="auto"/>
          </w:tcPr>
          <w:p w14:paraId="1E7D8F2D" w14:textId="77777777" w:rsidR="000551F2" w:rsidRDefault="00980628" w:rsidP="00C31D08">
            <w:pPr>
              <w:pStyle w:val="ListParagraph"/>
              <w:numPr>
                <w:ilvl w:val="0"/>
                <w:numId w:val="45"/>
              </w:numPr>
              <w:rPr>
                <w:rFonts w:asciiTheme="majorHAnsi" w:hAnsiTheme="majorHAnsi"/>
                <w:sz w:val="22"/>
                <w:szCs w:val="22"/>
              </w:rPr>
            </w:pPr>
            <w:r w:rsidRPr="00980628">
              <w:rPr>
                <w:rFonts w:asciiTheme="majorHAnsi" w:hAnsiTheme="majorHAnsi"/>
                <w:sz w:val="22"/>
                <w:szCs w:val="22"/>
              </w:rPr>
              <w:t xml:space="preserve">When the topic of risk assesments arose, participants were interested in fully defining what type of risk we are attempting to combat, noting that even low value contracts can have significant environmental and social risk, and that it is important to have a set of risk-based criteria that allows for this risk to be monitored. </w:t>
            </w:r>
          </w:p>
          <w:p w14:paraId="5271B357" w14:textId="030D73DA" w:rsidR="00BF042A" w:rsidRPr="00C31D08" w:rsidRDefault="00BF042A" w:rsidP="00BF042A">
            <w:pPr>
              <w:pStyle w:val="ListParagraph"/>
              <w:numPr>
                <w:ilvl w:val="0"/>
                <w:numId w:val="45"/>
              </w:numPr>
              <w:rPr>
                <w:rFonts w:asciiTheme="majorHAnsi" w:hAnsiTheme="majorHAnsi"/>
                <w:sz w:val="22"/>
                <w:szCs w:val="22"/>
              </w:rPr>
            </w:pPr>
            <w:r>
              <w:t xml:space="preserve">Instances of tax evasion by a bidding company should be part of the VfM assessment or reflected in the eligibility requirements of the bidding documents. </w:t>
            </w:r>
          </w:p>
        </w:tc>
      </w:tr>
      <w:tr w:rsidR="00594D12" w:rsidRPr="00F81073" w14:paraId="5271B35A" w14:textId="77777777" w:rsidTr="00980628">
        <w:trPr>
          <w:trHeight w:val="432"/>
        </w:trPr>
        <w:tc>
          <w:tcPr>
            <w:tcW w:w="13320" w:type="dxa"/>
            <w:shd w:val="clear" w:color="auto" w:fill="DBE5F1" w:themeFill="accent1" w:themeFillTint="33"/>
          </w:tcPr>
          <w:p w14:paraId="5271B359" w14:textId="6179ADEE" w:rsidR="00594D12" w:rsidRPr="00980628" w:rsidRDefault="008A533C" w:rsidP="00980628">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What would be suitable procurement metrics that the Bank should use to improve performance?</w:t>
            </w:r>
          </w:p>
        </w:tc>
      </w:tr>
      <w:tr w:rsidR="002E23E9" w:rsidRPr="00F81073" w14:paraId="5271B361" w14:textId="77777777" w:rsidTr="00980628">
        <w:tblPrEx>
          <w:tblCellMar>
            <w:left w:w="108" w:type="dxa"/>
            <w:right w:w="108" w:type="dxa"/>
          </w:tblCellMar>
        </w:tblPrEx>
        <w:trPr>
          <w:trHeight w:val="432"/>
        </w:trPr>
        <w:tc>
          <w:tcPr>
            <w:tcW w:w="13320" w:type="dxa"/>
            <w:shd w:val="clear" w:color="auto" w:fill="auto"/>
          </w:tcPr>
          <w:p w14:paraId="5271B360" w14:textId="47D04670" w:rsidR="002E23E9" w:rsidRPr="00F81073" w:rsidRDefault="002E23E9" w:rsidP="00742F1C">
            <w:pPr>
              <w:pStyle w:val="ListParagraph"/>
              <w:ind w:left="309"/>
              <w:rPr>
                <w:rFonts w:asciiTheme="majorHAnsi" w:hAnsiTheme="majorHAnsi" w:cs="Times New Roman"/>
                <w:color w:val="333333"/>
                <w:sz w:val="22"/>
                <w:szCs w:val="22"/>
              </w:rPr>
            </w:pPr>
          </w:p>
        </w:tc>
      </w:tr>
      <w:tr w:rsidR="00A21FB6" w:rsidRPr="00F81073" w14:paraId="5271B363" w14:textId="77777777" w:rsidTr="00980628">
        <w:trPr>
          <w:trHeight w:val="432"/>
        </w:trPr>
        <w:tc>
          <w:tcPr>
            <w:tcW w:w="13320" w:type="dxa"/>
            <w:shd w:val="clear" w:color="auto" w:fill="DBE5F1" w:themeFill="accent1" w:themeFillTint="33"/>
          </w:tcPr>
          <w:p w14:paraId="5271B362" w14:textId="0D34E71D" w:rsidR="00A21FB6" w:rsidRPr="00980628" w:rsidRDefault="008A533C" w:rsidP="001453DE">
            <w:pPr>
              <w:numPr>
                <w:ilvl w:val="0"/>
                <w:numId w:val="30"/>
              </w:numPr>
              <w:snapToGrid w:val="0"/>
              <w:ind w:left="540"/>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t>What role should the Bank have with regard to complaints monitoring</w:t>
            </w:r>
            <w:r w:rsidR="00980628">
              <w:rPr>
                <w:rFonts w:asciiTheme="majorHAnsi" w:eastAsia="Batang" w:hAnsiTheme="majorHAnsi"/>
                <w:b/>
                <w:color w:val="17365D" w:themeColor="text2" w:themeShade="BF"/>
                <w:sz w:val="22"/>
                <w:szCs w:val="22"/>
              </w:rPr>
              <w:t>?</w:t>
            </w:r>
          </w:p>
        </w:tc>
      </w:tr>
      <w:tr w:rsidR="002E23E9" w:rsidRPr="00F81073" w14:paraId="5271B36F" w14:textId="77777777" w:rsidTr="00980628">
        <w:tblPrEx>
          <w:tblCellMar>
            <w:left w:w="108" w:type="dxa"/>
            <w:right w:w="108" w:type="dxa"/>
          </w:tblCellMar>
        </w:tblPrEx>
        <w:trPr>
          <w:trHeight w:val="432"/>
        </w:trPr>
        <w:tc>
          <w:tcPr>
            <w:tcW w:w="13320" w:type="dxa"/>
            <w:shd w:val="clear" w:color="auto" w:fill="auto"/>
          </w:tcPr>
          <w:p w14:paraId="5271B36E" w14:textId="1C969F4B" w:rsidR="002E23E9" w:rsidRPr="00F81073" w:rsidRDefault="002E23E9" w:rsidP="00742F1C">
            <w:pPr>
              <w:pStyle w:val="ListParagraph"/>
              <w:ind w:left="309"/>
              <w:rPr>
                <w:rFonts w:asciiTheme="majorHAnsi" w:hAnsiTheme="majorHAnsi" w:cs="Times New Roman"/>
                <w:sz w:val="22"/>
                <w:szCs w:val="22"/>
              </w:rPr>
            </w:pPr>
          </w:p>
        </w:tc>
      </w:tr>
      <w:tr w:rsidR="002E23E9" w:rsidRPr="00F81073" w14:paraId="3A1A315B" w14:textId="77777777" w:rsidTr="00980628">
        <w:tblPrEx>
          <w:tblCellMar>
            <w:left w:w="108" w:type="dxa"/>
            <w:right w:w="108" w:type="dxa"/>
          </w:tblCellMar>
        </w:tblPrEx>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639FFE1" w14:textId="18C5CABB" w:rsidR="002E23E9" w:rsidRPr="00F81073" w:rsidRDefault="008A533C" w:rsidP="00150B6C">
            <w:pPr>
              <w:numPr>
                <w:ilvl w:val="0"/>
                <w:numId w:val="30"/>
              </w:numPr>
              <w:snapToGrid w:val="0"/>
              <w:ind w:left="432"/>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lastRenderedPageBreak/>
              <w:t>What should be the Bank’s role in contract management, and with regard to improving performance of suppliers?</w:t>
            </w:r>
          </w:p>
        </w:tc>
      </w:tr>
      <w:tr w:rsidR="002E23E9" w:rsidRPr="00F81073" w14:paraId="65D14FC7" w14:textId="77777777" w:rsidTr="00980628">
        <w:tblPrEx>
          <w:tblCellMar>
            <w:left w:w="108" w:type="dxa"/>
            <w:right w:w="108" w:type="dxa"/>
          </w:tblCellMar>
        </w:tblPrEx>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44961A2D" w14:textId="77777777" w:rsidR="002E23E9" w:rsidRPr="00D62356" w:rsidRDefault="00B51DF5" w:rsidP="00B51DF5">
            <w:pPr>
              <w:pStyle w:val="ListParagraph"/>
              <w:numPr>
                <w:ilvl w:val="0"/>
                <w:numId w:val="45"/>
              </w:numPr>
              <w:rPr>
                <w:rFonts w:asciiTheme="majorHAnsi" w:hAnsiTheme="majorHAnsi" w:cs="Times New Roman"/>
                <w:sz w:val="22"/>
                <w:szCs w:val="22"/>
              </w:rPr>
            </w:pPr>
            <w:r w:rsidRPr="00C31D08">
              <w:rPr>
                <w:rFonts w:asciiTheme="majorHAnsi" w:hAnsiTheme="majorHAnsi"/>
                <w:sz w:val="22"/>
                <w:szCs w:val="22"/>
              </w:rPr>
              <w:t>Participants noted that problems arise when borrowers spend all funding on the initial acquisition, thereby leaving less or no funding for training, maintenance, etc. It is possible to combat this issue by putting certain provisions into the initial agreement to ensure that funding is spent wisely.</w:t>
            </w:r>
          </w:p>
          <w:p w14:paraId="19E44900" w14:textId="14A0FC90" w:rsidR="00D62356" w:rsidRPr="00F81073" w:rsidRDefault="00D62356" w:rsidP="00B51DF5">
            <w:pPr>
              <w:pStyle w:val="ListParagraph"/>
              <w:numPr>
                <w:ilvl w:val="0"/>
                <w:numId w:val="45"/>
              </w:numPr>
              <w:rPr>
                <w:rFonts w:asciiTheme="majorHAnsi" w:hAnsiTheme="majorHAnsi" w:cs="Times New Roman"/>
                <w:sz w:val="22"/>
                <w:szCs w:val="22"/>
              </w:rPr>
            </w:pPr>
            <w:r>
              <w:rPr>
                <w:rFonts w:asciiTheme="majorHAnsi" w:hAnsiTheme="majorHAnsi" w:cs="Times New Roman"/>
                <w:sz w:val="22"/>
                <w:szCs w:val="22"/>
              </w:rPr>
              <w:t xml:space="preserve">When engaging key suppliers, the Bank should be cognizant of any risks associated with singling out specific providers. Those risks would need to be managed. </w:t>
            </w:r>
          </w:p>
        </w:tc>
      </w:tr>
      <w:tr w:rsidR="002E23E9" w:rsidRPr="00F81073" w14:paraId="3A5C9AA9" w14:textId="77777777" w:rsidTr="00980628">
        <w:tblPrEx>
          <w:tblCellMar>
            <w:left w:w="108" w:type="dxa"/>
            <w:right w:w="108" w:type="dxa"/>
          </w:tblCellMar>
        </w:tblPrEx>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9EE69C6" w14:textId="3E6B6A43" w:rsidR="002E23E9" w:rsidRPr="00F81073" w:rsidRDefault="008A533C" w:rsidP="00150B6C">
            <w:pPr>
              <w:numPr>
                <w:ilvl w:val="0"/>
                <w:numId w:val="30"/>
              </w:numPr>
              <w:snapToGrid w:val="0"/>
              <w:ind w:left="432"/>
              <w:rPr>
                <w:rFonts w:asciiTheme="majorHAnsi" w:hAnsiTheme="majorHAnsi"/>
                <w:sz w:val="22"/>
                <w:szCs w:val="22"/>
              </w:rPr>
            </w:pPr>
            <w:r w:rsidRPr="00F81073">
              <w:rPr>
                <w:rFonts w:asciiTheme="majorHAnsi" w:eastAsia="Batang" w:hAnsiTheme="majorHAnsi"/>
                <w:b/>
                <w:color w:val="17365D" w:themeColor="text2" w:themeShade="BF"/>
                <w:sz w:val="22"/>
                <w:szCs w:val="22"/>
              </w:rPr>
              <w:t>General comments on other issues emanating from the Bank's proposals?</w:t>
            </w:r>
          </w:p>
        </w:tc>
      </w:tr>
      <w:tr w:rsidR="002E23E9" w:rsidRPr="00F81073" w14:paraId="3782240F" w14:textId="77777777" w:rsidTr="00980628">
        <w:tblPrEx>
          <w:tblCellMar>
            <w:left w:w="108" w:type="dxa"/>
            <w:right w:w="108" w:type="dxa"/>
          </w:tblCellMar>
        </w:tblPrEx>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7A77CA1F" w14:textId="77777777" w:rsidR="002E23E9" w:rsidRDefault="00C31D08" w:rsidP="00C31D08">
            <w:pPr>
              <w:pStyle w:val="ListParagraph"/>
              <w:numPr>
                <w:ilvl w:val="0"/>
                <w:numId w:val="47"/>
              </w:numPr>
              <w:rPr>
                <w:rFonts w:asciiTheme="majorHAnsi" w:hAnsiTheme="majorHAnsi"/>
                <w:sz w:val="22"/>
                <w:szCs w:val="22"/>
              </w:rPr>
            </w:pPr>
            <w:r>
              <w:rPr>
                <w:rFonts w:asciiTheme="majorHAnsi" w:hAnsiTheme="majorHAnsi"/>
                <w:sz w:val="22"/>
                <w:szCs w:val="22"/>
              </w:rPr>
              <w:t xml:space="preserve">Participants agreed that from a CSO perspective, this policy is much better than before, especially as it lines up procurement with development objectives, presenting new opportunities. </w:t>
            </w:r>
          </w:p>
          <w:p w14:paraId="4B7F4943" w14:textId="4AC5E5C1" w:rsidR="00C31D08" w:rsidRDefault="00C31D08" w:rsidP="00C31D08">
            <w:pPr>
              <w:pStyle w:val="ListParagraph"/>
              <w:numPr>
                <w:ilvl w:val="0"/>
                <w:numId w:val="47"/>
              </w:numPr>
              <w:rPr>
                <w:rFonts w:asciiTheme="majorHAnsi" w:hAnsiTheme="majorHAnsi"/>
                <w:sz w:val="22"/>
                <w:szCs w:val="22"/>
              </w:rPr>
            </w:pPr>
            <w:r>
              <w:rPr>
                <w:rFonts w:asciiTheme="majorHAnsi" w:hAnsiTheme="majorHAnsi"/>
                <w:sz w:val="22"/>
                <w:szCs w:val="22"/>
              </w:rPr>
              <w:t xml:space="preserve">Concern was expressed regarding the policy’s community-based approach, </w:t>
            </w:r>
            <w:r w:rsidR="00840BE2">
              <w:rPr>
                <w:rFonts w:asciiTheme="majorHAnsi" w:hAnsiTheme="majorHAnsi"/>
                <w:sz w:val="22"/>
                <w:szCs w:val="22"/>
              </w:rPr>
              <w:t xml:space="preserve">which should spell our more clearly how </w:t>
            </w:r>
            <w:r>
              <w:rPr>
                <w:rFonts w:asciiTheme="majorHAnsi" w:hAnsiTheme="majorHAnsi"/>
                <w:sz w:val="22"/>
                <w:szCs w:val="22"/>
              </w:rPr>
              <w:t xml:space="preserve">certain marginalized groups (disability, gender, rural communities, etc.) </w:t>
            </w:r>
            <w:r w:rsidR="00840BE2">
              <w:rPr>
                <w:rFonts w:asciiTheme="majorHAnsi" w:hAnsiTheme="majorHAnsi"/>
                <w:sz w:val="22"/>
                <w:szCs w:val="22"/>
              </w:rPr>
              <w:t xml:space="preserve">would be targeted. </w:t>
            </w:r>
          </w:p>
          <w:p w14:paraId="7D1C9DBA" w14:textId="77777777" w:rsidR="00C31D08" w:rsidRDefault="00C31D08" w:rsidP="00C31D08">
            <w:pPr>
              <w:pStyle w:val="ListParagraph"/>
              <w:numPr>
                <w:ilvl w:val="0"/>
                <w:numId w:val="47"/>
              </w:numPr>
              <w:rPr>
                <w:rFonts w:asciiTheme="majorHAnsi" w:hAnsiTheme="majorHAnsi"/>
                <w:sz w:val="22"/>
                <w:szCs w:val="22"/>
              </w:rPr>
            </w:pPr>
            <w:r>
              <w:rPr>
                <w:rFonts w:asciiTheme="majorHAnsi" w:hAnsiTheme="majorHAnsi"/>
                <w:sz w:val="22"/>
                <w:szCs w:val="22"/>
              </w:rPr>
              <w:t xml:space="preserve">Participants further expressed approval and positivity for the new policy, applauding the fact that an institution like the WB is moving in the direction of sustainable public procurement, and looked forward to the collaboration in the future. </w:t>
            </w:r>
          </w:p>
          <w:p w14:paraId="1EE21E99" w14:textId="77777777" w:rsidR="00107A24" w:rsidRDefault="00107A24" w:rsidP="00C31D08">
            <w:pPr>
              <w:pStyle w:val="ListParagraph"/>
              <w:numPr>
                <w:ilvl w:val="0"/>
                <w:numId w:val="47"/>
              </w:numPr>
              <w:rPr>
                <w:rFonts w:asciiTheme="majorHAnsi" w:hAnsiTheme="majorHAnsi"/>
                <w:sz w:val="22"/>
                <w:szCs w:val="22"/>
              </w:rPr>
            </w:pPr>
            <w:r>
              <w:rPr>
                <w:rFonts w:asciiTheme="majorHAnsi" w:hAnsiTheme="majorHAnsi"/>
                <w:sz w:val="22"/>
                <w:szCs w:val="22"/>
              </w:rPr>
              <w:t xml:space="preserve">Participants noted that the Bank’s procurement rules should not only apply to governments, but also to Financial Intermediaries. </w:t>
            </w:r>
          </w:p>
          <w:p w14:paraId="0DA6150C" w14:textId="63BC9392" w:rsidR="005A314D" w:rsidRPr="00C31D08" w:rsidRDefault="005A314D" w:rsidP="00C31D08">
            <w:pPr>
              <w:pStyle w:val="ListParagraph"/>
              <w:numPr>
                <w:ilvl w:val="0"/>
                <w:numId w:val="47"/>
              </w:numPr>
              <w:rPr>
                <w:rFonts w:asciiTheme="majorHAnsi" w:hAnsiTheme="majorHAnsi"/>
                <w:sz w:val="22"/>
                <w:szCs w:val="22"/>
              </w:rPr>
            </w:pPr>
            <w:r>
              <w:rPr>
                <w:rFonts w:asciiTheme="majorHAnsi" w:hAnsiTheme="majorHAnsi"/>
                <w:sz w:val="22"/>
                <w:szCs w:val="22"/>
              </w:rPr>
              <w:t xml:space="preserve">One participants asked about the role of the International Labor Organization core standards, which are currently part of the Standard Bidding Documents (and will remain so). </w:t>
            </w:r>
          </w:p>
        </w:tc>
      </w:tr>
    </w:tbl>
    <w:p w14:paraId="5271B370" w14:textId="77777777" w:rsidR="0041268A" w:rsidRPr="00DD4CC3" w:rsidRDefault="0041268A" w:rsidP="00AC78CB">
      <w:pPr>
        <w:rPr>
          <w:rFonts w:asciiTheme="majorHAnsi" w:hAnsiTheme="majorHAnsi"/>
        </w:rPr>
      </w:pPr>
    </w:p>
    <w:sectPr w:rsidR="0041268A" w:rsidRPr="00DD4CC3" w:rsidSect="00150B6C">
      <w:headerReference w:type="default" r:id="rId13"/>
      <w:footerReference w:type="even" r:id="rId14"/>
      <w:footerReference w:type="default" r:id="rId15"/>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1B375" w14:textId="77777777" w:rsidR="008470F1" w:rsidRDefault="008470F1">
      <w:pPr>
        <w:spacing w:after="0" w:line="240" w:lineRule="auto"/>
      </w:pPr>
      <w:r>
        <w:separator/>
      </w:r>
    </w:p>
  </w:endnote>
  <w:endnote w:type="continuationSeparator" w:id="0">
    <w:p w14:paraId="5271B376" w14:textId="77777777" w:rsidR="008470F1" w:rsidRDefault="0084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B379" w14:textId="77777777" w:rsidR="00D87D07" w:rsidRDefault="008A533C">
    <w:pPr>
      <w:pStyle w:val="Footer"/>
    </w:pPr>
    <w:r>
      <w:fldChar w:fldCharType="begin"/>
    </w:r>
    <w:r>
      <w:instrText xml:space="preserve"> PAGE </w:instrText>
    </w:r>
    <w:r>
      <w:fldChar w:fldCharType="separate"/>
    </w:r>
    <w:r w:rsidR="00D87D07">
      <w:rPr>
        <w:noProof/>
      </w:rPr>
      <w:t>4</w:t>
    </w:r>
    <w:r>
      <w:rPr>
        <w:noProof/>
      </w:rPr>
      <w:fldChar w:fldCharType="end"/>
    </w:r>
  </w:p>
  <w:p w14:paraId="5271B37A" w14:textId="77777777" w:rsidR="00D87D07" w:rsidRDefault="00D8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06821"/>
      <w:docPartObj>
        <w:docPartGallery w:val="Page Numbers (Bottom of Page)"/>
        <w:docPartUnique/>
      </w:docPartObj>
    </w:sdtPr>
    <w:sdtEndPr>
      <w:rPr>
        <w:rFonts w:asciiTheme="minorHAnsi" w:hAnsiTheme="minorHAnsi"/>
        <w:noProof/>
        <w:sz w:val="20"/>
        <w:szCs w:val="20"/>
      </w:rPr>
    </w:sdtEndPr>
    <w:sdtContent>
      <w:p w14:paraId="3BD3AE8F" w14:textId="1D9399EC" w:rsidR="00150B6C" w:rsidRPr="00150B6C" w:rsidRDefault="00150B6C">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475337">
          <w:rPr>
            <w:rFonts w:asciiTheme="minorHAnsi" w:hAnsiTheme="minorHAnsi"/>
            <w:noProof/>
            <w:sz w:val="20"/>
            <w:szCs w:val="20"/>
          </w:rPr>
          <w:t>3</w:t>
        </w:r>
        <w:r w:rsidRPr="00150B6C">
          <w:rPr>
            <w:rFonts w:asciiTheme="minorHAnsi" w:hAnsiTheme="minorHAnsi"/>
            <w:noProof/>
            <w:sz w:val="20"/>
            <w:szCs w:val="20"/>
          </w:rPr>
          <w:fldChar w:fldCharType="end"/>
        </w:r>
      </w:p>
    </w:sdtContent>
  </w:sdt>
  <w:p w14:paraId="5271B37C" w14:textId="77777777" w:rsidR="00D87D07" w:rsidRDefault="00D87D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1B373" w14:textId="77777777" w:rsidR="008470F1" w:rsidRDefault="008470F1">
      <w:pPr>
        <w:spacing w:after="0" w:line="240" w:lineRule="auto"/>
      </w:pPr>
      <w:r>
        <w:separator/>
      </w:r>
    </w:p>
  </w:footnote>
  <w:footnote w:type="continuationSeparator" w:id="0">
    <w:p w14:paraId="5271B374" w14:textId="77777777" w:rsidR="008470F1" w:rsidRDefault="00847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B377" w14:textId="77777777" w:rsidR="00D87D07" w:rsidRDefault="00D87D07">
    <w:pPr>
      <w:pStyle w:val="Header"/>
      <w:rPr>
        <w:sz w:val="18"/>
        <w:szCs w:val="18"/>
      </w:rPr>
    </w:pPr>
  </w:p>
  <w:p w14:paraId="5271B378" w14:textId="77777777" w:rsidR="00D87D07" w:rsidRPr="00ED2123" w:rsidRDefault="00D87D0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2">
    <w:nsid w:val="07CD7A83"/>
    <w:multiLevelType w:val="hybridMultilevel"/>
    <w:tmpl w:val="8422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4">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84284"/>
    <w:multiLevelType w:val="hybridMultilevel"/>
    <w:tmpl w:val="0326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9">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914F1C"/>
    <w:multiLevelType w:val="hybridMultilevel"/>
    <w:tmpl w:val="3CB41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DA4433"/>
    <w:multiLevelType w:val="hybridMultilevel"/>
    <w:tmpl w:val="271C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2636E1"/>
    <w:multiLevelType w:val="hybridMultilevel"/>
    <w:tmpl w:val="ECD4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21">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793F15"/>
    <w:multiLevelType w:val="hybridMultilevel"/>
    <w:tmpl w:val="88B2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nsid w:val="4C2322FB"/>
    <w:multiLevelType w:val="hybridMultilevel"/>
    <w:tmpl w:val="5D9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A342B0"/>
    <w:multiLevelType w:val="hybridMultilevel"/>
    <w:tmpl w:val="493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9">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30">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2">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3">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34">
    <w:nsid w:val="593052CB"/>
    <w:multiLevelType w:val="hybridMultilevel"/>
    <w:tmpl w:val="B2F0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E67CFC"/>
    <w:multiLevelType w:val="hybridMultilevel"/>
    <w:tmpl w:val="24C0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37">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38">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43">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4">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6">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7">
    <w:nsid w:val="762E1B2F"/>
    <w:multiLevelType w:val="hybridMultilevel"/>
    <w:tmpl w:val="392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9">
    <w:nsid w:val="7C116600"/>
    <w:multiLevelType w:val="hybridMultilevel"/>
    <w:tmpl w:val="D48A7024"/>
    <w:lvl w:ilvl="0" w:tplc="7FA2E47A">
      <w:start w:val="1"/>
      <w:numFmt w:val="decimal"/>
      <w:lvlText w:val="%1."/>
      <w:lvlJc w:val="left"/>
      <w:pPr>
        <w:ind w:left="720" w:hanging="360"/>
      </w:pPr>
      <w:rPr>
        <w:rFonts w:hint="default"/>
        <w:b/>
        <w:i w:val="0"/>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8"/>
  </w:num>
  <w:num w:numId="2">
    <w:abstractNumId w:val="31"/>
  </w:num>
  <w:num w:numId="3">
    <w:abstractNumId w:val="46"/>
  </w:num>
  <w:num w:numId="4">
    <w:abstractNumId w:val="32"/>
  </w:num>
  <w:num w:numId="5">
    <w:abstractNumId w:val="25"/>
  </w:num>
  <w:num w:numId="6">
    <w:abstractNumId w:val="43"/>
  </w:num>
  <w:num w:numId="7">
    <w:abstractNumId w:val="48"/>
  </w:num>
  <w:num w:numId="8">
    <w:abstractNumId w:val="50"/>
  </w:num>
  <w:num w:numId="9">
    <w:abstractNumId w:val="45"/>
  </w:num>
  <w:num w:numId="10">
    <w:abstractNumId w:val="15"/>
  </w:num>
  <w:num w:numId="11">
    <w:abstractNumId w:val="4"/>
  </w:num>
  <w:num w:numId="12">
    <w:abstractNumId w:val="13"/>
  </w:num>
  <w:num w:numId="13">
    <w:abstractNumId w:val="11"/>
  </w:num>
  <w:num w:numId="14">
    <w:abstractNumId w:val="6"/>
  </w:num>
  <w:num w:numId="15">
    <w:abstractNumId w:val="40"/>
  </w:num>
  <w:num w:numId="16">
    <w:abstractNumId w:val="5"/>
  </w:num>
  <w:num w:numId="17">
    <w:abstractNumId w:val="41"/>
  </w:num>
  <w:num w:numId="18">
    <w:abstractNumId w:val="12"/>
  </w:num>
  <w:num w:numId="19">
    <w:abstractNumId w:val="21"/>
  </w:num>
  <w:num w:numId="20">
    <w:abstractNumId w:val="9"/>
  </w:num>
  <w:num w:numId="21">
    <w:abstractNumId w:val="14"/>
  </w:num>
  <w:num w:numId="22">
    <w:abstractNumId w:val="24"/>
  </w:num>
  <w:num w:numId="23">
    <w:abstractNumId w:val="44"/>
  </w:num>
  <w:num w:numId="24">
    <w:abstractNumId w:val="39"/>
  </w:num>
  <w:num w:numId="25">
    <w:abstractNumId w:val="16"/>
  </w:num>
  <w:num w:numId="26">
    <w:abstractNumId w:val="30"/>
  </w:num>
  <w:num w:numId="27">
    <w:abstractNumId w:val="17"/>
  </w:num>
  <w:num w:numId="28">
    <w:abstractNumId w:val="23"/>
  </w:num>
  <w:num w:numId="29">
    <w:abstractNumId w:val="37"/>
  </w:num>
  <w:num w:numId="30">
    <w:abstractNumId w:val="49"/>
  </w:num>
  <w:num w:numId="31">
    <w:abstractNumId w:val="33"/>
  </w:num>
  <w:num w:numId="32">
    <w:abstractNumId w:val="42"/>
  </w:num>
  <w:num w:numId="33">
    <w:abstractNumId w:val="28"/>
  </w:num>
  <w:num w:numId="34">
    <w:abstractNumId w:val="36"/>
  </w:num>
  <w:num w:numId="35">
    <w:abstractNumId w:val="20"/>
  </w:num>
  <w:num w:numId="36">
    <w:abstractNumId w:val="3"/>
  </w:num>
  <w:num w:numId="37">
    <w:abstractNumId w:val="8"/>
  </w:num>
  <w:num w:numId="38">
    <w:abstractNumId w:val="29"/>
  </w:num>
  <w:num w:numId="39">
    <w:abstractNumId w:val="1"/>
  </w:num>
  <w:num w:numId="40">
    <w:abstractNumId w:val="35"/>
  </w:num>
  <w:num w:numId="41">
    <w:abstractNumId w:val="7"/>
  </w:num>
  <w:num w:numId="42">
    <w:abstractNumId w:val="2"/>
  </w:num>
  <w:num w:numId="43">
    <w:abstractNumId w:val="47"/>
  </w:num>
  <w:num w:numId="44">
    <w:abstractNumId w:val="27"/>
  </w:num>
  <w:num w:numId="45">
    <w:abstractNumId w:val="34"/>
  </w:num>
  <w:num w:numId="46">
    <w:abstractNumId w:val="10"/>
  </w:num>
  <w:num w:numId="47">
    <w:abstractNumId w:val="18"/>
  </w:num>
  <w:num w:numId="48">
    <w:abstractNumId w:val="19"/>
  </w:num>
  <w:num w:numId="49">
    <w:abstractNumId w:val="26"/>
  </w:num>
  <w:num w:numId="5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255A"/>
    <w:rsid w:val="00007DA4"/>
    <w:rsid w:val="00014E36"/>
    <w:rsid w:val="00017022"/>
    <w:rsid w:val="000225BA"/>
    <w:rsid w:val="0002336F"/>
    <w:rsid w:val="00024DD6"/>
    <w:rsid w:val="00026C80"/>
    <w:rsid w:val="00030C2C"/>
    <w:rsid w:val="00032054"/>
    <w:rsid w:val="000328E3"/>
    <w:rsid w:val="00034371"/>
    <w:rsid w:val="0003575B"/>
    <w:rsid w:val="0003735C"/>
    <w:rsid w:val="00037CDC"/>
    <w:rsid w:val="00037D98"/>
    <w:rsid w:val="00042252"/>
    <w:rsid w:val="000423C3"/>
    <w:rsid w:val="00046FD1"/>
    <w:rsid w:val="00050278"/>
    <w:rsid w:val="00052126"/>
    <w:rsid w:val="00052A60"/>
    <w:rsid w:val="000551F2"/>
    <w:rsid w:val="000568E5"/>
    <w:rsid w:val="000615B0"/>
    <w:rsid w:val="000701AB"/>
    <w:rsid w:val="000744EF"/>
    <w:rsid w:val="00075ABC"/>
    <w:rsid w:val="00081AF6"/>
    <w:rsid w:val="00083CB4"/>
    <w:rsid w:val="00092809"/>
    <w:rsid w:val="00093B2C"/>
    <w:rsid w:val="00097805"/>
    <w:rsid w:val="000A1804"/>
    <w:rsid w:val="000A68F9"/>
    <w:rsid w:val="000A6D16"/>
    <w:rsid w:val="000A7F3E"/>
    <w:rsid w:val="000B2DE8"/>
    <w:rsid w:val="000B3468"/>
    <w:rsid w:val="000C05A5"/>
    <w:rsid w:val="000C228B"/>
    <w:rsid w:val="000C51A0"/>
    <w:rsid w:val="000C60DE"/>
    <w:rsid w:val="000D0B99"/>
    <w:rsid w:val="000D1AEB"/>
    <w:rsid w:val="000D2C0A"/>
    <w:rsid w:val="000D65F8"/>
    <w:rsid w:val="000D742B"/>
    <w:rsid w:val="000E2D39"/>
    <w:rsid w:val="000E4A9F"/>
    <w:rsid w:val="000E5A24"/>
    <w:rsid w:val="000E5F00"/>
    <w:rsid w:val="000E6B6A"/>
    <w:rsid w:val="000F3983"/>
    <w:rsid w:val="000F3E02"/>
    <w:rsid w:val="000F42AD"/>
    <w:rsid w:val="000F70D2"/>
    <w:rsid w:val="00101AD6"/>
    <w:rsid w:val="00107A24"/>
    <w:rsid w:val="00112D59"/>
    <w:rsid w:val="00116045"/>
    <w:rsid w:val="0011666B"/>
    <w:rsid w:val="001223AF"/>
    <w:rsid w:val="0012738A"/>
    <w:rsid w:val="0013530E"/>
    <w:rsid w:val="0014341F"/>
    <w:rsid w:val="00143686"/>
    <w:rsid w:val="00144343"/>
    <w:rsid w:val="001453DE"/>
    <w:rsid w:val="001467E0"/>
    <w:rsid w:val="00147975"/>
    <w:rsid w:val="00150B6C"/>
    <w:rsid w:val="00155228"/>
    <w:rsid w:val="001603D5"/>
    <w:rsid w:val="00165F5F"/>
    <w:rsid w:val="00166F32"/>
    <w:rsid w:val="00170112"/>
    <w:rsid w:val="0017095E"/>
    <w:rsid w:val="001737D3"/>
    <w:rsid w:val="00173A55"/>
    <w:rsid w:val="00173E2F"/>
    <w:rsid w:val="0017439C"/>
    <w:rsid w:val="00174746"/>
    <w:rsid w:val="00180399"/>
    <w:rsid w:val="00185589"/>
    <w:rsid w:val="0018566C"/>
    <w:rsid w:val="00187B91"/>
    <w:rsid w:val="0019397F"/>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2A7F"/>
    <w:rsid w:val="002248F1"/>
    <w:rsid w:val="002253F7"/>
    <w:rsid w:val="00225F7C"/>
    <w:rsid w:val="00226232"/>
    <w:rsid w:val="00227180"/>
    <w:rsid w:val="00232712"/>
    <w:rsid w:val="0023392A"/>
    <w:rsid w:val="00236099"/>
    <w:rsid w:val="0023669B"/>
    <w:rsid w:val="0024205F"/>
    <w:rsid w:val="00255132"/>
    <w:rsid w:val="002648AA"/>
    <w:rsid w:val="002679D9"/>
    <w:rsid w:val="002705F9"/>
    <w:rsid w:val="002717AA"/>
    <w:rsid w:val="0027488F"/>
    <w:rsid w:val="002801FD"/>
    <w:rsid w:val="00283919"/>
    <w:rsid w:val="0028464A"/>
    <w:rsid w:val="00292E6E"/>
    <w:rsid w:val="00295A21"/>
    <w:rsid w:val="002A53A4"/>
    <w:rsid w:val="002A5680"/>
    <w:rsid w:val="002A673A"/>
    <w:rsid w:val="002A6B80"/>
    <w:rsid w:val="002A7906"/>
    <w:rsid w:val="002B5C2C"/>
    <w:rsid w:val="002B67F6"/>
    <w:rsid w:val="002C02C4"/>
    <w:rsid w:val="002C093B"/>
    <w:rsid w:val="002C1A68"/>
    <w:rsid w:val="002C26F1"/>
    <w:rsid w:val="002D44DA"/>
    <w:rsid w:val="002D786E"/>
    <w:rsid w:val="002E061F"/>
    <w:rsid w:val="002E1692"/>
    <w:rsid w:val="002E23E9"/>
    <w:rsid w:val="002E3DC8"/>
    <w:rsid w:val="002E7551"/>
    <w:rsid w:val="002E7FA4"/>
    <w:rsid w:val="002F017A"/>
    <w:rsid w:val="002F0F6D"/>
    <w:rsid w:val="002F156A"/>
    <w:rsid w:val="002F5B95"/>
    <w:rsid w:val="0030042C"/>
    <w:rsid w:val="003023EB"/>
    <w:rsid w:val="00306114"/>
    <w:rsid w:val="00306208"/>
    <w:rsid w:val="00307B5D"/>
    <w:rsid w:val="00311CAC"/>
    <w:rsid w:val="0031223D"/>
    <w:rsid w:val="00312459"/>
    <w:rsid w:val="00312956"/>
    <w:rsid w:val="0031379B"/>
    <w:rsid w:val="00314A09"/>
    <w:rsid w:val="0031691C"/>
    <w:rsid w:val="00320395"/>
    <w:rsid w:val="00320F96"/>
    <w:rsid w:val="0032103C"/>
    <w:rsid w:val="00323CE8"/>
    <w:rsid w:val="00327933"/>
    <w:rsid w:val="00337BD2"/>
    <w:rsid w:val="003402AA"/>
    <w:rsid w:val="00344222"/>
    <w:rsid w:val="00345D6C"/>
    <w:rsid w:val="003507ED"/>
    <w:rsid w:val="00352D9C"/>
    <w:rsid w:val="00353D85"/>
    <w:rsid w:val="00353E83"/>
    <w:rsid w:val="00354731"/>
    <w:rsid w:val="003559C0"/>
    <w:rsid w:val="0035744E"/>
    <w:rsid w:val="00361A5B"/>
    <w:rsid w:val="0036531B"/>
    <w:rsid w:val="00367E63"/>
    <w:rsid w:val="00372BAA"/>
    <w:rsid w:val="003739E9"/>
    <w:rsid w:val="00374DAC"/>
    <w:rsid w:val="00374FDF"/>
    <w:rsid w:val="003811B9"/>
    <w:rsid w:val="00386344"/>
    <w:rsid w:val="00387008"/>
    <w:rsid w:val="0039156C"/>
    <w:rsid w:val="003918B3"/>
    <w:rsid w:val="003942AC"/>
    <w:rsid w:val="00394329"/>
    <w:rsid w:val="00394346"/>
    <w:rsid w:val="003A366A"/>
    <w:rsid w:val="003B013D"/>
    <w:rsid w:val="003B06D5"/>
    <w:rsid w:val="003B14C5"/>
    <w:rsid w:val="003B34CF"/>
    <w:rsid w:val="003C798A"/>
    <w:rsid w:val="003D1475"/>
    <w:rsid w:val="003D1587"/>
    <w:rsid w:val="003D37E6"/>
    <w:rsid w:val="003D4776"/>
    <w:rsid w:val="003D5011"/>
    <w:rsid w:val="003D686C"/>
    <w:rsid w:val="003E0D04"/>
    <w:rsid w:val="003E1AAE"/>
    <w:rsid w:val="003E2779"/>
    <w:rsid w:val="003E32AF"/>
    <w:rsid w:val="003F2F60"/>
    <w:rsid w:val="003F309E"/>
    <w:rsid w:val="0040761E"/>
    <w:rsid w:val="0041268A"/>
    <w:rsid w:val="00416EDE"/>
    <w:rsid w:val="00424C82"/>
    <w:rsid w:val="00426B51"/>
    <w:rsid w:val="00431D5F"/>
    <w:rsid w:val="00436033"/>
    <w:rsid w:val="00442D97"/>
    <w:rsid w:val="00443EEF"/>
    <w:rsid w:val="00446D15"/>
    <w:rsid w:val="00453CD4"/>
    <w:rsid w:val="00457F6D"/>
    <w:rsid w:val="0046032B"/>
    <w:rsid w:val="004604F5"/>
    <w:rsid w:val="00466CE3"/>
    <w:rsid w:val="00473315"/>
    <w:rsid w:val="00474F9B"/>
    <w:rsid w:val="00475337"/>
    <w:rsid w:val="00481ACF"/>
    <w:rsid w:val="00491A35"/>
    <w:rsid w:val="00491D90"/>
    <w:rsid w:val="0049389F"/>
    <w:rsid w:val="00496A48"/>
    <w:rsid w:val="00497432"/>
    <w:rsid w:val="004A35AD"/>
    <w:rsid w:val="004B0E26"/>
    <w:rsid w:val="004B2020"/>
    <w:rsid w:val="004B2825"/>
    <w:rsid w:val="004B695A"/>
    <w:rsid w:val="004B69B8"/>
    <w:rsid w:val="004C2A58"/>
    <w:rsid w:val="004C34CD"/>
    <w:rsid w:val="004C3573"/>
    <w:rsid w:val="004C37E8"/>
    <w:rsid w:val="004C4524"/>
    <w:rsid w:val="004C6BA6"/>
    <w:rsid w:val="004C76CB"/>
    <w:rsid w:val="004C7FCA"/>
    <w:rsid w:val="004D4CBA"/>
    <w:rsid w:val="004D6875"/>
    <w:rsid w:val="004D68F9"/>
    <w:rsid w:val="004E0D4C"/>
    <w:rsid w:val="004E61B9"/>
    <w:rsid w:val="004F262A"/>
    <w:rsid w:val="004F2672"/>
    <w:rsid w:val="004F3586"/>
    <w:rsid w:val="004F4615"/>
    <w:rsid w:val="004F551D"/>
    <w:rsid w:val="004F5D6B"/>
    <w:rsid w:val="004F78BE"/>
    <w:rsid w:val="00503AC3"/>
    <w:rsid w:val="005065C7"/>
    <w:rsid w:val="00507646"/>
    <w:rsid w:val="005108C6"/>
    <w:rsid w:val="00517A78"/>
    <w:rsid w:val="00521046"/>
    <w:rsid w:val="005214D1"/>
    <w:rsid w:val="0052371D"/>
    <w:rsid w:val="005409E3"/>
    <w:rsid w:val="005420E0"/>
    <w:rsid w:val="00542D82"/>
    <w:rsid w:val="00551E85"/>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90F1D"/>
    <w:rsid w:val="005926E0"/>
    <w:rsid w:val="00592B56"/>
    <w:rsid w:val="005941F6"/>
    <w:rsid w:val="00594D12"/>
    <w:rsid w:val="00595239"/>
    <w:rsid w:val="005A314D"/>
    <w:rsid w:val="005A323D"/>
    <w:rsid w:val="005B1D7C"/>
    <w:rsid w:val="005B5868"/>
    <w:rsid w:val="005C2BD1"/>
    <w:rsid w:val="005C3028"/>
    <w:rsid w:val="005C478A"/>
    <w:rsid w:val="005C4C50"/>
    <w:rsid w:val="005C56F1"/>
    <w:rsid w:val="005D07F3"/>
    <w:rsid w:val="005D0D38"/>
    <w:rsid w:val="005D0EF7"/>
    <w:rsid w:val="005D1984"/>
    <w:rsid w:val="005E6733"/>
    <w:rsid w:val="005F0290"/>
    <w:rsid w:val="005F10E0"/>
    <w:rsid w:val="005F28E8"/>
    <w:rsid w:val="005F4373"/>
    <w:rsid w:val="006020DB"/>
    <w:rsid w:val="00602C11"/>
    <w:rsid w:val="00604794"/>
    <w:rsid w:val="00606340"/>
    <w:rsid w:val="00612154"/>
    <w:rsid w:val="00612622"/>
    <w:rsid w:val="00614E58"/>
    <w:rsid w:val="006211B9"/>
    <w:rsid w:val="006255FB"/>
    <w:rsid w:val="0062765B"/>
    <w:rsid w:val="00627EC8"/>
    <w:rsid w:val="00633799"/>
    <w:rsid w:val="0064715C"/>
    <w:rsid w:val="006522E7"/>
    <w:rsid w:val="006657CD"/>
    <w:rsid w:val="00665A65"/>
    <w:rsid w:val="00665F7F"/>
    <w:rsid w:val="0067308A"/>
    <w:rsid w:val="00674EEA"/>
    <w:rsid w:val="00676077"/>
    <w:rsid w:val="00676792"/>
    <w:rsid w:val="00677147"/>
    <w:rsid w:val="006806B1"/>
    <w:rsid w:val="006810E8"/>
    <w:rsid w:val="006846AC"/>
    <w:rsid w:val="006904D1"/>
    <w:rsid w:val="00694CBC"/>
    <w:rsid w:val="00695C15"/>
    <w:rsid w:val="00696B3E"/>
    <w:rsid w:val="00697FED"/>
    <w:rsid w:val="006A0DC9"/>
    <w:rsid w:val="006A1A6E"/>
    <w:rsid w:val="006A26A0"/>
    <w:rsid w:val="006B1A71"/>
    <w:rsid w:val="006B1E56"/>
    <w:rsid w:val="006B262E"/>
    <w:rsid w:val="006B3516"/>
    <w:rsid w:val="006B36BF"/>
    <w:rsid w:val="006B4543"/>
    <w:rsid w:val="006B4F12"/>
    <w:rsid w:val="006B56D8"/>
    <w:rsid w:val="006B640E"/>
    <w:rsid w:val="006B7CB0"/>
    <w:rsid w:val="006C292F"/>
    <w:rsid w:val="006C2934"/>
    <w:rsid w:val="006C50F0"/>
    <w:rsid w:val="006D4EB1"/>
    <w:rsid w:val="006D5D8B"/>
    <w:rsid w:val="006E4401"/>
    <w:rsid w:val="006E68C8"/>
    <w:rsid w:val="006E698B"/>
    <w:rsid w:val="006F2DEB"/>
    <w:rsid w:val="006F41D7"/>
    <w:rsid w:val="006F5B2A"/>
    <w:rsid w:val="006F7CE9"/>
    <w:rsid w:val="00700002"/>
    <w:rsid w:val="00703DDF"/>
    <w:rsid w:val="00706D64"/>
    <w:rsid w:val="00712242"/>
    <w:rsid w:val="00721455"/>
    <w:rsid w:val="007355BC"/>
    <w:rsid w:val="00742F1C"/>
    <w:rsid w:val="007455FD"/>
    <w:rsid w:val="00745D52"/>
    <w:rsid w:val="00746FCA"/>
    <w:rsid w:val="00751874"/>
    <w:rsid w:val="0075193E"/>
    <w:rsid w:val="0075214B"/>
    <w:rsid w:val="007522AA"/>
    <w:rsid w:val="00752E65"/>
    <w:rsid w:val="0075679B"/>
    <w:rsid w:val="00762FF6"/>
    <w:rsid w:val="007641B0"/>
    <w:rsid w:val="0076500E"/>
    <w:rsid w:val="00765BAF"/>
    <w:rsid w:val="0077436C"/>
    <w:rsid w:val="00775647"/>
    <w:rsid w:val="00780523"/>
    <w:rsid w:val="00780E7C"/>
    <w:rsid w:val="007826D8"/>
    <w:rsid w:val="00791D41"/>
    <w:rsid w:val="007A025C"/>
    <w:rsid w:val="007A4F6E"/>
    <w:rsid w:val="007A53B1"/>
    <w:rsid w:val="007A79F4"/>
    <w:rsid w:val="007B1E0E"/>
    <w:rsid w:val="007C4A25"/>
    <w:rsid w:val="007C6340"/>
    <w:rsid w:val="007D5511"/>
    <w:rsid w:val="007D5F89"/>
    <w:rsid w:val="007E20C5"/>
    <w:rsid w:val="007E2AEC"/>
    <w:rsid w:val="007E3BB0"/>
    <w:rsid w:val="007E6044"/>
    <w:rsid w:val="007E67F9"/>
    <w:rsid w:val="007E69C3"/>
    <w:rsid w:val="007F3629"/>
    <w:rsid w:val="008007BC"/>
    <w:rsid w:val="00801272"/>
    <w:rsid w:val="00801D0B"/>
    <w:rsid w:val="008052F1"/>
    <w:rsid w:val="008064A6"/>
    <w:rsid w:val="00815AF9"/>
    <w:rsid w:val="0082090B"/>
    <w:rsid w:val="008240DE"/>
    <w:rsid w:val="00826F47"/>
    <w:rsid w:val="008308F0"/>
    <w:rsid w:val="00830E06"/>
    <w:rsid w:val="00831DE1"/>
    <w:rsid w:val="00832B88"/>
    <w:rsid w:val="008340FA"/>
    <w:rsid w:val="008341F0"/>
    <w:rsid w:val="00837F2B"/>
    <w:rsid w:val="00840BE2"/>
    <w:rsid w:val="00841DF7"/>
    <w:rsid w:val="00842296"/>
    <w:rsid w:val="008470F1"/>
    <w:rsid w:val="008564C4"/>
    <w:rsid w:val="00873220"/>
    <w:rsid w:val="00874B27"/>
    <w:rsid w:val="00875B03"/>
    <w:rsid w:val="00877B95"/>
    <w:rsid w:val="00877C0B"/>
    <w:rsid w:val="00885E07"/>
    <w:rsid w:val="008878D2"/>
    <w:rsid w:val="00892ED7"/>
    <w:rsid w:val="00895C16"/>
    <w:rsid w:val="008967BD"/>
    <w:rsid w:val="008A0F2A"/>
    <w:rsid w:val="008A533C"/>
    <w:rsid w:val="008B0531"/>
    <w:rsid w:val="008B4648"/>
    <w:rsid w:val="008B5CEC"/>
    <w:rsid w:val="008B7264"/>
    <w:rsid w:val="008B7469"/>
    <w:rsid w:val="008C35AB"/>
    <w:rsid w:val="008C5FCF"/>
    <w:rsid w:val="008C648D"/>
    <w:rsid w:val="008D5294"/>
    <w:rsid w:val="008D6E46"/>
    <w:rsid w:val="008E3CAB"/>
    <w:rsid w:val="008E60CF"/>
    <w:rsid w:val="008E6553"/>
    <w:rsid w:val="008E663F"/>
    <w:rsid w:val="008E6961"/>
    <w:rsid w:val="008F4648"/>
    <w:rsid w:val="008F514A"/>
    <w:rsid w:val="00901980"/>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6558C"/>
    <w:rsid w:val="009724B0"/>
    <w:rsid w:val="00972C54"/>
    <w:rsid w:val="00975D27"/>
    <w:rsid w:val="00980628"/>
    <w:rsid w:val="00980635"/>
    <w:rsid w:val="00981BE5"/>
    <w:rsid w:val="00990B5E"/>
    <w:rsid w:val="00993EAB"/>
    <w:rsid w:val="00994880"/>
    <w:rsid w:val="00994D19"/>
    <w:rsid w:val="009A343C"/>
    <w:rsid w:val="009B2BF4"/>
    <w:rsid w:val="009B36E2"/>
    <w:rsid w:val="009C0FFD"/>
    <w:rsid w:val="009C16BB"/>
    <w:rsid w:val="009C27DD"/>
    <w:rsid w:val="009C509A"/>
    <w:rsid w:val="009D047E"/>
    <w:rsid w:val="009D4938"/>
    <w:rsid w:val="009D7BF5"/>
    <w:rsid w:val="009E4E07"/>
    <w:rsid w:val="009E5FD0"/>
    <w:rsid w:val="009E60A4"/>
    <w:rsid w:val="009E6AC5"/>
    <w:rsid w:val="009F14D6"/>
    <w:rsid w:val="009F279E"/>
    <w:rsid w:val="00A023EB"/>
    <w:rsid w:val="00A02FEB"/>
    <w:rsid w:val="00A03042"/>
    <w:rsid w:val="00A06B4E"/>
    <w:rsid w:val="00A10665"/>
    <w:rsid w:val="00A11157"/>
    <w:rsid w:val="00A135FF"/>
    <w:rsid w:val="00A1539F"/>
    <w:rsid w:val="00A20AB9"/>
    <w:rsid w:val="00A21FB6"/>
    <w:rsid w:val="00A22FD0"/>
    <w:rsid w:val="00A23C5C"/>
    <w:rsid w:val="00A262BD"/>
    <w:rsid w:val="00A26E3B"/>
    <w:rsid w:val="00A271D6"/>
    <w:rsid w:val="00A34312"/>
    <w:rsid w:val="00A37BF2"/>
    <w:rsid w:val="00A44601"/>
    <w:rsid w:val="00A51AC5"/>
    <w:rsid w:val="00A51B0F"/>
    <w:rsid w:val="00A55954"/>
    <w:rsid w:val="00A6050C"/>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473C"/>
    <w:rsid w:val="00AA7CA7"/>
    <w:rsid w:val="00AA7FC7"/>
    <w:rsid w:val="00AB0A31"/>
    <w:rsid w:val="00AB1D59"/>
    <w:rsid w:val="00AB26C6"/>
    <w:rsid w:val="00AB2C51"/>
    <w:rsid w:val="00AB3901"/>
    <w:rsid w:val="00AC35E9"/>
    <w:rsid w:val="00AC6935"/>
    <w:rsid w:val="00AC6A20"/>
    <w:rsid w:val="00AC71AD"/>
    <w:rsid w:val="00AC78CB"/>
    <w:rsid w:val="00AD199B"/>
    <w:rsid w:val="00AD288F"/>
    <w:rsid w:val="00AD3704"/>
    <w:rsid w:val="00AD3968"/>
    <w:rsid w:val="00AE30D9"/>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5BCE"/>
    <w:rsid w:val="00B42E5F"/>
    <w:rsid w:val="00B43AEA"/>
    <w:rsid w:val="00B43E13"/>
    <w:rsid w:val="00B44438"/>
    <w:rsid w:val="00B51DF5"/>
    <w:rsid w:val="00B54895"/>
    <w:rsid w:val="00B6296F"/>
    <w:rsid w:val="00B652FE"/>
    <w:rsid w:val="00B65EEC"/>
    <w:rsid w:val="00B66553"/>
    <w:rsid w:val="00B7278A"/>
    <w:rsid w:val="00B72FDA"/>
    <w:rsid w:val="00B731F0"/>
    <w:rsid w:val="00B74DBD"/>
    <w:rsid w:val="00B7551F"/>
    <w:rsid w:val="00B76A3A"/>
    <w:rsid w:val="00B7734C"/>
    <w:rsid w:val="00B80495"/>
    <w:rsid w:val="00B87220"/>
    <w:rsid w:val="00B90D46"/>
    <w:rsid w:val="00B94095"/>
    <w:rsid w:val="00B947D5"/>
    <w:rsid w:val="00BA0194"/>
    <w:rsid w:val="00BA494C"/>
    <w:rsid w:val="00BA52B0"/>
    <w:rsid w:val="00BB1F9B"/>
    <w:rsid w:val="00BB62D4"/>
    <w:rsid w:val="00BC0E42"/>
    <w:rsid w:val="00BC1A8B"/>
    <w:rsid w:val="00BC454A"/>
    <w:rsid w:val="00BD45B9"/>
    <w:rsid w:val="00BD7218"/>
    <w:rsid w:val="00BE2842"/>
    <w:rsid w:val="00BF042A"/>
    <w:rsid w:val="00BF18CB"/>
    <w:rsid w:val="00BF32BF"/>
    <w:rsid w:val="00BF360C"/>
    <w:rsid w:val="00BF3D87"/>
    <w:rsid w:val="00BF5F0F"/>
    <w:rsid w:val="00C050F3"/>
    <w:rsid w:val="00C10A79"/>
    <w:rsid w:val="00C10BCD"/>
    <w:rsid w:val="00C1318A"/>
    <w:rsid w:val="00C1490D"/>
    <w:rsid w:val="00C14B81"/>
    <w:rsid w:val="00C23D76"/>
    <w:rsid w:val="00C2461A"/>
    <w:rsid w:val="00C25CD2"/>
    <w:rsid w:val="00C31D08"/>
    <w:rsid w:val="00C333B3"/>
    <w:rsid w:val="00C33550"/>
    <w:rsid w:val="00C33DD9"/>
    <w:rsid w:val="00C362F6"/>
    <w:rsid w:val="00C36B34"/>
    <w:rsid w:val="00C37185"/>
    <w:rsid w:val="00C4368E"/>
    <w:rsid w:val="00C4631D"/>
    <w:rsid w:val="00C532C2"/>
    <w:rsid w:val="00C53915"/>
    <w:rsid w:val="00C56076"/>
    <w:rsid w:val="00C56F67"/>
    <w:rsid w:val="00C606C1"/>
    <w:rsid w:val="00C63B05"/>
    <w:rsid w:val="00C64909"/>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7BBA"/>
    <w:rsid w:val="00CC0149"/>
    <w:rsid w:val="00CD05E9"/>
    <w:rsid w:val="00CD37EF"/>
    <w:rsid w:val="00CD481A"/>
    <w:rsid w:val="00CE24E4"/>
    <w:rsid w:val="00CE3A22"/>
    <w:rsid w:val="00CE3AFE"/>
    <w:rsid w:val="00CE71B7"/>
    <w:rsid w:val="00CF3100"/>
    <w:rsid w:val="00CF4060"/>
    <w:rsid w:val="00D04A80"/>
    <w:rsid w:val="00D06820"/>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62356"/>
    <w:rsid w:val="00D7462B"/>
    <w:rsid w:val="00D779D5"/>
    <w:rsid w:val="00D77CF6"/>
    <w:rsid w:val="00D82B92"/>
    <w:rsid w:val="00D83719"/>
    <w:rsid w:val="00D87419"/>
    <w:rsid w:val="00D87D07"/>
    <w:rsid w:val="00D87DD1"/>
    <w:rsid w:val="00D91DB4"/>
    <w:rsid w:val="00D93EC4"/>
    <w:rsid w:val="00D9440D"/>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998"/>
    <w:rsid w:val="00DC7363"/>
    <w:rsid w:val="00DD079D"/>
    <w:rsid w:val="00DD0FF2"/>
    <w:rsid w:val="00DD4053"/>
    <w:rsid w:val="00DD4CC3"/>
    <w:rsid w:val="00DD575B"/>
    <w:rsid w:val="00DD719B"/>
    <w:rsid w:val="00DE075F"/>
    <w:rsid w:val="00DE7249"/>
    <w:rsid w:val="00DE7778"/>
    <w:rsid w:val="00DF2005"/>
    <w:rsid w:val="00DF35D7"/>
    <w:rsid w:val="00DF5CC8"/>
    <w:rsid w:val="00E07CFD"/>
    <w:rsid w:val="00E108B1"/>
    <w:rsid w:val="00E11AD2"/>
    <w:rsid w:val="00E12E4D"/>
    <w:rsid w:val="00E148DA"/>
    <w:rsid w:val="00E162C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1311"/>
    <w:rsid w:val="00E8252A"/>
    <w:rsid w:val="00E83A0B"/>
    <w:rsid w:val="00E84A10"/>
    <w:rsid w:val="00E84C03"/>
    <w:rsid w:val="00E85331"/>
    <w:rsid w:val="00E8757D"/>
    <w:rsid w:val="00E94BCB"/>
    <w:rsid w:val="00EA0243"/>
    <w:rsid w:val="00EA1859"/>
    <w:rsid w:val="00EA2EF0"/>
    <w:rsid w:val="00EA526C"/>
    <w:rsid w:val="00EA671C"/>
    <w:rsid w:val="00EB25D9"/>
    <w:rsid w:val="00EB3830"/>
    <w:rsid w:val="00EB6868"/>
    <w:rsid w:val="00EB75B9"/>
    <w:rsid w:val="00EC2056"/>
    <w:rsid w:val="00EC26D9"/>
    <w:rsid w:val="00EC4F18"/>
    <w:rsid w:val="00EC524C"/>
    <w:rsid w:val="00ED1AA0"/>
    <w:rsid w:val="00ED2123"/>
    <w:rsid w:val="00ED316F"/>
    <w:rsid w:val="00ED41F8"/>
    <w:rsid w:val="00EE0C22"/>
    <w:rsid w:val="00EE11EB"/>
    <w:rsid w:val="00EE5D78"/>
    <w:rsid w:val="00EE68BE"/>
    <w:rsid w:val="00EF252F"/>
    <w:rsid w:val="00EF2849"/>
    <w:rsid w:val="00EF7C0B"/>
    <w:rsid w:val="00F00E8D"/>
    <w:rsid w:val="00F0583F"/>
    <w:rsid w:val="00F066E5"/>
    <w:rsid w:val="00F10288"/>
    <w:rsid w:val="00F102F6"/>
    <w:rsid w:val="00F11331"/>
    <w:rsid w:val="00F14AC8"/>
    <w:rsid w:val="00F17E83"/>
    <w:rsid w:val="00F203A0"/>
    <w:rsid w:val="00F20726"/>
    <w:rsid w:val="00F2350E"/>
    <w:rsid w:val="00F25D92"/>
    <w:rsid w:val="00F32AD1"/>
    <w:rsid w:val="00F34040"/>
    <w:rsid w:val="00F37144"/>
    <w:rsid w:val="00F461D2"/>
    <w:rsid w:val="00F47482"/>
    <w:rsid w:val="00F47FAA"/>
    <w:rsid w:val="00F507C8"/>
    <w:rsid w:val="00F513F4"/>
    <w:rsid w:val="00F532D3"/>
    <w:rsid w:val="00F535CC"/>
    <w:rsid w:val="00F56B67"/>
    <w:rsid w:val="00F62562"/>
    <w:rsid w:val="00F66383"/>
    <w:rsid w:val="00F7045E"/>
    <w:rsid w:val="00F75151"/>
    <w:rsid w:val="00F762E5"/>
    <w:rsid w:val="00F805D4"/>
    <w:rsid w:val="00F81073"/>
    <w:rsid w:val="00F81989"/>
    <w:rsid w:val="00F81BFF"/>
    <w:rsid w:val="00F910C3"/>
    <w:rsid w:val="00F923A8"/>
    <w:rsid w:val="00F92DFB"/>
    <w:rsid w:val="00FA06BE"/>
    <w:rsid w:val="00FA0B42"/>
    <w:rsid w:val="00FB3B45"/>
    <w:rsid w:val="00FB480B"/>
    <w:rsid w:val="00FB49CA"/>
    <w:rsid w:val="00FC3F39"/>
    <w:rsid w:val="00FC492B"/>
    <w:rsid w:val="00FC5AEC"/>
    <w:rsid w:val="00FC61C1"/>
    <w:rsid w:val="00FD0726"/>
    <w:rsid w:val="00FD292C"/>
    <w:rsid w:val="00FD2A81"/>
    <w:rsid w:val="00FD53F3"/>
    <w:rsid w:val="00FD73AE"/>
    <w:rsid w:val="00FE0189"/>
    <w:rsid w:val="00FE1957"/>
    <w:rsid w:val="00FE278A"/>
    <w:rsid w:val="00FE55AE"/>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271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879DA9-6667-4F06-98D3-3B04C72F54CC}">
  <ds:schemaRef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4.xml><?xml version="1.0" encoding="utf-8"?>
<ds:datastoreItem xmlns:ds="http://schemas.openxmlformats.org/officeDocument/2006/customXml" ds:itemID="{727BC496-806D-4FE0-90A5-ADC904EF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Browne</cp:lastModifiedBy>
  <cp:revision>2</cp:revision>
  <cp:lastPrinted>2012-05-24T21:00:00Z</cp:lastPrinted>
  <dcterms:created xsi:type="dcterms:W3CDTF">2015-02-11T15:56:00Z</dcterms:created>
  <dcterms:modified xsi:type="dcterms:W3CDTF">2015-02-11T15:56:00Z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