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71B316" w14:textId="77777777"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eastAsia="zh-CN" w:bidi="ar-SA"/>
        </w:rPr>
        <w:drawing>
          <wp:inline distT="0" distB="0" distL="0" distR="0" wp14:anchorId="5271B371" wp14:editId="5271B372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1B317" w14:textId="77777777"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  <w:t xml:space="preserve">The World Bank </w:t>
      </w:r>
    </w:p>
    <w:p w14:paraId="5271B318" w14:textId="77777777" w:rsidR="003E2779" w:rsidRPr="00DD4CC3" w:rsidRDefault="005409E3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14:paraId="5271B319" w14:textId="77777777" w:rsidR="003E2779" w:rsidRPr="00DD4CC3" w:rsidRDefault="003E2779" w:rsidP="003E2779">
      <w:pPr>
        <w:pStyle w:val="Title"/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b/>
          <w:color w:val="17365D" w:themeColor="text2" w:themeShade="BF"/>
          <w:sz w:val="32"/>
          <w:szCs w:val="32"/>
        </w:rPr>
        <w:t>Feedback Summary</w:t>
      </w:r>
    </w:p>
    <w:p w14:paraId="5F7B6F03" w14:textId="660F3EBB" w:rsidR="00A20CDA" w:rsidRPr="00A20CDA" w:rsidRDefault="00A20CDA" w:rsidP="00A20CD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A2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Date: November 6</w:t>
      </w:r>
      <w:r w:rsidR="006B4F5D">
        <w:rPr>
          <w:rFonts w:asciiTheme="majorHAnsi" w:hAnsiTheme="majorHAnsi" w:cs="Times New Roman"/>
          <w:b/>
          <w:bCs/>
          <w:sz w:val="22"/>
          <w:szCs w:val="22"/>
          <w:lang w:val="en-US"/>
        </w:rPr>
        <w:t>-7</w:t>
      </w:r>
      <w:r w:rsidRPr="00A2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, 2014</w:t>
      </w:r>
    </w:p>
    <w:p w14:paraId="1D5EB4FC" w14:textId="77777777" w:rsidR="00A20CDA" w:rsidRPr="00A20CDA" w:rsidRDefault="00A20CDA" w:rsidP="00A20CD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14:paraId="5551FACB" w14:textId="1C7FD534" w:rsidR="00A20CDA" w:rsidRPr="00A20CDA" w:rsidRDefault="00A20CDA" w:rsidP="00A20CD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A2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Country): Tokyo, Japan</w:t>
      </w:r>
    </w:p>
    <w:p w14:paraId="450F1004" w14:textId="77777777" w:rsidR="00A20CDA" w:rsidRPr="00A20CDA" w:rsidRDefault="00A20CDA" w:rsidP="00A20CD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14:paraId="6DE65439" w14:textId="40E95066" w:rsidR="00A20CDA" w:rsidRPr="00A20CDA" w:rsidRDefault="00A20CDA" w:rsidP="00A20CD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A20CDA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A20CDA">
        <w:rPr>
          <w:rFonts w:asciiTheme="majorHAnsi" w:hAnsiTheme="majorHAnsi" w:cs="Times New Roman"/>
          <w:b/>
          <w:sz w:val="22"/>
          <w:szCs w:val="22"/>
          <w:lang w:val="en-US"/>
        </w:rPr>
        <w:t>: 23</w:t>
      </w:r>
    </w:p>
    <w:p w14:paraId="5F3869DD" w14:textId="02B5BDD4" w:rsidR="009263BD" w:rsidRDefault="00A20CDA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color w:val="auto"/>
          <w:sz w:val="22"/>
          <w:szCs w:val="22"/>
        </w:rPr>
      </w:pPr>
      <w:r w:rsidRPr="00A20CDA">
        <w:rPr>
          <w:rFonts w:asciiTheme="majorHAnsi" w:hAnsiTheme="majorHAnsi" w:cs="Times New Roman"/>
          <w:b/>
          <w:color w:val="auto"/>
          <w:sz w:val="22"/>
          <w:szCs w:val="22"/>
        </w:rPr>
        <w:br/>
        <w:t xml:space="preserve">Overview and General Reactions:  </w:t>
      </w:r>
      <w:r w:rsidRPr="00A20CDA">
        <w:rPr>
          <w:rFonts w:asciiTheme="majorHAnsi" w:hAnsiTheme="majorHAnsi" w:cs="Times New Roman"/>
          <w:color w:val="auto"/>
          <w:sz w:val="22"/>
          <w:szCs w:val="22"/>
        </w:rPr>
        <w:t xml:space="preserve">A consultation session with multiple stakeholders took place on </w:t>
      </w:r>
      <w:r w:rsidR="006B4F5D">
        <w:rPr>
          <w:rFonts w:asciiTheme="majorHAnsi" w:hAnsiTheme="majorHAnsi" w:cs="Times New Roman"/>
          <w:color w:val="auto"/>
          <w:sz w:val="22"/>
          <w:szCs w:val="22"/>
        </w:rPr>
        <w:t>November 6-7,</w:t>
      </w:r>
      <w:r w:rsidRPr="00A20CDA">
        <w:rPr>
          <w:rFonts w:asciiTheme="majorHAnsi" w:hAnsiTheme="majorHAnsi" w:cs="Times New Roman"/>
          <w:color w:val="auto"/>
          <w:sz w:val="22"/>
          <w:szCs w:val="22"/>
        </w:rPr>
        <w:t xml:space="preserve"> 2014 </w:t>
      </w:r>
      <w:r w:rsidR="006B4F5D">
        <w:rPr>
          <w:rFonts w:asciiTheme="majorHAnsi" w:hAnsiTheme="majorHAnsi" w:cs="Times New Roman"/>
          <w:color w:val="auto"/>
          <w:sz w:val="22"/>
          <w:szCs w:val="22"/>
        </w:rPr>
        <w:t>in Tokyo, Japan</w:t>
      </w:r>
      <w:r w:rsidRPr="00A20CDA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6B4F5D" w:rsidRPr="00A20CDA">
        <w:rPr>
          <w:rFonts w:asciiTheme="majorHAnsi" w:hAnsiTheme="majorHAnsi"/>
          <w:sz w:val="22"/>
          <w:szCs w:val="22"/>
          <w:lang w:val="en-AU"/>
        </w:rPr>
        <w:t xml:space="preserve">The mission was </w:t>
      </w:r>
      <w:r w:rsidR="006B4F5D">
        <w:rPr>
          <w:rFonts w:asciiTheme="majorHAnsi" w:hAnsiTheme="majorHAnsi"/>
          <w:sz w:val="22"/>
          <w:szCs w:val="22"/>
          <w:lang w:val="en-AU"/>
        </w:rPr>
        <w:t xml:space="preserve">well received; the participants </w:t>
      </w:r>
      <w:r w:rsidR="006B4F5D" w:rsidRPr="00A20CDA">
        <w:rPr>
          <w:rFonts w:asciiTheme="majorHAnsi" w:hAnsiTheme="majorHAnsi"/>
          <w:sz w:val="22"/>
          <w:szCs w:val="22"/>
          <w:lang w:val="en-AU"/>
        </w:rPr>
        <w:t>were supportive of the proposed elements of the procur</w:t>
      </w:r>
      <w:r w:rsidR="006B4F5D">
        <w:rPr>
          <w:rFonts w:asciiTheme="majorHAnsi" w:hAnsiTheme="majorHAnsi"/>
          <w:sz w:val="22"/>
          <w:szCs w:val="22"/>
          <w:lang w:val="en-AU"/>
        </w:rPr>
        <w:t xml:space="preserve">ement policy. The consultations </w:t>
      </w:r>
      <w:r w:rsidR="006B4F5D" w:rsidRPr="00A20CDA">
        <w:rPr>
          <w:rFonts w:asciiTheme="majorHAnsi" w:hAnsiTheme="majorHAnsi"/>
          <w:sz w:val="22"/>
          <w:szCs w:val="22"/>
          <w:lang w:val="en-AU"/>
        </w:rPr>
        <w:t xml:space="preserve">touched on similar points with a particular emphasis on the introduction of Value-for-Money. </w:t>
      </w:r>
      <w:bookmarkStart w:id="0" w:name="_GoBack"/>
      <w:bookmarkEnd w:id="0"/>
      <w:r w:rsidR="006B4F5D" w:rsidRPr="00A20CDA">
        <w:rPr>
          <w:rFonts w:asciiTheme="majorHAnsi" w:hAnsiTheme="majorHAnsi"/>
          <w:sz w:val="22"/>
          <w:szCs w:val="22"/>
          <w:lang w:val="en-AU"/>
        </w:rPr>
        <w:t>We finished the mission with a meeting with the Ministry of Finance who reiterated their support for the reform and indicated they would appreciate regular briefing on the progress.</w:t>
      </w:r>
      <w:r w:rsidR="006B4F5D">
        <w:rPr>
          <w:rFonts w:asciiTheme="majorHAnsi" w:hAnsiTheme="majorHAnsi"/>
          <w:sz w:val="22"/>
          <w:szCs w:val="22"/>
          <w:lang w:val="en-AU"/>
        </w:rPr>
        <w:t xml:space="preserve"> </w:t>
      </w:r>
      <w:r w:rsidRPr="00A20CDA">
        <w:rPr>
          <w:rFonts w:asciiTheme="majorHAnsi" w:hAnsiTheme="majorHAnsi" w:cs="Times New Roman"/>
          <w:color w:val="auto"/>
          <w:sz w:val="22"/>
          <w:szCs w:val="22"/>
        </w:rPr>
        <w:t>Overall, the consultations were successful for the parties involved, with participants leaving anticipating the next phase of the review.</w:t>
      </w:r>
    </w:p>
    <w:p w14:paraId="10E2F836" w14:textId="77777777" w:rsidR="006B4F5D" w:rsidRPr="00A20CDA" w:rsidRDefault="006B4F5D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9263BD" w:rsidRPr="00A20CDA" w14:paraId="44634388" w14:textId="77777777" w:rsidTr="00F457CF"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0EA05813" w14:textId="77777777" w:rsidR="009263BD" w:rsidRPr="00A20CDA" w:rsidRDefault="009263BD" w:rsidP="00CE4351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14:paraId="385F8AF9" w14:textId="77777777" w:rsidR="009263BD" w:rsidRPr="00A20CDA" w:rsidRDefault="009263BD" w:rsidP="00CE4351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9263BD" w:rsidRPr="00A20CDA" w14:paraId="59A52B56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2F22806A" w14:textId="77777777" w:rsidR="009263BD" w:rsidRPr="00A20CDA" w:rsidRDefault="009263BD" w:rsidP="00CE4351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implement support to borrower procurement capacity building and institutional strengthening?</w:t>
            </w:r>
          </w:p>
        </w:tc>
      </w:tr>
      <w:tr w:rsidR="009263BD" w:rsidRPr="00A20CDA" w14:paraId="3115BE93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1688FC62" w14:textId="77777777" w:rsidR="006B4F5D" w:rsidRPr="006B4F5D" w:rsidRDefault="006B4F5D" w:rsidP="006B4F5D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Paticipants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suggest</w:t>
            </w:r>
            <w:r w:rsidR="00340B41"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carrying out intensive training programs for capacity building, in-house consultants, and putting in place </w:t>
            </w:r>
            <w:proofErr w:type="spellStart"/>
            <w:proofErr w:type="gramStart"/>
            <w:r w:rsidR="00340B41"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>a</w:t>
            </w:r>
            <w:proofErr w:type="spellEnd"/>
            <w:proofErr w:type="gramEnd"/>
            <w:r w:rsidR="00340B41"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advisory body</w:t>
            </w: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.</w:t>
            </w:r>
          </w:p>
          <w:p w14:paraId="5DA19B58" w14:textId="77777777" w:rsidR="006B4F5D" w:rsidRPr="006B4F5D" w:rsidRDefault="006B4F5D" w:rsidP="006B4F5D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By consulting with other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MDBs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</w:t>
            </w:r>
            <w:r w:rsidRPr="00A20CDA">
              <w:rPr>
                <w:rFonts w:asciiTheme="majorHAnsi" w:hAnsiTheme="majorHAnsi"/>
                <w:sz w:val="22"/>
                <w:szCs w:val="22"/>
              </w:rPr>
              <w:t xml:space="preserve">and bilateral institutions </w:t>
            </w:r>
            <w:r>
              <w:rPr>
                <w:rFonts w:asciiTheme="majorHAnsi" w:hAnsiTheme="majorHAnsi"/>
                <w:sz w:val="22"/>
                <w:szCs w:val="22"/>
              </w:rPr>
              <w:t>the Bank can potentially harmonize their policies, helping other organizations move in the new direction?</w:t>
            </w:r>
          </w:p>
          <w:p w14:paraId="307C715D" w14:textId="38291A3B" w:rsidR="006B4F5D" w:rsidRPr="00A20CDA" w:rsidRDefault="006B4F5D" w:rsidP="006B4F5D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76" w:lineRule="auto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suggest creating a thorough evaluation process for how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VfM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can be measured.</w:t>
            </w:r>
          </w:p>
        </w:tc>
      </w:tr>
      <w:tr w:rsidR="009263BD" w:rsidRPr="00A20CDA" w14:paraId="7A836998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2A3CD350" w14:textId="77777777" w:rsidR="009263BD" w:rsidRPr="00A20CDA" w:rsidRDefault="009263BD" w:rsidP="00CE4351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operationalize the potential broader use of value-for-money criteria in borrower contract award decisions?</w:t>
            </w:r>
          </w:p>
        </w:tc>
      </w:tr>
      <w:tr w:rsidR="009263BD" w:rsidRPr="00A20CDA" w14:paraId="50D4D9F3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1E76DBA4" w14:textId="57660562" w:rsidR="009263BD" w:rsidRPr="00A20CDA" w:rsidRDefault="006B4F5D" w:rsidP="000374E6">
            <w:pPr>
              <w:pStyle w:val="ListParagraph"/>
              <w:numPr>
                <w:ilvl w:val="0"/>
                <w:numId w:val="11"/>
              </w:numPr>
              <w:tabs>
                <w:tab w:val="left" w:pos="7920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eastAsia="ja-JP"/>
              </w:rPr>
              <w:lastRenderedPageBreak/>
              <w:t xml:space="preserve">Participants suggest that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  <w:lang w:eastAsia="ja-JP"/>
              </w:rPr>
              <w:t>VfM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  <w:lang w:eastAsia="ja-JP"/>
              </w:rPr>
              <w:t xml:space="preserve"> criteria can be applied to a broader use by</w:t>
            </w:r>
            <w:r w:rsidR="00340B41" w:rsidRPr="00A20CDA">
              <w:rPr>
                <w:rFonts w:asciiTheme="majorHAnsi" w:hAnsiTheme="majorHAnsi" w:cs="Times New Roman"/>
                <w:sz w:val="22"/>
                <w:szCs w:val="22"/>
                <w:lang w:eastAsia="ja-JP"/>
              </w:rPr>
              <w:t xml:space="preserve"> preparing a and providing for example </w:t>
            </w:r>
            <w:proofErr w:type="gramStart"/>
            <w:r w:rsidR="00340B41" w:rsidRPr="00A20CDA">
              <w:rPr>
                <w:rFonts w:asciiTheme="majorHAnsi" w:hAnsiTheme="majorHAnsi" w:cs="Times New Roman"/>
                <w:sz w:val="22"/>
                <w:szCs w:val="22"/>
                <w:lang w:eastAsia="ja-JP"/>
              </w:rPr>
              <w:t>a</w:t>
            </w:r>
            <w:proofErr w:type="gramEnd"/>
            <w:r w:rsidR="00340B41" w:rsidRPr="00A20CDA">
              <w:rPr>
                <w:rFonts w:asciiTheme="majorHAnsi" w:hAnsiTheme="majorHAnsi" w:cs="Times New Roman"/>
                <w:sz w:val="22"/>
                <w:szCs w:val="22"/>
                <w:lang w:eastAsia="ja-JP"/>
              </w:rPr>
              <w:t xml:space="preserve"> “Operation Manual, Guideline for Life Cycle Cost-Based Procurement Method”.</w:t>
            </w:r>
          </w:p>
        </w:tc>
      </w:tr>
      <w:tr w:rsidR="009263BD" w:rsidRPr="00A20CDA" w14:paraId="729AA46A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4FB8762E" w14:textId="3BE6D497" w:rsidR="009263BD" w:rsidRPr="00A20CDA" w:rsidRDefault="009263BD" w:rsidP="009263BD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9263BD" w:rsidRPr="00A20CDA" w14:paraId="3FE1FF2D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31A27151" w14:textId="7FE96228" w:rsidR="009263BD" w:rsidRPr="00A20CDA" w:rsidRDefault="00340B41" w:rsidP="00A20CD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/>
              <w:ind w:right="4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>Bank procurement staff should further strengthen their supervisory and monitoring capacity</w:t>
            </w:r>
            <w:r w:rsidR="006B4F5D">
              <w:rPr>
                <w:rFonts w:asciiTheme="majorHAnsi" w:hAnsiTheme="majorHAnsi"/>
                <w:sz w:val="22"/>
                <w:szCs w:val="22"/>
                <w:lang w:eastAsia="ja-JP"/>
              </w:rPr>
              <w:t>.</w:t>
            </w:r>
          </w:p>
        </w:tc>
      </w:tr>
      <w:tr w:rsidR="009263BD" w:rsidRPr="00A20CDA" w14:paraId="1BE99873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C073784" w14:textId="77777777" w:rsidR="009263BD" w:rsidRPr="00A20CDA" w:rsidRDefault="009263BD" w:rsidP="00CE4351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and when should alternative procurement arrangements be used for procurement in Bank projects and how should they be assessed?</w:t>
            </w:r>
          </w:p>
        </w:tc>
      </w:tr>
      <w:tr w:rsidR="009263BD" w:rsidRPr="00A20CDA" w14:paraId="2F83899A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6B8A30EB" w14:textId="216EEE80" w:rsidR="00A20CDA" w:rsidRPr="006B4F5D" w:rsidRDefault="00340B41" w:rsidP="006B4F5D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>At the time of project appraisal, the Bank should suggest to the Borrowers to use the most appropriate method.</w:t>
            </w:r>
            <w:r w:rsidR="00A20CDA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9263BD" w:rsidRPr="00A20CDA" w14:paraId="67DC7241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6E9511E5" w14:textId="16737863" w:rsidR="009263BD" w:rsidRPr="00A20CDA" w:rsidRDefault="009263BD" w:rsidP="00F457CF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sustainable procurement matters be addressed in Bank-financed contracts?</w:t>
            </w:r>
          </w:p>
        </w:tc>
      </w:tr>
      <w:tr w:rsidR="009263BD" w:rsidRPr="00A20CDA" w14:paraId="291338C2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500E048D" w14:textId="77777777" w:rsidR="006B4F5D" w:rsidRPr="006B4F5D" w:rsidRDefault="006B4F5D" w:rsidP="006B4F5D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Participants suggested establishing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one set recourse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for the Bank to use regarding quality control measures, noting that this will be an important element that contributes to the success of operations, especially relating to environmental sustainability contracts.</w:t>
            </w:r>
          </w:p>
          <w:p w14:paraId="0F180F64" w14:textId="44D17222" w:rsidR="009263BD" w:rsidRPr="006B4F5D" w:rsidRDefault="006B4F5D" w:rsidP="006B4F5D">
            <w:pPr>
              <w:pStyle w:val="ListParagraph"/>
              <w:numPr>
                <w:ilvl w:val="0"/>
                <w:numId w:val="13"/>
              </w:numPr>
              <w:tabs>
                <w:tab w:val="left" w:pos="7920"/>
              </w:tabs>
              <w:rPr>
                <w:rFonts w:asciiTheme="majorHAnsi" w:hAnsiTheme="majorHAnsi" w:cs="Times New Roman"/>
                <w:sz w:val="22"/>
                <w:szCs w:val="22"/>
              </w:rPr>
            </w:pPr>
            <w:r w:rsidRPr="006B4F5D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Similarly, participants suggest implementing </w:t>
            </w:r>
            <w:proofErr w:type="spellStart"/>
            <w:r w:rsidRPr="006B4F5D">
              <w:rPr>
                <w:rFonts w:asciiTheme="majorHAnsi" w:hAnsiTheme="majorHAnsi"/>
                <w:sz w:val="22"/>
                <w:szCs w:val="22"/>
                <w:lang w:eastAsia="ja-JP"/>
              </w:rPr>
              <w:t>stong</w:t>
            </w:r>
            <w:proofErr w:type="spellEnd"/>
            <w:r w:rsidRPr="006B4F5D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6B4F5D">
              <w:rPr>
                <w:rFonts w:asciiTheme="majorHAnsi" w:hAnsiTheme="majorHAnsi"/>
                <w:sz w:val="22"/>
                <w:szCs w:val="22"/>
                <w:lang w:eastAsia="ja-JP"/>
              </w:rPr>
              <w:t>conditionalities</w:t>
            </w:r>
            <w:proofErr w:type="spellEnd"/>
            <w:r w:rsidRPr="006B4F5D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 within the reform as a measure to ensure the environmental sustainability of projects.</w:t>
            </w:r>
          </w:p>
        </w:tc>
      </w:tr>
      <w:tr w:rsidR="009263BD" w:rsidRPr="00A20CDA" w14:paraId="34DFA509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6AD62894" w14:textId="13643DE8" w:rsidR="009263BD" w:rsidRPr="00A20CDA" w:rsidRDefault="009263BD" w:rsidP="00F457CF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</w:tc>
      </w:tr>
      <w:tr w:rsidR="009263BD" w:rsidRPr="00A20CDA" w14:paraId="44B3E92C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02CB1A12" w14:textId="61DBD76C" w:rsidR="009263BD" w:rsidRPr="00A20CDA" w:rsidRDefault="00340B41" w:rsidP="00A20CD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>The Bank should open communication with private sectors and protect the private sectors from fraud risks from developing countries.</w:t>
            </w:r>
          </w:p>
        </w:tc>
      </w:tr>
      <w:tr w:rsidR="009263BD" w:rsidRPr="00A20CDA" w14:paraId="6075CA68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717CEBFA" w14:textId="730D37D3" w:rsidR="009263BD" w:rsidRPr="00A20CDA" w:rsidRDefault="009263BD" w:rsidP="00F457CF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What would be suitable procurement metrics that the Bank should use to improve performance?</w:t>
            </w:r>
          </w:p>
        </w:tc>
      </w:tr>
      <w:tr w:rsidR="009263BD" w:rsidRPr="00A20CDA" w14:paraId="1933E889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21E2E9E6" w14:textId="0949D81E" w:rsidR="009263BD" w:rsidRPr="00A20CDA" w:rsidRDefault="00340B41" w:rsidP="00A20CD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The Bank should utilize its accumulated information and </w:t>
            </w:r>
            <w:proofErr w:type="spellStart"/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>datebases</w:t>
            </w:r>
            <w:proofErr w:type="spellEnd"/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>, and open access to the data.</w:t>
            </w:r>
          </w:p>
        </w:tc>
      </w:tr>
      <w:tr w:rsidR="009263BD" w:rsidRPr="00A20CDA" w14:paraId="5BC8FE0F" w14:textId="77777777" w:rsidTr="00F457CF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1A020D68" w14:textId="57F438B1" w:rsidR="009263BD" w:rsidRPr="00A20CDA" w:rsidRDefault="009263BD" w:rsidP="00CE4351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9263BD" w:rsidRPr="00A20CDA" w14:paraId="2728E2D2" w14:textId="77777777" w:rsidTr="00F457CF">
        <w:trPr>
          <w:trHeight w:val="432"/>
        </w:trPr>
        <w:tc>
          <w:tcPr>
            <w:tcW w:w="13320" w:type="dxa"/>
            <w:shd w:val="clear" w:color="auto" w:fill="auto"/>
          </w:tcPr>
          <w:p w14:paraId="48C776E4" w14:textId="5E70D9CF" w:rsidR="009263BD" w:rsidRPr="00A20CDA" w:rsidRDefault="00340B41" w:rsidP="00A20CD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 w:rsidRPr="00A20CDA">
              <w:rPr>
                <w:rFonts w:asciiTheme="majorHAnsi" w:hAnsiTheme="majorHAnsi"/>
                <w:sz w:val="22"/>
                <w:szCs w:val="22"/>
                <w:lang w:eastAsia="ja-JP"/>
              </w:rPr>
              <w:t xml:space="preserve">The Bank should play a more interactive role in engaging the private sector and provide more solution-oriented measures to complaints. </w:t>
            </w:r>
          </w:p>
        </w:tc>
      </w:tr>
      <w:tr w:rsidR="009263BD" w:rsidRPr="00A20CDA" w14:paraId="156897EB" w14:textId="77777777" w:rsidTr="00F457CF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6924B88" w14:textId="77777777" w:rsidR="009263BD" w:rsidRPr="00A20CDA" w:rsidRDefault="009263BD" w:rsidP="00CE4351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9263BD" w:rsidRPr="00A20CDA" w14:paraId="4C09D80A" w14:textId="77777777" w:rsidTr="00F457CF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E158" w14:textId="77777777" w:rsidR="009263BD" w:rsidRPr="00A20CDA" w:rsidRDefault="009263BD" w:rsidP="00F457CF">
            <w:pPr>
              <w:pStyle w:val="ListParagraph"/>
              <w:ind w:left="309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9263BD" w:rsidRPr="00A20CDA" w14:paraId="33FC9B41" w14:textId="77777777" w:rsidTr="00F457CF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B1E721" w14:textId="77777777" w:rsidR="009263BD" w:rsidRPr="00A20CDA" w:rsidRDefault="009263BD" w:rsidP="00CE4351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A20CDA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Bank's proposals?</w:t>
            </w:r>
          </w:p>
        </w:tc>
      </w:tr>
      <w:tr w:rsidR="008A1C2B" w:rsidRPr="00A20CDA" w14:paraId="7C0C6E6C" w14:textId="77777777" w:rsidTr="008A1C2B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D0FF" w14:textId="77777777" w:rsidR="008A1C2B" w:rsidRPr="008A1C2B" w:rsidRDefault="008A1C2B" w:rsidP="008A1C2B">
            <w:pPr>
              <w:snapToGrid w:val="0"/>
              <w:ind w:left="432" w:hanging="36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5271B370" w14:textId="77777777" w:rsidR="0041268A" w:rsidRPr="001F5BD9" w:rsidRDefault="0041268A" w:rsidP="00AC78CB">
      <w:pPr>
        <w:rPr>
          <w:rFonts w:asciiTheme="majorHAnsi" w:hAnsiTheme="majorHAnsi"/>
          <w:sz w:val="22"/>
          <w:szCs w:val="22"/>
        </w:rPr>
      </w:pPr>
    </w:p>
    <w:sectPr w:rsidR="0041268A" w:rsidRPr="001F5BD9" w:rsidSect="00150B6C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D1204" w14:textId="77777777" w:rsidR="00256793" w:rsidRDefault="00256793">
      <w:pPr>
        <w:spacing w:after="0" w:line="240" w:lineRule="auto"/>
      </w:pPr>
      <w:r>
        <w:separator/>
      </w:r>
    </w:p>
  </w:endnote>
  <w:endnote w:type="continuationSeparator" w:id="0">
    <w:p w14:paraId="3A52DDFF" w14:textId="77777777" w:rsidR="00256793" w:rsidRDefault="002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B379" w14:textId="77777777"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5271B37A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BD3AE8F" w14:textId="1D9399EC"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A06CFC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5271B37C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E863" w14:textId="77777777" w:rsidR="00256793" w:rsidRDefault="00256793">
      <w:pPr>
        <w:spacing w:after="0" w:line="240" w:lineRule="auto"/>
      </w:pPr>
      <w:r>
        <w:separator/>
      </w:r>
    </w:p>
  </w:footnote>
  <w:footnote w:type="continuationSeparator" w:id="0">
    <w:p w14:paraId="755BCBE5" w14:textId="77777777" w:rsidR="00256793" w:rsidRDefault="0025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B377" w14:textId="77777777" w:rsidR="00D87D07" w:rsidRDefault="00D87D07">
    <w:pPr>
      <w:pStyle w:val="Header"/>
      <w:rPr>
        <w:sz w:val="18"/>
        <w:szCs w:val="18"/>
      </w:rPr>
    </w:pPr>
  </w:p>
  <w:p w14:paraId="5271B378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6DF4"/>
    <w:multiLevelType w:val="hybridMultilevel"/>
    <w:tmpl w:val="89D8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55F37"/>
    <w:multiLevelType w:val="hybridMultilevel"/>
    <w:tmpl w:val="F7A06416"/>
    <w:lvl w:ilvl="0" w:tplc="35661BF0">
      <w:start w:val="1"/>
      <w:numFmt w:val="decimal"/>
      <w:lvlText w:val="%1."/>
      <w:lvlJc w:val="right"/>
      <w:pPr>
        <w:ind w:left="720" w:hanging="360"/>
      </w:pPr>
      <w:rPr>
        <w:rFonts w:asciiTheme="majorHAnsi" w:eastAsia="MS Mincho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A1F8F"/>
    <w:multiLevelType w:val="hybridMultilevel"/>
    <w:tmpl w:val="D342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84284"/>
    <w:multiLevelType w:val="hybridMultilevel"/>
    <w:tmpl w:val="0326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A3BA0"/>
    <w:multiLevelType w:val="hybridMultilevel"/>
    <w:tmpl w:val="360A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4CA342B0"/>
    <w:multiLevelType w:val="hybridMultilevel"/>
    <w:tmpl w:val="4930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67CFC"/>
    <w:multiLevelType w:val="hybridMultilevel"/>
    <w:tmpl w:val="24C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62E1B2F"/>
    <w:multiLevelType w:val="hybridMultilevel"/>
    <w:tmpl w:val="392E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C116600"/>
    <w:multiLevelType w:val="hybridMultilevel"/>
    <w:tmpl w:val="57049532"/>
    <w:lvl w:ilvl="0" w:tplc="3C96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41"/>
  </w:num>
  <w:num w:numId="4">
    <w:abstractNumId w:val="28"/>
  </w:num>
  <w:num w:numId="5">
    <w:abstractNumId w:val="22"/>
  </w:num>
  <w:num w:numId="6">
    <w:abstractNumId w:val="38"/>
  </w:num>
  <w:num w:numId="7">
    <w:abstractNumId w:val="43"/>
  </w:num>
  <w:num w:numId="8">
    <w:abstractNumId w:val="45"/>
  </w:num>
  <w:num w:numId="9">
    <w:abstractNumId w:val="40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35"/>
  </w:num>
  <w:num w:numId="16">
    <w:abstractNumId w:val="6"/>
  </w:num>
  <w:num w:numId="17">
    <w:abstractNumId w:val="36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21"/>
  </w:num>
  <w:num w:numId="23">
    <w:abstractNumId w:val="39"/>
  </w:num>
  <w:num w:numId="24">
    <w:abstractNumId w:val="34"/>
  </w:num>
  <w:num w:numId="25">
    <w:abstractNumId w:val="16"/>
  </w:num>
  <w:num w:numId="26">
    <w:abstractNumId w:val="26"/>
  </w:num>
  <w:num w:numId="27">
    <w:abstractNumId w:val="17"/>
  </w:num>
  <w:num w:numId="28">
    <w:abstractNumId w:val="20"/>
  </w:num>
  <w:num w:numId="29">
    <w:abstractNumId w:val="32"/>
  </w:num>
  <w:num w:numId="30">
    <w:abstractNumId w:val="44"/>
  </w:num>
  <w:num w:numId="31">
    <w:abstractNumId w:val="29"/>
  </w:num>
  <w:num w:numId="32">
    <w:abstractNumId w:val="37"/>
  </w:num>
  <w:num w:numId="33">
    <w:abstractNumId w:val="24"/>
  </w:num>
  <w:num w:numId="34">
    <w:abstractNumId w:val="31"/>
  </w:num>
  <w:num w:numId="35">
    <w:abstractNumId w:val="18"/>
  </w:num>
  <w:num w:numId="36">
    <w:abstractNumId w:val="4"/>
  </w:num>
  <w:num w:numId="37">
    <w:abstractNumId w:val="9"/>
  </w:num>
  <w:num w:numId="38">
    <w:abstractNumId w:val="25"/>
  </w:num>
  <w:num w:numId="39">
    <w:abstractNumId w:val="3"/>
  </w:num>
  <w:num w:numId="40">
    <w:abstractNumId w:val="30"/>
  </w:num>
  <w:num w:numId="41">
    <w:abstractNumId w:val="8"/>
  </w:num>
  <w:num w:numId="42">
    <w:abstractNumId w:val="42"/>
  </w:num>
  <w:num w:numId="43">
    <w:abstractNumId w:val="27"/>
  </w:num>
  <w:num w:numId="44">
    <w:abstractNumId w:val="23"/>
  </w:num>
  <w:num w:numId="45">
    <w:abstractNumId w:val="1"/>
  </w:num>
  <w:num w:numId="4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4E6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B7C33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4875"/>
    <w:rsid w:val="00116045"/>
    <w:rsid w:val="0011666B"/>
    <w:rsid w:val="001223AF"/>
    <w:rsid w:val="0012738A"/>
    <w:rsid w:val="0013530E"/>
    <w:rsid w:val="0014341F"/>
    <w:rsid w:val="00143686"/>
    <w:rsid w:val="00144343"/>
    <w:rsid w:val="0014492C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1F5BD9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2A7F"/>
    <w:rsid w:val="002248F1"/>
    <w:rsid w:val="002253F7"/>
    <w:rsid w:val="00225F7C"/>
    <w:rsid w:val="00227180"/>
    <w:rsid w:val="00232712"/>
    <w:rsid w:val="002327C5"/>
    <w:rsid w:val="0023392A"/>
    <w:rsid w:val="00236099"/>
    <w:rsid w:val="0023669B"/>
    <w:rsid w:val="0024205F"/>
    <w:rsid w:val="00255132"/>
    <w:rsid w:val="00256793"/>
    <w:rsid w:val="002648AA"/>
    <w:rsid w:val="002679D9"/>
    <w:rsid w:val="002705F9"/>
    <w:rsid w:val="002717AA"/>
    <w:rsid w:val="0027488F"/>
    <w:rsid w:val="002801FD"/>
    <w:rsid w:val="00283919"/>
    <w:rsid w:val="0028464A"/>
    <w:rsid w:val="00292E6E"/>
    <w:rsid w:val="002934A5"/>
    <w:rsid w:val="00295A21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0822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0B41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A448C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4FE7"/>
    <w:rsid w:val="00426B51"/>
    <w:rsid w:val="00431D5F"/>
    <w:rsid w:val="00432518"/>
    <w:rsid w:val="00436033"/>
    <w:rsid w:val="00442D97"/>
    <w:rsid w:val="00443EEF"/>
    <w:rsid w:val="00446D15"/>
    <w:rsid w:val="00453CD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E6733"/>
    <w:rsid w:val="005F0290"/>
    <w:rsid w:val="005F10E0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4F5D"/>
    <w:rsid w:val="006B56D8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07E3"/>
    <w:rsid w:val="00712242"/>
    <w:rsid w:val="00721455"/>
    <w:rsid w:val="007355B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64C4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A1C2B"/>
    <w:rsid w:val="008A533C"/>
    <w:rsid w:val="008B0531"/>
    <w:rsid w:val="008B4648"/>
    <w:rsid w:val="008B5CEC"/>
    <w:rsid w:val="008B7264"/>
    <w:rsid w:val="008B7469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698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3BD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90B5E"/>
    <w:rsid w:val="00993EAB"/>
    <w:rsid w:val="00994D19"/>
    <w:rsid w:val="009A343C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06CFC"/>
    <w:rsid w:val="00A10665"/>
    <w:rsid w:val="00A135FF"/>
    <w:rsid w:val="00A1539F"/>
    <w:rsid w:val="00A20AB9"/>
    <w:rsid w:val="00A20CDA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675F9"/>
    <w:rsid w:val="00B7278A"/>
    <w:rsid w:val="00B72A55"/>
    <w:rsid w:val="00B72FDA"/>
    <w:rsid w:val="00B731F0"/>
    <w:rsid w:val="00B74DBD"/>
    <w:rsid w:val="00B7551F"/>
    <w:rsid w:val="00B76A3A"/>
    <w:rsid w:val="00B76E88"/>
    <w:rsid w:val="00B7734C"/>
    <w:rsid w:val="00B87220"/>
    <w:rsid w:val="00B90D46"/>
    <w:rsid w:val="00B94095"/>
    <w:rsid w:val="00B947D5"/>
    <w:rsid w:val="00BA0194"/>
    <w:rsid w:val="00BA494C"/>
    <w:rsid w:val="00BA52B0"/>
    <w:rsid w:val="00BB1F9B"/>
    <w:rsid w:val="00BB24DD"/>
    <w:rsid w:val="00BB62D4"/>
    <w:rsid w:val="00BC0E42"/>
    <w:rsid w:val="00BC1A8B"/>
    <w:rsid w:val="00BC454A"/>
    <w:rsid w:val="00BD45B9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1029"/>
    <w:rsid w:val="00C11708"/>
    <w:rsid w:val="00C1242B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C7F61"/>
    <w:rsid w:val="00CD05E9"/>
    <w:rsid w:val="00CD37EF"/>
    <w:rsid w:val="00CD481A"/>
    <w:rsid w:val="00CE24E4"/>
    <w:rsid w:val="00CE3AFE"/>
    <w:rsid w:val="00CE71B7"/>
    <w:rsid w:val="00CF3100"/>
    <w:rsid w:val="00CF4060"/>
    <w:rsid w:val="00CF5A94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66ACF"/>
    <w:rsid w:val="00D7462B"/>
    <w:rsid w:val="00D779D5"/>
    <w:rsid w:val="00D77CF6"/>
    <w:rsid w:val="00D82B92"/>
    <w:rsid w:val="00D83719"/>
    <w:rsid w:val="00D872C1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57CF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989"/>
    <w:rsid w:val="00F81BFF"/>
    <w:rsid w:val="00F910C3"/>
    <w:rsid w:val="00F91C22"/>
    <w:rsid w:val="00F923A8"/>
    <w:rsid w:val="00F92DFB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271B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987A3B-91D1-4F56-AE3C-8441B50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4</cp:revision>
  <cp:lastPrinted>2012-05-24T21:00:00Z</cp:lastPrinted>
  <dcterms:created xsi:type="dcterms:W3CDTF">2015-01-16T14:55:00Z</dcterms:created>
  <dcterms:modified xsi:type="dcterms:W3CDTF">2015-02-13T19:14:00Z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