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654ACA" w:rsidRDefault="003E2779" w:rsidP="00EB75B9">
      <w:pPr>
        <w:jc w:val="center"/>
        <w:rPr>
          <w:sz w:val="22"/>
          <w:szCs w:val="22"/>
        </w:rPr>
      </w:pPr>
      <w:r w:rsidRPr="00654ACA">
        <w:rPr>
          <w:noProof/>
          <w:sz w:val="22"/>
          <w:szCs w:val="22"/>
          <w:lang w:eastAsia="zh-CN" w:bidi="ar-SA"/>
        </w:rPr>
        <w:drawing>
          <wp:inline distT="0" distB="0" distL="0" distR="0" wp14:anchorId="3707D6E1" wp14:editId="42CB5067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B9" w:rsidRPr="00654ACA" w:rsidRDefault="00EB75B9" w:rsidP="00EB75B9">
      <w:pPr>
        <w:jc w:val="center"/>
        <w:rPr>
          <w:color w:val="17365D" w:themeColor="text2" w:themeShade="BF"/>
          <w:spacing w:val="5"/>
          <w:kern w:val="28"/>
          <w:sz w:val="22"/>
          <w:szCs w:val="22"/>
          <w:lang w:eastAsia="en-US" w:bidi="ar-SA"/>
        </w:rPr>
      </w:pPr>
      <w:r w:rsidRPr="00654ACA">
        <w:rPr>
          <w:color w:val="17365D" w:themeColor="text2" w:themeShade="BF"/>
          <w:spacing w:val="5"/>
          <w:kern w:val="28"/>
          <w:sz w:val="22"/>
          <w:szCs w:val="22"/>
          <w:lang w:eastAsia="en-US" w:bidi="ar-SA"/>
        </w:rPr>
        <w:t xml:space="preserve">The World Bank </w:t>
      </w:r>
    </w:p>
    <w:p w:rsidR="003E2779" w:rsidRPr="00654ACA" w:rsidRDefault="005409E3" w:rsidP="003E2779">
      <w:pPr>
        <w:pStyle w:val="Title"/>
        <w:jc w:val="center"/>
        <w:rPr>
          <w:rFonts w:ascii="Times New Roman" w:hAnsi="Times New Roman"/>
          <w:color w:val="17365D" w:themeColor="text2" w:themeShade="BF"/>
          <w:sz w:val="22"/>
          <w:szCs w:val="22"/>
        </w:rPr>
      </w:pPr>
      <w:r w:rsidRPr="00654ACA">
        <w:rPr>
          <w:rFonts w:ascii="Times New Roman" w:hAnsi="Times New Roman"/>
          <w:color w:val="17365D" w:themeColor="text2" w:themeShade="BF"/>
          <w:sz w:val="22"/>
          <w:szCs w:val="22"/>
        </w:rPr>
        <w:t>Procurement Policy</w:t>
      </w:r>
      <w:r w:rsidR="003E2779" w:rsidRPr="00654ACA">
        <w:rPr>
          <w:rFonts w:ascii="Times New Roman" w:hAnsi="Times New Roman"/>
          <w:color w:val="17365D" w:themeColor="text2" w:themeShade="BF"/>
          <w:sz w:val="22"/>
          <w:szCs w:val="22"/>
        </w:rPr>
        <w:t xml:space="preserve"> Review </w:t>
      </w:r>
    </w:p>
    <w:p w:rsidR="003E2779" w:rsidRPr="00654ACA" w:rsidRDefault="003E2779" w:rsidP="003E2779">
      <w:pPr>
        <w:pStyle w:val="Title"/>
        <w:jc w:val="center"/>
        <w:rPr>
          <w:rFonts w:ascii="Times New Roman" w:hAnsi="Times New Roman"/>
          <w:sz w:val="22"/>
          <w:szCs w:val="22"/>
        </w:rPr>
      </w:pPr>
      <w:r w:rsidRPr="00654ACA">
        <w:rPr>
          <w:rFonts w:ascii="Times New Roman" w:hAnsi="Times New Roman"/>
          <w:b/>
          <w:color w:val="17365D" w:themeColor="text2" w:themeShade="BF"/>
          <w:sz w:val="22"/>
          <w:szCs w:val="22"/>
        </w:rPr>
        <w:t>Feedback Summary</w:t>
      </w:r>
    </w:p>
    <w:p w:rsidR="00093B2C" w:rsidRPr="008A7C0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 w:val="22"/>
          <w:szCs w:val="22"/>
          <w:lang w:val="en-US"/>
        </w:rPr>
      </w:pPr>
      <w:r w:rsidRPr="008A7C0B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Date: </w:t>
      </w:r>
      <w:r w:rsidR="00614E39" w:rsidRPr="008A7C0B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Dec </w:t>
      </w:r>
      <w:r w:rsidR="001862DC" w:rsidRPr="008A7C0B">
        <w:rPr>
          <w:rFonts w:asciiTheme="majorHAnsi" w:hAnsiTheme="majorHAnsi" w:cs="Times New Roman"/>
          <w:b/>
          <w:bCs/>
          <w:sz w:val="22"/>
          <w:szCs w:val="22"/>
          <w:lang w:val="en-US"/>
        </w:rPr>
        <w:t>10</w:t>
      </w:r>
      <w:r w:rsidR="00614E39" w:rsidRPr="008A7C0B">
        <w:rPr>
          <w:rFonts w:asciiTheme="majorHAnsi" w:hAnsiTheme="majorHAnsi" w:cs="Times New Roman"/>
          <w:b/>
          <w:bCs/>
          <w:sz w:val="22"/>
          <w:szCs w:val="22"/>
          <w:lang w:val="en-US"/>
        </w:rPr>
        <w:t>, 2014</w:t>
      </w:r>
    </w:p>
    <w:p w:rsidR="00093B2C" w:rsidRPr="008A7C0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 w:val="22"/>
          <w:szCs w:val="22"/>
          <w:lang w:val="en-US"/>
        </w:rPr>
      </w:pPr>
    </w:p>
    <w:p w:rsidR="00093B2C" w:rsidRPr="008A7C0B" w:rsidRDefault="002E23E9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bCs/>
          <w:sz w:val="22"/>
          <w:szCs w:val="22"/>
          <w:lang w:val="en-US"/>
        </w:rPr>
      </w:pPr>
      <w:r w:rsidRPr="008A7C0B">
        <w:rPr>
          <w:rFonts w:asciiTheme="majorHAnsi" w:hAnsiTheme="majorHAnsi" w:cs="Times New Roman"/>
          <w:b/>
          <w:bCs/>
          <w:sz w:val="22"/>
          <w:szCs w:val="22"/>
          <w:lang w:val="en-US"/>
        </w:rPr>
        <w:t>Location (City, Country)</w:t>
      </w:r>
      <w:r w:rsidR="00093B2C" w:rsidRPr="008A7C0B">
        <w:rPr>
          <w:rFonts w:asciiTheme="majorHAnsi" w:hAnsiTheme="majorHAnsi" w:cs="Times New Roman"/>
          <w:b/>
          <w:bCs/>
          <w:sz w:val="22"/>
          <w:szCs w:val="22"/>
          <w:lang w:val="en-US"/>
        </w:rPr>
        <w:t>:</w:t>
      </w:r>
      <w:r w:rsidR="001862DC" w:rsidRPr="008A7C0B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 Dakar, Senegal</w:t>
      </w:r>
    </w:p>
    <w:p w:rsidR="00B16E9C" w:rsidRPr="008A7C0B" w:rsidRDefault="00B16E9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bCs/>
          <w:sz w:val="22"/>
          <w:szCs w:val="22"/>
          <w:lang w:val="en-US"/>
        </w:rPr>
      </w:pPr>
    </w:p>
    <w:p w:rsidR="00BB1F9B" w:rsidRPr="008A7C0B" w:rsidRDefault="00093B2C" w:rsidP="0084229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 w:val="22"/>
          <w:szCs w:val="22"/>
          <w:lang w:val="en-US"/>
        </w:rPr>
      </w:pPr>
      <w:r w:rsidRPr="008A7C0B">
        <w:rPr>
          <w:rFonts w:asciiTheme="majorHAnsi" w:hAnsiTheme="majorHAnsi" w:cs="Times New Roman"/>
          <w:b/>
          <w:bCs/>
          <w:sz w:val="22"/>
          <w:szCs w:val="22"/>
          <w:lang w:val="en-US"/>
        </w:rPr>
        <w:t>Total Number of Participants</w:t>
      </w:r>
      <w:r w:rsidRPr="008A7C0B">
        <w:rPr>
          <w:rFonts w:asciiTheme="majorHAnsi" w:hAnsiTheme="majorHAnsi" w:cs="Times New Roman"/>
          <w:b/>
          <w:sz w:val="22"/>
          <w:szCs w:val="22"/>
          <w:lang w:val="en-US"/>
        </w:rPr>
        <w:t>:</w:t>
      </w:r>
      <w:r w:rsidR="00CB673D" w:rsidRPr="008A7C0B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AD284F" w:rsidRPr="008A7C0B">
        <w:rPr>
          <w:rFonts w:asciiTheme="majorHAnsi" w:hAnsiTheme="majorHAnsi" w:cs="Times New Roman"/>
          <w:b/>
          <w:sz w:val="22"/>
          <w:szCs w:val="22"/>
        </w:rPr>
        <w:t>35</w:t>
      </w:r>
    </w:p>
    <w:p w:rsidR="00BB1F9B" w:rsidRPr="008A7C0B" w:rsidRDefault="008E6961" w:rsidP="00A27E1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 w:val="22"/>
          <w:szCs w:val="22"/>
        </w:rPr>
      </w:pPr>
      <w:r w:rsidRPr="008A7C0B">
        <w:rPr>
          <w:rFonts w:asciiTheme="majorHAnsi" w:hAnsiTheme="majorHAnsi" w:cs="Times New Roman"/>
          <w:b/>
          <w:sz w:val="22"/>
          <w:szCs w:val="22"/>
        </w:rPr>
        <w:br/>
      </w:r>
      <w:r w:rsidR="00B16E9C" w:rsidRPr="008A7C0B">
        <w:rPr>
          <w:rFonts w:asciiTheme="majorHAnsi" w:hAnsiTheme="majorHAnsi" w:cs="Times New Roman"/>
          <w:b/>
          <w:sz w:val="22"/>
          <w:szCs w:val="22"/>
        </w:rPr>
        <w:t>Overview and General Reactions</w:t>
      </w:r>
      <w:r w:rsidR="005C56F1" w:rsidRPr="008A7C0B">
        <w:rPr>
          <w:rFonts w:asciiTheme="majorHAnsi" w:hAnsiTheme="majorHAnsi" w:cs="Times New Roman"/>
          <w:b/>
          <w:sz w:val="22"/>
          <w:szCs w:val="22"/>
        </w:rPr>
        <w:t>:</w:t>
      </w:r>
      <w:r w:rsidR="00B16E9C" w:rsidRPr="008A7C0B">
        <w:rPr>
          <w:rFonts w:asciiTheme="majorHAnsi" w:hAnsiTheme="majorHAnsi" w:cs="Times New Roman"/>
          <w:b/>
          <w:sz w:val="22"/>
          <w:szCs w:val="22"/>
        </w:rPr>
        <w:t xml:space="preserve"> </w:t>
      </w:r>
    </w:p>
    <w:p w:rsidR="005B1D7C" w:rsidRPr="008A7C0B" w:rsidRDefault="008544D5" w:rsidP="00225F7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sz w:val="22"/>
          <w:szCs w:val="22"/>
        </w:rPr>
      </w:pPr>
      <w:r w:rsidRPr="008A7C0B">
        <w:rPr>
          <w:rFonts w:asciiTheme="majorHAnsi" w:hAnsiTheme="majorHAnsi" w:cs="Times New Roman"/>
          <w:sz w:val="22"/>
          <w:szCs w:val="22"/>
        </w:rPr>
        <w:t>Concepts such as VfM, fit-for-purpose, APAs, new procurement methods, etc. were welcomed and referred to as a positive evolution of the current system. In line with other participants’ feedback during these regional consultations,</w:t>
      </w:r>
      <w:r w:rsidR="005E66FF" w:rsidRPr="008A7C0B">
        <w:rPr>
          <w:rFonts w:asciiTheme="majorHAnsi" w:hAnsiTheme="majorHAnsi" w:cs="Times New Roman"/>
          <w:sz w:val="22"/>
          <w:szCs w:val="22"/>
        </w:rPr>
        <w:t xml:space="preserve"> the inadequate level</w:t>
      </w:r>
      <w:r w:rsidRPr="008A7C0B">
        <w:rPr>
          <w:rFonts w:asciiTheme="majorHAnsi" w:hAnsiTheme="majorHAnsi" w:cs="Times New Roman"/>
          <w:sz w:val="22"/>
          <w:szCs w:val="22"/>
        </w:rPr>
        <w:t xml:space="preserve"> of institutional capacity was raised as a main deterrent to the procurement reform in country. Therefore the Bank should continue to support countries in strengthening their institutional capacity, which </w:t>
      </w:r>
      <w:r w:rsidR="0027791F" w:rsidRPr="008A7C0B">
        <w:rPr>
          <w:rFonts w:asciiTheme="majorHAnsi" w:hAnsiTheme="majorHAnsi" w:cs="Times New Roman"/>
          <w:sz w:val="22"/>
          <w:szCs w:val="22"/>
        </w:rPr>
        <w:t>also requires</w:t>
      </w:r>
      <w:r w:rsidRPr="008A7C0B">
        <w:rPr>
          <w:rFonts w:asciiTheme="majorHAnsi" w:hAnsiTheme="majorHAnsi" w:cs="Times New Roman"/>
          <w:sz w:val="22"/>
          <w:szCs w:val="22"/>
        </w:rPr>
        <w:t xml:space="preserve"> the strategic deployment of resources.</w:t>
      </w:r>
    </w:p>
    <w:p w:rsidR="005B1D7C" w:rsidRPr="008A7C0B" w:rsidRDefault="00C26192" w:rsidP="00225F7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VfM</w:t>
      </w:r>
      <w:bookmarkStart w:id="0" w:name="_GoBack"/>
      <w:bookmarkEnd w:id="0"/>
      <w:r w:rsidR="00106290" w:rsidRPr="008A7C0B">
        <w:rPr>
          <w:rFonts w:asciiTheme="majorHAnsi" w:hAnsiTheme="majorHAnsi" w:cs="Times New Roman"/>
          <w:sz w:val="22"/>
          <w:szCs w:val="22"/>
        </w:rPr>
        <w:t xml:space="preserve"> generated a lot of discussion: the </w:t>
      </w:r>
      <w:r w:rsidR="00674ADE" w:rsidRPr="008A7C0B">
        <w:rPr>
          <w:rFonts w:asciiTheme="majorHAnsi" w:hAnsiTheme="majorHAnsi" w:cs="Times New Roman"/>
          <w:sz w:val="22"/>
          <w:szCs w:val="22"/>
        </w:rPr>
        <w:t>Public Procurement Bureau (PPB) s</w:t>
      </w:r>
      <w:r w:rsidR="00106290" w:rsidRPr="008A7C0B">
        <w:rPr>
          <w:rFonts w:asciiTheme="majorHAnsi" w:hAnsiTheme="majorHAnsi" w:cs="Times New Roman"/>
          <w:sz w:val="22"/>
          <w:szCs w:val="22"/>
        </w:rPr>
        <w:t>tates that the lowest-evaluated big should capture all the benefits proposed under VfM. However a more general view found that VfM is essential to maximizing the development impact; the Senegalese procurement system should be able to capture this in near future.</w:t>
      </w:r>
    </w:p>
    <w:p w:rsidR="00106290" w:rsidRPr="008A7C0B" w:rsidRDefault="00106290" w:rsidP="00225F7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sz w:val="22"/>
          <w:szCs w:val="22"/>
        </w:rPr>
      </w:pPr>
    </w:p>
    <w:tbl>
      <w:tblPr>
        <w:tblW w:w="13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20"/>
      </w:tblGrid>
      <w:tr w:rsidR="00B16E9C" w:rsidRPr="008A7C0B" w:rsidTr="002C093B"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:rsidR="00B16E9C" w:rsidRPr="008A7C0B" w:rsidRDefault="00B16E9C">
            <w:pPr>
              <w:pStyle w:val="BodyText2"/>
              <w:snapToGrid w:val="0"/>
              <w:spacing w:line="100" w:lineRule="atLeast"/>
              <w:ind w:right="0"/>
              <w:rPr>
                <w:rFonts w:asciiTheme="majorHAnsi" w:eastAsia="Batang" w:hAnsiTheme="majorHAnsi" w:cs="Times New Roman"/>
                <w:b/>
                <w:color w:val="17365D" w:themeColor="text2" w:themeShade="BF"/>
                <w:sz w:val="22"/>
                <w:szCs w:val="22"/>
              </w:rPr>
            </w:pPr>
            <w:r w:rsidRPr="008A7C0B">
              <w:rPr>
                <w:rFonts w:asciiTheme="majorHAnsi" w:eastAsia="Batang" w:hAnsiTheme="majorHAnsi" w:cs="Times New Roman"/>
                <w:b/>
                <w:color w:val="17365D" w:themeColor="text2" w:themeShade="BF"/>
                <w:sz w:val="22"/>
                <w:szCs w:val="22"/>
              </w:rPr>
              <w:t>Specific Feedback from Stakeholders</w:t>
            </w:r>
          </w:p>
          <w:p w:rsidR="00B16E9C" w:rsidRPr="008A7C0B" w:rsidRDefault="00B16E9C">
            <w:pPr>
              <w:pStyle w:val="BodyText2"/>
              <w:snapToGrid w:val="0"/>
              <w:spacing w:line="100" w:lineRule="atLeast"/>
              <w:ind w:right="0"/>
              <w:rPr>
                <w:rFonts w:asciiTheme="majorHAnsi" w:eastAsia="Batang" w:hAnsiTheme="majorHAnsi" w:cs="Times New Roman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13530E" w:rsidRPr="008A7C0B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:rsidR="0013530E" w:rsidRPr="008A7C0B" w:rsidRDefault="008A533C" w:rsidP="00150B6C">
            <w:pPr>
              <w:pStyle w:val="ListParagraph"/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 w:cs="Times New Roman"/>
                <w:b/>
                <w:color w:val="17365D" w:themeColor="text2" w:themeShade="BF"/>
                <w:sz w:val="22"/>
                <w:szCs w:val="22"/>
              </w:rPr>
            </w:pPr>
            <w:r w:rsidRPr="008A7C0B">
              <w:rPr>
                <w:rFonts w:asciiTheme="majorHAnsi" w:hAnsiTheme="majorHAnsi" w:cs="Times New Roman"/>
                <w:b/>
                <w:bCs/>
                <w:color w:val="17365D" w:themeColor="text2" w:themeShade="BF"/>
                <w:sz w:val="22"/>
                <w:szCs w:val="22"/>
              </w:rPr>
              <w:t>How should the Bank implement support to borrower procurement capacity building and institutional strengthening?</w:t>
            </w:r>
          </w:p>
        </w:tc>
      </w:tr>
      <w:tr w:rsidR="002E23E9" w:rsidRPr="008A7C0B" w:rsidTr="00926FB9">
        <w:trPr>
          <w:trHeight w:val="377"/>
        </w:trPr>
        <w:tc>
          <w:tcPr>
            <w:tcW w:w="13320" w:type="dxa"/>
            <w:shd w:val="clear" w:color="auto" w:fill="auto"/>
          </w:tcPr>
          <w:p w:rsidR="002E23E9" w:rsidRPr="008A7C0B" w:rsidRDefault="00976D6A" w:rsidP="00306F08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276" w:lineRule="auto"/>
              <w:ind w:left="415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8A7C0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Training and advocacy work (with a focus on technical specifications) </w:t>
            </w:r>
            <w:r w:rsidR="00306F08" w:rsidRPr="008A7C0B">
              <w:rPr>
                <w:rFonts w:asciiTheme="majorHAnsi" w:hAnsiTheme="majorHAnsi" w:cs="Times New Roman"/>
                <w:bCs/>
                <w:sz w:val="22"/>
                <w:szCs w:val="22"/>
              </w:rPr>
              <w:t>for both public and private sector must be a priority.</w:t>
            </w:r>
          </w:p>
          <w:p w:rsidR="003B247D" w:rsidRPr="008A7C0B" w:rsidRDefault="002577BA" w:rsidP="00306F08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276" w:lineRule="auto"/>
              <w:ind w:left="415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8A7C0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There is also a need to train the agencies overseeing and monitoring the contracting bodies </w:t>
            </w:r>
          </w:p>
          <w:p w:rsidR="002577BA" w:rsidRPr="008A7C0B" w:rsidRDefault="00861BBC" w:rsidP="00306F08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276" w:lineRule="auto"/>
              <w:ind w:left="415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8A7C0B">
              <w:rPr>
                <w:rFonts w:asciiTheme="majorHAnsi" w:hAnsiTheme="majorHAnsi" w:cs="Times New Roman"/>
                <w:bCs/>
                <w:sz w:val="22"/>
                <w:szCs w:val="22"/>
              </w:rPr>
              <w:t>Recent experiences in capacity building have shown to cost an amount equal to 5% of the country’s budget. The current strategy seeks to engage and give sustained support to civil servants. A recurring question is how to build on their capacities once projects are completed, this is also something the Bank ought to consider in terms of institutional capacity building.</w:t>
            </w:r>
            <w:r w:rsidR="001021DE" w:rsidRPr="008A7C0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</w:p>
          <w:p w:rsidR="00654ACA" w:rsidRPr="008A7C0B" w:rsidRDefault="00654ACA" w:rsidP="00306F08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276" w:lineRule="auto"/>
              <w:ind w:left="415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8A7C0B">
              <w:rPr>
                <w:rFonts w:asciiTheme="majorHAnsi" w:hAnsiTheme="majorHAnsi" w:cs="Times New Roman"/>
                <w:sz w:val="22"/>
                <w:szCs w:val="22"/>
              </w:rPr>
              <w:t>How to handle and to better develop the following notions in bidding documents and in bid evaluation, and in contracts: value-for-</w:t>
            </w:r>
            <w:r w:rsidRPr="008A7C0B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money, better ratio quality-and-cost, and unreasonable bids?</w:t>
            </w:r>
          </w:p>
        </w:tc>
      </w:tr>
      <w:tr w:rsidR="00A840E8" w:rsidRPr="008A7C0B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:rsidR="00A840E8" w:rsidRPr="008A7C0B" w:rsidRDefault="008A533C" w:rsidP="00150B6C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</w:pPr>
            <w:r w:rsidRPr="008A7C0B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lastRenderedPageBreak/>
              <w:t>How should the Bank operationalize the potential broader use of value-for-money criteria in borrower contract award decisions?</w:t>
            </w:r>
          </w:p>
        </w:tc>
      </w:tr>
      <w:tr w:rsidR="002E23E9" w:rsidRPr="008A7C0B" w:rsidTr="00C9351A">
        <w:trPr>
          <w:trHeight w:val="962"/>
        </w:trPr>
        <w:tc>
          <w:tcPr>
            <w:tcW w:w="13320" w:type="dxa"/>
            <w:shd w:val="clear" w:color="auto" w:fill="auto"/>
          </w:tcPr>
          <w:p w:rsidR="002E23E9" w:rsidRPr="008A7C0B" w:rsidRDefault="001A3B8E" w:rsidP="004B1CD6">
            <w:pPr>
              <w:pStyle w:val="ListParagraph"/>
              <w:numPr>
                <w:ilvl w:val="0"/>
                <w:numId w:val="11"/>
              </w:numPr>
              <w:ind w:left="415"/>
              <w:jc w:val="left"/>
              <w:rPr>
                <w:rFonts w:asciiTheme="majorHAnsi" w:hAnsiTheme="majorHAnsi" w:cs="Times New Roman"/>
                <w:color w:val="333333"/>
                <w:sz w:val="22"/>
                <w:szCs w:val="22"/>
              </w:rPr>
            </w:pPr>
            <w:r w:rsidRPr="008A7C0B">
              <w:rPr>
                <w:rFonts w:asciiTheme="majorHAnsi" w:hAnsiTheme="majorHAnsi" w:cs="Times New Roman"/>
                <w:sz w:val="22"/>
                <w:szCs w:val="22"/>
              </w:rPr>
              <w:t xml:space="preserve">As long as there is the concept </w:t>
            </w:r>
            <w:r w:rsidR="00FA3FFA" w:rsidRPr="008A7C0B">
              <w:rPr>
                <w:rFonts w:asciiTheme="majorHAnsi" w:hAnsiTheme="majorHAnsi" w:cs="Times New Roman"/>
                <w:sz w:val="22"/>
                <w:szCs w:val="22"/>
              </w:rPr>
              <w:t>of ‘lowest evaluated bid’ there will be trouble with the unreasonably low bids</w:t>
            </w:r>
            <w:r w:rsidR="00654ACA" w:rsidRPr="008A7C0B">
              <w:rPr>
                <w:rFonts w:asciiTheme="majorHAnsi" w:hAnsiTheme="majorHAnsi" w:cs="Times New Roman"/>
                <w:sz w:val="22"/>
                <w:szCs w:val="22"/>
              </w:rPr>
              <w:t xml:space="preserve"> (do not always allow for quality goods: how to resolve this issue)</w:t>
            </w:r>
            <w:r w:rsidR="00FA3FFA" w:rsidRPr="008A7C0B">
              <w:rPr>
                <w:rFonts w:asciiTheme="majorHAnsi" w:hAnsiTheme="majorHAnsi" w:cs="Times New Roman"/>
                <w:sz w:val="22"/>
                <w:szCs w:val="22"/>
              </w:rPr>
              <w:t xml:space="preserve">. Borrowers will continue to receive complaints from other bidders but borrowers should refer to </w:t>
            </w:r>
            <w:r w:rsidR="004B1CD6" w:rsidRPr="008A7C0B">
              <w:rPr>
                <w:rFonts w:asciiTheme="majorHAnsi" w:hAnsiTheme="majorHAnsi" w:cs="Times New Roman"/>
                <w:sz w:val="22"/>
                <w:szCs w:val="22"/>
              </w:rPr>
              <w:t xml:space="preserve">the tools available in the call for tender that can help them but often the contracting authority is unaware of the evaluation system. </w:t>
            </w:r>
          </w:p>
        </w:tc>
      </w:tr>
      <w:tr w:rsidR="00941C03" w:rsidRPr="008A7C0B" w:rsidTr="002C093B">
        <w:tblPrEx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13320" w:type="dxa"/>
            <w:shd w:val="clear" w:color="auto" w:fill="DBE5F1" w:themeFill="accent1" w:themeFillTint="33"/>
          </w:tcPr>
          <w:p w:rsidR="00941C03" w:rsidRPr="008A7C0B" w:rsidRDefault="008A533C" w:rsidP="00861BBC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8A7C0B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How should the World Bank target its procurement staff resources to get the best results?</w:t>
            </w:r>
          </w:p>
        </w:tc>
      </w:tr>
      <w:tr w:rsidR="002E23E9" w:rsidRPr="008A7C0B" w:rsidTr="00926FB9">
        <w:trPr>
          <w:trHeight w:val="431"/>
        </w:trPr>
        <w:tc>
          <w:tcPr>
            <w:tcW w:w="13320" w:type="dxa"/>
            <w:shd w:val="clear" w:color="auto" w:fill="auto"/>
          </w:tcPr>
          <w:p w:rsidR="002E23E9" w:rsidRPr="008A7C0B" w:rsidRDefault="002E23E9" w:rsidP="008A7C0B">
            <w:pPr>
              <w:pStyle w:val="ListParagraph"/>
              <w:widowControl w:val="0"/>
              <w:autoSpaceDE w:val="0"/>
              <w:autoSpaceDN w:val="0"/>
              <w:adjustRightInd w:val="0"/>
              <w:spacing w:after="40"/>
              <w:ind w:left="325" w:right="40"/>
              <w:jc w:val="left"/>
              <w:rPr>
                <w:rFonts w:asciiTheme="majorHAnsi" w:hAnsiTheme="majorHAnsi" w:cs="Times New Roman"/>
                <w:color w:val="262626"/>
                <w:sz w:val="22"/>
                <w:szCs w:val="22"/>
              </w:rPr>
            </w:pPr>
          </w:p>
        </w:tc>
      </w:tr>
      <w:tr w:rsidR="00173E2F" w:rsidRPr="008A7C0B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:rsidR="00173E2F" w:rsidRPr="008A7C0B" w:rsidRDefault="008A533C" w:rsidP="00150B6C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color w:val="17365D" w:themeColor="text2" w:themeShade="BF"/>
                <w:sz w:val="22"/>
                <w:szCs w:val="22"/>
              </w:rPr>
            </w:pPr>
            <w:r w:rsidRPr="008A7C0B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How and when should alternative procurement arrangements be used for procurement in Bank projects and how should they be assessed?</w:t>
            </w:r>
          </w:p>
        </w:tc>
      </w:tr>
      <w:tr w:rsidR="002E23E9" w:rsidRPr="008A7C0B" w:rsidTr="002E23E9">
        <w:trPr>
          <w:trHeight w:val="908"/>
        </w:trPr>
        <w:tc>
          <w:tcPr>
            <w:tcW w:w="13320" w:type="dxa"/>
            <w:shd w:val="clear" w:color="auto" w:fill="auto"/>
          </w:tcPr>
          <w:p w:rsidR="002E23E9" w:rsidRPr="008A7C0B" w:rsidRDefault="00691E84" w:rsidP="008A533C">
            <w:pPr>
              <w:pStyle w:val="ListParagraph"/>
              <w:numPr>
                <w:ilvl w:val="0"/>
                <w:numId w:val="13"/>
              </w:numPr>
              <w:ind w:left="309" w:hanging="253"/>
              <w:jc w:val="left"/>
              <w:rPr>
                <w:rFonts w:asciiTheme="majorHAnsi" w:eastAsia="Batang" w:hAnsiTheme="majorHAnsi" w:cs="Times New Roman"/>
                <w:sz w:val="22"/>
                <w:szCs w:val="22"/>
              </w:rPr>
            </w:pPr>
            <w:r w:rsidRPr="008A7C0B">
              <w:rPr>
                <w:rFonts w:asciiTheme="majorHAnsi" w:eastAsia="Batang" w:hAnsiTheme="majorHAnsi" w:cs="Times New Roman"/>
                <w:sz w:val="22"/>
                <w:szCs w:val="22"/>
              </w:rPr>
              <w:t>The idea of APAs is welcome</w:t>
            </w:r>
          </w:p>
          <w:p w:rsidR="006D109B" w:rsidRPr="008A7C0B" w:rsidRDefault="006D109B" w:rsidP="008A533C">
            <w:pPr>
              <w:pStyle w:val="ListParagraph"/>
              <w:numPr>
                <w:ilvl w:val="0"/>
                <w:numId w:val="13"/>
              </w:numPr>
              <w:ind w:left="309" w:hanging="253"/>
              <w:jc w:val="left"/>
              <w:rPr>
                <w:rFonts w:asciiTheme="majorHAnsi" w:eastAsia="Batang" w:hAnsiTheme="majorHAnsi" w:cs="Times New Roman"/>
                <w:sz w:val="22"/>
                <w:szCs w:val="22"/>
              </w:rPr>
            </w:pPr>
            <w:r w:rsidRPr="008A7C0B">
              <w:rPr>
                <w:rFonts w:asciiTheme="majorHAnsi" w:eastAsia="Batang" w:hAnsiTheme="majorHAnsi" w:cs="Times New Roman"/>
                <w:sz w:val="22"/>
                <w:szCs w:val="22"/>
              </w:rPr>
              <w:t>Diveristy of co-financeers can cause difficulty in the implementation stage, as most doners will want their system to be taken into account</w:t>
            </w:r>
            <w:r w:rsidR="002B6491" w:rsidRPr="008A7C0B">
              <w:rPr>
                <w:rFonts w:asciiTheme="majorHAnsi" w:eastAsia="Batang" w:hAnsiTheme="majorHAnsi" w:cs="Times New Roman"/>
                <w:sz w:val="22"/>
                <w:szCs w:val="22"/>
              </w:rPr>
              <w:t xml:space="preserve"> (causing delays); the proposed framework should try to address this problem. </w:t>
            </w:r>
          </w:p>
        </w:tc>
      </w:tr>
      <w:tr w:rsidR="002717AA" w:rsidRPr="008A7C0B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:rsidR="002717AA" w:rsidRPr="008A7C0B" w:rsidRDefault="008A533C" w:rsidP="00861BBC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8A7C0B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How should sustainable procurement matters be addressed in Bank-financed contracts?</w:t>
            </w:r>
          </w:p>
        </w:tc>
      </w:tr>
      <w:tr w:rsidR="002E23E9" w:rsidRPr="008A7C0B" w:rsidTr="00861BBC">
        <w:trPr>
          <w:trHeight w:val="539"/>
        </w:trPr>
        <w:tc>
          <w:tcPr>
            <w:tcW w:w="13320" w:type="dxa"/>
            <w:shd w:val="clear" w:color="auto" w:fill="auto"/>
          </w:tcPr>
          <w:p w:rsidR="002E23E9" w:rsidRPr="008A7C0B" w:rsidRDefault="002E23E9" w:rsidP="008A7C0B">
            <w:pPr>
              <w:pStyle w:val="ListParagraph"/>
              <w:ind w:left="309"/>
              <w:jc w:val="left"/>
              <w:rPr>
                <w:rFonts w:asciiTheme="majorHAnsi" w:hAnsiTheme="majorHAnsi" w:cs="Times New Roman"/>
                <w:color w:val="262626"/>
                <w:sz w:val="22"/>
                <w:szCs w:val="22"/>
              </w:rPr>
            </w:pPr>
          </w:p>
        </w:tc>
      </w:tr>
      <w:tr w:rsidR="002A7906" w:rsidRPr="008A7C0B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:rsidR="002A7906" w:rsidRPr="008A7C0B" w:rsidRDefault="008A533C" w:rsidP="00861BBC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8A7C0B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How should the World Bank manage fraud and corruption issues in the procurements it finances?</w:t>
            </w:r>
          </w:p>
        </w:tc>
      </w:tr>
      <w:tr w:rsidR="002E23E9" w:rsidRPr="008A7C0B" w:rsidTr="00861BBC">
        <w:trPr>
          <w:trHeight w:val="449"/>
        </w:trPr>
        <w:tc>
          <w:tcPr>
            <w:tcW w:w="13320" w:type="dxa"/>
            <w:shd w:val="clear" w:color="auto" w:fill="auto"/>
          </w:tcPr>
          <w:p w:rsidR="002E23E9" w:rsidRPr="008A7C0B" w:rsidRDefault="002E23E9" w:rsidP="008A7C0B">
            <w:pPr>
              <w:pStyle w:val="ListParagraph"/>
              <w:ind w:left="309"/>
              <w:rPr>
                <w:rFonts w:asciiTheme="majorHAnsi" w:hAnsiTheme="majorHAnsi" w:cs="Times New Roman"/>
                <w:color w:val="333333"/>
                <w:sz w:val="22"/>
                <w:szCs w:val="22"/>
              </w:rPr>
            </w:pPr>
          </w:p>
        </w:tc>
      </w:tr>
      <w:tr w:rsidR="00594D12" w:rsidRPr="008A7C0B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:rsidR="00594D12" w:rsidRPr="008A7C0B" w:rsidRDefault="008A533C" w:rsidP="00EE34F7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8A7C0B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What would be suitable procurement metrics that the Bank should use to improve performance?</w:t>
            </w:r>
          </w:p>
        </w:tc>
      </w:tr>
      <w:tr w:rsidR="002E23E9" w:rsidRPr="008A7C0B" w:rsidTr="00EE34F7">
        <w:trPr>
          <w:trHeight w:val="602"/>
        </w:trPr>
        <w:tc>
          <w:tcPr>
            <w:tcW w:w="13320" w:type="dxa"/>
            <w:shd w:val="clear" w:color="auto" w:fill="auto"/>
          </w:tcPr>
          <w:p w:rsidR="00EE34F7" w:rsidRPr="008A7C0B" w:rsidRDefault="00EE34F7" w:rsidP="00EE34F7">
            <w:pPr>
              <w:rPr>
                <w:rFonts w:asciiTheme="majorHAnsi" w:hAnsiTheme="majorHAnsi"/>
                <w:color w:val="333333"/>
                <w:sz w:val="22"/>
                <w:szCs w:val="22"/>
              </w:rPr>
            </w:pPr>
          </w:p>
        </w:tc>
      </w:tr>
      <w:tr w:rsidR="00A21FB6" w:rsidRPr="008A7C0B" w:rsidTr="00606BAD">
        <w:tblPrEx>
          <w:tblCellMar>
            <w:left w:w="0" w:type="dxa"/>
            <w:right w:w="0" w:type="dxa"/>
          </w:tblCellMar>
        </w:tblPrEx>
        <w:trPr>
          <w:trHeight w:val="557"/>
        </w:trPr>
        <w:tc>
          <w:tcPr>
            <w:tcW w:w="13320" w:type="dxa"/>
            <w:shd w:val="clear" w:color="auto" w:fill="DBE5F1" w:themeFill="accent1" w:themeFillTint="33"/>
          </w:tcPr>
          <w:p w:rsidR="00A21FB6" w:rsidRPr="008A7C0B" w:rsidRDefault="008A533C" w:rsidP="001453DE">
            <w:pPr>
              <w:numPr>
                <w:ilvl w:val="0"/>
                <w:numId w:val="30"/>
              </w:numPr>
              <w:snapToGrid w:val="0"/>
              <w:ind w:left="540"/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</w:pPr>
            <w:r w:rsidRPr="008A7C0B"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  <w:t>What role should the Bank have with regard to complaints monitoring?</w:t>
            </w:r>
          </w:p>
        </w:tc>
      </w:tr>
      <w:tr w:rsidR="002E23E9" w:rsidRPr="008A7C0B" w:rsidTr="00606BAD">
        <w:trPr>
          <w:trHeight w:val="386"/>
        </w:trPr>
        <w:tc>
          <w:tcPr>
            <w:tcW w:w="13320" w:type="dxa"/>
            <w:shd w:val="clear" w:color="auto" w:fill="auto"/>
          </w:tcPr>
          <w:p w:rsidR="002E23E9" w:rsidRPr="008A7C0B" w:rsidRDefault="001A3B8E" w:rsidP="00D662FD">
            <w:pPr>
              <w:pStyle w:val="ListParagraph"/>
              <w:numPr>
                <w:ilvl w:val="0"/>
                <w:numId w:val="1"/>
              </w:numPr>
              <w:ind w:left="309" w:hanging="253"/>
              <w:rPr>
                <w:rFonts w:asciiTheme="majorHAnsi" w:hAnsiTheme="majorHAnsi" w:cs="Times New Roman"/>
                <w:sz w:val="22"/>
                <w:szCs w:val="22"/>
              </w:rPr>
            </w:pPr>
            <w:r w:rsidRPr="008A7C0B">
              <w:rPr>
                <w:rFonts w:asciiTheme="majorHAnsi" w:hAnsiTheme="majorHAnsi" w:cs="Times New Roman"/>
                <w:sz w:val="22"/>
                <w:szCs w:val="22"/>
              </w:rPr>
              <w:t xml:space="preserve">The Bank should be able to put more trust in the borrower’s systems in dealing with complaints. </w:t>
            </w:r>
          </w:p>
        </w:tc>
      </w:tr>
      <w:tr w:rsidR="002E23E9" w:rsidRPr="008A7C0B" w:rsidTr="00606BAD">
        <w:trPr>
          <w:trHeight w:val="449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E23E9" w:rsidRPr="008A7C0B" w:rsidRDefault="008A533C" w:rsidP="00150B6C">
            <w:pPr>
              <w:numPr>
                <w:ilvl w:val="0"/>
                <w:numId w:val="30"/>
              </w:numPr>
              <w:snapToGrid w:val="0"/>
              <w:ind w:left="432"/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</w:pPr>
            <w:r w:rsidRPr="008A7C0B"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  <w:t>What should be the Bank’s role in contract management, and with regard to improving performance of suppliers?</w:t>
            </w:r>
          </w:p>
        </w:tc>
      </w:tr>
      <w:tr w:rsidR="002E23E9" w:rsidRPr="008A7C0B" w:rsidTr="00926FB9">
        <w:trPr>
          <w:trHeight w:val="377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3E9" w:rsidRPr="008A7C0B" w:rsidRDefault="001762D8" w:rsidP="008A533C">
            <w:pPr>
              <w:pStyle w:val="ListParagraph"/>
              <w:numPr>
                <w:ilvl w:val="0"/>
                <w:numId w:val="1"/>
              </w:numPr>
              <w:ind w:left="309" w:hanging="253"/>
              <w:rPr>
                <w:rFonts w:asciiTheme="majorHAnsi" w:hAnsiTheme="majorHAnsi" w:cs="Times New Roman"/>
                <w:sz w:val="22"/>
                <w:szCs w:val="22"/>
              </w:rPr>
            </w:pPr>
            <w:r w:rsidRPr="008A7C0B">
              <w:rPr>
                <w:rFonts w:asciiTheme="majorHAnsi" w:hAnsiTheme="majorHAnsi" w:cs="Times New Roman"/>
                <w:sz w:val="22"/>
                <w:szCs w:val="22"/>
              </w:rPr>
              <w:t>As for recourses, Stakeholders ask if the Bank will consider a more secure system that supports borrowers in keeping project proposal</w:t>
            </w:r>
            <w:r w:rsidR="00654ACA" w:rsidRPr="008A7C0B">
              <w:rPr>
                <w:rFonts w:asciiTheme="majorHAnsi" w:hAnsiTheme="majorHAnsi" w:cs="Times New Roman"/>
                <w:sz w:val="22"/>
                <w:szCs w:val="22"/>
              </w:rPr>
              <w:t xml:space="preserve">s </w:t>
            </w:r>
            <w:r w:rsidR="00654ACA" w:rsidRPr="008A7C0B">
              <w:rPr>
                <w:rFonts w:asciiTheme="majorHAnsi" w:hAnsiTheme="majorHAnsi"/>
                <w:sz w:val="22"/>
                <w:szCs w:val="22"/>
              </w:rPr>
              <w:t>confidential (in particular during bid/proposals evaluation)</w:t>
            </w:r>
          </w:p>
          <w:p w:rsidR="001762D8" w:rsidRPr="008A7C0B" w:rsidRDefault="008C1A29" w:rsidP="008C1A29">
            <w:pPr>
              <w:pStyle w:val="ListParagraph"/>
              <w:numPr>
                <w:ilvl w:val="0"/>
                <w:numId w:val="1"/>
              </w:numPr>
              <w:ind w:left="309" w:hanging="253"/>
              <w:rPr>
                <w:rFonts w:asciiTheme="majorHAnsi" w:hAnsiTheme="majorHAnsi" w:cs="Times New Roman"/>
                <w:sz w:val="22"/>
                <w:szCs w:val="22"/>
              </w:rPr>
            </w:pPr>
            <w:r w:rsidRPr="008A7C0B">
              <w:rPr>
                <w:rFonts w:asciiTheme="majorHAnsi" w:hAnsiTheme="majorHAnsi" w:cs="Times New Roman"/>
                <w:sz w:val="22"/>
                <w:szCs w:val="22"/>
              </w:rPr>
              <w:t>Management of contracts is often up to the contractor – this policy will demand more involvement by the Bank.</w:t>
            </w:r>
          </w:p>
          <w:p w:rsidR="004C2933" w:rsidRPr="008A7C0B" w:rsidRDefault="004C2933" w:rsidP="008C1A29">
            <w:pPr>
              <w:pStyle w:val="ListParagraph"/>
              <w:numPr>
                <w:ilvl w:val="0"/>
                <w:numId w:val="1"/>
              </w:numPr>
              <w:ind w:left="309" w:hanging="253"/>
              <w:rPr>
                <w:rFonts w:asciiTheme="majorHAnsi" w:hAnsiTheme="majorHAnsi" w:cs="Times New Roman"/>
                <w:sz w:val="22"/>
                <w:szCs w:val="22"/>
              </w:rPr>
            </w:pPr>
            <w:r w:rsidRPr="008A7C0B">
              <w:rPr>
                <w:rFonts w:asciiTheme="majorHAnsi" w:hAnsiTheme="majorHAnsi" w:cs="Times New Roman"/>
                <w:sz w:val="22"/>
                <w:szCs w:val="22"/>
              </w:rPr>
              <w:t>The current system that authorizes suppliers has a solid data base of service providers that have been evaluated for their performance. However maintainance of such a system is demanding; a regular analysis will require the mobilization of additional staff.</w:t>
            </w:r>
          </w:p>
          <w:p w:rsidR="00861BBC" w:rsidRPr="008A7C0B" w:rsidRDefault="00826C8A" w:rsidP="00861BBC">
            <w:pPr>
              <w:pStyle w:val="ListParagraph"/>
              <w:numPr>
                <w:ilvl w:val="0"/>
                <w:numId w:val="1"/>
              </w:numPr>
              <w:ind w:left="309" w:hanging="253"/>
              <w:rPr>
                <w:rFonts w:asciiTheme="majorHAnsi" w:hAnsiTheme="majorHAnsi" w:cs="Times New Roman"/>
                <w:sz w:val="22"/>
                <w:szCs w:val="22"/>
              </w:rPr>
            </w:pPr>
            <w:r w:rsidRPr="008A7C0B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In the analysis of CM, payment aspects should be mainstreamed and difficulties with VAT should be reviewed as it often constitutes a blockage for project implementation. </w:t>
            </w:r>
          </w:p>
        </w:tc>
      </w:tr>
      <w:tr w:rsidR="002E23E9" w:rsidRPr="008A7C0B" w:rsidTr="00606BAD">
        <w:trPr>
          <w:trHeight w:val="422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E23E9" w:rsidRPr="008A7C0B" w:rsidRDefault="008A533C" w:rsidP="00150B6C">
            <w:pPr>
              <w:numPr>
                <w:ilvl w:val="0"/>
                <w:numId w:val="30"/>
              </w:numPr>
              <w:snapToGrid w:val="0"/>
              <w:ind w:left="432"/>
              <w:rPr>
                <w:rFonts w:asciiTheme="majorHAnsi" w:hAnsiTheme="majorHAnsi"/>
                <w:sz w:val="22"/>
                <w:szCs w:val="22"/>
              </w:rPr>
            </w:pPr>
            <w:r w:rsidRPr="008A7C0B"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  <w:lastRenderedPageBreak/>
              <w:t>General comments on other issues emanating from the Bank's proposals?</w:t>
            </w:r>
          </w:p>
        </w:tc>
      </w:tr>
      <w:tr w:rsidR="002E23E9" w:rsidRPr="008A7C0B" w:rsidTr="002E23E9">
        <w:trPr>
          <w:trHeight w:val="1007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3E9" w:rsidRPr="008A7C0B" w:rsidRDefault="002A435A" w:rsidP="0060476E">
            <w:pPr>
              <w:pStyle w:val="ListParagraph"/>
              <w:numPr>
                <w:ilvl w:val="0"/>
                <w:numId w:val="1"/>
              </w:numPr>
              <w:ind w:left="309" w:hanging="253"/>
              <w:rPr>
                <w:rFonts w:asciiTheme="majorHAnsi" w:hAnsiTheme="majorHAnsi" w:cs="Times New Roman"/>
                <w:sz w:val="22"/>
                <w:szCs w:val="22"/>
              </w:rPr>
            </w:pPr>
            <w:r w:rsidRPr="008A7C0B">
              <w:rPr>
                <w:rFonts w:asciiTheme="majorHAnsi" w:hAnsiTheme="majorHAnsi" w:cs="Times New Roman"/>
                <w:sz w:val="22"/>
                <w:szCs w:val="22"/>
              </w:rPr>
              <w:t xml:space="preserve">Stakeholders highlight that the amount of work undertaken in prior reviews constitute a hurdle to the efficient management of projects. </w:t>
            </w:r>
            <w:r w:rsidR="007102A2" w:rsidRPr="008A7C0B">
              <w:rPr>
                <w:rFonts w:asciiTheme="majorHAnsi" w:hAnsiTheme="majorHAnsi" w:cs="Times New Roman"/>
                <w:sz w:val="22"/>
                <w:szCs w:val="22"/>
              </w:rPr>
              <w:t>In Senegal the thresholds are above those of the Bank, are these going to be reviewed? In which case the issue of double</w:t>
            </w:r>
            <w:r w:rsidR="007E2402" w:rsidRPr="008A7C0B">
              <w:rPr>
                <w:rFonts w:asciiTheme="majorHAnsi" w:hAnsiTheme="majorHAnsi" w:cs="Times New Roman"/>
                <w:sz w:val="22"/>
                <w:szCs w:val="22"/>
              </w:rPr>
              <w:t xml:space="preserve"> reviews </w:t>
            </w:r>
            <w:r w:rsidR="006D6E5E" w:rsidRPr="008A7C0B">
              <w:rPr>
                <w:rFonts w:asciiTheme="majorHAnsi" w:hAnsiTheme="majorHAnsi" w:cs="Times New Roman"/>
                <w:sz w:val="22"/>
                <w:szCs w:val="22"/>
              </w:rPr>
              <w:t xml:space="preserve">(by both CMP and the WB) </w:t>
            </w:r>
            <w:r w:rsidR="007E2402" w:rsidRPr="008A7C0B">
              <w:rPr>
                <w:rFonts w:asciiTheme="majorHAnsi" w:hAnsiTheme="majorHAnsi" w:cs="Times New Roman"/>
                <w:sz w:val="22"/>
                <w:szCs w:val="22"/>
              </w:rPr>
              <w:t xml:space="preserve">must be </w:t>
            </w:r>
            <w:r w:rsidR="006D6E5E" w:rsidRPr="008A7C0B">
              <w:rPr>
                <w:rFonts w:asciiTheme="majorHAnsi" w:hAnsiTheme="majorHAnsi" w:cs="Times New Roman"/>
                <w:sz w:val="22"/>
                <w:szCs w:val="22"/>
              </w:rPr>
              <w:t>tackled</w:t>
            </w:r>
            <w:r w:rsidR="007E2402" w:rsidRPr="008A7C0B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7102A2" w:rsidRPr="008A7C0B">
              <w:rPr>
                <w:rFonts w:asciiTheme="majorHAnsi" w:hAnsiTheme="majorHAnsi" w:cs="Times New Roman"/>
                <w:sz w:val="22"/>
                <w:szCs w:val="22"/>
              </w:rPr>
              <w:t xml:space="preserve">– </w:t>
            </w:r>
            <w:r w:rsidR="0060476E" w:rsidRPr="008A7C0B">
              <w:rPr>
                <w:rFonts w:asciiTheme="majorHAnsi" w:hAnsiTheme="majorHAnsi" w:cs="Times New Roman"/>
                <w:sz w:val="22"/>
                <w:szCs w:val="22"/>
              </w:rPr>
              <w:t>why not streamline the review and limit it to the review by the country procurement control body.</w:t>
            </w:r>
          </w:p>
          <w:p w:rsidR="008D4EB7" w:rsidRPr="008A7C0B" w:rsidRDefault="008D4EB7" w:rsidP="007E2402">
            <w:pPr>
              <w:pStyle w:val="ListParagraph"/>
              <w:numPr>
                <w:ilvl w:val="0"/>
                <w:numId w:val="1"/>
              </w:numPr>
              <w:ind w:left="309" w:hanging="253"/>
              <w:rPr>
                <w:rFonts w:asciiTheme="majorHAnsi" w:hAnsiTheme="majorHAnsi" w:cs="Times New Roman"/>
                <w:sz w:val="22"/>
                <w:szCs w:val="22"/>
              </w:rPr>
            </w:pPr>
            <w:r w:rsidRPr="008A7C0B">
              <w:rPr>
                <w:rFonts w:asciiTheme="majorHAnsi" w:hAnsiTheme="majorHAnsi" w:cs="Times New Roman"/>
                <w:sz w:val="22"/>
                <w:szCs w:val="22"/>
              </w:rPr>
              <w:t>Advocating for the CDD type projects (</w:t>
            </w:r>
            <w:r w:rsidR="001A3B8E" w:rsidRPr="008A7C0B">
              <w:rPr>
                <w:rFonts w:asciiTheme="majorHAnsi" w:hAnsiTheme="majorHAnsi" w:cs="Times New Roman"/>
                <w:sz w:val="22"/>
                <w:szCs w:val="22"/>
              </w:rPr>
              <w:t xml:space="preserve">community based projects, </w:t>
            </w:r>
            <w:r w:rsidRPr="008A7C0B">
              <w:rPr>
                <w:rFonts w:asciiTheme="majorHAnsi" w:hAnsiTheme="majorHAnsi" w:cs="Times New Roman"/>
                <w:sz w:val="22"/>
                <w:szCs w:val="22"/>
              </w:rPr>
              <w:t>where disbursement is based on good quality and/or performance)</w:t>
            </w:r>
            <w:r w:rsidR="001A3B8E" w:rsidRPr="008A7C0B">
              <w:rPr>
                <w:rFonts w:asciiTheme="majorHAnsi" w:hAnsiTheme="majorHAnsi" w:cs="Times New Roman"/>
                <w:sz w:val="22"/>
                <w:szCs w:val="22"/>
              </w:rPr>
              <w:t>, the Bank will now have to consider how the CDDs can be adapted to the common procurement system.</w:t>
            </w:r>
          </w:p>
          <w:p w:rsidR="003B247D" w:rsidRPr="008A7C0B" w:rsidRDefault="003B247D" w:rsidP="007E2402">
            <w:pPr>
              <w:pStyle w:val="ListParagraph"/>
              <w:numPr>
                <w:ilvl w:val="0"/>
                <w:numId w:val="1"/>
              </w:numPr>
              <w:ind w:left="309" w:hanging="253"/>
              <w:rPr>
                <w:rFonts w:asciiTheme="majorHAnsi" w:hAnsiTheme="majorHAnsi" w:cs="Times New Roman"/>
                <w:sz w:val="22"/>
                <w:szCs w:val="22"/>
              </w:rPr>
            </w:pPr>
            <w:r w:rsidRPr="008A7C0B">
              <w:rPr>
                <w:rFonts w:asciiTheme="majorHAnsi" w:hAnsiTheme="majorHAnsi" w:cs="Times New Roman"/>
                <w:sz w:val="22"/>
                <w:szCs w:val="22"/>
              </w:rPr>
              <w:t>The reform should take care, not be unfavorable for local companies.</w:t>
            </w:r>
          </w:p>
          <w:p w:rsidR="00606BAD" w:rsidRPr="008A7C0B" w:rsidRDefault="00606BAD" w:rsidP="007E2402">
            <w:pPr>
              <w:pStyle w:val="ListParagraph"/>
              <w:numPr>
                <w:ilvl w:val="0"/>
                <w:numId w:val="1"/>
              </w:numPr>
              <w:ind w:left="309" w:hanging="253"/>
              <w:rPr>
                <w:rFonts w:asciiTheme="majorHAnsi" w:hAnsiTheme="majorHAnsi" w:cs="Times New Roman"/>
                <w:sz w:val="22"/>
                <w:szCs w:val="22"/>
              </w:rPr>
            </w:pPr>
            <w:r w:rsidRPr="008A7C0B">
              <w:rPr>
                <w:rFonts w:asciiTheme="majorHAnsi" w:hAnsiTheme="majorHAnsi" w:cs="Times New Roman"/>
                <w:sz w:val="22"/>
                <w:szCs w:val="22"/>
              </w:rPr>
              <w:t>Recent concerns over bid assessments deserve analysis</w:t>
            </w:r>
            <w:r w:rsidR="00EE34F7" w:rsidRPr="008A7C0B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  <w:p w:rsidR="00EE34F7" w:rsidRPr="008A7C0B" w:rsidRDefault="00EE34F7" w:rsidP="007E2402">
            <w:pPr>
              <w:pStyle w:val="ListParagraph"/>
              <w:numPr>
                <w:ilvl w:val="0"/>
                <w:numId w:val="1"/>
              </w:numPr>
              <w:ind w:left="309" w:hanging="253"/>
              <w:rPr>
                <w:rFonts w:asciiTheme="majorHAnsi" w:hAnsiTheme="majorHAnsi" w:cs="Times New Roman"/>
                <w:sz w:val="22"/>
                <w:szCs w:val="22"/>
              </w:rPr>
            </w:pPr>
            <w:r w:rsidRPr="008A7C0B">
              <w:rPr>
                <w:rFonts w:asciiTheme="majorHAnsi" w:hAnsiTheme="majorHAnsi" w:cs="Times New Roman"/>
                <w:sz w:val="22"/>
                <w:szCs w:val="22"/>
              </w:rPr>
              <w:t xml:space="preserve">In bids evaulations, suppliers often limit themselves to overall amounts rather than acquisition/purchasing cost. </w:t>
            </w:r>
          </w:p>
          <w:p w:rsidR="00826C8A" w:rsidRPr="008A7C0B" w:rsidRDefault="00826C8A" w:rsidP="007E2402">
            <w:pPr>
              <w:pStyle w:val="ListParagraph"/>
              <w:numPr>
                <w:ilvl w:val="0"/>
                <w:numId w:val="1"/>
              </w:numPr>
              <w:ind w:left="309" w:hanging="253"/>
              <w:rPr>
                <w:rFonts w:asciiTheme="majorHAnsi" w:hAnsiTheme="majorHAnsi" w:cs="Times New Roman"/>
                <w:sz w:val="22"/>
                <w:szCs w:val="22"/>
              </w:rPr>
            </w:pPr>
            <w:r w:rsidRPr="008A7C0B">
              <w:rPr>
                <w:rFonts w:asciiTheme="majorHAnsi" w:hAnsiTheme="majorHAnsi" w:cs="Times New Roman"/>
                <w:sz w:val="22"/>
                <w:szCs w:val="22"/>
              </w:rPr>
              <w:t xml:space="preserve">Is there a timeline for the adaptation of the new procurement policy? </w:t>
            </w:r>
          </w:p>
          <w:p w:rsidR="002577BA" w:rsidRPr="008A7C0B" w:rsidRDefault="002577BA" w:rsidP="007E2402">
            <w:pPr>
              <w:pStyle w:val="ListParagraph"/>
              <w:numPr>
                <w:ilvl w:val="0"/>
                <w:numId w:val="1"/>
              </w:numPr>
              <w:ind w:left="309" w:hanging="253"/>
              <w:rPr>
                <w:rFonts w:asciiTheme="majorHAnsi" w:hAnsiTheme="majorHAnsi" w:cs="Times New Roman"/>
                <w:sz w:val="22"/>
                <w:szCs w:val="22"/>
              </w:rPr>
            </w:pPr>
            <w:r w:rsidRPr="008A7C0B">
              <w:rPr>
                <w:rFonts w:asciiTheme="majorHAnsi" w:hAnsiTheme="majorHAnsi" w:cs="Times New Roman"/>
                <w:sz w:val="22"/>
                <w:szCs w:val="22"/>
              </w:rPr>
              <w:t>As for reviews, the Bank could position itself to control after delivery; the borrower should be responsible for previews.</w:t>
            </w:r>
          </w:p>
          <w:p w:rsidR="0060476E" w:rsidRPr="008A7C0B" w:rsidRDefault="0060476E" w:rsidP="007E2402">
            <w:pPr>
              <w:pStyle w:val="ListParagraph"/>
              <w:numPr>
                <w:ilvl w:val="0"/>
                <w:numId w:val="1"/>
              </w:numPr>
              <w:ind w:left="309" w:hanging="253"/>
              <w:rPr>
                <w:rFonts w:asciiTheme="majorHAnsi" w:hAnsiTheme="majorHAnsi" w:cs="Times New Roman"/>
                <w:sz w:val="22"/>
                <w:szCs w:val="22"/>
              </w:rPr>
            </w:pPr>
            <w:r w:rsidRPr="008A7C0B">
              <w:rPr>
                <w:rFonts w:asciiTheme="majorHAnsi" w:hAnsiTheme="majorHAnsi"/>
                <w:sz w:val="22"/>
                <w:szCs w:val="22"/>
              </w:rPr>
              <w:t>There is a need to reinforce the links between procurement and budget preparation and budget execution.</w:t>
            </w:r>
          </w:p>
        </w:tc>
      </w:tr>
    </w:tbl>
    <w:p w:rsidR="0041268A" w:rsidRPr="008A7C0B" w:rsidRDefault="0041268A" w:rsidP="00AC78CB">
      <w:pPr>
        <w:rPr>
          <w:rFonts w:asciiTheme="majorHAnsi" w:hAnsiTheme="majorHAnsi"/>
          <w:sz w:val="22"/>
          <w:szCs w:val="22"/>
        </w:rPr>
      </w:pPr>
    </w:p>
    <w:sectPr w:rsidR="0041268A" w:rsidRPr="008A7C0B" w:rsidSect="00150B6C">
      <w:headerReference w:type="default" r:id="rId13"/>
      <w:footerReference w:type="even" r:id="rId14"/>
      <w:footerReference w:type="default" r:id="rId15"/>
      <w:pgSz w:w="15840" w:h="12240" w:orient="landscape"/>
      <w:pgMar w:top="90" w:right="1418" w:bottom="360" w:left="1134" w:header="720" w:footer="375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F3" w:rsidRDefault="00E706F3">
      <w:pPr>
        <w:spacing w:after="0" w:line="240" w:lineRule="auto"/>
      </w:pPr>
      <w:r>
        <w:separator/>
      </w:r>
    </w:p>
  </w:endnote>
  <w:endnote w:type="continuationSeparator" w:id="0">
    <w:p w:rsidR="00E706F3" w:rsidRDefault="00E7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8A533C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10682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150B6C" w:rsidRPr="00150B6C" w:rsidRDefault="00150B6C">
        <w:pPr>
          <w:pStyle w:val="Footer"/>
          <w:jc w:val="center"/>
          <w:rPr>
            <w:rFonts w:asciiTheme="minorHAnsi" w:hAnsiTheme="minorHAnsi"/>
            <w:sz w:val="20"/>
            <w:szCs w:val="20"/>
          </w:rPr>
        </w:pPr>
        <w:r w:rsidRPr="00150B6C">
          <w:rPr>
            <w:rFonts w:asciiTheme="minorHAnsi" w:hAnsiTheme="minorHAnsi"/>
            <w:sz w:val="20"/>
            <w:szCs w:val="20"/>
          </w:rPr>
          <w:fldChar w:fldCharType="begin"/>
        </w:r>
        <w:r w:rsidRPr="00150B6C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150B6C">
          <w:rPr>
            <w:rFonts w:asciiTheme="minorHAnsi" w:hAnsiTheme="minorHAnsi"/>
            <w:sz w:val="20"/>
            <w:szCs w:val="20"/>
          </w:rPr>
          <w:fldChar w:fldCharType="separate"/>
        </w:r>
        <w:r w:rsidR="00E86C3A">
          <w:rPr>
            <w:rFonts w:asciiTheme="minorHAnsi" w:hAnsiTheme="minorHAnsi"/>
            <w:noProof/>
            <w:sz w:val="20"/>
            <w:szCs w:val="20"/>
          </w:rPr>
          <w:t>2</w:t>
        </w:r>
        <w:r w:rsidRPr="00150B6C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F3" w:rsidRDefault="00E706F3">
      <w:pPr>
        <w:spacing w:after="0" w:line="240" w:lineRule="auto"/>
      </w:pPr>
      <w:r>
        <w:separator/>
      </w:r>
    </w:p>
  </w:footnote>
  <w:footnote w:type="continuationSeparator" w:id="0">
    <w:p w:rsidR="00E706F3" w:rsidRDefault="00E7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AF0E93"/>
    <w:multiLevelType w:val="hybridMultilevel"/>
    <w:tmpl w:val="BBD6BBC0"/>
    <w:lvl w:ilvl="0" w:tplc="5290E2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42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E0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22D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8F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24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02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04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8E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54324"/>
    <w:multiLevelType w:val="hybridMultilevel"/>
    <w:tmpl w:val="03F2A1C8"/>
    <w:lvl w:ilvl="0" w:tplc="16B43E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40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8B1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84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62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12B1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D48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4BD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CC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D603C"/>
    <w:multiLevelType w:val="hybridMultilevel"/>
    <w:tmpl w:val="44ACF2D0"/>
    <w:lvl w:ilvl="0" w:tplc="94AC30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45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80F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785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EB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E1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81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4F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E4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579CC"/>
    <w:multiLevelType w:val="hybridMultilevel"/>
    <w:tmpl w:val="B860DBE0"/>
    <w:lvl w:ilvl="0" w:tplc="A6DE16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04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705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8E2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46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80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FA0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E7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989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4D644A99"/>
    <w:multiLevelType w:val="hybridMultilevel"/>
    <w:tmpl w:val="418266C6"/>
    <w:lvl w:ilvl="0" w:tplc="34E8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A4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FC1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328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C8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66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20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7E8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01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6D7653"/>
    <w:multiLevelType w:val="hybridMultilevel"/>
    <w:tmpl w:val="5AA85096"/>
    <w:lvl w:ilvl="0" w:tplc="EA2C4B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049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62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D2F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C0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CF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76B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4B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A27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53FA5241"/>
    <w:multiLevelType w:val="hybridMultilevel"/>
    <w:tmpl w:val="C25A7C06"/>
    <w:lvl w:ilvl="0" w:tplc="7CDC7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2CD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3A5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100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2D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285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500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8C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DC9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E27AAB"/>
    <w:multiLevelType w:val="hybridMultilevel"/>
    <w:tmpl w:val="A620B102"/>
    <w:lvl w:ilvl="0" w:tplc="1FB4B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664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780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23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5411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CC0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2C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E8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94B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6043C2"/>
    <w:multiLevelType w:val="hybridMultilevel"/>
    <w:tmpl w:val="371EEE94"/>
    <w:lvl w:ilvl="0" w:tplc="38BE2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28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C8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43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A4A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D04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46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8E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F80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E51DA"/>
    <w:multiLevelType w:val="hybridMultilevel"/>
    <w:tmpl w:val="AD5E6B46"/>
    <w:lvl w:ilvl="0" w:tplc="BD58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282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28A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666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6D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24D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A5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64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06C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7C116600"/>
    <w:multiLevelType w:val="hybridMultilevel"/>
    <w:tmpl w:val="F9D891EE"/>
    <w:lvl w:ilvl="0" w:tplc="D4FEB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36"/>
  </w:num>
  <w:num w:numId="4">
    <w:abstractNumId w:val="24"/>
  </w:num>
  <w:num w:numId="5">
    <w:abstractNumId w:val="19"/>
  </w:num>
  <w:num w:numId="6">
    <w:abstractNumId w:val="33"/>
  </w:num>
  <w:num w:numId="7">
    <w:abstractNumId w:val="37"/>
  </w:num>
  <w:num w:numId="8">
    <w:abstractNumId w:val="39"/>
  </w:num>
  <w:num w:numId="9">
    <w:abstractNumId w:val="35"/>
  </w:num>
  <w:num w:numId="10">
    <w:abstractNumId w:val="12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  <w:num w:numId="15">
    <w:abstractNumId w:val="30"/>
  </w:num>
  <w:num w:numId="16">
    <w:abstractNumId w:val="4"/>
  </w:num>
  <w:num w:numId="17">
    <w:abstractNumId w:val="31"/>
  </w:num>
  <w:num w:numId="18">
    <w:abstractNumId w:val="9"/>
  </w:num>
  <w:num w:numId="19">
    <w:abstractNumId w:val="16"/>
  </w:num>
  <w:num w:numId="20">
    <w:abstractNumId w:val="7"/>
  </w:num>
  <w:num w:numId="21">
    <w:abstractNumId w:val="11"/>
  </w:num>
  <w:num w:numId="22">
    <w:abstractNumId w:val="18"/>
  </w:num>
  <w:num w:numId="23">
    <w:abstractNumId w:val="34"/>
  </w:num>
  <w:num w:numId="24">
    <w:abstractNumId w:val="29"/>
  </w:num>
  <w:num w:numId="25">
    <w:abstractNumId w:val="13"/>
  </w:num>
  <w:num w:numId="26">
    <w:abstractNumId w:val="22"/>
  </w:num>
  <w:num w:numId="27">
    <w:abstractNumId w:val="14"/>
  </w:num>
  <w:num w:numId="28">
    <w:abstractNumId w:val="17"/>
  </w:num>
  <w:num w:numId="29">
    <w:abstractNumId w:val="27"/>
  </w:num>
  <w:num w:numId="30">
    <w:abstractNumId w:val="38"/>
  </w:num>
  <w:num w:numId="31">
    <w:abstractNumId w:val="25"/>
  </w:num>
  <w:num w:numId="32">
    <w:abstractNumId w:val="32"/>
  </w:num>
  <w:num w:numId="33">
    <w:abstractNumId w:val="20"/>
  </w:num>
  <w:num w:numId="34">
    <w:abstractNumId w:val="26"/>
  </w:num>
  <w:num w:numId="35">
    <w:abstractNumId w:val="15"/>
  </w:num>
  <w:num w:numId="36">
    <w:abstractNumId w:val="2"/>
  </w:num>
  <w:num w:numId="37">
    <w:abstractNumId w:val="6"/>
  </w:num>
  <w:num w:numId="38">
    <w:abstractNumId w:val="21"/>
  </w:num>
  <w:num w:numId="3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255A"/>
    <w:rsid w:val="00007DA4"/>
    <w:rsid w:val="00014E36"/>
    <w:rsid w:val="00017022"/>
    <w:rsid w:val="000225BA"/>
    <w:rsid w:val="0002336F"/>
    <w:rsid w:val="00024DD6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46FD1"/>
    <w:rsid w:val="00050278"/>
    <w:rsid w:val="00052126"/>
    <w:rsid w:val="00052A60"/>
    <w:rsid w:val="000568E5"/>
    <w:rsid w:val="000615B0"/>
    <w:rsid w:val="000701AB"/>
    <w:rsid w:val="000744EF"/>
    <w:rsid w:val="00081AF6"/>
    <w:rsid w:val="00083CB4"/>
    <w:rsid w:val="00092809"/>
    <w:rsid w:val="00093B2C"/>
    <w:rsid w:val="00097805"/>
    <w:rsid w:val="000A1804"/>
    <w:rsid w:val="000A68F9"/>
    <w:rsid w:val="000A6D16"/>
    <w:rsid w:val="000A7F3E"/>
    <w:rsid w:val="000B2DE8"/>
    <w:rsid w:val="000B3468"/>
    <w:rsid w:val="000B6925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2163"/>
    <w:rsid w:val="000E2D39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021DE"/>
    <w:rsid w:val="00106290"/>
    <w:rsid w:val="00112D59"/>
    <w:rsid w:val="00116045"/>
    <w:rsid w:val="0011666B"/>
    <w:rsid w:val="001223AF"/>
    <w:rsid w:val="0012738A"/>
    <w:rsid w:val="0013530E"/>
    <w:rsid w:val="0014341F"/>
    <w:rsid w:val="00143686"/>
    <w:rsid w:val="00144343"/>
    <w:rsid w:val="001453DE"/>
    <w:rsid w:val="001467E0"/>
    <w:rsid w:val="00150B6C"/>
    <w:rsid w:val="00155228"/>
    <w:rsid w:val="001603D5"/>
    <w:rsid w:val="00165F5F"/>
    <w:rsid w:val="00166F32"/>
    <w:rsid w:val="00170112"/>
    <w:rsid w:val="0017095E"/>
    <w:rsid w:val="001725DE"/>
    <w:rsid w:val="001737D3"/>
    <w:rsid w:val="00173A55"/>
    <w:rsid w:val="00173E2F"/>
    <w:rsid w:val="0017439C"/>
    <w:rsid w:val="00174746"/>
    <w:rsid w:val="001762D8"/>
    <w:rsid w:val="00180399"/>
    <w:rsid w:val="00185589"/>
    <w:rsid w:val="0018566C"/>
    <w:rsid w:val="001862DC"/>
    <w:rsid w:val="00187744"/>
    <w:rsid w:val="00187B91"/>
    <w:rsid w:val="00193933"/>
    <w:rsid w:val="001958FD"/>
    <w:rsid w:val="00195AA9"/>
    <w:rsid w:val="00196734"/>
    <w:rsid w:val="001969FB"/>
    <w:rsid w:val="001A131C"/>
    <w:rsid w:val="001A3B8E"/>
    <w:rsid w:val="001A6224"/>
    <w:rsid w:val="001A70E7"/>
    <w:rsid w:val="001A7BD2"/>
    <w:rsid w:val="001B3819"/>
    <w:rsid w:val="001B3D64"/>
    <w:rsid w:val="001B5314"/>
    <w:rsid w:val="001B5FD2"/>
    <w:rsid w:val="001B6254"/>
    <w:rsid w:val="001C0DF8"/>
    <w:rsid w:val="001C12BD"/>
    <w:rsid w:val="001C4A97"/>
    <w:rsid w:val="001D02F0"/>
    <w:rsid w:val="001D0A26"/>
    <w:rsid w:val="001D3762"/>
    <w:rsid w:val="001D4E40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6906"/>
    <w:rsid w:val="002078E0"/>
    <w:rsid w:val="00211152"/>
    <w:rsid w:val="002248F1"/>
    <w:rsid w:val="002253F7"/>
    <w:rsid w:val="00225F7C"/>
    <w:rsid w:val="00227180"/>
    <w:rsid w:val="00232712"/>
    <w:rsid w:val="0023392A"/>
    <w:rsid w:val="00236099"/>
    <w:rsid w:val="0023669B"/>
    <w:rsid w:val="0024205F"/>
    <w:rsid w:val="00255132"/>
    <w:rsid w:val="002577BA"/>
    <w:rsid w:val="002648AA"/>
    <w:rsid w:val="002679D9"/>
    <w:rsid w:val="002705F9"/>
    <w:rsid w:val="002717AA"/>
    <w:rsid w:val="0027488F"/>
    <w:rsid w:val="0027791F"/>
    <w:rsid w:val="002801FD"/>
    <w:rsid w:val="00283919"/>
    <w:rsid w:val="0028464A"/>
    <w:rsid w:val="00292E6E"/>
    <w:rsid w:val="00295A21"/>
    <w:rsid w:val="002A435A"/>
    <w:rsid w:val="002A53A4"/>
    <w:rsid w:val="002A5680"/>
    <w:rsid w:val="002A673A"/>
    <w:rsid w:val="002A6B80"/>
    <w:rsid w:val="002A7906"/>
    <w:rsid w:val="002B6491"/>
    <w:rsid w:val="002B67F6"/>
    <w:rsid w:val="002C02C4"/>
    <w:rsid w:val="002C093B"/>
    <w:rsid w:val="002C1A68"/>
    <w:rsid w:val="002C26F1"/>
    <w:rsid w:val="002D786E"/>
    <w:rsid w:val="002E061F"/>
    <w:rsid w:val="002E1692"/>
    <w:rsid w:val="002E23E9"/>
    <w:rsid w:val="002E3DC8"/>
    <w:rsid w:val="002E7551"/>
    <w:rsid w:val="002E7FA4"/>
    <w:rsid w:val="002F017A"/>
    <w:rsid w:val="002F0F6D"/>
    <w:rsid w:val="002F156A"/>
    <w:rsid w:val="002F5B95"/>
    <w:rsid w:val="0030042C"/>
    <w:rsid w:val="00306114"/>
    <w:rsid w:val="00306208"/>
    <w:rsid w:val="00306F08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103C"/>
    <w:rsid w:val="00323CE8"/>
    <w:rsid w:val="00327933"/>
    <w:rsid w:val="00337BD2"/>
    <w:rsid w:val="003402AA"/>
    <w:rsid w:val="00344222"/>
    <w:rsid w:val="00345D6C"/>
    <w:rsid w:val="003507ED"/>
    <w:rsid w:val="00352D9C"/>
    <w:rsid w:val="00353D85"/>
    <w:rsid w:val="00353E83"/>
    <w:rsid w:val="00354731"/>
    <w:rsid w:val="003559C0"/>
    <w:rsid w:val="0035744E"/>
    <w:rsid w:val="00361A5B"/>
    <w:rsid w:val="0036531B"/>
    <w:rsid w:val="00366F47"/>
    <w:rsid w:val="00367E63"/>
    <w:rsid w:val="00372BAA"/>
    <w:rsid w:val="003739E9"/>
    <w:rsid w:val="00374DAC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247D"/>
    <w:rsid w:val="003B34CF"/>
    <w:rsid w:val="003C798A"/>
    <w:rsid w:val="003D1475"/>
    <w:rsid w:val="003D1587"/>
    <w:rsid w:val="003D4776"/>
    <w:rsid w:val="003D5011"/>
    <w:rsid w:val="003D686C"/>
    <w:rsid w:val="003E0D04"/>
    <w:rsid w:val="003E1AAE"/>
    <w:rsid w:val="003E2779"/>
    <w:rsid w:val="003E32AF"/>
    <w:rsid w:val="003F2F60"/>
    <w:rsid w:val="003F309E"/>
    <w:rsid w:val="0040761E"/>
    <w:rsid w:val="0041268A"/>
    <w:rsid w:val="00414B20"/>
    <w:rsid w:val="00416EDE"/>
    <w:rsid w:val="00424C82"/>
    <w:rsid w:val="00426B51"/>
    <w:rsid w:val="00431D5F"/>
    <w:rsid w:val="00436033"/>
    <w:rsid w:val="00442D97"/>
    <w:rsid w:val="00443EEF"/>
    <w:rsid w:val="00446D15"/>
    <w:rsid w:val="00453CD4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1CD6"/>
    <w:rsid w:val="004B2020"/>
    <w:rsid w:val="004B2825"/>
    <w:rsid w:val="004B695A"/>
    <w:rsid w:val="004B69B8"/>
    <w:rsid w:val="004C2933"/>
    <w:rsid w:val="004C2A58"/>
    <w:rsid w:val="004C34CD"/>
    <w:rsid w:val="004C3573"/>
    <w:rsid w:val="004C37E8"/>
    <w:rsid w:val="004C4524"/>
    <w:rsid w:val="004C6BA6"/>
    <w:rsid w:val="004C76CB"/>
    <w:rsid w:val="004C7FCA"/>
    <w:rsid w:val="004D4CBA"/>
    <w:rsid w:val="004D6875"/>
    <w:rsid w:val="004D68F9"/>
    <w:rsid w:val="004E0D4C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08C6"/>
    <w:rsid w:val="00517A78"/>
    <w:rsid w:val="00521046"/>
    <w:rsid w:val="005214D1"/>
    <w:rsid w:val="0052371D"/>
    <w:rsid w:val="005409E3"/>
    <w:rsid w:val="005420E0"/>
    <w:rsid w:val="00542D82"/>
    <w:rsid w:val="00551E85"/>
    <w:rsid w:val="00555A56"/>
    <w:rsid w:val="00560F42"/>
    <w:rsid w:val="00561582"/>
    <w:rsid w:val="00562369"/>
    <w:rsid w:val="0056581D"/>
    <w:rsid w:val="00566924"/>
    <w:rsid w:val="00567698"/>
    <w:rsid w:val="005703C8"/>
    <w:rsid w:val="00572220"/>
    <w:rsid w:val="0057243A"/>
    <w:rsid w:val="0057765C"/>
    <w:rsid w:val="00580742"/>
    <w:rsid w:val="00581F5B"/>
    <w:rsid w:val="00582C42"/>
    <w:rsid w:val="00590F1D"/>
    <w:rsid w:val="005926E0"/>
    <w:rsid w:val="00592B56"/>
    <w:rsid w:val="005941F6"/>
    <w:rsid w:val="00594D12"/>
    <w:rsid w:val="00595239"/>
    <w:rsid w:val="005A2178"/>
    <w:rsid w:val="005A323D"/>
    <w:rsid w:val="005B1D7C"/>
    <w:rsid w:val="005B5868"/>
    <w:rsid w:val="005C2BD1"/>
    <w:rsid w:val="005C3028"/>
    <w:rsid w:val="005C478A"/>
    <w:rsid w:val="005C4C50"/>
    <w:rsid w:val="005C56F1"/>
    <w:rsid w:val="005D07F3"/>
    <w:rsid w:val="005D0D38"/>
    <w:rsid w:val="005D0EF7"/>
    <w:rsid w:val="005D1984"/>
    <w:rsid w:val="005E66FF"/>
    <w:rsid w:val="005E6733"/>
    <w:rsid w:val="005F0290"/>
    <w:rsid w:val="005F4373"/>
    <w:rsid w:val="006020DB"/>
    <w:rsid w:val="00602C11"/>
    <w:rsid w:val="0060476E"/>
    <w:rsid w:val="00604794"/>
    <w:rsid w:val="00606340"/>
    <w:rsid w:val="00606BAD"/>
    <w:rsid w:val="00612154"/>
    <w:rsid w:val="00612622"/>
    <w:rsid w:val="00614E39"/>
    <w:rsid w:val="00614E58"/>
    <w:rsid w:val="006211B9"/>
    <w:rsid w:val="006255FB"/>
    <w:rsid w:val="0062765B"/>
    <w:rsid w:val="00627EC8"/>
    <w:rsid w:val="00633799"/>
    <w:rsid w:val="0064715C"/>
    <w:rsid w:val="006522E7"/>
    <w:rsid w:val="00654ACA"/>
    <w:rsid w:val="006657CD"/>
    <w:rsid w:val="00665A65"/>
    <w:rsid w:val="00665F7F"/>
    <w:rsid w:val="0067308A"/>
    <w:rsid w:val="00674ADE"/>
    <w:rsid w:val="00674EEA"/>
    <w:rsid w:val="00676077"/>
    <w:rsid w:val="00676792"/>
    <w:rsid w:val="00677147"/>
    <w:rsid w:val="006806B1"/>
    <w:rsid w:val="006810E8"/>
    <w:rsid w:val="006846AC"/>
    <w:rsid w:val="006904D1"/>
    <w:rsid w:val="00690648"/>
    <w:rsid w:val="00691E84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56D8"/>
    <w:rsid w:val="006B640E"/>
    <w:rsid w:val="006B7CB0"/>
    <w:rsid w:val="006C292F"/>
    <w:rsid w:val="006C2934"/>
    <w:rsid w:val="006C50F0"/>
    <w:rsid w:val="006D109B"/>
    <w:rsid w:val="006D4EB1"/>
    <w:rsid w:val="006D5D8B"/>
    <w:rsid w:val="006D6E5E"/>
    <w:rsid w:val="006E4401"/>
    <w:rsid w:val="006E68C8"/>
    <w:rsid w:val="006E698B"/>
    <w:rsid w:val="006F2DEB"/>
    <w:rsid w:val="006F41D7"/>
    <w:rsid w:val="006F5B2A"/>
    <w:rsid w:val="006F7CE9"/>
    <w:rsid w:val="00700002"/>
    <w:rsid w:val="00703DDF"/>
    <w:rsid w:val="00706D64"/>
    <w:rsid w:val="007102A2"/>
    <w:rsid w:val="00712242"/>
    <w:rsid w:val="00721455"/>
    <w:rsid w:val="007355BC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2FF6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4F6E"/>
    <w:rsid w:val="007A53B1"/>
    <w:rsid w:val="007A79F4"/>
    <w:rsid w:val="007B1E0E"/>
    <w:rsid w:val="007C4A25"/>
    <w:rsid w:val="007C6340"/>
    <w:rsid w:val="007D5511"/>
    <w:rsid w:val="007D5F89"/>
    <w:rsid w:val="007E20C5"/>
    <w:rsid w:val="007E2402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2090B"/>
    <w:rsid w:val="008240DE"/>
    <w:rsid w:val="00826C8A"/>
    <w:rsid w:val="00826F47"/>
    <w:rsid w:val="008308F0"/>
    <w:rsid w:val="00830E06"/>
    <w:rsid w:val="00831DE1"/>
    <w:rsid w:val="00832B88"/>
    <w:rsid w:val="008340FA"/>
    <w:rsid w:val="008341F0"/>
    <w:rsid w:val="00837F2B"/>
    <w:rsid w:val="00841DF7"/>
    <w:rsid w:val="00842296"/>
    <w:rsid w:val="008470F1"/>
    <w:rsid w:val="008544D5"/>
    <w:rsid w:val="008564C4"/>
    <w:rsid w:val="00861BBC"/>
    <w:rsid w:val="00873220"/>
    <w:rsid w:val="00875B03"/>
    <w:rsid w:val="00875C98"/>
    <w:rsid w:val="00877B95"/>
    <w:rsid w:val="00877C0B"/>
    <w:rsid w:val="00885E07"/>
    <w:rsid w:val="008878D2"/>
    <w:rsid w:val="00895C16"/>
    <w:rsid w:val="008967BD"/>
    <w:rsid w:val="008A0F2A"/>
    <w:rsid w:val="008A533C"/>
    <w:rsid w:val="008A7C0B"/>
    <w:rsid w:val="008B0531"/>
    <w:rsid w:val="008B4648"/>
    <w:rsid w:val="008B5CEC"/>
    <w:rsid w:val="008B7264"/>
    <w:rsid w:val="008B7469"/>
    <w:rsid w:val="008C1A29"/>
    <w:rsid w:val="008C35AB"/>
    <w:rsid w:val="008C5FCF"/>
    <w:rsid w:val="008C648D"/>
    <w:rsid w:val="008D4EB7"/>
    <w:rsid w:val="008D5294"/>
    <w:rsid w:val="008D6E46"/>
    <w:rsid w:val="008E3CAB"/>
    <w:rsid w:val="008E60CF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1341A"/>
    <w:rsid w:val="009202D6"/>
    <w:rsid w:val="009215AE"/>
    <w:rsid w:val="00921B7D"/>
    <w:rsid w:val="009235E9"/>
    <w:rsid w:val="00923B12"/>
    <w:rsid w:val="00926CD8"/>
    <w:rsid w:val="00926FB9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AC1"/>
    <w:rsid w:val="0095294E"/>
    <w:rsid w:val="00953A10"/>
    <w:rsid w:val="00954B0D"/>
    <w:rsid w:val="009571C1"/>
    <w:rsid w:val="0096419A"/>
    <w:rsid w:val="0096558C"/>
    <w:rsid w:val="009724B0"/>
    <w:rsid w:val="00972C54"/>
    <w:rsid w:val="00976D6A"/>
    <w:rsid w:val="00980635"/>
    <w:rsid w:val="00981BE5"/>
    <w:rsid w:val="00990B5E"/>
    <w:rsid w:val="00993EAB"/>
    <w:rsid w:val="00994D19"/>
    <w:rsid w:val="009A343C"/>
    <w:rsid w:val="009A4357"/>
    <w:rsid w:val="009B2BF4"/>
    <w:rsid w:val="009B36E2"/>
    <w:rsid w:val="009C0FFD"/>
    <w:rsid w:val="009C16BB"/>
    <w:rsid w:val="009C27DD"/>
    <w:rsid w:val="009C509A"/>
    <w:rsid w:val="009D047E"/>
    <w:rsid w:val="009D4938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27E1B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6A20"/>
    <w:rsid w:val="00AC71AD"/>
    <w:rsid w:val="00AC78CB"/>
    <w:rsid w:val="00AD199B"/>
    <w:rsid w:val="00AD284F"/>
    <w:rsid w:val="00AD288F"/>
    <w:rsid w:val="00AD3704"/>
    <w:rsid w:val="00AD3968"/>
    <w:rsid w:val="00AE30D9"/>
    <w:rsid w:val="00AF0950"/>
    <w:rsid w:val="00AF0A93"/>
    <w:rsid w:val="00AF1D2F"/>
    <w:rsid w:val="00AF31AE"/>
    <w:rsid w:val="00AF52DA"/>
    <w:rsid w:val="00AF61A2"/>
    <w:rsid w:val="00AF6ED0"/>
    <w:rsid w:val="00B00B8D"/>
    <w:rsid w:val="00B00C48"/>
    <w:rsid w:val="00B046A5"/>
    <w:rsid w:val="00B06E1C"/>
    <w:rsid w:val="00B075C5"/>
    <w:rsid w:val="00B12479"/>
    <w:rsid w:val="00B13307"/>
    <w:rsid w:val="00B166F0"/>
    <w:rsid w:val="00B16E9C"/>
    <w:rsid w:val="00B210B9"/>
    <w:rsid w:val="00B24A84"/>
    <w:rsid w:val="00B30A0D"/>
    <w:rsid w:val="00B35BCE"/>
    <w:rsid w:val="00B43AEA"/>
    <w:rsid w:val="00B43E13"/>
    <w:rsid w:val="00B44438"/>
    <w:rsid w:val="00B54895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6A3A"/>
    <w:rsid w:val="00B7734C"/>
    <w:rsid w:val="00B87220"/>
    <w:rsid w:val="00B90D46"/>
    <w:rsid w:val="00B94095"/>
    <w:rsid w:val="00B947D5"/>
    <w:rsid w:val="00BA0194"/>
    <w:rsid w:val="00BA494C"/>
    <w:rsid w:val="00BA52B0"/>
    <w:rsid w:val="00BB1F9B"/>
    <w:rsid w:val="00BB62D4"/>
    <w:rsid w:val="00BC0E42"/>
    <w:rsid w:val="00BC1A8B"/>
    <w:rsid w:val="00BC454A"/>
    <w:rsid w:val="00BD45B9"/>
    <w:rsid w:val="00BD7218"/>
    <w:rsid w:val="00BE2842"/>
    <w:rsid w:val="00BF18CB"/>
    <w:rsid w:val="00BF32BF"/>
    <w:rsid w:val="00BF360C"/>
    <w:rsid w:val="00BF3D87"/>
    <w:rsid w:val="00BF5F0F"/>
    <w:rsid w:val="00C050F3"/>
    <w:rsid w:val="00C10A79"/>
    <w:rsid w:val="00C1318A"/>
    <w:rsid w:val="00C1490D"/>
    <w:rsid w:val="00C14B81"/>
    <w:rsid w:val="00C23D76"/>
    <w:rsid w:val="00C2461A"/>
    <w:rsid w:val="00C25CD2"/>
    <w:rsid w:val="00C26192"/>
    <w:rsid w:val="00C333B3"/>
    <w:rsid w:val="00C33550"/>
    <w:rsid w:val="00C33DD9"/>
    <w:rsid w:val="00C362F6"/>
    <w:rsid w:val="00C36B34"/>
    <w:rsid w:val="00C37185"/>
    <w:rsid w:val="00C4631D"/>
    <w:rsid w:val="00C532C2"/>
    <w:rsid w:val="00C53915"/>
    <w:rsid w:val="00C56076"/>
    <w:rsid w:val="00C56288"/>
    <w:rsid w:val="00C56F67"/>
    <w:rsid w:val="00C606C1"/>
    <w:rsid w:val="00C63B05"/>
    <w:rsid w:val="00C64909"/>
    <w:rsid w:val="00C70B3C"/>
    <w:rsid w:val="00C73230"/>
    <w:rsid w:val="00C7347F"/>
    <w:rsid w:val="00C737A1"/>
    <w:rsid w:val="00C737FB"/>
    <w:rsid w:val="00C7465C"/>
    <w:rsid w:val="00C82D48"/>
    <w:rsid w:val="00C84887"/>
    <w:rsid w:val="00C86E31"/>
    <w:rsid w:val="00C87BDA"/>
    <w:rsid w:val="00C920B4"/>
    <w:rsid w:val="00C93F48"/>
    <w:rsid w:val="00C960AE"/>
    <w:rsid w:val="00C96854"/>
    <w:rsid w:val="00CA31EC"/>
    <w:rsid w:val="00CA35E0"/>
    <w:rsid w:val="00CA53DF"/>
    <w:rsid w:val="00CA7E99"/>
    <w:rsid w:val="00CB1BC5"/>
    <w:rsid w:val="00CB25DF"/>
    <w:rsid w:val="00CB673D"/>
    <w:rsid w:val="00CB7BBA"/>
    <w:rsid w:val="00CC0149"/>
    <w:rsid w:val="00CD05E9"/>
    <w:rsid w:val="00CD37EF"/>
    <w:rsid w:val="00CD481A"/>
    <w:rsid w:val="00CE24E4"/>
    <w:rsid w:val="00CE3AFE"/>
    <w:rsid w:val="00CE71B7"/>
    <w:rsid w:val="00CF2CF6"/>
    <w:rsid w:val="00CF3100"/>
    <w:rsid w:val="00CF4060"/>
    <w:rsid w:val="00D04A80"/>
    <w:rsid w:val="00D06820"/>
    <w:rsid w:val="00D13458"/>
    <w:rsid w:val="00D15331"/>
    <w:rsid w:val="00D1654D"/>
    <w:rsid w:val="00D22538"/>
    <w:rsid w:val="00D23A7D"/>
    <w:rsid w:val="00D23E72"/>
    <w:rsid w:val="00D2506E"/>
    <w:rsid w:val="00D26D70"/>
    <w:rsid w:val="00D27B79"/>
    <w:rsid w:val="00D30DCF"/>
    <w:rsid w:val="00D31C38"/>
    <w:rsid w:val="00D363D5"/>
    <w:rsid w:val="00D4184B"/>
    <w:rsid w:val="00D43358"/>
    <w:rsid w:val="00D446EB"/>
    <w:rsid w:val="00D46F8D"/>
    <w:rsid w:val="00D662FD"/>
    <w:rsid w:val="00D7462B"/>
    <w:rsid w:val="00D779D5"/>
    <w:rsid w:val="00D77CF6"/>
    <w:rsid w:val="00D82B92"/>
    <w:rsid w:val="00D83719"/>
    <w:rsid w:val="00D87419"/>
    <w:rsid w:val="00D87D07"/>
    <w:rsid w:val="00D87DD1"/>
    <w:rsid w:val="00D91DB4"/>
    <w:rsid w:val="00D93EC4"/>
    <w:rsid w:val="00DA1005"/>
    <w:rsid w:val="00DA12D0"/>
    <w:rsid w:val="00DA4A01"/>
    <w:rsid w:val="00DA4F42"/>
    <w:rsid w:val="00DB01C2"/>
    <w:rsid w:val="00DB0E8C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7249"/>
    <w:rsid w:val="00DE7778"/>
    <w:rsid w:val="00DF2005"/>
    <w:rsid w:val="00DF35D7"/>
    <w:rsid w:val="00DF5CC8"/>
    <w:rsid w:val="00E07CFD"/>
    <w:rsid w:val="00E108B1"/>
    <w:rsid w:val="00E11AD2"/>
    <w:rsid w:val="00E12E4D"/>
    <w:rsid w:val="00E148DA"/>
    <w:rsid w:val="00E162CA"/>
    <w:rsid w:val="00E16BFD"/>
    <w:rsid w:val="00E17702"/>
    <w:rsid w:val="00E17DBB"/>
    <w:rsid w:val="00E21B7A"/>
    <w:rsid w:val="00E2597F"/>
    <w:rsid w:val="00E25A71"/>
    <w:rsid w:val="00E27FE0"/>
    <w:rsid w:val="00E31B10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4D6C"/>
    <w:rsid w:val="00E664D1"/>
    <w:rsid w:val="00E706F3"/>
    <w:rsid w:val="00E72DFF"/>
    <w:rsid w:val="00E7417F"/>
    <w:rsid w:val="00E76D91"/>
    <w:rsid w:val="00E77D18"/>
    <w:rsid w:val="00E805E8"/>
    <w:rsid w:val="00E81311"/>
    <w:rsid w:val="00E8252A"/>
    <w:rsid w:val="00E83A0B"/>
    <w:rsid w:val="00E84A10"/>
    <w:rsid w:val="00E84C03"/>
    <w:rsid w:val="00E85331"/>
    <w:rsid w:val="00E86C3A"/>
    <w:rsid w:val="00E8757D"/>
    <w:rsid w:val="00E94BCB"/>
    <w:rsid w:val="00EA0243"/>
    <w:rsid w:val="00EA1859"/>
    <w:rsid w:val="00EA2EF0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D41F8"/>
    <w:rsid w:val="00EE0C22"/>
    <w:rsid w:val="00EE11EB"/>
    <w:rsid w:val="00EE34F7"/>
    <w:rsid w:val="00EE5D78"/>
    <w:rsid w:val="00EE68BE"/>
    <w:rsid w:val="00EF252F"/>
    <w:rsid w:val="00EF2849"/>
    <w:rsid w:val="00EF7C0B"/>
    <w:rsid w:val="00F00E8D"/>
    <w:rsid w:val="00F0583F"/>
    <w:rsid w:val="00F066E5"/>
    <w:rsid w:val="00F07B6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61D2"/>
    <w:rsid w:val="00F47482"/>
    <w:rsid w:val="00F47FAA"/>
    <w:rsid w:val="00F507C8"/>
    <w:rsid w:val="00F513F4"/>
    <w:rsid w:val="00F532D3"/>
    <w:rsid w:val="00F535CC"/>
    <w:rsid w:val="00F56B67"/>
    <w:rsid w:val="00F62562"/>
    <w:rsid w:val="00F66383"/>
    <w:rsid w:val="00F7045E"/>
    <w:rsid w:val="00F75151"/>
    <w:rsid w:val="00F762E5"/>
    <w:rsid w:val="00F805D4"/>
    <w:rsid w:val="00F81989"/>
    <w:rsid w:val="00F81BFF"/>
    <w:rsid w:val="00F910C3"/>
    <w:rsid w:val="00F923A8"/>
    <w:rsid w:val="00F92DFB"/>
    <w:rsid w:val="00FA06BE"/>
    <w:rsid w:val="00FA0B42"/>
    <w:rsid w:val="00FA140C"/>
    <w:rsid w:val="00FA3FFA"/>
    <w:rsid w:val="00FB3B45"/>
    <w:rsid w:val="00FB480B"/>
    <w:rsid w:val="00FB49CA"/>
    <w:rsid w:val="00FC3F39"/>
    <w:rsid w:val="00FC492B"/>
    <w:rsid w:val="00FC5AEC"/>
    <w:rsid w:val="00FC61C1"/>
    <w:rsid w:val="00FD0726"/>
    <w:rsid w:val="00FD292C"/>
    <w:rsid w:val="00FD2A81"/>
    <w:rsid w:val="00FD53F3"/>
    <w:rsid w:val="00FD73AE"/>
    <w:rsid w:val="00FE0189"/>
    <w:rsid w:val="00FE1957"/>
    <w:rsid w:val="00FE278A"/>
    <w:rsid w:val="00FE60A5"/>
    <w:rsid w:val="00FE6120"/>
    <w:rsid w:val="00FE6123"/>
    <w:rsid w:val="00FE6B76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5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30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97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29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02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30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438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6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127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942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32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A07B434D17428E0B184CD8033A65" ma:contentTypeVersion="0" ma:contentTypeDescription="Create a new document." ma:contentTypeScope="" ma:versionID="d7a1b1109de5e9e359d3c3a7d5fd87c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79DA9-6667-4F06-98D3-3B04C72F54CC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401ABD-FA8F-408E-8EEA-9692213B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F27BBC9-6084-4196-9199-0F755C83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2</cp:revision>
  <cp:lastPrinted>2012-05-24T21:00:00Z</cp:lastPrinted>
  <dcterms:created xsi:type="dcterms:W3CDTF">2015-02-06T20:40:00Z</dcterms:created>
  <dcterms:modified xsi:type="dcterms:W3CDTF">2015-02-06T20:40:00Z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0x0101001C77A07B434D17428E0B184CD8033A65</vt:lpwstr>
  </property>
</Properties>
</file>