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48825E8" w14:textId="77777777" w:rsidR="00EB75B9" w:rsidRPr="003A62B4" w:rsidRDefault="003E2779" w:rsidP="00EB75B9">
      <w:pPr>
        <w:jc w:val="center"/>
        <w:rPr>
          <w:rFonts w:asciiTheme="majorHAnsi" w:hAnsiTheme="majorHAnsi"/>
          <w:sz w:val="22"/>
          <w:szCs w:val="22"/>
        </w:rPr>
      </w:pPr>
      <w:r w:rsidRPr="003A62B4">
        <w:rPr>
          <w:rFonts w:asciiTheme="majorHAnsi" w:hAnsiTheme="majorHAnsi"/>
          <w:noProof/>
          <w:sz w:val="22"/>
          <w:szCs w:val="22"/>
          <w:lang w:eastAsia="zh-CN" w:bidi="ar-SA"/>
        </w:rPr>
        <w:drawing>
          <wp:inline distT="0" distB="0" distL="0" distR="0" wp14:anchorId="0B7F9B8F" wp14:editId="397F7FDC">
            <wp:extent cx="4526629" cy="1024097"/>
            <wp:effectExtent l="19050" t="0" r="7271" b="0"/>
            <wp:docPr id="91" name="Picture 91" descr="S:\TeamSpace\Procurement Policy Review\ext-homep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TeamSpace\Procurement Policy Review\ext-homepage.jpeg"/>
                    <pic:cNvPicPr>
                      <a:picLocks noChangeAspect="1" noChangeArrowheads="1"/>
                    </pic:cNvPicPr>
                  </pic:nvPicPr>
                  <pic:blipFill>
                    <a:blip r:embed="rId12" cstate="print"/>
                    <a:srcRect/>
                    <a:stretch>
                      <a:fillRect/>
                    </a:stretch>
                  </pic:blipFill>
                  <pic:spPr bwMode="auto">
                    <a:xfrm>
                      <a:off x="0" y="0"/>
                      <a:ext cx="4532173" cy="1025351"/>
                    </a:xfrm>
                    <a:prstGeom prst="rect">
                      <a:avLst/>
                    </a:prstGeom>
                    <a:noFill/>
                    <a:ln w="9525">
                      <a:noFill/>
                      <a:miter lim="800000"/>
                      <a:headEnd/>
                      <a:tailEnd/>
                    </a:ln>
                  </pic:spPr>
                </pic:pic>
              </a:graphicData>
            </a:graphic>
          </wp:inline>
        </w:drawing>
      </w:r>
    </w:p>
    <w:p w14:paraId="4622F80B" w14:textId="77777777" w:rsidR="00EB75B9" w:rsidRPr="003A62B4" w:rsidRDefault="00EB75B9" w:rsidP="00EB75B9">
      <w:pPr>
        <w:jc w:val="center"/>
        <w:rPr>
          <w:rFonts w:asciiTheme="majorHAnsi" w:hAnsiTheme="majorHAnsi"/>
          <w:color w:val="17365D" w:themeColor="text2" w:themeShade="BF"/>
          <w:spacing w:val="5"/>
          <w:kern w:val="28"/>
          <w:sz w:val="22"/>
          <w:szCs w:val="22"/>
          <w:lang w:eastAsia="en-US" w:bidi="ar-SA"/>
        </w:rPr>
      </w:pPr>
      <w:r w:rsidRPr="003A62B4">
        <w:rPr>
          <w:rFonts w:asciiTheme="majorHAnsi" w:hAnsiTheme="majorHAnsi"/>
          <w:color w:val="17365D" w:themeColor="text2" w:themeShade="BF"/>
          <w:spacing w:val="5"/>
          <w:kern w:val="28"/>
          <w:sz w:val="22"/>
          <w:szCs w:val="22"/>
          <w:lang w:eastAsia="en-US" w:bidi="ar-SA"/>
        </w:rPr>
        <w:t xml:space="preserve">The World Bank </w:t>
      </w:r>
    </w:p>
    <w:p w14:paraId="469291C4" w14:textId="77777777" w:rsidR="003E2779" w:rsidRPr="003A62B4" w:rsidRDefault="005409E3" w:rsidP="003E2779">
      <w:pPr>
        <w:pStyle w:val="Title"/>
        <w:jc w:val="center"/>
        <w:rPr>
          <w:rFonts w:asciiTheme="majorHAnsi" w:hAnsiTheme="majorHAnsi"/>
          <w:color w:val="17365D" w:themeColor="text2" w:themeShade="BF"/>
          <w:sz w:val="22"/>
          <w:szCs w:val="22"/>
        </w:rPr>
      </w:pPr>
      <w:r w:rsidRPr="003A62B4">
        <w:rPr>
          <w:rFonts w:asciiTheme="majorHAnsi" w:hAnsiTheme="majorHAnsi"/>
          <w:color w:val="17365D" w:themeColor="text2" w:themeShade="BF"/>
          <w:sz w:val="22"/>
          <w:szCs w:val="22"/>
        </w:rPr>
        <w:t>Procurement Policy</w:t>
      </w:r>
      <w:r w:rsidR="003E2779" w:rsidRPr="003A62B4">
        <w:rPr>
          <w:rFonts w:asciiTheme="majorHAnsi" w:hAnsiTheme="majorHAnsi"/>
          <w:color w:val="17365D" w:themeColor="text2" w:themeShade="BF"/>
          <w:sz w:val="22"/>
          <w:szCs w:val="22"/>
        </w:rPr>
        <w:t xml:space="preserve"> Review </w:t>
      </w:r>
    </w:p>
    <w:p w14:paraId="7FEEE8E3" w14:textId="77777777" w:rsidR="003E2779" w:rsidRPr="003A62B4" w:rsidRDefault="003E2779" w:rsidP="003E2779">
      <w:pPr>
        <w:pStyle w:val="Title"/>
        <w:jc w:val="center"/>
        <w:rPr>
          <w:rFonts w:asciiTheme="majorHAnsi" w:hAnsiTheme="majorHAnsi"/>
          <w:sz w:val="22"/>
          <w:szCs w:val="22"/>
        </w:rPr>
      </w:pPr>
      <w:r w:rsidRPr="003A62B4">
        <w:rPr>
          <w:rFonts w:asciiTheme="majorHAnsi" w:hAnsiTheme="majorHAnsi"/>
          <w:b/>
          <w:color w:val="17365D" w:themeColor="text2" w:themeShade="BF"/>
          <w:sz w:val="22"/>
          <w:szCs w:val="22"/>
        </w:rPr>
        <w:t>Feedback Summary</w:t>
      </w:r>
    </w:p>
    <w:p w14:paraId="0B6940C2" w14:textId="77777777" w:rsidR="00093B2C" w:rsidRPr="003A62B4" w:rsidRDefault="00093B2C" w:rsidP="00DB6C04">
      <w:pPr>
        <w:pStyle w:val="BodyText2"/>
        <w:tabs>
          <w:tab w:val="left" w:pos="720"/>
          <w:tab w:val="left" w:pos="3165"/>
        </w:tabs>
        <w:rPr>
          <w:rFonts w:asciiTheme="majorHAnsi" w:hAnsiTheme="majorHAnsi" w:cs="Times New Roman"/>
          <w:b/>
          <w:sz w:val="22"/>
          <w:szCs w:val="22"/>
          <w:lang w:val="en-US"/>
        </w:rPr>
      </w:pPr>
      <w:r w:rsidRPr="003A62B4">
        <w:rPr>
          <w:rFonts w:asciiTheme="majorHAnsi" w:hAnsiTheme="majorHAnsi" w:cs="Times New Roman"/>
          <w:b/>
          <w:bCs/>
          <w:sz w:val="22"/>
          <w:szCs w:val="22"/>
          <w:lang w:val="en-US"/>
        </w:rPr>
        <w:t xml:space="preserve">Date: </w:t>
      </w:r>
      <w:r w:rsidR="00DB6C04" w:rsidRPr="003A62B4">
        <w:rPr>
          <w:rFonts w:asciiTheme="majorHAnsi" w:hAnsiTheme="majorHAnsi" w:cs="Times New Roman"/>
          <w:b/>
          <w:bCs/>
          <w:sz w:val="22"/>
          <w:szCs w:val="22"/>
          <w:lang w:val="en-US"/>
        </w:rPr>
        <w:tab/>
        <w:t>Dec 2, 2014</w:t>
      </w:r>
    </w:p>
    <w:p w14:paraId="5FE6025B" w14:textId="77777777" w:rsidR="00093B2C" w:rsidRPr="003A62B4" w:rsidRDefault="00093B2C" w:rsidP="00093B2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lang w:val="en-US"/>
        </w:rPr>
      </w:pPr>
    </w:p>
    <w:p w14:paraId="15F53986" w14:textId="77777777" w:rsidR="00093B2C" w:rsidRPr="003A62B4" w:rsidRDefault="002E23E9" w:rsidP="00093B2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 w:val="22"/>
          <w:szCs w:val="22"/>
          <w:lang w:val="en-US"/>
        </w:rPr>
      </w:pPr>
      <w:r w:rsidRPr="003A62B4">
        <w:rPr>
          <w:rFonts w:asciiTheme="majorHAnsi" w:hAnsiTheme="majorHAnsi" w:cs="Times New Roman"/>
          <w:b/>
          <w:bCs/>
          <w:sz w:val="22"/>
          <w:szCs w:val="22"/>
          <w:lang w:val="en-US"/>
        </w:rPr>
        <w:t>Location (City, Country)</w:t>
      </w:r>
      <w:r w:rsidR="00093B2C" w:rsidRPr="003A62B4">
        <w:rPr>
          <w:rFonts w:asciiTheme="majorHAnsi" w:hAnsiTheme="majorHAnsi" w:cs="Times New Roman"/>
          <w:b/>
          <w:bCs/>
          <w:sz w:val="22"/>
          <w:szCs w:val="22"/>
          <w:lang w:val="en-US"/>
        </w:rPr>
        <w:t xml:space="preserve">: </w:t>
      </w:r>
      <w:r w:rsidR="00DB6C04" w:rsidRPr="003A62B4">
        <w:rPr>
          <w:rFonts w:asciiTheme="majorHAnsi" w:hAnsiTheme="majorHAnsi" w:cs="Times New Roman"/>
          <w:b/>
          <w:bCs/>
          <w:sz w:val="22"/>
          <w:szCs w:val="22"/>
          <w:lang w:val="en-US"/>
        </w:rPr>
        <w:t>Nairobi, Kenya</w:t>
      </w:r>
    </w:p>
    <w:p w14:paraId="7BAC82B2" w14:textId="77777777" w:rsidR="00B16E9C" w:rsidRPr="003A62B4" w:rsidRDefault="00B16E9C" w:rsidP="00093B2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 w:val="22"/>
          <w:szCs w:val="22"/>
          <w:lang w:val="en-US"/>
        </w:rPr>
      </w:pPr>
    </w:p>
    <w:p w14:paraId="241EEFA3" w14:textId="77777777" w:rsidR="00BB1F9B" w:rsidRPr="003A62B4" w:rsidRDefault="00093B2C" w:rsidP="00842296">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b/>
          <w:sz w:val="22"/>
          <w:szCs w:val="22"/>
          <w:lang w:val="en-US"/>
        </w:rPr>
      </w:pPr>
      <w:r w:rsidRPr="003A62B4">
        <w:rPr>
          <w:rFonts w:asciiTheme="majorHAnsi" w:hAnsiTheme="majorHAnsi" w:cs="Times New Roman"/>
          <w:b/>
          <w:bCs/>
          <w:sz w:val="22"/>
          <w:szCs w:val="22"/>
          <w:lang w:val="en-US"/>
        </w:rPr>
        <w:t>Total Number of Participants</w:t>
      </w:r>
      <w:r w:rsidRPr="003A62B4">
        <w:rPr>
          <w:rFonts w:asciiTheme="majorHAnsi" w:hAnsiTheme="majorHAnsi" w:cs="Times New Roman"/>
          <w:b/>
          <w:sz w:val="22"/>
          <w:szCs w:val="22"/>
          <w:lang w:val="en-US"/>
        </w:rPr>
        <w:t>:</w:t>
      </w:r>
      <w:r w:rsidR="000D1AEB" w:rsidRPr="003A62B4">
        <w:rPr>
          <w:rFonts w:asciiTheme="majorHAnsi" w:hAnsiTheme="majorHAnsi" w:cs="Times New Roman"/>
          <w:b/>
          <w:sz w:val="22"/>
          <w:szCs w:val="22"/>
          <w:lang w:val="en-US"/>
        </w:rPr>
        <w:t xml:space="preserve"> </w:t>
      </w:r>
      <w:r w:rsidR="001F79AA" w:rsidRPr="003A62B4">
        <w:rPr>
          <w:rFonts w:asciiTheme="majorHAnsi" w:hAnsiTheme="majorHAnsi" w:cs="Times New Roman"/>
          <w:b/>
          <w:sz w:val="22"/>
          <w:szCs w:val="22"/>
          <w:lang w:val="en-US"/>
        </w:rPr>
        <w:t>8 public &amp; private sector</w:t>
      </w:r>
    </w:p>
    <w:p w14:paraId="7E5A1C62" w14:textId="4C4A57B3" w:rsidR="00B024EA" w:rsidRPr="003A62B4" w:rsidRDefault="008E6961" w:rsidP="000D1AE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b/>
          <w:sz w:val="22"/>
          <w:szCs w:val="22"/>
        </w:rPr>
      </w:pPr>
      <w:r w:rsidRPr="003A62B4">
        <w:rPr>
          <w:rFonts w:asciiTheme="majorHAnsi" w:hAnsiTheme="majorHAnsi" w:cs="Times New Roman"/>
          <w:b/>
          <w:sz w:val="22"/>
          <w:szCs w:val="22"/>
        </w:rPr>
        <w:br/>
      </w:r>
      <w:r w:rsidR="00B16E9C" w:rsidRPr="003A62B4">
        <w:rPr>
          <w:rFonts w:asciiTheme="majorHAnsi" w:hAnsiTheme="majorHAnsi" w:cs="Times New Roman"/>
          <w:b/>
          <w:sz w:val="22"/>
          <w:szCs w:val="22"/>
        </w:rPr>
        <w:t>Overview and General Reactions</w:t>
      </w:r>
      <w:r w:rsidR="005C56F1" w:rsidRPr="003A62B4">
        <w:rPr>
          <w:rFonts w:asciiTheme="majorHAnsi" w:hAnsiTheme="majorHAnsi" w:cs="Times New Roman"/>
          <w:b/>
          <w:sz w:val="22"/>
          <w:szCs w:val="22"/>
        </w:rPr>
        <w:t>:</w:t>
      </w:r>
      <w:r w:rsidR="00B16E9C" w:rsidRPr="003A62B4">
        <w:rPr>
          <w:rFonts w:asciiTheme="majorHAnsi" w:hAnsiTheme="majorHAnsi" w:cs="Times New Roman"/>
          <w:b/>
          <w:sz w:val="22"/>
          <w:szCs w:val="22"/>
        </w:rPr>
        <w:t xml:space="preserve"> </w:t>
      </w:r>
    </w:p>
    <w:p w14:paraId="395C0606" w14:textId="66EA724B" w:rsidR="000A6A08" w:rsidRPr="003A62B4" w:rsidRDefault="00B024EA" w:rsidP="00681168">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sz w:val="22"/>
          <w:szCs w:val="22"/>
        </w:rPr>
      </w:pPr>
      <w:r w:rsidRPr="003A62B4">
        <w:rPr>
          <w:rFonts w:asciiTheme="majorHAnsi" w:hAnsiTheme="majorHAnsi" w:cs="Times New Roman"/>
          <w:sz w:val="22"/>
          <w:szCs w:val="22"/>
        </w:rPr>
        <w:t xml:space="preserve">Participants fully endorse the proposed elements of the framework and there is consensus that capacity building and institutional strengthening are a priority in accomplishing objectives of the new procurement framework. </w:t>
      </w:r>
      <w:r w:rsidR="007B42A0" w:rsidRPr="003A62B4">
        <w:rPr>
          <w:rFonts w:asciiTheme="majorHAnsi" w:hAnsiTheme="majorHAnsi" w:cs="Times New Roman"/>
          <w:sz w:val="22"/>
          <w:szCs w:val="22"/>
        </w:rPr>
        <w:t xml:space="preserve">They also welcome the proposal to streamline the Bank’s approach to prior </w:t>
      </w:r>
      <w:r w:rsidR="00CB5179" w:rsidRPr="003A62B4">
        <w:rPr>
          <w:rFonts w:asciiTheme="majorHAnsi" w:hAnsiTheme="majorHAnsi" w:cs="Times New Roman"/>
          <w:sz w:val="22"/>
          <w:szCs w:val="22"/>
        </w:rPr>
        <w:t xml:space="preserve">review, seconding the idea that the Bank’s prior review should be </w:t>
      </w:r>
      <w:r w:rsidR="001D5361" w:rsidRPr="003A62B4">
        <w:rPr>
          <w:rFonts w:asciiTheme="majorHAnsi" w:hAnsiTheme="majorHAnsi" w:cs="Times New Roman"/>
          <w:sz w:val="22"/>
          <w:szCs w:val="22"/>
        </w:rPr>
        <w:t>aligned with risks, focused on high risk and/or high value projects.</w:t>
      </w:r>
    </w:p>
    <w:p w14:paraId="7D8F020B" w14:textId="77777777" w:rsidR="003A62B4" w:rsidRPr="003A62B4" w:rsidRDefault="003A62B4" w:rsidP="00681168">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sz w:val="22"/>
          <w:szCs w:val="22"/>
          <w:lang w:val="en-US"/>
        </w:rPr>
      </w:pPr>
    </w:p>
    <w:p w14:paraId="2EB48A30" w14:textId="77777777" w:rsidR="005B1D7C" w:rsidRPr="003A62B4" w:rsidRDefault="001D5361" w:rsidP="00225F7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sz w:val="22"/>
          <w:szCs w:val="22"/>
        </w:rPr>
      </w:pPr>
      <w:r w:rsidRPr="003A62B4">
        <w:rPr>
          <w:rFonts w:asciiTheme="majorHAnsi" w:hAnsiTheme="majorHAnsi" w:cs="Times New Roman"/>
          <w:sz w:val="22"/>
          <w:szCs w:val="22"/>
        </w:rPr>
        <w:t>Capacity building; more delegation to local specialists; up-front assessment of the operation; NCB utilizing the relevant national legislation of the borrower; and hands-on support from the Bank are all found to be part of what will help expedite implementation of projects.</w:t>
      </w:r>
    </w:p>
    <w:p w14:paraId="5F262C73" w14:textId="77777777" w:rsidR="005B1D7C" w:rsidRPr="003A62B4" w:rsidRDefault="005B1D7C" w:rsidP="00225F7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rPr>
      </w:pPr>
    </w:p>
    <w:tbl>
      <w:tblPr>
        <w:tblW w:w="133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20"/>
      </w:tblGrid>
      <w:tr w:rsidR="00B16E9C" w:rsidRPr="003A62B4" w14:paraId="068923C3" w14:textId="77777777" w:rsidTr="002C093B">
        <w:trPr>
          <w:trHeight w:val="70"/>
        </w:trPr>
        <w:tc>
          <w:tcPr>
            <w:tcW w:w="13320" w:type="dxa"/>
            <w:shd w:val="clear" w:color="auto" w:fill="DBE5F1" w:themeFill="accent1" w:themeFillTint="33"/>
          </w:tcPr>
          <w:p w14:paraId="56842FE3" w14:textId="77777777" w:rsidR="00B16E9C" w:rsidRPr="003A62B4" w:rsidRDefault="00B16E9C">
            <w:pPr>
              <w:pStyle w:val="BodyText2"/>
              <w:snapToGrid w:val="0"/>
              <w:spacing w:line="100" w:lineRule="atLeast"/>
              <w:ind w:right="0"/>
              <w:rPr>
                <w:rFonts w:asciiTheme="majorHAnsi" w:eastAsia="Batang" w:hAnsiTheme="majorHAnsi" w:cs="Times New Roman"/>
                <w:b/>
                <w:color w:val="17365D" w:themeColor="text2" w:themeShade="BF"/>
                <w:sz w:val="22"/>
                <w:szCs w:val="22"/>
              </w:rPr>
            </w:pPr>
            <w:r w:rsidRPr="003A62B4">
              <w:rPr>
                <w:rFonts w:asciiTheme="majorHAnsi" w:eastAsia="Batang" w:hAnsiTheme="majorHAnsi" w:cs="Times New Roman"/>
                <w:b/>
                <w:color w:val="17365D" w:themeColor="text2" w:themeShade="BF"/>
                <w:sz w:val="22"/>
                <w:szCs w:val="22"/>
              </w:rPr>
              <w:t>Specific Feedback from Stakeholders</w:t>
            </w:r>
          </w:p>
          <w:p w14:paraId="282DF7D3" w14:textId="77777777" w:rsidR="00B16E9C" w:rsidRPr="003A62B4" w:rsidRDefault="00B16E9C">
            <w:pPr>
              <w:pStyle w:val="BodyText2"/>
              <w:snapToGrid w:val="0"/>
              <w:spacing w:line="100" w:lineRule="atLeast"/>
              <w:ind w:right="0"/>
              <w:rPr>
                <w:rFonts w:asciiTheme="majorHAnsi" w:eastAsia="Batang" w:hAnsiTheme="majorHAnsi" w:cs="Times New Roman"/>
                <w:b/>
                <w:color w:val="17365D" w:themeColor="text2" w:themeShade="BF"/>
                <w:sz w:val="22"/>
                <w:szCs w:val="22"/>
              </w:rPr>
            </w:pPr>
          </w:p>
        </w:tc>
      </w:tr>
      <w:tr w:rsidR="0013530E" w:rsidRPr="003A62B4" w14:paraId="2DD123C4" w14:textId="77777777" w:rsidTr="002C093B">
        <w:tblPrEx>
          <w:tblCellMar>
            <w:left w:w="0" w:type="dxa"/>
            <w:right w:w="0" w:type="dxa"/>
          </w:tblCellMar>
        </w:tblPrEx>
        <w:trPr>
          <w:trHeight w:val="70"/>
        </w:trPr>
        <w:tc>
          <w:tcPr>
            <w:tcW w:w="13320" w:type="dxa"/>
            <w:shd w:val="clear" w:color="auto" w:fill="DBE5F1" w:themeFill="accent1" w:themeFillTint="33"/>
          </w:tcPr>
          <w:p w14:paraId="562D959A" w14:textId="77777777" w:rsidR="0013530E" w:rsidRPr="003A62B4" w:rsidRDefault="008A533C" w:rsidP="00150B6C">
            <w:pPr>
              <w:pStyle w:val="ListParagraph"/>
              <w:numPr>
                <w:ilvl w:val="0"/>
                <w:numId w:val="30"/>
              </w:numPr>
              <w:snapToGrid w:val="0"/>
              <w:ind w:left="540" w:right="180"/>
              <w:rPr>
                <w:rFonts w:asciiTheme="majorHAnsi" w:eastAsia="Batang" w:hAnsiTheme="majorHAnsi"/>
                <w:b/>
                <w:color w:val="17365D" w:themeColor="text2" w:themeShade="BF"/>
                <w:sz w:val="22"/>
                <w:szCs w:val="22"/>
              </w:rPr>
            </w:pPr>
            <w:r w:rsidRPr="003A62B4">
              <w:rPr>
                <w:rFonts w:asciiTheme="majorHAnsi" w:hAnsiTheme="majorHAnsi"/>
                <w:b/>
                <w:bCs/>
                <w:color w:val="17365D" w:themeColor="text2" w:themeShade="BF"/>
                <w:sz w:val="22"/>
                <w:szCs w:val="22"/>
              </w:rPr>
              <w:t>How should the Bank implement support to borrower procurement capacity building and institutional strengthening?</w:t>
            </w:r>
          </w:p>
        </w:tc>
      </w:tr>
      <w:tr w:rsidR="002E23E9" w:rsidRPr="003A62B4" w14:paraId="14396EE5" w14:textId="77777777" w:rsidTr="007B42A0">
        <w:trPr>
          <w:trHeight w:val="980"/>
        </w:trPr>
        <w:tc>
          <w:tcPr>
            <w:tcW w:w="13320" w:type="dxa"/>
            <w:shd w:val="clear" w:color="auto" w:fill="auto"/>
          </w:tcPr>
          <w:p w14:paraId="4B55E27B" w14:textId="419C7248" w:rsidR="002E23E9" w:rsidRPr="003A62B4" w:rsidRDefault="00580F56" w:rsidP="00466845">
            <w:pPr>
              <w:pStyle w:val="ListParagraph"/>
              <w:numPr>
                <w:ilvl w:val="0"/>
                <w:numId w:val="11"/>
              </w:numPr>
              <w:suppressAutoHyphens w:val="0"/>
              <w:spacing w:after="0" w:line="276" w:lineRule="auto"/>
              <w:ind w:left="415"/>
              <w:rPr>
                <w:rFonts w:asciiTheme="majorHAnsi" w:hAnsiTheme="majorHAnsi" w:cs="Times New Roman"/>
                <w:bCs/>
                <w:sz w:val="22"/>
                <w:szCs w:val="22"/>
              </w:rPr>
            </w:pPr>
            <w:r>
              <w:rPr>
                <w:rFonts w:asciiTheme="majorHAnsi" w:hAnsiTheme="majorHAnsi" w:cs="Times New Roman"/>
                <w:bCs/>
                <w:sz w:val="22"/>
                <w:szCs w:val="22"/>
              </w:rPr>
              <w:t>Sta</w:t>
            </w:r>
            <w:r w:rsidR="006F5128" w:rsidRPr="003A62B4">
              <w:rPr>
                <w:rFonts w:asciiTheme="majorHAnsi" w:hAnsiTheme="majorHAnsi" w:cs="Times New Roman"/>
                <w:bCs/>
                <w:sz w:val="22"/>
                <w:szCs w:val="22"/>
              </w:rPr>
              <w:t>k</w:t>
            </w:r>
            <w:r>
              <w:rPr>
                <w:rFonts w:asciiTheme="majorHAnsi" w:hAnsiTheme="majorHAnsi" w:cs="Times New Roman"/>
                <w:bCs/>
                <w:sz w:val="22"/>
                <w:szCs w:val="22"/>
              </w:rPr>
              <w:t>e</w:t>
            </w:r>
            <w:r w:rsidR="006F5128" w:rsidRPr="003A62B4">
              <w:rPr>
                <w:rFonts w:asciiTheme="majorHAnsi" w:hAnsiTheme="majorHAnsi" w:cs="Times New Roman"/>
                <w:bCs/>
                <w:sz w:val="22"/>
                <w:szCs w:val="22"/>
              </w:rPr>
              <w:t>holders</w:t>
            </w:r>
            <w:r w:rsidR="00950471" w:rsidRPr="003A62B4">
              <w:rPr>
                <w:rFonts w:asciiTheme="majorHAnsi" w:hAnsiTheme="majorHAnsi" w:cs="Times New Roman"/>
                <w:bCs/>
                <w:sz w:val="22"/>
                <w:szCs w:val="22"/>
              </w:rPr>
              <w:t xml:space="preserve"> </w:t>
            </w:r>
            <w:r w:rsidR="00466845" w:rsidRPr="003A62B4">
              <w:rPr>
                <w:rFonts w:asciiTheme="majorHAnsi" w:hAnsiTheme="majorHAnsi" w:cs="Times New Roman"/>
                <w:bCs/>
                <w:sz w:val="22"/>
                <w:szCs w:val="22"/>
              </w:rPr>
              <w:t xml:space="preserve">wish to clarify </w:t>
            </w:r>
            <w:r w:rsidR="00950471" w:rsidRPr="003A62B4">
              <w:rPr>
                <w:rFonts w:asciiTheme="majorHAnsi" w:hAnsiTheme="majorHAnsi" w:cs="Times New Roman"/>
                <w:bCs/>
                <w:sz w:val="22"/>
                <w:szCs w:val="22"/>
              </w:rPr>
              <w:t xml:space="preserve">if capacity building means helping to form a robust country system (that can be used by other MDBs) or if countries will build their capacities to attain the level of Bank systems, i.e. abandoning UCS altogether. </w:t>
            </w:r>
          </w:p>
          <w:p w14:paraId="38DE5F14" w14:textId="173F4712" w:rsidR="005E3099" w:rsidRPr="003A62B4" w:rsidRDefault="00580F56" w:rsidP="005E3099">
            <w:pPr>
              <w:pStyle w:val="ListParagraph"/>
              <w:numPr>
                <w:ilvl w:val="0"/>
                <w:numId w:val="11"/>
              </w:numPr>
              <w:suppressAutoHyphens w:val="0"/>
              <w:spacing w:after="0" w:line="276" w:lineRule="auto"/>
              <w:ind w:left="415"/>
              <w:rPr>
                <w:rFonts w:asciiTheme="majorHAnsi" w:hAnsiTheme="majorHAnsi" w:cs="Times New Roman"/>
                <w:bCs/>
                <w:sz w:val="22"/>
                <w:szCs w:val="22"/>
              </w:rPr>
            </w:pPr>
            <w:r>
              <w:rPr>
                <w:rFonts w:asciiTheme="majorHAnsi" w:hAnsiTheme="majorHAnsi" w:cs="Times New Roman"/>
                <w:bCs/>
                <w:sz w:val="22"/>
                <w:szCs w:val="22"/>
              </w:rPr>
              <w:t>Partcipants are c</w:t>
            </w:r>
            <w:r w:rsidR="005E3099" w:rsidRPr="003A62B4">
              <w:rPr>
                <w:rFonts w:asciiTheme="majorHAnsi" w:hAnsiTheme="majorHAnsi" w:cs="Times New Roman"/>
                <w:bCs/>
                <w:sz w:val="22"/>
                <w:szCs w:val="22"/>
              </w:rPr>
              <w:t xml:space="preserve">oncerned with previous training </w:t>
            </w:r>
            <w:r w:rsidR="00DF24EA" w:rsidRPr="003A62B4">
              <w:rPr>
                <w:rFonts w:asciiTheme="majorHAnsi" w:hAnsiTheme="majorHAnsi" w:cs="Times New Roman"/>
                <w:bCs/>
                <w:sz w:val="22"/>
                <w:szCs w:val="22"/>
              </w:rPr>
              <w:t>opportunities</w:t>
            </w:r>
            <w:r w:rsidR="00D031F6">
              <w:rPr>
                <w:rFonts w:asciiTheme="majorHAnsi" w:hAnsiTheme="majorHAnsi" w:cs="Times New Roman"/>
                <w:bCs/>
                <w:sz w:val="22"/>
                <w:szCs w:val="22"/>
              </w:rPr>
              <w:t xml:space="preserve"> </w:t>
            </w:r>
            <w:r>
              <w:rPr>
                <w:rFonts w:asciiTheme="majorHAnsi" w:hAnsiTheme="majorHAnsi" w:cs="Times New Roman"/>
                <w:bCs/>
                <w:sz w:val="22"/>
                <w:szCs w:val="22"/>
              </w:rPr>
              <w:t xml:space="preserve">that </w:t>
            </w:r>
            <w:r w:rsidR="005E3099" w:rsidRPr="003A62B4">
              <w:rPr>
                <w:rFonts w:asciiTheme="majorHAnsi" w:hAnsiTheme="majorHAnsi" w:cs="Times New Roman"/>
                <w:bCs/>
                <w:sz w:val="22"/>
                <w:szCs w:val="22"/>
              </w:rPr>
              <w:t xml:space="preserve">followup is lacking. </w:t>
            </w:r>
            <w:r>
              <w:rPr>
                <w:rFonts w:asciiTheme="majorHAnsi" w:hAnsiTheme="majorHAnsi" w:cs="Times New Roman"/>
                <w:bCs/>
                <w:sz w:val="22"/>
                <w:szCs w:val="22"/>
              </w:rPr>
              <w:t>T</w:t>
            </w:r>
            <w:r w:rsidR="005E3099" w:rsidRPr="003A62B4">
              <w:rPr>
                <w:rFonts w:asciiTheme="majorHAnsi" w:hAnsiTheme="majorHAnsi" w:cs="Times New Roman"/>
                <w:bCs/>
                <w:sz w:val="22"/>
                <w:szCs w:val="22"/>
              </w:rPr>
              <w:t xml:space="preserve">he reform </w:t>
            </w:r>
            <w:r>
              <w:rPr>
                <w:rFonts w:asciiTheme="majorHAnsi" w:hAnsiTheme="majorHAnsi" w:cs="Times New Roman"/>
                <w:bCs/>
                <w:sz w:val="22"/>
                <w:szCs w:val="22"/>
              </w:rPr>
              <w:t xml:space="preserve">should </w:t>
            </w:r>
            <w:r w:rsidR="005E3099" w:rsidRPr="003A62B4">
              <w:rPr>
                <w:rFonts w:asciiTheme="majorHAnsi" w:hAnsiTheme="majorHAnsi" w:cs="Times New Roman"/>
                <w:bCs/>
                <w:sz w:val="22"/>
                <w:szCs w:val="22"/>
              </w:rPr>
              <w:t>consider the need to followup with stakeholders post training</w:t>
            </w:r>
            <w:r>
              <w:rPr>
                <w:rFonts w:asciiTheme="majorHAnsi" w:hAnsiTheme="majorHAnsi" w:cs="Times New Roman"/>
                <w:bCs/>
                <w:sz w:val="22"/>
                <w:szCs w:val="22"/>
              </w:rPr>
              <w:t>.</w:t>
            </w:r>
          </w:p>
          <w:p w14:paraId="0F3F0643" w14:textId="77777777" w:rsidR="00580F56" w:rsidRDefault="006F73B7" w:rsidP="005E3099">
            <w:pPr>
              <w:pStyle w:val="ListParagraph"/>
              <w:numPr>
                <w:ilvl w:val="0"/>
                <w:numId w:val="11"/>
              </w:numPr>
              <w:suppressAutoHyphens w:val="0"/>
              <w:spacing w:after="0" w:line="276" w:lineRule="auto"/>
              <w:ind w:left="415"/>
              <w:rPr>
                <w:rFonts w:asciiTheme="majorHAnsi" w:hAnsiTheme="majorHAnsi" w:cs="Times New Roman"/>
                <w:bCs/>
                <w:sz w:val="22"/>
                <w:szCs w:val="22"/>
              </w:rPr>
            </w:pPr>
            <w:r w:rsidRPr="003A62B4">
              <w:rPr>
                <w:rFonts w:asciiTheme="majorHAnsi" w:hAnsiTheme="majorHAnsi" w:cs="Times New Roman"/>
                <w:bCs/>
                <w:sz w:val="22"/>
                <w:szCs w:val="22"/>
              </w:rPr>
              <w:t xml:space="preserve">Capacity building should take place in two stages: 1) at the strategic/institutional </w:t>
            </w:r>
            <w:r w:rsidR="00DB4F0E" w:rsidRPr="003A62B4">
              <w:rPr>
                <w:rFonts w:asciiTheme="majorHAnsi" w:hAnsiTheme="majorHAnsi" w:cs="Times New Roman"/>
                <w:bCs/>
                <w:sz w:val="22"/>
                <w:szCs w:val="22"/>
              </w:rPr>
              <w:t xml:space="preserve">level 2) cascading procurement knowledge of practitioners. </w:t>
            </w:r>
          </w:p>
          <w:p w14:paraId="45F2464D" w14:textId="5A018B2E" w:rsidR="006F73B7" w:rsidRPr="003A62B4" w:rsidRDefault="00DB4F0E" w:rsidP="005E3099">
            <w:pPr>
              <w:pStyle w:val="ListParagraph"/>
              <w:numPr>
                <w:ilvl w:val="0"/>
                <w:numId w:val="11"/>
              </w:numPr>
              <w:suppressAutoHyphens w:val="0"/>
              <w:spacing w:after="0" w:line="276" w:lineRule="auto"/>
              <w:ind w:left="415"/>
              <w:rPr>
                <w:rFonts w:asciiTheme="majorHAnsi" w:hAnsiTheme="majorHAnsi" w:cs="Times New Roman"/>
                <w:bCs/>
                <w:sz w:val="22"/>
                <w:szCs w:val="22"/>
              </w:rPr>
            </w:pPr>
            <w:r w:rsidRPr="003A62B4">
              <w:rPr>
                <w:rFonts w:asciiTheme="majorHAnsi" w:hAnsiTheme="majorHAnsi" w:cs="Times New Roman"/>
                <w:bCs/>
                <w:sz w:val="22"/>
                <w:szCs w:val="22"/>
              </w:rPr>
              <w:lastRenderedPageBreak/>
              <w:t xml:space="preserve">There is a need to systematize the improvement and measurement </w:t>
            </w:r>
            <w:r w:rsidR="00580F56">
              <w:rPr>
                <w:rFonts w:asciiTheme="majorHAnsi" w:hAnsiTheme="majorHAnsi" w:cs="Times New Roman"/>
                <w:bCs/>
                <w:sz w:val="22"/>
                <w:szCs w:val="22"/>
              </w:rPr>
              <w:t>of capacity building, t</w:t>
            </w:r>
            <w:r w:rsidRPr="003A62B4">
              <w:rPr>
                <w:rFonts w:asciiTheme="majorHAnsi" w:hAnsiTheme="majorHAnsi" w:cs="Times New Roman"/>
                <w:bCs/>
                <w:sz w:val="22"/>
                <w:szCs w:val="22"/>
              </w:rPr>
              <w:t xml:space="preserve">he latter will help to identify if targets are being met. </w:t>
            </w:r>
          </w:p>
          <w:p w14:paraId="2580658D" w14:textId="77777777" w:rsidR="005E3099" w:rsidRPr="003A62B4" w:rsidRDefault="00E22D01" w:rsidP="005E3099">
            <w:pPr>
              <w:pStyle w:val="ListParagraph"/>
              <w:numPr>
                <w:ilvl w:val="0"/>
                <w:numId w:val="11"/>
              </w:numPr>
              <w:suppressAutoHyphens w:val="0"/>
              <w:spacing w:after="0" w:line="276" w:lineRule="auto"/>
              <w:ind w:left="415"/>
              <w:rPr>
                <w:rFonts w:asciiTheme="majorHAnsi" w:hAnsiTheme="majorHAnsi" w:cs="Times New Roman"/>
                <w:bCs/>
                <w:sz w:val="22"/>
                <w:szCs w:val="22"/>
              </w:rPr>
            </w:pPr>
            <w:r w:rsidRPr="003A62B4">
              <w:rPr>
                <w:rFonts w:asciiTheme="majorHAnsi" w:hAnsiTheme="majorHAnsi" w:cs="Times New Roman"/>
                <w:bCs/>
                <w:sz w:val="22"/>
                <w:szCs w:val="22"/>
              </w:rPr>
              <w:t>Which stakeholders will the Bank be supporting and in what matter, i.e. is it merely a matter of retraining?</w:t>
            </w:r>
          </w:p>
          <w:p w14:paraId="4435180F" w14:textId="5AF663B5" w:rsidR="005052E4" w:rsidRPr="003A62B4" w:rsidRDefault="005052E4" w:rsidP="005E3099">
            <w:pPr>
              <w:pStyle w:val="ListParagraph"/>
              <w:numPr>
                <w:ilvl w:val="0"/>
                <w:numId w:val="11"/>
              </w:numPr>
              <w:suppressAutoHyphens w:val="0"/>
              <w:spacing w:after="0" w:line="276" w:lineRule="auto"/>
              <w:ind w:left="415"/>
              <w:rPr>
                <w:rFonts w:asciiTheme="majorHAnsi" w:hAnsiTheme="majorHAnsi" w:cs="Times New Roman"/>
                <w:bCs/>
                <w:sz w:val="22"/>
                <w:szCs w:val="22"/>
              </w:rPr>
            </w:pPr>
            <w:r w:rsidRPr="003A62B4">
              <w:rPr>
                <w:rFonts w:asciiTheme="majorHAnsi" w:hAnsiTheme="majorHAnsi" w:cs="Times New Roman"/>
                <w:bCs/>
                <w:sz w:val="22"/>
                <w:szCs w:val="22"/>
              </w:rPr>
              <w:t xml:space="preserve">Professionalism </w:t>
            </w:r>
            <w:r w:rsidR="000A6A08" w:rsidRPr="003A62B4">
              <w:rPr>
                <w:rFonts w:asciiTheme="majorHAnsi" w:hAnsiTheme="majorHAnsi" w:cs="Times New Roman"/>
                <w:bCs/>
                <w:sz w:val="22"/>
                <w:szCs w:val="22"/>
              </w:rPr>
              <w:t>of procurement practitioners should be considered as part of capacity building instruments.</w:t>
            </w:r>
          </w:p>
          <w:p w14:paraId="7A7FCF1C" w14:textId="5C0771DE" w:rsidR="00607B12" w:rsidRPr="003A62B4" w:rsidRDefault="00607B12" w:rsidP="00493473">
            <w:pPr>
              <w:pStyle w:val="ListParagraph"/>
              <w:numPr>
                <w:ilvl w:val="0"/>
                <w:numId w:val="11"/>
              </w:numPr>
              <w:suppressAutoHyphens w:val="0"/>
              <w:spacing w:after="0" w:line="276" w:lineRule="auto"/>
              <w:ind w:left="415"/>
              <w:rPr>
                <w:rFonts w:asciiTheme="majorHAnsi" w:hAnsiTheme="majorHAnsi" w:cs="Times New Roman"/>
                <w:bCs/>
                <w:sz w:val="22"/>
                <w:szCs w:val="22"/>
              </w:rPr>
            </w:pPr>
            <w:r w:rsidRPr="003A62B4">
              <w:rPr>
                <w:rFonts w:asciiTheme="majorHAnsi" w:hAnsiTheme="majorHAnsi" w:cs="Times New Roman"/>
                <w:bCs/>
                <w:sz w:val="22"/>
                <w:szCs w:val="22"/>
              </w:rPr>
              <w:t xml:space="preserve">Capacity building initiatives should also cover </w:t>
            </w:r>
            <w:r w:rsidR="00F777A2" w:rsidRPr="003A62B4">
              <w:rPr>
                <w:rFonts w:asciiTheme="majorHAnsi" w:hAnsiTheme="majorHAnsi" w:cs="Times New Roman"/>
                <w:bCs/>
                <w:sz w:val="22"/>
                <w:szCs w:val="22"/>
              </w:rPr>
              <w:t>the private sector, in particular to prepare Kenyan companies to bid in</w:t>
            </w:r>
            <w:r w:rsidR="003A36FD" w:rsidRPr="003A62B4">
              <w:rPr>
                <w:rFonts w:asciiTheme="majorHAnsi" w:hAnsiTheme="majorHAnsi" w:cs="Times New Roman"/>
                <w:bCs/>
                <w:sz w:val="22"/>
                <w:szCs w:val="22"/>
              </w:rPr>
              <w:t xml:space="preserve"> innovate processes, such as VfM and sustainable procurement.</w:t>
            </w:r>
          </w:p>
        </w:tc>
      </w:tr>
      <w:tr w:rsidR="00A840E8" w:rsidRPr="003A62B4" w14:paraId="4E514D1B" w14:textId="77777777" w:rsidTr="002C093B">
        <w:tblPrEx>
          <w:tblCellMar>
            <w:left w:w="0" w:type="dxa"/>
            <w:right w:w="0" w:type="dxa"/>
          </w:tblCellMar>
        </w:tblPrEx>
        <w:trPr>
          <w:trHeight w:val="70"/>
        </w:trPr>
        <w:tc>
          <w:tcPr>
            <w:tcW w:w="13320" w:type="dxa"/>
            <w:shd w:val="clear" w:color="auto" w:fill="DBE5F1" w:themeFill="accent1" w:themeFillTint="33"/>
          </w:tcPr>
          <w:p w14:paraId="7A5FF545" w14:textId="77777777" w:rsidR="00A840E8" w:rsidRPr="003A62B4" w:rsidRDefault="008A533C" w:rsidP="00150B6C">
            <w:pPr>
              <w:numPr>
                <w:ilvl w:val="0"/>
                <w:numId w:val="30"/>
              </w:numPr>
              <w:snapToGrid w:val="0"/>
              <w:ind w:left="540" w:right="180"/>
              <w:rPr>
                <w:rFonts w:asciiTheme="majorHAnsi" w:eastAsia="Batang" w:hAnsiTheme="majorHAnsi"/>
                <w:b/>
                <w:color w:val="17365D" w:themeColor="text2" w:themeShade="BF"/>
                <w:sz w:val="22"/>
                <w:szCs w:val="22"/>
              </w:rPr>
            </w:pPr>
            <w:r w:rsidRPr="003A62B4">
              <w:rPr>
                <w:rFonts w:asciiTheme="majorHAnsi" w:eastAsia="Batang" w:hAnsiTheme="majorHAnsi"/>
                <w:b/>
                <w:bCs/>
                <w:color w:val="17365D" w:themeColor="text2" w:themeShade="BF"/>
                <w:sz w:val="22"/>
                <w:szCs w:val="22"/>
              </w:rPr>
              <w:lastRenderedPageBreak/>
              <w:t>How should the Bank operationalize the potential broader use of value-for-money criteria in borrower contract award decisions?</w:t>
            </w:r>
          </w:p>
        </w:tc>
      </w:tr>
      <w:tr w:rsidR="002E23E9" w:rsidRPr="003A62B4" w14:paraId="09201691" w14:textId="77777777" w:rsidTr="007B42A0">
        <w:trPr>
          <w:trHeight w:val="962"/>
        </w:trPr>
        <w:tc>
          <w:tcPr>
            <w:tcW w:w="13320" w:type="dxa"/>
            <w:shd w:val="clear" w:color="auto" w:fill="auto"/>
          </w:tcPr>
          <w:p w14:paraId="2007D429" w14:textId="5237CB93" w:rsidR="002E23E9" w:rsidRPr="00493473" w:rsidRDefault="00580F56" w:rsidP="008E3CAB">
            <w:pPr>
              <w:pStyle w:val="ListParagraph"/>
              <w:numPr>
                <w:ilvl w:val="0"/>
                <w:numId w:val="11"/>
              </w:numPr>
              <w:ind w:left="415"/>
              <w:jc w:val="left"/>
              <w:rPr>
                <w:rFonts w:asciiTheme="majorHAnsi" w:hAnsiTheme="majorHAnsi" w:cs="Times New Roman"/>
                <w:sz w:val="22"/>
                <w:szCs w:val="22"/>
              </w:rPr>
            </w:pPr>
            <w:r>
              <w:rPr>
                <w:rFonts w:asciiTheme="majorHAnsi" w:hAnsiTheme="majorHAnsi" w:cs="Times New Roman"/>
                <w:sz w:val="22"/>
                <w:szCs w:val="22"/>
              </w:rPr>
              <w:t>Participants suggested that the Bank’s SBDs</w:t>
            </w:r>
            <w:r w:rsidR="00BF7F43" w:rsidRPr="00493473">
              <w:rPr>
                <w:rFonts w:asciiTheme="majorHAnsi" w:hAnsiTheme="majorHAnsi" w:cs="Times New Roman"/>
                <w:sz w:val="22"/>
                <w:szCs w:val="22"/>
              </w:rPr>
              <w:t xml:space="preserve"> </w:t>
            </w:r>
            <w:r w:rsidRPr="00493473">
              <w:rPr>
                <w:rFonts w:asciiTheme="majorHAnsi" w:hAnsiTheme="majorHAnsi" w:cs="Times New Roman"/>
                <w:sz w:val="22"/>
                <w:szCs w:val="22"/>
              </w:rPr>
              <w:t>refer</w:t>
            </w:r>
            <w:r w:rsidR="00BF7F43" w:rsidRPr="00493473">
              <w:rPr>
                <w:rFonts w:asciiTheme="majorHAnsi" w:hAnsiTheme="majorHAnsi" w:cs="Times New Roman"/>
                <w:sz w:val="22"/>
                <w:szCs w:val="22"/>
              </w:rPr>
              <w:t xml:space="preserve"> to VfM and how to measure non-price attributes</w:t>
            </w:r>
            <w:r>
              <w:rPr>
                <w:rFonts w:asciiTheme="majorHAnsi" w:hAnsiTheme="majorHAnsi" w:cs="Times New Roman"/>
                <w:sz w:val="22"/>
                <w:szCs w:val="22"/>
              </w:rPr>
              <w:t>.</w:t>
            </w:r>
          </w:p>
          <w:p w14:paraId="6762EA14" w14:textId="77777777" w:rsidR="00443EC1" w:rsidRPr="00493473" w:rsidRDefault="00443EC1" w:rsidP="008E3CAB">
            <w:pPr>
              <w:pStyle w:val="ListParagraph"/>
              <w:numPr>
                <w:ilvl w:val="0"/>
                <w:numId w:val="11"/>
              </w:numPr>
              <w:ind w:left="415"/>
              <w:jc w:val="left"/>
              <w:rPr>
                <w:rFonts w:asciiTheme="majorHAnsi" w:hAnsiTheme="majorHAnsi" w:cs="Times New Roman"/>
                <w:sz w:val="22"/>
                <w:szCs w:val="22"/>
              </w:rPr>
            </w:pPr>
            <w:r w:rsidRPr="00493473">
              <w:rPr>
                <w:rFonts w:asciiTheme="majorHAnsi" w:hAnsiTheme="majorHAnsi" w:cs="Times New Roman"/>
                <w:sz w:val="22"/>
                <w:szCs w:val="22"/>
              </w:rPr>
              <w:t>Further as regards measurement: given the dynamics of procedures and the possibility of them changing in the course of a project, how can VfM be measured and continuously capture these changes?</w:t>
            </w:r>
          </w:p>
          <w:p w14:paraId="58BB0284" w14:textId="77777777" w:rsidR="00443EC1" w:rsidRPr="00493473" w:rsidRDefault="0070247F" w:rsidP="008E3CAB">
            <w:pPr>
              <w:pStyle w:val="ListParagraph"/>
              <w:numPr>
                <w:ilvl w:val="0"/>
                <w:numId w:val="11"/>
              </w:numPr>
              <w:ind w:left="415"/>
              <w:jc w:val="left"/>
              <w:rPr>
                <w:rFonts w:asciiTheme="majorHAnsi" w:hAnsiTheme="majorHAnsi" w:cs="Times New Roman"/>
                <w:sz w:val="22"/>
                <w:szCs w:val="22"/>
              </w:rPr>
            </w:pPr>
            <w:r w:rsidRPr="00493473">
              <w:rPr>
                <w:rFonts w:asciiTheme="majorHAnsi" w:hAnsiTheme="majorHAnsi" w:cs="Times New Roman"/>
                <w:sz w:val="22"/>
                <w:szCs w:val="22"/>
              </w:rPr>
              <w:t>Will details of the proposal also guide suppliers on how to measure VfM?</w:t>
            </w:r>
          </w:p>
          <w:p w14:paraId="195C6875" w14:textId="77777777" w:rsidR="005F7B91" w:rsidRPr="003A62B4" w:rsidRDefault="005F7B91" w:rsidP="008E3CAB">
            <w:pPr>
              <w:pStyle w:val="ListParagraph"/>
              <w:numPr>
                <w:ilvl w:val="0"/>
                <w:numId w:val="11"/>
              </w:numPr>
              <w:ind w:left="415"/>
              <w:jc w:val="left"/>
              <w:rPr>
                <w:rFonts w:asciiTheme="majorHAnsi" w:hAnsiTheme="majorHAnsi" w:cs="Times New Roman"/>
                <w:color w:val="333333"/>
                <w:sz w:val="22"/>
                <w:szCs w:val="22"/>
              </w:rPr>
            </w:pPr>
            <w:r w:rsidRPr="00493473">
              <w:rPr>
                <w:rFonts w:asciiTheme="majorHAnsi" w:hAnsiTheme="majorHAnsi" w:cs="Times New Roman"/>
                <w:sz w:val="22"/>
                <w:szCs w:val="22"/>
              </w:rPr>
              <w:t>Guidance on price references would be appreciated.</w:t>
            </w:r>
          </w:p>
        </w:tc>
      </w:tr>
      <w:tr w:rsidR="00941C03" w:rsidRPr="003A62B4" w14:paraId="566390D5" w14:textId="77777777" w:rsidTr="00A227C2">
        <w:tblPrEx>
          <w:tblCellMar>
            <w:left w:w="0" w:type="dxa"/>
            <w:right w:w="0" w:type="dxa"/>
          </w:tblCellMar>
        </w:tblPrEx>
        <w:trPr>
          <w:trHeight w:val="125"/>
        </w:trPr>
        <w:tc>
          <w:tcPr>
            <w:tcW w:w="13320" w:type="dxa"/>
            <w:shd w:val="clear" w:color="auto" w:fill="DBE5F1" w:themeFill="accent1" w:themeFillTint="33"/>
          </w:tcPr>
          <w:p w14:paraId="2F0E65C9" w14:textId="77777777" w:rsidR="00941C03" w:rsidRPr="003A62B4" w:rsidRDefault="008A533C" w:rsidP="00A227C2">
            <w:pPr>
              <w:numPr>
                <w:ilvl w:val="0"/>
                <w:numId w:val="30"/>
              </w:numPr>
              <w:snapToGrid w:val="0"/>
              <w:ind w:left="540" w:right="180"/>
              <w:rPr>
                <w:rFonts w:asciiTheme="majorHAnsi" w:eastAsia="Batang" w:hAnsiTheme="majorHAnsi"/>
                <w:b/>
                <w:bCs/>
                <w:color w:val="17365D" w:themeColor="text2" w:themeShade="BF"/>
                <w:sz w:val="22"/>
                <w:szCs w:val="22"/>
              </w:rPr>
            </w:pPr>
            <w:r w:rsidRPr="003A62B4">
              <w:rPr>
                <w:rFonts w:asciiTheme="majorHAnsi" w:eastAsia="Batang" w:hAnsiTheme="majorHAnsi"/>
                <w:b/>
                <w:bCs/>
                <w:color w:val="17365D" w:themeColor="text2" w:themeShade="BF"/>
                <w:sz w:val="22"/>
                <w:szCs w:val="22"/>
              </w:rPr>
              <w:t>How should the World Bank target its procurement staff resources to get the best results?</w:t>
            </w:r>
          </w:p>
        </w:tc>
      </w:tr>
      <w:tr w:rsidR="002E23E9" w:rsidRPr="003A62B4" w14:paraId="65C22F20" w14:textId="77777777" w:rsidTr="00A227C2">
        <w:trPr>
          <w:trHeight w:val="440"/>
        </w:trPr>
        <w:tc>
          <w:tcPr>
            <w:tcW w:w="13320" w:type="dxa"/>
            <w:shd w:val="clear" w:color="auto" w:fill="auto"/>
          </w:tcPr>
          <w:p w14:paraId="44B819CA" w14:textId="1AA8E289" w:rsidR="002E23E9" w:rsidRPr="00493473" w:rsidRDefault="008A0B0C" w:rsidP="00493473">
            <w:pPr>
              <w:pStyle w:val="BodyText2"/>
              <w:numPr>
                <w:ilvl w:val="0"/>
                <w:numId w:val="40"/>
              </w:numPr>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sz w:val="22"/>
                <w:szCs w:val="22"/>
              </w:rPr>
            </w:pPr>
            <w:r w:rsidRPr="003A62B4">
              <w:rPr>
                <w:rFonts w:asciiTheme="majorHAnsi" w:hAnsiTheme="majorHAnsi" w:cs="Times New Roman"/>
                <w:sz w:val="22"/>
                <w:szCs w:val="22"/>
              </w:rPr>
              <w:t>Welcome</w:t>
            </w:r>
            <w:r w:rsidR="00500E2C" w:rsidRPr="003A62B4">
              <w:rPr>
                <w:rFonts w:asciiTheme="majorHAnsi" w:hAnsiTheme="majorHAnsi" w:cs="Times New Roman"/>
                <w:sz w:val="22"/>
                <w:szCs w:val="22"/>
                <w:lang w:val="en-US"/>
              </w:rPr>
              <w:t>d</w:t>
            </w:r>
            <w:r w:rsidRPr="003A62B4">
              <w:rPr>
                <w:rFonts w:asciiTheme="majorHAnsi" w:hAnsiTheme="majorHAnsi" w:cs="Times New Roman"/>
                <w:sz w:val="22"/>
                <w:szCs w:val="22"/>
              </w:rPr>
              <w:t xml:space="preserve"> the proposal to streamline the Bank’s approach to prior review, seconding the idea that the Bank’s prior review should be aligned with risks, focused on high risk and/or high value projects.</w:t>
            </w:r>
          </w:p>
        </w:tc>
      </w:tr>
      <w:tr w:rsidR="00173E2F" w:rsidRPr="003A62B4" w14:paraId="64B08210" w14:textId="77777777" w:rsidTr="002C093B">
        <w:tblPrEx>
          <w:tblCellMar>
            <w:left w:w="0" w:type="dxa"/>
            <w:right w:w="0" w:type="dxa"/>
          </w:tblCellMar>
        </w:tblPrEx>
        <w:trPr>
          <w:trHeight w:val="70"/>
        </w:trPr>
        <w:tc>
          <w:tcPr>
            <w:tcW w:w="13320" w:type="dxa"/>
            <w:shd w:val="clear" w:color="auto" w:fill="DBE5F1" w:themeFill="accent1" w:themeFillTint="33"/>
          </w:tcPr>
          <w:p w14:paraId="6596C92C" w14:textId="77777777" w:rsidR="00173E2F" w:rsidRPr="003A62B4" w:rsidRDefault="008A533C" w:rsidP="00150B6C">
            <w:pPr>
              <w:numPr>
                <w:ilvl w:val="0"/>
                <w:numId w:val="30"/>
              </w:numPr>
              <w:snapToGrid w:val="0"/>
              <w:ind w:left="540" w:right="180"/>
              <w:rPr>
                <w:rFonts w:asciiTheme="majorHAnsi" w:eastAsia="Batang" w:hAnsiTheme="majorHAnsi"/>
                <w:color w:val="17365D" w:themeColor="text2" w:themeShade="BF"/>
                <w:sz w:val="22"/>
                <w:szCs w:val="22"/>
              </w:rPr>
            </w:pPr>
            <w:r w:rsidRPr="003A62B4">
              <w:rPr>
                <w:rFonts w:asciiTheme="majorHAnsi" w:eastAsia="Batang" w:hAnsiTheme="majorHAnsi"/>
                <w:b/>
                <w:bCs/>
                <w:color w:val="17365D" w:themeColor="text2" w:themeShade="BF"/>
                <w:sz w:val="22"/>
                <w:szCs w:val="22"/>
              </w:rPr>
              <w:t>How and when should alternative procurement arrangements be used for procurement in Bank projects and how should they be assessed?</w:t>
            </w:r>
          </w:p>
        </w:tc>
      </w:tr>
      <w:tr w:rsidR="002E23E9" w:rsidRPr="003A62B4" w14:paraId="0FCAAB25" w14:textId="77777777" w:rsidTr="002E23E9">
        <w:trPr>
          <w:trHeight w:val="908"/>
        </w:trPr>
        <w:tc>
          <w:tcPr>
            <w:tcW w:w="13320" w:type="dxa"/>
            <w:shd w:val="clear" w:color="auto" w:fill="auto"/>
          </w:tcPr>
          <w:p w14:paraId="627A7AEC" w14:textId="480A3B33" w:rsidR="002E23E9" w:rsidRPr="003A62B4" w:rsidRDefault="00E60EB0" w:rsidP="00F00686">
            <w:pPr>
              <w:pStyle w:val="ListParagraph"/>
              <w:numPr>
                <w:ilvl w:val="0"/>
                <w:numId w:val="13"/>
              </w:numPr>
              <w:ind w:left="309" w:hanging="253"/>
              <w:jc w:val="left"/>
              <w:rPr>
                <w:rFonts w:asciiTheme="majorHAnsi" w:eastAsia="Batang" w:hAnsiTheme="majorHAnsi" w:cs="Times New Roman"/>
                <w:sz w:val="22"/>
                <w:szCs w:val="22"/>
              </w:rPr>
            </w:pPr>
            <w:r w:rsidRPr="003A62B4">
              <w:rPr>
                <w:rFonts w:asciiTheme="majorHAnsi" w:eastAsia="Batang" w:hAnsiTheme="majorHAnsi" w:cs="Times New Roman"/>
                <w:sz w:val="22"/>
                <w:szCs w:val="22"/>
              </w:rPr>
              <w:t>Participants enquired if there are othe</w:t>
            </w:r>
            <w:r w:rsidR="00F00686" w:rsidRPr="003A62B4">
              <w:rPr>
                <w:rFonts w:asciiTheme="majorHAnsi" w:eastAsia="Batang" w:hAnsiTheme="majorHAnsi" w:cs="Times New Roman"/>
                <w:sz w:val="22"/>
                <w:szCs w:val="22"/>
              </w:rPr>
              <w:t>r options under APA, besides GPA, those  o</w:t>
            </w:r>
            <w:r w:rsidRPr="003A62B4">
              <w:rPr>
                <w:rFonts w:asciiTheme="majorHAnsi" w:eastAsia="Batang" w:hAnsiTheme="majorHAnsi" w:cs="Times New Roman"/>
                <w:sz w:val="22"/>
                <w:szCs w:val="22"/>
              </w:rPr>
              <w:t>f other MDBs</w:t>
            </w:r>
            <w:r w:rsidR="00F00686" w:rsidRPr="003A62B4">
              <w:rPr>
                <w:rFonts w:asciiTheme="majorHAnsi" w:eastAsia="Batang" w:hAnsiTheme="majorHAnsi" w:cs="Times New Roman"/>
                <w:sz w:val="22"/>
                <w:szCs w:val="22"/>
              </w:rPr>
              <w:t xml:space="preserve"> and agency arrangements, are available and how the Bank will ensure that these are in accordance with national policies. </w:t>
            </w:r>
            <w:r w:rsidR="00130B4E" w:rsidRPr="003A62B4">
              <w:rPr>
                <w:rFonts w:asciiTheme="majorHAnsi" w:eastAsia="Batang" w:hAnsiTheme="majorHAnsi" w:cs="Times New Roman"/>
                <w:sz w:val="22"/>
                <w:szCs w:val="22"/>
              </w:rPr>
              <w:t xml:space="preserve">In addition, they wanted to know if the delegation to other MDBs was optional or a requirement where the Bank was no t the majority </w:t>
            </w:r>
            <w:r w:rsidR="00500E2C" w:rsidRPr="003A62B4">
              <w:rPr>
                <w:rFonts w:asciiTheme="majorHAnsi" w:eastAsia="Batang" w:hAnsiTheme="majorHAnsi" w:cs="Times New Roman"/>
                <w:sz w:val="22"/>
                <w:szCs w:val="22"/>
              </w:rPr>
              <w:t>financier</w:t>
            </w:r>
            <w:r w:rsidR="00130B4E" w:rsidRPr="003A62B4">
              <w:rPr>
                <w:rFonts w:asciiTheme="majorHAnsi" w:eastAsia="Batang" w:hAnsiTheme="majorHAnsi" w:cs="Times New Roman"/>
                <w:sz w:val="22"/>
                <w:szCs w:val="22"/>
              </w:rPr>
              <w:t xml:space="preserve">. </w:t>
            </w:r>
          </w:p>
        </w:tc>
      </w:tr>
      <w:tr w:rsidR="002717AA" w:rsidRPr="003A62B4" w14:paraId="4252674F" w14:textId="77777777" w:rsidTr="002C093B">
        <w:tblPrEx>
          <w:tblCellMar>
            <w:left w:w="0" w:type="dxa"/>
            <w:right w:w="0" w:type="dxa"/>
          </w:tblCellMar>
        </w:tblPrEx>
        <w:trPr>
          <w:trHeight w:val="70"/>
        </w:trPr>
        <w:tc>
          <w:tcPr>
            <w:tcW w:w="13320" w:type="dxa"/>
            <w:shd w:val="clear" w:color="auto" w:fill="DBE5F1" w:themeFill="accent1" w:themeFillTint="33"/>
          </w:tcPr>
          <w:p w14:paraId="6D146422" w14:textId="77777777" w:rsidR="002717AA" w:rsidRPr="003A62B4" w:rsidRDefault="008A533C" w:rsidP="00A227C2">
            <w:pPr>
              <w:numPr>
                <w:ilvl w:val="0"/>
                <w:numId w:val="30"/>
              </w:numPr>
              <w:snapToGrid w:val="0"/>
              <w:ind w:left="540" w:right="180"/>
              <w:rPr>
                <w:rFonts w:asciiTheme="majorHAnsi" w:eastAsia="Batang" w:hAnsiTheme="majorHAnsi"/>
                <w:b/>
                <w:bCs/>
                <w:color w:val="17365D" w:themeColor="text2" w:themeShade="BF"/>
                <w:sz w:val="22"/>
                <w:szCs w:val="22"/>
              </w:rPr>
            </w:pPr>
            <w:r w:rsidRPr="003A62B4">
              <w:rPr>
                <w:rFonts w:asciiTheme="majorHAnsi" w:eastAsia="Batang" w:hAnsiTheme="majorHAnsi"/>
                <w:b/>
                <w:bCs/>
                <w:color w:val="17365D" w:themeColor="text2" w:themeShade="BF"/>
                <w:sz w:val="22"/>
                <w:szCs w:val="22"/>
              </w:rPr>
              <w:t>How should sustainable procurement matters be addressed in Bank-financed contracts?</w:t>
            </w:r>
          </w:p>
        </w:tc>
      </w:tr>
      <w:tr w:rsidR="002E23E9" w:rsidRPr="003A62B4" w14:paraId="5F6489E4" w14:textId="77777777" w:rsidTr="00A227C2">
        <w:trPr>
          <w:trHeight w:val="395"/>
        </w:trPr>
        <w:tc>
          <w:tcPr>
            <w:tcW w:w="13320" w:type="dxa"/>
            <w:shd w:val="clear" w:color="auto" w:fill="auto"/>
          </w:tcPr>
          <w:p w14:paraId="6E521E62" w14:textId="2BED2BD4" w:rsidR="002E23E9" w:rsidRPr="003A62B4" w:rsidRDefault="001E3078" w:rsidP="00493473">
            <w:pPr>
              <w:pStyle w:val="BodyText2"/>
              <w:numPr>
                <w:ilvl w:val="0"/>
                <w:numId w:val="13"/>
              </w:numPr>
              <w:tabs>
                <w:tab w:val="left" w:pos="342"/>
                <w:tab w:val="left" w:pos="1440"/>
                <w:tab w:val="left" w:pos="2160"/>
                <w:tab w:val="left" w:pos="2880"/>
                <w:tab w:val="left" w:pos="3600"/>
                <w:tab w:val="left" w:pos="4320"/>
                <w:tab w:val="left" w:pos="5040"/>
                <w:tab w:val="left" w:pos="5760"/>
                <w:tab w:val="left" w:pos="6480"/>
                <w:tab w:val="left" w:pos="7684"/>
              </w:tabs>
              <w:ind w:left="342" w:hanging="270"/>
              <w:rPr>
                <w:rFonts w:asciiTheme="majorHAnsi" w:hAnsiTheme="majorHAnsi" w:cs="Times New Roman"/>
                <w:sz w:val="22"/>
                <w:szCs w:val="22"/>
              </w:rPr>
            </w:pPr>
            <w:r w:rsidRPr="003A62B4">
              <w:rPr>
                <w:rFonts w:asciiTheme="majorHAnsi" w:hAnsiTheme="majorHAnsi" w:cs="Times New Roman"/>
                <w:sz w:val="22"/>
                <w:szCs w:val="22"/>
                <w:lang w:val="en-US"/>
              </w:rPr>
              <w:t xml:space="preserve">More </w:t>
            </w:r>
            <w:r w:rsidR="00410AF9" w:rsidRPr="003A62B4">
              <w:rPr>
                <w:rFonts w:asciiTheme="majorHAnsi" w:hAnsiTheme="majorHAnsi" w:cs="Times New Roman"/>
                <w:sz w:val="22"/>
                <w:szCs w:val="22"/>
              </w:rPr>
              <w:t>delegation to local specialists; up-fron</w:t>
            </w:r>
            <w:r w:rsidRPr="003A62B4">
              <w:rPr>
                <w:rFonts w:asciiTheme="majorHAnsi" w:hAnsiTheme="majorHAnsi" w:cs="Times New Roman"/>
                <w:sz w:val="22"/>
                <w:szCs w:val="22"/>
              </w:rPr>
              <w:t xml:space="preserve">t assessment of the operation; </w:t>
            </w:r>
            <w:r w:rsidR="00410AF9" w:rsidRPr="003A62B4">
              <w:rPr>
                <w:rFonts w:asciiTheme="majorHAnsi" w:hAnsiTheme="majorHAnsi" w:cs="Times New Roman"/>
                <w:sz w:val="22"/>
                <w:szCs w:val="22"/>
              </w:rPr>
              <w:t>and hands-on support from the Bank are all found to be part of what will help expedite implementation of projects.</w:t>
            </w:r>
          </w:p>
        </w:tc>
      </w:tr>
      <w:tr w:rsidR="002A7906" w:rsidRPr="003A62B4" w14:paraId="4B5D7D00" w14:textId="77777777" w:rsidTr="002C093B">
        <w:tblPrEx>
          <w:tblCellMar>
            <w:left w:w="0" w:type="dxa"/>
            <w:right w:w="0" w:type="dxa"/>
          </w:tblCellMar>
        </w:tblPrEx>
        <w:trPr>
          <w:trHeight w:val="70"/>
        </w:trPr>
        <w:tc>
          <w:tcPr>
            <w:tcW w:w="13320" w:type="dxa"/>
            <w:shd w:val="clear" w:color="auto" w:fill="DBE5F1" w:themeFill="accent1" w:themeFillTint="33"/>
          </w:tcPr>
          <w:p w14:paraId="2F0AC612" w14:textId="77777777" w:rsidR="002A7906" w:rsidRPr="003A62B4" w:rsidRDefault="008A533C" w:rsidP="00A227C2">
            <w:pPr>
              <w:numPr>
                <w:ilvl w:val="0"/>
                <w:numId w:val="30"/>
              </w:numPr>
              <w:snapToGrid w:val="0"/>
              <w:ind w:left="540" w:right="180"/>
              <w:rPr>
                <w:rFonts w:asciiTheme="majorHAnsi" w:eastAsia="Batang" w:hAnsiTheme="majorHAnsi"/>
                <w:b/>
                <w:bCs/>
                <w:color w:val="17365D" w:themeColor="text2" w:themeShade="BF"/>
                <w:sz w:val="22"/>
                <w:szCs w:val="22"/>
              </w:rPr>
            </w:pPr>
            <w:r w:rsidRPr="003A62B4">
              <w:rPr>
                <w:rFonts w:asciiTheme="majorHAnsi" w:eastAsia="Batang" w:hAnsiTheme="majorHAnsi"/>
                <w:b/>
                <w:bCs/>
                <w:color w:val="17365D" w:themeColor="text2" w:themeShade="BF"/>
                <w:sz w:val="22"/>
                <w:szCs w:val="22"/>
              </w:rPr>
              <w:t>How should the World Bank manage fraud and corruption issues in the procurements it finances?</w:t>
            </w:r>
          </w:p>
        </w:tc>
      </w:tr>
      <w:tr w:rsidR="002E23E9" w:rsidRPr="003A62B4" w14:paraId="4C92BA35" w14:textId="77777777" w:rsidTr="00A227C2">
        <w:trPr>
          <w:trHeight w:val="656"/>
        </w:trPr>
        <w:tc>
          <w:tcPr>
            <w:tcW w:w="13320" w:type="dxa"/>
            <w:shd w:val="clear" w:color="auto" w:fill="auto"/>
          </w:tcPr>
          <w:p w14:paraId="5C914862" w14:textId="0728C235" w:rsidR="002E23E9" w:rsidRPr="00493473" w:rsidRDefault="00A4319F" w:rsidP="008A533C">
            <w:pPr>
              <w:pStyle w:val="ListParagraph"/>
              <w:numPr>
                <w:ilvl w:val="0"/>
                <w:numId w:val="13"/>
              </w:numPr>
              <w:ind w:left="309" w:hanging="253"/>
              <w:rPr>
                <w:rFonts w:asciiTheme="majorHAnsi" w:hAnsiTheme="majorHAnsi" w:cs="Times New Roman"/>
                <w:sz w:val="22"/>
                <w:szCs w:val="22"/>
              </w:rPr>
            </w:pPr>
            <w:r w:rsidRPr="00493473">
              <w:rPr>
                <w:rFonts w:asciiTheme="majorHAnsi" w:hAnsiTheme="majorHAnsi" w:cs="Times New Roman"/>
                <w:sz w:val="22"/>
                <w:szCs w:val="22"/>
              </w:rPr>
              <w:t xml:space="preserve">Promoting integrity as a pro-governance proposal, building </w:t>
            </w:r>
            <w:r w:rsidR="0069417C" w:rsidRPr="00493473">
              <w:rPr>
                <w:rFonts w:asciiTheme="majorHAnsi" w:hAnsiTheme="majorHAnsi" w:cs="Times New Roman"/>
                <w:sz w:val="22"/>
                <w:szCs w:val="22"/>
              </w:rPr>
              <w:t>accountability</w:t>
            </w:r>
            <w:r w:rsidRPr="00493473">
              <w:rPr>
                <w:rFonts w:asciiTheme="majorHAnsi" w:hAnsiTheme="majorHAnsi" w:cs="Times New Roman"/>
                <w:sz w:val="22"/>
                <w:szCs w:val="22"/>
              </w:rPr>
              <w:t xml:space="preserve"> in decision making process</w:t>
            </w:r>
            <w:r w:rsidR="00995B26" w:rsidRPr="00493473">
              <w:rPr>
                <w:rFonts w:asciiTheme="majorHAnsi" w:hAnsiTheme="majorHAnsi" w:cs="Times New Roman"/>
                <w:sz w:val="22"/>
                <w:szCs w:val="22"/>
              </w:rPr>
              <w:t>es</w:t>
            </w:r>
            <w:r w:rsidRPr="00493473">
              <w:rPr>
                <w:rFonts w:asciiTheme="majorHAnsi" w:hAnsiTheme="majorHAnsi" w:cs="Times New Roman"/>
                <w:sz w:val="22"/>
                <w:szCs w:val="22"/>
              </w:rPr>
              <w:t xml:space="preserve">, </w:t>
            </w:r>
            <w:r w:rsidR="0069417C" w:rsidRPr="00493473">
              <w:rPr>
                <w:rFonts w:asciiTheme="majorHAnsi" w:hAnsiTheme="majorHAnsi" w:cs="Times New Roman"/>
                <w:sz w:val="22"/>
                <w:szCs w:val="22"/>
              </w:rPr>
              <w:t>enhancing transparency, fairness in procurement, among others</w:t>
            </w:r>
            <w:r w:rsidR="005F7B91" w:rsidRPr="00493473">
              <w:rPr>
                <w:rFonts w:asciiTheme="majorHAnsi" w:hAnsiTheme="majorHAnsi" w:cs="Times New Roman"/>
                <w:sz w:val="22"/>
                <w:szCs w:val="22"/>
              </w:rPr>
              <w:t>.</w:t>
            </w:r>
          </w:p>
        </w:tc>
      </w:tr>
      <w:tr w:rsidR="00594D12" w:rsidRPr="003A62B4" w14:paraId="407FB0CE" w14:textId="77777777" w:rsidTr="002C093B">
        <w:tblPrEx>
          <w:tblCellMar>
            <w:left w:w="0" w:type="dxa"/>
            <w:right w:w="0" w:type="dxa"/>
          </w:tblCellMar>
        </w:tblPrEx>
        <w:trPr>
          <w:trHeight w:val="70"/>
        </w:trPr>
        <w:tc>
          <w:tcPr>
            <w:tcW w:w="13320" w:type="dxa"/>
            <w:shd w:val="clear" w:color="auto" w:fill="DBE5F1" w:themeFill="accent1" w:themeFillTint="33"/>
          </w:tcPr>
          <w:p w14:paraId="33FE5E98" w14:textId="77777777" w:rsidR="00594D12" w:rsidRPr="003A62B4" w:rsidRDefault="008A533C" w:rsidP="00A227C2">
            <w:pPr>
              <w:numPr>
                <w:ilvl w:val="0"/>
                <w:numId w:val="30"/>
              </w:numPr>
              <w:snapToGrid w:val="0"/>
              <w:ind w:left="540" w:right="180"/>
              <w:rPr>
                <w:rFonts w:asciiTheme="majorHAnsi" w:eastAsia="Batang" w:hAnsiTheme="majorHAnsi"/>
                <w:b/>
                <w:bCs/>
                <w:color w:val="17365D" w:themeColor="text2" w:themeShade="BF"/>
                <w:sz w:val="22"/>
                <w:szCs w:val="22"/>
              </w:rPr>
            </w:pPr>
            <w:r w:rsidRPr="003A62B4">
              <w:rPr>
                <w:rFonts w:asciiTheme="majorHAnsi" w:eastAsia="Batang" w:hAnsiTheme="majorHAnsi"/>
                <w:b/>
                <w:bCs/>
                <w:color w:val="17365D" w:themeColor="text2" w:themeShade="BF"/>
                <w:sz w:val="22"/>
                <w:szCs w:val="22"/>
              </w:rPr>
              <w:t>What would be suitable procurement metrics that the Bank should use to improve performance?</w:t>
            </w:r>
          </w:p>
        </w:tc>
      </w:tr>
      <w:tr w:rsidR="002E23E9" w:rsidRPr="003A62B4" w14:paraId="2F9E1120" w14:textId="77777777" w:rsidTr="00A227C2">
        <w:trPr>
          <w:trHeight w:val="96"/>
        </w:trPr>
        <w:tc>
          <w:tcPr>
            <w:tcW w:w="13320" w:type="dxa"/>
            <w:shd w:val="clear" w:color="auto" w:fill="auto"/>
          </w:tcPr>
          <w:p w14:paraId="7DAEA287" w14:textId="7196464B" w:rsidR="002E23E9" w:rsidRPr="00493473" w:rsidRDefault="00824593" w:rsidP="008A533C">
            <w:pPr>
              <w:pStyle w:val="ListParagraph"/>
              <w:numPr>
                <w:ilvl w:val="0"/>
                <w:numId w:val="1"/>
              </w:numPr>
              <w:ind w:left="309" w:hanging="253"/>
              <w:rPr>
                <w:rFonts w:asciiTheme="majorHAnsi" w:hAnsiTheme="majorHAnsi" w:cs="Times New Roman"/>
                <w:sz w:val="22"/>
                <w:szCs w:val="22"/>
              </w:rPr>
            </w:pPr>
            <w:r w:rsidRPr="00493473">
              <w:rPr>
                <w:rFonts w:asciiTheme="majorHAnsi" w:hAnsiTheme="majorHAnsi" w:cs="Times New Roman"/>
                <w:sz w:val="22"/>
                <w:szCs w:val="22"/>
              </w:rPr>
              <w:t>Welcomed the proposal to track performance of companies</w:t>
            </w:r>
            <w:r w:rsidR="00D031F6">
              <w:rPr>
                <w:rFonts w:asciiTheme="majorHAnsi" w:hAnsiTheme="majorHAnsi" w:cs="Times New Roman"/>
                <w:sz w:val="22"/>
                <w:szCs w:val="22"/>
              </w:rPr>
              <w:t>.</w:t>
            </w:r>
            <w:bookmarkStart w:id="0" w:name="_GoBack"/>
            <w:bookmarkEnd w:id="0"/>
          </w:p>
        </w:tc>
      </w:tr>
      <w:tr w:rsidR="00A21FB6" w:rsidRPr="003A62B4" w14:paraId="5282FE5A" w14:textId="77777777" w:rsidTr="002C093B">
        <w:tblPrEx>
          <w:tblCellMar>
            <w:left w:w="0" w:type="dxa"/>
            <w:right w:w="0" w:type="dxa"/>
          </w:tblCellMar>
        </w:tblPrEx>
        <w:trPr>
          <w:trHeight w:val="70"/>
        </w:trPr>
        <w:tc>
          <w:tcPr>
            <w:tcW w:w="13320" w:type="dxa"/>
            <w:shd w:val="clear" w:color="auto" w:fill="DBE5F1" w:themeFill="accent1" w:themeFillTint="33"/>
          </w:tcPr>
          <w:p w14:paraId="5E03CAAC" w14:textId="77777777" w:rsidR="00A21FB6" w:rsidRPr="003A62B4" w:rsidRDefault="008A533C" w:rsidP="001453DE">
            <w:pPr>
              <w:numPr>
                <w:ilvl w:val="0"/>
                <w:numId w:val="30"/>
              </w:numPr>
              <w:snapToGrid w:val="0"/>
              <w:ind w:left="540"/>
              <w:rPr>
                <w:rFonts w:asciiTheme="majorHAnsi" w:eastAsia="Batang" w:hAnsiTheme="majorHAnsi"/>
                <w:b/>
                <w:color w:val="17365D" w:themeColor="text2" w:themeShade="BF"/>
                <w:sz w:val="22"/>
                <w:szCs w:val="22"/>
              </w:rPr>
            </w:pPr>
            <w:r w:rsidRPr="003A62B4">
              <w:rPr>
                <w:rFonts w:asciiTheme="majorHAnsi" w:eastAsia="Batang" w:hAnsiTheme="majorHAnsi"/>
                <w:b/>
                <w:color w:val="17365D" w:themeColor="text2" w:themeShade="BF"/>
                <w:sz w:val="22"/>
                <w:szCs w:val="22"/>
              </w:rPr>
              <w:t>What role should the Bank have with regard to complaints monitoring?</w:t>
            </w:r>
          </w:p>
        </w:tc>
      </w:tr>
      <w:tr w:rsidR="002E23E9" w:rsidRPr="003A62B4" w14:paraId="6C298479" w14:textId="77777777" w:rsidTr="00A227C2">
        <w:trPr>
          <w:trHeight w:val="485"/>
        </w:trPr>
        <w:tc>
          <w:tcPr>
            <w:tcW w:w="13320" w:type="dxa"/>
            <w:shd w:val="clear" w:color="auto" w:fill="auto"/>
          </w:tcPr>
          <w:p w14:paraId="0664A2AF" w14:textId="77777777" w:rsidR="002E23E9" w:rsidRPr="003A62B4" w:rsidRDefault="0008201C" w:rsidP="008A533C">
            <w:pPr>
              <w:pStyle w:val="ListParagraph"/>
              <w:numPr>
                <w:ilvl w:val="0"/>
                <w:numId w:val="1"/>
              </w:numPr>
              <w:ind w:left="309" w:hanging="253"/>
              <w:rPr>
                <w:rFonts w:asciiTheme="majorHAnsi" w:hAnsiTheme="majorHAnsi" w:cs="Times New Roman"/>
                <w:sz w:val="22"/>
                <w:szCs w:val="22"/>
              </w:rPr>
            </w:pPr>
            <w:r w:rsidRPr="003A62B4">
              <w:rPr>
                <w:rFonts w:asciiTheme="majorHAnsi" w:hAnsiTheme="majorHAnsi" w:cs="Times New Roman"/>
                <w:sz w:val="22"/>
                <w:szCs w:val="22"/>
              </w:rPr>
              <w:t xml:space="preserve">Stakeholders wanted to know how the Bank will ensure effective whistleblower protection and be proactive in their due diligence. </w:t>
            </w:r>
          </w:p>
          <w:p w14:paraId="5DC1BAD6" w14:textId="77777777" w:rsidR="000B7011" w:rsidRPr="003A62B4" w:rsidRDefault="000B7011" w:rsidP="008A533C">
            <w:pPr>
              <w:pStyle w:val="ListParagraph"/>
              <w:numPr>
                <w:ilvl w:val="0"/>
                <w:numId w:val="1"/>
              </w:numPr>
              <w:ind w:left="309" w:hanging="253"/>
              <w:rPr>
                <w:rFonts w:asciiTheme="majorHAnsi" w:hAnsiTheme="majorHAnsi" w:cs="Times New Roman"/>
                <w:sz w:val="22"/>
                <w:szCs w:val="22"/>
              </w:rPr>
            </w:pPr>
            <w:r w:rsidRPr="003A62B4">
              <w:rPr>
                <w:rFonts w:asciiTheme="majorHAnsi" w:hAnsiTheme="majorHAnsi" w:cs="Times New Roman"/>
                <w:sz w:val="22"/>
                <w:szCs w:val="22"/>
              </w:rPr>
              <w:lastRenderedPageBreak/>
              <w:t>As for cost of DRB, who will carry the cost of them?</w:t>
            </w:r>
          </w:p>
        </w:tc>
      </w:tr>
      <w:tr w:rsidR="002E23E9" w:rsidRPr="003A62B4" w14:paraId="209835F5" w14:textId="77777777" w:rsidTr="00B524B4">
        <w:trPr>
          <w:trHeight w:val="467"/>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FCC02E8" w14:textId="77777777" w:rsidR="002E23E9" w:rsidRPr="003A62B4" w:rsidRDefault="008A533C" w:rsidP="00150B6C">
            <w:pPr>
              <w:numPr>
                <w:ilvl w:val="0"/>
                <w:numId w:val="30"/>
              </w:numPr>
              <w:snapToGrid w:val="0"/>
              <w:ind w:left="432"/>
              <w:rPr>
                <w:rFonts w:asciiTheme="majorHAnsi" w:eastAsia="Batang" w:hAnsiTheme="majorHAnsi"/>
                <w:b/>
                <w:color w:val="17365D" w:themeColor="text2" w:themeShade="BF"/>
                <w:sz w:val="22"/>
                <w:szCs w:val="22"/>
              </w:rPr>
            </w:pPr>
            <w:r w:rsidRPr="003A62B4">
              <w:rPr>
                <w:rFonts w:asciiTheme="majorHAnsi" w:eastAsia="Batang" w:hAnsiTheme="majorHAnsi"/>
                <w:b/>
                <w:color w:val="17365D" w:themeColor="text2" w:themeShade="BF"/>
                <w:sz w:val="22"/>
                <w:szCs w:val="22"/>
              </w:rPr>
              <w:lastRenderedPageBreak/>
              <w:t>What should be the Bank’s role in contract management, and with regard to improving performance of suppliers?</w:t>
            </w:r>
          </w:p>
        </w:tc>
      </w:tr>
      <w:tr w:rsidR="002E23E9" w:rsidRPr="003A62B4" w14:paraId="339D4FBF" w14:textId="77777777" w:rsidTr="002E23E9">
        <w:trPr>
          <w:trHeight w:val="1007"/>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14:paraId="0A5AA9E9" w14:textId="77777777" w:rsidR="002E23E9" w:rsidRPr="00493473" w:rsidRDefault="00F33BBB" w:rsidP="008A533C">
            <w:pPr>
              <w:pStyle w:val="ListParagraph"/>
              <w:numPr>
                <w:ilvl w:val="0"/>
                <w:numId w:val="1"/>
              </w:numPr>
              <w:ind w:left="309" w:hanging="253"/>
              <w:rPr>
                <w:rFonts w:asciiTheme="majorHAnsi" w:hAnsiTheme="majorHAnsi" w:cs="Times New Roman"/>
                <w:sz w:val="22"/>
                <w:szCs w:val="22"/>
              </w:rPr>
            </w:pPr>
            <w:r w:rsidRPr="00493473">
              <w:rPr>
                <w:rFonts w:asciiTheme="majorHAnsi" w:hAnsiTheme="majorHAnsi" w:cs="Times New Roman"/>
                <w:sz w:val="22"/>
                <w:szCs w:val="22"/>
              </w:rPr>
              <w:t>The Bank should be more proactive in this area and perform its due diligence to enhance integrity (i.e. not letting companies take advantage of badly defined technical specifications; and support an environment of good governance by limiting irregularities in procurement).</w:t>
            </w:r>
          </w:p>
          <w:p w14:paraId="53350212" w14:textId="77777777" w:rsidR="00CF2A94" w:rsidRPr="00493473" w:rsidRDefault="00CF2A94" w:rsidP="00CF2A94">
            <w:pPr>
              <w:pStyle w:val="ListParagraph"/>
              <w:numPr>
                <w:ilvl w:val="0"/>
                <w:numId w:val="1"/>
              </w:numPr>
              <w:ind w:left="309" w:hanging="253"/>
              <w:rPr>
                <w:rFonts w:asciiTheme="majorHAnsi" w:hAnsiTheme="majorHAnsi" w:cs="Times New Roman"/>
                <w:sz w:val="22"/>
                <w:szCs w:val="22"/>
              </w:rPr>
            </w:pPr>
            <w:r w:rsidRPr="00493473">
              <w:rPr>
                <w:rFonts w:asciiTheme="majorHAnsi" w:hAnsiTheme="majorHAnsi" w:cs="Times New Roman"/>
                <w:sz w:val="22"/>
                <w:szCs w:val="22"/>
              </w:rPr>
              <w:t>This proposal requires the application of CM throughout the procurement cycle, thus how will the Bank enhance procurement specialists’ capacity (incl. the subjectivity required by VfM, i.e. non price attributes) in order to achieve the objective?</w:t>
            </w:r>
          </w:p>
        </w:tc>
      </w:tr>
      <w:tr w:rsidR="002E23E9" w:rsidRPr="003A62B4" w14:paraId="3907205E" w14:textId="77777777" w:rsidTr="00B524B4">
        <w:trPr>
          <w:trHeight w:val="359"/>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50918BF" w14:textId="0105C232" w:rsidR="002E23E9" w:rsidRPr="003A62B4" w:rsidRDefault="008A533C" w:rsidP="00150B6C">
            <w:pPr>
              <w:numPr>
                <w:ilvl w:val="0"/>
                <w:numId w:val="30"/>
              </w:numPr>
              <w:snapToGrid w:val="0"/>
              <w:ind w:left="432"/>
              <w:rPr>
                <w:rFonts w:asciiTheme="majorHAnsi" w:hAnsiTheme="majorHAnsi"/>
                <w:sz w:val="22"/>
                <w:szCs w:val="22"/>
              </w:rPr>
            </w:pPr>
            <w:r w:rsidRPr="003A62B4">
              <w:rPr>
                <w:rFonts w:asciiTheme="majorHAnsi" w:eastAsia="Batang" w:hAnsiTheme="majorHAnsi"/>
                <w:b/>
                <w:color w:val="17365D" w:themeColor="text2" w:themeShade="BF"/>
                <w:sz w:val="22"/>
                <w:szCs w:val="22"/>
              </w:rPr>
              <w:t xml:space="preserve">General comments on other issues emanating from </w:t>
            </w:r>
            <w:r w:rsidR="0069417C" w:rsidRPr="003A62B4">
              <w:rPr>
                <w:rFonts w:asciiTheme="majorHAnsi" w:eastAsia="Batang" w:hAnsiTheme="majorHAnsi"/>
                <w:b/>
                <w:color w:val="17365D" w:themeColor="text2" w:themeShade="BF"/>
                <w:sz w:val="22"/>
                <w:szCs w:val="22"/>
              </w:rPr>
              <w:t>.</w:t>
            </w:r>
            <w:r w:rsidRPr="003A62B4">
              <w:rPr>
                <w:rFonts w:asciiTheme="majorHAnsi" w:eastAsia="Batang" w:hAnsiTheme="majorHAnsi"/>
                <w:b/>
                <w:color w:val="17365D" w:themeColor="text2" w:themeShade="BF"/>
                <w:sz w:val="22"/>
                <w:szCs w:val="22"/>
              </w:rPr>
              <w:t>the Bank's proposals?</w:t>
            </w:r>
          </w:p>
        </w:tc>
      </w:tr>
      <w:tr w:rsidR="002E23E9" w:rsidRPr="003A62B4" w14:paraId="3370D3F9" w14:textId="77777777" w:rsidTr="002E23E9">
        <w:trPr>
          <w:trHeight w:val="1007"/>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14:paraId="61718CD7" w14:textId="068C01FE" w:rsidR="002E23E9" w:rsidRPr="003A62B4" w:rsidRDefault="00681168" w:rsidP="008A533C">
            <w:pPr>
              <w:pStyle w:val="ListParagraph"/>
              <w:numPr>
                <w:ilvl w:val="0"/>
                <w:numId w:val="1"/>
              </w:numPr>
              <w:ind w:left="309" w:hanging="253"/>
              <w:rPr>
                <w:rFonts w:asciiTheme="majorHAnsi" w:hAnsiTheme="majorHAnsi" w:cs="Times New Roman"/>
                <w:sz w:val="22"/>
                <w:szCs w:val="22"/>
              </w:rPr>
            </w:pPr>
            <w:r w:rsidRPr="003A62B4">
              <w:rPr>
                <w:rFonts w:asciiTheme="majorHAnsi" w:hAnsiTheme="majorHAnsi" w:cs="Times New Roman"/>
                <w:sz w:val="22"/>
                <w:szCs w:val="22"/>
              </w:rPr>
              <w:t xml:space="preserve">As for the complex key issues, stakeholders found it critical that concepts (e.g. Vfm, SPP, etc) be clearly defined and are universally </w:t>
            </w:r>
            <w:r w:rsidR="005052E4" w:rsidRPr="003A62B4">
              <w:rPr>
                <w:rFonts w:asciiTheme="majorHAnsi" w:hAnsiTheme="majorHAnsi" w:cs="Times New Roman"/>
                <w:sz w:val="22"/>
                <w:szCs w:val="22"/>
              </w:rPr>
              <w:t>agreed</w:t>
            </w:r>
            <w:r w:rsidRPr="003A62B4">
              <w:rPr>
                <w:rFonts w:asciiTheme="majorHAnsi" w:hAnsiTheme="majorHAnsi" w:cs="Times New Roman"/>
                <w:sz w:val="22"/>
                <w:szCs w:val="22"/>
              </w:rPr>
              <w:t xml:space="preserve"> upon by stakeholders and in sync with national definitions. </w:t>
            </w:r>
          </w:p>
          <w:p w14:paraId="5C34F403" w14:textId="4DC9A3B8" w:rsidR="00083BF2" w:rsidRPr="003A62B4" w:rsidRDefault="00083BF2" w:rsidP="008A533C">
            <w:pPr>
              <w:pStyle w:val="ListParagraph"/>
              <w:numPr>
                <w:ilvl w:val="0"/>
                <w:numId w:val="1"/>
              </w:numPr>
              <w:ind w:left="309" w:hanging="253"/>
              <w:rPr>
                <w:rFonts w:asciiTheme="majorHAnsi" w:hAnsiTheme="majorHAnsi" w:cs="Times New Roman"/>
                <w:sz w:val="22"/>
                <w:szCs w:val="22"/>
              </w:rPr>
            </w:pPr>
            <w:r w:rsidRPr="003A62B4">
              <w:rPr>
                <w:rFonts w:asciiTheme="majorHAnsi" w:hAnsiTheme="majorHAnsi" w:cs="Times New Roman"/>
                <w:sz w:val="22"/>
                <w:szCs w:val="22"/>
              </w:rPr>
              <w:t xml:space="preserve">A </w:t>
            </w:r>
            <w:r w:rsidR="005052E4" w:rsidRPr="003A62B4">
              <w:rPr>
                <w:rFonts w:asciiTheme="majorHAnsi" w:hAnsiTheme="majorHAnsi" w:cs="Times New Roman"/>
                <w:sz w:val="22"/>
                <w:szCs w:val="22"/>
              </w:rPr>
              <w:t>practical</w:t>
            </w:r>
            <w:r w:rsidRPr="003A62B4">
              <w:rPr>
                <w:rFonts w:asciiTheme="majorHAnsi" w:hAnsiTheme="majorHAnsi" w:cs="Times New Roman"/>
                <w:sz w:val="22"/>
                <w:szCs w:val="22"/>
              </w:rPr>
              <w:t xml:space="preserve"> concern is also related to the updating of the Bank policy/procedures, that needs to happen more regularly if it is going to be on par with the fast pace of the procurement field. The reform should address the need for regular updat</w:t>
            </w:r>
            <w:r w:rsidR="00C538E2" w:rsidRPr="003A62B4">
              <w:rPr>
                <w:rFonts w:asciiTheme="majorHAnsi" w:hAnsiTheme="majorHAnsi" w:cs="Times New Roman"/>
                <w:sz w:val="22"/>
                <w:szCs w:val="22"/>
              </w:rPr>
              <w:t>es including</w:t>
            </w:r>
            <w:r w:rsidRPr="003A62B4">
              <w:rPr>
                <w:rFonts w:asciiTheme="majorHAnsi" w:hAnsiTheme="majorHAnsi" w:cs="Times New Roman"/>
                <w:sz w:val="22"/>
                <w:szCs w:val="22"/>
              </w:rPr>
              <w:t xml:space="preserve"> standard documents. </w:t>
            </w:r>
          </w:p>
          <w:p w14:paraId="7682041C" w14:textId="77777777" w:rsidR="00AD6FCC" w:rsidRPr="003A62B4" w:rsidRDefault="00AD6FCC" w:rsidP="00AD6FCC">
            <w:pPr>
              <w:pStyle w:val="ListParagraph"/>
              <w:numPr>
                <w:ilvl w:val="0"/>
                <w:numId w:val="1"/>
              </w:numPr>
              <w:ind w:left="309" w:hanging="253"/>
              <w:rPr>
                <w:rFonts w:asciiTheme="majorHAnsi" w:hAnsiTheme="majorHAnsi" w:cs="Times New Roman"/>
                <w:sz w:val="22"/>
                <w:szCs w:val="22"/>
              </w:rPr>
            </w:pPr>
            <w:r w:rsidRPr="003A62B4">
              <w:rPr>
                <w:rFonts w:asciiTheme="majorHAnsi" w:hAnsiTheme="majorHAnsi" w:cs="Times New Roman"/>
                <w:sz w:val="22"/>
                <w:szCs w:val="22"/>
              </w:rPr>
              <w:t>Stakeholders hope that the reform will address the delays caused by prior review and no-objection.</w:t>
            </w:r>
          </w:p>
          <w:p w14:paraId="74E48B06" w14:textId="77777777" w:rsidR="00E22D01" w:rsidRPr="003A62B4" w:rsidRDefault="00E22D01" w:rsidP="00AD6FCC">
            <w:pPr>
              <w:pStyle w:val="ListParagraph"/>
              <w:numPr>
                <w:ilvl w:val="0"/>
                <w:numId w:val="1"/>
              </w:numPr>
              <w:ind w:left="309" w:hanging="253"/>
              <w:rPr>
                <w:rFonts w:asciiTheme="majorHAnsi" w:hAnsiTheme="majorHAnsi" w:cs="Times New Roman"/>
                <w:sz w:val="22"/>
                <w:szCs w:val="22"/>
              </w:rPr>
            </w:pPr>
            <w:r w:rsidRPr="003A62B4">
              <w:rPr>
                <w:rFonts w:asciiTheme="majorHAnsi" w:hAnsiTheme="majorHAnsi" w:cs="Times New Roman"/>
                <w:sz w:val="22"/>
                <w:szCs w:val="22"/>
              </w:rPr>
              <w:t xml:space="preserve">While there are benefits in having feasibility studies carried out, stakeholders are concerned with who will carry the cost. </w:t>
            </w:r>
          </w:p>
          <w:p w14:paraId="7EB651E6" w14:textId="77777777" w:rsidR="005F7B91" w:rsidRPr="003A62B4" w:rsidRDefault="005F7B91" w:rsidP="00AD6FCC">
            <w:pPr>
              <w:pStyle w:val="ListParagraph"/>
              <w:numPr>
                <w:ilvl w:val="0"/>
                <w:numId w:val="1"/>
              </w:numPr>
              <w:ind w:left="309" w:hanging="253"/>
              <w:rPr>
                <w:rFonts w:asciiTheme="majorHAnsi" w:hAnsiTheme="majorHAnsi" w:cs="Times New Roman"/>
                <w:sz w:val="22"/>
                <w:szCs w:val="22"/>
              </w:rPr>
            </w:pPr>
            <w:r w:rsidRPr="003A62B4">
              <w:rPr>
                <w:rFonts w:asciiTheme="majorHAnsi" w:hAnsiTheme="majorHAnsi" w:cs="Times New Roman"/>
                <w:sz w:val="22"/>
                <w:szCs w:val="22"/>
              </w:rPr>
              <w:t>Stakeholders wanted to know more about the Bank’s approach to FCS more specifically.</w:t>
            </w:r>
          </w:p>
        </w:tc>
      </w:tr>
    </w:tbl>
    <w:p w14:paraId="0A80D532" w14:textId="77777777" w:rsidR="0041268A" w:rsidRPr="003A62B4" w:rsidRDefault="0041268A" w:rsidP="00AC78CB">
      <w:pPr>
        <w:rPr>
          <w:rFonts w:asciiTheme="majorHAnsi" w:hAnsiTheme="majorHAnsi"/>
          <w:sz w:val="22"/>
          <w:szCs w:val="22"/>
        </w:rPr>
      </w:pPr>
    </w:p>
    <w:sectPr w:rsidR="0041268A" w:rsidRPr="003A62B4" w:rsidSect="00150B6C">
      <w:headerReference w:type="default" r:id="rId13"/>
      <w:footerReference w:type="even" r:id="rId14"/>
      <w:footerReference w:type="default" r:id="rId15"/>
      <w:pgSz w:w="15840" w:h="12240" w:orient="landscape"/>
      <w:pgMar w:top="90" w:right="1418" w:bottom="360" w:left="1134" w:header="720" w:footer="375"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7D551" w14:textId="77777777" w:rsidR="003E2F46" w:rsidRDefault="003E2F46">
      <w:pPr>
        <w:spacing w:after="0" w:line="240" w:lineRule="auto"/>
      </w:pPr>
      <w:r>
        <w:separator/>
      </w:r>
    </w:p>
  </w:endnote>
  <w:endnote w:type="continuationSeparator" w:id="0">
    <w:p w14:paraId="6AB2D255" w14:textId="77777777" w:rsidR="003E2F46" w:rsidRDefault="003E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2C2FC" w14:textId="77777777" w:rsidR="007B42A0" w:rsidRDefault="007B42A0">
    <w:pPr>
      <w:pStyle w:val="Footer"/>
    </w:pPr>
    <w:r>
      <w:fldChar w:fldCharType="begin"/>
    </w:r>
    <w:r>
      <w:instrText xml:space="preserve"> PAGE </w:instrText>
    </w:r>
    <w:r>
      <w:fldChar w:fldCharType="separate"/>
    </w:r>
    <w:r>
      <w:rPr>
        <w:noProof/>
      </w:rPr>
      <w:t>4</w:t>
    </w:r>
    <w:r>
      <w:rPr>
        <w:noProof/>
      </w:rPr>
      <w:fldChar w:fldCharType="end"/>
    </w:r>
  </w:p>
  <w:p w14:paraId="3AAF1690" w14:textId="77777777" w:rsidR="007B42A0" w:rsidRDefault="007B42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106821"/>
      <w:docPartObj>
        <w:docPartGallery w:val="Page Numbers (Bottom of Page)"/>
        <w:docPartUnique/>
      </w:docPartObj>
    </w:sdtPr>
    <w:sdtEndPr>
      <w:rPr>
        <w:rFonts w:asciiTheme="minorHAnsi" w:hAnsiTheme="minorHAnsi"/>
        <w:noProof/>
        <w:sz w:val="20"/>
        <w:szCs w:val="20"/>
      </w:rPr>
    </w:sdtEndPr>
    <w:sdtContent>
      <w:p w14:paraId="526873CE" w14:textId="77777777" w:rsidR="007B42A0" w:rsidRPr="00150B6C" w:rsidRDefault="007B42A0">
        <w:pPr>
          <w:pStyle w:val="Footer"/>
          <w:jc w:val="center"/>
          <w:rPr>
            <w:rFonts w:asciiTheme="minorHAnsi" w:hAnsiTheme="minorHAnsi"/>
            <w:sz w:val="20"/>
            <w:szCs w:val="20"/>
          </w:rPr>
        </w:pPr>
        <w:r w:rsidRPr="00150B6C">
          <w:rPr>
            <w:rFonts w:asciiTheme="minorHAnsi" w:hAnsiTheme="minorHAnsi"/>
            <w:sz w:val="20"/>
            <w:szCs w:val="20"/>
          </w:rPr>
          <w:fldChar w:fldCharType="begin"/>
        </w:r>
        <w:r w:rsidRPr="00150B6C">
          <w:rPr>
            <w:rFonts w:asciiTheme="minorHAnsi" w:hAnsiTheme="minorHAnsi"/>
            <w:sz w:val="20"/>
            <w:szCs w:val="20"/>
          </w:rPr>
          <w:instrText xml:space="preserve"> PAGE   \* MERGEFORMAT </w:instrText>
        </w:r>
        <w:r w:rsidRPr="00150B6C">
          <w:rPr>
            <w:rFonts w:asciiTheme="minorHAnsi" w:hAnsiTheme="minorHAnsi"/>
            <w:sz w:val="20"/>
            <w:szCs w:val="20"/>
          </w:rPr>
          <w:fldChar w:fldCharType="separate"/>
        </w:r>
        <w:r w:rsidR="00D031F6">
          <w:rPr>
            <w:rFonts w:asciiTheme="minorHAnsi" w:hAnsiTheme="minorHAnsi"/>
            <w:noProof/>
            <w:sz w:val="20"/>
            <w:szCs w:val="20"/>
          </w:rPr>
          <w:t>3</w:t>
        </w:r>
        <w:r w:rsidRPr="00150B6C">
          <w:rPr>
            <w:rFonts w:asciiTheme="minorHAnsi" w:hAnsiTheme="minorHAnsi"/>
            <w:noProof/>
            <w:sz w:val="20"/>
            <w:szCs w:val="20"/>
          </w:rPr>
          <w:fldChar w:fldCharType="end"/>
        </w:r>
      </w:p>
    </w:sdtContent>
  </w:sdt>
  <w:p w14:paraId="0C2F964F" w14:textId="77777777" w:rsidR="007B42A0" w:rsidRDefault="007B42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3C706" w14:textId="77777777" w:rsidR="003E2F46" w:rsidRDefault="003E2F46">
      <w:pPr>
        <w:spacing w:after="0" w:line="240" w:lineRule="auto"/>
      </w:pPr>
      <w:r>
        <w:separator/>
      </w:r>
    </w:p>
  </w:footnote>
  <w:footnote w:type="continuationSeparator" w:id="0">
    <w:p w14:paraId="751A927F" w14:textId="77777777" w:rsidR="003E2F46" w:rsidRDefault="003E2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9BE82" w14:textId="77777777" w:rsidR="007B42A0" w:rsidRDefault="007B42A0">
    <w:pPr>
      <w:pStyle w:val="Header"/>
      <w:rPr>
        <w:sz w:val="18"/>
        <w:szCs w:val="18"/>
      </w:rPr>
    </w:pPr>
  </w:p>
  <w:p w14:paraId="031E50F4" w14:textId="77777777" w:rsidR="007B42A0" w:rsidRPr="00ED2123" w:rsidRDefault="007B42A0">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AF0E93"/>
    <w:multiLevelType w:val="hybridMultilevel"/>
    <w:tmpl w:val="BBD6BBC0"/>
    <w:lvl w:ilvl="0" w:tplc="5290E2D8">
      <w:start w:val="6"/>
      <w:numFmt w:val="decimal"/>
      <w:lvlText w:val="%1."/>
      <w:lvlJc w:val="left"/>
      <w:pPr>
        <w:tabs>
          <w:tab w:val="num" w:pos="720"/>
        </w:tabs>
        <w:ind w:left="720" w:hanging="360"/>
      </w:pPr>
    </w:lvl>
    <w:lvl w:ilvl="1" w:tplc="35A42BDA" w:tentative="1">
      <w:start w:val="1"/>
      <w:numFmt w:val="decimal"/>
      <w:lvlText w:val="%2."/>
      <w:lvlJc w:val="left"/>
      <w:pPr>
        <w:tabs>
          <w:tab w:val="num" w:pos="1440"/>
        </w:tabs>
        <w:ind w:left="1440" w:hanging="360"/>
      </w:pPr>
    </w:lvl>
    <w:lvl w:ilvl="2" w:tplc="9DBE0E60" w:tentative="1">
      <w:start w:val="1"/>
      <w:numFmt w:val="decimal"/>
      <w:lvlText w:val="%3."/>
      <w:lvlJc w:val="left"/>
      <w:pPr>
        <w:tabs>
          <w:tab w:val="num" w:pos="2160"/>
        </w:tabs>
        <w:ind w:left="2160" w:hanging="360"/>
      </w:pPr>
    </w:lvl>
    <w:lvl w:ilvl="3" w:tplc="EA22DA0E" w:tentative="1">
      <w:start w:val="1"/>
      <w:numFmt w:val="decimal"/>
      <w:lvlText w:val="%4."/>
      <w:lvlJc w:val="left"/>
      <w:pPr>
        <w:tabs>
          <w:tab w:val="num" w:pos="2880"/>
        </w:tabs>
        <w:ind w:left="2880" w:hanging="360"/>
      </w:pPr>
    </w:lvl>
    <w:lvl w:ilvl="4" w:tplc="ED08F3AA" w:tentative="1">
      <w:start w:val="1"/>
      <w:numFmt w:val="decimal"/>
      <w:lvlText w:val="%5."/>
      <w:lvlJc w:val="left"/>
      <w:pPr>
        <w:tabs>
          <w:tab w:val="num" w:pos="3600"/>
        </w:tabs>
        <w:ind w:left="3600" w:hanging="360"/>
      </w:pPr>
    </w:lvl>
    <w:lvl w:ilvl="5" w:tplc="506247BE" w:tentative="1">
      <w:start w:val="1"/>
      <w:numFmt w:val="decimal"/>
      <w:lvlText w:val="%6."/>
      <w:lvlJc w:val="left"/>
      <w:pPr>
        <w:tabs>
          <w:tab w:val="num" w:pos="4320"/>
        </w:tabs>
        <w:ind w:left="4320" w:hanging="360"/>
      </w:pPr>
    </w:lvl>
    <w:lvl w:ilvl="6" w:tplc="9400286E" w:tentative="1">
      <w:start w:val="1"/>
      <w:numFmt w:val="decimal"/>
      <w:lvlText w:val="%7."/>
      <w:lvlJc w:val="left"/>
      <w:pPr>
        <w:tabs>
          <w:tab w:val="num" w:pos="5040"/>
        </w:tabs>
        <w:ind w:left="5040" w:hanging="360"/>
      </w:pPr>
    </w:lvl>
    <w:lvl w:ilvl="7" w:tplc="82E04096" w:tentative="1">
      <w:start w:val="1"/>
      <w:numFmt w:val="decimal"/>
      <w:lvlText w:val="%8."/>
      <w:lvlJc w:val="left"/>
      <w:pPr>
        <w:tabs>
          <w:tab w:val="num" w:pos="5760"/>
        </w:tabs>
        <w:ind w:left="5760" w:hanging="360"/>
      </w:pPr>
    </w:lvl>
    <w:lvl w:ilvl="8" w:tplc="1A28E6E4" w:tentative="1">
      <w:start w:val="1"/>
      <w:numFmt w:val="decimal"/>
      <w:lvlText w:val="%9."/>
      <w:lvlJc w:val="left"/>
      <w:pPr>
        <w:tabs>
          <w:tab w:val="num" w:pos="6480"/>
        </w:tabs>
        <w:ind w:left="6480" w:hanging="360"/>
      </w:pPr>
    </w:lvl>
  </w:abstractNum>
  <w:abstractNum w:abstractNumId="2">
    <w:nsid w:val="08A54324"/>
    <w:multiLevelType w:val="hybridMultilevel"/>
    <w:tmpl w:val="03F2A1C8"/>
    <w:lvl w:ilvl="0" w:tplc="16B43E74">
      <w:start w:val="6"/>
      <w:numFmt w:val="decimal"/>
      <w:lvlText w:val="%1."/>
      <w:lvlJc w:val="left"/>
      <w:pPr>
        <w:tabs>
          <w:tab w:val="num" w:pos="720"/>
        </w:tabs>
        <w:ind w:left="720" w:hanging="360"/>
      </w:pPr>
    </w:lvl>
    <w:lvl w:ilvl="1" w:tplc="5B540046" w:tentative="1">
      <w:start w:val="1"/>
      <w:numFmt w:val="decimal"/>
      <w:lvlText w:val="%2."/>
      <w:lvlJc w:val="left"/>
      <w:pPr>
        <w:tabs>
          <w:tab w:val="num" w:pos="1440"/>
        </w:tabs>
        <w:ind w:left="1440" w:hanging="360"/>
      </w:pPr>
    </w:lvl>
    <w:lvl w:ilvl="2" w:tplc="EB98B136" w:tentative="1">
      <w:start w:val="1"/>
      <w:numFmt w:val="decimal"/>
      <w:lvlText w:val="%3."/>
      <w:lvlJc w:val="left"/>
      <w:pPr>
        <w:tabs>
          <w:tab w:val="num" w:pos="2160"/>
        </w:tabs>
        <w:ind w:left="2160" w:hanging="360"/>
      </w:pPr>
    </w:lvl>
    <w:lvl w:ilvl="3" w:tplc="F798419C" w:tentative="1">
      <w:start w:val="1"/>
      <w:numFmt w:val="decimal"/>
      <w:lvlText w:val="%4."/>
      <w:lvlJc w:val="left"/>
      <w:pPr>
        <w:tabs>
          <w:tab w:val="num" w:pos="2880"/>
        </w:tabs>
        <w:ind w:left="2880" w:hanging="360"/>
      </w:pPr>
    </w:lvl>
    <w:lvl w:ilvl="4" w:tplc="783621C2" w:tentative="1">
      <w:start w:val="1"/>
      <w:numFmt w:val="decimal"/>
      <w:lvlText w:val="%5."/>
      <w:lvlJc w:val="left"/>
      <w:pPr>
        <w:tabs>
          <w:tab w:val="num" w:pos="3600"/>
        </w:tabs>
        <w:ind w:left="3600" w:hanging="360"/>
      </w:pPr>
    </w:lvl>
    <w:lvl w:ilvl="5" w:tplc="5C12B14C" w:tentative="1">
      <w:start w:val="1"/>
      <w:numFmt w:val="decimal"/>
      <w:lvlText w:val="%6."/>
      <w:lvlJc w:val="left"/>
      <w:pPr>
        <w:tabs>
          <w:tab w:val="num" w:pos="4320"/>
        </w:tabs>
        <w:ind w:left="4320" w:hanging="360"/>
      </w:pPr>
    </w:lvl>
    <w:lvl w:ilvl="6" w:tplc="2AD4823C" w:tentative="1">
      <w:start w:val="1"/>
      <w:numFmt w:val="decimal"/>
      <w:lvlText w:val="%7."/>
      <w:lvlJc w:val="left"/>
      <w:pPr>
        <w:tabs>
          <w:tab w:val="num" w:pos="5040"/>
        </w:tabs>
        <w:ind w:left="5040" w:hanging="360"/>
      </w:pPr>
    </w:lvl>
    <w:lvl w:ilvl="7" w:tplc="D5D4BD7C" w:tentative="1">
      <w:start w:val="1"/>
      <w:numFmt w:val="decimal"/>
      <w:lvlText w:val="%8."/>
      <w:lvlJc w:val="left"/>
      <w:pPr>
        <w:tabs>
          <w:tab w:val="num" w:pos="5760"/>
        </w:tabs>
        <w:ind w:left="5760" w:hanging="360"/>
      </w:pPr>
    </w:lvl>
    <w:lvl w:ilvl="8" w:tplc="E7BCC4EA" w:tentative="1">
      <w:start w:val="1"/>
      <w:numFmt w:val="decimal"/>
      <w:lvlText w:val="%9."/>
      <w:lvlJc w:val="left"/>
      <w:pPr>
        <w:tabs>
          <w:tab w:val="num" w:pos="6480"/>
        </w:tabs>
        <w:ind w:left="6480" w:hanging="360"/>
      </w:pPr>
    </w:lvl>
  </w:abstractNum>
  <w:abstractNum w:abstractNumId="3">
    <w:nsid w:val="093A1F8F"/>
    <w:multiLevelType w:val="hybridMultilevel"/>
    <w:tmpl w:val="1A80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207D9"/>
    <w:multiLevelType w:val="hybridMultilevel"/>
    <w:tmpl w:val="BF3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8B7031"/>
    <w:multiLevelType w:val="hybridMultilevel"/>
    <w:tmpl w:val="FEF4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D603C"/>
    <w:multiLevelType w:val="hybridMultilevel"/>
    <w:tmpl w:val="44ACF2D0"/>
    <w:lvl w:ilvl="0" w:tplc="94AC3072">
      <w:start w:val="6"/>
      <w:numFmt w:val="decimal"/>
      <w:lvlText w:val="%1."/>
      <w:lvlJc w:val="left"/>
      <w:pPr>
        <w:tabs>
          <w:tab w:val="num" w:pos="720"/>
        </w:tabs>
        <w:ind w:left="720" w:hanging="360"/>
      </w:pPr>
    </w:lvl>
    <w:lvl w:ilvl="1" w:tplc="0BB45576" w:tentative="1">
      <w:start w:val="1"/>
      <w:numFmt w:val="decimal"/>
      <w:lvlText w:val="%2."/>
      <w:lvlJc w:val="left"/>
      <w:pPr>
        <w:tabs>
          <w:tab w:val="num" w:pos="1440"/>
        </w:tabs>
        <w:ind w:left="1440" w:hanging="360"/>
      </w:pPr>
    </w:lvl>
    <w:lvl w:ilvl="2" w:tplc="2580F80E" w:tentative="1">
      <w:start w:val="1"/>
      <w:numFmt w:val="decimal"/>
      <w:lvlText w:val="%3."/>
      <w:lvlJc w:val="left"/>
      <w:pPr>
        <w:tabs>
          <w:tab w:val="num" w:pos="2160"/>
        </w:tabs>
        <w:ind w:left="2160" w:hanging="360"/>
      </w:pPr>
    </w:lvl>
    <w:lvl w:ilvl="3" w:tplc="C6785F60" w:tentative="1">
      <w:start w:val="1"/>
      <w:numFmt w:val="decimal"/>
      <w:lvlText w:val="%4."/>
      <w:lvlJc w:val="left"/>
      <w:pPr>
        <w:tabs>
          <w:tab w:val="num" w:pos="2880"/>
        </w:tabs>
        <w:ind w:left="2880" w:hanging="360"/>
      </w:pPr>
    </w:lvl>
    <w:lvl w:ilvl="4" w:tplc="476EBA3C" w:tentative="1">
      <w:start w:val="1"/>
      <w:numFmt w:val="decimal"/>
      <w:lvlText w:val="%5."/>
      <w:lvlJc w:val="left"/>
      <w:pPr>
        <w:tabs>
          <w:tab w:val="num" w:pos="3600"/>
        </w:tabs>
        <w:ind w:left="3600" w:hanging="360"/>
      </w:pPr>
    </w:lvl>
    <w:lvl w:ilvl="5" w:tplc="429E181A" w:tentative="1">
      <w:start w:val="1"/>
      <w:numFmt w:val="decimal"/>
      <w:lvlText w:val="%6."/>
      <w:lvlJc w:val="left"/>
      <w:pPr>
        <w:tabs>
          <w:tab w:val="num" w:pos="4320"/>
        </w:tabs>
        <w:ind w:left="4320" w:hanging="360"/>
      </w:pPr>
    </w:lvl>
    <w:lvl w:ilvl="6" w:tplc="03E817D6" w:tentative="1">
      <w:start w:val="1"/>
      <w:numFmt w:val="decimal"/>
      <w:lvlText w:val="%7."/>
      <w:lvlJc w:val="left"/>
      <w:pPr>
        <w:tabs>
          <w:tab w:val="num" w:pos="5040"/>
        </w:tabs>
        <w:ind w:left="5040" w:hanging="360"/>
      </w:pPr>
    </w:lvl>
    <w:lvl w:ilvl="7" w:tplc="C3F4F97A" w:tentative="1">
      <w:start w:val="1"/>
      <w:numFmt w:val="decimal"/>
      <w:lvlText w:val="%8."/>
      <w:lvlJc w:val="left"/>
      <w:pPr>
        <w:tabs>
          <w:tab w:val="num" w:pos="5760"/>
        </w:tabs>
        <w:ind w:left="5760" w:hanging="360"/>
      </w:pPr>
    </w:lvl>
    <w:lvl w:ilvl="8" w:tplc="662E4840" w:tentative="1">
      <w:start w:val="1"/>
      <w:numFmt w:val="decimal"/>
      <w:lvlText w:val="%9."/>
      <w:lvlJc w:val="left"/>
      <w:pPr>
        <w:tabs>
          <w:tab w:val="num" w:pos="6480"/>
        </w:tabs>
        <w:ind w:left="6480" w:hanging="360"/>
      </w:pPr>
    </w:lvl>
  </w:abstractNum>
  <w:abstractNum w:abstractNumId="7">
    <w:nsid w:val="1242206D"/>
    <w:multiLevelType w:val="hybridMultilevel"/>
    <w:tmpl w:val="346C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A3BA0"/>
    <w:multiLevelType w:val="hybridMultilevel"/>
    <w:tmpl w:val="1EB44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CD6B21"/>
    <w:multiLevelType w:val="hybridMultilevel"/>
    <w:tmpl w:val="7646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72FF5"/>
    <w:multiLevelType w:val="hybridMultilevel"/>
    <w:tmpl w:val="2472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2E7D15"/>
    <w:multiLevelType w:val="hybridMultilevel"/>
    <w:tmpl w:val="CCC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203A71"/>
    <w:multiLevelType w:val="hybridMultilevel"/>
    <w:tmpl w:val="7A5E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1E46A3"/>
    <w:multiLevelType w:val="hybridMultilevel"/>
    <w:tmpl w:val="975C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3A1334"/>
    <w:multiLevelType w:val="hybridMultilevel"/>
    <w:tmpl w:val="D81A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579CC"/>
    <w:multiLevelType w:val="hybridMultilevel"/>
    <w:tmpl w:val="B860DBE0"/>
    <w:lvl w:ilvl="0" w:tplc="A6DE1644">
      <w:start w:val="6"/>
      <w:numFmt w:val="decimal"/>
      <w:lvlText w:val="%1."/>
      <w:lvlJc w:val="left"/>
      <w:pPr>
        <w:tabs>
          <w:tab w:val="num" w:pos="720"/>
        </w:tabs>
        <w:ind w:left="720" w:hanging="360"/>
      </w:pPr>
    </w:lvl>
    <w:lvl w:ilvl="1" w:tplc="B1B0475C" w:tentative="1">
      <w:start w:val="1"/>
      <w:numFmt w:val="decimal"/>
      <w:lvlText w:val="%2."/>
      <w:lvlJc w:val="left"/>
      <w:pPr>
        <w:tabs>
          <w:tab w:val="num" w:pos="1440"/>
        </w:tabs>
        <w:ind w:left="1440" w:hanging="360"/>
      </w:pPr>
    </w:lvl>
    <w:lvl w:ilvl="2" w:tplc="27705170" w:tentative="1">
      <w:start w:val="1"/>
      <w:numFmt w:val="decimal"/>
      <w:lvlText w:val="%3."/>
      <w:lvlJc w:val="left"/>
      <w:pPr>
        <w:tabs>
          <w:tab w:val="num" w:pos="2160"/>
        </w:tabs>
        <w:ind w:left="2160" w:hanging="360"/>
      </w:pPr>
    </w:lvl>
    <w:lvl w:ilvl="3" w:tplc="988E235A" w:tentative="1">
      <w:start w:val="1"/>
      <w:numFmt w:val="decimal"/>
      <w:lvlText w:val="%4."/>
      <w:lvlJc w:val="left"/>
      <w:pPr>
        <w:tabs>
          <w:tab w:val="num" w:pos="2880"/>
        </w:tabs>
        <w:ind w:left="2880" w:hanging="360"/>
      </w:pPr>
    </w:lvl>
    <w:lvl w:ilvl="4" w:tplc="BBB46936" w:tentative="1">
      <w:start w:val="1"/>
      <w:numFmt w:val="decimal"/>
      <w:lvlText w:val="%5."/>
      <w:lvlJc w:val="left"/>
      <w:pPr>
        <w:tabs>
          <w:tab w:val="num" w:pos="3600"/>
        </w:tabs>
        <w:ind w:left="3600" w:hanging="360"/>
      </w:pPr>
    </w:lvl>
    <w:lvl w:ilvl="5" w:tplc="D07801BA" w:tentative="1">
      <w:start w:val="1"/>
      <w:numFmt w:val="decimal"/>
      <w:lvlText w:val="%6."/>
      <w:lvlJc w:val="left"/>
      <w:pPr>
        <w:tabs>
          <w:tab w:val="num" w:pos="4320"/>
        </w:tabs>
        <w:ind w:left="4320" w:hanging="360"/>
      </w:pPr>
    </w:lvl>
    <w:lvl w:ilvl="6" w:tplc="A0FA0B56" w:tentative="1">
      <w:start w:val="1"/>
      <w:numFmt w:val="decimal"/>
      <w:lvlText w:val="%7."/>
      <w:lvlJc w:val="left"/>
      <w:pPr>
        <w:tabs>
          <w:tab w:val="num" w:pos="5040"/>
        </w:tabs>
        <w:ind w:left="5040" w:hanging="360"/>
      </w:pPr>
    </w:lvl>
    <w:lvl w:ilvl="7" w:tplc="33EE7F60" w:tentative="1">
      <w:start w:val="1"/>
      <w:numFmt w:val="decimal"/>
      <w:lvlText w:val="%8."/>
      <w:lvlJc w:val="left"/>
      <w:pPr>
        <w:tabs>
          <w:tab w:val="num" w:pos="5760"/>
        </w:tabs>
        <w:ind w:left="5760" w:hanging="360"/>
      </w:pPr>
    </w:lvl>
    <w:lvl w:ilvl="8" w:tplc="22989832" w:tentative="1">
      <w:start w:val="1"/>
      <w:numFmt w:val="decimal"/>
      <w:lvlText w:val="%9."/>
      <w:lvlJc w:val="left"/>
      <w:pPr>
        <w:tabs>
          <w:tab w:val="num" w:pos="6480"/>
        </w:tabs>
        <w:ind w:left="6480" w:hanging="360"/>
      </w:pPr>
    </w:lvl>
  </w:abstractNum>
  <w:abstractNum w:abstractNumId="16">
    <w:nsid w:val="31356BDB"/>
    <w:multiLevelType w:val="hybridMultilevel"/>
    <w:tmpl w:val="37C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D512AE"/>
    <w:multiLevelType w:val="hybridMultilevel"/>
    <w:tmpl w:val="B58A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2B5161"/>
    <w:multiLevelType w:val="hybridMultilevel"/>
    <w:tmpl w:val="926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CC5FAA"/>
    <w:multiLevelType w:val="hybridMultilevel"/>
    <w:tmpl w:val="2A2C5722"/>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0">
    <w:nsid w:val="4D644A99"/>
    <w:multiLevelType w:val="hybridMultilevel"/>
    <w:tmpl w:val="418266C6"/>
    <w:lvl w:ilvl="0" w:tplc="34E80882">
      <w:start w:val="1"/>
      <w:numFmt w:val="decimal"/>
      <w:lvlText w:val="%1."/>
      <w:lvlJc w:val="left"/>
      <w:pPr>
        <w:tabs>
          <w:tab w:val="num" w:pos="720"/>
        </w:tabs>
        <w:ind w:left="720" w:hanging="360"/>
      </w:pPr>
    </w:lvl>
    <w:lvl w:ilvl="1" w:tplc="C2CA414E" w:tentative="1">
      <w:start w:val="1"/>
      <w:numFmt w:val="decimal"/>
      <w:lvlText w:val="%2."/>
      <w:lvlJc w:val="left"/>
      <w:pPr>
        <w:tabs>
          <w:tab w:val="num" w:pos="1440"/>
        </w:tabs>
        <w:ind w:left="1440" w:hanging="360"/>
      </w:pPr>
    </w:lvl>
    <w:lvl w:ilvl="2" w:tplc="D3FC1E90" w:tentative="1">
      <w:start w:val="1"/>
      <w:numFmt w:val="decimal"/>
      <w:lvlText w:val="%3."/>
      <w:lvlJc w:val="left"/>
      <w:pPr>
        <w:tabs>
          <w:tab w:val="num" w:pos="2160"/>
        </w:tabs>
        <w:ind w:left="2160" w:hanging="360"/>
      </w:pPr>
    </w:lvl>
    <w:lvl w:ilvl="3" w:tplc="D8328A58" w:tentative="1">
      <w:start w:val="1"/>
      <w:numFmt w:val="decimal"/>
      <w:lvlText w:val="%4."/>
      <w:lvlJc w:val="left"/>
      <w:pPr>
        <w:tabs>
          <w:tab w:val="num" w:pos="2880"/>
        </w:tabs>
        <w:ind w:left="2880" w:hanging="360"/>
      </w:pPr>
    </w:lvl>
    <w:lvl w:ilvl="4" w:tplc="E64C826E" w:tentative="1">
      <w:start w:val="1"/>
      <w:numFmt w:val="decimal"/>
      <w:lvlText w:val="%5."/>
      <w:lvlJc w:val="left"/>
      <w:pPr>
        <w:tabs>
          <w:tab w:val="num" w:pos="3600"/>
        </w:tabs>
        <w:ind w:left="3600" w:hanging="360"/>
      </w:pPr>
    </w:lvl>
    <w:lvl w:ilvl="5" w:tplc="19866FB4" w:tentative="1">
      <w:start w:val="1"/>
      <w:numFmt w:val="decimal"/>
      <w:lvlText w:val="%6."/>
      <w:lvlJc w:val="left"/>
      <w:pPr>
        <w:tabs>
          <w:tab w:val="num" w:pos="4320"/>
        </w:tabs>
        <w:ind w:left="4320" w:hanging="360"/>
      </w:pPr>
    </w:lvl>
    <w:lvl w:ilvl="6" w:tplc="B7420608" w:tentative="1">
      <w:start w:val="1"/>
      <w:numFmt w:val="decimal"/>
      <w:lvlText w:val="%7."/>
      <w:lvlJc w:val="left"/>
      <w:pPr>
        <w:tabs>
          <w:tab w:val="num" w:pos="5040"/>
        </w:tabs>
        <w:ind w:left="5040" w:hanging="360"/>
      </w:pPr>
    </w:lvl>
    <w:lvl w:ilvl="7" w:tplc="B97E8814" w:tentative="1">
      <w:start w:val="1"/>
      <w:numFmt w:val="decimal"/>
      <w:lvlText w:val="%8."/>
      <w:lvlJc w:val="left"/>
      <w:pPr>
        <w:tabs>
          <w:tab w:val="num" w:pos="5760"/>
        </w:tabs>
        <w:ind w:left="5760" w:hanging="360"/>
      </w:pPr>
    </w:lvl>
    <w:lvl w:ilvl="8" w:tplc="FC501380" w:tentative="1">
      <w:start w:val="1"/>
      <w:numFmt w:val="decimal"/>
      <w:lvlText w:val="%9."/>
      <w:lvlJc w:val="left"/>
      <w:pPr>
        <w:tabs>
          <w:tab w:val="num" w:pos="6480"/>
        </w:tabs>
        <w:ind w:left="6480" w:hanging="360"/>
      </w:pPr>
    </w:lvl>
  </w:abstractNum>
  <w:abstractNum w:abstractNumId="21">
    <w:nsid w:val="4E6D7653"/>
    <w:multiLevelType w:val="hybridMultilevel"/>
    <w:tmpl w:val="5AA85096"/>
    <w:lvl w:ilvl="0" w:tplc="EA2C4B12">
      <w:start w:val="6"/>
      <w:numFmt w:val="decimal"/>
      <w:lvlText w:val="%1."/>
      <w:lvlJc w:val="left"/>
      <w:pPr>
        <w:tabs>
          <w:tab w:val="num" w:pos="720"/>
        </w:tabs>
        <w:ind w:left="720" w:hanging="360"/>
      </w:pPr>
    </w:lvl>
    <w:lvl w:ilvl="1" w:tplc="4C049F74" w:tentative="1">
      <w:start w:val="1"/>
      <w:numFmt w:val="decimal"/>
      <w:lvlText w:val="%2."/>
      <w:lvlJc w:val="left"/>
      <w:pPr>
        <w:tabs>
          <w:tab w:val="num" w:pos="1440"/>
        </w:tabs>
        <w:ind w:left="1440" w:hanging="360"/>
      </w:pPr>
    </w:lvl>
    <w:lvl w:ilvl="2" w:tplc="B8262850" w:tentative="1">
      <w:start w:val="1"/>
      <w:numFmt w:val="decimal"/>
      <w:lvlText w:val="%3."/>
      <w:lvlJc w:val="left"/>
      <w:pPr>
        <w:tabs>
          <w:tab w:val="num" w:pos="2160"/>
        </w:tabs>
        <w:ind w:left="2160" w:hanging="360"/>
      </w:pPr>
    </w:lvl>
    <w:lvl w:ilvl="3" w:tplc="DFD2FB2C" w:tentative="1">
      <w:start w:val="1"/>
      <w:numFmt w:val="decimal"/>
      <w:lvlText w:val="%4."/>
      <w:lvlJc w:val="left"/>
      <w:pPr>
        <w:tabs>
          <w:tab w:val="num" w:pos="2880"/>
        </w:tabs>
        <w:ind w:left="2880" w:hanging="360"/>
      </w:pPr>
    </w:lvl>
    <w:lvl w:ilvl="4" w:tplc="502C09BC" w:tentative="1">
      <w:start w:val="1"/>
      <w:numFmt w:val="decimal"/>
      <w:lvlText w:val="%5."/>
      <w:lvlJc w:val="left"/>
      <w:pPr>
        <w:tabs>
          <w:tab w:val="num" w:pos="3600"/>
        </w:tabs>
        <w:ind w:left="3600" w:hanging="360"/>
      </w:pPr>
    </w:lvl>
    <w:lvl w:ilvl="5" w:tplc="EE0CF618" w:tentative="1">
      <w:start w:val="1"/>
      <w:numFmt w:val="decimal"/>
      <w:lvlText w:val="%6."/>
      <w:lvlJc w:val="left"/>
      <w:pPr>
        <w:tabs>
          <w:tab w:val="num" w:pos="4320"/>
        </w:tabs>
        <w:ind w:left="4320" w:hanging="360"/>
      </w:pPr>
    </w:lvl>
    <w:lvl w:ilvl="6" w:tplc="7876B132" w:tentative="1">
      <w:start w:val="1"/>
      <w:numFmt w:val="decimal"/>
      <w:lvlText w:val="%7."/>
      <w:lvlJc w:val="left"/>
      <w:pPr>
        <w:tabs>
          <w:tab w:val="num" w:pos="5040"/>
        </w:tabs>
        <w:ind w:left="5040" w:hanging="360"/>
      </w:pPr>
    </w:lvl>
    <w:lvl w:ilvl="7" w:tplc="68F4B538" w:tentative="1">
      <w:start w:val="1"/>
      <w:numFmt w:val="decimal"/>
      <w:lvlText w:val="%8."/>
      <w:lvlJc w:val="left"/>
      <w:pPr>
        <w:tabs>
          <w:tab w:val="num" w:pos="5760"/>
        </w:tabs>
        <w:ind w:left="5760" w:hanging="360"/>
      </w:pPr>
    </w:lvl>
    <w:lvl w:ilvl="8" w:tplc="CBA27A42" w:tentative="1">
      <w:start w:val="1"/>
      <w:numFmt w:val="decimal"/>
      <w:lvlText w:val="%9."/>
      <w:lvlJc w:val="left"/>
      <w:pPr>
        <w:tabs>
          <w:tab w:val="num" w:pos="6480"/>
        </w:tabs>
        <w:ind w:left="6480" w:hanging="360"/>
      </w:pPr>
    </w:lvl>
  </w:abstractNum>
  <w:abstractNum w:abstractNumId="22">
    <w:nsid w:val="4E6E2120"/>
    <w:multiLevelType w:val="hybridMultilevel"/>
    <w:tmpl w:val="7D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3022B9"/>
    <w:multiLevelType w:val="hybridMultilevel"/>
    <w:tmpl w:val="FD10FFF2"/>
    <w:lvl w:ilvl="0" w:tplc="83C226F6">
      <w:start w:val="1"/>
      <w:numFmt w:val="bullet"/>
      <w:lvlText w:val=""/>
      <w:lvlJc w:val="left"/>
      <w:pPr>
        <w:tabs>
          <w:tab w:val="num" w:pos="397"/>
        </w:tabs>
        <w:ind w:left="494" w:hanging="94"/>
      </w:pPr>
      <w:rPr>
        <w:rFonts w:ascii="Symbol" w:hAnsi="Symbol" w:hint="default"/>
      </w:rPr>
    </w:lvl>
    <w:lvl w:ilvl="1" w:tplc="16EA5720">
      <w:start w:val="1"/>
      <w:numFmt w:val="bullet"/>
      <w:lvlText w:val="-"/>
      <w:lvlJc w:val="left"/>
      <w:pPr>
        <w:ind w:left="1480" w:hanging="360"/>
      </w:pPr>
      <w:rPr>
        <w:rFonts w:ascii="Arial" w:eastAsiaTheme="minorHAnsi" w:hAnsi="Arial" w:cs="Symbo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4">
    <w:nsid w:val="4F7C124F"/>
    <w:multiLevelType w:val="hybridMultilevel"/>
    <w:tmpl w:val="0F86D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9A2FB8"/>
    <w:multiLevelType w:val="hybridMultilevel"/>
    <w:tmpl w:val="1F38F56E"/>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6">
    <w:nsid w:val="53FA5241"/>
    <w:multiLevelType w:val="hybridMultilevel"/>
    <w:tmpl w:val="C25A7C06"/>
    <w:lvl w:ilvl="0" w:tplc="7CDC7E6E">
      <w:start w:val="1"/>
      <w:numFmt w:val="decimal"/>
      <w:lvlText w:val="%1."/>
      <w:lvlJc w:val="left"/>
      <w:pPr>
        <w:tabs>
          <w:tab w:val="num" w:pos="720"/>
        </w:tabs>
        <w:ind w:left="720" w:hanging="360"/>
      </w:pPr>
    </w:lvl>
    <w:lvl w:ilvl="1" w:tplc="A412CDCA" w:tentative="1">
      <w:start w:val="1"/>
      <w:numFmt w:val="decimal"/>
      <w:lvlText w:val="%2."/>
      <w:lvlJc w:val="left"/>
      <w:pPr>
        <w:tabs>
          <w:tab w:val="num" w:pos="1440"/>
        </w:tabs>
        <w:ind w:left="1440" w:hanging="360"/>
      </w:pPr>
    </w:lvl>
    <w:lvl w:ilvl="2" w:tplc="4B3A5F90" w:tentative="1">
      <w:start w:val="1"/>
      <w:numFmt w:val="decimal"/>
      <w:lvlText w:val="%3."/>
      <w:lvlJc w:val="left"/>
      <w:pPr>
        <w:tabs>
          <w:tab w:val="num" w:pos="2160"/>
        </w:tabs>
        <w:ind w:left="2160" w:hanging="360"/>
      </w:pPr>
    </w:lvl>
    <w:lvl w:ilvl="3" w:tplc="AB100EE2" w:tentative="1">
      <w:start w:val="1"/>
      <w:numFmt w:val="decimal"/>
      <w:lvlText w:val="%4."/>
      <w:lvlJc w:val="left"/>
      <w:pPr>
        <w:tabs>
          <w:tab w:val="num" w:pos="2880"/>
        </w:tabs>
        <w:ind w:left="2880" w:hanging="360"/>
      </w:pPr>
    </w:lvl>
    <w:lvl w:ilvl="4" w:tplc="57B2D184" w:tentative="1">
      <w:start w:val="1"/>
      <w:numFmt w:val="decimal"/>
      <w:lvlText w:val="%5."/>
      <w:lvlJc w:val="left"/>
      <w:pPr>
        <w:tabs>
          <w:tab w:val="num" w:pos="3600"/>
        </w:tabs>
        <w:ind w:left="3600" w:hanging="360"/>
      </w:pPr>
    </w:lvl>
    <w:lvl w:ilvl="5" w:tplc="5528537C" w:tentative="1">
      <w:start w:val="1"/>
      <w:numFmt w:val="decimal"/>
      <w:lvlText w:val="%6."/>
      <w:lvlJc w:val="left"/>
      <w:pPr>
        <w:tabs>
          <w:tab w:val="num" w:pos="4320"/>
        </w:tabs>
        <w:ind w:left="4320" w:hanging="360"/>
      </w:pPr>
    </w:lvl>
    <w:lvl w:ilvl="6" w:tplc="0D5002F0" w:tentative="1">
      <w:start w:val="1"/>
      <w:numFmt w:val="decimal"/>
      <w:lvlText w:val="%7."/>
      <w:lvlJc w:val="left"/>
      <w:pPr>
        <w:tabs>
          <w:tab w:val="num" w:pos="5040"/>
        </w:tabs>
        <w:ind w:left="5040" w:hanging="360"/>
      </w:pPr>
    </w:lvl>
    <w:lvl w:ilvl="7" w:tplc="0908C720" w:tentative="1">
      <w:start w:val="1"/>
      <w:numFmt w:val="decimal"/>
      <w:lvlText w:val="%8."/>
      <w:lvlJc w:val="left"/>
      <w:pPr>
        <w:tabs>
          <w:tab w:val="num" w:pos="5760"/>
        </w:tabs>
        <w:ind w:left="5760" w:hanging="360"/>
      </w:pPr>
    </w:lvl>
    <w:lvl w:ilvl="8" w:tplc="8DDC9666" w:tentative="1">
      <w:start w:val="1"/>
      <w:numFmt w:val="decimal"/>
      <w:lvlText w:val="%9."/>
      <w:lvlJc w:val="left"/>
      <w:pPr>
        <w:tabs>
          <w:tab w:val="num" w:pos="6480"/>
        </w:tabs>
        <w:ind w:left="6480" w:hanging="360"/>
      </w:pPr>
    </w:lvl>
  </w:abstractNum>
  <w:abstractNum w:abstractNumId="27">
    <w:nsid w:val="5DE27AAB"/>
    <w:multiLevelType w:val="hybridMultilevel"/>
    <w:tmpl w:val="A620B102"/>
    <w:lvl w:ilvl="0" w:tplc="1FB4BD14">
      <w:start w:val="1"/>
      <w:numFmt w:val="decimal"/>
      <w:lvlText w:val="%1."/>
      <w:lvlJc w:val="left"/>
      <w:pPr>
        <w:tabs>
          <w:tab w:val="num" w:pos="720"/>
        </w:tabs>
        <w:ind w:left="720" w:hanging="360"/>
      </w:pPr>
    </w:lvl>
    <w:lvl w:ilvl="1" w:tplc="3D066470" w:tentative="1">
      <w:start w:val="1"/>
      <w:numFmt w:val="decimal"/>
      <w:lvlText w:val="%2."/>
      <w:lvlJc w:val="left"/>
      <w:pPr>
        <w:tabs>
          <w:tab w:val="num" w:pos="1440"/>
        </w:tabs>
        <w:ind w:left="1440" w:hanging="360"/>
      </w:pPr>
    </w:lvl>
    <w:lvl w:ilvl="2" w:tplc="BC78015A" w:tentative="1">
      <w:start w:val="1"/>
      <w:numFmt w:val="decimal"/>
      <w:lvlText w:val="%3."/>
      <w:lvlJc w:val="left"/>
      <w:pPr>
        <w:tabs>
          <w:tab w:val="num" w:pos="2160"/>
        </w:tabs>
        <w:ind w:left="2160" w:hanging="360"/>
      </w:pPr>
    </w:lvl>
    <w:lvl w:ilvl="3" w:tplc="35323284" w:tentative="1">
      <w:start w:val="1"/>
      <w:numFmt w:val="decimal"/>
      <w:lvlText w:val="%4."/>
      <w:lvlJc w:val="left"/>
      <w:pPr>
        <w:tabs>
          <w:tab w:val="num" w:pos="2880"/>
        </w:tabs>
        <w:ind w:left="2880" w:hanging="360"/>
      </w:pPr>
    </w:lvl>
    <w:lvl w:ilvl="4" w:tplc="765411B2" w:tentative="1">
      <w:start w:val="1"/>
      <w:numFmt w:val="decimal"/>
      <w:lvlText w:val="%5."/>
      <w:lvlJc w:val="left"/>
      <w:pPr>
        <w:tabs>
          <w:tab w:val="num" w:pos="3600"/>
        </w:tabs>
        <w:ind w:left="3600" w:hanging="360"/>
      </w:pPr>
    </w:lvl>
    <w:lvl w:ilvl="5" w:tplc="481CC046" w:tentative="1">
      <w:start w:val="1"/>
      <w:numFmt w:val="decimal"/>
      <w:lvlText w:val="%6."/>
      <w:lvlJc w:val="left"/>
      <w:pPr>
        <w:tabs>
          <w:tab w:val="num" w:pos="4320"/>
        </w:tabs>
        <w:ind w:left="4320" w:hanging="360"/>
      </w:pPr>
    </w:lvl>
    <w:lvl w:ilvl="6" w:tplc="E8E2CC06" w:tentative="1">
      <w:start w:val="1"/>
      <w:numFmt w:val="decimal"/>
      <w:lvlText w:val="%7."/>
      <w:lvlJc w:val="left"/>
      <w:pPr>
        <w:tabs>
          <w:tab w:val="num" w:pos="5040"/>
        </w:tabs>
        <w:ind w:left="5040" w:hanging="360"/>
      </w:pPr>
    </w:lvl>
    <w:lvl w:ilvl="7" w:tplc="AEEE8B66" w:tentative="1">
      <w:start w:val="1"/>
      <w:numFmt w:val="decimal"/>
      <w:lvlText w:val="%8."/>
      <w:lvlJc w:val="left"/>
      <w:pPr>
        <w:tabs>
          <w:tab w:val="num" w:pos="5760"/>
        </w:tabs>
        <w:ind w:left="5760" w:hanging="360"/>
      </w:pPr>
    </w:lvl>
    <w:lvl w:ilvl="8" w:tplc="7494B320" w:tentative="1">
      <w:start w:val="1"/>
      <w:numFmt w:val="decimal"/>
      <w:lvlText w:val="%9."/>
      <w:lvlJc w:val="left"/>
      <w:pPr>
        <w:tabs>
          <w:tab w:val="num" w:pos="6480"/>
        </w:tabs>
        <w:ind w:left="6480" w:hanging="360"/>
      </w:pPr>
    </w:lvl>
  </w:abstractNum>
  <w:abstractNum w:abstractNumId="28">
    <w:nsid w:val="5E6043C2"/>
    <w:multiLevelType w:val="hybridMultilevel"/>
    <w:tmpl w:val="371EEE94"/>
    <w:lvl w:ilvl="0" w:tplc="38BE245C">
      <w:start w:val="1"/>
      <w:numFmt w:val="decimal"/>
      <w:lvlText w:val="%1."/>
      <w:lvlJc w:val="left"/>
      <w:pPr>
        <w:tabs>
          <w:tab w:val="num" w:pos="720"/>
        </w:tabs>
        <w:ind w:left="720" w:hanging="360"/>
      </w:pPr>
    </w:lvl>
    <w:lvl w:ilvl="1" w:tplc="4AA2815E" w:tentative="1">
      <w:start w:val="1"/>
      <w:numFmt w:val="decimal"/>
      <w:lvlText w:val="%2."/>
      <w:lvlJc w:val="left"/>
      <w:pPr>
        <w:tabs>
          <w:tab w:val="num" w:pos="1440"/>
        </w:tabs>
        <w:ind w:left="1440" w:hanging="360"/>
      </w:pPr>
    </w:lvl>
    <w:lvl w:ilvl="2" w:tplc="793C8CF2" w:tentative="1">
      <w:start w:val="1"/>
      <w:numFmt w:val="decimal"/>
      <w:lvlText w:val="%3."/>
      <w:lvlJc w:val="left"/>
      <w:pPr>
        <w:tabs>
          <w:tab w:val="num" w:pos="2160"/>
        </w:tabs>
        <w:ind w:left="2160" w:hanging="360"/>
      </w:pPr>
    </w:lvl>
    <w:lvl w:ilvl="3" w:tplc="8F5430F6" w:tentative="1">
      <w:start w:val="1"/>
      <w:numFmt w:val="decimal"/>
      <w:lvlText w:val="%4."/>
      <w:lvlJc w:val="left"/>
      <w:pPr>
        <w:tabs>
          <w:tab w:val="num" w:pos="2880"/>
        </w:tabs>
        <w:ind w:left="2880" w:hanging="360"/>
      </w:pPr>
    </w:lvl>
    <w:lvl w:ilvl="4" w:tplc="D2FA4A18" w:tentative="1">
      <w:start w:val="1"/>
      <w:numFmt w:val="decimal"/>
      <w:lvlText w:val="%5."/>
      <w:lvlJc w:val="left"/>
      <w:pPr>
        <w:tabs>
          <w:tab w:val="num" w:pos="3600"/>
        </w:tabs>
        <w:ind w:left="3600" w:hanging="360"/>
      </w:pPr>
    </w:lvl>
    <w:lvl w:ilvl="5" w:tplc="F6D04CFC" w:tentative="1">
      <w:start w:val="1"/>
      <w:numFmt w:val="decimal"/>
      <w:lvlText w:val="%6."/>
      <w:lvlJc w:val="left"/>
      <w:pPr>
        <w:tabs>
          <w:tab w:val="num" w:pos="4320"/>
        </w:tabs>
        <w:ind w:left="4320" w:hanging="360"/>
      </w:pPr>
    </w:lvl>
    <w:lvl w:ilvl="6" w:tplc="C4F46F52" w:tentative="1">
      <w:start w:val="1"/>
      <w:numFmt w:val="decimal"/>
      <w:lvlText w:val="%7."/>
      <w:lvlJc w:val="left"/>
      <w:pPr>
        <w:tabs>
          <w:tab w:val="num" w:pos="5040"/>
        </w:tabs>
        <w:ind w:left="5040" w:hanging="360"/>
      </w:pPr>
    </w:lvl>
    <w:lvl w:ilvl="7" w:tplc="2668EAF6" w:tentative="1">
      <w:start w:val="1"/>
      <w:numFmt w:val="decimal"/>
      <w:lvlText w:val="%8."/>
      <w:lvlJc w:val="left"/>
      <w:pPr>
        <w:tabs>
          <w:tab w:val="num" w:pos="5760"/>
        </w:tabs>
        <w:ind w:left="5760" w:hanging="360"/>
      </w:pPr>
    </w:lvl>
    <w:lvl w:ilvl="8" w:tplc="93F801B6" w:tentative="1">
      <w:start w:val="1"/>
      <w:numFmt w:val="decimal"/>
      <w:lvlText w:val="%9."/>
      <w:lvlJc w:val="left"/>
      <w:pPr>
        <w:tabs>
          <w:tab w:val="num" w:pos="6480"/>
        </w:tabs>
        <w:ind w:left="6480" w:hanging="360"/>
      </w:pPr>
    </w:lvl>
  </w:abstractNum>
  <w:abstractNum w:abstractNumId="29">
    <w:nsid w:val="60A61761"/>
    <w:multiLevelType w:val="hybridMultilevel"/>
    <w:tmpl w:val="C85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2E71210"/>
    <w:multiLevelType w:val="hybridMultilevel"/>
    <w:tmpl w:val="775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B51018"/>
    <w:multiLevelType w:val="hybridMultilevel"/>
    <w:tmpl w:val="439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D4065E"/>
    <w:multiLevelType w:val="hybridMultilevel"/>
    <w:tmpl w:val="C10C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4E51DA"/>
    <w:multiLevelType w:val="hybridMultilevel"/>
    <w:tmpl w:val="AD5E6B46"/>
    <w:lvl w:ilvl="0" w:tplc="BD585650">
      <w:start w:val="1"/>
      <w:numFmt w:val="decimal"/>
      <w:lvlText w:val="%1."/>
      <w:lvlJc w:val="left"/>
      <w:pPr>
        <w:tabs>
          <w:tab w:val="num" w:pos="720"/>
        </w:tabs>
        <w:ind w:left="720" w:hanging="360"/>
      </w:pPr>
    </w:lvl>
    <w:lvl w:ilvl="1" w:tplc="C22826A8" w:tentative="1">
      <w:start w:val="1"/>
      <w:numFmt w:val="decimal"/>
      <w:lvlText w:val="%2."/>
      <w:lvlJc w:val="left"/>
      <w:pPr>
        <w:tabs>
          <w:tab w:val="num" w:pos="1440"/>
        </w:tabs>
        <w:ind w:left="1440" w:hanging="360"/>
      </w:pPr>
    </w:lvl>
    <w:lvl w:ilvl="2" w:tplc="6C28A5DE" w:tentative="1">
      <w:start w:val="1"/>
      <w:numFmt w:val="decimal"/>
      <w:lvlText w:val="%3."/>
      <w:lvlJc w:val="left"/>
      <w:pPr>
        <w:tabs>
          <w:tab w:val="num" w:pos="2160"/>
        </w:tabs>
        <w:ind w:left="2160" w:hanging="360"/>
      </w:pPr>
    </w:lvl>
    <w:lvl w:ilvl="3" w:tplc="E066602A" w:tentative="1">
      <w:start w:val="1"/>
      <w:numFmt w:val="decimal"/>
      <w:lvlText w:val="%4."/>
      <w:lvlJc w:val="left"/>
      <w:pPr>
        <w:tabs>
          <w:tab w:val="num" w:pos="2880"/>
        </w:tabs>
        <w:ind w:left="2880" w:hanging="360"/>
      </w:pPr>
    </w:lvl>
    <w:lvl w:ilvl="4" w:tplc="9146D762" w:tentative="1">
      <w:start w:val="1"/>
      <w:numFmt w:val="decimal"/>
      <w:lvlText w:val="%5."/>
      <w:lvlJc w:val="left"/>
      <w:pPr>
        <w:tabs>
          <w:tab w:val="num" w:pos="3600"/>
        </w:tabs>
        <w:ind w:left="3600" w:hanging="360"/>
      </w:pPr>
    </w:lvl>
    <w:lvl w:ilvl="5" w:tplc="46824D6A" w:tentative="1">
      <w:start w:val="1"/>
      <w:numFmt w:val="decimal"/>
      <w:lvlText w:val="%6."/>
      <w:lvlJc w:val="left"/>
      <w:pPr>
        <w:tabs>
          <w:tab w:val="num" w:pos="4320"/>
        </w:tabs>
        <w:ind w:left="4320" w:hanging="360"/>
      </w:pPr>
    </w:lvl>
    <w:lvl w:ilvl="6" w:tplc="62CA59C8" w:tentative="1">
      <w:start w:val="1"/>
      <w:numFmt w:val="decimal"/>
      <w:lvlText w:val="%7."/>
      <w:lvlJc w:val="left"/>
      <w:pPr>
        <w:tabs>
          <w:tab w:val="num" w:pos="5040"/>
        </w:tabs>
        <w:ind w:left="5040" w:hanging="360"/>
      </w:pPr>
    </w:lvl>
    <w:lvl w:ilvl="7" w:tplc="B4664C12" w:tentative="1">
      <w:start w:val="1"/>
      <w:numFmt w:val="decimal"/>
      <w:lvlText w:val="%8."/>
      <w:lvlJc w:val="left"/>
      <w:pPr>
        <w:tabs>
          <w:tab w:val="num" w:pos="5760"/>
        </w:tabs>
        <w:ind w:left="5760" w:hanging="360"/>
      </w:pPr>
    </w:lvl>
    <w:lvl w:ilvl="8" w:tplc="9E06C760" w:tentative="1">
      <w:start w:val="1"/>
      <w:numFmt w:val="decimal"/>
      <w:lvlText w:val="%9."/>
      <w:lvlJc w:val="left"/>
      <w:pPr>
        <w:tabs>
          <w:tab w:val="num" w:pos="6480"/>
        </w:tabs>
        <w:ind w:left="6480" w:hanging="360"/>
      </w:pPr>
    </w:lvl>
  </w:abstractNum>
  <w:abstractNum w:abstractNumId="34">
    <w:nsid w:val="6C50753E"/>
    <w:multiLevelType w:val="hybridMultilevel"/>
    <w:tmpl w:val="E090B5A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5">
    <w:nsid w:val="6F9A2835"/>
    <w:multiLevelType w:val="hybridMultilevel"/>
    <w:tmpl w:val="6A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481A15"/>
    <w:multiLevelType w:val="hybridMultilevel"/>
    <w:tmpl w:val="11068E2A"/>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7">
    <w:nsid w:val="746056BF"/>
    <w:multiLevelType w:val="hybridMultilevel"/>
    <w:tmpl w:val="57886D0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8">
    <w:nsid w:val="7B8E397F"/>
    <w:multiLevelType w:val="hybridMultilevel"/>
    <w:tmpl w:val="B8A29B1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9">
    <w:nsid w:val="7C116600"/>
    <w:multiLevelType w:val="hybridMultilevel"/>
    <w:tmpl w:val="896C82F2"/>
    <w:lvl w:ilvl="0" w:tplc="FCB08AB0">
      <w:start w:val="1"/>
      <w:numFmt w:val="decimal"/>
      <w:lvlText w:val="%1."/>
      <w:lvlJc w:val="left"/>
      <w:pPr>
        <w:ind w:left="720" w:hanging="360"/>
      </w:pPr>
      <w:rPr>
        <w:rFonts w:hint="default"/>
        <w:b/>
        <w:i w:val="0"/>
        <w:color w:val="17365D"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D4637E"/>
    <w:multiLevelType w:val="hybridMultilevel"/>
    <w:tmpl w:val="05D2C87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29"/>
  </w:num>
  <w:num w:numId="2">
    <w:abstractNumId w:val="23"/>
  </w:num>
  <w:num w:numId="3">
    <w:abstractNumId w:val="37"/>
  </w:num>
  <w:num w:numId="4">
    <w:abstractNumId w:val="25"/>
  </w:num>
  <w:num w:numId="5">
    <w:abstractNumId w:val="19"/>
  </w:num>
  <w:num w:numId="6">
    <w:abstractNumId w:val="34"/>
  </w:num>
  <w:num w:numId="7">
    <w:abstractNumId w:val="38"/>
  </w:num>
  <w:num w:numId="8">
    <w:abstractNumId w:val="40"/>
  </w:num>
  <w:num w:numId="9">
    <w:abstractNumId w:val="36"/>
  </w:num>
  <w:num w:numId="10">
    <w:abstractNumId w:val="12"/>
  </w:num>
  <w:num w:numId="11">
    <w:abstractNumId w:val="3"/>
  </w:num>
  <w:num w:numId="12">
    <w:abstractNumId w:val="10"/>
  </w:num>
  <w:num w:numId="13">
    <w:abstractNumId w:val="8"/>
  </w:num>
  <w:num w:numId="14">
    <w:abstractNumId w:val="5"/>
  </w:num>
  <w:num w:numId="15">
    <w:abstractNumId w:val="31"/>
  </w:num>
  <w:num w:numId="16">
    <w:abstractNumId w:val="4"/>
  </w:num>
  <w:num w:numId="17">
    <w:abstractNumId w:val="32"/>
  </w:num>
  <w:num w:numId="18">
    <w:abstractNumId w:val="9"/>
  </w:num>
  <w:num w:numId="19">
    <w:abstractNumId w:val="16"/>
  </w:num>
  <w:num w:numId="20">
    <w:abstractNumId w:val="7"/>
  </w:num>
  <w:num w:numId="21">
    <w:abstractNumId w:val="11"/>
  </w:num>
  <w:num w:numId="22">
    <w:abstractNumId w:val="18"/>
  </w:num>
  <w:num w:numId="23">
    <w:abstractNumId w:val="35"/>
  </w:num>
  <w:num w:numId="24">
    <w:abstractNumId w:val="30"/>
  </w:num>
  <w:num w:numId="25">
    <w:abstractNumId w:val="13"/>
  </w:num>
  <w:num w:numId="26">
    <w:abstractNumId w:val="22"/>
  </w:num>
  <w:num w:numId="27">
    <w:abstractNumId w:val="14"/>
  </w:num>
  <w:num w:numId="28">
    <w:abstractNumId w:val="17"/>
  </w:num>
  <w:num w:numId="29">
    <w:abstractNumId w:val="28"/>
  </w:num>
  <w:num w:numId="30">
    <w:abstractNumId w:val="39"/>
  </w:num>
  <w:num w:numId="31">
    <w:abstractNumId w:val="26"/>
  </w:num>
  <w:num w:numId="32">
    <w:abstractNumId w:val="33"/>
  </w:num>
  <w:num w:numId="33">
    <w:abstractNumId w:val="20"/>
  </w:num>
  <w:num w:numId="34">
    <w:abstractNumId w:val="27"/>
  </w:num>
  <w:num w:numId="35">
    <w:abstractNumId w:val="15"/>
  </w:num>
  <w:num w:numId="36">
    <w:abstractNumId w:val="2"/>
  </w:num>
  <w:num w:numId="37">
    <w:abstractNumId w:val="6"/>
  </w:num>
  <w:num w:numId="38">
    <w:abstractNumId w:val="21"/>
  </w:num>
  <w:num w:numId="39">
    <w:abstractNumId w:val="1"/>
  </w:num>
  <w:num w:numId="40">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23"/>
    <w:rsid w:val="0000255A"/>
    <w:rsid w:val="00007DA4"/>
    <w:rsid w:val="00014E36"/>
    <w:rsid w:val="00017022"/>
    <w:rsid w:val="000225BA"/>
    <w:rsid w:val="0002336F"/>
    <w:rsid w:val="00024DD6"/>
    <w:rsid w:val="00026C80"/>
    <w:rsid w:val="00030C2C"/>
    <w:rsid w:val="00032054"/>
    <w:rsid w:val="000328E3"/>
    <w:rsid w:val="0003575B"/>
    <w:rsid w:val="0003735C"/>
    <w:rsid w:val="00037CDC"/>
    <w:rsid w:val="00037D98"/>
    <w:rsid w:val="00042252"/>
    <w:rsid w:val="000423C3"/>
    <w:rsid w:val="00046FD1"/>
    <w:rsid w:val="00050278"/>
    <w:rsid w:val="00052126"/>
    <w:rsid w:val="00052A60"/>
    <w:rsid w:val="000568E5"/>
    <w:rsid w:val="000615B0"/>
    <w:rsid w:val="000701AB"/>
    <w:rsid w:val="000744EF"/>
    <w:rsid w:val="00081AF6"/>
    <w:rsid w:val="0008201C"/>
    <w:rsid w:val="00083BF2"/>
    <w:rsid w:val="00083CB4"/>
    <w:rsid w:val="00092809"/>
    <w:rsid w:val="00093B2C"/>
    <w:rsid w:val="00097805"/>
    <w:rsid w:val="000A1804"/>
    <w:rsid w:val="000A68F9"/>
    <w:rsid w:val="000A6A08"/>
    <w:rsid w:val="000A6D16"/>
    <w:rsid w:val="000A7F3E"/>
    <w:rsid w:val="000B2DE8"/>
    <w:rsid w:val="000B3468"/>
    <w:rsid w:val="000B7011"/>
    <w:rsid w:val="000C05A5"/>
    <w:rsid w:val="000C228B"/>
    <w:rsid w:val="000C51A0"/>
    <w:rsid w:val="000C60DE"/>
    <w:rsid w:val="000D0B99"/>
    <w:rsid w:val="000D1AEB"/>
    <w:rsid w:val="000D2C0A"/>
    <w:rsid w:val="000D65F8"/>
    <w:rsid w:val="000D742B"/>
    <w:rsid w:val="000E2D39"/>
    <w:rsid w:val="000E4A9F"/>
    <w:rsid w:val="000E5A24"/>
    <w:rsid w:val="000E5F00"/>
    <w:rsid w:val="000E6B6A"/>
    <w:rsid w:val="000F3983"/>
    <w:rsid w:val="000F3E02"/>
    <w:rsid w:val="000F42AD"/>
    <w:rsid w:val="000F70D2"/>
    <w:rsid w:val="00101AD6"/>
    <w:rsid w:val="00112D59"/>
    <w:rsid w:val="00116045"/>
    <w:rsid w:val="0011666B"/>
    <w:rsid w:val="001223AF"/>
    <w:rsid w:val="0012738A"/>
    <w:rsid w:val="00130B4E"/>
    <w:rsid w:val="0013530E"/>
    <w:rsid w:val="0014341F"/>
    <w:rsid w:val="00143686"/>
    <w:rsid w:val="00144343"/>
    <w:rsid w:val="001453DE"/>
    <w:rsid w:val="001467E0"/>
    <w:rsid w:val="00150B6C"/>
    <w:rsid w:val="00155228"/>
    <w:rsid w:val="001603D5"/>
    <w:rsid w:val="00165F5F"/>
    <w:rsid w:val="00166F32"/>
    <w:rsid w:val="00170112"/>
    <w:rsid w:val="0017095E"/>
    <w:rsid w:val="001725DE"/>
    <w:rsid w:val="001737D3"/>
    <w:rsid w:val="00173A55"/>
    <w:rsid w:val="00173E2F"/>
    <w:rsid w:val="0017439C"/>
    <w:rsid w:val="00174746"/>
    <w:rsid w:val="00180399"/>
    <w:rsid w:val="00185589"/>
    <w:rsid w:val="0018566C"/>
    <w:rsid w:val="00187B91"/>
    <w:rsid w:val="001958FD"/>
    <w:rsid w:val="00195AA9"/>
    <w:rsid w:val="00196734"/>
    <w:rsid w:val="001969FB"/>
    <w:rsid w:val="001A131C"/>
    <w:rsid w:val="001A6224"/>
    <w:rsid w:val="001A70E7"/>
    <w:rsid w:val="001A7BD2"/>
    <w:rsid w:val="001B3819"/>
    <w:rsid w:val="001B3D64"/>
    <w:rsid w:val="001B5314"/>
    <w:rsid w:val="001B5FD2"/>
    <w:rsid w:val="001B6254"/>
    <w:rsid w:val="001C0DF8"/>
    <w:rsid w:val="001C12BD"/>
    <w:rsid w:val="001C4A97"/>
    <w:rsid w:val="001D02F0"/>
    <w:rsid w:val="001D0A26"/>
    <w:rsid w:val="001D3762"/>
    <w:rsid w:val="001D4E40"/>
    <w:rsid w:val="001D5361"/>
    <w:rsid w:val="001D76AD"/>
    <w:rsid w:val="001D7E8C"/>
    <w:rsid w:val="001E1CA7"/>
    <w:rsid w:val="001E22F3"/>
    <w:rsid w:val="001E2A55"/>
    <w:rsid w:val="001E3078"/>
    <w:rsid w:val="001E74A3"/>
    <w:rsid w:val="001F4168"/>
    <w:rsid w:val="001F4B0A"/>
    <w:rsid w:val="001F79AA"/>
    <w:rsid w:val="00200A65"/>
    <w:rsid w:val="002017A9"/>
    <w:rsid w:val="002032D3"/>
    <w:rsid w:val="00203AB7"/>
    <w:rsid w:val="0020463D"/>
    <w:rsid w:val="00205109"/>
    <w:rsid w:val="00206906"/>
    <w:rsid w:val="002078E0"/>
    <w:rsid w:val="00211152"/>
    <w:rsid w:val="002248F1"/>
    <w:rsid w:val="002253F7"/>
    <w:rsid w:val="00225F7C"/>
    <w:rsid w:val="00227180"/>
    <w:rsid w:val="00232712"/>
    <w:rsid w:val="0023392A"/>
    <w:rsid w:val="00236099"/>
    <w:rsid w:val="0023669B"/>
    <w:rsid w:val="0024205F"/>
    <w:rsid w:val="00255132"/>
    <w:rsid w:val="002648AA"/>
    <w:rsid w:val="002679D9"/>
    <w:rsid w:val="002705F9"/>
    <w:rsid w:val="002717AA"/>
    <w:rsid w:val="0027488F"/>
    <w:rsid w:val="002801FD"/>
    <w:rsid w:val="00283919"/>
    <w:rsid w:val="0028464A"/>
    <w:rsid w:val="00292E6E"/>
    <w:rsid w:val="00295A21"/>
    <w:rsid w:val="002A0129"/>
    <w:rsid w:val="002A53A4"/>
    <w:rsid w:val="002A5680"/>
    <w:rsid w:val="002A673A"/>
    <w:rsid w:val="002A6B80"/>
    <w:rsid w:val="002A7906"/>
    <w:rsid w:val="002B67F6"/>
    <w:rsid w:val="002C02C4"/>
    <w:rsid w:val="002C093B"/>
    <w:rsid w:val="002C1A68"/>
    <w:rsid w:val="002C26F1"/>
    <w:rsid w:val="002D786E"/>
    <w:rsid w:val="002E061F"/>
    <w:rsid w:val="002E1692"/>
    <w:rsid w:val="002E23E9"/>
    <w:rsid w:val="002E3DC8"/>
    <w:rsid w:val="002E7551"/>
    <w:rsid w:val="002E7FA4"/>
    <w:rsid w:val="002F017A"/>
    <w:rsid w:val="002F0F6D"/>
    <w:rsid w:val="002F156A"/>
    <w:rsid w:val="002F5B95"/>
    <w:rsid w:val="0030042C"/>
    <w:rsid w:val="00306114"/>
    <w:rsid w:val="00306208"/>
    <w:rsid w:val="00307B5D"/>
    <w:rsid w:val="00311CAC"/>
    <w:rsid w:val="0031223D"/>
    <w:rsid w:val="00312459"/>
    <w:rsid w:val="00312956"/>
    <w:rsid w:val="0031379B"/>
    <w:rsid w:val="00314A09"/>
    <w:rsid w:val="0031691C"/>
    <w:rsid w:val="00320395"/>
    <w:rsid w:val="00320F96"/>
    <w:rsid w:val="0032103C"/>
    <w:rsid w:val="00323CE8"/>
    <w:rsid w:val="00327933"/>
    <w:rsid w:val="00337BD2"/>
    <w:rsid w:val="003402AA"/>
    <w:rsid w:val="00344222"/>
    <w:rsid w:val="00345D6C"/>
    <w:rsid w:val="003507ED"/>
    <w:rsid w:val="00352D9C"/>
    <w:rsid w:val="00353D85"/>
    <w:rsid w:val="00353E83"/>
    <w:rsid w:val="00354731"/>
    <w:rsid w:val="003559C0"/>
    <w:rsid w:val="0035744E"/>
    <w:rsid w:val="00361A5B"/>
    <w:rsid w:val="0036531B"/>
    <w:rsid w:val="00366F47"/>
    <w:rsid w:val="00367E63"/>
    <w:rsid w:val="00372BAA"/>
    <w:rsid w:val="003739E9"/>
    <w:rsid w:val="00374DAC"/>
    <w:rsid w:val="00374FDF"/>
    <w:rsid w:val="003811B9"/>
    <w:rsid w:val="00386344"/>
    <w:rsid w:val="00387008"/>
    <w:rsid w:val="0039156C"/>
    <w:rsid w:val="003918B3"/>
    <w:rsid w:val="003942AC"/>
    <w:rsid w:val="00394329"/>
    <w:rsid w:val="00394346"/>
    <w:rsid w:val="003A366A"/>
    <w:rsid w:val="003A36FD"/>
    <w:rsid w:val="003A62B4"/>
    <w:rsid w:val="003B013D"/>
    <w:rsid w:val="003B06D5"/>
    <w:rsid w:val="003B14C5"/>
    <w:rsid w:val="003B34CF"/>
    <w:rsid w:val="003C798A"/>
    <w:rsid w:val="003D1475"/>
    <w:rsid w:val="003D1587"/>
    <w:rsid w:val="003D4776"/>
    <w:rsid w:val="003D5011"/>
    <w:rsid w:val="003D686C"/>
    <w:rsid w:val="003E0D04"/>
    <w:rsid w:val="003E1AAE"/>
    <w:rsid w:val="003E2779"/>
    <w:rsid w:val="003E2F46"/>
    <w:rsid w:val="003E32AF"/>
    <w:rsid w:val="003F2F60"/>
    <w:rsid w:val="003F309E"/>
    <w:rsid w:val="0040761E"/>
    <w:rsid w:val="00410AF9"/>
    <w:rsid w:val="0041268A"/>
    <w:rsid w:val="00414B20"/>
    <w:rsid w:val="00416EDE"/>
    <w:rsid w:val="00424C82"/>
    <w:rsid w:val="00426B51"/>
    <w:rsid w:val="00431D5F"/>
    <w:rsid w:val="00436033"/>
    <w:rsid w:val="00442D97"/>
    <w:rsid w:val="00443EC1"/>
    <w:rsid w:val="00443EEF"/>
    <w:rsid w:val="00446D15"/>
    <w:rsid w:val="00453CD4"/>
    <w:rsid w:val="00457F6D"/>
    <w:rsid w:val="0046032B"/>
    <w:rsid w:val="004604F5"/>
    <w:rsid w:val="00466845"/>
    <w:rsid w:val="00466CE3"/>
    <w:rsid w:val="00473315"/>
    <w:rsid w:val="00474F9B"/>
    <w:rsid w:val="00481ACF"/>
    <w:rsid w:val="00491A35"/>
    <w:rsid w:val="00491D90"/>
    <w:rsid w:val="00493473"/>
    <w:rsid w:val="0049389F"/>
    <w:rsid w:val="00496A48"/>
    <w:rsid w:val="00497432"/>
    <w:rsid w:val="004A35AD"/>
    <w:rsid w:val="004B0E26"/>
    <w:rsid w:val="004B2020"/>
    <w:rsid w:val="004B2825"/>
    <w:rsid w:val="004B695A"/>
    <w:rsid w:val="004B69B8"/>
    <w:rsid w:val="004C2A58"/>
    <w:rsid w:val="004C34CD"/>
    <w:rsid w:val="004C3573"/>
    <w:rsid w:val="004C37E8"/>
    <w:rsid w:val="004C4524"/>
    <w:rsid w:val="004C6BA6"/>
    <w:rsid w:val="004C76CB"/>
    <w:rsid w:val="004C7FCA"/>
    <w:rsid w:val="004D4CBA"/>
    <w:rsid w:val="004D6875"/>
    <w:rsid w:val="004D68F9"/>
    <w:rsid w:val="004E0D4C"/>
    <w:rsid w:val="004E42D3"/>
    <w:rsid w:val="004E61B9"/>
    <w:rsid w:val="004F2672"/>
    <w:rsid w:val="004F3586"/>
    <w:rsid w:val="004F4615"/>
    <w:rsid w:val="004F551D"/>
    <w:rsid w:val="004F5D6B"/>
    <w:rsid w:val="004F78BE"/>
    <w:rsid w:val="00500E2C"/>
    <w:rsid w:val="00503AC3"/>
    <w:rsid w:val="005052E4"/>
    <w:rsid w:val="005065C7"/>
    <w:rsid w:val="00507646"/>
    <w:rsid w:val="005108C6"/>
    <w:rsid w:val="00517A78"/>
    <w:rsid w:val="00521046"/>
    <w:rsid w:val="005214D1"/>
    <w:rsid w:val="0052371D"/>
    <w:rsid w:val="005409E3"/>
    <w:rsid w:val="005420E0"/>
    <w:rsid w:val="00542D82"/>
    <w:rsid w:val="00551E85"/>
    <w:rsid w:val="00555A56"/>
    <w:rsid w:val="00560F42"/>
    <w:rsid w:val="00561582"/>
    <w:rsid w:val="00562369"/>
    <w:rsid w:val="0056581D"/>
    <w:rsid w:val="00566924"/>
    <w:rsid w:val="00567698"/>
    <w:rsid w:val="005703C8"/>
    <w:rsid w:val="00572220"/>
    <w:rsid w:val="0057243A"/>
    <w:rsid w:val="0057765C"/>
    <w:rsid w:val="00580742"/>
    <w:rsid w:val="00580F56"/>
    <w:rsid w:val="00581F5B"/>
    <w:rsid w:val="00582C42"/>
    <w:rsid w:val="00590F1D"/>
    <w:rsid w:val="005926E0"/>
    <w:rsid w:val="00592B56"/>
    <w:rsid w:val="005941F6"/>
    <w:rsid w:val="00594D12"/>
    <w:rsid w:val="00595239"/>
    <w:rsid w:val="005A323D"/>
    <w:rsid w:val="005B1D7C"/>
    <w:rsid w:val="005B5868"/>
    <w:rsid w:val="005C2BD1"/>
    <w:rsid w:val="005C3028"/>
    <w:rsid w:val="005C478A"/>
    <w:rsid w:val="005C4C50"/>
    <w:rsid w:val="005C56F1"/>
    <w:rsid w:val="005D07F3"/>
    <w:rsid w:val="005D0D38"/>
    <w:rsid w:val="005D0EF7"/>
    <w:rsid w:val="005D1984"/>
    <w:rsid w:val="005E3099"/>
    <w:rsid w:val="005E6733"/>
    <w:rsid w:val="005F0290"/>
    <w:rsid w:val="005F4373"/>
    <w:rsid w:val="005F7B91"/>
    <w:rsid w:val="006020DB"/>
    <w:rsid w:val="00602C11"/>
    <w:rsid w:val="00604794"/>
    <w:rsid w:val="00606340"/>
    <w:rsid w:val="00607B12"/>
    <w:rsid w:val="00612154"/>
    <w:rsid w:val="00612622"/>
    <w:rsid w:val="00614E58"/>
    <w:rsid w:val="006211B9"/>
    <w:rsid w:val="006255FB"/>
    <w:rsid w:val="0062765B"/>
    <w:rsid w:val="00627EC8"/>
    <w:rsid w:val="00633799"/>
    <w:rsid w:val="0064715C"/>
    <w:rsid w:val="006522E7"/>
    <w:rsid w:val="006657CD"/>
    <w:rsid w:val="00665A65"/>
    <w:rsid w:val="00665F7F"/>
    <w:rsid w:val="0067308A"/>
    <w:rsid w:val="00674EEA"/>
    <w:rsid w:val="00676077"/>
    <w:rsid w:val="00676792"/>
    <w:rsid w:val="00677147"/>
    <w:rsid w:val="006806B1"/>
    <w:rsid w:val="006810E8"/>
    <w:rsid w:val="00681168"/>
    <w:rsid w:val="006846AC"/>
    <w:rsid w:val="006904D1"/>
    <w:rsid w:val="0069417C"/>
    <w:rsid w:val="00694CBC"/>
    <w:rsid w:val="00695C15"/>
    <w:rsid w:val="00696B3E"/>
    <w:rsid w:val="00697FED"/>
    <w:rsid w:val="006A1A6E"/>
    <w:rsid w:val="006A26A0"/>
    <w:rsid w:val="006B1A71"/>
    <w:rsid w:val="006B1E56"/>
    <w:rsid w:val="006B3516"/>
    <w:rsid w:val="006B36BF"/>
    <w:rsid w:val="006B4543"/>
    <w:rsid w:val="006B4F12"/>
    <w:rsid w:val="006B56D8"/>
    <w:rsid w:val="006B640E"/>
    <w:rsid w:val="006B7CB0"/>
    <w:rsid w:val="006C292F"/>
    <w:rsid w:val="006C2934"/>
    <w:rsid w:val="006C50F0"/>
    <w:rsid w:val="006D4EB1"/>
    <w:rsid w:val="006D5D8B"/>
    <w:rsid w:val="006E4401"/>
    <w:rsid w:val="006E68C8"/>
    <w:rsid w:val="006E698B"/>
    <w:rsid w:val="006F2DEB"/>
    <w:rsid w:val="006F41D7"/>
    <w:rsid w:val="006F5128"/>
    <w:rsid w:val="006F5B2A"/>
    <w:rsid w:val="006F73B7"/>
    <w:rsid w:val="006F7CE9"/>
    <w:rsid w:val="00700002"/>
    <w:rsid w:val="0070247F"/>
    <w:rsid w:val="00703DDF"/>
    <w:rsid w:val="00706D64"/>
    <w:rsid w:val="00712242"/>
    <w:rsid w:val="00721455"/>
    <w:rsid w:val="007355BC"/>
    <w:rsid w:val="007455FD"/>
    <w:rsid w:val="00745D52"/>
    <w:rsid w:val="00746FCA"/>
    <w:rsid w:val="00747009"/>
    <w:rsid w:val="00751874"/>
    <w:rsid w:val="0075193E"/>
    <w:rsid w:val="0075214B"/>
    <w:rsid w:val="007522AA"/>
    <w:rsid w:val="00752E65"/>
    <w:rsid w:val="0075679B"/>
    <w:rsid w:val="00762FF6"/>
    <w:rsid w:val="007641B0"/>
    <w:rsid w:val="0076500E"/>
    <w:rsid w:val="00765BAF"/>
    <w:rsid w:val="0077436C"/>
    <w:rsid w:val="00775647"/>
    <w:rsid w:val="00780523"/>
    <w:rsid w:val="00780E7C"/>
    <w:rsid w:val="007826D8"/>
    <w:rsid w:val="007A025C"/>
    <w:rsid w:val="007A4F6E"/>
    <w:rsid w:val="007A53B1"/>
    <w:rsid w:val="007A79F4"/>
    <w:rsid w:val="007B1E0E"/>
    <w:rsid w:val="007B42A0"/>
    <w:rsid w:val="007C4A25"/>
    <w:rsid w:val="007C6340"/>
    <w:rsid w:val="007D5511"/>
    <w:rsid w:val="007D5F89"/>
    <w:rsid w:val="007E20C5"/>
    <w:rsid w:val="007E2AEC"/>
    <w:rsid w:val="007E3BB0"/>
    <w:rsid w:val="007E6044"/>
    <w:rsid w:val="007E67F9"/>
    <w:rsid w:val="007F3629"/>
    <w:rsid w:val="007F75AC"/>
    <w:rsid w:val="008007BC"/>
    <w:rsid w:val="00801272"/>
    <w:rsid w:val="00801D0B"/>
    <w:rsid w:val="008052F1"/>
    <w:rsid w:val="008064A6"/>
    <w:rsid w:val="00815AF9"/>
    <w:rsid w:val="0082090B"/>
    <w:rsid w:val="008240DE"/>
    <w:rsid w:val="00824593"/>
    <w:rsid w:val="00826F47"/>
    <w:rsid w:val="008308F0"/>
    <w:rsid w:val="00830E06"/>
    <w:rsid w:val="00831DE1"/>
    <w:rsid w:val="00832B88"/>
    <w:rsid w:val="008340FA"/>
    <w:rsid w:val="008341F0"/>
    <w:rsid w:val="00837F2B"/>
    <w:rsid w:val="00841DF7"/>
    <w:rsid w:val="00842296"/>
    <w:rsid w:val="008470F1"/>
    <w:rsid w:val="008564C4"/>
    <w:rsid w:val="00873220"/>
    <w:rsid w:val="00875B03"/>
    <w:rsid w:val="00877B95"/>
    <w:rsid w:val="00877C0B"/>
    <w:rsid w:val="00885E07"/>
    <w:rsid w:val="008878D2"/>
    <w:rsid w:val="00895C16"/>
    <w:rsid w:val="008967BD"/>
    <w:rsid w:val="008A0B0C"/>
    <w:rsid w:val="008A0F2A"/>
    <w:rsid w:val="008A533C"/>
    <w:rsid w:val="008B0531"/>
    <w:rsid w:val="008B4648"/>
    <w:rsid w:val="008B5CEC"/>
    <w:rsid w:val="008B7264"/>
    <w:rsid w:val="008B7469"/>
    <w:rsid w:val="008C35AB"/>
    <w:rsid w:val="008C5FCF"/>
    <w:rsid w:val="008C648D"/>
    <w:rsid w:val="008D5294"/>
    <w:rsid w:val="008D6E46"/>
    <w:rsid w:val="008E3CAB"/>
    <w:rsid w:val="008E60CF"/>
    <w:rsid w:val="008E6553"/>
    <w:rsid w:val="008E663F"/>
    <w:rsid w:val="008E6961"/>
    <w:rsid w:val="008F4648"/>
    <w:rsid w:val="008F514A"/>
    <w:rsid w:val="00901980"/>
    <w:rsid w:val="0090611C"/>
    <w:rsid w:val="00906582"/>
    <w:rsid w:val="0091180A"/>
    <w:rsid w:val="00912D3B"/>
    <w:rsid w:val="0091341A"/>
    <w:rsid w:val="009202D6"/>
    <w:rsid w:val="009215AE"/>
    <w:rsid w:val="00921B7D"/>
    <w:rsid w:val="009235E9"/>
    <w:rsid w:val="00926CD8"/>
    <w:rsid w:val="009307FA"/>
    <w:rsid w:val="00930D74"/>
    <w:rsid w:val="009335C8"/>
    <w:rsid w:val="0093422E"/>
    <w:rsid w:val="00936818"/>
    <w:rsid w:val="00940764"/>
    <w:rsid w:val="00941C03"/>
    <w:rsid w:val="00943A1C"/>
    <w:rsid w:val="00950471"/>
    <w:rsid w:val="009511DD"/>
    <w:rsid w:val="00951AC1"/>
    <w:rsid w:val="0095294E"/>
    <w:rsid w:val="00953A10"/>
    <w:rsid w:val="00954B0D"/>
    <w:rsid w:val="009571C1"/>
    <w:rsid w:val="0096419A"/>
    <w:rsid w:val="0096558C"/>
    <w:rsid w:val="009724B0"/>
    <w:rsid w:val="00972C54"/>
    <w:rsid w:val="00980635"/>
    <w:rsid w:val="00981BE5"/>
    <w:rsid w:val="00990B5E"/>
    <w:rsid w:val="00992342"/>
    <w:rsid w:val="00993EAB"/>
    <w:rsid w:val="00994D19"/>
    <w:rsid w:val="00995B26"/>
    <w:rsid w:val="009A343C"/>
    <w:rsid w:val="009A4357"/>
    <w:rsid w:val="009B2BF4"/>
    <w:rsid w:val="009B36E2"/>
    <w:rsid w:val="009C0FFD"/>
    <w:rsid w:val="009C16BB"/>
    <w:rsid w:val="009C27DD"/>
    <w:rsid w:val="009C509A"/>
    <w:rsid w:val="009D047E"/>
    <w:rsid w:val="009D4938"/>
    <w:rsid w:val="009D7BF5"/>
    <w:rsid w:val="009E4E07"/>
    <w:rsid w:val="009E5FD0"/>
    <w:rsid w:val="009E60A4"/>
    <w:rsid w:val="009E6AC5"/>
    <w:rsid w:val="009F14D6"/>
    <w:rsid w:val="009F279E"/>
    <w:rsid w:val="00A02FEB"/>
    <w:rsid w:val="00A03042"/>
    <w:rsid w:val="00A06B4E"/>
    <w:rsid w:val="00A10665"/>
    <w:rsid w:val="00A135FF"/>
    <w:rsid w:val="00A1539F"/>
    <w:rsid w:val="00A20AB9"/>
    <w:rsid w:val="00A21FB6"/>
    <w:rsid w:val="00A227C2"/>
    <w:rsid w:val="00A22FD0"/>
    <w:rsid w:val="00A23C5C"/>
    <w:rsid w:val="00A262BD"/>
    <w:rsid w:val="00A26E3B"/>
    <w:rsid w:val="00A271D6"/>
    <w:rsid w:val="00A34312"/>
    <w:rsid w:val="00A37BF2"/>
    <w:rsid w:val="00A4319F"/>
    <w:rsid w:val="00A44601"/>
    <w:rsid w:val="00A51AC5"/>
    <w:rsid w:val="00A51B0F"/>
    <w:rsid w:val="00A55954"/>
    <w:rsid w:val="00A6050C"/>
    <w:rsid w:val="00A75762"/>
    <w:rsid w:val="00A760E0"/>
    <w:rsid w:val="00A772A8"/>
    <w:rsid w:val="00A778A2"/>
    <w:rsid w:val="00A83E2A"/>
    <w:rsid w:val="00A840E8"/>
    <w:rsid w:val="00A85F40"/>
    <w:rsid w:val="00A87FE8"/>
    <w:rsid w:val="00A900BA"/>
    <w:rsid w:val="00A91A3A"/>
    <w:rsid w:val="00A9542C"/>
    <w:rsid w:val="00A9590E"/>
    <w:rsid w:val="00A9794C"/>
    <w:rsid w:val="00AA044A"/>
    <w:rsid w:val="00AA23E1"/>
    <w:rsid w:val="00AA7CA7"/>
    <w:rsid w:val="00AA7FC7"/>
    <w:rsid w:val="00AB0A31"/>
    <w:rsid w:val="00AB1D59"/>
    <w:rsid w:val="00AB26C6"/>
    <w:rsid w:val="00AB2C51"/>
    <w:rsid w:val="00AB3901"/>
    <w:rsid w:val="00AC35E9"/>
    <w:rsid w:val="00AC6935"/>
    <w:rsid w:val="00AC6A20"/>
    <w:rsid w:val="00AC71AD"/>
    <w:rsid w:val="00AC78CB"/>
    <w:rsid w:val="00AD199B"/>
    <w:rsid w:val="00AD288F"/>
    <w:rsid w:val="00AD3704"/>
    <w:rsid w:val="00AD3968"/>
    <w:rsid w:val="00AD6FCC"/>
    <w:rsid w:val="00AE30D9"/>
    <w:rsid w:val="00AF0A93"/>
    <w:rsid w:val="00AF1D2F"/>
    <w:rsid w:val="00AF31AE"/>
    <w:rsid w:val="00AF52DA"/>
    <w:rsid w:val="00AF61A2"/>
    <w:rsid w:val="00AF6ED0"/>
    <w:rsid w:val="00B00B8D"/>
    <w:rsid w:val="00B00C48"/>
    <w:rsid w:val="00B024EA"/>
    <w:rsid w:val="00B046A5"/>
    <w:rsid w:val="00B06E1C"/>
    <w:rsid w:val="00B075C5"/>
    <w:rsid w:val="00B12479"/>
    <w:rsid w:val="00B13307"/>
    <w:rsid w:val="00B166F0"/>
    <w:rsid w:val="00B16E9C"/>
    <w:rsid w:val="00B210B9"/>
    <w:rsid w:val="00B24A84"/>
    <w:rsid w:val="00B30A0D"/>
    <w:rsid w:val="00B35BCE"/>
    <w:rsid w:val="00B43AEA"/>
    <w:rsid w:val="00B43E13"/>
    <w:rsid w:val="00B44438"/>
    <w:rsid w:val="00B524B4"/>
    <w:rsid w:val="00B54895"/>
    <w:rsid w:val="00B6296F"/>
    <w:rsid w:val="00B652FE"/>
    <w:rsid w:val="00B65EEC"/>
    <w:rsid w:val="00B66553"/>
    <w:rsid w:val="00B7278A"/>
    <w:rsid w:val="00B72FDA"/>
    <w:rsid w:val="00B731F0"/>
    <w:rsid w:val="00B74DBD"/>
    <w:rsid w:val="00B7551F"/>
    <w:rsid w:val="00B76A3A"/>
    <w:rsid w:val="00B7734C"/>
    <w:rsid w:val="00B87220"/>
    <w:rsid w:val="00B90D46"/>
    <w:rsid w:val="00B94095"/>
    <w:rsid w:val="00B947D5"/>
    <w:rsid w:val="00BA0194"/>
    <w:rsid w:val="00BA494C"/>
    <w:rsid w:val="00BA52B0"/>
    <w:rsid w:val="00BB1F9B"/>
    <w:rsid w:val="00BB62D4"/>
    <w:rsid w:val="00BC0E42"/>
    <w:rsid w:val="00BC1A8B"/>
    <w:rsid w:val="00BC454A"/>
    <w:rsid w:val="00BD45B9"/>
    <w:rsid w:val="00BD7218"/>
    <w:rsid w:val="00BE2842"/>
    <w:rsid w:val="00BF18CB"/>
    <w:rsid w:val="00BF32BF"/>
    <w:rsid w:val="00BF360C"/>
    <w:rsid w:val="00BF3D87"/>
    <w:rsid w:val="00BF5F0F"/>
    <w:rsid w:val="00BF7F43"/>
    <w:rsid w:val="00C050F3"/>
    <w:rsid w:val="00C10A79"/>
    <w:rsid w:val="00C1318A"/>
    <w:rsid w:val="00C1490D"/>
    <w:rsid w:val="00C14B81"/>
    <w:rsid w:val="00C23D76"/>
    <w:rsid w:val="00C2461A"/>
    <w:rsid w:val="00C25CD2"/>
    <w:rsid w:val="00C333B3"/>
    <w:rsid w:val="00C33550"/>
    <w:rsid w:val="00C33DD9"/>
    <w:rsid w:val="00C362F6"/>
    <w:rsid w:val="00C36B34"/>
    <w:rsid w:val="00C37185"/>
    <w:rsid w:val="00C4631D"/>
    <w:rsid w:val="00C532C2"/>
    <w:rsid w:val="00C538E2"/>
    <w:rsid w:val="00C53915"/>
    <w:rsid w:val="00C56076"/>
    <w:rsid w:val="00C56288"/>
    <w:rsid w:val="00C56F67"/>
    <w:rsid w:val="00C606C1"/>
    <w:rsid w:val="00C63B05"/>
    <w:rsid w:val="00C64909"/>
    <w:rsid w:val="00C70B3C"/>
    <w:rsid w:val="00C73230"/>
    <w:rsid w:val="00C7347F"/>
    <w:rsid w:val="00C737A1"/>
    <w:rsid w:val="00C737FB"/>
    <w:rsid w:val="00C7465C"/>
    <w:rsid w:val="00C84887"/>
    <w:rsid w:val="00C86E31"/>
    <w:rsid w:val="00C87BDA"/>
    <w:rsid w:val="00C920B4"/>
    <w:rsid w:val="00C93F48"/>
    <w:rsid w:val="00C960AE"/>
    <w:rsid w:val="00C96854"/>
    <w:rsid w:val="00CA31EC"/>
    <w:rsid w:val="00CA35E0"/>
    <w:rsid w:val="00CA53DF"/>
    <w:rsid w:val="00CA7E99"/>
    <w:rsid w:val="00CB1BC5"/>
    <w:rsid w:val="00CB25DF"/>
    <w:rsid w:val="00CB5179"/>
    <w:rsid w:val="00CB7BBA"/>
    <w:rsid w:val="00CC0149"/>
    <w:rsid w:val="00CD05E9"/>
    <w:rsid w:val="00CD37EF"/>
    <w:rsid w:val="00CD481A"/>
    <w:rsid w:val="00CE24E4"/>
    <w:rsid w:val="00CE3AFE"/>
    <w:rsid w:val="00CE71B7"/>
    <w:rsid w:val="00CF2A94"/>
    <w:rsid w:val="00CF3100"/>
    <w:rsid w:val="00CF4060"/>
    <w:rsid w:val="00D031F6"/>
    <w:rsid w:val="00D04A80"/>
    <w:rsid w:val="00D06820"/>
    <w:rsid w:val="00D13458"/>
    <w:rsid w:val="00D15331"/>
    <w:rsid w:val="00D1654D"/>
    <w:rsid w:val="00D22538"/>
    <w:rsid w:val="00D23A7D"/>
    <w:rsid w:val="00D23E72"/>
    <w:rsid w:val="00D2506E"/>
    <w:rsid w:val="00D26D70"/>
    <w:rsid w:val="00D27B79"/>
    <w:rsid w:val="00D30DCF"/>
    <w:rsid w:val="00D31C38"/>
    <w:rsid w:val="00D363D5"/>
    <w:rsid w:val="00D4184B"/>
    <w:rsid w:val="00D43358"/>
    <w:rsid w:val="00D446EB"/>
    <w:rsid w:val="00D46F8D"/>
    <w:rsid w:val="00D7462B"/>
    <w:rsid w:val="00D779D5"/>
    <w:rsid w:val="00D77CF6"/>
    <w:rsid w:val="00D82B92"/>
    <w:rsid w:val="00D83719"/>
    <w:rsid w:val="00D87419"/>
    <w:rsid w:val="00D87D07"/>
    <w:rsid w:val="00D87DD1"/>
    <w:rsid w:val="00D91DB4"/>
    <w:rsid w:val="00D93EC4"/>
    <w:rsid w:val="00DA1005"/>
    <w:rsid w:val="00DA12D0"/>
    <w:rsid w:val="00DA4A01"/>
    <w:rsid w:val="00DA4F42"/>
    <w:rsid w:val="00DB01C2"/>
    <w:rsid w:val="00DB0E8C"/>
    <w:rsid w:val="00DB111C"/>
    <w:rsid w:val="00DB2DD4"/>
    <w:rsid w:val="00DB2E90"/>
    <w:rsid w:val="00DB342D"/>
    <w:rsid w:val="00DB3A95"/>
    <w:rsid w:val="00DB4F0E"/>
    <w:rsid w:val="00DB59CB"/>
    <w:rsid w:val="00DB6C04"/>
    <w:rsid w:val="00DC0EA5"/>
    <w:rsid w:val="00DC2018"/>
    <w:rsid w:val="00DC24B0"/>
    <w:rsid w:val="00DC4998"/>
    <w:rsid w:val="00DC7363"/>
    <w:rsid w:val="00DD079D"/>
    <w:rsid w:val="00DD4053"/>
    <w:rsid w:val="00DD4CC3"/>
    <w:rsid w:val="00DD575B"/>
    <w:rsid w:val="00DD719B"/>
    <w:rsid w:val="00DE075F"/>
    <w:rsid w:val="00DE7086"/>
    <w:rsid w:val="00DE7249"/>
    <w:rsid w:val="00DE7778"/>
    <w:rsid w:val="00DF2005"/>
    <w:rsid w:val="00DF24EA"/>
    <w:rsid w:val="00DF35D7"/>
    <w:rsid w:val="00DF5CC8"/>
    <w:rsid w:val="00E07CFD"/>
    <w:rsid w:val="00E108B1"/>
    <w:rsid w:val="00E11AD2"/>
    <w:rsid w:val="00E12E4D"/>
    <w:rsid w:val="00E148DA"/>
    <w:rsid w:val="00E162CA"/>
    <w:rsid w:val="00E16BFD"/>
    <w:rsid w:val="00E17702"/>
    <w:rsid w:val="00E17DBB"/>
    <w:rsid w:val="00E21B7A"/>
    <w:rsid w:val="00E22D01"/>
    <w:rsid w:val="00E2597F"/>
    <w:rsid w:val="00E25A71"/>
    <w:rsid w:val="00E27FE0"/>
    <w:rsid w:val="00E31B10"/>
    <w:rsid w:val="00E35122"/>
    <w:rsid w:val="00E3579B"/>
    <w:rsid w:val="00E35894"/>
    <w:rsid w:val="00E42005"/>
    <w:rsid w:val="00E44704"/>
    <w:rsid w:val="00E44E0D"/>
    <w:rsid w:val="00E468E8"/>
    <w:rsid w:val="00E501D5"/>
    <w:rsid w:val="00E51C96"/>
    <w:rsid w:val="00E52769"/>
    <w:rsid w:val="00E52D71"/>
    <w:rsid w:val="00E5378A"/>
    <w:rsid w:val="00E55FE0"/>
    <w:rsid w:val="00E60EB0"/>
    <w:rsid w:val="00E62F90"/>
    <w:rsid w:val="00E64D6C"/>
    <w:rsid w:val="00E664D1"/>
    <w:rsid w:val="00E72DFF"/>
    <w:rsid w:val="00E7417F"/>
    <w:rsid w:val="00E76D91"/>
    <w:rsid w:val="00E77D18"/>
    <w:rsid w:val="00E805E8"/>
    <w:rsid w:val="00E81311"/>
    <w:rsid w:val="00E8252A"/>
    <w:rsid w:val="00E83A0B"/>
    <w:rsid w:val="00E84A10"/>
    <w:rsid w:val="00E84C03"/>
    <w:rsid w:val="00E85331"/>
    <w:rsid w:val="00E8757D"/>
    <w:rsid w:val="00E94BCB"/>
    <w:rsid w:val="00EA0243"/>
    <w:rsid w:val="00EA1859"/>
    <w:rsid w:val="00EA2EF0"/>
    <w:rsid w:val="00EA526C"/>
    <w:rsid w:val="00EA671C"/>
    <w:rsid w:val="00EB25D9"/>
    <w:rsid w:val="00EB3830"/>
    <w:rsid w:val="00EB6868"/>
    <w:rsid w:val="00EB75B9"/>
    <w:rsid w:val="00EC2056"/>
    <w:rsid w:val="00EC26D9"/>
    <w:rsid w:val="00EC4F18"/>
    <w:rsid w:val="00EC524C"/>
    <w:rsid w:val="00ED1AA0"/>
    <w:rsid w:val="00ED2123"/>
    <w:rsid w:val="00ED316F"/>
    <w:rsid w:val="00ED41F8"/>
    <w:rsid w:val="00EE0C22"/>
    <w:rsid w:val="00EE11EB"/>
    <w:rsid w:val="00EE5D78"/>
    <w:rsid w:val="00EE68BE"/>
    <w:rsid w:val="00EF252F"/>
    <w:rsid w:val="00EF2849"/>
    <w:rsid w:val="00EF7C0B"/>
    <w:rsid w:val="00F00686"/>
    <w:rsid w:val="00F00E8D"/>
    <w:rsid w:val="00F0583F"/>
    <w:rsid w:val="00F066E5"/>
    <w:rsid w:val="00F10288"/>
    <w:rsid w:val="00F11331"/>
    <w:rsid w:val="00F14AC8"/>
    <w:rsid w:val="00F17E83"/>
    <w:rsid w:val="00F203A0"/>
    <w:rsid w:val="00F20726"/>
    <w:rsid w:val="00F2350E"/>
    <w:rsid w:val="00F25D92"/>
    <w:rsid w:val="00F32AD1"/>
    <w:rsid w:val="00F33BBB"/>
    <w:rsid w:val="00F34040"/>
    <w:rsid w:val="00F37144"/>
    <w:rsid w:val="00F461D2"/>
    <w:rsid w:val="00F47482"/>
    <w:rsid w:val="00F47FAA"/>
    <w:rsid w:val="00F507C8"/>
    <w:rsid w:val="00F513F4"/>
    <w:rsid w:val="00F532D3"/>
    <w:rsid w:val="00F535CC"/>
    <w:rsid w:val="00F56B67"/>
    <w:rsid w:val="00F62562"/>
    <w:rsid w:val="00F66383"/>
    <w:rsid w:val="00F7045E"/>
    <w:rsid w:val="00F75151"/>
    <w:rsid w:val="00F762E5"/>
    <w:rsid w:val="00F777A2"/>
    <w:rsid w:val="00F805D4"/>
    <w:rsid w:val="00F81989"/>
    <w:rsid w:val="00F81BFF"/>
    <w:rsid w:val="00F910C3"/>
    <w:rsid w:val="00F923A8"/>
    <w:rsid w:val="00F92DFB"/>
    <w:rsid w:val="00FA06BE"/>
    <w:rsid w:val="00FA0B42"/>
    <w:rsid w:val="00FB3B45"/>
    <w:rsid w:val="00FB480B"/>
    <w:rsid w:val="00FB49CA"/>
    <w:rsid w:val="00FC3F39"/>
    <w:rsid w:val="00FC492B"/>
    <w:rsid w:val="00FC5AEC"/>
    <w:rsid w:val="00FC61C1"/>
    <w:rsid w:val="00FD0726"/>
    <w:rsid w:val="00FD292C"/>
    <w:rsid w:val="00FD2A81"/>
    <w:rsid w:val="00FD53F3"/>
    <w:rsid w:val="00FD73AE"/>
    <w:rsid w:val="00FE0189"/>
    <w:rsid w:val="00FE1957"/>
    <w:rsid w:val="00FE278A"/>
    <w:rsid w:val="00FE60A5"/>
    <w:rsid w:val="00FE6120"/>
    <w:rsid w:val="00FE6123"/>
    <w:rsid w:val="00FE6B76"/>
    <w:rsid w:val="00FE7AFE"/>
    <w:rsid w:val="00FF2217"/>
    <w:rsid w:val="00FF6B4B"/>
    <w:rsid w:val="00FF6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0558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Heading1">
    <w:name w:val="heading 1"/>
    <w:basedOn w:val="Normal"/>
    <w:next w:val="BodyText"/>
    <w:qFormat/>
    <w:rsid w:val="00981BE5"/>
    <w:pPr>
      <w:keepNext/>
      <w:spacing w:after="0"/>
      <w:jc w:val="lef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Heading1">
    <w:name w:val="heading 1"/>
    <w:basedOn w:val="Normal"/>
    <w:next w:val="BodyText"/>
    <w:qFormat/>
    <w:rsid w:val="00981BE5"/>
    <w:pPr>
      <w:keepNext/>
      <w:spacing w:after="0"/>
      <w:jc w:val="lef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4329">
      <w:bodyDiv w:val="1"/>
      <w:marLeft w:val="0"/>
      <w:marRight w:val="0"/>
      <w:marTop w:val="0"/>
      <w:marBottom w:val="0"/>
      <w:divBdr>
        <w:top w:val="none" w:sz="0" w:space="0" w:color="auto"/>
        <w:left w:val="none" w:sz="0" w:space="0" w:color="auto"/>
        <w:bottom w:val="none" w:sz="0" w:space="0" w:color="auto"/>
        <w:right w:val="none" w:sz="0" w:space="0" w:color="auto"/>
      </w:divBdr>
      <w:divsChild>
        <w:div w:id="758066523">
          <w:marLeft w:val="720"/>
          <w:marRight w:val="0"/>
          <w:marTop w:val="360"/>
          <w:marBottom w:val="0"/>
          <w:divBdr>
            <w:top w:val="none" w:sz="0" w:space="0" w:color="auto"/>
            <w:left w:val="none" w:sz="0" w:space="0" w:color="auto"/>
            <w:bottom w:val="none" w:sz="0" w:space="0" w:color="auto"/>
            <w:right w:val="none" w:sz="0" w:space="0" w:color="auto"/>
          </w:divBdr>
        </w:div>
      </w:divsChild>
    </w:div>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99763804">
      <w:bodyDiv w:val="1"/>
      <w:marLeft w:val="0"/>
      <w:marRight w:val="0"/>
      <w:marTop w:val="0"/>
      <w:marBottom w:val="0"/>
      <w:divBdr>
        <w:top w:val="none" w:sz="0" w:space="0" w:color="auto"/>
        <w:left w:val="none" w:sz="0" w:space="0" w:color="auto"/>
        <w:bottom w:val="none" w:sz="0" w:space="0" w:color="auto"/>
        <w:right w:val="none" w:sz="0" w:space="0" w:color="auto"/>
      </w:divBdr>
      <w:divsChild>
        <w:div w:id="98645309">
          <w:marLeft w:val="720"/>
          <w:marRight w:val="0"/>
          <w:marTop w:val="360"/>
          <w:marBottom w:val="0"/>
          <w:divBdr>
            <w:top w:val="none" w:sz="0" w:space="0" w:color="auto"/>
            <w:left w:val="none" w:sz="0" w:space="0" w:color="auto"/>
            <w:bottom w:val="none" w:sz="0" w:space="0" w:color="auto"/>
            <w:right w:val="none" w:sz="0" w:space="0" w:color="auto"/>
          </w:divBdr>
        </w:div>
      </w:divsChild>
    </w:div>
    <w:div w:id="138427979">
      <w:bodyDiv w:val="1"/>
      <w:marLeft w:val="0"/>
      <w:marRight w:val="0"/>
      <w:marTop w:val="0"/>
      <w:marBottom w:val="0"/>
      <w:divBdr>
        <w:top w:val="none" w:sz="0" w:space="0" w:color="auto"/>
        <w:left w:val="none" w:sz="0" w:space="0" w:color="auto"/>
        <w:bottom w:val="none" w:sz="0" w:space="0" w:color="auto"/>
        <w:right w:val="none" w:sz="0" w:space="0" w:color="auto"/>
      </w:divBdr>
      <w:divsChild>
        <w:div w:id="1674407974">
          <w:marLeft w:val="720"/>
          <w:marRight w:val="0"/>
          <w:marTop w:val="360"/>
          <w:marBottom w:val="0"/>
          <w:divBdr>
            <w:top w:val="none" w:sz="0" w:space="0" w:color="auto"/>
            <w:left w:val="none" w:sz="0" w:space="0" w:color="auto"/>
            <w:bottom w:val="none" w:sz="0" w:space="0" w:color="auto"/>
            <w:right w:val="none" w:sz="0" w:space="0" w:color="auto"/>
          </w:divBdr>
        </w:div>
      </w:divsChild>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61121904">
      <w:bodyDiv w:val="1"/>
      <w:marLeft w:val="0"/>
      <w:marRight w:val="0"/>
      <w:marTop w:val="0"/>
      <w:marBottom w:val="0"/>
      <w:divBdr>
        <w:top w:val="none" w:sz="0" w:space="0" w:color="auto"/>
        <w:left w:val="none" w:sz="0" w:space="0" w:color="auto"/>
        <w:bottom w:val="none" w:sz="0" w:space="0" w:color="auto"/>
        <w:right w:val="none" w:sz="0" w:space="0" w:color="auto"/>
      </w:divBdr>
      <w:divsChild>
        <w:div w:id="1622032296">
          <w:marLeft w:val="720"/>
          <w:marRight w:val="0"/>
          <w:marTop w:val="360"/>
          <w:marBottom w:val="0"/>
          <w:divBdr>
            <w:top w:val="none" w:sz="0" w:space="0" w:color="auto"/>
            <w:left w:val="none" w:sz="0" w:space="0" w:color="auto"/>
            <w:bottom w:val="none" w:sz="0" w:space="0" w:color="auto"/>
            <w:right w:val="none" w:sz="0" w:space="0" w:color="auto"/>
          </w:divBdr>
        </w:div>
      </w:divsChild>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769393174">
      <w:bodyDiv w:val="1"/>
      <w:marLeft w:val="0"/>
      <w:marRight w:val="0"/>
      <w:marTop w:val="0"/>
      <w:marBottom w:val="0"/>
      <w:divBdr>
        <w:top w:val="none" w:sz="0" w:space="0" w:color="auto"/>
        <w:left w:val="none" w:sz="0" w:space="0" w:color="auto"/>
        <w:bottom w:val="none" w:sz="0" w:space="0" w:color="auto"/>
        <w:right w:val="none" w:sz="0" w:space="0" w:color="auto"/>
      </w:divBdr>
      <w:divsChild>
        <w:div w:id="164520027">
          <w:marLeft w:val="720"/>
          <w:marRight w:val="0"/>
          <w:marTop w:val="360"/>
          <w:marBottom w:val="0"/>
          <w:divBdr>
            <w:top w:val="none" w:sz="0" w:space="0" w:color="auto"/>
            <w:left w:val="none" w:sz="0" w:space="0" w:color="auto"/>
            <w:bottom w:val="none" w:sz="0" w:space="0" w:color="auto"/>
            <w:right w:val="none" w:sz="0" w:space="0" w:color="auto"/>
          </w:divBdr>
        </w:div>
      </w:divsChild>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56200041">
      <w:bodyDiv w:val="1"/>
      <w:marLeft w:val="0"/>
      <w:marRight w:val="0"/>
      <w:marTop w:val="0"/>
      <w:marBottom w:val="0"/>
      <w:divBdr>
        <w:top w:val="none" w:sz="0" w:space="0" w:color="auto"/>
        <w:left w:val="none" w:sz="0" w:space="0" w:color="auto"/>
        <w:bottom w:val="none" w:sz="0" w:space="0" w:color="auto"/>
        <w:right w:val="none" w:sz="0" w:space="0" w:color="auto"/>
      </w:divBdr>
      <w:divsChild>
        <w:div w:id="1110663023">
          <w:marLeft w:val="720"/>
          <w:marRight w:val="0"/>
          <w:marTop w:val="360"/>
          <w:marBottom w:val="0"/>
          <w:divBdr>
            <w:top w:val="none" w:sz="0" w:space="0" w:color="auto"/>
            <w:left w:val="none" w:sz="0" w:space="0" w:color="auto"/>
            <w:bottom w:val="none" w:sz="0" w:space="0" w:color="auto"/>
            <w:right w:val="none" w:sz="0" w:space="0" w:color="auto"/>
          </w:divBdr>
        </w:div>
      </w:divsChild>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438938994">
      <w:bodyDiv w:val="1"/>
      <w:marLeft w:val="0"/>
      <w:marRight w:val="0"/>
      <w:marTop w:val="0"/>
      <w:marBottom w:val="0"/>
      <w:divBdr>
        <w:top w:val="none" w:sz="0" w:space="0" w:color="auto"/>
        <w:left w:val="none" w:sz="0" w:space="0" w:color="auto"/>
        <w:bottom w:val="none" w:sz="0" w:space="0" w:color="auto"/>
        <w:right w:val="none" w:sz="0" w:space="0" w:color="auto"/>
      </w:divBdr>
      <w:divsChild>
        <w:div w:id="1086729662">
          <w:marLeft w:val="720"/>
          <w:marRight w:val="0"/>
          <w:marTop w:val="360"/>
          <w:marBottom w:val="0"/>
          <w:divBdr>
            <w:top w:val="none" w:sz="0" w:space="0" w:color="auto"/>
            <w:left w:val="none" w:sz="0" w:space="0" w:color="auto"/>
            <w:bottom w:val="none" w:sz="0" w:space="0" w:color="auto"/>
            <w:right w:val="none" w:sz="0" w:space="0" w:color="auto"/>
          </w:divBdr>
        </w:div>
      </w:divsChild>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46245039">
      <w:bodyDiv w:val="1"/>
      <w:marLeft w:val="0"/>
      <w:marRight w:val="0"/>
      <w:marTop w:val="0"/>
      <w:marBottom w:val="0"/>
      <w:divBdr>
        <w:top w:val="none" w:sz="0" w:space="0" w:color="auto"/>
        <w:left w:val="none" w:sz="0" w:space="0" w:color="auto"/>
        <w:bottom w:val="none" w:sz="0" w:space="0" w:color="auto"/>
        <w:right w:val="none" w:sz="0" w:space="0" w:color="auto"/>
      </w:divBdr>
      <w:divsChild>
        <w:div w:id="1449661274">
          <w:marLeft w:val="720"/>
          <w:marRight w:val="0"/>
          <w:marTop w:val="360"/>
          <w:marBottom w:val="0"/>
          <w:divBdr>
            <w:top w:val="none" w:sz="0" w:space="0" w:color="auto"/>
            <w:left w:val="none" w:sz="0" w:space="0" w:color="auto"/>
            <w:bottom w:val="none" w:sz="0" w:space="0" w:color="auto"/>
            <w:right w:val="none" w:sz="0" w:space="0" w:color="auto"/>
          </w:divBdr>
        </w:div>
      </w:divsChild>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23686529">
      <w:bodyDiv w:val="1"/>
      <w:marLeft w:val="0"/>
      <w:marRight w:val="0"/>
      <w:marTop w:val="0"/>
      <w:marBottom w:val="0"/>
      <w:divBdr>
        <w:top w:val="none" w:sz="0" w:space="0" w:color="auto"/>
        <w:left w:val="none" w:sz="0" w:space="0" w:color="auto"/>
        <w:bottom w:val="none" w:sz="0" w:space="0" w:color="auto"/>
        <w:right w:val="none" w:sz="0" w:space="0" w:color="auto"/>
      </w:divBdr>
      <w:divsChild>
        <w:div w:id="1254509429">
          <w:marLeft w:val="720"/>
          <w:marRight w:val="0"/>
          <w:marTop w:val="360"/>
          <w:marBottom w:val="0"/>
          <w:divBdr>
            <w:top w:val="none" w:sz="0" w:space="0" w:color="auto"/>
            <w:left w:val="none" w:sz="0" w:space="0" w:color="auto"/>
            <w:bottom w:val="none" w:sz="0" w:space="0" w:color="auto"/>
            <w:right w:val="none" w:sz="0" w:space="0" w:color="auto"/>
          </w:divBdr>
        </w:div>
      </w:divsChild>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 w:id="2062249808">
      <w:bodyDiv w:val="1"/>
      <w:marLeft w:val="0"/>
      <w:marRight w:val="0"/>
      <w:marTop w:val="0"/>
      <w:marBottom w:val="0"/>
      <w:divBdr>
        <w:top w:val="none" w:sz="0" w:space="0" w:color="auto"/>
        <w:left w:val="none" w:sz="0" w:space="0" w:color="auto"/>
        <w:bottom w:val="none" w:sz="0" w:space="0" w:color="auto"/>
        <w:right w:val="none" w:sz="0" w:space="0" w:color="auto"/>
      </w:divBdr>
      <w:divsChild>
        <w:div w:id="1763448320">
          <w:marLeft w:val="72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77A07B434D17428E0B184CD8033A65" ma:contentTypeVersion="0" ma:contentTypeDescription="Create a new document." ma:contentTypeScope="" ma:versionID="d7a1b1109de5e9e359d3c3a7d5fd87c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2.xml><?xml version="1.0" encoding="utf-8"?>
<ds:datastoreItem xmlns:ds="http://schemas.openxmlformats.org/officeDocument/2006/customXml" ds:itemID="{CC879DA9-6667-4F06-98D3-3B04C72F54CC}">
  <ds:schemaRefs>
    <ds:schemaRef ds:uri="http://www.w3.org/XML/1998/namespace"/>
    <ds:schemaRef ds:uri="http://schemas.openxmlformats.org/package/2006/metadata/core-properties"/>
    <ds:schemaRef ds:uri="http://purl.org/dc/elements/1.1/"/>
    <ds:schemaRef ds:uri="http://purl.org/dc/terms/"/>
    <ds:schemaRef ds:uri="http://purl.org/dc/dcmitype/"/>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4A401ABD-FA8F-408E-8EEA-9692213BC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21F6135-1DDC-4B67-B185-78037E6C1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Thomas Browne</cp:lastModifiedBy>
  <cp:revision>4</cp:revision>
  <cp:lastPrinted>2012-05-24T21:00:00Z</cp:lastPrinted>
  <dcterms:created xsi:type="dcterms:W3CDTF">2014-12-12T19:09:00Z</dcterms:created>
  <dcterms:modified xsi:type="dcterms:W3CDTF">2015-01-16T18:05:00Z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0x0101001C77A07B434D17428E0B184CD8033A65</vt:lpwstr>
  </property>
</Properties>
</file>