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rsidR="00093B2C"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Cs w:val="24"/>
          <w:lang w:val="en-US"/>
        </w:rPr>
      </w:pPr>
      <w:r w:rsidRPr="00093B2C">
        <w:rPr>
          <w:rFonts w:asciiTheme="majorHAnsi" w:hAnsiTheme="majorHAnsi" w:cs="Times New Roman"/>
          <w:b/>
          <w:bCs/>
          <w:szCs w:val="24"/>
          <w:lang w:val="en-US"/>
        </w:rPr>
        <w:t xml:space="preserve">Date: </w:t>
      </w:r>
      <w:r w:rsidR="00443BFC">
        <w:rPr>
          <w:rFonts w:asciiTheme="majorHAnsi" w:hAnsiTheme="majorHAnsi" w:cs="Times New Roman"/>
          <w:b/>
          <w:bCs/>
          <w:szCs w:val="24"/>
          <w:lang w:val="en-US"/>
        </w:rPr>
        <w:t>Oct 24, 2014</w:t>
      </w:r>
    </w:p>
    <w:p w:rsidR="00093B2C"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Cs w:val="24"/>
          <w:lang w:val="en-US"/>
        </w:rPr>
      </w:pPr>
    </w:p>
    <w:p w:rsidR="00093B2C" w:rsidRDefault="002E23E9"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Cs w:val="24"/>
          <w:lang w:val="en-US"/>
        </w:rPr>
      </w:pPr>
      <w:r>
        <w:rPr>
          <w:rFonts w:asciiTheme="majorHAnsi" w:hAnsiTheme="majorHAnsi" w:cs="Times New Roman"/>
          <w:b/>
          <w:bCs/>
          <w:szCs w:val="24"/>
          <w:lang w:val="en-US"/>
        </w:rPr>
        <w:t>Location (City, Country)</w:t>
      </w:r>
      <w:r w:rsidR="00093B2C" w:rsidRPr="00093B2C">
        <w:rPr>
          <w:rFonts w:asciiTheme="majorHAnsi" w:hAnsiTheme="majorHAnsi" w:cs="Times New Roman"/>
          <w:b/>
          <w:bCs/>
          <w:szCs w:val="24"/>
          <w:lang w:val="en-US"/>
        </w:rPr>
        <w:t xml:space="preserve">: </w:t>
      </w:r>
      <w:r w:rsidR="00443BFC">
        <w:rPr>
          <w:rFonts w:asciiTheme="majorHAnsi" w:hAnsiTheme="majorHAnsi" w:cs="Times New Roman"/>
          <w:b/>
          <w:bCs/>
          <w:szCs w:val="24"/>
          <w:lang w:val="en-US"/>
        </w:rPr>
        <w:t>Castries, St. Lucia (incl. Grenada, Dominica)</w:t>
      </w:r>
    </w:p>
    <w:p w:rsidR="00B16E9C" w:rsidRDefault="00B16E9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Cs w:val="24"/>
          <w:lang w:val="en-US"/>
        </w:rPr>
      </w:pPr>
    </w:p>
    <w:p w:rsidR="00BB1F9B" w:rsidRDefault="00093B2C" w:rsidP="00842296">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Cs w:val="24"/>
          <w:lang w:val="en-US"/>
        </w:rPr>
      </w:pPr>
      <w:r w:rsidRPr="00093B2C">
        <w:rPr>
          <w:rFonts w:asciiTheme="majorHAnsi" w:hAnsiTheme="majorHAnsi" w:cs="Times New Roman"/>
          <w:b/>
          <w:bCs/>
          <w:szCs w:val="24"/>
          <w:lang w:val="en-US"/>
        </w:rPr>
        <w:t>Total Number of Participants</w:t>
      </w:r>
      <w:r w:rsidRPr="00093B2C">
        <w:rPr>
          <w:rFonts w:asciiTheme="majorHAnsi" w:hAnsiTheme="majorHAnsi" w:cs="Times New Roman"/>
          <w:b/>
          <w:szCs w:val="24"/>
          <w:lang w:val="en-US"/>
        </w:rPr>
        <w:t>:</w:t>
      </w:r>
      <w:r w:rsidR="000D1AEB">
        <w:rPr>
          <w:rFonts w:asciiTheme="majorHAnsi" w:hAnsiTheme="majorHAnsi" w:cs="Times New Roman"/>
          <w:b/>
          <w:szCs w:val="24"/>
          <w:lang w:val="en-US"/>
        </w:rPr>
        <w:t xml:space="preserve"> </w:t>
      </w:r>
      <w:r w:rsidR="00443BFC">
        <w:rPr>
          <w:rFonts w:asciiTheme="majorHAnsi" w:hAnsiTheme="majorHAnsi" w:cs="Times New Roman"/>
          <w:b/>
          <w:szCs w:val="24"/>
          <w:lang w:val="en-US"/>
        </w:rPr>
        <w:t>10 (private sector)</w:t>
      </w:r>
    </w:p>
    <w:p w:rsidR="00B16E9C" w:rsidRDefault="008E6961" w:rsidP="000D1AEB">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Cs w:val="24"/>
        </w:rPr>
      </w:pPr>
      <w:r w:rsidRPr="00DD4CC3">
        <w:rPr>
          <w:rFonts w:asciiTheme="majorHAnsi" w:hAnsiTheme="majorHAnsi" w:cs="Times New Roman"/>
          <w:b/>
          <w:szCs w:val="24"/>
        </w:rPr>
        <w:br/>
      </w:r>
      <w:r w:rsidR="00B16E9C">
        <w:rPr>
          <w:rFonts w:asciiTheme="majorHAnsi" w:hAnsiTheme="majorHAnsi" w:cs="Times New Roman"/>
          <w:b/>
          <w:szCs w:val="24"/>
        </w:rPr>
        <w:t>Overview and General Reactions</w:t>
      </w:r>
      <w:r w:rsidR="005C56F1">
        <w:rPr>
          <w:rFonts w:asciiTheme="majorHAnsi" w:hAnsiTheme="majorHAnsi" w:cs="Times New Roman"/>
          <w:b/>
          <w:szCs w:val="24"/>
        </w:rPr>
        <w:t>:</w:t>
      </w:r>
      <w:r w:rsidR="00B16E9C">
        <w:rPr>
          <w:rFonts w:asciiTheme="majorHAnsi" w:hAnsiTheme="majorHAnsi" w:cs="Times New Roman"/>
          <w:b/>
          <w:szCs w:val="24"/>
        </w:rPr>
        <w:t xml:space="preserve"> </w:t>
      </w:r>
    </w:p>
    <w:p w:rsidR="005B1D7C" w:rsidRDefault="00443BF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Cs w:val="24"/>
        </w:rPr>
      </w:pPr>
      <w:r>
        <w:rPr>
          <w:rFonts w:asciiTheme="majorHAnsi" w:hAnsiTheme="majorHAnsi" w:cs="Times New Roman"/>
          <w:szCs w:val="24"/>
        </w:rPr>
        <w:t xml:space="preserve">There was great appreciation for the proposed policy that, amongst other, gives consideration to small economies and recognizes sole traders to operate as companies (that otherwise would limit competition and unnecessarily call for ICB). Participants welcomed the WB’s initiative for reform and expressed their anticipation of receiving the full framework proposal. </w:t>
      </w:r>
    </w:p>
    <w:p w:rsidR="00443BFC" w:rsidRPr="00443BFC" w:rsidRDefault="00443BF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Cs w:val="24"/>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B16E9C" w:rsidTr="0075063D">
        <w:trPr>
          <w:trHeight w:val="432"/>
        </w:trPr>
        <w:tc>
          <w:tcPr>
            <w:tcW w:w="13320" w:type="dxa"/>
            <w:shd w:val="clear" w:color="auto" w:fill="DBE5F1" w:themeFill="accent1" w:themeFillTint="33"/>
          </w:tcPr>
          <w:p w:rsidR="00B16E9C" w:rsidRPr="00B16E9C" w:rsidRDefault="00B16E9C">
            <w:pPr>
              <w:pStyle w:val="BodyText2"/>
              <w:snapToGrid w:val="0"/>
              <w:spacing w:line="100" w:lineRule="atLeast"/>
              <w:ind w:right="0"/>
              <w:rPr>
                <w:rFonts w:asciiTheme="majorHAnsi" w:eastAsia="Batang" w:hAnsiTheme="majorHAnsi" w:cs="Times New Roman"/>
                <w:b/>
                <w:color w:val="17365D" w:themeColor="text2" w:themeShade="BF"/>
              </w:rPr>
            </w:pPr>
            <w:r w:rsidRPr="00B16E9C">
              <w:rPr>
                <w:rFonts w:asciiTheme="majorHAnsi" w:eastAsia="Batang" w:hAnsiTheme="majorHAnsi" w:cs="Times New Roman"/>
                <w:b/>
                <w:color w:val="17365D" w:themeColor="text2" w:themeShade="BF"/>
              </w:rPr>
              <w:t>Specific Feedback from Stakeholders</w:t>
            </w:r>
          </w:p>
          <w:p w:rsidR="00B16E9C" w:rsidRPr="00B16E9C" w:rsidRDefault="00B16E9C">
            <w:pPr>
              <w:pStyle w:val="BodyText2"/>
              <w:snapToGrid w:val="0"/>
              <w:spacing w:line="100" w:lineRule="atLeast"/>
              <w:ind w:right="0"/>
              <w:rPr>
                <w:rFonts w:asciiTheme="majorHAnsi" w:eastAsia="Batang" w:hAnsiTheme="majorHAnsi" w:cs="Times New Roman"/>
                <w:b/>
                <w:color w:val="17365D" w:themeColor="text2" w:themeShade="BF"/>
              </w:rPr>
            </w:pPr>
          </w:p>
        </w:tc>
      </w:tr>
      <w:tr w:rsidR="0013530E" w:rsidRPr="00312459" w:rsidTr="0075063D">
        <w:tblPrEx>
          <w:tblCellMar>
            <w:left w:w="0" w:type="dxa"/>
            <w:right w:w="0" w:type="dxa"/>
          </w:tblCellMar>
        </w:tblPrEx>
        <w:trPr>
          <w:trHeight w:val="432"/>
        </w:trPr>
        <w:tc>
          <w:tcPr>
            <w:tcW w:w="13320" w:type="dxa"/>
            <w:shd w:val="clear" w:color="auto" w:fill="DBE5F1" w:themeFill="accent1" w:themeFillTint="33"/>
          </w:tcPr>
          <w:p w:rsidR="0013530E" w:rsidRPr="00312459" w:rsidRDefault="008A533C" w:rsidP="00150B6C">
            <w:pPr>
              <w:pStyle w:val="ListParagraph"/>
              <w:numPr>
                <w:ilvl w:val="0"/>
                <w:numId w:val="30"/>
              </w:numPr>
              <w:snapToGrid w:val="0"/>
              <w:ind w:left="540" w:right="180"/>
              <w:rPr>
                <w:rFonts w:asciiTheme="majorHAnsi" w:eastAsia="Batang" w:hAnsiTheme="majorHAnsi"/>
                <w:b/>
                <w:color w:val="17365D" w:themeColor="text2" w:themeShade="BF"/>
              </w:rPr>
            </w:pPr>
            <w:r w:rsidRPr="00150B6C">
              <w:rPr>
                <w:rFonts w:asciiTheme="majorHAnsi" w:hAnsiTheme="majorHAnsi"/>
                <w:b/>
                <w:bCs/>
                <w:color w:val="17365D" w:themeColor="text2" w:themeShade="BF"/>
              </w:rPr>
              <w:t>How should the Bank implement support to borrower procurement capacity building and institutional strengthening?</w:t>
            </w:r>
          </w:p>
        </w:tc>
      </w:tr>
      <w:tr w:rsidR="002E23E9" w:rsidRPr="00FC3F39" w:rsidTr="0075063D">
        <w:trPr>
          <w:trHeight w:val="432"/>
        </w:trPr>
        <w:tc>
          <w:tcPr>
            <w:tcW w:w="13320" w:type="dxa"/>
            <w:shd w:val="clear" w:color="auto" w:fill="auto"/>
          </w:tcPr>
          <w:p w:rsidR="00583B0F" w:rsidRPr="0075063D" w:rsidRDefault="00583B0F" w:rsidP="0075063D">
            <w:pPr>
              <w:pStyle w:val="ListParagraph"/>
              <w:numPr>
                <w:ilvl w:val="0"/>
                <w:numId w:val="11"/>
              </w:numPr>
              <w:suppressAutoHyphens w:val="0"/>
              <w:spacing w:after="0" w:line="276" w:lineRule="auto"/>
              <w:ind w:left="415"/>
              <w:rPr>
                <w:rFonts w:asciiTheme="majorHAnsi" w:hAnsiTheme="majorHAnsi" w:cs="Times New Roman"/>
                <w:bCs/>
                <w:sz w:val="22"/>
                <w:szCs w:val="22"/>
              </w:rPr>
            </w:pPr>
            <w:r>
              <w:rPr>
                <w:rFonts w:asciiTheme="majorHAnsi" w:hAnsiTheme="majorHAnsi" w:cs="Times New Roman"/>
                <w:bCs/>
                <w:sz w:val="22"/>
                <w:szCs w:val="22"/>
              </w:rPr>
              <w:t>Private sector representatives expressed their support for capacity building of small companies so that local providers would increase chances of selection for subcontracts and further underlined the need to ensure requirements in biddings are not designed in a manner that limits local participation.</w:t>
            </w:r>
          </w:p>
        </w:tc>
      </w:tr>
      <w:tr w:rsidR="00A840E8" w:rsidRPr="00312459" w:rsidTr="0075063D">
        <w:tblPrEx>
          <w:tblCellMar>
            <w:left w:w="0" w:type="dxa"/>
            <w:right w:w="0" w:type="dxa"/>
          </w:tblCellMar>
        </w:tblPrEx>
        <w:trPr>
          <w:trHeight w:val="432"/>
        </w:trPr>
        <w:tc>
          <w:tcPr>
            <w:tcW w:w="13320" w:type="dxa"/>
            <w:shd w:val="clear" w:color="auto" w:fill="DBE5F1" w:themeFill="accent1" w:themeFillTint="33"/>
          </w:tcPr>
          <w:p w:rsidR="00A840E8" w:rsidRPr="00312459" w:rsidRDefault="008A533C" w:rsidP="00150B6C">
            <w:pPr>
              <w:numPr>
                <w:ilvl w:val="0"/>
                <w:numId w:val="30"/>
              </w:numPr>
              <w:snapToGrid w:val="0"/>
              <w:ind w:left="540" w:right="180"/>
              <w:rPr>
                <w:rFonts w:asciiTheme="majorHAnsi" w:eastAsia="Batang" w:hAnsiTheme="majorHAnsi"/>
                <w:b/>
                <w:color w:val="17365D" w:themeColor="text2" w:themeShade="BF"/>
              </w:rPr>
            </w:pPr>
            <w:r w:rsidRPr="00150B6C">
              <w:rPr>
                <w:rFonts w:asciiTheme="majorHAnsi" w:eastAsia="Batang" w:hAnsiTheme="majorHAnsi"/>
                <w:b/>
                <w:bCs/>
                <w:color w:val="17365D" w:themeColor="text2" w:themeShade="BF"/>
              </w:rPr>
              <w:t>How should the Bank operationalize the potential broader use of value-for-money criteria in borrower contract award decisions?</w:t>
            </w:r>
          </w:p>
        </w:tc>
      </w:tr>
      <w:tr w:rsidR="002E23E9" w:rsidRPr="00D87D07" w:rsidTr="0075063D">
        <w:trPr>
          <w:trHeight w:val="432"/>
        </w:trPr>
        <w:tc>
          <w:tcPr>
            <w:tcW w:w="13320" w:type="dxa"/>
            <w:shd w:val="clear" w:color="auto" w:fill="auto"/>
          </w:tcPr>
          <w:p w:rsidR="002E23E9" w:rsidRPr="0075063D" w:rsidRDefault="00583B0F" w:rsidP="008E3CAB">
            <w:pPr>
              <w:pStyle w:val="ListParagraph"/>
              <w:numPr>
                <w:ilvl w:val="0"/>
                <w:numId w:val="11"/>
              </w:numPr>
              <w:ind w:left="415"/>
              <w:jc w:val="left"/>
              <w:rPr>
                <w:rFonts w:asciiTheme="majorHAnsi" w:hAnsiTheme="majorHAnsi" w:cs="Times New Roman"/>
                <w:sz w:val="22"/>
                <w:szCs w:val="22"/>
              </w:rPr>
            </w:pPr>
            <w:r w:rsidRPr="0075063D">
              <w:rPr>
                <w:rFonts w:asciiTheme="majorHAnsi" w:hAnsiTheme="majorHAnsi" w:cs="Times New Roman"/>
                <w:sz w:val="22"/>
                <w:szCs w:val="22"/>
              </w:rPr>
              <w:t xml:space="preserve">Private sector appreciates the degree of flexibility (where appropriate )permitted under the policy, e.g. to negotiate over cost of </w:t>
            </w:r>
            <w:r w:rsidRPr="0075063D">
              <w:rPr>
                <w:rFonts w:asciiTheme="majorHAnsi" w:hAnsiTheme="majorHAnsi" w:cs="Times New Roman"/>
                <w:sz w:val="22"/>
                <w:szCs w:val="22"/>
              </w:rPr>
              <w:lastRenderedPageBreak/>
              <w:t>consultancies, particularly to incorporate VfM.</w:t>
            </w:r>
          </w:p>
        </w:tc>
      </w:tr>
      <w:tr w:rsidR="00941C03" w:rsidRPr="00312459" w:rsidTr="0075063D">
        <w:tblPrEx>
          <w:tblCellMar>
            <w:left w:w="0" w:type="dxa"/>
            <w:right w:w="0" w:type="dxa"/>
          </w:tblCellMar>
        </w:tblPrEx>
        <w:trPr>
          <w:trHeight w:val="432"/>
        </w:trPr>
        <w:tc>
          <w:tcPr>
            <w:tcW w:w="13320" w:type="dxa"/>
            <w:shd w:val="clear" w:color="auto" w:fill="DBE5F1" w:themeFill="accent1" w:themeFillTint="33"/>
          </w:tcPr>
          <w:p w:rsidR="00941C03" w:rsidRPr="0075063D" w:rsidRDefault="008A533C" w:rsidP="0075063D">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lastRenderedPageBreak/>
              <w:t>How should the World Bank target its procurement staff resources to get the best results?</w:t>
            </w:r>
          </w:p>
        </w:tc>
      </w:tr>
      <w:tr w:rsidR="002E23E9" w:rsidRPr="00D87D07" w:rsidTr="0075063D">
        <w:trPr>
          <w:trHeight w:val="432"/>
        </w:trPr>
        <w:tc>
          <w:tcPr>
            <w:tcW w:w="13320" w:type="dxa"/>
            <w:shd w:val="clear" w:color="auto" w:fill="auto"/>
          </w:tcPr>
          <w:p w:rsidR="002E23E9" w:rsidRPr="0075063D" w:rsidRDefault="002E23E9" w:rsidP="0075063D">
            <w:pPr>
              <w:widowControl w:val="0"/>
              <w:autoSpaceDE w:val="0"/>
              <w:autoSpaceDN w:val="0"/>
              <w:adjustRightInd w:val="0"/>
              <w:spacing w:after="40"/>
              <w:ind w:right="40"/>
              <w:jc w:val="left"/>
              <w:rPr>
                <w:rFonts w:asciiTheme="majorHAnsi" w:hAnsiTheme="majorHAnsi"/>
                <w:color w:val="262626"/>
                <w:sz w:val="22"/>
                <w:szCs w:val="22"/>
              </w:rPr>
            </w:pPr>
          </w:p>
        </w:tc>
      </w:tr>
      <w:tr w:rsidR="00173E2F" w:rsidRPr="00312459" w:rsidTr="0075063D">
        <w:tblPrEx>
          <w:tblCellMar>
            <w:left w:w="0" w:type="dxa"/>
            <w:right w:w="0" w:type="dxa"/>
          </w:tblCellMar>
        </w:tblPrEx>
        <w:trPr>
          <w:trHeight w:val="432"/>
        </w:trPr>
        <w:tc>
          <w:tcPr>
            <w:tcW w:w="13320" w:type="dxa"/>
            <w:shd w:val="clear" w:color="auto" w:fill="DBE5F1" w:themeFill="accent1" w:themeFillTint="33"/>
          </w:tcPr>
          <w:p w:rsidR="00173E2F" w:rsidRPr="00312459" w:rsidRDefault="008A533C" w:rsidP="00150B6C">
            <w:pPr>
              <w:numPr>
                <w:ilvl w:val="0"/>
                <w:numId w:val="30"/>
              </w:numPr>
              <w:snapToGrid w:val="0"/>
              <w:ind w:left="540" w:right="180"/>
              <w:rPr>
                <w:rFonts w:asciiTheme="majorHAnsi" w:eastAsia="Batang" w:hAnsiTheme="majorHAnsi"/>
                <w:color w:val="17365D" w:themeColor="text2" w:themeShade="BF"/>
              </w:rPr>
            </w:pPr>
            <w:r w:rsidRPr="00150B6C">
              <w:rPr>
                <w:rFonts w:asciiTheme="majorHAnsi" w:eastAsia="Batang" w:hAnsiTheme="majorHAnsi"/>
                <w:b/>
                <w:bCs/>
                <w:color w:val="17365D" w:themeColor="text2" w:themeShade="BF"/>
              </w:rPr>
              <w:t>How and when should alternative procurement arrangements be used for procurement in Bank projects and how should they be assessed?</w:t>
            </w:r>
          </w:p>
        </w:tc>
      </w:tr>
      <w:tr w:rsidR="002E23E9" w:rsidRPr="00D87D07" w:rsidTr="0075063D">
        <w:trPr>
          <w:trHeight w:val="432"/>
        </w:trPr>
        <w:tc>
          <w:tcPr>
            <w:tcW w:w="13320" w:type="dxa"/>
            <w:shd w:val="clear" w:color="auto" w:fill="auto"/>
          </w:tcPr>
          <w:p w:rsidR="002E23E9" w:rsidRPr="0075063D" w:rsidRDefault="002E23E9" w:rsidP="0075063D">
            <w:pPr>
              <w:jc w:val="left"/>
              <w:rPr>
                <w:rFonts w:asciiTheme="majorHAnsi" w:eastAsia="Batang" w:hAnsiTheme="majorHAnsi"/>
                <w:sz w:val="22"/>
                <w:szCs w:val="22"/>
              </w:rPr>
            </w:pPr>
          </w:p>
        </w:tc>
      </w:tr>
      <w:tr w:rsidR="002717AA" w:rsidRPr="00312459" w:rsidTr="0075063D">
        <w:tblPrEx>
          <w:tblCellMar>
            <w:left w:w="0" w:type="dxa"/>
            <w:right w:w="0" w:type="dxa"/>
          </w:tblCellMar>
        </w:tblPrEx>
        <w:trPr>
          <w:trHeight w:val="432"/>
        </w:trPr>
        <w:tc>
          <w:tcPr>
            <w:tcW w:w="13320" w:type="dxa"/>
            <w:shd w:val="clear" w:color="auto" w:fill="DBE5F1" w:themeFill="accent1" w:themeFillTint="33"/>
          </w:tcPr>
          <w:p w:rsidR="002717AA" w:rsidRPr="0075063D" w:rsidRDefault="008A533C" w:rsidP="0075063D">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t>How should sustainable procurement matters be addressed in Bank-financed contracts?</w:t>
            </w:r>
          </w:p>
        </w:tc>
      </w:tr>
      <w:tr w:rsidR="002E23E9" w:rsidRPr="00D87D07" w:rsidTr="0075063D">
        <w:trPr>
          <w:trHeight w:val="432"/>
        </w:trPr>
        <w:tc>
          <w:tcPr>
            <w:tcW w:w="13320" w:type="dxa"/>
            <w:shd w:val="clear" w:color="auto" w:fill="auto"/>
          </w:tcPr>
          <w:p w:rsidR="002E23E9" w:rsidRPr="0075063D" w:rsidRDefault="002E23E9" w:rsidP="0075063D">
            <w:pPr>
              <w:jc w:val="left"/>
              <w:rPr>
                <w:rFonts w:asciiTheme="majorHAnsi" w:hAnsiTheme="majorHAnsi"/>
                <w:color w:val="262626"/>
                <w:sz w:val="22"/>
                <w:szCs w:val="22"/>
              </w:rPr>
            </w:pPr>
          </w:p>
        </w:tc>
      </w:tr>
      <w:tr w:rsidR="002A7906" w:rsidRPr="00312459" w:rsidTr="0075063D">
        <w:tblPrEx>
          <w:tblCellMar>
            <w:left w:w="0" w:type="dxa"/>
            <w:right w:w="0" w:type="dxa"/>
          </w:tblCellMar>
        </w:tblPrEx>
        <w:trPr>
          <w:trHeight w:val="432"/>
        </w:trPr>
        <w:tc>
          <w:tcPr>
            <w:tcW w:w="13320" w:type="dxa"/>
            <w:shd w:val="clear" w:color="auto" w:fill="DBE5F1" w:themeFill="accent1" w:themeFillTint="33"/>
          </w:tcPr>
          <w:p w:rsidR="002A7906" w:rsidRPr="0075063D" w:rsidRDefault="008A533C" w:rsidP="0075063D">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t>How should the World Bank manage fraud and corruption issues in the procurements it finances?</w:t>
            </w:r>
          </w:p>
        </w:tc>
      </w:tr>
      <w:tr w:rsidR="002E23E9" w:rsidRPr="00D87D07" w:rsidTr="0075063D">
        <w:trPr>
          <w:trHeight w:val="432"/>
        </w:trPr>
        <w:tc>
          <w:tcPr>
            <w:tcW w:w="13320" w:type="dxa"/>
            <w:shd w:val="clear" w:color="auto" w:fill="auto"/>
          </w:tcPr>
          <w:p w:rsidR="002E23E9" w:rsidRPr="0075063D" w:rsidRDefault="002E23E9" w:rsidP="0075063D">
            <w:pPr>
              <w:rPr>
                <w:rFonts w:asciiTheme="majorHAnsi" w:hAnsiTheme="majorHAnsi"/>
                <w:color w:val="333333"/>
                <w:sz w:val="22"/>
                <w:szCs w:val="22"/>
              </w:rPr>
            </w:pPr>
          </w:p>
        </w:tc>
      </w:tr>
      <w:tr w:rsidR="00594D12" w:rsidRPr="00312459" w:rsidTr="0075063D">
        <w:tblPrEx>
          <w:tblCellMar>
            <w:left w:w="0" w:type="dxa"/>
            <w:right w:w="0" w:type="dxa"/>
          </w:tblCellMar>
        </w:tblPrEx>
        <w:trPr>
          <w:trHeight w:val="432"/>
        </w:trPr>
        <w:tc>
          <w:tcPr>
            <w:tcW w:w="13320" w:type="dxa"/>
            <w:shd w:val="clear" w:color="auto" w:fill="DBE5F1" w:themeFill="accent1" w:themeFillTint="33"/>
          </w:tcPr>
          <w:p w:rsidR="00594D12" w:rsidRPr="0075063D" w:rsidRDefault="008A533C" w:rsidP="0075063D">
            <w:pPr>
              <w:numPr>
                <w:ilvl w:val="0"/>
                <w:numId w:val="30"/>
              </w:numPr>
              <w:snapToGrid w:val="0"/>
              <w:ind w:left="540" w:right="180"/>
              <w:rPr>
                <w:rFonts w:asciiTheme="majorHAnsi" w:eastAsia="Batang" w:hAnsiTheme="majorHAnsi"/>
                <w:b/>
                <w:bCs/>
                <w:color w:val="17365D" w:themeColor="text2" w:themeShade="BF"/>
              </w:rPr>
            </w:pPr>
            <w:r w:rsidRPr="00150B6C">
              <w:rPr>
                <w:rFonts w:asciiTheme="majorHAnsi" w:eastAsia="Batang" w:hAnsiTheme="majorHAnsi"/>
                <w:b/>
                <w:bCs/>
                <w:color w:val="17365D" w:themeColor="text2" w:themeShade="BF"/>
              </w:rPr>
              <w:t>What would be suitable procurement metrics that the Bank should use to improve performance?</w:t>
            </w:r>
          </w:p>
        </w:tc>
      </w:tr>
      <w:tr w:rsidR="002E23E9" w:rsidRPr="00D87D07" w:rsidTr="0075063D">
        <w:trPr>
          <w:trHeight w:val="432"/>
        </w:trPr>
        <w:tc>
          <w:tcPr>
            <w:tcW w:w="13320" w:type="dxa"/>
            <w:shd w:val="clear" w:color="auto" w:fill="auto"/>
          </w:tcPr>
          <w:p w:rsidR="002E23E9" w:rsidRPr="0075063D" w:rsidRDefault="002E23E9" w:rsidP="0075063D">
            <w:pPr>
              <w:rPr>
                <w:rFonts w:asciiTheme="majorHAnsi" w:hAnsiTheme="majorHAnsi"/>
                <w:color w:val="333333"/>
                <w:sz w:val="22"/>
                <w:szCs w:val="22"/>
              </w:rPr>
            </w:pPr>
          </w:p>
        </w:tc>
      </w:tr>
      <w:tr w:rsidR="00A21FB6" w:rsidRPr="00312459" w:rsidTr="0075063D">
        <w:tblPrEx>
          <w:tblCellMar>
            <w:left w:w="0" w:type="dxa"/>
            <w:right w:w="0" w:type="dxa"/>
          </w:tblCellMar>
        </w:tblPrEx>
        <w:trPr>
          <w:trHeight w:val="432"/>
        </w:trPr>
        <w:tc>
          <w:tcPr>
            <w:tcW w:w="13320" w:type="dxa"/>
            <w:shd w:val="clear" w:color="auto" w:fill="DBE5F1" w:themeFill="accent1" w:themeFillTint="33"/>
          </w:tcPr>
          <w:p w:rsidR="00A21FB6" w:rsidRPr="0075063D" w:rsidRDefault="008A533C" w:rsidP="001453DE">
            <w:pPr>
              <w:numPr>
                <w:ilvl w:val="0"/>
                <w:numId w:val="30"/>
              </w:numPr>
              <w:snapToGrid w:val="0"/>
              <w:ind w:left="540"/>
              <w:rPr>
                <w:rFonts w:asciiTheme="majorHAnsi" w:eastAsia="Batang" w:hAnsiTheme="majorHAnsi"/>
                <w:b/>
                <w:color w:val="17365D" w:themeColor="text2" w:themeShade="BF"/>
              </w:rPr>
            </w:pPr>
            <w:r w:rsidRPr="00150B6C">
              <w:rPr>
                <w:rFonts w:asciiTheme="majorHAnsi" w:eastAsia="Batang" w:hAnsiTheme="majorHAnsi"/>
                <w:b/>
                <w:color w:val="17365D" w:themeColor="text2" w:themeShade="BF"/>
              </w:rPr>
              <w:t>What role should the Bank have with regard to complaints monitoring?</w:t>
            </w:r>
          </w:p>
        </w:tc>
      </w:tr>
      <w:tr w:rsidR="002E23E9" w:rsidRPr="00D87D07" w:rsidTr="0075063D">
        <w:trPr>
          <w:trHeight w:val="432"/>
        </w:trPr>
        <w:tc>
          <w:tcPr>
            <w:tcW w:w="13320" w:type="dxa"/>
            <w:shd w:val="clear" w:color="auto" w:fill="auto"/>
          </w:tcPr>
          <w:p w:rsidR="002E23E9" w:rsidRPr="0075063D" w:rsidRDefault="002E23E9" w:rsidP="0075063D">
            <w:pPr>
              <w:rPr>
                <w:rFonts w:asciiTheme="majorHAnsi" w:hAnsiTheme="majorHAnsi"/>
                <w:sz w:val="22"/>
                <w:szCs w:val="22"/>
              </w:rPr>
            </w:pPr>
          </w:p>
        </w:tc>
      </w:tr>
      <w:tr w:rsidR="002E23E9" w:rsidRPr="002E23E9" w:rsidTr="0075063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2E23E9" w:rsidRDefault="008A533C" w:rsidP="00150B6C">
            <w:pPr>
              <w:numPr>
                <w:ilvl w:val="0"/>
                <w:numId w:val="30"/>
              </w:numPr>
              <w:snapToGrid w:val="0"/>
              <w:ind w:left="432"/>
              <w:rPr>
                <w:rFonts w:asciiTheme="majorHAnsi" w:eastAsia="Batang" w:hAnsiTheme="majorHAnsi"/>
                <w:b/>
                <w:color w:val="17365D" w:themeColor="text2" w:themeShade="BF"/>
              </w:rPr>
            </w:pPr>
            <w:r w:rsidRPr="00150B6C">
              <w:rPr>
                <w:rFonts w:asciiTheme="majorHAnsi" w:eastAsia="Batang" w:hAnsiTheme="majorHAnsi"/>
                <w:b/>
                <w:color w:val="17365D" w:themeColor="text2" w:themeShade="BF"/>
              </w:rPr>
              <w:t>What should be the Bank’s role in contract management, and with regard to improving performance of suppliers?</w:t>
            </w:r>
          </w:p>
        </w:tc>
      </w:tr>
      <w:tr w:rsidR="002E23E9" w:rsidRPr="00D87D07" w:rsidTr="0075063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75063D" w:rsidRDefault="00583B0F" w:rsidP="00583B0F">
            <w:pPr>
              <w:pStyle w:val="ListParagraph"/>
              <w:numPr>
                <w:ilvl w:val="0"/>
                <w:numId w:val="1"/>
              </w:numPr>
              <w:ind w:left="309" w:hanging="253"/>
              <w:rPr>
                <w:rFonts w:asciiTheme="majorHAnsi" w:hAnsiTheme="majorHAnsi" w:cs="Times New Roman"/>
                <w:sz w:val="22"/>
                <w:szCs w:val="22"/>
              </w:rPr>
            </w:pPr>
            <w:r w:rsidRPr="0075063D">
              <w:rPr>
                <w:rFonts w:asciiTheme="majorHAnsi" w:hAnsiTheme="majorHAnsi" w:cs="Times New Roman"/>
                <w:sz w:val="22"/>
                <w:szCs w:val="22"/>
              </w:rPr>
              <w:t>Suppliers’ right to be debrief</w:t>
            </w:r>
            <w:bookmarkStart w:id="0" w:name="_GoBack"/>
            <w:bookmarkEnd w:id="0"/>
            <w:r w:rsidRPr="0075063D">
              <w:rPr>
                <w:rFonts w:asciiTheme="majorHAnsi" w:hAnsiTheme="majorHAnsi" w:cs="Times New Roman"/>
                <w:sz w:val="22"/>
                <w:szCs w:val="22"/>
              </w:rPr>
              <w:t>ed (after not being short listed) is one method by which they may come to identify and consider their areas for improvement.</w:t>
            </w:r>
          </w:p>
          <w:p w:rsidR="00583B0F" w:rsidRPr="0075063D" w:rsidRDefault="00583B0F" w:rsidP="00583B0F">
            <w:pPr>
              <w:pStyle w:val="ListParagraph"/>
              <w:numPr>
                <w:ilvl w:val="0"/>
                <w:numId w:val="1"/>
              </w:numPr>
              <w:ind w:left="309" w:hanging="253"/>
              <w:rPr>
                <w:rFonts w:asciiTheme="majorHAnsi" w:hAnsiTheme="majorHAnsi" w:cs="Times New Roman"/>
                <w:sz w:val="22"/>
                <w:szCs w:val="22"/>
              </w:rPr>
            </w:pPr>
            <w:r w:rsidRPr="0075063D">
              <w:rPr>
                <w:rFonts w:asciiTheme="majorHAnsi" w:hAnsiTheme="majorHAnsi" w:cs="Times New Roman"/>
                <w:sz w:val="22"/>
                <w:szCs w:val="22"/>
              </w:rPr>
              <w:t>All the while, both clients and suppliers are strongly encouraged to document steps throughout the procurement phases, so that in the case of a complaint, the Bank has evidence to go by and make adequate recommendations.</w:t>
            </w:r>
          </w:p>
          <w:p w:rsidR="00583B0F" w:rsidRPr="0075063D" w:rsidRDefault="00583B0F" w:rsidP="0075063D">
            <w:pPr>
              <w:pStyle w:val="ListParagraph"/>
              <w:numPr>
                <w:ilvl w:val="0"/>
                <w:numId w:val="1"/>
              </w:numPr>
              <w:ind w:left="309" w:hanging="253"/>
              <w:rPr>
                <w:rFonts w:asciiTheme="majorHAnsi" w:hAnsiTheme="majorHAnsi" w:cs="Times New Roman"/>
                <w:sz w:val="22"/>
                <w:szCs w:val="22"/>
              </w:rPr>
            </w:pPr>
            <w:r w:rsidRPr="0075063D">
              <w:rPr>
                <w:rFonts w:asciiTheme="majorHAnsi" w:hAnsiTheme="majorHAnsi" w:cs="Times New Roman"/>
                <w:sz w:val="22"/>
                <w:szCs w:val="22"/>
              </w:rPr>
              <w:t>Participants agreed with the Bank’s proposition to focus on health and safety as a criterion of evaluation in order to improve suppliers’ performance.</w:t>
            </w:r>
          </w:p>
        </w:tc>
      </w:tr>
      <w:tr w:rsidR="002E23E9" w:rsidRPr="00312459" w:rsidTr="0075063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2E23E9" w:rsidRDefault="008A533C" w:rsidP="00150B6C">
            <w:pPr>
              <w:numPr>
                <w:ilvl w:val="0"/>
                <w:numId w:val="30"/>
              </w:numPr>
              <w:snapToGrid w:val="0"/>
              <w:ind w:left="432"/>
              <w:rPr>
                <w:rFonts w:asciiTheme="majorHAnsi" w:hAnsiTheme="majorHAnsi"/>
                <w:sz w:val="22"/>
                <w:szCs w:val="22"/>
              </w:rPr>
            </w:pPr>
            <w:r w:rsidRPr="00150B6C">
              <w:rPr>
                <w:rFonts w:asciiTheme="majorHAnsi" w:eastAsia="Batang" w:hAnsiTheme="majorHAnsi"/>
                <w:b/>
                <w:color w:val="17365D" w:themeColor="text2" w:themeShade="BF"/>
              </w:rPr>
              <w:t>General comments on other issues emanating from the Bank's proposals?</w:t>
            </w:r>
          </w:p>
        </w:tc>
      </w:tr>
      <w:tr w:rsidR="002E23E9" w:rsidRPr="00D87D07" w:rsidTr="0075063D">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75063D" w:rsidRDefault="00583B0F" w:rsidP="0075063D">
            <w:pPr>
              <w:pStyle w:val="ListParagraph"/>
              <w:numPr>
                <w:ilvl w:val="0"/>
                <w:numId w:val="1"/>
              </w:numPr>
              <w:ind w:left="309" w:hanging="253"/>
              <w:rPr>
                <w:rFonts w:asciiTheme="majorHAnsi" w:hAnsiTheme="majorHAnsi" w:cs="Times New Roman"/>
                <w:sz w:val="22"/>
                <w:szCs w:val="22"/>
              </w:rPr>
            </w:pPr>
            <w:r>
              <w:rPr>
                <w:rFonts w:asciiTheme="majorHAnsi" w:hAnsiTheme="majorHAnsi" w:cs="Times New Roman"/>
                <w:sz w:val="22"/>
                <w:szCs w:val="22"/>
              </w:rPr>
              <w:t xml:space="preserve">As regards technical specifications, Private sector expressed its concern over the level of specifications that essentially limit local brands from participating – which can be avoided by setting technical requirements that at least meet minimum standards. </w:t>
            </w:r>
          </w:p>
        </w:tc>
      </w:tr>
    </w:tbl>
    <w:p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20" w:rsidRDefault="00414B20">
      <w:pPr>
        <w:spacing w:after="0" w:line="240" w:lineRule="auto"/>
      </w:pPr>
      <w:r>
        <w:separator/>
      </w:r>
    </w:p>
  </w:endnote>
  <w:endnote w:type="continuationSeparator" w:id="0">
    <w:p w:rsidR="00414B20" w:rsidRDefault="0041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75063D">
          <w:rPr>
            <w:rFonts w:asciiTheme="minorHAnsi" w:hAnsiTheme="minorHAnsi"/>
            <w:noProof/>
            <w:sz w:val="20"/>
            <w:szCs w:val="20"/>
          </w:rPr>
          <w:t>2</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20" w:rsidRDefault="00414B20">
      <w:pPr>
        <w:spacing w:after="0" w:line="240" w:lineRule="auto"/>
      </w:pPr>
      <w:r>
        <w:separator/>
      </w:r>
    </w:p>
  </w:footnote>
  <w:footnote w:type="continuationSeparator" w:id="0">
    <w:p w:rsidR="00414B20" w:rsidRDefault="00414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07" w:rsidRDefault="00D87D07">
    <w:pPr>
      <w:pStyle w:val="Header"/>
      <w:rPr>
        <w:sz w:val="18"/>
        <w:szCs w:val="18"/>
      </w:rPr>
    </w:pPr>
  </w:p>
  <w:p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3">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7">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6">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1">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2">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26">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27">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28">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33">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8">
    <w:nsid w:val="7C116600"/>
    <w:multiLevelType w:val="hybridMultilevel"/>
    <w:tmpl w:val="94EEF49C"/>
    <w:lvl w:ilvl="0" w:tplc="C4E89E30">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28"/>
  </w:num>
  <w:num w:numId="2">
    <w:abstractNumId w:val="23"/>
  </w:num>
  <w:num w:numId="3">
    <w:abstractNumId w:val="36"/>
  </w:num>
  <w:num w:numId="4">
    <w:abstractNumId w:val="24"/>
  </w:num>
  <w:num w:numId="5">
    <w:abstractNumId w:val="19"/>
  </w:num>
  <w:num w:numId="6">
    <w:abstractNumId w:val="33"/>
  </w:num>
  <w:num w:numId="7">
    <w:abstractNumId w:val="37"/>
  </w:num>
  <w:num w:numId="8">
    <w:abstractNumId w:val="39"/>
  </w:num>
  <w:num w:numId="9">
    <w:abstractNumId w:val="35"/>
  </w:num>
  <w:num w:numId="10">
    <w:abstractNumId w:val="12"/>
  </w:num>
  <w:num w:numId="11">
    <w:abstractNumId w:val="3"/>
  </w:num>
  <w:num w:numId="12">
    <w:abstractNumId w:val="10"/>
  </w:num>
  <w:num w:numId="13">
    <w:abstractNumId w:val="8"/>
  </w:num>
  <w:num w:numId="14">
    <w:abstractNumId w:val="5"/>
  </w:num>
  <w:num w:numId="15">
    <w:abstractNumId w:val="30"/>
  </w:num>
  <w:num w:numId="16">
    <w:abstractNumId w:val="4"/>
  </w:num>
  <w:num w:numId="17">
    <w:abstractNumId w:val="31"/>
  </w:num>
  <w:num w:numId="18">
    <w:abstractNumId w:val="9"/>
  </w:num>
  <w:num w:numId="19">
    <w:abstractNumId w:val="16"/>
  </w:num>
  <w:num w:numId="20">
    <w:abstractNumId w:val="7"/>
  </w:num>
  <w:num w:numId="21">
    <w:abstractNumId w:val="11"/>
  </w:num>
  <w:num w:numId="22">
    <w:abstractNumId w:val="18"/>
  </w:num>
  <w:num w:numId="23">
    <w:abstractNumId w:val="34"/>
  </w:num>
  <w:num w:numId="24">
    <w:abstractNumId w:val="29"/>
  </w:num>
  <w:num w:numId="25">
    <w:abstractNumId w:val="13"/>
  </w:num>
  <w:num w:numId="26">
    <w:abstractNumId w:val="22"/>
  </w:num>
  <w:num w:numId="27">
    <w:abstractNumId w:val="14"/>
  </w:num>
  <w:num w:numId="28">
    <w:abstractNumId w:val="17"/>
  </w:num>
  <w:num w:numId="29">
    <w:abstractNumId w:val="27"/>
  </w:num>
  <w:num w:numId="30">
    <w:abstractNumId w:val="38"/>
  </w:num>
  <w:num w:numId="31">
    <w:abstractNumId w:val="25"/>
  </w:num>
  <w:num w:numId="32">
    <w:abstractNumId w:val="32"/>
  </w:num>
  <w:num w:numId="33">
    <w:abstractNumId w:val="20"/>
  </w:num>
  <w:num w:numId="34">
    <w:abstractNumId w:val="26"/>
  </w:num>
  <w:num w:numId="35">
    <w:abstractNumId w:val="15"/>
  </w:num>
  <w:num w:numId="36">
    <w:abstractNumId w:val="2"/>
  </w:num>
  <w:num w:numId="37">
    <w:abstractNumId w:val="6"/>
  </w:num>
  <w:num w:numId="38">
    <w:abstractNumId w:val="21"/>
  </w:num>
  <w:num w:numId="3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6F47"/>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4B20"/>
    <w:rsid w:val="00416EDE"/>
    <w:rsid w:val="00424C82"/>
    <w:rsid w:val="00426B51"/>
    <w:rsid w:val="00431D5F"/>
    <w:rsid w:val="00436033"/>
    <w:rsid w:val="00442D97"/>
    <w:rsid w:val="00443BFC"/>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83B0F"/>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55FD"/>
    <w:rsid w:val="00745D52"/>
    <w:rsid w:val="00746FCA"/>
    <w:rsid w:val="0075063D"/>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A4357"/>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BB531F1A-CAB5-4557-AAE0-7AD5D089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CC879DA9-6667-4F06-98D3-3B04C72F54CC}">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1E5C19-BEE8-43B1-903B-38A45454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2</cp:revision>
  <cp:lastPrinted>2012-05-24T21:00:00Z</cp:lastPrinted>
  <dcterms:created xsi:type="dcterms:W3CDTF">2015-02-23T19:52:00Z</dcterms:created>
  <dcterms:modified xsi:type="dcterms:W3CDTF">2015-02-23T19:52:00Z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