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370582DC"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E657B1">
        <w:rPr>
          <w:rFonts w:asciiTheme="majorHAnsi" w:hAnsiTheme="majorHAnsi" w:cs="Times New Roman"/>
          <w:b/>
          <w:bCs/>
          <w:sz w:val="22"/>
          <w:szCs w:val="22"/>
          <w:lang w:val="en-US"/>
        </w:rPr>
        <w:t xml:space="preserve">December 12, </w:t>
      </w:r>
      <w:r w:rsidR="00AD1BF2">
        <w:rPr>
          <w:rFonts w:asciiTheme="majorHAnsi" w:hAnsiTheme="majorHAnsi" w:cs="Times New Roman"/>
          <w:b/>
          <w:bCs/>
          <w:sz w:val="22"/>
          <w:szCs w:val="22"/>
          <w:lang w:val="en-US"/>
        </w:rPr>
        <w:t>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0D72BDC3"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E657B1">
        <w:rPr>
          <w:rFonts w:asciiTheme="majorHAnsi" w:hAnsiTheme="majorHAnsi" w:cs="Times New Roman"/>
          <w:b/>
          <w:bCs/>
          <w:sz w:val="22"/>
          <w:szCs w:val="22"/>
          <w:lang w:val="en-US"/>
        </w:rPr>
        <w:t>New Delhi</w:t>
      </w:r>
      <w:r w:rsidR="00AD1BF2">
        <w:rPr>
          <w:rFonts w:asciiTheme="majorHAnsi" w:hAnsiTheme="majorHAnsi" w:cs="Times New Roman"/>
          <w:b/>
          <w:bCs/>
          <w:sz w:val="22"/>
          <w:szCs w:val="22"/>
          <w:lang w:val="en-US"/>
        </w:rPr>
        <w:t xml:space="preserve">, </w:t>
      </w:r>
      <w:r w:rsidR="00E657B1">
        <w:rPr>
          <w:rFonts w:asciiTheme="majorHAnsi" w:hAnsiTheme="majorHAnsi" w:cs="Times New Roman"/>
          <w:b/>
          <w:bCs/>
          <w:sz w:val="22"/>
          <w:szCs w:val="22"/>
          <w:lang w:val="en-US"/>
        </w:rPr>
        <w:t>India</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6741E58A"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E657B1">
        <w:rPr>
          <w:rFonts w:asciiTheme="majorHAnsi" w:hAnsiTheme="majorHAnsi" w:cs="Times New Roman"/>
          <w:b/>
          <w:sz w:val="22"/>
          <w:szCs w:val="22"/>
          <w:lang w:val="en-US"/>
        </w:rPr>
        <w:t>56</w:t>
      </w:r>
      <w:r w:rsidR="00AD1BF2">
        <w:rPr>
          <w:rFonts w:asciiTheme="majorHAnsi" w:hAnsiTheme="majorHAnsi" w:cs="Times New Roman"/>
          <w:b/>
          <w:sz w:val="22"/>
          <w:szCs w:val="22"/>
          <w:lang w:val="en-US"/>
        </w:rPr>
        <w:t xml:space="preserve"> </w:t>
      </w:r>
    </w:p>
    <w:p w14:paraId="06F88FB7" w14:textId="75A67544"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742F1C">
        <w:rPr>
          <w:rFonts w:asciiTheme="majorHAnsi" w:hAnsiTheme="majorHAnsi" w:cs="Times New Roman"/>
          <w:sz w:val="22"/>
          <w:szCs w:val="22"/>
        </w:rPr>
        <w:t xml:space="preserve">A consultation session with </w:t>
      </w:r>
      <w:r w:rsidR="00AD1BF2">
        <w:rPr>
          <w:rFonts w:asciiTheme="majorHAnsi" w:hAnsiTheme="majorHAnsi" w:cs="Times New Roman"/>
          <w:sz w:val="22"/>
          <w:szCs w:val="22"/>
        </w:rPr>
        <w:t>government stakeh</w:t>
      </w:r>
      <w:r w:rsidR="00742F1C">
        <w:rPr>
          <w:rFonts w:asciiTheme="majorHAnsi" w:hAnsiTheme="majorHAnsi" w:cs="Times New Roman"/>
          <w:sz w:val="22"/>
          <w:szCs w:val="22"/>
        </w:rPr>
        <w:t xml:space="preserve">olders took place on </w:t>
      </w:r>
      <w:r w:rsidR="00E657B1">
        <w:rPr>
          <w:rFonts w:asciiTheme="majorHAnsi" w:hAnsiTheme="majorHAnsi" w:cs="Times New Roman"/>
          <w:sz w:val="22"/>
          <w:szCs w:val="22"/>
        </w:rPr>
        <w:t>December 12</w:t>
      </w:r>
      <w:r w:rsidR="00742F1C">
        <w:rPr>
          <w:rFonts w:asciiTheme="majorHAnsi" w:hAnsiTheme="majorHAnsi" w:cs="Times New Roman"/>
          <w:sz w:val="22"/>
          <w:szCs w:val="22"/>
        </w:rPr>
        <w:t xml:space="preserve">, 2014 in </w:t>
      </w:r>
      <w:r w:rsidR="00E657B1">
        <w:rPr>
          <w:rFonts w:asciiTheme="majorHAnsi" w:hAnsiTheme="majorHAnsi" w:cs="Times New Roman"/>
          <w:sz w:val="22"/>
          <w:szCs w:val="22"/>
        </w:rPr>
        <w:t>New Delhi, India</w:t>
      </w:r>
      <w:r w:rsidR="00742F1C">
        <w:rPr>
          <w:rFonts w:asciiTheme="majorHAnsi" w:hAnsiTheme="majorHAnsi" w:cs="Times New Roman"/>
          <w:sz w:val="22"/>
          <w:szCs w:val="22"/>
        </w:rPr>
        <w:t xml:space="preserve">.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reform </w:t>
      </w:r>
      <w:r w:rsidR="005F28E8">
        <w:rPr>
          <w:rFonts w:asciiTheme="majorHAnsi" w:hAnsiTheme="majorHAnsi"/>
          <w:sz w:val="22"/>
          <w:szCs w:val="22"/>
        </w:rPr>
        <w:t>was positive</w:t>
      </w:r>
      <w:r w:rsidRPr="00F81073">
        <w:rPr>
          <w:rFonts w:asciiTheme="majorHAnsi" w:hAnsiTheme="majorHAnsi"/>
          <w:sz w:val="22"/>
          <w:szCs w:val="22"/>
        </w:rPr>
        <w:t xml:space="preserve">, with most concerns </w:t>
      </w:r>
      <w:r w:rsidR="005F28E8">
        <w:rPr>
          <w:rFonts w:asciiTheme="majorHAnsi" w:hAnsiTheme="majorHAnsi"/>
          <w:sz w:val="22"/>
          <w:szCs w:val="22"/>
        </w:rPr>
        <w:t xml:space="preserve">being covered.  Value for </w:t>
      </w:r>
      <w:r w:rsidRPr="00F81073">
        <w:rPr>
          <w:rFonts w:asciiTheme="majorHAnsi" w:hAnsiTheme="majorHAnsi"/>
          <w:sz w:val="22"/>
          <w:szCs w:val="22"/>
        </w:rPr>
        <w:t>M</w:t>
      </w:r>
      <w:r w:rsidR="005F28E8">
        <w:rPr>
          <w:rFonts w:asciiTheme="majorHAnsi" w:hAnsiTheme="majorHAnsi"/>
          <w:sz w:val="22"/>
          <w:szCs w:val="22"/>
        </w:rPr>
        <w:t>oney (VfM)</w:t>
      </w:r>
      <w:r w:rsidRPr="00F81073">
        <w:rPr>
          <w:rFonts w:asciiTheme="majorHAnsi" w:hAnsiTheme="majorHAnsi"/>
          <w:sz w:val="22"/>
          <w:szCs w:val="22"/>
        </w:rPr>
        <w:t xml:space="preserve"> and sustainable results further </w:t>
      </w:r>
      <w:r w:rsidR="005F28E8">
        <w:rPr>
          <w:rFonts w:asciiTheme="majorHAnsi" w:hAnsiTheme="majorHAnsi"/>
          <w:sz w:val="22"/>
          <w:szCs w:val="22"/>
        </w:rPr>
        <w:t>detailed that</w:t>
      </w:r>
      <w:r w:rsidRPr="00F81073">
        <w:rPr>
          <w:rFonts w:asciiTheme="majorHAnsi" w:hAnsiTheme="majorHAnsi"/>
          <w:sz w:val="22"/>
          <w:szCs w:val="22"/>
        </w:rPr>
        <w:t xml:space="preserve"> the reform was continuing in the right direction.  Some of the main concerns included worry about defining acceptable procurement standards, especially when considering the need to ensure quality and integrity, with a high importance placed on sustainable criteria, or the quality of life cycle evaluation.  </w:t>
      </w:r>
      <w:r w:rsidRPr="00F81073">
        <w:rPr>
          <w:rFonts w:asciiTheme="majorHAnsi" w:hAnsiTheme="majorHAnsi" w:cs="Times New Roman"/>
          <w:sz w:val="22"/>
          <w:szCs w:val="22"/>
        </w:rPr>
        <w:t>Overall, the consultations were successful for the parties involved, though it was expressed that stakeholders would like to see more sustainability, and more tran</w:t>
      </w:r>
      <w:r w:rsidR="005F28E8">
        <w:rPr>
          <w:rFonts w:asciiTheme="majorHAnsi" w:hAnsiTheme="majorHAnsi" w:cs="Times New Roman"/>
          <w:sz w:val="22"/>
          <w:szCs w:val="22"/>
        </w:rPr>
        <w:t>sparency as we continue forward</w:t>
      </w:r>
      <w:r w:rsidRPr="00F81073">
        <w:rPr>
          <w:rFonts w:asciiTheme="majorHAnsi" w:hAnsiTheme="majorHAnsi" w:cs="Times New Roman"/>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5271B32E" w14:textId="3EABB575" w:rsidR="002E23E9" w:rsidRPr="00E657B1" w:rsidRDefault="00E657B1" w:rsidP="00E657B1">
            <w:pPr>
              <w:pStyle w:val="ListParagraph"/>
              <w:numPr>
                <w:ilvl w:val="0"/>
                <w:numId w:val="46"/>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Agreeing with the Bank’s method of identifying “Red-Flags” for bid-rigging, participants suggested implementing a more rigid bidding process and a simplification of Bank bidding documents. </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0CDE16A4" w14:textId="77777777" w:rsidR="00F81073" w:rsidRDefault="00A527C8" w:rsidP="00E657B1">
            <w:pPr>
              <w:pStyle w:val="ListParagraph"/>
              <w:numPr>
                <w:ilvl w:val="0"/>
                <w:numId w:val="46"/>
              </w:numPr>
              <w:tabs>
                <w:tab w:val="left" w:pos="7920"/>
              </w:tabs>
              <w:rPr>
                <w:rFonts w:asciiTheme="majorHAnsi" w:hAnsiTheme="majorHAnsi"/>
                <w:sz w:val="22"/>
                <w:szCs w:val="22"/>
              </w:rPr>
            </w:pPr>
            <w:r>
              <w:rPr>
                <w:rFonts w:asciiTheme="majorHAnsi" w:hAnsiTheme="majorHAnsi"/>
                <w:sz w:val="22"/>
                <w:szCs w:val="22"/>
              </w:rPr>
              <w:t xml:space="preserve">Though representatives agreed and supported the Bank’s move to VfM criteria, some participants noted that it will be important for the Bank to carefully monitor and avoid too much subjectivity in the process. </w:t>
            </w:r>
          </w:p>
          <w:p w14:paraId="2E820C36" w14:textId="0E90C6D8" w:rsidR="00A527C8" w:rsidRPr="00A527C8" w:rsidRDefault="00A527C8" w:rsidP="00A527C8">
            <w:pPr>
              <w:pStyle w:val="ListParagraph"/>
              <w:numPr>
                <w:ilvl w:val="0"/>
                <w:numId w:val="46"/>
              </w:numPr>
              <w:tabs>
                <w:tab w:val="left" w:pos="7920"/>
              </w:tabs>
              <w:rPr>
                <w:rFonts w:asciiTheme="majorHAnsi" w:hAnsiTheme="majorHAnsi"/>
                <w:sz w:val="22"/>
                <w:szCs w:val="22"/>
              </w:rPr>
            </w:pPr>
            <w:r>
              <w:rPr>
                <w:rFonts w:asciiTheme="majorHAnsi" w:hAnsiTheme="majorHAnsi"/>
                <w:sz w:val="22"/>
                <w:szCs w:val="22"/>
              </w:rPr>
              <w:t xml:space="preserve">Participants noted the difficulty in estimating costs and suggested the Bank implement a system of estimated consultant costs. </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193B394E" w:rsidR="002E23E9" w:rsidRPr="00C10AD5" w:rsidRDefault="002E23E9" w:rsidP="00C10AD5">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201105D0" w:rsidR="002E23E9" w:rsidRPr="00C10AD5" w:rsidRDefault="002E23E9" w:rsidP="00C10AD5">
            <w:pPr>
              <w:jc w:val="left"/>
              <w:rPr>
                <w:rFonts w:asciiTheme="majorHAnsi" w:eastAsia="Batang" w:hAnsiTheme="majorHAnsi"/>
                <w:sz w:val="22"/>
                <w:szCs w:val="22"/>
              </w:rPr>
            </w:pP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2E737989" w:rsidR="002E23E9" w:rsidRPr="00E657B1" w:rsidRDefault="00E657B1" w:rsidP="00E657B1">
            <w:pPr>
              <w:pStyle w:val="ListParagraph"/>
              <w:numPr>
                <w:ilvl w:val="0"/>
                <w:numId w:val="45"/>
              </w:numPr>
              <w:jc w:val="left"/>
              <w:rPr>
                <w:rFonts w:asciiTheme="majorHAnsi" w:hAnsiTheme="majorHAnsi"/>
                <w:sz w:val="22"/>
                <w:szCs w:val="22"/>
              </w:rPr>
            </w:pPr>
            <w:r>
              <w:rPr>
                <w:rFonts w:asciiTheme="majorHAnsi" w:hAnsiTheme="majorHAnsi"/>
                <w:sz w:val="22"/>
                <w:szCs w:val="22"/>
              </w:rPr>
              <w:t xml:space="preserve">Regarding sustainability within the policy, several representatives noted that the concept should have greater prominence and agreed that the Bank was moving in the right direction by giving sustainability consideration at the strategic planning stage in terms of economic, environmental and social aspects. </w:t>
            </w: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7E8A01AD" w:rsidR="002E23E9" w:rsidRPr="00C10AD5" w:rsidRDefault="002E23E9" w:rsidP="00C10AD5">
            <w:pPr>
              <w:rPr>
                <w:rFonts w:asciiTheme="majorHAnsi" w:hAnsiTheme="majorHAnsi"/>
                <w:sz w:val="22"/>
                <w:szCs w:val="22"/>
              </w:rPr>
            </w:pP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0B559D2D" w:rsidR="00E657B1" w:rsidRPr="00E657B1" w:rsidRDefault="00E657B1" w:rsidP="00E657B1">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agreed that the best option to streamline bid-submission is to install an e-procurement system for bid-submission. </w:t>
            </w: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119C9532" w:rsidR="002E23E9" w:rsidRPr="00A527C8" w:rsidRDefault="00A527C8" w:rsidP="00A527C8">
            <w:pPr>
              <w:pStyle w:val="ListParagraph"/>
              <w:numPr>
                <w:ilvl w:val="0"/>
                <w:numId w:val="45"/>
              </w:numPr>
              <w:rPr>
                <w:rFonts w:asciiTheme="majorHAnsi" w:hAnsiTheme="majorHAnsi"/>
                <w:sz w:val="22"/>
                <w:szCs w:val="22"/>
              </w:rPr>
            </w:pPr>
            <w:r>
              <w:rPr>
                <w:rFonts w:asciiTheme="majorHAnsi" w:hAnsiTheme="majorHAnsi"/>
                <w:sz w:val="22"/>
                <w:szCs w:val="22"/>
              </w:rPr>
              <w:t xml:space="preserve">Representatives noted that it would be helpful if the Bank would add more mechanisms that create additional opportunities for lower cost dispute reviews. </w:t>
            </w: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4BABC8FE" w:rsidR="002E23E9" w:rsidRPr="005F6AA0" w:rsidRDefault="005F6AA0" w:rsidP="005F6AA0">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suggested introducing a policy review and consultation process that occurs annually to ensure the actions of the policy are being met during the early years of this policy implementation. </w:t>
            </w:r>
            <w:bookmarkStart w:id="0" w:name="_GoBack"/>
            <w:bookmarkEnd w:id="0"/>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E77254F" w14:textId="77777777" w:rsidR="002E23E9" w:rsidRDefault="00A527C8" w:rsidP="00A527C8">
            <w:pPr>
              <w:pStyle w:val="ListParagraph"/>
              <w:numPr>
                <w:ilvl w:val="0"/>
                <w:numId w:val="45"/>
              </w:numPr>
              <w:rPr>
                <w:rFonts w:asciiTheme="majorHAnsi" w:hAnsiTheme="majorHAnsi"/>
                <w:sz w:val="22"/>
                <w:szCs w:val="22"/>
              </w:rPr>
            </w:pPr>
            <w:r>
              <w:rPr>
                <w:rFonts w:asciiTheme="majorHAnsi" w:hAnsiTheme="majorHAnsi"/>
                <w:sz w:val="22"/>
                <w:szCs w:val="22"/>
              </w:rPr>
              <w:t xml:space="preserve">Some representatives noted that the previous policy needed to be streamlined in the past, and noted that the Bank may pull from the example of other fast MDBs as a method of further improving the overall framework. </w:t>
            </w:r>
          </w:p>
          <w:p w14:paraId="4D8E0F28" w14:textId="77777777" w:rsidR="00A527C8" w:rsidRDefault="00A527C8" w:rsidP="00A527C8">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agreed that opening to the public a list of debarment borrowers would help the Bank move closer toward transparency. </w:t>
            </w:r>
          </w:p>
          <w:p w14:paraId="0DA6150C" w14:textId="0F95B7BE" w:rsidR="005F6AA0" w:rsidRPr="00A527C8" w:rsidRDefault="005F6AA0" w:rsidP="00A527C8">
            <w:pPr>
              <w:pStyle w:val="ListParagraph"/>
              <w:numPr>
                <w:ilvl w:val="0"/>
                <w:numId w:val="45"/>
              </w:numPr>
              <w:rPr>
                <w:rFonts w:asciiTheme="majorHAnsi" w:hAnsiTheme="majorHAnsi"/>
                <w:sz w:val="22"/>
                <w:szCs w:val="22"/>
              </w:rPr>
            </w:pPr>
            <w:r>
              <w:rPr>
                <w:rFonts w:asciiTheme="majorHAnsi" w:hAnsiTheme="majorHAnsi"/>
                <w:sz w:val="22"/>
                <w:szCs w:val="22"/>
              </w:rPr>
              <w:t xml:space="preserve">Representatives suggested implementing a standard timeframe for different stages of the procurement process to further facilitate companies to remain on schedule.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5F6AA0">
          <w:rPr>
            <w:rFonts w:asciiTheme="minorHAnsi" w:hAnsiTheme="minorHAnsi"/>
            <w:noProof/>
            <w:sz w:val="20"/>
            <w:szCs w:val="20"/>
          </w:rPr>
          <w:t>2</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D6FC0"/>
    <w:multiLevelType w:val="hybridMultilevel"/>
    <w:tmpl w:val="FB6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10">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9">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5">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6">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0">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2">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3">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8">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6E7A121D"/>
    <w:multiLevelType w:val="hybridMultilevel"/>
    <w:tmpl w:val="EA6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3"/>
  </w:num>
  <w:num w:numId="2">
    <w:abstractNumId w:val="27"/>
  </w:num>
  <w:num w:numId="3">
    <w:abstractNumId w:val="42"/>
  </w:num>
  <w:num w:numId="4">
    <w:abstractNumId w:val="28"/>
  </w:num>
  <w:num w:numId="5">
    <w:abstractNumId w:val="22"/>
  </w:num>
  <w:num w:numId="6">
    <w:abstractNumId w:val="38"/>
  </w:num>
  <w:num w:numId="7">
    <w:abstractNumId w:val="44"/>
  </w:num>
  <w:num w:numId="8">
    <w:abstractNumId w:val="46"/>
  </w:num>
  <w:num w:numId="9">
    <w:abstractNumId w:val="41"/>
  </w:num>
  <w:num w:numId="10">
    <w:abstractNumId w:val="15"/>
  </w:num>
  <w:num w:numId="11">
    <w:abstractNumId w:val="4"/>
  </w:num>
  <w:num w:numId="12">
    <w:abstractNumId w:val="13"/>
  </w:num>
  <w:num w:numId="13">
    <w:abstractNumId w:val="11"/>
  </w:num>
  <w:num w:numId="14">
    <w:abstractNumId w:val="6"/>
  </w:num>
  <w:num w:numId="15">
    <w:abstractNumId w:val="35"/>
  </w:num>
  <w:num w:numId="16">
    <w:abstractNumId w:val="5"/>
  </w:num>
  <w:num w:numId="17">
    <w:abstractNumId w:val="36"/>
  </w:num>
  <w:num w:numId="18">
    <w:abstractNumId w:val="12"/>
  </w:num>
  <w:num w:numId="19">
    <w:abstractNumId w:val="19"/>
  </w:num>
  <w:num w:numId="20">
    <w:abstractNumId w:val="10"/>
  </w:num>
  <w:num w:numId="21">
    <w:abstractNumId w:val="14"/>
  </w:num>
  <w:num w:numId="22">
    <w:abstractNumId w:val="21"/>
  </w:num>
  <w:num w:numId="23">
    <w:abstractNumId w:val="40"/>
  </w:num>
  <w:num w:numId="24">
    <w:abstractNumId w:val="34"/>
  </w:num>
  <w:num w:numId="25">
    <w:abstractNumId w:val="16"/>
  </w:num>
  <w:num w:numId="26">
    <w:abstractNumId w:val="26"/>
  </w:num>
  <w:num w:numId="27">
    <w:abstractNumId w:val="17"/>
  </w:num>
  <w:num w:numId="28">
    <w:abstractNumId w:val="20"/>
  </w:num>
  <w:num w:numId="29">
    <w:abstractNumId w:val="32"/>
  </w:num>
  <w:num w:numId="30">
    <w:abstractNumId w:val="45"/>
  </w:num>
  <w:num w:numId="31">
    <w:abstractNumId w:val="29"/>
  </w:num>
  <w:num w:numId="32">
    <w:abstractNumId w:val="37"/>
  </w:num>
  <w:num w:numId="33">
    <w:abstractNumId w:val="24"/>
  </w:num>
  <w:num w:numId="34">
    <w:abstractNumId w:val="31"/>
  </w:num>
  <w:num w:numId="35">
    <w:abstractNumId w:val="18"/>
  </w:num>
  <w:num w:numId="36">
    <w:abstractNumId w:val="3"/>
  </w:num>
  <w:num w:numId="37">
    <w:abstractNumId w:val="9"/>
  </w:num>
  <w:num w:numId="38">
    <w:abstractNumId w:val="25"/>
  </w:num>
  <w:num w:numId="39">
    <w:abstractNumId w:val="1"/>
  </w:num>
  <w:num w:numId="40">
    <w:abstractNumId w:val="30"/>
  </w:num>
  <w:num w:numId="41">
    <w:abstractNumId w:val="7"/>
  </w:num>
  <w:num w:numId="42">
    <w:abstractNumId w:val="2"/>
  </w:num>
  <w:num w:numId="43">
    <w:abstractNumId w:val="43"/>
  </w:num>
  <w:num w:numId="44">
    <w:abstractNumId w:val="23"/>
  </w:num>
  <w:num w:numId="45">
    <w:abstractNumId w:val="8"/>
  </w:num>
  <w:num w:numId="46">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6F96"/>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3A7"/>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5F6AA0"/>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27C8"/>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1BF2"/>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57B1"/>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15:docId w15:val="{EDB18354-0C32-4A84-98F4-F6691AD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AFFFF907-BF85-4EBE-99FA-F8CCC5BA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3</cp:revision>
  <cp:lastPrinted>2012-05-24T21:00:00Z</cp:lastPrinted>
  <dcterms:created xsi:type="dcterms:W3CDTF">2015-03-30T18:10:00Z</dcterms:created>
  <dcterms:modified xsi:type="dcterms:W3CDTF">2015-03-30T18:33:00Z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