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7DC95D99"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770FA9">
        <w:rPr>
          <w:rFonts w:asciiTheme="majorHAnsi" w:hAnsiTheme="majorHAnsi" w:cs="Times New Roman"/>
          <w:b/>
          <w:bCs/>
          <w:sz w:val="22"/>
          <w:szCs w:val="22"/>
          <w:lang w:val="en-US"/>
        </w:rPr>
        <w:t>September 22,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3118A2C8"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770FA9">
        <w:rPr>
          <w:rFonts w:asciiTheme="majorHAnsi" w:hAnsiTheme="majorHAnsi" w:cs="Times New Roman"/>
          <w:b/>
          <w:bCs/>
          <w:sz w:val="22"/>
          <w:szCs w:val="22"/>
          <w:lang w:val="en-US"/>
        </w:rPr>
        <w:t xml:space="preserve">London, UK </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70ECB645"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770FA9">
        <w:rPr>
          <w:rFonts w:asciiTheme="majorHAnsi" w:hAnsiTheme="majorHAnsi" w:cs="Times New Roman"/>
          <w:b/>
          <w:sz w:val="22"/>
          <w:szCs w:val="22"/>
          <w:lang w:val="en-US"/>
        </w:rPr>
        <w:t>11</w:t>
      </w:r>
    </w:p>
    <w:p w14:paraId="06F88FB7" w14:textId="7880E335"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5F28E8">
        <w:rPr>
          <w:rFonts w:asciiTheme="majorHAnsi" w:hAnsiTheme="majorHAnsi" w:cs="Times New Roman"/>
          <w:b/>
          <w:sz w:val="22"/>
          <w:szCs w:val="22"/>
        </w:rPr>
        <w:t xml:space="preserve"> </w:t>
      </w:r>
      <w:r w:rsidR="00742F1C">
        <w:rPr>
          <w:rFonts w:asciiTheme="majorHAnsi" w:hAnsiTheme="majorHAnsi" w:cs="Times New Roman"/>
          <w:sz w:val="22"/>
          <w:szCs w:val="22"/>
        </w:rPr>
        <w:t xml:space="preserve">A consultation session with stakeholders took place on September </w:t>
      </w:r>
      <w:r w:rsidR="00770FA9">
        <w:rPr>
          <w:rFonts w:asciiTheme="majorHAnsi" w:hAnsiTheme="majorHAnsi" w:cs="Times New Roman"/>
          <w:sz w:val="22"/>
          <w:szCs w:val="22"/>
        </w:rPr>
        <w:t>22, 2014 in London, UK</w:t>
      </w:r>
      <w:r w:rsidR="00742F1C">
        <w:rPr>
          <w:rFonts w:asciiTheme="majorHAnsi" w:hAnsiTheme="majorHAnsi" w:cs="Times New Roman"/>
          <w:sz w:val="22"/>
          <w:szCs w:val="22"/>
        </w:rPr>
        <w:t xml:space="preserve">.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5F28E8">
        <w:rPr>
          <w:rFonts w:asciiTheme="majorHAnsi" w:hAnsiTheme="majorHAnsi"/>
          <w:sz w:val="22"/>
          <w:szCs w:val="22"/>
        </w:rPr>
        <w:t xml:space="preserve">being </w:t>
      </w:r>
      <w:r w:rsidR="00770FA9">
        <w:rPr>
          <w:rFonts w:asciiTheme="majorHAnsi" w:hAnsiTheme="majorHAnsi"/>
          <w:sz w:val="22"/>
          <w:szCs w:val="22"/>
        </w:rPr>
        <w:t>addressed</w:t>
      </w:r>
      <w:r w:rsidR="005F28E8">
        <w:rPr>
          <w:rFonts w:asciiTheme="majorHAnsi" w:hAnsiTheme="majorHAnsi"/>
          <w:sz w:val="22"/>
          <w:szCs w:val="22"/>
        </w:rPr>
        <w:t xml:space="preserve">. Value for </w:t>
      </w:r>
      <w:r w:rsidRPr="00F81073">
        <w:rPr>
          <w:rFonts w:asciiTheme="majorHAnsi" w:hAnsiTheme="majorHAnsi"/>
          <w:sz w:val="22"/>
          <w:szCs w:val="22"/>
        </w:rPr>
        <w:t>M</w:t>
      </w:r>
      <w:r w:rsidR="005F28E8">
        <w:rPr>
          <w:rFonts w:asciiTheme="majorHAnsi" w:hAnsiTheme="majorHAnsi"/>
          <w:sz w:val="22"/>
          <w:szCs w:val="22"/>
        </w:rPr>
        <w:t>oney (VfM)</w:t>
      </w:r>
      <w:r w:rsidRPr="00F81073">
        <w:rPr>
          <w:rFonts w:asciiTheme="majorHAnsi" w:hAnsiTheme="majorHAnsi"/>
          <w:sz w:val="22"/>
          <w:szCs w:val="22"/>
        </w:rPr>
        <w:t xml:space="preserve"> and sustainable results further </w:t>
      </w:r>
      <w:r w:rsidR="005F28E8">
        <w:rPr>
          <w:rFonts w:asciiTheme="majorHAnsi" w:hAnsiTheme="majorHAnsi"/>
          <w:sz w:val="22"/>
          <w:szCs w:val="22"/>
        </w:rPr>
        <w:t>detailed that</w:t>
      </w:r>
      <w:r w:rsidRPr="00F81073">
        <w:rPr>
          <w:rFonts w:asciiTheme="majorHAnsi" w:hAnsiTheme="majorHAnsi"/>
          <w:sz w:val="22"/>
          <w:szCs w:val="22"/>
        </w:rPr>
        <w:t xml:space="preserve"> the reform was continuing in the right direction.  Some of the main concerns included worry about defining acceptable procurement standards, especially when considering the need to ensure quality and integrity, with a high importance placed on sustainable criteria, or the quality of life cycle evaluation.  </w:t>
      </w:r>
      <w:r w:rsidRPr="00F81073">
        <w:rPr>
          <w:rFonts w:asciiTheme="majorHAnsi" w:hAnsiTheme="majorHAnsi" w:cs="Times New Roman"/>
          <w:sz w:val="22"/>
          <w:szCs w:val="22"/>
        </w:rPr>
        <w:t xml:space="preserve">Overall, the consultations were successful </w:t>
      </w:r>
      <w:r w:rsidR="00770FA9">
        <w:rPr>
          <w:rFonts w:asciiTheme="majorHAnsi" w:hAnsiTheme="majorHAnsi" w:cs="Times New Roman"/>
          <w:sz w:val="22"/>
          <w:szCs w:val="22"/>
        </w:rPr>
        <w:t>and participants are looking forward to seeing how the</w:t>
      </w:r>
      <w:bookmarkStart w:id="0" w:name="_GoBack"/>
      <w:bookmarkEnd w:id="0"/>
      <w:r w:rsidR="00770FA9">
        <w:rPr>
          <w:rFonts w:asciiTheme="majorHAnsi" w:hAnsiTheme="majorHAnsi" w:cs="Times New Roman"/>
          <w:sz w:val="22"/>
          <w:szCs w:val="22"/>
        </w:rPr>
        <w:t xml:space="preserve"> policy will continue to develop as the Bank moves forward. </w:t>
      </w:r>
      <w:r w:rsidRPr="00F8107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1E21E581" w14:textId="77777777" w:rsidR="00770FA9" w:rsidRDefault="00770FA9" w:rsidP="00770FA9">
            <w:pPr>
              <w:pStyle w:val="ListParagraph"/>
              <w:numPr>
                <w:ilvl w:val="0"/>
                <w:numId w:val="49"/>
              </w:numPr>
              <w:suppressAutoHyphens w:val="0"/>
              <w:spacing w:after="0" w:line="276" w:lineRule="auto"/>
              <w:jc w:val="left"/>
              <w:rPr>
                <w:rFonts w:asciiTheme="majorHAnsi" w:hAnsiTheme="majorHAnsi" w:cs="Arial"/>
                <w:sz w:val="22"/>
                <w:szCs w:val="22"/>
              </w:rPr>
            </w:pPr>
            <w:r>
              <w:rPr>
                <w:rFonts w:asciiTheme="majorHAnsi" w:hAnsiTheme="majorHAnsi" w:cs="Arial"/>
                <w:sz w:val="22"/>
                <w:szCs w:val="22"/>
              </w:rPr>
              <w:t>Participants were glad</w:t>
            </w:r>
            <w:r w:rsidRPr="002B5E75">
              <w:rPr>
                <w:rFonts w:asciiTheme="majorHAnsi" w:hAnsiTheme="majorHAnsi" w:cs="Arial"/>
                <w:sz w:val="22"/>
                <w:szCs w:val="22"/>
              </w:rPr>
              <w:t xml:space="preserve"> to see a renewed focus on capacity building for cli</w:t>
            </w:r>
            <w:r>
              <w:rPr>
                <w:rFonts w:asciiTheme="majorHAnsi" w:hAnsiTheme="majorHAnsi" w:cs="Arial"/>
                <w:sz w:val="22"/>
                <w:szCs w:val="22"/>
              </w:rPr>
              <w:t>ent country procurement systems.</w:t>
            </w:r>
          </w:p>
          <w:p w14:paraId="5271B32E" w14:textId="77EEEE47" w:rsidR="002E23E9" w:rsidRPr="00770FA9" w:rsidRDefault="00770FA9" w:rsidP="00770FA9">
            <w:pPr>
              <w:pStyle w:val="ListParagraph"/>
              <w:numPr>
                <w:ilvl w:val="0"/>
                <w:numId w:val="49"/>
              </w:numPr>
              <w:suppressAutoHyphens w:val="0"/>
              <w:spacing w:after="0" w:line="276" w:lineRule="auto"/>
              <w:jc w:val="left"/>
              <w:rPr>
                <w:rFonts w:asciiTheme="majorHAnsi" w:hAnsiTheme="majorHAnsi" w:cs="Arial"/>
                <w:sz w:val="22"/>
                <w:szCs w:val="22"/>
              </w:rPr>
            </w:pPr>
            <w:r>
              <w:rPr>
                <w:rFonts w:asciiTheme="majorHAnsi" w:hAnsiTheme="majorHAnsi" w:cs="Arial"/>
                <w:sz w:val="22"/>
                <w:szCs w:val="22"/>
              </w:rPr>
              <w:t>Participants suggested the</w:t>
            </w:r>
            <w:r w:rsidRPr="002B5E75">
              <w:rPr>
                <w:rFonts w:asciiTheme="majorHAnsi" w:hAnsiTheme="majorHAnsi" w:cs="Arial"/>
                <w:sz w:val="22"/>
                <w:szCs w:val="22"/>
              </w:rPr>
              <w:t xml:space="preserve"> WBG ensure that the team it has in place has the technical skills and capacity to deliver this duel role. The culture within the WBG and how procurement is viewed (by both procurement staff and the rest of the institution) will be key in this respect.</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22F9F38E" w14:textId="77777777" w:rsidR="00770FA9" w:rsidRDefault="00770FA9" w:rsidP="00770FA9">
            <w:pPr>
              <w:pStyle w:val="ListParagraph"/>
              <w:numPr>
                <w:ilvl w:val="0"/>
                <w:numId w:val="45"/>
              </w:numPr>
              <w:suppressAutoHyphens w:val="0"/>
              <w:spacing w:after="0" w:line="276" w:lineRule="auto"/>
              <w:jc w:val="left"/>
              <w:rPr>
                <w:rFonts w:asciiTheme="majorHAnsi" w:hAnsiTheme="majorHAnsi" w:cs="Arial"/>
                <w:sz w:val="22"/>
                <w:szCs w:val="22"/>
              </w:rPr>
            </w:pPr>
            <w:r>
              <w:rPr>
                <w:rFonts w:asciiTheme="majorHAnsi" w:hAnsiTheme="majorHAnsi" w:cs="Arial"/>
                <w:sz w:val="22"/>
                <w:szCs w:val="22"/>
              </w:rPr>
              <w:t>Participants w</w:t>
            </w:r>
            <w:r w:rsidRPr="002B5E75">
              <w:rPr>
                <w:rFonts w:asciiTheme="majorHAnsi" w:hAnsiTheme="majorHAnsi" w:cs="Arial"/>
                <w:sz w:val="22"/>
                <w:szCs w:val="22"/>
              </w:rPr>
              <w:t>elcome</w:t>
            </w:r>
            <w:r>
              <w:rPr>
                <w:rFonts w:asciiTheme="majorHAnsi" w:hAnsiTheme="majorHAnsi" w:cs="Arial"/>
                <w:sz w:val="22"/>
                <w:szCs w:val="22"/>
              </w:rPr>
              <w:t>d</w:t>
            </w:r>
            <w:r w:rsidRPr="002B5E75">
              <w:rPr>
                <w:rFonts w:asciiTheme="majorHAnsi" w:hAnsiTheme="majorHAnsi" w:cs="Arial"/>
                <w:sz w:val="22"/>
                <w:szCs w:val="22"/>
              </w:rPr>
              <w:t xml:space="preserve"> proposal to expand VfM analysis beyond consultancy procurement, with use of non-price attributes in </w:t>
            </w:r>
            <w:r w:rsidRPr="002B5E75">
              <w:rPr>
                <w:rFonts w:asciiTheme="majorHAnsi" w:hAnsiTheme="majorHAnsi" w:cs="Arial"/>
                <w:sz w:val="22"/>
                <w:szCs w:val="22"/>
              </w:rPr>
              <w:lastRenderedPageBreak/>
              <w:t xml:space="preserve">making contract award decisions. </w:t>
            </w:r>
          </w:p>
          <w:p w14:paraId="2E820C36" w14:textId="21BD5B1A" w:rsidR="00F81073" w:rsidRPr="00770FA9" w:rsidRDefault="00770FA9" w:rsidP="00770FA9">
            <w:pPr>
              <w:pStyle w:val="ListParagraph"/>
              <w:numPr>
                <w:ilvl w:val="0"/>
                <w:numId w:val="45"/>
              </w:numPr>
              <w:suppressAutoHyphens w:val="0"/>
              <w:spacing w:after="0" w:line="276" w:lineRule="auto"/>
              <w:jc w:val="left"/>
              <w:rPr>
                <w:rFonts w:asciiTheme="majorHAnsi" w:hAnsiTheme="majorHAnsi" w:cs="Arial"/>
                <w:sz w:val="22"/>
                <w:szCs w:val="22"/>
              </w:rPr>
            </w:pPr>
            <w:r>
              <w:rPr>
                <w:rFonts w:asciiTheme="majorHAnsi" w:hAnsiTheme="majorHAnsi" w:cs="Arial"/>
                <w:sz w:val="22"/>
                <w:szCs w:val="22"/>
              </w:rPr>
              <w:t>Participants stressed the i</w:t>
            </w:r>
            <w:r w:rsidRPr="002B5E75">
              <w:rPr>
                <w:rFonts w:asciiTheme="majorHAnsi" w:hAnsiTheme="majorHAnsi" w:cs="Arial"/>
                <w:sz w:val="22"/>
                <w:szCs w:val="22"/>
              </w:rPr>
              <w:t xml:space="preserve">mportance of looking at </w:t>
            </w:r>
            <w:r>
              <w:rPr>
                <w:rFonts w:asciiTheme="majorHAnsi" w:hAnsiTheme="majorHAnsi" w:cs="Arial"/>
                <w:sz w:val="22"/>
                <w:szCs w:val="22"/>
              </w:rPr>
              <w:t xml:space="preserve">the </w:t>
            </w:r>
            <w:r w:rsidRPr="002B5E75">
              <w:rPr>
                <w:rFonts w:asciiTheme="majorHAnsi" w:hAnsiTheme="majorHAnsi" w:cs="Arial"/>
                <w:sz w:val="22"/>
                <w:szCs w:val="22"/>
              </w:rPr>
              <w:t xml:space="preserve">lifecycle of </w:t>
            </w:r>
            <w:r>
              <w:rPr>
                <w:rFonts w:asciiTheme="majorHAnsi" w:hAnsiTheme="majorHAnsi" w:cs="Arial"/>
                <w:sz w:val="22"/>
                <w:szCs w:val="22"/>
              </w:rPr>
              <w:t xml:space="preserve">a </w:t>
            </w:r>
            <w:r w:rsidRPr="002B5E75">
              <w:rPr>
                <w:rFonts w:asciiTheme="majorHAnsi" w:hAnsiTheme="majorHAnsi" w:cs="Arial"/>
                <w:sz w:val="22"/>
                <w:szCs w:val="22"/>
              </w:rPr>
              <w:t>project and the associated costs, rather than only assessing short-term costs.</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0F6BBF68" w:rsidR="002E23E9" w:rsidRPr="00770FA9" w:rsidRDefault="00770FA9" w:rsidP="00770FA9">
            <w:pPr>
              <w:pStyle w:val="ListParagraph"/>
              <w:widowControl w:val="0"/>
              <w:numPr>
                <w:ilvl w:val="0"/>
                <w:numId w:val="48"/>
              </w:numPr>
              <w:autoSpaceDE w:val="0"/>
              <w:autoSpaceDN w:val="0"/>
              <w:adjustRightInd w:val="0"/>
              <w:spacing w:after="40"/>
              <w:ind w:right="40"/>
              <w:jc w:val="left"/>
              <w:rPr>
                <w:rFonts w:asciiTheme="majorHAnsi" w:hAnsiTheme="majorHAnsi"/>
                <w:sz w:val="22"/>
                <w:szCs w:val="22"/>
              </w:rPr>
            </w:pPr>
            <w:r>
              <w:rPr>
                <w:rFonts w:asciiTheme="majorHAnsi" w:hAnsiTheme="majorHAnsi" w:cs="Arial"/>
                <w:sz w:val="22"/>
                <w:szCs w:val="22"/>
              </w:rPr>
              <w:t>Participants noted that t</w:t>
            </w:r>
            <w:r w:rsidRPr="002B5E75">
              <w:rPr>
                <w:rFonts w:asciiTheme="majorHAnsi" w:hAnsiTheme="majorHAnsi" w:cs="Arial"/>
                <w:sz w:val="22"/>
                <w:szCs w:val="22"/>
              </w:rPr>
              <w:t>he duration of the procurement cycle is an issue for client countries and brining this down will be important in the new process. Proposed increased data collection and transparency around procurement speed a welcome step.</w:t>
            </w: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7EAFCF5D" w:rsidR="002E23E9" w:rsidRPr="00770FA9" w:rsidRDefault="00770FA9" w:rsidP="00770FA9">
            <w:pPr>
              <w:pStyle w:val="ListParagraph"/>
              <w:numPr>
                <w:ilvl w:val="0"/>
                <w:numId w:val="48"/>
              </w:numPr>
              <w:jc w:val="left"/>
              <w:rPr>
                <w:rFonts w:asciiTheme="majorHAnsi" w:eastAsia="Batang" w:hAnsiTheme="majorHAnsi"/>
                <w:sz w:val="22"/>
                <w:szCs w:val="22"/>
              </w:rPr>
            </w:pPr>
            <w:r>
              <w:rPr>
                <w:rFonts w:asciiTheme="majorHAnsi" w:eastAsia="Batang" w:hAnsiTheme="majorHAnsi"/>
                <w:sz w:val="22"/>
                <w:szCs w:val="22"/>
              </w:rPr>
              <w:t>Participants w</w:t>
            </w:r>
            <w:r w:rsidRPr="002B5E75">
              <w:rPr>
                <w:rFonts w:asciiTheme="majorHAnsi" w:hAnsiTheme="majorHAnsi" w:cs="Arial"/>
                <w:sz w:val="22"/>
                <w:szCs w:val="22"/>
              </w:rPr>
              <w:t>elcome</w:t>
            </w:r>
            <w:r>
              <w:rPr>
                <w:rFonts w:asciiTheme="majorHAnsi" w:hAnsiTheme="majorHAnsi" w:cs="Arial"/>
                <w:sz w:val="22"/>
                <w:szCs w:val="22"/>
              </w:rPr>
              <w:t>d</w:t>
            </w:r>
            <w:r w:rsidRPr="002B5E75">
              <w:rPr>
                <w:rFonts w:asciiTheme="majorHAnsi" w:hAnsiTheme="majorHAnsi" w:cs="Arial"/>
                <w:sz w:val="22"/>
                <w:szCs w:val="22"/>
              </w:rPr>
              <w:t xml:space="preserve"> steps that are being taken to build a more context-specific and informed procurement approach, though allowing a wider range of contract variations will increase opportunities for corruption. To address some of the potentially negative effects of the looser control on contract types, should consider drawing on range of best practice/good example contract templates available, particularly for more sensitive sections of contracts.</w:t>
            </w: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7D394B71" w:rsidR="002E23E9" w:rsidRPr="00C10AD5" w:rsidRDefault="002E23E9" w:rsidP="00C10AD5">
            <w:pPr>
              <w:jc w:val="left"/>
              <w:rPr>
                <w:rFonts w:asciiTheme="majorHAnsi" w:hAnsiTheme="majorHAnsi"/>
                <w:sz w:val="22"/>
                <w:szCs w:val="22"/>
              </w:rPr>
            </w:pP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7E8A01AD" w:rsidR="002E23E9" w:rsidRPr="00C10AD5" w:rsidRDefault="002E23E9" w:rsidP="00C10AD5">
            <w:pPr>
              <w:rPr>
                <w:rFonts w:asciiTheme="majorHAnsi" w:hAnsiTheme="majorHAnsi"/>
                <w:sz w:val="22"/>
                <w:szCs w:val="22"/>
              </w:rPr>
            </w:pP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47D04670" w:rsidR="002E23E9" w:rsidRPr="00C10AD5" w:rsidRDefault="002E23E9" w:rsidP="00C10AD5">
            <w:pPr>
              <w:rPr>
                <w:rFonts w:asciiTheme="majorHAnsi" w:hAnsiTheme="majorHAnsi"/>
                <w:sz w:val="22"/>
                <w:szCs w:val="22"/>
              </w:rPr>
            </w:pP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1C969F4B" w:rsidR="002E23E9" w:rsidRPr="00C10AD5" w:rsidRDefault="002E23E9" w:rsidP="00C10AD5">
            <w:pPr>
              <w:rPr>
                <w:rFonts w:asciiTheme="majorHAnsi" w:hAnsiTheme="majorHAnsi"/>
                <w:sz w:val="22"/>
                <w:szCs w:val="22"/>
              </w:rPr>
            </w:pP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77777777" w:rsidR="002E23E9" w:rsidRPr="00C10AD5" w:rsidRDefault="002E23E9" w:rsidP="00C10AD5">
            <w:pPr>
              <w:rPr>
                <w:rFonts w:asciiTheme="majorHAnsi" w:hAnsiTheme="majorHAnsi"/>
                <w:sz w:val="22"/>
                <w:szCs w:val="22"/>
              </w:rPr>
            </w:pP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B8C17C0" w14:textId="77777777" w:rsidR="002E23E9" w:rsidRPr="00770FA9" w:rsidRDefault="00770FA9" w:rsidP="00770FA9">
            <w:pPr>
              <w:pStyle w:val="ListParagraph"/>
              <w:numPr>
                <w:ilvl w:val="0"/>
                <w:numId w:val="47"/>
              </w:numPr>
              <w:rPr>
                <w:rFonts w:asciiTheme="majorHAnsi" w:hAnsiTheme="majorHAnsi"/>
                <w:sz w:val="22"/>
                <w:szCs w:val="22"/>
              </w:rPr>
            </w:pPr>
            <w:r>
              <w:rPr>
                <w:rFonts w:asciiTheme="majorHAnsi" w:hAnsiTheme="majorHAnsi" w:cs="Arial"/>
                <w:sz w:val="22"/>
                <w:szCs w:val="22"/>
              </w:rPr>
              <w:t>Participants noted that a</w:t>
            </w:r>
            <w:r w:rsidRPr="002B5E75">
              <w:rPr>
                <w:rFonts w:asciiTheme="majorHAnsi" w:hAnsiTheme="majorHAnsi" w:cs="Arial"/>
                <w:sz w:val="22"/>
                <w:szCs w:val="22"/>
              </w:rPr>
              <w:t>ccessibility for persons with disabilities should be built into the design stage of WBG projects. This is an important and cost-effective means of furthering access for an often marginalized segment of society, while meeting commitments made by many WBG client countries under international agreements such as the UN Convention on the Rights of Persons with Disabilities.</w:t>
            </w:r>
          </w:p>
          <w:p w14:paraId="0DA6150C" w14:textId="1F90DDF7" w:rsidR="00770FA9" w:rsidRPr="00770FA9" w:rsidRDefault="00770FA9" w:rsidP="00770FA9">
            <w:pPr>
              <w:pStyle w:val="ListParagraph"/>
              <w:numPr>
                <w:ilvl w:val="0"/>
                <w:numId w:val="47"/>
              </w:numPr>
              <w:rPr>
                <w:rFonts w:asciiTheme="majorHAnsi" w:hAnsiTheme="majorHAnsi"/>
                <w:sz w:val="22"/>
                <w:szCs w:val="22"/>
              </w:rPr>
            </w:pPr>
            <w:r w:rsidRPr="002B5E75">
              <w:rPr>
                <w:rFonts w:asciiTheme="majorHAnsi" w:hAnsiTheme="majorHAnsi" w:cs="Arial"/>
                <w:sz w:val="22"/>
                <w:szCs w:val="22"/>
              </w:rPr>
              <w:t xml:space="preserve">Pleased to see proposal to broaden access to Dispute Review Boards (DRB), Dispute Review Experts (DRE) as well as other dispute resolution mechanisms. Accept the need to keep costs of these mechanisms down. Practice has shown that a small investment in </w:t>
            </w:r>
            <w:r w:rsidRPr="002B5E75">
              <w:rPr>
                <w:rFonts w:asciiTheme="majorHAnsi" w:hAnsiTheme="majorHAnsi" w:cs="Arial"/>
                <w:sz w:val="22"/>
                <w:szCs w:val="22"/>
              </w:rPr>
              <w:lastRenderedPageBreak/>
              <w:t>these mechanisms upfront, including through training and assessment, can lead to greater long-term cost savings.</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770FA9">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00719A2"/>
    <w:multiLevelType w:val="hybridMultilevel"/>
    <w:tmpl w:val="05A8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525E9"/>
    <w:multiLevelType w:val="hybridMultilevel"/>
    <w:tmpl w:val="45CC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95331F"/>
    <w:multiLevelType w:val="hybridMultilevel"/>
    <w:tmpl w:val="B294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B22A1"/>
    <w:multiLevelType w:val="hybridMultilevel"/>
    <w:tmpl w:val="5FF25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E918E7"/>
    <w:multiLevelType w:val="hybridMultilevel"/>
    <w:tmpl w:val="3196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3">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9">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30">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4">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6">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7">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2">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7"/>
  </w:num>
  <w:num w:numId="2">
    <w:abstractNumId w:val="31"/>
  </w:num>
  <w:num w:numId="3">
    <w:abstractNumId w:val="45"/>
  </w:num>
  <w:num w:numId="4">
    <w:abstractNumId w:val="32"/>
  </w:num>
  <w:num w:numId="5">
    <w:abstractNumId w:val="26"/>
  </w:num>
  <w:num w:numId="6">
    <w:abstractNumId w:val="42"/>
  </w:num>
  <w:num w:numId="7">
    <w:abstractNumId w:val="47"/>
  </w:num>
  <w:num w:numId="8">
    <w:abstractNumId w:val="49"/>
  </w:num>
  <w:num w:numId="9">
    <w:abstractNumId w:val="44"/>
  </w:num>
  <w:num w:numId="10">
    <w:abstractNumId w:val="19"/>
  </w:num>
  <w:num w:numId="11">
    <w:abstractNumId w:val="4"/>
  </w:num>
  <w:num w:numId="12">
    <w:abstractNumId w:val="15"/>
  </w:num>
  <w:num w:numId="13">
    <w:abstractNumId w:val="12"/>
  </w:num>
  <w:num w:numId="14">
    <w:abstractNumId w:val="6"/>
  </w:num>
  <w:num w:numId="15">
    <w:abstractNumId w:val="39"/>
  </w:num>
  <w:num w:numId="16">
    <w:abstractNumId w:val="5"/>
  </w:num>
  <w:num w:numId="17">
    <w:abstractNumId w:val="40"/>
  </w:num>
  <w:num w:numId="18">
    <w:abstractNumId w:val="13"/>
  </w:num>
  <w:num w:numId="19">
    <w:abstractNumId w:val="23"/>
  </w:num>
  <w:num w:numId="20">
    <w:abstractNumId w:val="10"/>
  </w:num>
  <w:num w:numId="21">
    <w:abstractNumId w:val="16"/>
  </w:num>
  <w:num w:numId="22">
    <w:abstractNumId w:val="25"/>
  </w:num>
  <w:num w:numId="23">
    <w:abstractNumId w:val="43"/>
  </w:num>
  <w:num w:numId="24">
    <w:abstractNumId w:val="38"/>
  </w:num>
  <w:num w:numId="25">
    <w:abstractNumId w:val="20"/>
  </w:num>
  <w:num w:numId="26">
    <w:abstractNumId w:val="30"/>
  </w:num>
  <w:num w:numId="27">
    <w:abstractNumId w:val="21"/>
  </w:num>
  <w:num w:numId="28">
    <w:abstractNumId w:val="24"/>
  </w:num>
  <w:num w:numId="29">
    <w:abstractNumId w:val="36"/>
  </w:num>
  <w:num w:numId="30">
    <w:abstractNumId w:val="48"/>
  </w:num>
  <w:num w:numId="31">
    <w:abstractNumId w:val="33"/>
  </w:num>
  <w:num w:numId="32">
    <w:abstractNumId w:val="41"/>
  </w:num>
  <w:num w:numId="33">
    <w:abstractNumId w:val="28"/>
  </w:num>
  <w:num w:numId="34">
    <w:abstractNumId w:val="35"/>
  </w:num>
  <w:num w:numId="35">
    <w:abstractNumId w:val="22"/>
  </w:num>
  <w:num w:numId="36">
    <w:abstractNumId w:val="3"/>
  </w:num>
  <w:num w:numId="37">
    <w:abstractNumId w:val="8"/>
  </w:num>
  <w:num w:numId="38">
    <w:abstractNumId w:val="29"/>
  </w:num>
  <w:num w:numId="39">
    <w:abstractNumId w:val="1"/>
  </w:num>
  <w:num w:numId="40">
    <w:abstractNumId w:val="34"/>
  </w:num>
  <w:num w:numId="41">
    <w:abstractNumId w:val="7"/>
  </w:num>
  <w:num w:numId="42">
    <w:abstractNumId w:val="2"/>
  </w:num>
  <w:num w:numId="43">
    <w:abstractNumId w:val="46"/>
  </w:num>
  <w:num w:numId="44">
    <w:abstractNumId w:val="27"/>
  </w:num>
  <w:num w:numId="45">
    <w:abstractNumId w:val="9"/>
  </w:num>
  <w:num w:numId="46">
    <w:abstractNumId w:val="17"/>
  </w:num>
  <w:num w:numId="47">
    <w:abstractNumId w:val="18"/>
  </w:num>
  <w:num w:numId="48">
    <w:abstractNumId w:val="11"/>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3DBF"/>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0FA9"/>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CF860C-EAB2-4CF4-BA30-37DBC56C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3</cp:revision>
  <cp:lastPrinted>2012-05-24T21:00:00Z</cp:lastPrinted>
  <dcterms:created xsi:type="dcterms:W3CDTF">2015-02-11T21:11:00Z</dcterms:created>
  <dcterms:modified xsi:type="dcterms:W3CDTF">2015-02-11T21:23:00Z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