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6570"/>
      </w:tblGrid>
      <w:tr w:rsidR="00EB53E8" w:rsidRPr="00F45343" w14:paraId="1E47E3CF" w14:textId="77777777" w:rsidTr="009A62AC">
        <w:tc>
          <w:tcPr>
            <w:tcW w:w="5400" w:type="dxa"/>
          </w:tcPr>
          <w:p w14:paraId="021DB225" w14:textId="55D709F5" w:rsidR="00EB53E8" w:rsidRPr="00F45343" w:rsidRDefault="009A62AC" w:rsidP="009A62AC">
            <w:pPr>
              <w:rPr>
                <w:rFonts w:asciiTheme="majorHAnsi" w:hAnsiTheme="majorHAnsi"/>
                <w:sz w:val="20"/>
              </w:rPr>
            </w:pPr>
            <w:r w:rsidRPr="00F45343">
              <w:rPr>
                <w:rFonts w:asciiTheme="majorHAnsi" w:hAnsiTheme="majorHAnsi"/>
                <w:noProof/>
                <w:sz w:val="20"/>
              </w:rPr>
              <w:drawing>
                <wp:inline distT="0" distB="0" distL="0" distR="0" wp14:anchorId="41BC49A7" wp14:editId="4D4CDEA5">
                  <wp:extent cx="2845861" cy="854765"/>
                  <wp:effectExtent l="0" t="0" r="0" b="254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2025" cy="862623"/>
                          </a:xfrm>
                          <a:prstGeom prst="rect">
                            <a:avLst/>
                          </a:prstGeom>
                          <a:noFill/>
                          <a:ln>
                            <a:noFill/>
                          </a:ln>
                        </pic:spPr>
                      </pic:pic>
                    </a:graphicData>
                  </a:graphic>
                </wp:inline>
              </w:drawing>
            </w:r>
          </w:p>
        </w:tc>
        <w:tc>
          <w:tcPr>
            <w:tcW w:w="6570" w:type="dxa"/>
          </w:tcPr>
          <w:p w14:paraId="65295101" w14:textId="77777777" w:rsidR="002928E3" w:rsidRPr="002928E3" w:rsidRDefault="00EB53E8" w:rsidP="002928E3">
            <w:pPr>
              <w:rPr>
                <w:rFonts w:asciiTheme="majorHAnsi" w:hAnsiTheme="majorHAnsi"/>
                <w:b/>
                <w:color w:val="17365D" w:themeColor="text2" w:themeShade="BF"/>
                <w:sz w:val="32"/>
                <w:szCs w:val="32"/>
              </w:rPr>
            </w:pPr>
            <w:r w:rsidRPr="002928E3">
              <w:rPr>
                <w:rFonts w:asciiTheme="majorHAnsi" w:hAnsiTheme="majorHAnsi"/>
                <w:b/>
                <w:color w:val="17365D" w:themeColor="text2" w:themeShade="BF"/>
                <w:sz w:val="32"/>
                <w:szCs w:val="32"/>
              </w:rPr>
              <w:t>EXPERT FOCUS GROUP –</w:t>
            </w:r>
            <w:r w:rsidR="004B1FD3" w:rsidRPr="002928E3">
              <w:rPr>
                <w:rFonts w:asciiTheme="majorHAnsi" w:hAnsiTheme="majorHAnsi"/>
                <w:b/>
                <w:color w:val="17365D" w:themeColor="text2" w:themeShade="BF"/>
                <w:sz w:val="32"/>
                <w:szCs w:val="32"/>
              </w:rPr>
              <w:t xml:space="preserve"> </w:t>
            </w:r>
            <w:r w:rsidR="00D42B7D" w:rsidRPr="002928E3">
              <w:rPr>
                <w:rFonts w:asciiTheme="majorHAnsi" w:hAnsiTheme="majorHAnsi"/>
                <w:b/>
                <w:color w:val="17365D" w:themeColor="text2" w:themeShade="BF"/>
                <w:sz w:val="32"/>
                <w:szCs w:val="32"/>
              </w:rPr>
              <w:t>FREE, PRIOR AND INFORMED CONSENT OF INDIGENOUS PEOPLES</w:t>
            </w:r>
            <w:r w:rsidR="00976B71" w:rsidRPr="002928E3">
              <w:rPr>
                <w:rFonts w:asciiTheme="majorHAnsi" w:hAnsiTheme="majorHAnsi"/>
                <w:b/>
                <w:color w:val="17365D" w:themeColor="text2" w:themeShade="BF"/>
                <w:sz w:val="32"/>
                <w:szCs w:val="32"/>
              </w:rPr>
              <w:t xml:space="preserve"> </w:t>
            </w:r>
          </w:p>
          <w:p w14:paraId="1B86D28B" w14:textId="7D158FD1" w:rsidR="00DE02B3" w:rsidRPr="002928E3" w:rsidRDefault="00D42B7D" w:rsidP="002928E3">
            <w:pPr>
              <w:rPr>
                <w:rFonts w:asciiTheme="majorHAnsi" w:hAnsiTheme="majorHAnsi"/>
                <w:color w:val="17365D" w:themeColor="text2" w:themeShade="BF"/>
                <w:sz w:val="28"/>
                <w:szCs w:val="28"/>
              </w:rPr>
            </w:pPr>
            <w:r w:rsidRPr="002928E3">
              <w:rPr>
                <w:rFonts w:asciiTheme="majorHAnsi" w:hAnsiTheme="majorHAnsi"/>
                <w:color w:val="17365D" w:themeColor="text2" w:themeShade="BF"/>
                <w:sz w:val="28"/>
                <w:szCs w:val="28"/>
              </w:rPr>
              <w:t xml:space="preserve">Manila, Philippines </w:t>
            </w:r>
            <w:r w:rsidR="005C0132" w:rsidRPr="002928E3">
              <w:rPr>
                <w:rFonts w:asciiTheme="majorHAnsi" w:hAnsiTheme="majorHAnsi"/>
                <w:color w:val="17365D" w:themeColor="text2" w:themeShade="BF"/>
                <w:sz w:val="28"/>
                <w:szCs w:val="28"/>
              </w:rPr>
              <w:t xml:space="preserve">- </w:t>
            </w:r>
            <w:r w:rsidRPr="002928E3">
              <w:rPr>
                <w:rFonts w:asciiTheme="majorHAnsi" w:hAnsiTheme="majorHAnsi"/>
                <w:color w:val="17365D" w:themeColor="text2" w:themeShade="BF"/>
                <w:sz w:val="28"/>
                <w:szCs w:val="28"/>
              </w:rPr>
              <w:t>March 21</w:t>
            </w:r>
            <w:r w:rsidR="004B1FD3" w:rsidRPr="002928E3">
              <w:rPr>
                <w:rFonts w:asciiTheme="majorHAnsi" w:hAnsiTheme="majorHAnsi"/>
                <w:color w:val="17365D" w:themeColor="text2" w:themeShade="BF"/>
                <w:sz w:val="28"/>
                <w:szCs w:val="28"/>
              </w:rPr>
              <w:t>, 2013</w:t>
            </w:r>
            <w:r w:rsidR="009A62AC" w:rsidRPr="002928E3">
              <w:rPr>
                <w:rFonts w:asciiTheme="majorHAnsi" w:hAnsiTheme="majorHAnsi"/>
                <w:color w:val="17365D" w:themeColor="text2" w:themeShade="BF"/>
                <w:sz w:val="28"/>
                <w:szCs w:val="28"/>
              </w:rPr>
              <w:t xml:space="preserve"> </w:t>
            </w:r>
          </w:p>
        </w:tc>
      </w:tr>
    </w:tbl>
    <w:p w14:paraId="38EB4D77" w14:textId="77777777" w:rsidR="002A0C37" w:rsidRDefault="002A0C37" w:rsidP="00077CE0">
      <w:pPr>
        <w:rPr>
          <w:rFonts w:asciiTheme="majorHAnsi" w:hAnsiTheme="majorHAnsi"/>
          <w:b/>
          <w:color w:val="365F91" w:themeColor="accent1" w:themeShade="BF"/>
          <w:sz w:val="18"/>
          <w:szCs w:val="18"/>
        </w:rPr>
      </w:pPr>
    </w:p>
    <w:p w14:paraId="46FB3059" w14:textId="338F455A" w:rsidR="00E46CD0" w:rsidRPr="00077CE0" w:rsidRDefault="00E46CD0" w:rsidP="00077CE0">
      <w:pPr>
        <w:rPr>
          <w:rFonts w:asciiTheme="majorHAnsi" w:hAnsiTheme="majorHAnsi"/>
          <w:sz w:val="18"/>
          <w:szCs w:val="18"/>
        </w:rPr>
      </w:pPr>
    </w:p>
    <w:p w14:paraId="1C1FF03A" w14:textId="77777777" w:rsidR="002928E3" w:rsidRDefault="002928E3" w:rsidP="00D54DDD">
      <w:pPr>
        <w:widowControl w:val="0"/>
        <w:tabs>
          <w:tab w:val="left" w:pos="940"/>
          <w:tab w:val="left" w:pos="1440"/>
        </w:tabs>
        <w:autoSpaceDE w:val="0"/>
        <w:autoSpaceDN w:val="0"/>
        <w:adjustRightInd w:val="0"/>
        <w:ind w:left="1440"/>
        <w:rPr>
          <w:rFonts w:asciiTheme="majorHAnsi" w:hAnsiTheme="majorHAnsi"/>
          <w:sz w:val="20"/>
        </w:rPr>
      </w:pPr>
    </w:p>
    <w:p w14:paraId="104F9D64" w14:textId="77777777" w:rsidR="002928E3" w:rsidRDefault="002928E3" w:rsidP="00D54DDD">
      <w:pPr>
        <w:widowControl w:val="0"/>
        <w:tabs>
          <w:tab w:val="left" w:pos="940"/>
          <w:tab w:val="left" w:pos="1440"/>
        </w:tabs>
        <w:autoSpaceDE w:val="0"/>
        <w:autoSpaceDN w:val="0"/>
        <w:adjustRightInd w:val="0"/>
        <w:ind w:left="1440"/>
        <w:rPr>
          <w:rFonts w:asciiTheme="majorHAnsi" w:hAnsiTheme="majorHAnsi"/>
          <w:sz w:val="20"/>
        </w:rPr>
      </w:pPr>
    </w:p>
    <w:p w14:paraId="5955C145" w14:textId="2B70B875" w:rsidR="002928E3" w:rsidRPr="002928E3" w:rsidRDefault="002928E3" w:rsidP="002928E3">
      <w:pPr>
        <w:widowControl w:val="0"/>
        <w:tabs>
          <w:tab w:val="left" w:pos="940"/>
          <w:tab w:val="left" w:pos="1440"/>
        </w:tabs>
        <w:autoSpaceDE w:val="0"/>
        <w:autoSpaceDN w:val="0"/>
        <w:adjustRightInd w:val="0"/>
        <w:rPr>
          <w:rFonts w:asciiTheme="majorHAnsi" w:hAnsiTheme="majorHAnsi"/>
          <w:b/>
          <w:color w:val="17365D" w:themeColor="text2" w:themeShade="BF"/>
          <w:sz w:val="28"/>
          <w:szCs w:val="28"/>
        </w:rPr>
      </w:pPr>
      <w:r w:rsidRPr="002928E3">
        <w:rPr>
          <w:rFonts w:asciiTheme="majorHAnsi" w:hAnsiTheme="majorHAnsi"/>
          <w:b/>
          <w:color w:val="17365D" w:themeColor="text2" w:themeShade="BF"/>
          <w:sz w:val="28"/>
          <w:szCs w:val="28"/>
        </w:rPr>
        <w:t>PARTICIPANTS</w:t>
      </w:r>
    </w:p>
    <w:p w14:paraId="49E459E5" w14:textId="77777777" w:rsidR="002928E3" w:rsidRDefault="002928E3" w:rsidP="00D54DDD">
      <w:pPr>
        <w:widowControl w:val="0"/>
        <w:tabs>
          <w:tab w:val="left" w:pos="940"/>
          <w:tab w:val="left" w:pos="1440"/>
        </w:tabs>
        <w:autoSpaceDE w:val="0"/>
        <w:autoSpaceDN w:val="0"/>
        <w:adjustRightInd w:val="0"/>
        <w:ind w:left="1440"/>
        <w:rPr>
          <w:rFonts w:asciiTheme="majorHAnsi" w:hAnsiTheme="majorHAnsi"/>
          <w:sz w:val="20"/>
        </w:rPr>
      </w:pPr>
    </w:p>
    <w:tbl>
      <w:tblPr>
        <w:tblStyle w:val="TableGrid"/>
        <w:tblW w:w="12978" w:type="dxa"/>
        <w:tblLook w:val="04A0" w:firstRow="1" w:lastRow="0" w:firstColumn="1" w:lastColumn="0" w:noHBand="0" w:noVBand="1"/>
      </w:tblPr>
      <w:tblGrid>
        <w:gridCol w:w="1902"/>
        <w:gridCol w:w="11076"/>
      </w:tblGrid>
      <w:tr w:rsidR="002928E3" w:rsidRPr="00A20298" w14:paraId="6496DC24" w14:textId="77777777" w:rsidTr="00746876">
        <w:tc>
          <w:tcPr>
            <w:tcW w:w="1902" w:type="dxa"/>
            <w:shd w:val="clear" w:color="auto" w:fill="002060"/>
          </w:tcPr>
          <w:p w14:paraId="7BB42E88" w14:textId="77777777" w:rsidR="002928E3" w:rsidRPr="00A20298" w:rsidRDefault="002928E3" w:rsidP="00746876">
            <w:pPr>
              <w:rPr>
                <w:rFonts w:cstheme="minorHAnsi"/>
                <w:b/>
                <w:color w:val="FFFFFF" w:themeColor="background1"/>
                <w:sz w:val="20"/>
                <w:szCs w:val="20"/>
              </w:rPr>
            </w:pPr>
            <w:r w:rsidRPr="00A20298">
              <w:rPr>
                <w:rFonts w:cstheme="minorHAnsi"/>
                <w:b/>
                <w:sz w:val="20"/>
                <w:szCs w:val="20"/>
              </w:rPr>
              <w:br w:type="page"/>
            </w:r>
            <w:r w:rsidRPr="00A20298">
              <w:rPr>
                <w:rFonts w:cstheme="minorHAnsi"/>
                <w:b/>
                <w:color w:val="FFFFFF" w:themeColor="background1"/>
                <w:sz w:val="20"/>
                <w:szCs w:val="20"/>
              </w:rPr>
              <w:t>Name</w:t>
            </w:r>
          </w:p>
        </w:tc>
        <w:tc>
          <w:tcPr>
            <w:tcW w:w="11076" w:type="dxa"/>
            <w:shd w:val="clear" w:color="auto" w:fill="002060"/>
          </w:tcPr>
          <w:p w14:paraId="4A6A2193" w14:textId="77777777" w:rsidR="002928E3" w:rsidRPr="00A20298" w:rsidRDefault="002928E3" w:rsidP="00746876">
            <w:pPr>
              <w:rPr>
                <w:rFonts w:cstheme="minorHAnsi"/>
                <w:b/>
                <w:color w:val="FFFFFF" w:themeColor="background1"/>
                <w:sz w:val="20"/>
                <w:szCs w:val="20"/>
              </w:rPr>
            </w:pPr>
            <w:r w:rsidRPr="00A20298">
              <w:rPr>
                <w:rFonts w:cstheme="minorHAnsi"/>
                <w:b/>
                <w:color w:val="FFFFFF" w:themeColor="background1"/>
                <w:sz w:val="20"/>
                <w:szCs w:val="20"/>
              </w:rPr>
              <w:t>Short bio</w:t>
            </w:r>
          </w:p>
        </w:tc>
      </w:tr>
      <w:tr w:rsidR="002928E3" w:rsidRPr="00A20298" w14:paraId="63813D22" w14:textId="77777777" w:rsidTr="00746876">
        <w:tc>
          <w:tcPr>
            <w:tcW w:w="1902" w:type="dxa"/>
          </w:tcPr>
          <w:p w14:paraId="0A8845D2" w14:textId="77777777" w:rsidR="002928E3" w:rsidRPr="00A20298" w:rsidRDefault="002928E3" w:rsidP="00746876">
            <w:pPr>
              <w:jc w:val="both"/>
              <w:rPr>
                <w:rFonts w:cstheme="minorHAnsi"/>
                <w:sz w:val="20"/>
                <w:szCs w:val="20"/>
              </w:rPr>
            </w:pPr>
            <w:r w:rsidRPr="00A20298">
              <w:rPr>
                <w:rFonts w:cstheme="minorHAnsi"/>
                <w:sz w:val="20"/>
                <w:szCs w:val="20"/>
              </w:rPr>
              <w:t>ANAYA, James</w:t>
            </w:r>
          </w:p>
        </w:tc>
        <w:tc>
          <w:tcPr>
            <w:tcW w:w="11076" w:type="dxa"/>
          </w:tcPr>
          <w:p w14:paraId="28EB3C9E" w14:textId="77777777" w:rsidR="002928E3" w:rsidRPr="00A20298" w:rsidRDefault="002928E3" w:rsidP="00746876">
            <w:pPr>
              <w:rPr>
                <w:rFonts w:cstheme="minorHAnsi"/>
                <w:bCs/>
                <w:sz w:val="20"/>
                <w:szCs w:val="20"/>
              </w:rPr>
            </w:pPr>
            <w:r w:rsidRPr="00A20298">
              <w:rPr>
                <w:rFonts w:cstheme="minorHAnsi"/>
                <w:b/>
                <w:snapToGrid w:val="0"/>
                <w:sz w:val="20"/>
                <w:szCs w:val="20"/>
              </w:rPr>
              <w:t>James Anaya</w:t>
            </w:r>
            <w:r w:rsidRPr="00A20298">
              <w:rPr>
                <w:rFonts w:cstheme="minorHAnsi"/>
                <w:snapToGrid w:val="0"/>
                <w:sz w:val="20"/>
                <w:szCs w:val="20"/>
              </w:rPr>
              <w:t xml:space="preserve"> is a Regents Professor and the James J. Lenoir Professor of Human Rights Law and Policy at the University of Arizona James E. Rogers College of Law (USA), where he teaches and writes in the areas of international human rights, constitutional law, and issues concerning indigenous peoples. Professor Anaya is a graduate of the University of New Mexico (B.A., 1980) and Harvard Law School (J.D., 1983). Among his numerous publications is his acclaimed book, </w:t>
            </w:r>
            <w:r w:rsidRPr="00A20298">
              <w:rPr>
                <w:rFonts w:cstheme="minorHAnsi"/>
                <w:i/>
                <w:snapToGrid w:val="0"/>
                <w:sz w:val="20"/>
                <w:szCs w:val="20"/>
              </w:rPr>
              <w:t>Indigenous Peoples in International Law</w:t>
            </w:r>
            <w:r w:rsidRPr="00A20298">
              <w:rPr>
                <w:rFonts w:cstheme="minorHAnsi"/>
                <w:snapToGrid w:val="0"/>
                <w:sz w:val="20"/>
                <w:szCs w:val="20"/>
              </w:rPr>
              <w:t xml:space="preserve"> (Oxford Univ. Press, 1996, 2d. ed. 2004). In 2008 the United Nations Human Rights Council appointed Professor Anaya as its Special Rapporteur on the Rights of Indigenous Peoples. In that capacity, he monitors the human rights of conditions of indigenous peoples worldwide, addresses situations in which their rights are being violated, promotes practical measures to secure indigenous peoples’ rights, and conducts studies on issues of common concern to indigenous peoples. Among his noteworthy activities prior to becoming Special Rapporteur, he participated in the drafting of the United Nations Declaration on the Rights of Indigenous Peoples and was the lead counsel for the indigenous parties in the case of </w:t>
            </w:r>
            <w:proofErr w:type="spellStart"/>
            <w:r w:rsidRPr="00A20298">
              <w:rPr>
                <w:rFonts w:cstheme="minorHAnsi"/>
                <w:i/>
                <w:snapToGrid w:val="0"/>
                <w:sz w:val="20"/>
                <w:szCs w:val="20"/>
              </w:rPr>
              <w:t>Awas</w:t>
            </w:r>
            <w:proofErr w:type="spellEnd"/>
            <w:r w:rsidRPr="00A20298">
              <w:rPr>
                <w:rFonts w:cstheme="minorHAnsi"/>
                <w:i/>
                <w:snapToGrid w:val="0"/>
                <w:sz w:val="20"/>
                <w:szCs w:val="20"/>
              </w:rPr>
              <w:t xml:space="preserve"> </w:t>
            </w:r>
            <w:proofErr w:type="spellStart"/>
            <w:r w:rsidRPr="00A20298">
              <w:rPr>
                <w:rFonts w:cstheme="minorHAnsi"/>
                <w:i/>
                <w:snapToGrid w:val="0"/>
                <w:sz w:val="20"/>
                <w:szCs w:val="20"/>
              </w:rPr>
              <w:t>Tingni</w:t>
            </w:r>
            <w:proofErr w:type="spellEnd"/>
            <w:r w:rsidRPr="00A20298">
              <w:rPr>
                <w:rFonts w:cstheme="minorHAnsi"/>
                <w:i/>
                <w:snapToGrid w:val="0"/>
                <w:sz w:val="20"/>
                <w:szCs w:val="20"/>
              </w:rPr>
              <w:t xml:space="preserve"> v. Nicaragua</w:t>
            </w:r>
            <w:r w:rsidRPr="00A20298">
              <w:rPr>
                <w:rFonts w:cstheme="minorHAnsi"/>
                <w:snapToGrid w:val="0"/>
                <w:sz w:val="20"/>
                <w:szCs w:val="20"/>
              </w:rPr>
              <w:t>, in which the Inter-American Court of Human Rights for the first time upheld indigenous land rights as a matter of international law.</w:t>
            </w:r>
          </w:p>
        </w:tc>
      </w:tr>
      <w:tr w:rsidR="002928E3" w:rsidRPr="00A20298" w14:paraId="7B1217F9" w14:textId="77777777" w:rsidTr="00746876">
        <w:tc>
          <w:tcPr>
            <w:tcW w:w="1902" w:type="dxa"/>
          </w:tcPr>
          <w:p w14:paraId="701322FB" w14:textId="77777777" w:rsidR="002928E3" w:rsidRPr="00A20298" w:rsidRDefault="002928E3" w:rsidP="00746876">
            <w:pPr>
              <w:widowControl w:val="0"/>
              <w:autoSpaceDE w:val="0"/>
              <w:autoSpaceDN w:val="0"/>
              <w:adjustRightInd w:val="0"/>
              <w:rPr>
                <w:rFonts w:cstheme="minorHAnsi"/>
                <w:sz w:val="20"/>
                <w:szCs w:val="20"/>
              </w:rPr>
            </w:pPr>
            <w:r w:rsidRPr="00A20298">
              <w:rPr>
                <w:rFonts w:cstheme="minorHAnsi"/>
                <w:bCs/>
                <w:sz w:val="20"/>
                <w:szCs w:val="20"/>
              </w:rPr>
              <w:t xml:space="preserve">BARUME, Albert </w:t>
            </w:r>
          </w:p>
        </w:tc>
        <w:tc>
          <w:tcPr>
            <w:tcW w:w="11076" w:type="dxa"/>
          </w:tcPr>
          <w:p w14:paraId="2931EB06" w14:textId="77777777" w:rsidR="002928E3" w:rsidRPr="00A20298" w:rsidRDefault="002928E3" w:rsidP="00746876">
            <w:pPr>
              <w:rPr>
                <w:rFonts w:cstheme="minorHAnsi"/>
                <w:bCs/>
                <w:sz w:val="20"/>
                <w:szCs w:val="20"/>
              </w:rPr>
            </w:pPr>
            <w:r w:rsidRPr="00A20298">
              <w:rPr>
                <w:rFonts w:cstheme="minorHAnsi"/>
                <w:b/>
                <w:bCs/>
                <w:sz w:val="20"/>
                <w:szCs w:val="20"/>
              </w:rPr>
              <w:t xml:space="preserve">Albert </w:t>
            </w:r>
            <w:proofErr w:type="spellStart"/>
            <w:r w:rsidRPr="00A20298">
              <w:rPr>
                <w:rFonts w:cstheme="minorHAnsi"/>
                <w:b/>
                <w:bCs/>
                <w:sz w:val="20"/>
                <w:szCs w:val="20"/>
              </w:rPr>
              <w:t>Barume</w:t>
            </w:r>
            <w:proofErr w:type="spellEnd"/>
            <w:r w:rsidRPr="00A20298">
              <w:rPr>
                <w:rFonts w:cstheme="minorHAnsi"/>
                <w:bCs/>
                <w:sz w:val="20"/>
                <w:szCs w:val="20"/>
              </w:rPr>
              <w:t xml:space="preserve"> is a trained lawyer with a Doctorate in international human rights law with special focus on indigenous people's rights. He</w:t>
            </w:r>
            <w:r>
              <w:rPr>
                <w:rFonts w:cstheme="minorHAnsi"/>
                <w:bCs/>
                <w:sz w:val="20"/>
                <w:szCs w:val="20"/>
              </w:rPr>
              <w:t xml:space="preserve"> </w:t>
            </w:r>
            <w:r w:rsidRPr="00A20298">
              <w:rPr>
                <w:rFonts w:cstheme="minorHAnsi"/>
                <w:bCs/>
                <w:sz w:val="20"/>
                <w:szCs w:val="20"/>
              </w:rPr>
              <w:t xml:space="preserve">has extensively worked and researched on indigenous peoples and natural resources-related issues over the last twenty years, being active in relevant processes at national, regional and international levels. He is currently a member of the African Commission on Human and Peoples Rights' Working Group on Indigenous Peoples. He has published several books and articles on the issue. He is currently working for the Geneva-based International </w:t>
            </w:r>
            <w:proofErr w:type="spellStart"/>
            <w:r w:rsidRPr="00A20298">
              <w:rPr>
                <w:rFonts w:cstheme="minorHAnsi"/>
                <w:bCs/>
                <w:sz w:val="20"/>
                <w:szCs w:val="20"/>
              </w:rPr>
              <w:t>Labour</w:t>
            </w:r>
            <w:proofErr w:type="spellEnd"/>
            <w:r w:rsidRPr="00A20298">
              <w:rPr>
                <w:rFonts w:cstheme="minorHAnsi"/>
                <w:bCs/>
                <w:sz w:val="20"/>
                <w:szCs w:val="20"/>
              </w:rPr>
              <w:t xml:space="preserve"> </w:t>
            </w:r>
            <w:proofErr w:type="spellStart"/>
            <w:r w:rsidRPr="00A20298">
              <w:rPr>
                <w:rFonts w:cstheme="minorHAnsi"/>
                <w:bCs/>
                <w:sz w:val="20"/>
                <w:szCs w:val="20"/>
              </w:rPr>
              <w:t>Organisation</w:t>
            </w:r>
            <w:proofErr w:type="spellEnd"/>
            <w:r w:rsidRPr="00A20298">
              <w:rPr>
                <w:rFonts w:cstheme="minorHAnsi"/>
                <w:bCs/>
                <w:sz w:val="20"/>
                <w:szCs w:val="20"/>
              </w:rPr>
              <w:t xml:space="preserve"> (ILO) as Senior specialist in indigenous and tribal issues and provides technical coordination of the ILO global </w:t>
            </w:r>
            <w:proofErr w:type="spellStart"/>
            <w:r w:rsidRPr="00A20298">
              <w:rPr>
                <w:rFonts w:cstheme="minorHAnsi"/>
                <w:bCs/>
                <w:sz w:val="20"/>
                <w:szCs w:val="20"/>
              </w:rPr>
              <w:t>Programme</w:t>
            </w:r>
            <w:proofErr w:type="spellEnd"/>
            <w:r w:rsidRPr="00A20298">
              <w:rPr>
                <w:rFonts w:cstheme="minorHAnsi"/>
                <w:bCs/>
                <w:sz w:val="20"/>
                <w:szCs w:val="20"/>
              </w:rPr>
              <w:t xml:space="preserve"> on Indigenous Peoples, called PRO 169.</w:t>
            </w:r>
          </w:p>
        </w:tc>
      </w:tr>
      <w:tr w:rsidR="002928E3" w:rsidRPr="00A20298" w14:paraId="7CDD4BA3" w14:textId="77777777" w:rsidTr="00746876">
        <w:tc>
          <w:tcPr>
            <w:tcW w:w="1902" w:type="dxa"/>
          </w:tcPr>
          <w:p w14:paraId="002EA0A6" w14:textId="77777777" w:rsidR="002928E3" w:rsidRPr="00A20298" w:rsidRDefault="002928E3" w:rsidP="00746876">
            <w:pPr>
              <w:widowControl w:val="0"/>
              <w:tabs>
                <w:tab w:val="left" w:pos="220"/>
                <w:tab w:val="left" w:pos="720"/>
              </w:tabs>
              <w:autoSpaceDE w:val="0"/>
              <w:autoSpaceDN w:val="0"/>
              <w:adjustRightInd w:val="0"/>
              <w:rPr>
                <w:rFonts w:cstheme="minorHAnsi"/>
                <w:bCs/>
                <w:sz w:val="20"/>
                <w:szCs w:val="20"/>
              </w:rPr>
            </w:pPr>
            <w:r w:rsidRPr="00A20298">
              <w:rPr>
                <w:rFonts w:cstheme="minorHAnsi"/>
                <w:bCs/>
                <w:sz w:val="20"/>
                <w:szCs w:val="20"/>
              </w:rPr>
              <w:t>CAMPBELL, Maia</w:t>
            </w:r>
          </w:p>
        </w:tc>
        <w:tc>
          <w:tcPr>
            <w:tcW w:w="11076" w:type="dxa"/>
          </w:tcPr>
          <w:p w14:paraId="17D5B714" w14:textId="77777777" w:rsidR="002928E3" w:rsidRPr="00A20298" w:rsidRDefault="002928E3" w:rsidP="00746876">
            <w:pPr>
              <w:pStyle w:val="NormalWeb"/>
              <w:rPr>
                <w:rFonts w:asciiTheme="minorHAnsi" w:hAnsiTheme="minorHAnsi" w:cstheme="minorHAnsi"/>
                <w:bCs/>
                <w:sz w:val="20"/>
                <w:szCs w:val="20"/>
              </w:rPr>
            </w:pPr>
            <w:r w:rsidRPr="00A20298">
              <w:rPr>
                <w:rFonts w:asciiTheme="minorHAnsi" w:eastAsiaTheme="minorHAnsi" w:hAnsiTheme="minorHAnsi" w:cstheme="minorHAnsi"/>
                <w:b/>
                <w:bCs/>
                <w:sz w:val="20"/>
                <w:szCs w:val="20"/>
              </w:rPr>
              <w:t xml:space="preserve">Maia Campbell </w:t>
            </w:r>
            <w:r w:rsidRPr="00A20298">
              <w:rPr>
                <w:rFonts w:asciiTheme="minorHAnsi" w:eastAsiaTheme="minorHAnsi" w:hAnsiTheme="minorHAnsi" w:cstheme="minorHAnsi"/>
                <w:bCs/>
                <w:sz w:val="20"/>
                <w:szCs w:val="20"/>
              </w:rPr>
              <w:t xml:space="preserve">is an Associate Human Rights Officer at the United Nations Office of the High Commissioner for Human Rights in Geneva, working for the mandate of the Special Rapporteur on the Rights of Indigenous Peoples. Previously, she was a key member of the legal team that advocated for Maya villages in Belize in their successful case before the Belize Supreme Court. She also assisted the </w:t>
            </w:r>
            <w:proofErr w:type="spellStart"/>
            <w:r w:rsidRPr="00A20298">
              <w:rPr>
                <w:rFonts w:asciiTheme="minorHAnsi" w:eastAsiaTheme="minorHAnsi" w:hAnsiTheme="minorHAnsi" w:cstheme="minorHAnsi"/>
                <w:bCs/>
                <w:sz w:val="20"/>
                <w:szCs w:val="20"/>
              </w:rPr>
              <w:t>Awas</w:t>
            </w:r>
            <w:proofErr w:type="spellEnd"/>
            <w:r w:rsidRPr="00A20298">
              <w:rPr>
                <w:rFonts w:asciiTheme="minorHAnsi" w:eastAsiaTheme="minorHAnsi" w:hAnsiTheme="minorHAnsi" w:cstheme="minorHAnsi"/>
                <w:bCs/>
                <w:sz w:val="20"/>
                <w:szCs w:val="20"/>
              </w:rPr>
              <w:t xml:space="preserve"> </w:t>
            </w:r>
            <w:proofErr w:type="spellStart"/>
            <w:r w:rsidRPr="00A20298">
              <w:rPr>
                <w:rFonts w:asciiTheme="minorHAnsi" w:eastAsiaTheme="minorHAnsi" w:hAnsiTheme="minorHAnsi" w:cstheme="minorHAnsi"/>
                <w:bCs/>
                <w:sz w:val="20"/>
                <w:szCs w:val="20"/>
              </w:rPr>
              <w:t>Tingni</w:t>
            </w:r>
            <w:proofErr w:type="spellEnd"/>
            <w:r w:rsidRPr="00A20298">
              <w:rPr>
                <w:rFonts w:asciiTheme="minorHAnsi" w:eastAsiaTheme="minorHAnsi" w:hAnsiTheme="minorHAnsi" w:cstheme="minorHAnsi"/>
                <w:bCs/>
                <w:sz w:val="20"/>
                <w:szCs w:val="20"/>
              </w:rPr>
              <w:t xml:space="preserve"> community in Nicaragua with implementation of its 2001 land rights judgment by the Inter-American Court of Human Rights. Maia Campbell is a graduate of Pomona College (B.A. Philosophy, 2001) and the University of Arizona College of Law (J.D. 2007).</w:t>
            </w:r>
          </w:p>
        </w:tc>
      </w:tr>
      <w:tr w:rsidR="002928E3" w:rsidRPr="00A20298" w14:paraId="6B0519B7" w14:textId="77777777" w:rsidTr="00746876">
        <w:tc>
          <w:tcPr>
            <w:tcW w:w="1902" w:type="dxa"/>
          </w:tcPr>
          <w:p w14:paraId="50AB9E76" w14:textId="77777777" w:rsidR="002928E3" w:rsidRPr="00A20298" w:rsidRDefault="002928E3" w:rsidP="00746876">
            <w:pPr>
              <w:widowControl w:val="0"/>
              <w:autoSpaceDE w:val="0"/>
              <w:autoSpaceDN w:val="0"/>
              <w:adjustRightInd w:val="0"/>
              <w:rPr>
                <w:rFonts w:cstheme="minorHAnsi"/>
                <w:sz w:val="20"/>
                <w:szCs w:val="20"/>
              </w:rPr>
            </w:pPr>
            <w:r w:rsidRPr="00A20298">
              <w:rPr>
                <w:rFonts w:cstheme="minorHAnsi"/>
                <w:bCs/>
                <w:sz w:val="20"/>
                <w:szCs w:val="20"/>
              </w:rPr>
              <w:t xml:space="preserve">CARLING, Joan </w:t>
            </w:r>
          </w:p>
        </w:tc>
        <w:tc>
          <w:tcPr>
            <w:tcW w:w="11076" w:type="dxa"/>
          </w:tcPr>
          <w:p w14:paraId="62EAF6A6" w14:textId="77777777" w:rsidR="002928E3" w:rsidRPr="00A20298" w:rsidRDefault="002928E3" w:rsidP="00746876">
            <w:pPr>
              <w:rPr>
                <w:rFonts w:cstheme="minorHAnsi"/>
                <w:bCs/>
                <w:sz w:val="20"/>
                <w:szCs w:val="20"/>
              </w:rPr>
            </w:pPr>
            <w:r w:rsidRPr="00A20298">
              <w:rPr>
                <w:rFonts w:cstheme="minorHAnsi"/>
                <w:b/>
                <w:bCs/>
                <w:sz w:val="20"/>
                <w:szCs w:val="20"/>
              </w:rPr>
              <w:t>Joan Carling</w:t>
            </w:r>
            <w:r w:rsidRPr="00A20298">
              <w:rPr>
                <w:rFonts w:cstheme="minorHAnsi"/>
                <w:bCs/>
                <w:sz w:val="20"/>
                <w:szCs w:val="20"/>
              </w:rPr>
              <w:t xml:space="preserve"> is an indigenous activist from the Cordillera, Philippines. She has been working on indigenous issues at the grassroots to international levels for more than 20 years. Her field of expertise includes human rights, collective rights of </w:t>
            </w:r>
            <w:r w:rsidRPr="00A20298">
              <w:rPr>
                <w:rFonts w:cstheme="minorHAnsi"/>
                <w:bCs/>
                <w:sz w:val="20"/>
                <w:szCs w:val="20"/>
              </w:rPr>
              <w:lastRenderedPageBreak/>
              <w:t xml:space="preserve">indigenous peoples in relation to development, environment, and climate change, International Financial Institutions as well as the principle and application of Free Prior and Informed Consent (FPIC). She has been doing capacity building of indigenous peoples as a trainer; lobby and advocacy work, as well as; networking in generating support to indigenous peoples’ movements in Asia.  She has been elected twice as the Secretary General of the Asia Indigenous Peoples Pact (AIPP), starting 2008, and has been leading its secretariat with 20 staff in implementing the </w:t>
            </w:r>
            <w:proofErr w:type="spellStart"/>
            <w:r w:rsidRPr="00A20298">
              <w:rPr>
                <w:rFonts w:cstheme="minorHAnsi"/>
                <w:bCs/>
                <w:sz w:val="20"/>
                <w:szCs w:val="20"/>
              </w:rPr>
              <w:t>programmes</w:t>
            </w:r>
            <w:proofErr w:type="spellEnd"/>
            <w:r w:rsidRPr="00A20298">
              <w:rPr>
                <w:rFonts w:cstheme="minorHAnsi"/>
                <w:bCs/>
                <w:sz w:val="20"/>
                <w:szCs w:val="20"/>
              </w:rPr>
              <w:t xml:space="preserve"> of AIPP. Joan Carling is also the official voice of AIPP, representing its 47 member organizations in 14 countries.</w:t>
            </w:r>
          </w:p>
        </w:tc>
      </w:tr>
      <w:tr w:rsidR="002928E3" w:rsidRPr="00A20298" w14:paraId="4FE81073" w14:textId="77777777" w:rsidTr="00746876">
        <w:tc>
          <w:tcPr>
            <w:tcW w:w="1902" w:type="dxa"/>
          </w:tcPr>
          <w:p w14:paraId="3DB87266" w14:textId="77777777" w:rsidR="002928E3" w:rsidRPr="00A20298" w:rsidRDefault="002928E3" w:rsidP="00746876">
            <w:pPr>
              <w:widowControl w:val="0"/>
              <w:autoSpaceDE w:val="0"/>
              <w:autoSpaceDN w:val="0"/>
              <w:adjustRightInd w:val="0"/>
              <w:rPr>
                <w:rFonts w:cstheme="minorHAnsi"/>
                <w:sz w:val="20"/>
                <w:szCs w:val="20"/>
              </w:rPr>
            </w:pPr>
            <w:r w:rsidRPr="00A20298">
              <w:rPr>
                <w:rFonts w:cstheme="minorHAnsi"/>
                <w:bCs/>
                <w:sz w:val="20"/>
                <w:szCs w:val="20"/>
              </w:rPr>
              <w:lastRenderedPageBreak/>
              <w:t>CRIPPA, Leonardo</w:t>
            </w:r>
            <w:r w:rsidRPr="00A20298">
              <w:rPr>
                <w:rFonts w:cstheme="minorHAnsi"/>
                <w:sz w:val="20"/>
                <w:szCs w:val="20"/>
              </w:rPr>
              <w:t xml:space="preserve"> </w:t>
            </w:r>
          </w:p>
        </w:tc>
        <w:tc>
          <w:tcPr>
            <w:tcW w:w="11076" w:type="dxa"/>
          </w:tcPr>
          <w:p w14:paraId="680982B4" w14:textId="77777777" w:rsidR="002928E3" w:rsidRPr="00A20298" w:rsidRDefault="002928E3" w:rsidP="00746876">
            <w:pPr>
              <w:pStyle w:val="ecxmsonormal"/>
              <w:rPr>
                <w:rFonts w:asciiTheme="minorHAnsi" w:hAnsiTheme="minorHAnsi" w:cstheme="minorHAnsi"/>
                <w:bCs/>
                <w:sz w:val="20"/>
                <w:szCs w:val="20"/>
              </w:rPr>
            </w:pPr>
            <w:r w:rsidRPr="00A20298">
              <w:rPr>
                <w:rFonts w:asciiTheme="minorHAnsi" w:eastAsiaTheme="minorHAnsi" w:hAnsiTheme="minorHAnsi" w:cstheme="minorHAnsi"/>
                <w:b/>
                <w:bCs/>
                <w:sz w:val="20"/>
                <w:szCs w:val="20"/>
              </w:rPr>
              <w:t xml:space="preserve">Leonardo </w:t>
            </w:r>
            <w:proofErr w:type="spellStart"/>
            <w:r w:rsidRPr="00A20298">
              <w:rPr>
                <w:rFonts w:asciiTheme="minorHAnsi" w:eastAsiaTheme="minorHAnsi" w:hAnsiTheme="minorHAnsi" w:cstheme="minorHAnsi"/>
                <w:b/>
                <w:bCs/>
                <w:sz w:val="20"/>
                <w:szCs w:val="20"/>
              </w:rPr>
              <w:t>Crippa</w:t>
            </w:r>
            <w:proofErr w:type="spellEnd"/>
            <w:r w:rsidRPr="00A20298">
              <w:rPr>
                <w:rFonts w:asciiTheme="minorHAnsi" w:eastAsiaTheme="minorHAnsi" w:hAnsiTheme="minorHAnsi" w:cstheme="minorHAnsi"/>
                <w:bCs/>
                <w:sz w:val="20"/>
                <w:szCs w:val="20"/>
              </w:rPr>
              <w:t xml:space="preserve"> is an international law scholar and practitioner with substantial legal experience. He holds a J.D. and Civil Law Notary degree from Universidad </w:t>
            </w:r>
            <w:proofErr w:type="spellStart"/>
            <w:r w:rsidRPr="00A20298">
              <w:rPr>
                <w:rFonts w:asciiTheme="minorHAnsi" w:eastAsiaTheme="minorHAnsi" w:hAnsiTheme="minorHAnsi" w:cstheme="minorHAnsi"/>
                <w:bCs/>
                <w:sz w:val="20"/>
                <w:szCs w:val="20"/>
              </w:rPr>
              <w:t>Nacional</w:t>
            </w:r>
            <w:proofErr w:type="spellEnd"/>
            <w:r w:rsidRPr="00A20298">
              <w:rPr>
                <w:rFonts w:asciiTheme="minorHAnsi" w:eastAsiaTheme="minorHAnsi" w:hAnsiTheme="minorHAnsi" w:cstheme="minorHAnsi"/>
                <w:bCs/>
                <w:sz w:val="20"/>
                <w:szCs w:val="20"/>
              </w:rPr>
              <w:t xml:space="preserve"> de Tucuman, Argentina and a LL.M. from American University. As a law student in Argentina, he won several national and international writing contests and moot court competitions on international law, and received several honors and awards. As the Center for Justice and International Law’s Staff Attorney, he litigated several human rights cases within the Inter-American Human Rights System (IAHRS). Currently, as the Senior Attorney of the Indian Law Resource Center, he analyses multilateral development banks’ policies, procedures and accountability systems and advocates for a human rights-based approach in climate change related policies. He also leads standard setting initiatives at the United Nations (UN) and the Organization of American States (OAS) concerning the rights of indigenous peoples and international financial institutions. He continues to practice international law within the UN and IAHRS representing indigenous peoples from Mexico, Central and South America. He also has authored several articles on argentine constitutional law, international human rights and environmental law, and international financial institutions.</w:t>
            </w:r>
          </w:p>
        </w:tc>
      </w:tr>
      <w:tr w:rsidR="002928E3" w:rsidRPr="00A20298" w14:paraId="697E0E78" w14:textId="77777777" w:rsidTr="00746876">
        <w:tc>
          <w:tcPr>
            <w:tcW w:w="1902" w:type="dxa"/>
          </w:tcPr>
          <w:p w14:paraId="14CBFC8C" w14:textId="77777777" w:rsidR="002928E3" w:rsidRPr="00A20298" w:rsidRDefault="002928E3" w:rsidP="00746876">
            <w:pPr>
              <w:jc w:val="both"/>
              <w:rPr>
                <w:rFonts w:cstheme="minorHAnsi"/>
                <w:sz w:val="20"/>
                <w:szCs w:val="20"/>
              </w:rPr>
            </w:pPr>
            <w:r w:rsidRPr="00A20298">
              <w:rPr>
                <w:rFonts w:cstheme="minorHAnsi"/>
                <w:bCs/>
                <w:sz w:val="20"/>
                <w:szCs w:val="20"/>
              </w:rPr>
              <w:t>MALEZER, Les</w:t>
            </w:r>
          </w:p>
        </w:tc>
        <w:tc>
          <w:tcPr>
            <w:tcW w:w="11076" w:type="dxa"/>
          </w:tcPr>
          <w:p w14:paraId="70A4487E" w14:textId="77777777" w:rsidR="002928E3" w:rsidRPr="00A20298" w:rsidRDefault="002928E3" w:rsidP="00746876">
            <w:pPr>
              <w:pStyle w:val="NormalWeb"/>
              <w:rPr>
                <w:rFonts w:asciiTheme="minorHAnsi" w:hAnsiTheme="minorHAnsi" w:cstheme="minorHAnsi"/>
                <w:bCs/>
                <w:sz w:val="20"/>
                <w:szCs w:val="20"/>
              </w:rPr>
            </w:pPr>
            <w:r w:rsidRPr="00A20298">
              <w:rPr>
                <w:rFonts w:asciiTheme="minorHAnsi" w:eastAsiaTheme="minorHAnsi" w:hAnsiTheme="minorHAnsi" w:cstheme="minorHAnsi"/>
                <w:b/>
                <w:bCs/>
                <w:sz w:val="20"/>
                <w:szCs w:val="20"/>
              </w:rPr>
              <w:t xml:space="preserve">Les </w:t>
            </w:r>
            <w:proofErr w:type="spellStart"/>
            <w:r w:rsidRPr="00A20298">
              <w:rPr>
                <w:rFonts w:asciiTheme="minorHAnsi" w:eastAsiaTheme="minorHAnsi" w:hAnsiTheme="minorHAnsi" w:cstheme="minorHAnsi"/>
                <w:b/>
                <w:bCs/>
                <w:sz w:val="20"/>
                <w:szCs w:val="20"/>
              </w:rPr>
              <w:t>Malezer</w:t>
            </w:r>
            <w:proofErr w:type="spellEnd"/>
            <w:r w:rsidRPr="00A20298">
              <w:rPr>
                <w:rFonts w:asciiTheme="minorHAnsi" w:eastAsiaTheme="minorHAnsi" w:hAnsiTheme="minorHAnsi" w:cstheme="minorHAnsi"/>
                <w:b/>
                <w:bCs/>
                <w:sz w:val="20"/>
                <w:szCs w:val="20"/>
              </w:rPr>
              <w:t xml:space="preserve"> </w:t>
            </w:r>
            <w:r w:rsidRPr="00A20298">
              <w:rPr>
                <w:rFonts w:asciiTheme="minorHAnsi" w:eastAsiaTheme="minorHAnsi" w:hAnsiTheme="minorHAnsi" w:cstheme="minorHAnsi"/>
                <w:bCs/>
                <w:sz w:val="20"/>
                <w:szCs w:val="20"/>
              </w:rPr>
              <w:t>is Co-Chair of the National Congress of Australia’s First Peoples. He has extensive experience in campaigning for Aboriginal and Torres Strait Islander rights and has represented community interests at local, state, national and international levels. Les once headed Queensland’s former Department of Aboriginal and Islander Affairs and now chairs the Foundation for Aboriginal and Islander Research Action. In that role, he is a delegate to United Nations forums on Indigenous issues. In 2008 he won the Australian Human Rights Award, and his contribution to coordinating Indigenous peoples’ advocacy for the adoption of the UN Declaration on the Rights of Indigenous Peoples by the UN General Assembly is well known and respected.</w:t>
            </w:r>
          </w:p>
        </w:tc>
      </w:tr>
      <w:tr w:rsidR="002928E3" w:rsidRPr="00A20298" w14:paraId="02A5F38B" w14:textId="77777777" w:rsidTr="00746876">
        <w:tc>
          <w:tcPr>
            <w:tcW w:w="1902" w:type="dxa"/>
          </w:tcPr>
          <w:p w14:paraId="23FE05CF" w14:textId="77777777" w:rsidR="002928E3" w:rsidRPr="00A20298" w:rsidRDefault="002928E3" w:rsidP="00746876">
            <w:pPr>
              <w:jc w:val="both"/>
              <w:rPr>
                <w:rFonts w:cstheme="minorHAnsi"/>
                <w:sz w:val="20"/>
                <w:szCs w:val="20"/>
              </w:rPr>
            </w:pPr>
            <w:r w:rsidRPr="00A20298">
              <w:rPr>
                <w:rFonts w:cstheme="minorHAnsi"/>
                <w:sz w:val="20"/>
                <w:szCs w:val="20"/>
              </w:rPr>
              <w:br w:type="page"/>
            </w:r>
            <w:r w:rsidRPr="00A20298">
              <w:rPr>
                <w:rFonts w:cstheme="minorHAnsi"/>
                <w:bCs/>
                <w:sz w:val="20"/>
                <w:szCs w:val="20"/>
              </w:rPr>
              <w:t>PERAFAN, Carlos</w:t>
            </w:r>
          </w:p>
        </w:tc>
        <w:tc>
          <w:tcPr>
            <w:tcW w:w="11076" w:type="dxa"/>
          </w:tcPr>
          <w:p w14:paraId="6331A579" w14:textId="77777777" w:rsidR="002928E3" w:rsidRPr="00A20298" w:rsidRDefault="002928E3" w:rsidP="00746876">
            <w:pPr>
              <w:pStyle w:val="ecxmsonormal"/>
              <w:rPr>
                <w:rFonts w:asciiTheme="minorHAnsi" w:hAnsiTheme="minorHAnsi" w:cstheme="minorHAnsi"/>
                <w:bCs/>
                <w:sz w:val="20"/>
                <w:szCs w:val="20"/>
              </w:rPr>
            </w:pPr>
            <w:r w:rsidRPr="00A20298">
              <w:rPr>
                <w:rFonts w:asciiTheme="minorHAnsi" w:eastAsiaTheme="minorHAnsi" w:hAnsiTheme="minorHAnsi" w:cstheme="minorHAnsi"/>
                <w:b/>
                <w:bCs/>
                <w:sz w:val="20"/>
                <w:szCs w:val="20"/>
              </w:rPr>
              <w:t xml:space="preserve">Carlos </w:t>
            </w:r>
            <w:proofErr w:type="spellStart"/>
            <w:r w:rsidRPr="00A20298">
              <w:rPr>
                <w:rFonts w:asciiTheme="minorHAnsi" w:eastAsiaTheme="minorHAnsi" w:hAnsiTheme="minorHAnsi" w:cstheme="minorHAnsi"/>
                <w:b/>
                <w:bCs/>
                <w:sz w:val="20"/>
                <w:szCs w:val="20"/>
              </w:rPr>
              <w:t>Perafan</w:t>
            </w:r>
            <w:proofErr w:type="spellEnd"/>
            <w:r w:rsidRPr="00A20298">
              <w:rPr>
                <w:rFonts w:asciiTheme="minorHAnsi" w:eastAsiaTheme="minorHAnsi" w:hAnsiTheme="minorHAnsi" w:cstheme="minorHAnsi"/>
                <w:bCs/>
                <w:sz w:val="20"/>
                <w:szCs w:val="20"/>
              </w:rPr>
              <w:t xml:space="preserve"> has a Doctorate in law and anthropology from Universidad del Cauca in Colombia, with research and publications in indigenous </w:t>
            </w:r>
            <w:proofErr w:type="gramStart"/>
            <w:r w:rsidRPr="00A20298">
              <w:rPr>
                <w:rFonts w:asciiTheme="minorHAnsi" w:eastAsiaTheme="minorHAnsi" w:hAnsiTheme="minorHAnsi" w:cstheme="minorHAnsi"/>
                <w:bCs/>
                <w:sz w:val="20"/>
                <w:szCs w:val="20"/>
              </w:rPr>
              <w:t>peoples</w:t>
            </w:r>
            <w:proofErr w:type="gramEnd"/>
            <w:r w:rsidRPr="00A20298">
              <w:rPr>
                <w:rFonts w:asciiTheme="minorHAnsi" w:eastAsiaTheme="minorHAnsi" w:hAnsiTheme="minorHAnsi" w:cstheme="minorHAnsi"/>
                <w:bCs/>
                <w:sz w:val="20"/>
                <w:szCs w:val="20"/>
              </w:rPr>
              <w:t xml:space="preserve"> legal systems, economic anthropology, cultural land use analysis, ethno-engineering and economic governance and expertise in indigenous peoples consultation processes. Carlos has experience as professor of social anthropology at Universidad del Cauca; adviser of </w:t>
            </w:r>
            <w:proofErr w:type="spellStart"/>
            <w:r w:rsidRPr="00A20298">
              <w:rPr>
                <w:rFonts w:asciiTheme="minorHAnsi" w:eastAsiaTheme="minorHAnsi" w:hAnsiTheme="minorHAnsi" w:cstheme="minorHAnsi"/>
                <w:bCs/>
                <w:sz w:val="20"/>
                <w:szCs w:val="20"/>
              </w:rPr>
              <w:t>Consejo</w:t>
            </w:r>
            <w:proofErr w:type="spellEnd"/>
            <w:r w:rsidRPr="00A20298">
              <w:rPr>
                <w:rFonts w:asciiTheme="minorHAnsi" w:eastAsiaTheme="minorHAnsi" w:hAnsiTheme="minorHAnsi" w:cstheme="minorHAnsi"/>
                <w:bCs/>
                <w:sz w:val="20"/>
                <w:szCs w:val="20"/>
              </w:rPr>
              <w:t xml:space="preserve"> Regional </w:t>
            </w:r>
            <w:proofErr w:type="spellStart"/>
            <w:r w:rsidRPr="00A20298">
              <w:rPr>
                <w:rFonts w:asciiTheme="minorHAnsi" w:eastAsiaTheme="minorHAnsi" w:hAnsiTheme="minorHAnsi" w:cstheme="minorHAnsi"/>
                <w:bCs/>
                <w:sz w:val="20"/>
                <w:szCs w:val="20"/>
              </w:rPr>
              <w:t>Indigena</w:t>
            </w:r>
            <w:proofErr w:type="spellEnd"/>
            <w:r w:rsidRPr="00A20298">
              <w:rPr>
                <w:rFonts w:asciiTheme="minorHAnsi" w:eastAsiaTheme="minorHAnsi" w:hAnsiTheme="minorHAnsi" w:cstheme="minorHAnsi"/>
                <w:bCs/>
                <w:sz w:val="20"/>
                <w:szCs w:val="20"/>
              </w:rPr>
              <w:t xml:space="preserve"> del Cauca CRIC and </w:t>
            </w:r>
            <w:proofErr w:type="spellStart"/>
            <w:r w:rsidRPr="00A20298">
              <w:rPr>
                <w:rFonts w:asciiTheme="minorHAnsi" w:eastAsiaTheme="minorHAnsi" w:hAnsiTheme="minorHAnsi" w:cstheme="minorHAnsi"/>
                <w:bCs/>
                <w:sz w:val="20"/>
                <w:szCs w:val="20"/>
              </w:rPr>
              <w:t>Organización</w:t>
            </w:r>
            <w:proofErr w:type="spellEnd"/>
            <w:r w:rsidRPr="00A20298">
              <w:rPr>
                <w:rFonts w:asciiTheme="minorHAnsi" w:eastAsiaTheme="minorHAnsi" w:hAnsiTheme="minorHAnsi" w:cstheme="minorHAnsi"/>
                <w:bCs/>
                <w:sz w:val="20"/>
                <w:szCs w:val="20"/>
              </w:rPr>
              <w:t xml:space="preserve"> </w:t>
            </w:r>
            <w:proofErr w:type="spellStart"/>
            <w:r w:rsidRPr="00A20298">
              <w:rPr>
                <w:rFonts w:asciiTheme="minorHAnsi" w:eastAsiaTheme="minorHAnsi" w:hAnsiTheme="minorHAnsi" w:cstheme="minorHAnsi"/>
                <w:bCs/>
                <w:sz w:val="20"/>
                <w:szCs w:val="20"/>
              </w:rPr>
              <w:t>Nacional</w:t>
            </w:r>
            <w:proofErr w:type="spellEnd"/>
            <w:r w:rsidRPr="00A20298">
              <w:rPr>
                <w:rFonts w:asciiTheme="minorHAnsi" w:eastAsiaTheme="minorHAnsi" w:hAnsiTheme="minorHAnsi" w:cstheme="minorHAnsi"/>
                <w:bCs/>
                <w:sz w:val="20"/>
                <w:szCs w:val="20"/>
              </w:rPr>
              <w:t xml:space="preserve"> </w:t>
            </w:r>
            <w:proofErr w:type="spellStart"/>
            <w:r w:rsidRPr="00A20298">
              <w:rPr>
                <w:rFonts w:asciiTheme="minorHAnsi" w:eastAsiaTheme="minorHAnsi" w:hAnsiTheme="minorHAnsi" w:cstheme="minorHAnsi"/>
                <w:bCs/>
                <w:sz w:val="20"/>
                <w:szCs w:val="20"/>
              </w:rPr>
              <w:t>Indígena</w:t>
            </w:r>
            <w:proofErr w:type="spellEnd"/>
            <w:r w:rsidRPr="00A20298">
              <w:rPr>
                <w:rFonts w:asciiTheme="minorHAnsi" w:eastAsiaTheme="minorHAnsi" w:hAnsiTheme="minorHAnsi" w:cstheme="minorHAnsi"/>
                <w:bCs/>
                <w:sz w:val="20"/>
                <w:szCs w:val="20"/>
              </w:rPr>
              <w:t xml:space="preserve"> de Colombia ONIC; consultant of Colombian´s </w:t>
            </w:r>
            <w:proofErr w:type="spellStart"/>
            <w:r w:rsidRPr="00A20298">
              <w:rPr>
                <w:rFonts w:asciiTheme="minorHAnsi" w:eastAsiaTheme="minorHAnsi" w:hAnsiTheme="minorHAnsi" w:cstheme="minorHAnsi"/>
                <w:bCs/>
                <w:sz w:val="20"/>
                <w:szCs w:val="20"/>
              </w:rPr>
              <w:t>Oficina</w:t>
            </w:r>
            <w:proofErr w:type="spellEnd"/>
            <w:r w:rsidRPr="00A20298">
              <w:rPr>
                <w:rFonts w:asciiTheme="minorHAnsi" w:eastAsiaTheme="minorHAnsi" w:hAnsiTheme="minorHAnsi" w:cstheme="minorHAnsi"/>
                <w:bCs/>
                <w:sz w:val="20"/>
                <w:szCs w:val="20"/>
              </w:rPr>
              <w:t xml:space="preserve"> de </w:t>
            </w:r>
            <w:proofErr w:type="spellStart"/>
            <w:r w:rsidRPr="00A20298">
              <w:rPr>
                <w:rFonts w:asciiTheme="minorHAnsi" w:eastAsiaTheme="minorHAnsi" w:hAnsiTheme="minorHAnsi" w:cstheme="minorHAnsi"/>
                <w:bCs/>
                <w:sz w:val="20"/>
                <w:szCs w:val="20"/>
              </w:rPr>
              <w:t>Asuntos</w:t>
            </w:r>
            <w:proofErr w:type="spellEnd"/>
            <w:r w:rsidRPr="00A20298">
              <w:rPr>
                <w:rFonts w:asciiTheme="minorHAnsi" w:eastAsiaTheme="minorHAnsi" w:hAnsiTheme="minorHAnsi" w:cstheme="minorHAnsi"/>
                <w:bCs/>
                <w:sz w:val="20"/>
                <w:szCs w:val="20"/>
              </w:rPr>
              <w:t xml:space="preserve"> </w:t>
            </w:r>
            <w:proofErr w:type="spellStart"/>
            <w:r w:rsidRPr="00A20298">
              <w:rPr>
                <w:rFonts w:asciiTheme="minorHAnsi" w:eastAsiaTheme="minorHAnsi" w:hAnsiTheme="minorHAnsi" w:cstheme="minorHAnsi"/>
                <w:bCs/>
                <w:sz w:val="20"/>
                <w:szCs w:val="20"/>
              </w:rPr>
              <w:t>Indígenas</w:t>
            </w:r>
            <w:proofErr w:type="spellEnd"/>
            <w:r w:rsidRPr="00A20298">
              <w:rPr>
                <w:rFonts w:asciiTheme="minorHAnsi" w:eastAsiaTheme="minorHAnsi" w:hAnsiTheme="minorHAnsi" w:cstheme="minorHAnsi"/>
                <w:bCs/>
                <w:sz w:val="20"/>
                <w:szCs w:val="20"/>
              </w:rPr>
              <w:t xml:space="preserve"> and adviser to the Colombian Interior Ministry on matters related to indigenous peoples territorial management and mining. He is currently the Inter-American Development Bank (IDB)’s indigenous peoples lead specialist, with responsibilities on community consultation support, policy design, socio-cultural impact evaluation, sustainable development project origination, indigenous entrepreneurship promotion, climate change adaptation, traditional knowledge recuperation, territorial based planning, urban indigenous peoples inclusion, isolated indigenous peoples protection, social services cultural pertinence adequacy and operational experience in indigenous peoples development projects in Central and South America.</w:t>
            </w:r>
          </w:p>
        </w:tc>
      </w:tr>
      <w:tr w:rsidR="002928E3" w:rsidRPr="00A20298" w14:paraId="696284D6" w14:textId="77777777" w:rsidTr="00746876">
        <w:tc>
          <w:tcPr>
            <w:tcW w:w="1902" w:type="dxa"/>
          </w:tcPr>
          <w:p w14:paraId="337CD425" w14:textId="77777777" w:rsidR="002928E3" w:rsidRPr="00A20298" w:rsidRDefault="002928E3" w:rsidP="00746876">
            <w:pPr>
              <w:jc w:val="both"/>
              <w:rPr>
                <w:rFonts w:cstheme="minorHAnsi"/>
                <w:sz w:val="20"/>
                <w:szCs w:val="20"/>
              </w:rPr>
            </w:pPr>
            <w:r w:rsidRPr="00A20298">
              <w:rPr>
                <w:rFonts w:cstheme="minorHAnsi"/>
                <w:sz w:val="20"/>
                <w:szCs w:val="20"/>
              </w:rPr>
              <w:t xml:space="preserve">SIMBOLON, Indira </w:t>
            </w:r>
          </w:p>
        </w:tc>
        <w:tc>
          <w:tcPr>
            <w:tcW w:w="11076" w:type="dxa"/>
          </w:tcPr>
          <w:p w14:paraId="56E34F35" w14:textId="77777777" w:rsidR="002928E3" w:rsidRPr="00A20298" w:rsidRDefault="002928E3" w:rsidP="00746876">
            <w:pPr>
              <w:autoSpaceDE w:val="0"/>
              <w:autoSpaceDN w:val="0"/>
              <w:adjustRightInd w:val="0"/>
              <w:rPr>
                <w:rFonts w:cstheme="minorHAnsi"/>
                <w:bCs/>
                <w:sz w:val="20"/>
                <w:szCs w:val="20"/>
              </w:rPr>
            </w:pPr>
            <w:r w:rsidRPr="00A20298">
              <w:rPr>
                <w:rFonts w:cstheme="minorHAnsi"/>
                <w:b/>
                <w:bCs/>
                <w:sz w:val="20"/>
                <w:szCs w:val="20"/>
              </w:rPr>
              <w:t xml:space="preserve">Indira </w:t>
            </w:r>
            <w:proofErr w:type="spellStart"/>
            <w:r w:rsidRPr="00A20298">
              <w:rPr>
                <w:rFonts w:cstheme="minorHAnsi"/>
                <w:b/>
                <w:bCs/>
                <w:sz w:val="20"/>
                <w:szCs w:val="20"/>
              </w:rPr>
              <w:t>Simbolon</w:t>
            </w:r>
            <w:proofErr w:type="spellEnd"/>
            <w:r w:rsidRPr="00A20298">
              <w:rPr>
                <w:rFonts w:cstheme="minorHAnsi"/>
                <w:bCs/>
                <w:sz w:val="20"/>
                <w:szCs w:val="20"/>
              </w:rPr>
              <w:t xml:space="preserve"> currently works for the Asian Development Bank (ADB). She is a Principal Social Development Specialist (Safeguards) at the Environment and Safeguard Division and is the ADB's focal point for Indigenous Peoples safeguards. She also provides oversights of involuntary resettlement safeguard aspects for ADB-supported projects in the Southeast Asia and the Pacific regions. She was involved in the drafting of the ADB's Safeguards Policy Statement of 2009, in particular as the principal author of the Safeguard Requirements 3: Indigenous Peoples. Indira has a Master of Law degree from University of Indonesia, a Master of Arts in Development Studies from International Institute of Social Studies, the Netherlands, and a PhD in </w:t>
            </w:r>
            <w:r w:rsidRPr="00A20298">
              <w:rPr>
                <w:rFonts w:cstheme="minorHAnsi"/>
                <w:bCs/>
                <w:sz w:val="20"/>
                <w:szCs w:val="20"/>
              </w:rPr>
              <w:lastRenderedPageBreak/>
              <w:t xml:space="preserve">Socio-legal Studies from </w:t>
            </w:r>
            <w:proofErr w:type="spellStart"/>
            <w:r w:rsidRPr="00A20298">
              <w:rPr>
                <w:rFonts w:cstheme="minorHAnsi"/>
                <w:bCs/>
                <w:sz w:val="20"/>
                <w:szCs w:val="20"/>
              </w:rPr>
              <w:t>Wageningen</w:t>
            </w:r>
            <w:proofErr w:type="spellEnd"/>
            <w:r w:rsidRPr="00A20298">
              <w:rPr>
                <w:rFonts w:cstheme="minorHAnsi"/>
                <w:bCs/>
                <w:sz w:val="20"/>
                <w:szCs w:val="20"/>
              </w:rPr>
              <w:t xml:space="preserve"> Agricultural University, the Netherlands. Prior to joining the ADB in 1999, she worked with a Legal Aid Institute in Indonesia to handle structural legal cases involving property rights and customary land issues; taught Gender and Development at Leiden University, the Netherlands; and was a post-doctoral research fellow on social security issues, the Netherlands.</w:t>
            </w:r>
          </w:p>
        </w:tc>
      </w:tr>
      <w:tr w:rsidR="002928E3" w:rsidRPr="00A20298" w14:paraId="0E38A452" w14:textId="77777777" w:rsidTr="00746876">
        <w:tc>
          <w:tcPr>
            <w:tcW w:w="1902" w:type="dxa"/>
          </w:tcPr>
          <w:p w14:paraId="038EE4C1" w14:textId="77777777" w:rsidR="002928E3" w:rsidRPr="00A20298" w:rsidRDefault="002928E3" w:rsidP="00746876">
            <w:pPr>
              <w:widowControl w:val="0"/>
              <w:tabs>
                <w:tab w:val="left" w:pos="220"/>
                <w:tab w:val="left" w:pos="720"/>
              </w:tabs>
              <w:autoSpaceDE w:val="0"/>
              <w:autoSpaceDN w:val="0"/>
              <w:adjustRightInd w:val="0"/>
              <w:rPr>
                <w:rFonts w:cstheme="minorHAnsi"/>
                <w:sz w:val="20"/>
                <w:szCs w:val="20"/>
              </w:rPr>
            </w:pPr>
            <w:r w:rsidRPr="00A20298">
              <w:rPr>
                <w:rFonts w:cstheme="minorHAnsi"/>
                <w:sz w:val="20"/>
                <w:szCs w:val="20"/>
              </w:rPr>
              <w:lastRenderedPageBreak/>
              <w:t xml:space="preserve">UMALI, </w:t>
            </w:r>
            <w:proofErr w:type="spellStart"/>
            <w:r w:rsidRPr="00A20298">
              <w:rPr>
                <w:rFonts w:cstheme="minorHAnsi"/>
                <w:sz w:val="20"/>
                <w:szCs w:val="20"/>
              </w:rPr>
              <w:t>Pancho</w:t>
            </w:r>
            <w:proofErr w:type="spellEnd"/>
            <w:r w:rsidRPr="00A20298">
              <w:rPr>
                <w:rFonts w:cstheme="minorHAnsi"/>
                <w:sz w:val="20"/>
                <w:szCs w:val="20"/>
              </w:rPr>
              <w:t xml:space="preserve"> (</w:t>
            </w:r>
            <w:proofErr w:type="spellStart"/>
            <w:r w:rsidRPr="00A20298">
              <w:rPr>
                <w:rFonts w:cstheme="minorHAnsi"/>
                <w:sz w:val="20"/>
                <w:szCs w:val="20"/>
              </w:rPr>
              <w:t>Chopan</w:t>
            </w:r>
            <w:proofErr w:type="spellEnd"/>
            <w:r w:rsidRPr="00A20298">
              <w:rPr>
                <w:rFonts w:cstheme="minorHAnsi"/>
                <w:sz w:val="20"/>
                <w:szCs w:val="20"/>
              </w:rPr>
              <w:t>)</w:t>
            </w:r>
          </w:p>
        </w:tc>
        <w:tc>
          <w:tcPr>
            <w:tcW w:w="11076" w:type="dxa"/>
          </w:tcPr>
          <w:p w14:paraId="1BEA7FE1" w14:textId="77777777" w:rsidR="002928E3" w:rsidRPr="00A20298" w:rsidRDefault="002928E3" w:rsidP="00746876">
            <w:pPr>
              <w:pStyle w:val="Title"/>
              <w:jc w:val="left"/>
              <w:rPr>
                <w:rFonts w:asciiTheme="minorHAnsi" w:eastAsiaTheme="minorHAnsi" w:hAnsiTheme="minorHAnsi" w:cstheme="minorHAnsi"/>
                <w:b w:val="0"/>
                <w:sz w:val="20"/>
              </w:rPr>
            </w:pPr>
            <w:proofErr w:type="spellStart"/>
            <w:r w:rsidRPr="00A20298">
              <w:rPr>
                <w:rFonts w:asciiTheme="minorHAnsi" w:eastAsiaTheme="minorHAnsi" w:hAnsiTheme="minorHAnsi" w:cstheme="minorHAnsi"/>
                <w:sz w:val="20"/>
              </w:rPr>
              <w:t>Pancho</w:t>
            </w:r>
            <w:proofErr w:type="spellEnd"/>
            <w:r w:rsidRPr="00A20298">
              <w:rPr>
                <w:rFonts w:asciiTheme="minorHAnsi" w:eastAsiaTheme="minorHAnsi" w:hAnsiTheme="minorHAnsi" w:cstheme="minorHAnsi"/>
                <w:sz w:val="20"/>
              </w:rPr>
              <w:t xml:space="preserve"> (</w:t>
            </w:r>
            <w:proofErr w:type="spellStart"/>
            <w:r w:rsidRPr="00A20298">
              <w:rPr>
                <w:rFonts w:asciiTheme="minorHAnsi" w:eastAsiaTheme="minorHAnsi" w:hAnsiTheme="minorHAnsi" w:cstheme="minorHAnsi"/>
                <w:sz w:val="20"/>
              </w:rPr>
              <w:t>Chopan</w:t>
            </w:r>
            <w:proofErr w:type="spellEnd"/>
            <w:r w:rsidRPr="00A20298">
              <w:rPr>
                <w:rFonts w:asciiTheme="minorHAnsi" w:eastAsiaTheme="minorHAnsi" w:hAnsiTheme="minorHAnsi" w:cstheme="minorHAnsi"/>
                <w:sz w:val="20"/>
              </w:rPr>
              <w:t xml:space="preserve">) </w:t>
            </w:r>
            <w:proofErr w:type="spellStart"/>
            <w:r w:rsidRPr="00A20298">
              <w:rPr>
                <w:rFonts w:asciiTheme="minorHAnsi" w:eastAsiaTheme="minorHAnsi" w:hAnsiTheme="minorHAnsi" w:cstheme="minorHAnsi"/>
                <w:sz w:val="20"/>
              </w:rPr>
              <w:t>Umali</w:t>
            </w:r>
            <w:proofErr w:type="spellEnd"/>
            <w:r w:rsidRPr="00A20298">
              <w:rPr>
                <w:rFonts w:asciiTheme="minorHAnsi" w:eastAsiaTheme="minorHAnsi" w:hAnsiTheme="minorHAnsi" w:cstheme="minorHAnsi"/>
                <w:b w:val="0"/>
                <w:sz w:val="20"/>
              </w:rPr>
              <w:t xml:space="preserve"> is Partner at CVCLAW </w:t>
            </w:r>
            <w:proofErr w:type="spellStart"/>
            <w:r w:rsidRPr="00A20298">
              <w:rPr>
                <w:rFonts w:asciiTheme="minorHAnsi" w:eastAsiaTheme="minorHAnsi" w:hAnsiTheme="minorHAnsi" w:cstheme="minorHAnsi"/>
                <w:b w:val="0"/>
                <w:sz w:val="20"/>
              </w:rPr>
              <w:t>Villaraza</w:t>
            </w:r>
            <w:proofErr w:type="spellEnd"/>
            <w:r w:rsidRPr="00A20298">
              <w:rPr>
                <w:rFonts w:asciiTheme="minorHAnsi" w:eastAsiaTheme="minorHAnsi" w:hAnsiTheme="minorHAnsi" w:cstheme="minorHAnsi"/>
                <w:b w:val="0"/>
                <w:sz w:val="20"/>
              </w:rPr>
              <w:t xml:space="preserve"> Cruz Marcelo &amp; </w:t>
            </w:r>
            <w:proofErr w:type="spellStart"/>
            <w:r w:rsidRPr="00A20298">
              <w:rPr>
                <w:rFonts w:asciiTheme="minorHAnsi" w:eastAsiaTheme="minorHAnsi" w:hAnsiTheme="minorHAnsi" w:cstheme="minorHAnsi"/>
                <w:b w:val="0"/>
                <w:sz w:val="20"/>
              </w:rPr>
              <w:t>Angangco</w:t>
            </w:r>
            <w:proofErr w:type="spellEnd"/>
            <w:r w:rsidRPr="00A20298">
              <w:rPr>
                <w:rFonts w:asciiTheme="minorHAnsi" w:eastAsiaTheme="minorHAnsi" w:hAnsiTheme="minorHAnsi" w:cstheme="minorHAnsi"/>
                <w:b w:val="0"/>
                <w:sz w:val="20"/>
              </w:rPr>
              <w:t xml:space="preserve"> in Manila. He studied law at the University of the Philippines and has been active in the legal profession ever since. His fields of practice include corporate and business law, immigration, government contracts, mining and natural resources. </w:t>
            </w:r>
            <w:proofErr w:type="spellStart"/>
            <w:r w:rsidRPr="00A20298">
              <w:rPr>
                <w:rFonts w:asciiTheme="minorHAnsi" w:eastAsiaTheme="minorHAnsi" w:hAnsiTheme="minorHAnsi" w:cstheme="minorHAnsi"/>
                <w:b w:val="0"/>
                <w:sz w:val="20"/>
              </w:rPr>
              <w:t>Pancho</w:t>
            </w:r>
            <w:proofErr w:type="spellEnd"/>
            <w:r w:rsidRPr="00A20298">
              <w:rPr>
                <w:rFonts w:asciiTheme="minorHAnsi" w:eastAsiaTheme="minorHAnsi" w:hAnsiTheme="minorHAnsi" w:cstheme="minorHAnsi"/>
                <w:b w:val="0"/>
                <w:sz w:val="20"/>
              </w:rPr>
              <w:t xml:space="preserve"> has been active as conference speaker and published in the Inter-Pacific Bar Association Journal.</w:t>
            </w:r>
          </w:p>
        </w:tc>
      </w:tr>
      <w:tr w:rsidR="002928E3" w:rsidRPr="00A20298" w14:paraId="64A8667D" w14:textId="77777777" w:rsidTr="00746876">
        <w:tc>
          <w:tcPr>
            <w:tcW w:w="1902" w:type="dxa"/>
          </w:tcPr>
          <w:p w14:paraId="2E049F81" w14:textId="77777777" w:rsidR="002928E3" w:rsidRPr="00A20298" w:rsidRDefault="002928E3" w:rsidP="00746876">
            <w:pPr>
              <w:jc w:val="both"/>
              <w:rPr>
                <w:rFonts w:cstheme="minorHAnsi"/>
                <w:sz w:val="20"/>
                <w:szCs w:val="20"/>
              </w:rPr>
            </w:pPr>
            <w:r w:rsidRPr="00A20298">
              <w:rPr>
                <w:rFonts w:cstheme="minorHAnsi"/>
                <w:sz w:val="20"/>
                <w:szCs w:val="20"/>
              </w:rPr>
              <w:br w:type="page"/>
              <w:t>CORPUZ, Jennifer</w:t>
            </w:r>
          </w:p>
        </w:tc>
        <w:tc>
          <w:tcPr>
            <w:tcW w:w="11076" w:type="dxa"/>
          </w:tcPr>
          <w:p w14:paraId="0267D6CF" w14:textId="77777777" w:rsidR="002928E3" w:rsidRPr="00A20298" w:rsidRDefault="002928E3" w:rsidP="00746876">
            <w:pPr>
              <w:jc w:val="both"/>
              <w:rPr>
                <w:rFonts w:cstheme="minorHAnsi"/>
                <w:bCs/>
                <w:sz w:val="20"/>
                <w:szCs w:val="20"/>
              </w:rPr>
            </w:pPr>
            <w:r w:rsidRPr="00A20298">
              <w:rPr>
                <w:rFonts w:cstheme="minorHAnsi"/>
                <w:b/>
                <w:bCs/>
                <w:sz w:val="20"/>
                <w:szCs w:val="20"/>
              </w:rPr>
              <w:t xml:space="preserve">Jennifer </w:t>
            </w:r>
            <w:proofErr w:type="spellStart"/>
            <w:r w:rsidRPr="00A20298">
              <w:rPr>
                <w:rFonts w:cstheme="minorHAnsi"/>
                <w:b/>
                <w:bCs/>
                <w:sz w:val="20"/>
                <w:szCs w:val="20"/>
              </w:rPr>
              <w:t>Tauli</w:t>
            </w:r>
            <w:proofErr w:type="spellEnd"/>
            <w:r w:rsidRPr="00A20298">
              <w:rPr>
                <w:rFonts w:cstheme="minorHAnsi"/>
                <w:b/>
                <w:bCs/>
                <w:sz w:val="20"/>
                <w:szCs w:val="20"/>
              </w:rPr>
              <w:t xml:space="preserve"> </w:t>
            </w:r>
            <w:proofErr w:type="spellStart"/>
            <w:r w:rsidRPr="00A20298">
              <w:rPr>
                <w:rFonts w:cstheme="minorHAnsi"/>
                <w:b/>
                <w:bCs/>
                <w:sz w:val="20"/>
                <w:szCs w:val="20"/>
              </w:rPr>
              <w:t>Corpuz</w:t>
            </w:r>
            <w:proofErr w:type="spellEnd"/>
            <w:r w:rsidRPr="00A20298">
              <w:rPr>
                <w:rFonts w:cstheme="minorHAnsi"/>
                <w:bCs/>
                <w:sz w:val="20"/>
                <w:szCs w:val="20"/>
              </w:rPr>
              <w:t xml:space="preserve"> coordinates the Human Rights and National Policy Advocacy Desk of </w:t>
            </w:r>
            <w:proofErr w:type="spellStart"/>
            <w:r w:rsidRPr="00A20298">
              <w:rPr>
                <w:rFonts w:cstheme="minorHAnsi"/>
                <w:bCs/>
                <w:sz w:val="20"/>
                <w:szCs w:val="20"/>
              </w:rPr>
              <w:t>Tebtebba</w:t>
            </w:r>
            <w:proofErr w:type="spellEnd"/>
            <w:r w:rsidRPr="00A20298">
              <w:rPr>
                <w:rFonts w:cstheme="minorHAnsi"/>
                <w:bCs/>
                <w:sz w:val="20"/>
                <w:szCs w:val="20"/>
              </w:rPr>
              <w:t xml:space="preserve"> Foundation (Indigenous Peoples' International Center for Policy Research and Education). She recently completed her term as the 2012 Indigenous Intellectual Property Law Fellow of the World Intellectual Property Organization (WIPO) in Geneva, Switzerland. An indigenous woman from the </w:t>
            </w:r>
            <w:proofErr w:type="spellStart"/>
            <w:r w:rsidRPr="00A20298">
              <w:rPr>
                <w:rFonts w:cstheme="minorHAnsi"/>
                <w:bCs/>
                <w:sz w:val="20"/>
                <w:szCs w:val="20"/>
              </w:rPr>
              <w:t>Kankana-ey</w:t>
            </w:r>
            <w:proofErr w:type="spellEnd"/>
            <w:r w:rsidRPr="00A20298">
              <w:rPr>
                <w:rFonts w:cstheme="minorHAnsi"/>
                <w:bCs/>
                <w:sz w:val="20"/>
                <w:szCs w:val="20"/>
              </w:rPr>
              <w:t xml:space="preserve"> (</w:t>
            </w:r>
            <w:proofErr w:type="spellStart"/>
            <w:r w:rsidRPr="00A20298">
              <w:rPr>
                <w:rFonts w:cstheme="minorHAnsi"/>
                <w:bCs/>
                <w:sz w:val="20"/>
                <w:szCs w:val="20"/>
              </w:rPr>
              <w:t>Igorot</w:t>
            </w:r>
            <w:proofErr w:type="spellEnd"/>
            <w:r w:rsidRPr="00A20298">
              <w:rPr>
                <w:rFonts w:cstheme="minorHAnsi"/>
                <w:bCs/>
                <w:sz w:val="20"/>
                <w:szCs w:val="20"/>
              </w:rPr>
              <w:t>) People of Mountain Province in the Philippines and a lawyer by profession, she conducts regular trainings on indigenous peoples’ rights in the international system, several of which have focused on free, prior and informed consent (FPIC). Jennifer obtained her Master of Laws (</w:t>
            </w:r>
            <w:proofErr w:type="spellStart"/>
            <w:r w:rsidRPr="00A20298">
              <w:rPr>
                <w:rFonts w:cstheme="minorHAnsi"/>
                <w:bCs/>
                <w:sz w:val="20"/>
                <w:szCs w:val="20"/>
              </w:rPr>
              <w:t>Ll.M.</w:t>
            </w:r>
            <w:proofErr w:type="spellEnd"/>
            <w:r w:rsidRPr="00A20298">
              <w:rPr>
                <w:rFonts w:cstheme="minorHAnsi"/>
                <w:bCs/>
                <w:sz w:val="20"/>
                <w:szCs w:val="20"/>
              </w:rPr>
              <w:t xml:space="preserve">) in Indigenous Peoples’ Law and Policy (IPLP) from the James E. Rogers College of Law of the </w:t>
            </w:r>
            <w:proofErr w:type="spellStart"/>
            <w:r w:rsidRPr="00A20298">
              <w:rPr>
                <w:rFonts w:cstheme="minorHAnsi"/>
                <w:bCs/>
                <w:sz w:val="20"/>
                <w:szCs w:val="20"/>
              </w:rPr>
              <w:t>The</w:t>
            </w:r>
            <w:proofErr w:type="spellEnd"/>
            <w:r w:rsidRPr="00A20298">
              <w:rPr>
                <w:rFonts w:cstheme="minorHAnsi"/>
                <w:bCs/>
                <w:sz w:val="20"/>
                <w:szCs w:val="20"/>
              </w:rPr>
              <w:t xml:space="preserve"> University of Arizona. She represented indigenous peoples in the negotiations leading to the adoption of the Nagoya Protocol on Access and Benefit-Sharing to the Convention on Biological Diversity (CBD). She was part of a team that conducted an in-depth assessment of the implementation of the FPIC Guidelines in the Philippines, which studied a significant number of the 310 FPIC processes conducted under the guidelines.</w:t>
            </w:r>
          </w:p>
        </w:tc>
      </w:tr>
    </w:tbl>
    <w:p w14:paraId="58597A43" w14:textId="77777777" w:rsidR="002928E3" w:rsidRDefault="002928E3" w:rsidP="00D54DDD">
      <w:pPr>
        <w:widowControl w:val="0"/>
        <w:tabs>
          <w:tab w:val="left" w:pos="940"/>
          <w:tab w:val="left" w:pos="1440"/>
        </w:tabs>
        <w:autoSpaceDE w:val="0"/>
        <w:autoSpaceDN w:val="0"/>
        <w:adjustRightInd w:val="0"/>
        <w:ind w:left="1440"/>
        <w:rPr>
          <w:rFonts w:asciiTheme="majorHAnsi" w:hAnsiTheme="majorHAnsi"/>
          <w:sz w:val="20"/>
        </w:rPr>
      </w:pPr>
    </w:p>
    <w:p w14:paraId="58F50F6C" w14:textId="653E6245" w:rsidR="00616F50" w:rsidRDefault="00616F50">
      <w:pPr>
        <w:rPr>
          <w:rFonts w:asciiTheme="majorHAnsi" w:hAnsiTheme="majorHAnsi"/>
          <w:b/>
          <w:sz w:val="20"/>
        </w:rPr>
      </w:pPr>
      <w:bookmarkStart w:id="0" w:name="_GoBack"/>
      <w:bookmarkEnd w:id="0"/>
    </w:p>
    <w:sectPr w:rsidR="00616F50" w:rsidSect="002928E3">
      <w:footerReference w:type="default" r:id="rId13"/>
      <w:pgSz w:w="15840" w:h="12240" w:orient="landscape"/>
      <w:pgMar w:top="108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F4A3" w14:textId="77777777" w:rsidR="00D17FEA" w:rsidRDefault="00D17FEA" w:rsidP="00F261A8">
      <w:r>
        <w:separator/>
      </w:r>
    </w:p>
  </w:endnote>
  <w:endnote w:type="continuationSeparator" w:id="0">
    <w:p w14:paraId="27F4A0C8" w14:textId="77777777" w:rsidR="00D17FEA" w:rsidRDefault="00D17FEA" w:rsidP="00F261A8">
      <w:r>
        <w:continuationSeparator/>
      </w:r>
    </w:p>
  </w:endnote>
  <w:endnote w:type="continuationNotice" w:id="1">
    <w:p w14:paraId="2418240F" w14:textId="77777777" w:rsidR="00B1487D" w:rsidRDefault="00B1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534761"/>
      <w:docPartObj>
        <w:docPartGallery w:val="Page Numbers (Bottom of Page)"/>
        <w:docPartUnique/>
      </w:docPartObj>
    </w:sdtPr>
    <w:sdtEndPr>
      <w:rPr>
        <w:noProof/>
        <w:sz w:val="18"/>
        <w:szCs w:val="18"/>
      </w:rPr>
    </w:sdtEndPr>
    <w:sdtContent>
      <w:p w14:paraId="52233377" w14:textId="0E13D8B3" w:rsidR="002928E3" w:rsidRPr="002928E3" w:rsidRDefault="002928E3">
        <w:pPr>
          <w:pStyle w:val="Footer"/>
          <w:jc w:val="right"/>
          <w:rPr>
            <w:sz w:val="18"/>
            <w:szCs w:val="18"/>
          </w:rPr>
        </w:pPr>
        <w:r w:rsidRPr="002928E3">
          <w:rPr>
            <w:sz w:val="18"/>
            <w:szCs w:val="18"/>
          </w:rPr>
          <w:fldChar w:fldCharType="begin"/>
        </w:r>
        <w:r w:rsidRPr="002928E3">
          <w:rPr>
            <w:sz w:val="18"/>
            <w:szCs w:val="18"/>
          </w:rPr>
          <w:instrText xml:space="preserve"> PAGE   \* MERGEFORMAT </w:instrText>
        </w:r>
        <w:r w:rsidRPr="002928E3">
          <w:rPr>
            <w:sz w:val="18"/>
            <w:szCs w:val="18"/>
          </w:rPr>
          <w:fldChar w:fldCharType="separate"/>
        </w:r>
        <w:r>
          <w:rPr>
            <w:noProof/>
            <w:sz w:val="18"/>
            <w:szCs w:val="18"/>
          </w:rPr>
          <w:t>1</w:t>
        </w:r>
        <w:r w:rsidRPr="002928E3">
          <w:rPr>
            <w:noProof/>
            <w:sz w:val="18"/>
            <w:szCs w:val="18"/>
          </w:rPr>
          <w:fldChar w:fldCharType="end"/>
        </w:r>
      </w:p>
    </w:sdtContent>
  </w:sdt>
  <w:p w14:paraId="2DEC8F74" w14:textId="77777777" w:rsidR="002928E3" w:rsidRDefault="0029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1B116" w14:textId="77777777" w:rsidR="00D17FEA" w:rsidRDefault="00D17FEA" w:rsidP="00F261A8">
      <w:r>
        <w:separator/>
      </w:r>
    </w:p>
  </w:footnote>
  <w:footnote w:type="continuationSeparator" w:id="0">
    <w:p w14:paraId="5EDE198B" w14:textId="77777777" w:rsidR="00D17FEA" w:rsidRDefault="00D17FEA" w:rsidP="00F261A8">
      <w:r>
        <w:continuationSeparator/>
      </w:r>
    </w:p>
  </w:footnote>
  <w:footnote w:type="continuationNotice" w:id="1">
    <w:p w14:paraId="4F09C345" w14:textId="77777777" w:rsidR="00B1487D" w:rsidRDefault="00B148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8A2D7C"/>
    <w:lvl w:ilvl="0" w:tplc="7A267478">
      <w:numFmt w:val="none"/>
      <w:lvlText w:val=""/>
      <w:lvlJc w:val="left"/>
      <w:pPr>
        <w:tabs>
          <w:tab w:val="num" w:pos="360"/>
        </w:tabs>
      </w:pPr>
    </w:lvl>
    <w:lvl w:ilvl="1" w:tplc="9238F62C">
      <w:numFmt w:val="decimal"/>
      <w:lvlText w:val=""/>
      <w:lvlJc w:val="left"/>
    </w:lvl>
    <w:lvl w:ilvl="2" w:tplc="9E48B56C">
      <w:numFmt w:val="decimal"/>
      <w:lvlText w:val=""/>
      <w:lvlJc w:val="left"/>
    </w:lvl>
    <w:lvl w:ilvl="3" w:tplc="5CB4F21E">
      <w:numFmt w:val="decimal"/>
      <w:lvlText w:val=""/>
      <w:lvlJc w:val="left"/>
    </w:lvl>
    <w:lvl w:ilvl="4" w:tplc="05A02524">
      <w:numFmt w:val="decimal"/>
      <w:lvlText w:val=""/>
      <w:lvlJc w:val="left"/>
    </w:lvl>
    <w:lvl w:ilvl="5" w:tplc="4622EEFA">
      <w:numFmt w:val="decimal"/>
      <w:lvlText w:val=""/>
      <w:lvlJc w:val="left"/>
    </w:lvl>
    <w:lvl w:ilvl="6" w:tplc="9698D18C">
      <w:numFmt w:val="decimal"/>
      <w:lvlText w:val=""/>
      <w:lvlJc w:val="left"/>
    </w:lvl>
    <w:lvl w:ilvl="7" w:tplc="5E2662F2">
      <w:numFmt w:val="decimal"/>
      <w:lvlText w:val=""/>
      <w:lvlJc w:val="left"/>
    </w:lvl>
    <w:lvl w:ilvl="8" w:tplc="77883F12">
      <w:numFmt w:val="decimal"/>
      <w:lvlText w:val=""/>
      <w:lvlJc w:val="left"/>
    </w:lvl>
  </w:abstractNum>
  <w:abstractNum w:abstractNumId="1">
    <w:nsid w:val="00000002"/>
    <w:multiLevelType w:val="hybridMultilevel"/>
    <w:tmpl w:val="F7285F18"/>
    <w:lvl w:ilvl="0" w:tplc="ACD84D32">
      <w:numFmt w:val="none"/>
      <w:lvlText w:val=""/>
      <w:lvlJc w:val="left"/>
      <w:pPr>
        <w:tabs>
          <w:tab w:val="num" w:pos="360"/>
        </w:tabs>
      </w:pPr>
    </w:lvl>
    <w:lvl w:ilvl="1" w:tplc="079A2062">
      <w:numFmt w:val="decimal"/>
      <w:lvlText w:val=""/>
      <w:lvlJc w:val="left"/>
    </w:lvl>
    <w:lvl w:ilvl="2" w:tplc="AADAE6C0">
      <w:numFmt w:val="decimal"/>
      <w:lvlText w:val=""/>
      <w:lvlJc w:val="left"/>
    </w:lvl>
    <w:lvl w:ilvl="3" w:tplc="D59EA772">
      <w:numFmt w:val="decimal"/>
      <w:lvlText w:val=""/>
      <w:lvlJc w:val="left"/>
    </w:lvl>
    <w:lvl w:ilvl="4" w:tplc="6494EA3A">
      <w:numFmt w:val="decimal"/>
      <w:lvlText w:val=""/>
      <w:lvlJc w:val="left"/>
    </w:lvl>
    <w:lvl w:ilvl="5" w:tplc="552E3898">
      <w:numFmt w:val="decimal"/>
      <w:lvlText w:val=""/>
      <w:lvlJc w:val="left"/>
    </w:lvl>
    <w:lvl w:ilvl="6" w:tplc="9756382C">
      <w:numFmt w:val="decimal"/>
      <w:lvlText w:val=""/>
      <w:lvlJc w:val="left"/>
    </w:lvl>
    <w:lvl w:ilvl="7" w:tplc="76C0499E">
      <w:numFmt w:val="decimal"/>
      <w:lvlText w:val=""/>
      <w:lvlJc w:val="left"/>
    </w:lvl>
    <w:lvl w:ilvl="8" w:tplc="9460AC84">
      <w:numFmt w:val="decimal"/>
      <w:lvlText w:val=""/>
      <w:lvlJc w:val="left"/>
    </w:lvl>
  </w:abstractNum>
  <w:abstractNum w:abstractNumId="2">
    <w:nsid w:val="00000003"/>
    <w:multiLevelType w:val="hybridMultilevel"/>
    <w:tmpl w:val="B444267A"/>
    <w:lvl w:ilvl="0" w:tplc="9BC8CA5C">
      <w:numFmt w:val="none"/>
      <w:lvlText w:val=""/>
      <w:lvlJc w:val="left"/>
      <w:pPr>
        <w:tabs>
          <w:tab w:val="num" w:pos="360"/>
        </w:tabs>
      </w:pPr>
    </w:lvl>
    <w:lvl w:ilvl="1" w:tplc="A30CACE4">
      <w:numFmt w:val="decimal"/>
      <w:lvlText w:val=""/>
      <w:lvlJc w:val="left"/>
    </w:lvl>
    <w:lvl w:ilvl="2" w:tplc="4D94A96C">
      <w:numFmt w:val="decimal"/>
      <w:lvlText w:val=""/>
      <w:lvlJc w:val="left"/>
    </w:lvl>
    <w:lvl w:ilvl="3" w:tplc="0E8EAAB4">
      <w:numFmt w:val="decimal"/>
      <w:lvlText w:val=""/>
      <w:lvlJc w:val="left"/>
    </w:lvl>
    <w:lvl w:ilvl="4" w:tplc="6A9EBA54">
      <w:numFmt w:val="decimal"/>
      <w:lvlText w:val=""/>
      <w:lvlJc w:val="left"/>
    </w:lvl>
    <w:lvl w:ilvl="5" w:tplc="D18C648E">
      <w:numFmt w:val="decimal"/>
      <w:lvlText w:val=""/>
      <w:lvlJc w:val="left"/>
    </w:lvl>
    <w:lvl w:ilvl="6" w:tplc="3416A3E4">
      <w:numFmt w:val="decimal"/>
      <w:lvlText w:val=""/>
      <w:lvlJc w:val="left"/>
    </w:lvl>
    <w:lvl w:ilvl="7" w:tplc="06240388">
      <w:numFmt w:val="decimal"/>
      <w:lvlText w:val=""/>
      <w:lvlJc w:val="left"/>
    </w:lvl>
    <w:lvl w:ilvl="8" w:tplc="D968FC12">
      <w:numFmt w:val="decimal"/>
      <w:lvlText w:val=""/>
      <w:lvlJc w:val="left"/>
    </w:lvl>
  </w:abstractNum>
  <w:abstractNum w:abstractNumId="3">
    <w:nsid w:val="00000004"/>
    <w:multiLevelType w:val="hybridMultilevel"/>
    <w:tmpl w:val="017EB3F2"/>
    <w:lvl w:ilvl="0" w:tplc="F22413B4">
      <w:numFmt w:val="none"/>
      <w:lvlText w:val=""/>
      <w:lvlJc w:val="left"/>
      <w:pPr>
        <w:tabs>
          <w:tab w:val="num" w:pos="360"/>
        </w:tabs>
      </w:pPr>
    </w:lvl>
    <w:lvl w:ilvl="1" w:tplc="364699AA">
      <w:numFmt w:val="decimal"/>
      <w:lvlText w:val=""/>
      <w:lvlJc w:val="left"/>
    </w:lvl>
    <w:lvl w:ilvl="2" w:tplc="9C68AA06">
      <w:numFmt w:val="decimal"/>
      <w:lvlText w:val=""/>
      <w:lvlJc w:val="left"/>
    </w:lvl>
    <w:lvl w:ilvl="3" w:tplc="3CBEC214">
      <w:numFmt w:val="decimal"/>
      <w:lvlText w:val=""/>
      <w:lvlJc w:val="left"/>
    </w:lvl>
    <w:lvl w:ilvl="4" w:tplc="FCA4A32A">
      <w:numFmt w:val="decimal"/>
      <w:lvlText w:val=""/>
      <w:lvlJc w:val="left"/>
    </w:lvl>
    <w:lvl w:ilvl="5" w:tplc="F5BCBE58">
      <w:numFmt w:val="decimal"/>
      <w:lvlText w:val=""/>
      <w:lvlJc w:val="left"/>
    </w:lvl>
    <w:lvl w:ilvl="6" w:tplc="EA78AD20">
      <w:numFmt w:val="decimal"/>
      <w:lvlText w:val=""/>
      <w:lvlJc w:val="left"/>
    </w:lvl>
    <w:lvl w:ilvl="7" w:tplc="3AD80120">
      <w:numFmt w:val="decimal"/>
      <w:lvlText w:val=""/>
      <w:lvlJc w:val="left"/>
    </w:lvl>
    <w:lvl w:ilvl="8" w:tplc="9100371E">
      <w:numFmt w:val="decimal"/>
      <w:lvlText w:val=""/>
      <w:lvlJc w:val="left"/>
    </w:lvl>
  </w:abstractNum>
  <w:abstractNum w:abstractNumId="4">
    <w:nsid w:val="00000005"/>
    <w:multiLevelType w:val="hybridMultilevel"/>
    <w:tmpl w:val="E528D768"/>
    <w:lvl w:ilvl="0" w:tplc="6D9C9C22">
      <w:numFmt w:val="none"/>
      <w:lvlText w:val=""/>
      <w:lvlJc w:val="left"/>
      <w:pPr>
        <w:tabs>
          <w:tab w:val="num" w:pos="360"/>
        </w:tabs>
      </w:pPr>
    </w:lvl>
    <w:lvl w:ilvl="1" w:tplc="64CC75A0">
      <w:numFmt w:val="decimal"/>
      <w:lvlText w:val=""/>
      <w:lvlJc w:val="left"/>
    </w:lvl>
    <w:lvl w:ilvl="2" w:tplc="D5E8A9BA">
      <w:numFmt w:val="decimal"/>
      <w:lvlText w:val=""/>
      <w:lvlJc w:val="left"/>
    </w:lvl>
    <w:lvl w:ilvl="3" w:tplc="D4FEAE1E">
      <w:numFmt w:val="decimal"/>
      <w:lvlText w:val=""/>
      <w:lvlJc w:val="left"/>
    </w:lvl>
    <w:lvl w:ilvl="4" w:tplc="68981C08">
      <w:numFmt w:val="decimal"/>
      <w:lvlText w:val=""/>
      <w:lvlJc w:val="left"/>
    </w:lvl>
    <w:lvl w:ilvl="5" w:tplc="D3422228">
      <w:numFmt w:val="decimal"/>
      <w:lvlText w:val=""/>
      <w:lvlJc w:val="left"/>
    </w:lvl>
    <w:lvl w:ilvl="6" w:tplc="C4347382">
      <w:numFmt w:val="decimal"/>
      <w:lvlText w:val=""/>
      <w:lvlJc w:val="left"/>
    </w:lvl>
    <w:lvl w:ilvl="7" w:tplc="B634799E">
      <w:numFmt w:val="decimal"/>
      <w:lvlText w:val=""/>
      <w:lvlJc w:val="left"/>
    </w:lvl>
    <w:lvl w:ilvl="8" w:tplc="33E2F260">
      <w:numFmt w:val="decimal"/>
      <w:lvlText w:val=""/>
      <w:lvlJc w:val="left"/>
    </w:lvl>
  </w:abstractNum>
  <w:abstractNum w:abstractNumId="5">
    <w:nsid w:val="00000006"/>
    <w:multiLevelType w:val="hybridMultilevel"/>
    <w:tmpl w:val="1764B348"/>
    <w:lvl w:ilvl="0" w:tplc="562A03AC">
      <w:numFmt w:val="none"/>
      <w:lvlText w:val=""/>
      <w:lvlJc w:val="left"/>
      <w:pPr>
        <w:tabs>
          <w:tab w:val="num" w:pos="360"/>
        </w:tabs>
      </w:pPr>
    </w:lvl>
    <w:lvl w:ilvl="1" w:tplc="45540EC6">
      <w:numFmt w:val="decimal"/>
      <w:lvlText w:val=""/>
      <w:lvlJc w:val="left"/>
    </w:lvl>
    <w:lvl w:ilvl="2" w:tplc="426EFDE0">
      <w:numFmt w:val="decimal"/>
      <w:lvlText w:val=""/>
      <w:lvlJc w:val="left"/>
    </w:lvl>
    <w:lvl w:ilvl="3" w:tplc="1980A022">
      <w:numFmt w:val="decimal"/>
      <w:lvlText w:val=""/>
      <w:lvlJc w:val="left"/>
    </w:lvl>
    <w:lvl w:ilvl="4" w:tplc="C9D6BBF0">
      <w:numFmt w:val="decimal"/>
      <w:lvlText w:val=""/>
      <w:lvlJc w:val="left"/>
    </w:lvl>
    <w:lvl w:ilvl="5" w:tplc="7DD4B1FE">
      <w:numFmt w:val="decimal"/>
      <w:lvlText w:val=""/>
      <w:lvlJc w:val="left"/>
    </w:lvl>
    <w:lvl w:ilvl="6" w:tplc="14988CDC">
      <w:numFmt w:val="decimal"/>
      <w:lvlText w:val=""/>
      <w:lvlJc w:val="left"/>
    </w:lvl>
    <w:lvl w:ilvl="7" w:tplc="363622F6">
      <w:numFmt w:val="decimal"/>
      <w:lvlText w:val=""/>
      <w:lvlJc w:val="left"/>
    </w:lvl>
    <w:lvl w:ilvl="8" w:tplc="950673C2">
      <w:numFmt w:val="decimal"/>
      <w:lvlText w:val=""/>
      <w:lvlJc w:val="left"/>
    </w:lvl>
  </w:abstractNum>
  <w:abstractNum w:abstractNumId="6">
    <w:nsid w:val="00000007"/>
    <w:multiLevelType w:val="hybridMultilevel"/>
    <w:tmpl w:val="4CCCBA26"/>
    <w:lvl w:ilvl="0" w:tplc="F8E2B6E4">
      <w:numFmt w:val="none"/>
      <w:lvlText w:val=""/>
      <w:lvlJc w:val="left"/>
      <w:pPr>
        <w:tabs>
          <w:tab w:val="num" w:pos="360"/>
        </w:tabs>
      </w:pPr>
    </w:lvl>
    <w:lvl w:ilvl="1" w:tplc="F33ABE3E">
      <w:numFmt w:val="decimal"/>
      <w:lvlText w:val=""/>
      <w:lvlJc w:val="left"/>
    </w:lvl>
    <w:lvl w:ilvl="2" w:tplc="F648EFBC">
      <w:numFmt w:val="decimal"/>
      <w:lvlText w:val=""/>
      <w:lvlJc w:val="left"/>
    </w:lvl>
    <w:lvl w:ilvl="3" w:tplc="A1F6E002">
      <w:numFmt w:val="decimal"/>
      <w:lvlText w:val=""/>
      <w:lvlJc w:val="left"/>
    </w:lvl>
    <w:lvl w:ilvl="4" w:tplc="3A82EC24">
      <w:numFmt w:val="decimal"/>
      <w:lvlText w:val=""/>
      <w:lvlJc w:val="left"/>
    </w:lvl>
    <w:lvl w:ilvl="5" w:tplc="DB7476DA">
      <w:numFmt w:val="decimal"/>
      <w:lvlText w:val=""/>
      <w:lvlJc w:val="left"/>
    </w:lvl>
    <w:lvl w:ilvl="6" w:tplc="EEE0A8EA">
      <w:numFmt w:val="decimal"/>
      <w:lvlText w:val=""/>
      <w:lvlJc w:val="left"/>
    </w:lvl>
    <w:lvl w:ilvl="7" w:tplc="A6221A76">
      <w:numFmt w:val="decimal"/>
      <w:lvlText w:val=""/>
      <w:lvlJc w:val="left"/>
    </w:lvl>
    <w:lvl w:ilvl="8" w:tplc="9D44C280">
      <w:numFmt w:val="decimal"/>
      <w:lvlText w:val=""/>
      <w:lvlJc w:val="left"/>
    </w:lvl>
  </w:abstractNum>
  <w:abstractNum w:abstractNumId="7">
    <w:nsid w:val="00000008"/>
    <w:multiLevelType w:val="hybridMultilevel"/>
    <w:tmpl w:val="2B106982"/>
    <w:lvl w:ilvl="0" w:tplc="0FC09DA6">
      <w:numFmt w:val="none"/>
      <w:lvlText w:val=""/>
      <w:lvlJc w:val="left"/>
      <w:pPr>
        <w:tabs>
          <w:tab w:val="num" w:pos="360"/>
        </w:tabs>
      </w:pPr>
    </w:lvl>
    <w:lvl w:ilvl="1" w:tplc="58866872">
      <w:numFmt w:val="none"/>
      <w:lvlText w:val=""/>
      <w:lvlJc w:val="left"/>
      <w:pPr>
        <w:tabs>
          <w:tab w:val="num" w:pos="360"/>
        </w:tabs>
      </w:pPr>
    </w:lvl>
    <w:lvl w:ilvl="2" w:tplc="614AADA4">
      <w:numFmt w:val="decimal"/>
      <w:lvlText w:val=""/>
      <w:lvlJc w:val="left"/>
    </w:lvl>
    <w:lvl w:ilvl="3" w:tplc="04AC8ABA">
      <w:numFmt w:val="decimal"/>
      <w:lvlText w:val=""/>
      <w:lvlJc w:val="left"/>
    </w:lvl>
    <w:lvl w:ilvl="4" w:tplc="A06CE178">
      <w:numFmt w:val="decimal"/>
      <w:lvlText w:val=""/>
      <w:lvlJc w:val="left"/>
    </w:lvl>
    <w:lvl w:ilvl="5" w:tplc="73CA6578">
      <w:numFmt w:val="decimal"/>
      <w:lvlText w:val=""/>
      <w:lvlJc w:val="left"/>
    </w:lvl>
    <w:lvl w:ilvl="6" w:tplc="27540F8C">
      <w:numFmt w:val="decimal"/>
      <w:lvlText w:val=""/>
      <w:lvlJc w:val="left"/>
    </w:lvl>
    <w:lvl w:ilvl="7" w:tplc="AA26E370">
      <w:numFmt w:val="decimal"/>
      <w:lvlText w:val=""/>
      <w:lvlJc w:val="left"/>
    </w:lvl>
    <w:lvl w:ilvl="8" w:tplc="BF12BD8A">
      <w:numFmt w:val="decimal"/>
      <w:lvlText w:val=""/>
      <w:lvlJc w:val="left"/>
    </w:lvl>
  </w:abstractNum>
  <w:abstractNum w:abstractNumId="8">
    <w:nsid w:val="00000009"/>
    <w:multiLevelType w:val="hybridMultilevel"/>
    <w:tmpl w:val="072EAC3E"/>
    <w:lvl w:ilvl="0" w:tplc="722C6FA8">
      <w:numFmt w:val="none"/>
      <w:lvlText w:val=""/>
      <w:lvlJc w:val="left"/>
      <w:pPr>
        <w:tabs>
          <w:tab w:val="num" w:pos="360"/>
        </w:tabs>
      </w:pPr>
    </w:lvl>
    <w:lvl w:ilvl="1" w:tplc="FC1C4398">
      <w:numFmt w:val="decimal"/>
      <w:lvlText w:val=""/>
      <w:lvlJc w:val="left"/>
    </w:lvl>
    <w:lvl w:ilvl="2" w:tplc="8B0CD5F6">
      <w:numFmt w:val="decimal"/>
      <w:lvlText w:val=""/>
      <w:lvlJc w:val="left"/>
    </w:lvl>
    <w:lvl w:ilvl="3" w:tplc="DD28053A">
      <w:numFmt w:val="decimal"/>
      <w:lvlText w:val=""/>
      <w:lvlJc w:val="left"/>
    </w:lvl>
    <w:lvl w:ilvl="4" w:tplc="C97AEAEA">
      <w:numFmt w:val="decimal"/>
      <w:lvlText w:val=""/>
      <w:lvlJc w:val="left"/>
    </w:lvl>
    <w:lvl w:ilvl="5" w:tplc="A58EBA7C">
      <w:numFmt w:val="decimal"/>
      <w:lvlText w:val=""/>
      <w:lvlJc w:val="left"/>
    </w:lvl>
    <w:lvl w:ilvl="6" w:tplc="D65C460A">
      <w:numFmt w:val="decimal"/>
      <w:lvlText w:val=""/>
      <w:lvlJc w:val="left"/>
    </w:lvl>
    <w:lvl w:ilvl="7" w:tplc="64E6699C">
      <w:numFmt w:val="decimal"/>
      <w:lvlText w:val=""/>
      <w:lvlJc w:val="left"/>
    </w:lvl>
    <w:lvl w:ilvl="8" w:tplc="E1EEED04">
      <w:numFmt w:val="decimal"/>
      <w:lvlText w:val=""/>
      <w:lvlJc w:val="left"/>
    </w:lvl>
  </w:abstractNum>
  <w:abstractNum w:abstractNumId="9">
    <w:nsid w:val="0000000A"/>
    <w:multiLevelType w:val="hybridMultilevel"/>
    <w:tmpl w:val="6090DD7C"/>
    <w:lvl w:ilvl="0" w:tplc="96940FB2">
      <w:numFmt w:val="none"/>
      <w:lvlText w:val=""/>
      <w:lvlJc w:val="left"/>
      <w:pPr>
        <w:tabs>
          <w:tab w:val="num" w:pos="360"/>
        </w:tabs>
      </w:pPr>
    </w:lvl>
    <w:lvl w:ilvl="1" w:tplc="79727034">
      <w:numFmt w:val="none"/>
      <w:lvlText w:val=""/>
      <w:lvlJc w:val="left"/>
      <w:pPr>
        <w:tabs>
          <w:tab w:val="num" w:pos="360"/>
        </w:tabs>
      </w:pPr>
    </w:lvl>
    <w:lvl w:ilvl="2" w:tplc="011E3EE0">
      <w:numFmt w:val="none"/>
      <w:lvlText w:val=""/>
      <w:lvlJc w:val="left"/>
      <w:pPr>
        <w:tabs>
          <w:tab w:val="num" w:pos="360"/>
        </w:tabs>
      </w:pPr>
    </w:lvl>
    <w:lvl w:ilvl="3" w:tplc="80E6945E">
      <w:numFmt w:val="decimal"/>
      <w:lvlText w:val=""/>
      <w:lvlJc w:val="left"/>
    </w:lvl>
    <w:lvl w:ilvl="4" w:tplc="81181D18">
      <w:numFmt w:val="decimal"/>
      <w:lvlText w:val=""/>
      <w:lvlJc w:val="left"/>
    </w:lvl>
    <w:lvl w:ilvl="5" w:tplc="8AB4B24E">
      <w:numFmt w:val="decimal"/>
      <w:lvlText w:val=""/>
      <w:lvlJc w:val="left"/>
    </w:lvl>
    <w:lvl w:ilvl="6" w:tplc="0F34BEF4">
      <w:numFmt w:val="decimal"/>
      <w:lvlText w:val=""/>
      <w:lvlJc w:val="left"/>
    </w:lvl>
    <w:lvl w:ilvl="7" w:tplc="309668D6">
      <w:numFmt w:val="decimal"/>
      <w:lvlText w:val=""/>
      <w:lvlJc w:val="left"/>
    </w:lvl>
    <w:lvl w:ilvl="8" w:tplc="54500740">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312A0"/>
    <w:rsid w:val="000578D7"/>
    <w:rsid w:val="00060AF7"/>
    <w:rsid w:val="00077CE0"/>
    <w:rsid w:val="000A6B31"/>
    <w:rsid w:val="000A750D"/>
    <w:rsid w:val="000C6F91"/>
    <w:rsid w:val="000D10DF"/>
    <w:rsid w:val="00101B44"/>
    <w:rsid w:val="001112BC"/>
    <w:rsid w:val="00124377"/>
    <w:rsid w:val="0015415D"/>
    <w:rsid w:val="00171B27"/>
    <w:rsid w:val="00180C88"/>
    <w:rsid w:val="00183FAF"/>
    <w:rsid w:val="001901FD"/>
    <w:rsid w:val="0019167B"/>
    <w:rsid w:val="00194B3B"/>
    <w:rsid w:val="001A1570"/>
    <w:rsid w:val="001B2E67"/>
    <w:rsid w:val="001C2C15"/>
    <w:rsid w:val="001C71D5"/>
    <w:rsid w:val="001D2F0F"/>
    <w:rsid w:val="001D7254"/>
    <w:rsid w:val="00226741"/>
    <w:rsid w:val="00242D04"/>
    <w:rsid w:val="002431AB"/>
    <w:rsid w:val="002928E3"/>
    <w:rsid w:val="002A0C37"/>
    <w:rsid w:val="002A0C64"/>
    <w:rsid w:val="002C5C17"/>
    <w:rsid w:val="003101D6"/>
    <w:rsid w:val="00317009"/>
    <w:rsid w:val="003902C9"/>
    <w:rsid w:val="00397719"/>
    <w:rsid w:val="003A48D0"/>
    <w:rsid w:val="003A54D2"/>
    <w:rsid w:val="003D2CDB"/>
    <w:rsid w:val="003F2669"/>
    <w:rsid w:val="0045502E"/>
    <w:rsid w:val="004B1FD3"/>
    <w:rsid w:val="004C4213"/>
    <w:rsid w:val="004C78DA"/>
    <w:rsid w:val="004D1486"/>
    <w:rsid w:val="00501543"/>
    <w:rsid w:val="00505E00"/>
    <w:rsid w:val="00513314"/>
    <w:rsid w:val="00532D89"/>
    <w:rsid w:val="00535513"/>
    <w:rsid w:val="00551B21"/>
    <w:rsid w:val="00563F35"/>
    <w:rsid w:val="00567841"/>
    <w:rsid w:val="005C0132"/>
    <w:rsid w:val="005C740B"/>
    <w:rsid w:val="005E0BBE"/>
    <w:rsid w:val="005E2E9E"/>
    <w:rsid w:val="00603B84"/>
    <w:rsid w:val="006109A3"/>
    <w:rsid w:val="00616F50"/>
    <w:rsid w:val="00620FA5"/>
    <w:rsid w:val="006373DB"/>
    <w:rsid w:val="006E4D83"/>
    <w:rsid w:val="00731A70"/>
    <w:rsid w:val="00761BA8"/>
    <w:rsid w:val="00790AD6"/>
    <w:rsid w:val="00840ADD"/>
    <w:rsid w:val="00856EE9"/>
    <w:rsid w:val="00880852"/>
    <w:rsid w:val="008905B8"/>
    <w:rsid w:val="008C0FA9"/>
    <w:rsid w:val="008E7C17"/>
    <w:rsid w:val="008F7769"/>
    <w:rsid w:val="009023E8"/>
    <w:rsid w:val="00976B71"/>
    <w:rsid w:val="009A17D8"/>
    <w:rsid w:val="009A62AC"/>
    <w:rsid w:val="009A7237"/>
    <w:rsid w:val="009B512D"/>
    <w:rsid w:val="009F18B5"/>
    <w:rsid w:val="00A176E0"/>
    <w:rsid w:val="00A349ED"/>
    <w:rsid w:val="00A5535C"/>
    <w:rsid w:val="00A852C3"/>
    <w:rsid w:val="00AE0DFA"/>
    <w:rsid w:val="00AE30E4"/>
    <w:rsid w:val="00B1487D"/>
    <w:rsid w:val="00B21B6E"/>
    <w:rsid w:val="00B96213"/>
    <w:rsid w:val="00BC2C37"/>
    <w:rsid w:val="00BC4247"/>
    <w:rsid w:val="00BC66C3"/>
    <w:rsid w:val="00BC68DF"/>
    <w:rsid w:val="00BE57AA"/>
    <w:rsid w:val="00C3291E"/>
    <w:rsid w:val="00CB752F"/>
    <w:rsid w:val="00CC6E58"/>
    <w:rsid w:val="00CE5E1F"/>
    <w:rsid w:val="00CF68F8"/>
    <w:rsid w:val="00D05360"/>
    <w:rsid w:val="00D17FEA"/>
    <w:rsid w:val="00D42B7D"/>
    <w:rsid w:val="00D42F7B"/>
    <w:rsid w:val="00D53A18"/>
    <w:rsid w:val="00D54DDD"/>
    <w:rsid w:val="00D7474D"/>
    <w:rsid w:val="00D96A11"/>
    <w:rsid w:val="00DC5644"/>
    <w:rsid w:val="00DD1F15"/>
    <w:rsid w:val="00DE02B3"/>
    <w:rsid w:val="00DE50C0"/>
    <w:rsid w:val="00DE568F"/>
    <w:rsid w:val="00E205E1"/>
    <w:rsid w:val="00E36621"/>
    <w:rsid w:val="00E46CD0"/>
    <w:rsid w:val="00E5193F"/>
    <w:rsid w:val="00E528C7"/>
    <w:rsid w:val="00E804F9"/>
    <w:rsid w:val="00E82987"/>
    <w:rsid w:val="00E90FED"/>
    <w:rsid w:val="00E9757C"/>
    <w:rsid w:val="00EB1694"/>
    <w:rsid w:val="00EB53E8"/>
    <w:rsid w:val="00F17911"/>
    <w:rsid w:val="00F2516F"/>
    <w:rsid w:val="00F261A8"/>
    <w:rsid w:val="00F45343"/>
    <w:rsid w:val="00F809C3"/>
    <w:rsid w:val="00FB1402"/>
    <w:rsid w:val="00FD43FA"/>
    <w:rsid w:val="00FF49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Title" w:qFormat="1"/>
    <w:lsdException w:name="Default Paragraph Font" w:uiPriority="1"/>
    <w:lsdException w:name="Strong" w:uiPriority="22" w:qFormat="1"/>
    <w:lsdException w:name="Normal (Web)" w:uiPriority="99"/>
    <w:lsdException w:name="No List" w:uiPriority="99"/>
    <w:lsdException w:name="Table Grid" w:uiPriority="5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paragraph" w:styleId="Title">
    <w:name w:val="Title"/>
    <w:basedOn w:val="Normal"/>
    <w:link w:val="TitleChar"/>
    <w:qFormat/>
    <w:rsid w:val="002928E3"/>
    <w:pPr>
      <w:jc w:val="center"/>
    </w:pPr>
    <w:rPr>
      <w:rFonts w:ascii="Garamond" w:eastAsia="Times New Roman" w:hAnsi="Garamond" w:cs="Times New Roman"/>
      <w:b/>
      <w:bCs/>
      <w:sz w:val="30"/>
      <w:szCs w:val="20"/>
    </w:rPr>
  </w:style>
  <w:style w:type="character" w:customStyle="1" w:styleId="TitleChar">
    <w:name w:val="Title Char"/>
    <w:basedOn w:val="DefaultParagraphFont"/>
    <w:link w:val="Title"/>
    <w:rsid w:val="002928E3"/>
    <w:rPr>
      <w:rFonts w:ascii="Garamond" w:eastAsia="Times New Roman" w:hAnsi="Garamond" w:cs="Times New Roman"/>
      <w:b/>
      <w:bCs/>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Title" w:qFormat="1"/>
    <w:lsdException w:name="Default Paragraph Font" w:uiPriority="1"/>
    <w:lsdException w:name="Strong" w:uiPriority="22" w:qFormat="1"/>
    <w:lsdException w:name="Normal (Web)" w:uiPriority="99"/>
    <w:lsdException w:name="No List" w:uiPriority="99"/>
    <w:lsdException w:name="Table Grid" w:uiPriority="5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paragraph" w:styleId="Title">
    <w:name w:val="Title"/>
    <w:basedOn w:val="Normal"/>
    <w:link w:val="TitleChar"/>
    <w:qFormat/>
    <w:rsid w:val="002928E3"/>
    <w:pPr>
      <w:jc w:val="center"/>
    </w:pPr>
    <w:rPr>
      <w:rFonts w:ascii="Garamond" w:eastAsia="Times New Roman" w:hAnsi="Garamond" w:cs="Times New Roman"/>
      <w:b/>
      <w:bCs/>
      <w:sz w:val="30"/>
      <w:szCs w:val="20"/>
    </w:rPr>
  </w:style>
  <w:style w:type="character" w:customStyle="1" w:styleId="TitleChar">
    <w:name w:val="Title Char"/>
    <w:basedOn w:val="DefaultParagraphFont"/>
    <w:link w:val="Title"/>
    <w:rsid w:val="002928E3"/>
    <w:rPr>
      <w:rFonts w:ascii="Garamond" w:eastAsia="Times New Roman" w:hAnsi="Garamond" w:cs="Times New Roman"/>
      <w:b/>
      <w:bCs/>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347">
      <w:bodyDiv w:val="1"/>
      <w:marLeft w:val="0"/>
      <w:marRight w:val="0"/>
      <w:marTop w:val="0"/>
      <w:marBottom w:val="0"/>
      <w:divBdr>
        <w:top w:val="none" w:sz="0" w:space="0" w:color="auto"/>
        <w:left w:val="none" w:sz="0" w:space="0" w:color="auto"/>
        <w:bottom w:val="none" w:sz="0" w:space="0" w:color="auto"/>
        <w:right w:val="none" w:sz="0" w:space="0" w:color="auto"/>
      </w:divBdr>
      <w:divsChild>
        <w:div w:id="129644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2537">
              <w:marLeft w:val="0"/>
              <w:marRight w:val="0"/>
              <w:marTop w:val="0"/>
              <w:marBottom w:val="0"/>
              <w:divBdr>
                <w:top w:val="none" w:sz="0" w:space="0" w:color="auto"/>
                <w:left w:val="none" w:sz="0" w:space="0" w:color="auto"/>
                <w:bottom w:val="none" w:sz="0" w:space="0" w:color="auto"/>
                <w:right w:val="none" w:sz="0" w:space="0" w:color="auto"/>
              </w:divBdr>
              <w:divsChild>
                <w:div w:id="328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7302">
      <w:bodyDiv w:val="1"/>
      <w:marLeft w:val="0"/>
      <w:marRight w:val="0"/>
      <w:marTop w:val="0"/>
      <w:marBottom w:val="0"/>
      <w:divBdr>
        <w:top w:val="none" w:sz="0" w:space="0" w:color="auto"/>
        <w:left w:val="none" w:sz="0" w:space="0" w:color="auto"/>
        <w:bottom w:val="none" w:sz="0" w:space="0" w:color="auto"/>
        <w:right w:val="none" w:sz="0" w:space="0" w:color="auto"/>
      </w:divBdr>
      <w:divsChild>
        <w:div w:id="706950248">
          <w:marLeft w:val="0"/>
          <w:marRight w:val="0"/>
          <w:marTop w:val="0"/>
          <w:marBottom w:val="0"/>
          <w:divBdr>
            <w:top w:val="none" w:sz="0" w:space="0" w:color="auto"/>
            <w:left w:val="none" w:sz="0" w:space="0" w:color="auto"/>
            <w:bottom w:val="none" w:sz="0" w:space="0" w:color="auto"/>
            <w:right w:val="none" w:sz="0" w:space="0" w:color="auto"/>
          </w:divBdr>
          <w:divsChild>
            <w:div w:id="468978940">
              <w:marLeft w:val="0"/>
              <w:marRight w:val="0"/>
              <w:marTop w:val="0"/>
              <w:marBottom w:val="0"/>
              <w:divBdr>
                <w:top w:val="none" w:sz="0" w:space="0" w:color="auto"/>
                <w:left w:val="none" w:sz="0" w:space="0" w:color="auto"/>
                <w:bottom w:val="none" w:sz="0" w:space="0" w:color="auto"/>
                <w:right w:val="none" w:sz="0" w:space="0" w:color="auto"/>
              </w:divBdr>
              <w:divsChild>
                <w:div w:id="983120234">
                  <w:marLeft w:val="0"/>
                  <w:marRight w:val="0"/>
                  <w:marTop w:val="0"/>
                  <w:marBottom w:val="0"/>
                  <w:divBdr>
                    <w:top w:val="none" w:sz="0" w:space="0" w:color="auto"/>
                    <w:left w:val="none" w:sz="0" w:space="0" w:color="auto"/>
                    <w:bottom w:val="none" w:sz="0" w:space="0" w:color="auto"/>
                    <w:right w:val="none" w:sz="0" w:space="0" w:color="auto"/>
                  </w:divBdr>
                  <w:divsChild>
                    <w:div w:id="2076200867">
                      <w:marLeft w:val="0"/>
                      <w:marRight w:val="0"/>
                      <w:marTop w:val="0"/>
                      <w:marBottom w:val="0"/>
                      <w:divBdr>
                        <w:top w:val="none" w:sz="0" w:space="0" w:color="auto"/>
                        <w:left w:val="none" w:sz="0" w:space="0" w:color="auto"/>
                        <w:bottom w:val="none" w:sz="0" w:space="0" w:color="auto"/>
                        <w:right w:val="none" w:sz="0" w:space="0" w:color="auto"/>
                      </w:divBdr>
                      <w:divsChild>
                        <w:div w:id="1315261308">
                          <w:marLeft w:val="0"/>
                          <w:marRight w:val="0"/>
                          <w:marTop w:val="0"/>
                          <w:marBottom w:val="0"/>
                          <w:divBdr>
                            <w:top w:val="none" w:sz="0" w:space="0" w:color="auto"/>
                            <w:left w:val="none" w:sz="0" w:space="0" w:color="auto"/>
                            <w:bottom w:val="none" w:sz="0" w:space="0" w:color="auto"/>
                            <w:right w:val="none" w:sz="0" w:space="0" w:color="auto"/>
                          </w:divBdr>
                          <w:divsChild>
                            <w:div w:id="1914268870">
                              <w:marLeft w:val="0"/>
                              <w:marRight w:val="0"/>
                              <w:marTop w:val="0"/>
                              <w:marBottom w:val="0"/>
                              <w:divBdr>
                                <w:top w:val="none" w:sz="0" w:space="0" w:color="auto"/>
                                <w:left w:val="none" w:sz="0" w:space="0" w:color="auto"/>
                                <w:bottom w:val="none" w:sz="0" w:space="0" w:color="auto"/>
                                <w:right w:val="none" w:sz="0" w:space="0" w:color="auto"/>
                              </w:divBdr>
                            </w:div>
                            <w:div w:id="406853235">
                              <w:marLeft w:val="0"/>
                              <w:marRight w:val="0"/>
                              <w:marTop w:val="0"/>
                              <w:marBottom w:val="0"/>
                              <w:divBdr>
                                <w:top w:val="none" w:sz="0" w:space="0" w:color="auto"/>
                                <w:left w:val="none" w:sz="0" w:space="0" w:color="auto"/>
                                <w:bottom w:val="none" w:sz="0" w:space="0" w:color="auto"/>
                                <w:right w:val="none" w:sz="0" w:space="0" w:color="auto"/>
                              </w:divBdr>
                            </w:div>
                          </w:divsChild>
                        </w:div>
                        <w:div w:id="935602297">
                          <w:marLeft w:val="0"/>
                          <w:marRight w:val="0"/>
                          <w:marTop w:val="0"/>
                          <w:marBottom w:val="0"/>
                          <w:divBdr>
                            <w:top w:val="none" w:sz="0" w:space="0" w:color="auto"/>
                            <w:left w:val="none" w:sz="0" w:space="0" w:color="auto"/>
                            <w:bottom w:val="none" w:sz="0" w:space="0" w:color="auto"/>
                            <w:right w:val="none" w:sz="0" w:space="0" w:color="auto"/>
                          </w:divBdr>
                          <w:divsChild>
                            <w:div w:id="1988825994">
                              <w:marLeft w:val="0"/>
                              <w:marRight w:val="0"/>
                              <w:marTop w:val="0"/>
                              <w:marBottom w:val="0"/>
                              <w:divBdr>
                                <w:top w:val="none" w:sz="0" w:space="0" w:color="auto"/>
                                <w:left w:val="none" w:sz="0" w:space="0" w:color="auto"/>
                                <w:bottom w:val="none" w:sz="0" w:space="0" w:color="auto"/>
                                <w:right w:val="none" w:sz="0" w:space="0" w:color="auto"/>
                              </w:divBdr>
                            </w:div>
                            <w:div w:id="706564720">
                              <w:marLeft w:val="0"/>
                              <w:marRight w:val="0"/>
                              <w:marTop w:val="0"/>
                              <w:marBottom w:val="0"/>
                              <w:divBdr>
                                <w:top w:val="none" w:sz="0" w:space="0" w:color="auto"/>
                                <w:left w:val="none" w:sz="0" w:space="0" w:color="auto"/>
                                <w:bottom w:val="none" w:sz="0" w:space="0" w:color="auto"/>
                                <w:right w:val="none" w:sz="0" w:space="0" w:color="auto"/>
                              </w:divBdr>
                            </w:div>
                          </w:divsChild>
                        </w:div>
                        <w:div w:id="1272590972">
                          <w:marLeft w:val="0"/>
                          <w:marRight w:val="0"/>
                          <w:marTop w:val="0"/>
                          <w:marBottom w:val="0"/>
                          <w:divBdr>
                            <w:top w:val="none" w:sz="0" w:space="0" w:color="auto"/>
                            <w:left w:val="none" w:sz="0" w:space="0" w:color="auto"/>
                            <w:bottom w:val="none" w:sz="0" w:space="0" w:color="auto"/>
                            <w:right w:val="none" w:sz="0" w:space="0" w:color="auto"/>
                          </w:divBdr>
                        </w:div>
                        <w:div w:id="1436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232">
                  <w:marLeft w:val="0"/>
                  <w:marRight w:val="0"/>
                  <w:marTop w:val="0"/>
                  <w:marBottom w:val="0"/>
                  <w:divBdr>
                    <w:top w:val="none" w:sz="0" w:space="0" w:color="auto"/>
                    <w:left w:val="none" w:sz="0" w:space="0" w:color="auto"/>
                    <w:bottom w:val="none" w:sz="0" w:space="0" w:color="auto"/>
                    <w:right w:val="none" w:sz="0" w:space="0" w:color="auto"/>
                  </w:divBdr>
                  <w:divsChild>
                    <w:div w:id="1940790457">
                      <w:marLeft w:val="0"/>
                      <w:marRight w:val="0"/>
                      <w:marTop w:val="0"/>
                      <w:marBottom w:val="0"/>
                      <w:divBdr>
                        <w:top w:val="none" w:sz="0" w:space="0" w:color="auto"/>
                        <w:left w:val="none" w:sz="0" w:space="0" w:color="auto"/>
                        <w:bottom w:val="none" w:sz="0" w:space="0" w:color="auto"/>
                        <w:right w:val="none" w:sz="0" w:space="0" w:color="auto"/>
                      </w:divBdr>
                      <w:divsChild>
                        <w:div w:id="766584083">
                          <w:marLeft w:val="0"/>
                          <w:marRight w:val="0"/>
                          <w:marTop w:val="0"/>
                          <w:marBottom w:val="0"/>
                          <w:divBdr>
                            <w:top w:val="none" w:sz="0" w:space="0" w:color="auto"/>
                            <w:left w:val="none" w:sz="0" w:space="0" w:color="auto"/>
                            <w:bottom w:val="none" w:sz="0" w:space="0" w:color="auto"/>
                            <w:right w:val="none" w:sz="0" w:space="0" w:color="auto"/>
                          </w:divBdr>
                        </w:div>
                        <w:div w:id="1391805885">
                          <w:marLeft w:val="0"/>
                          <w:marRight w:val="0"/>
                          <w:marTop w:val="0"/>
                          <w:marBottom w:val="0"/>
                          <w:divBdr>
                            <w:top w:val="none" w:sz="0" w:space="0" w:color="auto"/>
                            <w:left w:val="none" w:sz="0" w:space="0" w:color="auto"/>
                            <w:bottom w:val="none" w:sz="0" w:space="0" w:color="auto"/>
                            <w:right w:val="none" w:sz="0" w:space="0" w:color="auto"/>
                          </w:divBdr>
                        </w:div>
                        <w:div w:id="234436088">
                          <w:marLeft w:val="0"/>
                          <w:marRight w:val="0"/>
                          <w:marTop w:val="0"/>
                          <w:marBottom w:val="0"/>
                          <w:divBdr>
                            <w:top w:val="none" w:sz="0" w:space="0" w:color="auto"/>
                            <w:left w:val="none" w:sz="0" w:space="0" w:color="auto"/>
                            <w:bottom w:val="none" w:sz="0" w:space="0" w:color="auto"/>
                            <w:right w:val="none" w:sz="0" w:space="0" w:color="auto"/>
                          </w:divBdr>
                        </w:div>
                        <w:div w:id="176161355">
                          <w:marLeft w:val="0"/>
                          <w:marRight w:val="0"/>
                          <w:marTop w:val="0"/>
                          <w:marBottom w:val="0"/>
                          <w:divBdr>
                            <w:top w:val="none" w:sz="0" w:space="0" w:color="auto"/>
                            <w:left w:val="none" w:sz="0" w:space="0" w:color="auto"/>
                            <w:bottom w:val="none" w:sz="0" w:space="0" w:color="auto"/>
                            <w:right w:val="none" w:sz="0" w:space="0" w:color="auto"/>
                          </w:divBdr>
                        </w:div>
                        <w:div w:id="1029138706">
                          <w:marLeft w:val="0"/>
                          <w:marRight w:val="0"/>
                          <w:marTop w:val="0"/>
                          <w:marBottom w:val="0"/>
                          <w:divBdr>
                            <w:top w:val="none" w:sz="0" w:space="0" w:color="auto"/>
                            <w:left w:val="none" w:sz="0" w:space="0" w:color="auto"/>
                            <w:bottom w:val="none" w:sz="0" w:space="0" w:color="auto"/>
                            <w:right w:val="none" w:sz="0" w:space="0" w:color="auto"/>
                          </w:divBdr>
                          <w:divsChild>
                            <w:div w:id="52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2427">
      <w:bodyDiv w:val="1"/>
      <w:marLeft w:val="0"/>
      <w:marRight w:val="0"/>
      <w:marTop w:val="0"/>
      <w:marBottom w:val="0"/>
      <w:divBdr>
        <w:top w:val="none" w:sz="0" w:space="0" w:color="auto"/>
        <w:left w:val="none" w:sz="0" w:space="0" w:color="auto"/>
        <w:bottom w:val="none" w:sz="0" w:space="0" w:color="auto"/>
        <w:right w:val="none" w:sz="0" w:space="0" w:color="auto"/>
      </w:divBdr>
    </w:div>
    <w:div w:id="1575621588">
      <w:bodyDiv w:val="1"/>
      <w:marLeft w:val="0"/>
      <w:marRight w:val="0"/>
      <w:marTop w:val="0"/>
      <w:marBottom w:val="0"/>
      <w:divBdr>
        <w:top w:val="none" w:sz="0" w:space="0" w:color="auto"/>
        <w:left w:val="none" w:sz="0" w:space="0" w:color="auto"/>
        <w:bottom w:val="none" w:sz="0" w:space="0" w:color="auto"/>
        <w:right w:val="none" w:sz="0" w:space="0" w:color="auto"/>
      </w:divBdr>
    </w:div>
    <w:div w:id="2096903511">
      <w:bodyDiv w:val="1"/>
      <w:marLeft w:val="0"/>
      <w:marRight w:val="0"/>
      <w:marTop w:val="0"/>
      <w:marBottom w:val="0"/>
      <w:divBdr>
        <w:top w:val="none" w:sz="0" w:space="0" w:color="auto"/>
        <w:left w:val="none" w:sz="0" w:space="0" w:color="auto"/>
        <w:bottom w:val="none" w:sz="0" w:space="0" w:color="auto"/>
        <w:right w:val="none" w:sz="0" w:space="0" w:color="auto"/>
      </w:divBdr>
      <w:divsChild>
        <w:div w:id="594555761">
          <w:marLeft w:val="0"/>
          <w:marRight w:val="0"/>
          <w:marTop w:val="0"/>
          <w:marBottom w:val="0"/>
          <w:divBdr>
            <w:top w:val="none" w:sz="0" w:space="0" w:color="auto"/>
            <w:left w:val="none" w:sz="0" w:space="0" w:color="auto"/>
            <w:bottom w:val="none" w:sz="0" w:space="0" w:color="auto"/>
            <w:right w:val="none" w:sz="0" w:space="0" w:color="auto"/>
          </w:divBdr>
          <w:divsChild>
            <w:div w:id="741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816A-926E-4486-84F7-7AE7BA474029}">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B9624B7-19A8-4DF0-B92F-66D97D2483D1}">
  <ds:schemaRefs>
    <ds:schemaRef ds:uri="http://schemas.microsoft.com/sharepoint/v3/contenttype/forms"/>
  </ds:schemaRefs>
</ds:datastoreItem>
</file>

<file path=customXml/itemProps3.xml><?xml version="1.0" encoding="utf-8"?>
<ds:datastoreItem xmlns:ds="http://schemas.openxmlformats.org/officeDocument/2006/customXml" ds:itemID="{CF675929-0388-4DB1-9829-BBA67813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168D33-F1D7-4DCC-9F13-1C4E8DB9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Ida Mori</cp:lastModifiedBy>
  <cp:revision>3</cp:revision>
  <cp:lastPrinted>2013-03-14T23:04:00Z</cp:lastPrinted>
  <dcterms:created xsi:type="dcterms:W3CDTF">2013-03-22T22:01:00Z</dcterms:created>
  <dcterms:modified xsi:type="dcterms:W3CDTF">2013-03-22T22:04:00Z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