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44" w:rsidRPr="0049506B" w:rsidRDefault="008825A8" w:rsidP="0049506B">
      <w:pPr>
        <w:jc w:val="center"/>
      </w:pPr>
      <w:r>
        <w:rPr>
          <w:rFonts w:ascii="Cambria" w:hAnsi="Cambria"/>
          <w:noProof/>
        </w:rPr>
        <w:drawing>
          <wp:inline distT="0" distB="0" distL="0" distR="0">
            <wp:extent cx="2571750" cy="581025"/>
            <wp:effectExtent l="0" t="0" r="0" b="952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inline>
        </w:drawing>
      </w:r>
      <w:r>
        <w:rPr>
          <w:rFonts w:ascii="Cambria" w:hAnsi="Cambria"/>
          <w:noProof/>
        </w:rPr>
        <w:drawing>
          <wp:inline distT="0" distB="0" distL="0" distR="0">
            <wp:extent cx="2571750" cy="581025"/>
            <wp:effectExtent l="0" t="0" r="0" b="9525"/>
            <wp:docPr id="2" name="Picture 2"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onesia Ri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inline>
        </w:drawing>
      </w:r>
    </w:p>
    <w:p w:rsidR="002F6D44" w:rsidRPr="0049506B" w:rsidRDefault="002F6D44" w:rsidP="0049506B">
      <w:pPr>
        <w:spacing w:after="0" w:line="240" w:lineRule="auto"/>
        <w:jc w:val="center"/>
        <w:rPr>
          <w:rFonts w:cs="Calibri"/>
          <w:b/>
          <w:color w:val="17365D"/>
          <w:sz w:val="32"/>
          <w:szCs w:val="32"/>
        </w:rPr>
      </w:pPr>
      <w:r w:rsidRPr="0049506B">
        <w:rPr>
          <w:rFonts w:cs="Calibri"/>
          <w:b/>
          <w:color w:val="17365D"/>
          <w:sz w:val="32"/>
          <w:szCs w:val="32"/>
        </w:rPr>
        <w:t xml:space="preserve">World </w:t>
      </w:r>
      <w:r w:rsidR="00FE042C">
        <w:rPr>
          <w:rFonts w:cs="Calibri"/>
          <w:b/>
          <w:color w:val="17365D"/>
          <w:sz w:val="32"/>
          <w:szCs w:val="32"/>
        </w:rPr>
        <w:t>Bank</w:t>
      </w:r>
      <w:r w:rsidRPr="0049506B">
        <w:rPr>
          <w:rFonts w:cs="Calibri"/>
          <w:b/>
          <w:color w:val="17365D"/>
          <w:sz w:val="32"/>
          <w:szCs w:val="32"/>
        </w:rPr>
        <w:t>’s Safeguard Policies Review and Update</w:t>
      </w:r>
    </w:p>
    <w:p w:rsidR="002F6D44" w:rsidRPr="0049506B" w:rsidRDefault="002F6D44" w:rsidP="0049506B">
      <w:pPr>
        <w:spacing w:after="0" w:line="240" w:lineRule="auto"/>
        <w:jc w:val="center"/>
        <w:rPr>
          <w:rFonts w:cs="Calibri"/>
          <w:b/>
          <w:color w:val="17365D"/>
          <w:sz w:val="32"/>
          <w:szCs w:val="32"/>
        </w:rPr>
      </w:pPr>
      <w:r>
        <w:rPr>
          <w:rFonts w:cs="Calibri"/>
          <w:b/>
          <w:color w:val="17365D"/>
          <w:sz w:val="32"/>
          <w:szCs w:val="32"/>
        </w:rPr>
        <w:t xml:space="preserve">Online </w:t>
      </w:r>
      <w:r w:rsidRPr="0049506B">
        <w:rPr>
          <w:rFonts w:cs="Calibri"/>
          <w:b/>
          <w:color w:val="17365D"/>
          <w:sz w:val="32"/>
          <w:szCs w:val="32"/>
        </w:rPr>
        <w:t>Expert Focus Group on the Emerging Area</w:t>
      </w:r>
    </w:p>
    <w:p w:rsidR="002F6D44" w:rsidRPr="0049506B" w:rsidRDefault="002F6D44" w:rsidP="0049506B">
      <w:pPr>
        <w:spacing w:after="0" w:line="240" w:lineRule="auto"/>
        <w:contextualSpacing/>
        <w:jc w:val="center"/>
        <w:rPr>
          <w:rFonts w:cs="Calibri"/>
          <w:b/>
          <w:color w:val="17365D"/>
          <w:sz w:val="32"/>
          <w:szCs w:val="32"/>
        </w:rPr>
      </w:pPr>
      <w:r>
        <w:rPr>
          <w:rFonts w:cs="Calibri"/>
          <w:b/>
          <w:color w:val="17365D"/>
          <w:sz w:val="32"/>
          <w:szCs w:val="32"/>
        </w:rPr>
        <w:t>Gender</w:t>
      </w:r>
    </w:p>
    <w:p w:rsidR="002F6D44" w:rsidRPr="0049506B" w:rsidRDefault="00FC7019" w:rsidP="0049506B">
      <w:pPr>
        <w:spacing w:after="0" w:line="240" w:lineRule="auto"/>
        <w:jc w:val="center"/>
        <w:rPr>
          <w:rFonts w:cs="Calibri"/>
          <w:color w:val="17365D"/>
          <w:sz w:val="28"/>
          <w:szCs w:val="28"/>
        </w:rPr>
      </w:pPr>
      <w:r>
        <w:rPr>
          <w:rFonts w:cs="Calibri"/>
          <w:color w:val="17365D"/>
          <w:sz w:val="28"/>
          <w:szCs w:val="28"/>
        </w:rPr>
        <w:t>Online Focus Group</w:t>
      </w:r>
    </w:p>
    <w:p w:rsidR="002F6D44" w:rsidRPr="0049506B" w:rsidRDefault="002F6D44" w:rsidP="0049506B">
      <w:pPr>
        <w:spacing w:after="0" w:line="240" w:lineRule="auto"/>
        <w:jc w:val="center"/>
        <w:rPr>
          <w:rFonts w:cs="Calibri"/>
          <w:color w:val="17365D"/>
          <w:sz w:val="28"/>
          <w:szCs w:val="28"/>
        </w:rPr>
      </w:pPr>
      <w:r>
        <w:rPr>
          <w:rFonts w:cs="Calibri"/>
          <w:color w:val="17365D"/>
          <w:sz w:val="28"/>
          <w:szCs w:val="28"/>
        </w:rPr>
        <w:t>May 16</w:t>
      </w:r>
      <w:r w:rsidRPr="0049506B">
        <w:rPr>
          <w:rFonts w:cs="Calibri"/>
          <w:color w:val="17365D"/>
          <w:sz w:val="28"/>
          <w:szCs w:val="28"/>
        </w:rPr>
        <w:t>, 2013</w:t>
      </w:r>
    </w:p>
    <w:p w:rsidR="002F6D44" w:rsidRPr="0049506B" w:rsidRDefault="002F6D44" w:rsidP="0049506B">
      <w:pPr>
        <w:spacing w:after="0"/>
        <w:jc w:val="center"/>
        <w:rPr>
          <w:rFonts w:cs="Calibri"/>
          <w:color w:val="17365D"/>
          <w:sz w:val="16"/>
          <w:szCs w:val="16"/>
        </w:rPr>
      </w:pPr>
      <w:bookmarkStart w:id="0" w:name="_GoBack"/>
      <w:bookmarkEnd w:id="0"/>
    </w:p>
    <w:p w:rsidR="002F6D44" w:rsidRPr="00315D1C" w:rsidRDefault="002F6D44" w:rsidP="0049506B">
      <w:r w:rsidRPr="0049506B">
        <w:rPr>
          <w:b/>
        </w:rPr>
        <w:t>On Ma</w:t>
      </w:r>
      <w:r>
        <w:rPr>
          <w:b/>
        </w:rPr>
        <w:t>y 16</w:t>
      </w:r>
      <w:r w:rsidRPr="0049506B">
        <w:rPr>
          <w:b/>
        </w:rPr>
        <w:t>, 2013</w:t>
      </w:r>
      <w:r w:rsidRPr="0051217A">
        <w:t xml:space="preserve">, an </w:t>
      </w:r>
      <w:r>
        <w:t xml:space="preserve">online </w:t>
      </w:r>
      <w:r w:rsidRPr="0051217A">
        <w:t>focus group meeting of international experts was held on the subject of</w:t>
      </w:r>
      <w:r>
        <w:t xml:space="preserve"> </w:t>
      </w:r>
      <w:r w:rsidRPr="004D18F0">
        <w:t xml:space="preserve">Gender. This focus group was part of the World </w:t>
      </w:r>
      <w:r w:rsidR="00FE042C">
        <w:t>Bank</w:t>
      </w:r>
      <w:r w:rsidRPr="004D18F0">
        <w:t xml:space="preserve"> safeguard policies review and update process</w:t>
      </w:r>
      <w:r>
        <w:t>,</w:t>
      </w:r>
      <w:r w:rsidRPr="004D18F0">
        <w:t xml:space="preserve"> and the topic of gender is one of the emerging areas that stakeholders have asked the </w:t>
      </w:r>
      <w:r w:rsidR="00FE042C">
        <w:t>World Bank</w:t>
      </w:r>
      <w:r w:rsidRPr="004D18F0">
        <w:t xml:space="preserve"> to consider during the review. Other emerging areas include: climate change</w:t>
      </w:r>
      <w:r>
        <w:t>;</w:t>
      </w:r>
      <w:r w:rsidRPr="004D18F0">
        <w:t xml:space="preserve"> disability</w:t>
      </w:r>
      <w:r>
        <w:t>;</w:t>
      </w:r>
      <w:r w:rsidRPr="004D18F0">
        <w:t xml:space="preserve"> free, prior and informed consent of </w:t>
      </w:r>
      <w:r w:rsidRPr="00094F1A">
        <w:t>Indigenous Peoples</w:t>
      </w:r>
      <w:r>
        <w:t>;</w:t>
      </w:r>
      <w:r w:rsidRPr="00094F1A">
        <w:t xml:space="preserve"> labor and occupational health and safety</w:t>
      </w:r>
      <w:r>
        <w:t>;</w:t>
      </w:r>
      <w:r w:rsidRPr="00094F1A">
        <w:t xml:space="preserve"> human rights</w:t>
      </w:r>
      <w:r>
        <w:t>;</w:t>
      </w:r>
      <w:r w:rsidRPr="004D18F0">
        <w:t xml:space="preserve"> </w:t>
      </w:r>
      <w:r>
        <w:t xml:space="preserve">and </w:t>
      </w:r>
      <w:r w:rsidRPr="004D18F0">
        <w:t xml:space="preserve">land tenure and natural resources. More information about this process is available on the safeguards review </w:t>
      </w:r>
      <w:hyperlink r:id="rId9" w:history="1">
        <w:r w:rsidRPr="004D18F0">
          <w:rPr>
            <w:rStyle w:val="Hyperlink"/>
          </w:rPr>
          <w:t>website</w:t>
        </w:r>
      </w:hyperlink>
      <w:r w:rsidRPr="004D18F0">
        <w:t xml:space="preserve">. The </w:t>
      </w:r>
      <w:r w:rsidRPr="002553B8">
        <w:t xml:space="preserve">terms of reference for participants of focus groups for emerging areas are available </w:t>
      </w:r>
      <w:hyperlink r:id="rId10" w:history="1">
        <w:r w:rsidRPr="002553B8">
          <w:rPr>
            <w:rStyle w:val="Hyperlink"/>
          </w:rPr>
          <w:t>here</w:t>
        </w:r>
      </w:hyperlink>
      <w:r w:rsidRPr="00315D1C">
        <w:t xml:space="preserve">. </w:t>
      </w:r>
    </w:p>
    <w:p w:rsidR="002F6D44" w:rsidRPr="00C35746" w:rsidRDefault="002F6D44" w:rsidP="0049506B">
      <w:pPr>
        <w:spacing w:after="0"/>
      </w:pPr>
      <w:r w:rsidRPr="00315D1C">
        <w:t xml:space="preserve">Participants in the focus group comprised </w:t>
      </w:r>
      <w:r>
        <w:t>gender</w:t>
      </w:r>
      <w:r w:rsidRPr="00315D1C">
        <w:t xml:space="preserve"> experts from a variety of civil society, inter-governmental, </w:t>
      </w:r>
      <w:r w:rsidR="000D433D">
        <w:t xml:space="preserve">and </w:t>
      </w:r>
      <w:r w:rsidRPr="00315D1C">
        <w:t xml:space="preserve">donor organizations from </w:t>
      </w:r>
      <w:r w:rsidRPr="00B806A6">
        <w:t xml:space="preserve">around the world (see </w:t>
      </w:r>
      <w:hyperlink r:id="rId11" w:history="1">
        <w:r w:rsidRPr="00CF4C4A">
          <w:rPr>
            <w:rStyle w:val="Hyperlink"/>
          </w:rPr>
          <w:t>list of participants</w:t>
        </w:r>
      </w:hyperlink>
      <w:r w:rsidRPr="009154F8">
        <w:t xml:space="preserve">). It was agreed at the outset that the focus group would be conducted in accordance with Chatham House rules, and that </w:t>
      </w:r>
      <w:r w:rsidR="000D433D">
        <w:t>the experts</w:t>
      </w:r>
      <w:r w:rsidRPr="009154F8">
        <w:t xml:space="preserve"> would speak in their individual capacities rather than as representatives of their respective institutions. In addition to </w:t>
      </w:r>
      <w:r w:rsidR="000D433D">
        <w:t xml:space="preserve">the </w:t>
      </w:r>
      <w:r w:rsidRPr="009154F8">
        <w:t xml:space="preserve">participating experts, </w:t>
      </w:r>
      <w:r w:rsidR="00553E42">
        <w:t>four</w:t>
      </w:r>
      <w:r w:rsidRPr="00FA2151">
        <w:t xml:space="preserve"> World </w:t>
      </w:r>
      <w:r w:rsidR="00FE042C">
        <w:t>Bank</w:t>
      </w:r>
      <w:r w:rsidRPr="00FA2151">
        <w:t xml:space="preserve"> </w:t>
      </w:r>
      <w:r w:rsidR="00553E42">
        <w:t xml:space="preserve">Group </w:t>
      </w:r>
      <w:r w:rsidRPr="00FA2151">
        <w:t>staff members were</w:t>
      </w:r>
      <w:r w:rsidRPr="009154F8">
        <w:t xml:space="preserve"> present. </w:t>
      </w:r>
    </w:p>
    <w:p w:rsidR="002F6D44" w:rsidRPr="00A97FE5" w:rsidRDefault="002F6D44" w:rsidP="0049506B">
      <w:pPr>
        <w:spacing w:after="0"/>
      </w:pPr>
    </w:p>
    <w:p w:rsidR="002F6D44" w:rsidRDefault="002F6D44" w:rsidP="0049506B">
      <w:pPr>
        <w:spacing w:after="0"/>
      </w:pPr>
      <w:r w:rsidRPr="005243C5">
        <w:t>The focus group meeting began with presentation</w:t>
      </w:r>
      <w:r>
        <w:t>s</w:t>
      </w:r>
      <w:r w:rsidRPr="005243C5">
        <w:t xml:space="preserve"> by World </w:t>
      </w:r>
      <w:r w:rsidR="00FE042C">
        <w:t>Bank</w:t>
      </w:r>
      <w:r w:rsidRPr="005243C5">
        <w:t xml:space="preserve"> staff to help define the purpose and scope of the </w:t>
      </w:r>
      <w:r w:rsidRPr="002B6508">
        <w:t xml:space="preserve">meeting. The </w:t>
      </w:r>
      <w:r>
        <w:t xml:space="preserve">first </w:t>
      </w:r>
      <w:r w:rsidRPr="002B6508">
        <w:t xml:space="preserve">presentation described the rationale, objectives and stages of the overall safeguards review process. </w:t>
      </w:r>
      <w:r>
        <w:t>The</w:t>
      </w:r>
      <w:r w:rsidRPr="002B6508">
        <w:t xml:space="preserve"> </w:t>
      </w:r>
      <w:r>
        <w:t>second</w:t>
      </w:r>
      <w:r w:rsidRPr="002B6508">
        <w:t xml:space="preserve"> presentation outlined </w:t>
      </w:r>
      <w:r>
        <w:t xml:space="preserve">the </w:t>
      </w:r>
      <w:r w:rsidR="00FE042C">
        <w:t>World Bank</w:t>
      </w:r>
      <w:r>
        <w:t xml:space="preserve">’s strategy to mainstream gender in its </w:t>
      </w:r>
      <w:r w:rsidR="00A05DB7">
        <w:t xml:space="preserve">operations and </w:t>
      </w:r>
      <w:r>
        <w:t>policies</w:t>
      </w:r>
      <w:r w:rsidRPr="002B6508">
        <w:t>.</w:t>
      </w:r>
      <w:r>
        <w:t xml:space="preserve"> This mainstreaming approach aims to do the following:</w:t>
      </w:r>
    </w:p>
    <w:p w:rsidR="002F6D44" w:rsidRDefault="002F6D44" w:rsidP="000E0C04">
      <w:pPr>
        <w:numPr>
          <w:ilvl w:val="0"/>
          <w:numId w:val="6"/>
        </w:numPr>
        <w:spacing w:after="0"/>
      </w:pPr>
      <w:r>
        <w:t>Identify and mitigate the potential risks faced or created by development interventions</w:t>
      </w:r>
    </w:p>
    <w:p w:rsidR="002F6D44" w:rsidRDefault="002F6D44" w:rsidP="000E0C04">
      <w:pPr>
        <w:numPr>
          <w:ilvl w:val="0"/>
          <w:numId w:val="6"/>
        </w:numPr>
        <w:spacing w:after="0"/>
      </w:pPr>
      <w:r>
        <w:t xml:space="preserve">Include measures that enable the World </w:t>
      </w:r>
      <w:r w:rsidR="00FE042C">
        <w:t>Bank</w:t>
      </w:r>
      <w:r>
        <w:t xml:space="preserve"> to identify potential gender disparity risks that project implementation may exacerbate</w:t>
      </w:r>
    </w:p>
    <w:p w:rsidR="002F6D44" w:rsidRDefault="002F6D44" w:rsidP="000E0C04">
      <w:pPr>
        <w:numPr>
          <w:ilvl w:val="0"/>
          <w:numId w:val="6"/>
        </w:numPr>
        <w:spacing w:after="0"/>
      </w:pPr>
      <w:r>
        <w:t>Identify methods to assess and address potential gender disparity risks found in implementing safeguard policies</w:t>
      </w:r>
    </w:p>
    <w:p w:rsidR="00A05DB7" w:rsidRDefault="002F6D44" w:rsidP="00D87037">
      <w:pPr>
        <w:spacing w:after="0"/>
      </w:pPr>
      <w:r>
        <w:t xml:space="preserve">The final introductory staff presentation explained the </w:t>
      </w:r>
      <w:r w:rsidR="00FE042C">
        <w:t>World Bank</w:t>
      </w:r>
      <w:r>
        <w:t xml:space="preserve">’s continuous efforts to build on the core principles of the current safeguards and strengthen their effectiveness through analysis, specific actions, monitoring, and evaluation. </w:t>
      </w:r>
    </w:p>
    <w:p w:rsidR="002F6D44" w:rsidRDefault="002F6D44" w:rsidP="00D87037">
      <w:pPr>
        <w:spacing w:after="0"/>
      </w:pPr>
    </w:p>
    <w:p w:rsidR="007565F4" w:rsidRDefault="007565F4">
      <w:pPr>
        <w:spacing w:after="0" w:line="240" w:lineRule="auto"/>
      </w:pPr>
      <w:r>
        <w:br w:type="page"/>
      </w:r>
    </w:p>
    <w:p w:rsidR="002F6D44" w:rsidRPr="00CA70CA" w:rsidRDefault="002F6D44" w:rsidP="00D87037">
      <w:pPr>
        <w:spacing w:after="0"/>
      </w:pPr>
      <w:r>
        <w:lastRenderedPageBreak/>
        <w:t>With these considerations in mind, t</w:t>
      </w:r>
      <w:r w:rsidRPr="00823D6D">
        <w:t xml:space="preserve">he </w:t>
      </w:r>
      <w:r>
        <w:t>focus group turned its attention to the following</w:t>
      </w:r>
      <w:r w:rsidRPr="002B6508">
        <w:t xml:space="preserve"> four questions</w:t>
      </w:r>
      <w:r>
        <w:t xml:space="preserve"> for discussion</w:t>
      </w:r>
      <w:r w:rsidRPr="00CA70CA">
        <w:t>:</w:t>
      </w:r>
    </w:p>
    <w:p w:rsidR="002F6D44" w:rsidRPr="00CA70CA" w:rsidRDefault="002F6D44" w:rsidP="0049506B">
      <w:pPr>
        <w:numPr>
          <w:ilvl w:val="0"/>
          <w:numId w:val="4"/>
        </w:numPr>
        <w:contextualSpacing/>
      </w:pPr>
      <w:r w:rsidRPr="00CA70CA">
        <w:t>In your experience, what are good examples of effective approaches to mainstream gender in operations, including safeguard policies?</w:t>
      </w:r>
    </w:p>
    <w:p w:rsidR="002F6D44" w:rsidRPr="00CA70CA" w:rsidRDefault="002F6D44" w:rsidP="0049506B">
      <w:pPr>
        <w:numPr>
          <w:ilvl w:val="0"/>
          <w:numId w:val="4"/>
        </w:numPr>
        <w:contextualSpacing/>
      </w:pPr>
      <w:r>
        <w:t>What aspects and recommendations of the World Development Report 2012 “Gender Equality and Development” could be reflected in the safeguard policies</w:t>
      </w:r>
      <w:r w:rsidRPr="00CA70CA">
        <w:t>?</w:t>
      </w:r>
    </w:p>
    <w:p w:rsidR="002F6D44" w:rsidRPr="00CA70CA" w:rsidRDefault="002F6D44" w:rsidP="0049506B">
      <w:pPr>
        <w:numPr>
          <w:ilvl w:val="0"/>
          <w:numId w:val="4"/>
        </w:numPr>
        <w:contextualSpacing/>
      </w:pPr>
      <w:r>
        <w:t>How should gender issues be addressed in the environmental and social assessment process at the project level</w:t>
      </w:r>
      <w:r w:rsidRPr="00CA70CA">
        <w:t>?</w:t>
      </w:r>
    </w:p>
    <w:p w:rsidR="002F6D44" w:rsidRDefault="002F6D44" w:rsidP="0049506B">
      <w:pPr>
        <w:numPr>
          <w:ilvl w:val="0"/>
          <w:numId w:val="4"/>
        </w:numPr>
        <w:contextualSpacing/>
      </w:pPr>
      <w:r>
        <w:t xml:space="preserve">How could the </w:t>
      </w:r>
      <w:r w:rsidR="00FE042C">
        <w:t>World Bank</w:t>
      </w:r>
      <w:r>
        <w:t xml:space="preserve"> use country policies more effectively to affect issues related to safeguard policies</w:t>
      </w:r>
      <w:r w:rsidRPr="00CA70CA">
        <w:t>?</w:t>
      </w:r>
    </w:p>
    <w:p w:rsidR="002F6D44" w:rsidRPr="00CA70CA" w:rsidRDefault="002F6D44" w:rsidP="009A704A">
      <w:pPr>
        <w:contextualSpacing/>
      </w:pPr>
    </w:p>
    <w:p w:rsidR="00744C64" w:rsidRDefault="002F6D44" w:rsidP="0049506B">
      <w:r w:rsidRPr="00631BEC">
        <w:t xml:space="preserve">Following is a synthesis of key observations of </w:t>
      </w:r>
      <w:r w:rsidR="002C35AB">
        <w:t xml:space="preserve">expert </w:t>
      </w:r>
      <w:r w:rsidRPr="00631BEC">
        <w:t xml:space="preserve">participants during the day. It should be emphasized that these observations are not reported here as necessarily representing the substantive consensus of the group. They are instead summarized here as key issues put on the table by one or more individual experts that received attention during the consultation and that were proposed for further </w:t>
      </w:r>
      <w:r w:rsidRPr="008C1D2E">
        <w:t>consideration as the process goes forward.</w:t>
      </w:r>
    </w:p>
    <w:p w:rsidR="00744C64" w:rsidRPr="008C1D2E" w:rsidRDefault="00744C64" w:rsidP="0049506B"/>
    <w:p w:rsidR="002F6D44" w:rsidRPr="008C1D2E" w:rsidRDefault="002F6D44" w:rsidP="0049506B">
      <w:pPr>
        <w:rPr>
          <w:b/>
        </w:rPr>
      </w:pPr>
      <w:r w:rsidRPr="008C1D2E">
        <w:rPr>
          <w:b/>
        </w:rPr>
        <w:t>1.</w:t>
      </w:r>
      <w:r w:rsidRPr="008C1D2E">
        <w:rPr>
          <w:b/>
        </w:rPr>
        <w:tab/>
        <w:t>General observations</w:t>
      </w:r>
    </w:p>
    <w:p w:rsidR="002F6D44" w:rsidRPr="000D22CC" w:rsidRDefault="002F6D44" w:rsidP="0049506B">
      <w:r w:rsidRPr="000042B8">
        <w:t xml:space="preserve">Focus group </w:t>
      </w:r>
      <w:r w:rsidR="002C35AB">
        <w:t>experts</w:t>
      </w:r>
      <w:r w:rsidRPr="000042B8">
        <w:t xml:space="preserve"> strongly supported the World </w:t>
      </w:r>
      <w:r w:rsidR="00FE042C">
        <w:t>Bank</w:t>
      </w:r>
      <w:r w:rsidRPr="000042B8">
        <w:t xml:space="preserve">’s review and update of its safeguard policies. In particular, the </w:t>
      </w:r>
      <w:r w:rsidR="002C35AB">
        <w:t>experts</w:t>
      </w:r>
      <w:r w:rsidRPr="000042B8">
        <w:t xml:space="preserve"> </w:t>
      </w:r>
      <w:r>
        <w:t xml:space="preserve">responded positively to the idea of evolving an integrated </w:t>
      </w:r>
      <w:r w:rsidRPr="000042B8">
        <w:t xml:space="preserve">safeguard </w:t>
      </w:r>
      <w:r w:rsidRPr="000D22CC">
        <w:t xml:space="preserve">policy framework inclusive of gender and other emerging issues. </w:t>
      </w:r>
      <w:r>
        <w:t>As for f</w:t>
      </w:r>
      <w:r w:rsidRPr="000D22CC">
        <w:t>urther general observations:</w:t>
      </w:r>
    </w:p>
    <w:p w:rsidR="002F6D44" w:rsidRDefault="002F6D44" w:rsidP="0049506B">
      <w:pPr>
        <w:numPr>
          <w:ilvl w:val="0"/>
          <w:numId w:val="1"/>
        </w:numPr>
        <w:contextualSpacing/>
      </w:pPr>
      <w:r>
        <w:t xml:space="preserve">One </w:t>
      </w:r>
      <w:r w:rsidR="002C35AB">
        <w:t>expert</w:t>
      </w:r>
      <w:r>
        <w:t xml:space="preserve"> stated that m</w:t>
      </w:r>
      <w:r w:rsidRPr="000D22CC">
        <w:t xml:space="preserve">ainstreaming gender </w:t>
      </w:r>
      <w:r>
        <w:t xml:space="preserve">in all </w:t>
      </w:r>
      <w:r w:rsidRPr="000D22CC">
        <w:t>safeguard policies is cr</w:t>
      </w:r>
      <w:r>
        <w:t>itica</w:t>
      </w:r>
      <w:r w:rsidRPr="000D22CC">
        <w:t xml:space="preserve">l </w:t>
      </w:r>
      <w:r>
        <w:t>to</w:t>
      </w:r>
      <w:r w:rsidRPr="000D22CC">
        <w:t xml:space="preserve"> carrying out the World </w:t>
      </w:r>
      <w:r w:rsidR="00FE042C">
        <w:t>Bank</w:t>
      </w:r>
      <w:r w:rsidRPr="000D22CC">
        <w:t xml:space="preserve">’s mission of alleviating poverty, </w:t>
      </w:r>
      <w:r>
        <w:t>as</w:t>
      </w:r>
      <w:r w:rsidRPr="000D22CC">
        <w:t xml:space="preserve"> </w:t>
      </w:r>
      <w:r>
        <w:t>a large majority</w:t>
      </w:r>
      <w:r w:rsidRPr="000D22CC">
        <w:t xml:space="preserve"> of the world’s poor are women.</w:t>
      </w:r>
    </w:p>
    <w:p w:rsidR="002F6D44" w:rsidRPr="000D22CC" w:rsidRDefault="002C35AB" w:rsidP="0049506B">
      <w:pPr>
        <w:numPr>
          <w:ilvl w:val="0"/>
          <w:numId w:val="1"/>
        </w:numPr>
        <w:contextualSpacing/>
      </w:pPr>
      <w:r>
        <w:t>Experts</w:t>
      </w:r>
      <w:r w:rsidR="002F6D44" w:rsidRPr="00147B62">
        <w:t xml:space="preserve"> voiced support for the International Finance Corporation (IFC) approach of integrating gender policies </w:t>
      </w:r>
      <w:r w:rsidR="002F695D">
        <w:t xml:space="preserve">across </w:t>
      </w:r>
      <w:r w:rsidR="00DE2C1D">
        <w:t>its</w:t>
      </w:r>
      <w:r w:rsidR="002F6D44" w:rsidRPr="00147B62">
        <w:t xml:space="preserve"> </w:t>
      </w:r>
      <w:r w:rsidR="00DE2C1D">
        <w:t>P</w:t>
      </w:r>
      <w:r w:rsidR="002F6D44" w:rsidRPr="00147B62">
        <w:t xml:space="preserve">erformance </w:t>
      </w:r>
      <w:r w:rsidR="00DE2C1D">
        <w:t>S</w:t>
      </w:r>
      <w:r w:rsidR="002F6D44" w:rsidRPr="00147B62">
        <w:t>tandards, arguing that this</w:t>
      </w:r>
      <w:r w:rsidR="002F6D44">
        <w:t xml:space="preserve"> mainstreaming </w:t>
      </w:r>
      <w:r w:rsidR="002F6D44" w:rsidRPr="00147B62">
        <w:t xml:space="preserve">approach is more effective than </w:t>
      </w:r>
      <w:r w:rsidR="002F6D44">
        <w:t>a free</w:t>
      </w:r>
      <w:r w:rsidR="002F6D44" w:rsidRPr="00147B62">
        <w:t>standing gender policy.</w:t>
      </w:r>
    </w:p>
    <w:p w:rsidR="002F6D44" w:rsidRPr="00316FA3" w:rsidRDefault="002F6D44" w:rsidP="0049506B">
      <w:pPr>
        <w:numPr>
          <w:ilvl w:val="0"/>
          <w:numId w:val="1"/>
        </w:numPr>
        <w:contextualSpacing/>
      </w:pPr>
      <w:r>
        <w:t xml:space="preserve">One </w:t>
      </w:r>
      <w:r w:rsidR="002C35AB">
        <w:t>expert</w:t>
      </w:r>
      <w:r>
        <w:t xml:space="preserve"> stresse</w:t>
      </w:r>
      <w:r w:rsidRPr="00316FA3">
        <w:t>d</w:t>
      </w:r>
      <w:r w:rsidRPr="000D22CC">
        <w:t xml:space="preserve"> that safeguard policies </w:t>
      </w:r>
      <w:r>
        <w:t>have a useful role</w:t>
      </w:r>
      <w:r w:rsidRPr="000D22CC">
        <w:t xml:space="preserve"> </w:t>
      </w:r>
      <w:r>
        <w:t xml:space="preserve">in cases </w:t>
      </w:r>
      <w:r w:rsidRPr="000D22CC">
        <w:t xml:space="preserve">where there is </w:t>
      </w:r>
      <w:r>
        <w:t xml:space="preserve">potential </w:t>
      </w:r>
      <w:r w:rsidRPr="000D22CC">
        <w:t xml:space="preserve">risk </w:t>
      </w:r>
      <w:r>
        <w:t xml:space="preserve">of harm to </w:t>
      </w:r>
      <w:r w:rsidRPr="000D22CC">
        <w:t>a</w:t>
      </w:r>
      <w:r>
        <w:t xml:space="preserve"> specific</w:t>
      </w:r>
      <w:r w:rsidRPr="000D22CC">
        <w:t xml:space="preserve"> group, </w:t>
      </w:r>
      <w:r>
        <w:t>particularl</w:t>
      </w:r>
      <w:r w:rsidRPr="000D22CC">
        <w:t>y women (e.g., exclusion from consultation</w:t>
      </w:r>
      <w:r>
        <w:t xml:space="preserve"> in </w:t>
      </w:r>
      <w:r w:rsidRPr="000D22CC">
        <w:t xml:space="preserve">development </w:t>
      </w:r>
      <w:r w:rsidRPr="00316FA3">
        <w:t xml:space="preserve">projects, involuntary resettlement issues, etc.).   </w:t>
      </w:r>
    </w:p>
    <w:p w:rsidR="002F6D44" w:rsidRPr="00201D37" w:rsidRDefault="002F6D44" w:rsidP="00147B62">
      <w:pPr>
        <w:numPr>
          <w:ilvl w:val="0"/>
          <w:numId w:val="1"/>
        </w:numPr>
        <w:contextualSpacing/>
      </w:pPr>
      <w:r>
        <w:t>O</w:t>
      </w:r>
      <w:r w:rsidRPr="00316FA3">
        <w:t xml:space="preserve">ne </w:t>
      </w:r>
      <w:r w:rsidR="002C35AB">
        <w:t>expert</w:t>
      </w:r>
      <w:r w:rsidRPr="00316FA3">
        <w:t xml:space="preserve"> </w:t>
      </w:r>
      <w:r w:rsidR="00922F00">
        <w:t>suggested</w:t>
      </w:r>
      <w:r>
        <w:t xml:space="preserve"> </w:t>
      </w:r>
      <w:r w:rsidRPr="00316FA3">
        <w:t xml:space="preserve">that safeguard policies </w:t>
      </w:r>
      <w:r>
        <w:t xml:space="preserve">work best </w:t>
      </w:r>
      <w:r w:rsidRPr="00316FA3">
        <w:t>not as proactive instrument</w:t>
      </w:r>
      <w:r>
        <w:t>s</w:t>
      </w:r>
      <w:r w:rsidRPr="00316FA3">
        <w:t xml:space="preserve"> but rather </w:t>
      </w:r>
      <w:r>
        <w:t xml:space="preserve">as </w:t>
      </w:r>
      <w:r w:rsidR="002C35AB">
        <w:t xml:space="preserve">a </w:t>
      </w:r>
      <w:r w:rsidRPr="00316FA3">
        <w:t xml:space="preserve">complement </w:t>
      </w:r>
      <w:r>
        <w:t xml:space="preserve">to proactive </w:t>
      </w:r>
      <w:r w:rsidRPr="00316FA3">
        <w:t>operational policies</w:t>
      </w:r>
      <w:r>
        <w:t>. For example, such operational policies</w:t>
      </w:r>
      <w:r w:rsidRPr="00316FA3">
        <w:t xml:space="preserve"> i</w:t>
      </w:r>
      <w:r>
        <w:t>nclude</w:t>
      </w:r>
      <w:r w:rsidRPr="00316FA3">
        <w:t xml:space="preserve">: </w:t>
      </w:r>
      <w:r w:rsidR="001F4B49">
        <w:t>developing</w:t>
      </w:r>
      <w:r>
        <w:t xml:space="preserve"> </w:t>
      </w:r>
      <w:r w:rsidR="001F4B49">
        <w:t xml:space="preserve">country strategies </w:t>
      </w:r>
      <w:r w:rsidRPr="002A6CD7">
        <w:t xml:space="preserve">in consultation with </w:t>
      </w:r>
      <w:r>
        <w:t>diverse</w:t>
      </w:r>
      <w:r w:rsidRPr="002A6CD7">
        <w:t xml:space="preserve"> stakeholders</w:t>
      </w:r>
      <w:r>
        <w:t xml:space="preserve">; tracking gender informed lending on a quarterly basis; and conducting regional monitoring of gender informed lending at different stages of project development. Although supportive of this complementary relationship, </w:t>
      </w:r>
      <w:r w:rsidR="00C361A3">
        <w:t xml:space="preserve">the </w:t>
      </w:r>
      <w:r w:rsidR="002C35AB">
        <w:t>expert</w:t>
      </w:r>
      <w:r>
        <w:t xml:space="preserve"> caution</w:t>
      </w:r>
      <w:r w:rsidR="004B0624">
        <w:t>ed</w:t>
      </w:r>
      <w:r>
        <w:t xml:space="preserve"> that creating too much bureaucracy around gender could negate the </w:t>
      </w:r>
      <w:r w:rsidR="00096EF5">
        <w:t xml:space="preserve">World </w:t>
      </w:r>
      <w:r w:rsidR="00FE042C">
        <w:t>Bank</w:t>
      </w:r>
      <w:r>
        <w:t xml:space="preserve">’s efforts to address gender </w:t>
      </w:r>
      <w:r w:rsidRPr="00201D37">
        <w:t>disparities and measure the impact of its work on women</w:t>
      </w:r>
      <w:r>
        <w:t xml:space="preserve"> more systematically</w:t>
      </w:r>
      <w:r w:rsidRPr="00201D37">
        <w:t>.</w:t>
      </w:r>
    </w:p>
    <w:p w:rsidR="002F6D44" w:rsidRPr="00201D37" w:rsidRDefault="002F6D44" w:rsidP="0049506B">
      <w:pPr>
        <w:numPr>
          <w:ilvl w:val="0"/>
          <w:numId w:val="1"/>
        </w:numPr>
        <w:contextualSpacing/>
      </w:pPr>
      <w:r w:rsidRPr="00201D37">
        <w:t xml:space="preserve">One </w:t>
      </w:r>
      <w:r w:rsidR="002C35AB">
        <w:t>expert</w:t>
      </w:r>
      <w:r w:rsidRPr="00201D37">
        <w:t xml:space="preserve"> stressed that the World </w:t>
      </w:r>
      <w:r w:rsidR="00FE042C">
        <w:t>Bank</w:t>
      </w:r>
      <w:r w:rsidRPr="00201D37">
        <w:t xml:space="preserve"> should make the </w:t>
      </w:r>
      <w:r w:rsidR="008B6FCD" w:rsidRPr="00201D37">
        <w:t>Social Impact Assessment</w:t>
      </w:r>
      <w:r w:rsidRPr="00201D37">
        <w:t xml:space="preserve"> a major focus of its safeguards review. More specifically, the </w:t>
      </w:r>
      <w:r w:rsidR="00FE042C">
        <w:t>World Bank</w:t>
      </w:r>
      <w:r w:rsidRPr="00201D37">
        <w:t xml:space="preserve"> should ensure that the </w:t>
      </w:r>
      <w:r w:rsidR="00DC75F7" w:rsidRPr="00201D37">
        <w:t xml:space="preserve">Social </w:t>
      </w:r>
      <w:r w:rsidR="00DC75F7" w:rsidRPr="00201D37">
        <w:lastRenderedPageBreak/>
        <w:t>Impact Assessment</w:t>
      </w:r>
      <w:r w:rsidRPr="00201D37">
        <w:t xml:space="preserve"> is broad enough to capture </w:t>
      </w:r>
      <w:r>
        <w:t>all human rights impacts, particularly impacts on women’s rights, and to protect against any violation of those rights</w:t>
      </w:r>
      <w:r w:rsidRPr="00201D37">
        <w:t>.</w:t>
      </w:r>
    </w:p>
    <w:p w:rsidR="002F6D44" w:rsidRPr="008C1D2E" w:rsidRDefault="002F6D44" w:rsidP="0049506B"/>
    <w:p w:rsidR="002F6D44" w:rsidRPr="00BE0E8F" w:rsidRDefault="002F6D44" w:rsidP="008C1D2E">
      <w:pPr>
        <w:ind w:left="720" w:hanging="720"/>
        <w:rPr>
          <w:b/>
        </w:rPr>
      </w:pPr>
      <w:r w:rsidRPr="008C1D2E">
        <w:rPr>
          <w:b/>
        </w:rPr>
        <w:t>2.</w:t>
      </w:r>
      <w:r w:rsidRPr="008C1D2E">
        <w:rPr>
          <w:b/>
        </w:rPr>
        <w:tab/>
        <w:t xml:space="preserve">In your experience, what are good examples of effective approaches to mainstream gender in </w:t>
      </w:r>
      <w:r w:rsidRPr="00BE0E8F">
        <w:rPr>
          <w:b/>
        </w:rPr>
        <w:t>operations, including safeguard policies?</w:t>
      </w:r>
    </w:p>
    <w:p w:rsidR="00E4410F" w:rsidRDefault="00E4410F" w:rsidP="00F97F98">
      <w:pPr>
        <w:pStyle w:val="ListParagraph"/>
        <w:numPr>
          <w:ilvl w:val="0"/>
          <w:numId w:val="1"/>
        </w:numPr>
      </w:pPr>
      <w:r w:rsidRPr="00E4410F">
        <w:rPr>
          <w:b/>
        </w:rPr>
        <w:t xml:space="preserve">Inter-American Development </w:t>
      </w:r>
      <w:r w:rsidR="00FE042C">
        <w:rPr>
          <w:b/>
        </w:rPr>
        <w:t>Bank</w:t>
      </w:r>
      <w:r w:rsidRPr="00E4410F">
        <w:rPr>
          <w:b/>
        </w:rPr>
        <w:t xml:space="preserve"> </w:t>
      </w:r>
      <w:r>
        <w:rPr>
          <w:b/>
        </w:rPr>
        <w:t xml:space="preserve">(IADB) </w:t>
      </w:r>
      <w:r w:rsidRPr="00E4410F">
        <w:rPr>
          <w:b/>
        </w:rPr>
        <w:t>approach</w:t>
      </w:r>
      <w:r>
        <w:t xml:space="preserve">. </w:t>
      </w:r>
      <w:r w:rsidR="00543297">
        <w:t>Participants discussed the practice of the I</w:t>
      </w:r>
      <w:r>
        <w:t xml:space="preserve">nter-American Development </w:t>
      </w:r>
      <w:r w:rsidR="00FE042C">
        <w:t>Bank</w:t>
      </w:r>
      <w:r w:rsidR="00543297">
        <w:t xml:space="preserve"> of integrating gender into safeguards. A</w:t>
      </w:r>
      <w:r w:rsidR="002F6D44" w:rsidRPr="00BE0E8F">
        <w:t xml:space="preserve">n independent evaluation report on </w:t>
      </w:r>
      <w:r w:rsidR="002F6D44">
        <w:t>gender</w:t>
      </w:r>
      <w:r w:rsidR="002F6D44" w:rsidRPr="00BE0E8F">
        <w:t xml:space="preserve"> integration into </w:t>
      </w:r>
      <w:r w:rsidR="002F6D44">
        <w:t>IADB</w:t>
      </w:r>
      <w:r w:rsidR="002F6D44" w:rsidRPr="00BE0E8F">
        <w:t xml:space="preserve"> safeguard policies suggest</w:t>
      </w:r>
      <w:r w:rsidR="002C35AB">
        <w:t>ed</w:t>
      </w:r>
      <w:r w:rsidR="002F6D44" w:rsidRPr="00BE0E8F">
        <w:t xml:space="preserve"> implementation </w:t>
      </w:r>
      <w:r w:rsidR="002C35AB">
        <w:t>challenges in the areas of</w:t>
      </w:r>
      <w:r w:rsidR="002F6D44">
        <w:t xml:space="preserve"> gender integration and due diligence</w:t>
      </w:r>
      <w:r w:rsidR="002F6D44" w:rsidRPr="00BE0E8F">
        <w:t>.</w:t>
      </w:r>
      <w:r w:rsidR="002F6D44">
        <w:t xml:space="preserve"> </w:t>
      </w:r>
    </w:p>
    <w:p w:rsidR="00F97F98" w:rsidRDefault="00BA4E62" w:rsidP="00F97F98">
      <w:pPr>
        <w:pStyle w:val="ListParagraph"/>
        <w:numPr>
          <w:ilvl w:val="0"/>
          <w:numId w:val="5"/>
        </w:numPr>
      </w:pPr>
      <w:r w:rsidRPr="00F97F98">
        <w:rPr>
          <w:b/>
        </w:rPr>
        <w:t xml:space="preserve">African Development </w:t>
      </w:r>
      <w:r w:rsidR="00FE042C">
        <w:rPr>
          <w:b/>
        </w:rPr>
        <w:t>Bank</w:t>
      </w:r>
      <w:r w:rsidR="00E4410F" w:rsidRPr="00F97F98">
        <w:rPr>
          <w:b/>
        </w:rPr>
        <w:t xml:space="preserve"> (AfDB)</w:t>
      </w:r>
      <w:r w:rsidR="00E4410F">
        <w:t xml:space="preserve"> </w:t>
      </w:r>
      <w:r w:rsidR="00E4410F" w:rsidRPr="00F97F98">
        <w:rPr>
          <w:b/>
        </w:rPr>
        <w:t>approach</w:t>
      </w:r>
      <w:r w:rsidR="00E4410F">
        <w:t>.</w:t>
      </w:r>
      <w:r>
        <w:t xml:space="preserve"> </w:t>
      </w:r>
      <w:r w:rsidR="00E4410F">
        <w:t xml:space="preserve">AfDB </w:t>
      </w:r>
      <w:r w:rsidR="00A024F8">
        <w:t>has maintained positive gender policies for a long time and is currently in the process of finalizing a draft of safeguard policies to be approved by its board during summer 2013.</w:t>
      </w:r>
      <w:r w:rsidR="00047142">
        <w:t xml:space="preserve"> </w:t>
      </w:r>
    </w:p>
    <w:p w:rsidR="00F97F98" w:rsidRDefault="004F3590" w:rsidP="00F97F98">
      <w:pPr>
        <w:pStyle w:val="ListParagraph"/>
        <w:numPr>
          <w:ilvl w:val="0"/>
          <w:numId w:val="5"/>
        </w:numPr>
      </w:pPr>
      <w:r w:rsidRPr="00F97F98">
        <w:rPr>
          <w:b/>
        </w:rPr>
        <w:t xml:space="preserve">European </w:t>
      </w:r>
      <w:r w:rsidR="00FE042C">
        <w:rPr>
          <w:b/>
        </w:rPr>
        <w:t>Bank</w:t>
      </w:r>
      <w:r w:rsidRPr="00F97F98">
        <w:rPr>
          <w:b/>
        </w:rPr>
        <w:t xml:space="preserve"> for Reconstruction and Development (EBRD)</w:t>
      </w:r>
      <w:r w:rsidR="00BB05B6" w:rsidRPr="00F97F98">
        <w:rPr>
          <w:b/>
        </w:rPr>
        <w:t xml:space="preserve"> </w:t>
      </w:r>
      <w:r w:rsidR="00EC5E6D" w:rsidRPr="00F97F98">
        <w:rPr>
          <w:b/>
        </w:rPr>
        <w:t>a</w:t>
      </w:r>
      <w:r w:rsidR="00BB05B6" w:rsidRPr="00F97F98">
        <w:rPr>
          <w:b/>
        </w:rPr>
        <w:t>pproach</w:t>
      </w:r>
      <w:r w:rsidR="007A7E12">
        <w:rPr>
          <w:b/>
        </w:rPr>
        <w:t>.</w:t>
      </w:r>
      <w:r w:rsidR="007A7E12">
        <w:t xml:space="preserve"> </w:t>
      </w:r>
      <w:r w:rsidR="00C4230D">
        <w:t xml:space="preserve">Several </w:t>
      </w:r>
      <w:r w:rsidR="002C35AB">
        <w:t>experts</w:t>
      </w:r>
      <w:r w:rsidR="00936846">
        <w:t xml:space="preserve"> pointed to EBRD’s new Strategic Gender Initiative</w:t>
      </w:r>
      <w:r w:rsidR="006D4EAE">
        <w:t xml:space="preserve"> (SGI)</w:t>
      </w:r>
      <w:r w:rsidR="00DE012C">
        <w:t xml:space="preserve"> </w:t>
      </w:r>
      <w:r w:rsidR="00DE012C" w:rsidRPr="00DE012C">
        <w:t>for its investment projects</w:t>
      </w:r>
      <w:r w:rsidR="00936846">
        <w:t>. Using a two-pronged approach, this initiative</w:t>
      </w:r>
      <w:r w:rsidR="001934BF">
        <w:t xml:space="preserve"> aims to</w:t>
      </w:r>
      <w:r w:rsidR="00936846">
        <w:t>: 1)</w:t>
      </w:r>
      <w:r w:rsidR="00DE012C">
        <w:t xml:space="preserve"> </w:t>
      </w:r>
      <w:r w:rsidR="003A7270">
        <w:t>mitigate</w:t>
      </w:r>
      <w:r w:rsidR="00E56E9F">
        <w:t xml:space="preserve"> gender disparity</w:t>
      </w:r>
      <w:r w:rsidR="003A7270">
        <w:t xml:space="preserve"> risks</w:t>
      </w:r>
      <w:r w:rsidR="00DE012C">
        <w:t xml:space="preserve"> </w:t>
      </w:r>
      <w:r w:rsidR="001934BF">
        <w:t>in keeping with EBRD</w:t>
      </w:r>
      <w:r w:rsidR="00DE012C">
        <w:t xml:space="preserve"> </w:t>
      </w:r>
      <w:r w:rsidR="002C35AB">
        <w:t>Performance Requirements</w:t>
      </w:r>
      <w:r w:rsidR="00DE012C">
        <w:t xml:space="preserve"> </w:t>
      </w:r>
      <w:r w:rsidR="001934BF">
        <w:t>and guided by</w:t>
      </w:r>
      <w:r w:rsidR="00DE012C">
        <w:t xml:space="preserve"> its </w:t>
      </w:r>
      <w:r w:rsidR="00DE012C" w:rsidRPr="00DE012C">
        <w:t>Environmental and Social Policy</w:t>
      </w:r>
      <w:r w:rsidR="00840C6C">
        <w:t xml:space="preserve"> and </w:t>
      </w:r>
      <w:r w:rsidR="00936846">
        <w:t>2)</w:t>
      </w:r>
      <w:r w:rsidR="00840C6C">
        <w:t xml:space="preserve"> </w:t>
      </w:r>
      <w:r w:rsidR="001934BF">
        <w:t>call</w:t>
      </w:r>
      <w:r w:rsidR="00840C6C">
        <w:t xml:space="preserve"> attention to areas</w:t>
      </w:r>
      <w:r w:rsidR="001F7946">
        <w:t xml:space="preserve"> </w:t>
      </w:r>
      <w:r w:rsidR="00840C6C">
        <w:t xml:space="preserve">discovered </w:t>
      </w:r>
      <w:r w:rsidR="00840C6C" w:rsidRPr="00840C6C">
        <w:t xml:space="preserve">during </w:t>
      </w:r>
      <w:r w:rsidR="001934BF">
        <w:t xml:space="preserve">the </w:t>
      </w:r>
      <w:r w:rsidR="001F7946">
        <w:t xml:space="preserve">project </w:t>
      </w:r>
      <w:r w:rsidR="00840C6C">
        <w:t>assessment</w:t>
      </w:r>
      <w:r w:rsidR="001F5A90">
        <w:t xml:space="preserve"> </w:t>
      </w:r>
      <w:r w:rsidR="001934BF">
        <w:t xml:space="preserve">process </w:t>
      </w:r>
      <w:r w:rsidR="001F5A90">
        <w:t>wher</w:t>
      </w:r>
      <w:r w:rsidR="001934BF">
        <w:t xml:space="preserve">e the EBRD can enhance its role </w:t>
      </w:r>
      <w:r w:rsidR="00CA5097">
        <w:t>(</w:t>
      </w:r>
      <w:r w:rsidR="00EA5944">
        <w:t xml:space="preserve">particularly by engaging </w:t>
      </w:r>
      <w:r w:rsidR="00627C7D">
        <w:t>mainly</w:t>
      </w:r>
      <w:r w:rsidR="00E56E9F">
        <w:t xml:space="preserve"> </w:t>
      </w:r>
      <w:r w:rsidR="00EA5944">
        <w:t xml:space="preserve">with </w:t>
      </w:r>
      <w:r w:rsidR="00CA5097">
        <w:t xml:space="preserve">the private sector) </w:t>
      </w:r>
      <w:r w:rsidR="00627C7D">
        <w:t>in supporting gender equality</w:t>
      </w:r>
      <w:r w:rsidR="00F97F98">
        <w:t>.</w:t>
      </w:r>
    </w:p>
    <w:p w:rsidR="00F97F98" w:rsidRPr="00F97F98" w:rsidRDefault="003C3327" w:rsidP="0049506B">
      <w:pPr>
        <w:pStyle w:val="ListParagraph"/>
        <w:numPr>
          <w:ilvl w:val="0"/>
          <w:numId w:val="5"/>
        </w:numPr>
        <w:rPr>
          <w:b/>
        </w:rPr>
      </w:pPr>
      <w:r w:rsidRPr="00F97F98">
        <w:rPr>
          <w:b/>
        </w:rPr>
        <w:t>Facilitation of</w:t>
      </w:r>
      <w:r w:rsidR="005A73AC">
        <w:rPr>
          <w:b/>
        </w:rPr>
        <w:t xml:space="preserve"> p</w:t>
      </w:r>
      <w:r w:rsidR="00F33B37" w:rsidRPr="00F97F98">
        <w:rPr>
          <w:b/>
        </w:rPr>
        <w:t xml:space="preserve">roactive </w:t>
      </w:r>
      <w:r w:rsidR="005A73AC">
        <w:rPr>
          <w:b/>
        </w:rPr>
        <w:t>e</w:t>
      </w:r>
      <w:r w:rsidR="00F33B37" w:rsidRPr="00F97F98">
        <w:rPr>
          <w:b/>
        </w:rPr>
        <w:t>ngagement</w:t>
      </w:r>
      <w:r w:rsidR="007A7E12">
        <w:rPr>
          <w:b/>
        </w:rPr>
        <w:t>.</w:t>
      </w:r>
      <w:r w:rsidR="007A7E12">
        <w:t xml:space="preserve"> </w:t>
      </w:r>
      <w:r w:rsidR="008E3C65">
        <w:t>T</w:t>
      </w:r>
      <w:r w:rsidR="006D4EAE">
        <w:t>he</w:t>
      </w:r>
      <w:r w:rsidR="003671C3">
        <w:t xml:space="preserve"> </w:t>
      </w:r>
      <w:r w:rsidR="002C35AB">
        <w:t>EBRD</w:t>
      </w:r>
      <w:r w:rsidR="003671C3">
        <w:t>’s</w:t>
      </w:r>
      <w:r w:rsidR="006D4EAE">
        <w:t xml:space="preserve"> SGI team</w:t>
      </w:r>
      <w:r w:rsidR="00F46CCB">
        <w:t xml:space="preserve">’s work </w:t>
      </w:r>
      <w:r w:rsidR="006D4EAE">
        <w:t xml:space="preserve">is currently </w:t>
      </w:r>
      <w:r w:rsidR="00251231">
        <w:t>limited to certain</w:t>
      </w:r>
      <w:r w:rsidR="006D4EAE">
        <w:t xml:space="preserve"> </w:t>
      </w:r>
      <w:r w:rsidR="00F71160">
        <w:t>region</w:t>
      </w:r>
      <w:r w:rsidR="00251231">
        <w:t>s</w:t>
      </w:r>
      <w:r w:rsidR="00E56E9F">
        <w:t xml:space="preserve"> (</w:t>
      </w:r>
      <w:r w:rsidR="00F33B37">
        <w:t xml:space="preserve">i.e., </w:t>
      </w:r>
      <w:r w:rsidR="00E56E9F">
        <w:t xml:space="preserve">Turkey, Morocco, Tunisia, </w:t>
      </w:r>
      <w:r w:rsidR="00262E08">
        <w:t xml:space="preserve">Jordan, </w:t>
      </w:r>
      <w:r w:rsidR="00E56E9F">
        <w:t>Egypt, and Central Asia)</w:t>
      </w:r>
      <w:r w:rsidR="006D4EAE">
        <w:t>.</w:t>
      </w:r>
      <w:r w:rsidR="00F46CCB">
        <w:t xml:space="preserve"> </w:t>
      </w:r>
      <w:r w:rsidR="00B070C2">
        <w:t>Th</w:t>
      </w:r>
      <w:r w:rsidR="00F46CCB">
        <w:t xml:space="preserve">e </w:t>
      </w:r>
      <w:r w:rsidR="00763C91">
        <w:t>narrow</w:t>
      </w:r>
      <w:r w:rsidR="00F46CCB">
        <w:t xml:space="preserve"> geographical scope </w:t>
      </w:r>
      <w:r w:rsidR="009405F8">
        <w:t>may</w:t>
      </w:r>
      <w:r w:rsidR="00B070C2">
        <w:t xml:space="preserve"> </w:t>
      </w:r>
      <w:r w:rsidR="0024668D">
        <w:t xml:space="preserve">allow EBRD to </w:t>
      </w:r>
      <w:r w:rsidR="007660E3">
        <w:t xml:space="preserve">more easily </w:t>
      </w:r>
      <w:r w:rsidR="0024668D">
        <w:t>identify projects</w:t>
      </w:r>
      <w:r w:rsidR="007660E3">
        <w:t xml:space="preserve"> where </w:t>
      </w:r>
      <w:r w:rsidR="003109BC">
        <w:t xml:space="preserve">it can engage more proactively </w:t>
      </w:r>
      <w:r w:rsidR="000966ED">
        <w:t xml:space="preserve">in </w:t>
      </w:r>
      <w:r w:rsidR="003109BC">
        <w:t xml:space="preserve">support </w:t>
      </w:r>
      <w:r w:rsidR="000966ED">
        <w:t xml:space="preserve">of </w:t>
      </w:r>
      <w:r w:rsidR="003109BC">
        <w:t>gender equality</w:t>
      </w:r>
      <w:r w:rsidR="00854EB6">
        <w:t xml:space="preserve">. </w:t>
      </w:r>
      <w:r w:rsidR="003B0679">
        <w:t>Under this new initiative, EBRD aims to shift away from</w:t>
      </w:r>
      <w:r w:rsidR="00BF589B">
        <w:t xml:space="preserve"> what </w:t>
      </w:r>
      <w:r w:rsidR="00F701A7">
        <w:t xml:space="preserve">one </w:t>
      </w:r>
      <w:r w:rsidR="003671C3">
        <w:t>expert</w:t>
      </w:r>
      <w:r w:rsidR="00BF589B">
        <w:t xml:space="preserve"> called</w:t>
      </w:r>
      <w:r w:rsidR="003B0679">
        <w:t xml:space="preserve"> an ad hoc approach </w:t>
      </w:r>
      <w:r w:rsidR="0097218B">
        <w:t xml:space="preserve">to addressing gender inequality </w:t>
      </w:r>
      <w:r w:rsidR="003B0679">
        <w:t>to</w:t>
      </w:r>
      <w:r w:rsidR="005F2122">
        <w:t>ward</w:t>
      </w:r>
      <w:r w:rsidR="003B0679">
        <w:t xml:space="preserve"> </w:t>
      </w:r>
      <w:r w:rsidR="00430680">
        <w:t>a</w:t>
      </w:r>
      <w:r w:rsidR="003B0679">
        <w:t xml:space="preserve"> proactive </w:t>
      </w:r>
      <w:r w:rsidR="00BF589B">
        <w:t>approach</w:t>
      </w:r>
      <w:r w:rsidR="00CD291D">
        <w:t xml:space="preserve"> </w:t>
      </w:r>
      <w:r w:rsidR="00430680">
        <w:t>that</w:t>
      </w:r>
      <w:r w:rsidR="00ED2DDA">
        <w:t xml:space="preserve"> </w:t>
      </w:r>
      <w:r w:rsidR="00347AA0">
        <w:t>emphasizes</w:t>
      </w:r>
      <w:r w:rsidR="00BF589B">
        <w:t xml:space="preserve"> engagement </w:t>
      </w:r>
      <w:r w:rsidR="00CD291D">
        <w:t>with clients</w:t>
      </w:r>
      <w:r w:rsidR="00430680">
        <w:t xml:space="preserve"> </w:t>
      </w:r>
      <w:r w:rsidR="00BF589B">
        <w:t>and</w:t>
      </w:r>
      <w:r w:rsidR="00846F7B">
        <w:t xml:space="preserve"> </w:t>
      </w:r>
      <w:r w:rsidR="006D7151">
        <w:t>help</w:t>
      </w:r>
      <w:r w:rsidR="00430680">
        <w:t>s</w:t>
      </w:r>
      <w:r w:rsidR="00846F7B">
        <w:t xml:space="preserve"> women gain access to finance,</w:t>
      </w:r>
      <w:r w:rsidR="00204BF5">
        <w:t xml:space="preserve"> employment, skills, and services.</w:t>
      </w:r>
      <w:r w:rsidR="00846F7B">
        <w:t xml:space="preserve">   </w:t>
      </w:r>
      <w:r w:rsidR="003B0679">
        <w:t xml:space="preserve"> </w:t>
      </w:r>
      <w:r w:rsidR="002A4C41">
        <w:t xml:space="preserve"> </w:t>
      </w:r>
    </w:p>
    <w:p w:rsidR="00F97F98" w:rsidRPr="00F97F98" w:rsidRDefault="00765DA8" w:rsidP="0049506B">
      <w:pPr>
        <w:pStyle w:val="ListParagraph"/>
        <w:numPr>
          <w:ilvl w:val="0"/>
          <w:numId w:val="5"/>
        </w:numPr>
        <w:rPr>
          <w:b/>
        </w:rPr>
      </w:pPr>
      <w:r>
        <w:rPr>
          <w:b/>
        </w:rPr>
        <w:t>M</w:t>
      </w:r>
      <w:r w:rsidR="00F33B37" w:rsidRPr="00F97F98">
        <w:rPr>
          <w:b/>
        </w:rPr>
        <w:t xml:space="preserve">onitoring </w:t>
      </w:r>
      <w:r>
        <w:rPr>
          <w:b/>
        </w:rPr>
        <w:t>t</w:t>
      </w:r>
      <w:r w:rsidR="00F33B37" w:rsidRPr="00F97F98">
        <w:rPr>
          <w:b/>
        </w:rPr>
        <w:t xml:space="preserve">ools and </w:t>
      </w:r>
      <w:r>
        <w:rPr>
          <w:b/>
        </w:rPr>
        <w:t>a</w:t>
      </w:r>
      <w:r w:rsidR="00AD008F" w:rsidRPr="00F97F98">
        <w:rPr>
          <w:b/>
        </w:rPr>
        <w:t>ssessments</w:t>
      </w:r>
      <w:r w:rsidR="00F33B37" w:rsidRPr="00F97F98">
        <w:rPr>
          <w:b/>
        </w:rPr>
        <w:t>.</w:t>
      </w:r>
      <w:r w:rsidR="00BE0358">
        <w:t xml:space="preserve"> The </w:t>
      </w:r>
      <w:r w:rsidR="007A7E12">
        <w:t xml:space="preserve">EBRD’s </w:t>
      </w:r>
      <w:r w:rsidR="00BE0358">
        <w:t xml:space="preserve">SGI team </w:t>
      </w:r>
      <w:r w:rsidR="008873A3">
        <w:t>is currently</w:t>
      </w:r>
      <w:r w:rsidR="00BE0358">
        <w:t xml:space="preserve"> developing monitoring tools and </w:t>
      </w:r>
      <w:r w:rsidR="00A03CCC">
        <w:t>methods</w:t>
      </w:r>
      <w:r w:rsidR="00BE0358">
        <w:t xml:space="preserve"> for assessing project implementation.</w:t>
      </w:r>
      <w:r w:rsidR="0069193C">
        <w:t xml:space="preserve"> The</w:t>
      </w:r>
      <w:r w:rsidR="002114D9">
        <w:t xml:space="preserve"> SGI team plans to evaluate its approach</w:t>
      </w:r>
      <w:r w:rsidR="0069193C">
        <w:t xml:space="preserve"> </w:t>
      </w:r>
      <w:r w:rsidR="0084739C">
        <w:t>in 3-5 years when</w:t>
      </w:r>
      <w:r w:rsidR="0032647C">
        <w:t xml:space="preserve"> </w:t>
      </w:r>
      <w:r w:rsidR="0063719A">
        <w:t xml:space="preserve">comprehensive data </w:t>
      </w:r>
      <w:r w:rsidR="002114D9">
        <w:t xml:space="preserve">on its progress </w:t>
      </w:r>
      <w:r w:rsidR="0084739C">
        <w:t>will be available for analysis</w:t>
      </w:r>
      <w:r w:rsidR="0069193C">
        <w:t>.</w:t>
      </w:r>
    </w:p>
    <w:p w:rsidR="002F6D44" w:rsidRPr="00F97F98" w:rsidRDefault="009C4E5D" w:rsidP="0049506B">
      <w:pPr>
        <w:pStyle w:val="ListParagraph"/>
        <w:numPr>
          <w:ilvl w:val="0"/>
          <w:numId w:val="5"/>
        </w:numPr>
        <w:rPr>
          <w:b/>
        </w:rPr>
      </w:pPr>
      <w:r>
        <w:t xml:space="preserve">One </w:t>
      </w:r>
      <w:r w:rsidR="003671C3">
        <w:t>expert</w:t>
      </w:r>
      <w:r>
        <w:t xml:space="preserve"> noted</w:t>
      </w:r>
      <w:r w:rsidR="00357FBF">
        <w:t xml:space="preserve"> </w:t>
      </w:r>
      <w:r>
        <w:t>that t</w:t>
      </w:r>
      <w:r w:rsidR="005E42C5">
        <w:t xml:space="preserve">he Asian Development </w:t>
      </w:r>
      <w:r w:rsidR="00FE042C">
        <w:t>Bank</w:t>
      </w:r>
      <w:r w:rsidR="005E42C5">
        <w:t xml:space="preserve"> (ADB)</w:t>
      </w:r>
      <w:r>
        <w:t xml:space="preserve"> </w:t>
      </w:r>
      <w:r w:rsidR="00F16352">
        <w:t xml:space="preserve">has </w:t>
      </w:r>
      <w:r w:rsidR="003059DC">
        <w:t>stipulat</w:t>
      </w:r>
      <w:r w:rsidR="00FE7C59">
        <w:t>ed</w:t>
      </w:r>
      <w:r w:rsidR="003059DC">
        <w:t xml:space="preserve"> labor quotas </w:t>
      </w:r>
      <w:r w:rsidR="00FE7C59">
        <w:t xml:space="preserve">in </w:t>
      </w:r>
      <w:r w:rsidR="00655189">
        <w:t xml:space="preserve">some of its </w:t>
      </w:r>
      <w:r w:rsidR="00FE7C59">
        <w:t>loan agreements in order to</w:t>
      </w:r>
      <w:r w:rsidR="00013F57">
        <w:t xml:space="preserve"> </w:t>
      </w:r>
      <w:r w:rsidR="00655189">
        <w:t>incorporate more women in</w:t>
      </w:r>
      <w:r w:rsidR="005B710F">
        <w:t>to</w:t>
      </w:r>
      <w:r w:rsidR="00655189">
        <w:t xml:space="preserve"> its projects</w:t>
      </w:r>
      <w:r w:rsidR="003059DC">
        <w:t>.</w:t>
      </w:r>
      <w:r w:rsidR="00F16352">
        <w:t xml:space="preserve"> </w:t>
      </w:r>
      <w:r w:rsidR="00637C42">
        <w:t xml:space="preserve">Given </w:t>
      </w:r>
      <w:r w:rsidR="001B2B5A">
        <w:t>the</w:t>
      </w:r>
      <w:r w:rsidR="00637C42">
        <w:t xml:space="preserve"> success</w:t>
      </w:r>
      <w:r w:rsidR="001B2B5A">
        <w:t xml:space="preserve"> of this approach</w:t>
      </w:r>
      <w:r w:rsidR="006962E6">
        <w:t xml:space="preserve"> in </w:t>
      </w:r>
      <w:r w:rsidR="001B2B5A">
        <w:t xml:space="preserve">addressing gender inequality in </w:t>
      </w:r>
      <w:r w:rsidR="00655189">
        <w:t xml:space="preserve">certain </w:t>
      </w:r>
      <w:r w:rsidR="006962E6">
        <w:t>ADB projects</w:t>
      </w:r>
      <w:r w:rsidR="00655189">
        <w:t xml:space="preserve">, </w:t>
      </w:r>
      <w:r w:rsidR="002A6FB3">
        <w:t>the expert</w:t>
      </w:r>
      <w:r w:rsidR="00637C42">
        <w:t xml:space="preserve"> argued that this sort of</w:t>
      </w:r>
      <w:r w:rsidR="00655189">
        <w:t xml:space="preserve"> </w:t>
      </w:r>
      <w:r w:rsidR="00637C42">
        <w:t>proactive approach</w:t>
      </w:r>
      <w:r w:rsidR="00655189">
        <w:t xml:space="preserve"> </w:t>
      </w:r>
      <w:r w:rsidR="00637C42">
        <w:t>should</w:t>
      </w:r>
      <w:r w:rsidR="00655189">
        <w:t xml:space="preserve"> </w:t>
      </w:r>
      <w:r w:rsidR="00637C42">
        <w:t>be</w:t>
      </w:r>
      <w:r w:rsidR="00655189">
        <w:t xml:space="preserve"> applied systematically</w:t>
      </w:r>
      <w:r w:rsidR="007F190F">
        <w:t>.</w:t>
      </w:r>
      <w:r w:rsidR="00F16352">
        <w:t xml:space="preserve"> </w:t>
      </w:r>
      <w:r w:rsidR="003059DC">
        <w:t xml:space="preserve"> </w:t>
      </w:r>
      <w:r w:rsidR="005E42C5">
        <w:t xml:space="preserve"> </w:t>
      </w:r>
      <w:r w:rsidR="00C4230D">
        <w:t xml:space="preserve"> </w:t>
      </w:r>
      <w:r w:rsidR="0069193C">
        <w:t xml:space="preserve"> </w:t>
      </w:r>
      <w:r w:rsidR="00BE0358">
        <w:t xml:space="preserve"> </w:t>
      </w:r>
      <w:r w:rsidR="002A4C41">
        <w:t xml:space="preserve"> </w:t>
      </w:r>
      <w:r w:rsidR="00F33B37" w:rsidRPr="00F97F98">
        <w:rPr>
          <w:b/>
        </w:rPr>
        <w:t xml:space="preserve">  </w:t>
      </w:r>
      <w:r w:rsidR="007660E3" w:rsidRPr="00F97F98">
        <w:rPr>
          <w:b/>
        </w:rPr>
        <w:t xml:space="preserve"> </w:t>
      </w:r>
      <w:r w:rsidR="0024668D" w:rsidRPr="00F97F98">
        <w:rPr>
          <w:b/>
        </w:rPr>
        <w:t xml:space="preserve"> </w:t>
      </w:r>
      <w:r w:rsidR="00F46CCB" w:rsidRPr="00F97F98">
        <w:rPr>
          <w:b/>
        </w:rPr>
        <w:t xml:space="preserve"> </w:t>
      </w:r>
      <w:r w:rsidR="006D4EAE" w:rsidRPr="00F97F98">
        <w:rPr>
          <w:b/>
        </w:rPr>
        <w:t xml:space="preserve"> </w:t>
      </w:r>
      <w:r w:rsidR="00840C6C" w:rsidRPr="00F97F98">
        <w:rPr>
          <w:b/>
        </w:rPr>
        <w:t xml:space="preserve">    </w:t>
      </w:r>
      <w:r w:rsidR="005E31A8" w:rsidRPr="00F97F98">
        <w:rPr>
          <w:b/>
        </w:rPr>
        <w:t xml:space="preserve">  </w:t>
      </w:r>
      <w:r w:rsidR="00DE012C" w:rsidRPr="00F97F98">
        <w:rPr>
          <w:b/>
        </w:rPr>
        <w:t xml:space="preserve">  </w:t>
      </w:r>
    </w:p>
    <w:p w:rsidR="002F6D44" w:rsidRPr="00A51356" w:rsidRDefault="002F6D44" w:rsidP="008C1D2E"/>
    <w:p w:rsidR="002F6D44" w:rsidRPr="008C1D2E" w:rsidRDefault="002F6D44" w:rsidP="008C1D2E">
      <w:pPr>
        <w:ind w:left="720" w:hanging="720"/>
        <w:rPr>
          <w:b/>
        </w:rPr>
      </w:pPr>
      <w:r w:rsidRPr="008C1D2E">
        <w:rPr>
          <w:b/>
        </w:rPr>
        <w:t>3.</w:t>
      </w:r>
      <w:r w:rsidRPr="008C1D2E">
        <w:rPr>
          <w:b/>
        </w:rPr>
        <w:tab/>
        <w:t>What aspects and recommendations of the World Development Report 2012 “Gender Equality and Development” could be reflected in the safeguard policies?</w:t>
      </w:r>
    </w:p>
    <w:p w:rsidR="002F6D44" w:rsidRPr="006B321F" w:rsidRDefault="0024677C" w:rsidP="0049506B">
      <w:r>
        <w:t>The World Development Report (WDR)</w:t>
      </w:r>
      <w:r w:rsidRPr="0024677C">
        <w:t xml:space="preserve"> laid out </w:t>
      </w:r>
      <w:r>
        <w:t xml:space="preserve">several </w:t>
      </w:r>
      <w:r w:rsidRPr="0024677C">
        <w:t>areas in need of specific action</w:t>
      </w:r>
      <w:r w:rsidR="00743F1E">
        <w:t xml:space="preserve"> to achieve better results on gender mainstreaming</w:t>
      </w:r>
      <w:r>
        <w:t>:</w:t>
      </w:r>
    </w:p>
    <w:p w:rsidR="007875B0" w:rsidRDefault="007875B0" w:rsidP="007875B0">
      <w:pPr>
        <w:pStyle w:val="ListParagraph"/>
        <w:numPr>
          <w:ilvl w:val="0"/>
          <w:numId w:val="8"/>
        </w:numPr>
      </w:pPr>
      <w:r w:rsidRPr="0059381F">
        <w:rPr>
          <w:b/>
        </w:rPr>
        <w:lastRenderedPageBreak/>
        <w:t xml:space="preserve">Voice and </w:t>
      </w:r>
      <w:r w:rsidR="002F176E">
        <w:rPr>
          <w:b/>
        </w:rPr>
        <w:t>a</w:t>
      </w:r>
      <w:r w:rsidRPr="0059381F">
        <w:rPr>
          <w:b/>
        </w:rPr>
        <w:t>gency</w:t>
      </w:r>
      <w:r w:rsidRPr="007875B0">
        <w:rPr>
          <w:b/>
        </w:rPr>
        <w:t>.</w:t>
      </w:r>
      <w:r w:rsidR="004931EF">
        <w:t xml:space="preserve"> </w:t>
      </w:r>
      <w:r w:rsidR="00B44FBC">
        <w:t xml:space="preserve">Experts </w:t>
      </w:r>
      <w:r w:rsidR="004931EF">
        <w:t xml:space="preserve">discussed that if </w:t>
      </w:r>
      <w:r w:rsidR="00EB6991">
        <w:t>p</w:t>
      </w:r>
      <w:r w:rsidR="00D85985">
        <w:t xml:space="preserve">eople (women in particular) </w:t>
      </w:r>
      <w:r w:rsidR="003D19F3">
        <w:t xml:space="preserve">who are affected by </w:t>
      </w:r>
      <w:r w:rsidR="00F33E76">
        <w:t xml:space="preserve">investment </w:t>
      </w:r>
      <w:r w:rsidR="003D19F3">
        <w:t>projects do not have a platform or the skills to articulate the challenges they are facing, it will be difficult for them to ensure their opinions are taken into consideration.</w:t>
      </w:r>
      <w:r w:rsidR="00D85985">
        <w:t xml:space="preserve"> </w:t>
      </w:r>
    </w:p>
    <w:p w:rsidR="007875B0" w:rsidRDefault="005441B0" w:rsidP="007875B0">
      <w:pPr>
        <w:pStyle w:val="ListParagraph"/>
        <w:numPr>
          <w:ilvl w:val="0"/>
          <w:numId w:val="7"/>
        </w:numPr>
      </w:pPr>
      <w:r>
        <w:rPr>
          <w:b/>
        </w:rPr>
        <w:t>Evidence</w:t>
      </w:r>
      <w:r w:rsidR="002F176E">
        <w:rPr>
          <w:b/>
        </w:rPr>
        <w:t>-based a</w:t>
      </w:r>
      <w:r w:rsidR="007875B0" w:rsidRPr="0059381F">
        <w:rPr>
          <w:b/>
        </w:rPr>
        <w:t xml:space="preserve">nalysis </w:t>
      </w:r>
      <w:r w:rsidR="007875B0">
        <w:rPr>
          <w:b/>
        </w:rPr>
        <w:t>a</w:t>
      </w:r>
      <w:r w:rsidR="002F176E">
        <w:rPr>
          <w:b/>
        </w:rPr>
        <w:t>nd data c</w:t>
      </w:r>
      <w:r w:rsidR="007875B0" w:rsidRPr="0059381F">
        <w:rPr>
          <w:b/>
        </w:rPr>
        <w:t>ollection</w:t>
      </w:r>
      <w:r w:rsidR="007875B0">
        <w:rPr>
          <w:b/>
        </w:rPr>
        <w:t>.</w:t>
      </w:r>
      <w:r w:rsidR="007875B0">
        <w:t xml:space="preserve"> </w:t>
      </w:r>
      <w:r w:rsidR="00B44FBC">
        <w:t xml:space="preserve">Experts </w:t>
      </w:r>
      <w:r w:rsidR="002F176E">
        <w:t>agreed that e</w:t>
      </w:r>
      <w:r>
        <w:t xml:space="preserve">vidence-based analysis and data collection must </w:t>
      </w:r>
      <w:r w:rsidR="005E59C1">
        <w:t>be emphasized in order</w:t>
      </w:r>
      <w:r>
        <w:t xml:space="preserve"> to</w:t>
      </w:r>
      <w:r w:rsidR="007875B0">
        <w:t xml:space="preserve"> </w:t>
      </w:r>
      <w:r w:rsidR="005E59C1">
        <w:t xml:space="preserve">better </w:t>
      </w:r>
      <w:r w:rsidR="007875B0">
        <w:t xml:space="preserve">inform discussions on </w:t>
      </w:r>
      <w:r>
        <w:t xml:space="preserve">project </w:t>
      </w:r>
      <w:r w:rsidR="007875B0">
        <w:t>implementation</w:t>
      </w:r>
      <w:r>
        <w:t xml:space="preserve"> and potential impacts.</w:t>
      </w:r>
    </w:p>
    <w:p w:rsidR="007875B0" w:rsidRPr="0059381F" w:rsidRDefault="002F176E" w:rsidP="007875B0">
      <w:pPr>
        <w:pStyle w:val="ListParagraph"/>
        <w:numPr>
          <w:ilvl w:val="0"/>
          <w:numId w:val="7"/>
        </w:numPr>
        <w:rPr>
          <w:b/>
        </w:rPr>
      </w:pPr>
      <w:r>
        <w:rPr>
          <w:b/>
        </w:rPr>
        <w:t>Rural d</w:t>
      </w:r>
      <w:r w:rsidR="007875B0" w:rsidRPr="0059381F">
        <w:rPr>
          <w:b/>
        </w:rPr>
        <w:t>evelopment</w:t>
      </w:r>
      <w:r w:rsidR="007875B0">
        <w:rPr>
          <w:b/>
        </w:rPr>
        <w:t>.</w:t>
      </w:r>
      <w:r w:rsidR="002A6FB3">
        <w:rPr>
          <w:b/>
        </w:rPr>
        <w:t xml:space="preserve"> </w:t>
      </w:r>
      <w:r w:rsidR="00B44FBC">
        <w:t xml:space="preserve">Experts </w:t>
      </w:r>
      <w:r w:rsidR="000046E5">
        <w:t>suggested that r</w:t>
      </w:r>
      <w:r w:rsidR="005135C5">
        <w:t xml:space="preserve">ural development projects </w:t>
      </w:r>
      <w:r w:rsidR="00EF1CAB">
        <w:t>represent opportunities for convergence</w:t>
      </w:r>
      <w:r w:rsidR="00F038C8">
        <w:t>/synergy</w:t>
      </w:r>
      <w:r w:rsidR="00EF1CAB">
        <w:t xml:space="preserve"> </w:t>
      </w:r>
      <w:r w:rsidR="00F038C8">
        <w:t>between</w:t>
      </w:r>
      <w:r w:rsidR="000A1252">
        <w:t xml:space="preserve"> </w:t>
      </w:r>
      <w:r w:rsidR="00F038C8">
        <w:t>safeguard policies and gender mainstreaming</w:t>
      </w:r>
      <w:r w:rsidR="00FB30E8">
        <w:t xml:space="preserve">, because </w:t>
      </w:r>
      <w:r w:rsidR="00B25E5D">
        <w:t xml:space="preserve">most </w:t>
      </w:r>
      <w:r w:rsidR="00FB30E8">
        <w:t>rural development</w:t>
      </w:r>
      <w:r w:rsidR="00B25E5D">
        <w:t xml:space="preserve"> investment operations</w:t>
      </w:r>
      <w:r w:rsidR="00FB30E8">
        <w:t xml:space="preserve"> </w:t>
      </w:r>
      <w:r w:rsidR="0031159E" w:rsidRPr="0031159E">
        <w:t>(e.g., transportation projects)</w:t>
      </w:r>
      <w:r w:rsidR="0031159E">
        <w:t xml:space="preserve"> </w:t>
      </w:r>
      <w:r w:rsidR="00FB30E8">
        <w:t>often have large impacts</w:t>
      </w:r>
      <w:r w:rsidR="0031159E">
        <w:t xml:space="preserve"> on women and whole communities</w:t>
      </w:r>
      <w:r w:rsidR="00FB30E8">
        <w:t xml:space="preserve">. </w:t>
      </w:r>
    </w:p>
    <w:p w:rsidR="007875B0" w:rsidRPr="0003659E" w:rsidRDefault="002F176E" w:rsidP="00090ACC">
      <w:pPr>
        <w:pStyle w:val="ListParagraph"/>
        <w:numPr>
          <w:ilvl w:val="0"/>
          <w:numId w:val="7"/>
        </w:numPr>
      </w:pPr>
      <w:r>
        <w:rPr>
          <w:b/>
        </w:rPr>
        <w:t>Women’s e</w:t>
      </w:r>
      <w:r w:rsidR="00D60063">
        <w:rPr>
          <w:b/>
        </w:rPr>
        <w:t xml:space="preserve">conomic </w:t>
      </w:r>
      <w:r>
        <w:rPr>
          <w:b/>
        </w:rPr>
        <w:t>e</w:t>
      </w:r>
      <w:r w:rsidR="007875B0" w:rsidRPr="0059381F">
        <w:rPr>
          <w:b/>
        </w:rPr>
        <w:t>mpowerment</w:t>
      </w:r>
      <w:r w:rsidR="007875B0">
        <w:rPr>
          <w:b/>
        </w:rPr>
        <w:t>.</w:t>
      </w:r>
      <w:r w:rsidR="005A4C1E">
        <w:t xml:space="preserve"> </w:t>
      </w:r>
      <w:r w:rsidR="00B44FBC">
        <w:t xml:space="preserve">Experts </w:t>
      </w:r>
      <w:r w:rsidR="00A56E6B">
        <w:t>argued that it</w:t>
      </w:r>
      <w:r w:rsidR="005A4C1E">
        <w:t xml:space="preserve"> is critical to support the economic empowerment of women i</w:t>
      </w:r>
      <w:r w:rsidR="005A4C1E" w:rsidRPr="005A4C1E">
        <w:t xml:space="preserve">n order to increase </w:t>
      </w:r>
      <w:r w:rsidR="007F4985">
        <w:t>their</w:t>
      </w:r>
      <w:r w:rsidR="005A4C1E" w:rsidRPr="005A4C1E">
        <w:t xml:space="preserve"> bargaining power</w:t>
      </w:r>
      <w:r w:rsidR="005A4C1E">
        <w:t>, and by extension, their voice and agency.</w:t>
      </w:r>
      <w:r w:rsidR="007875B0" w:rsidRPr="0003659E">
        <w:t xml:space="preserve">  </w:t>
      </w:r>
    </w:p>
    <w:p w:rsidR="00090ACC" w:rsidRDefault="001B71B7" w:rsidP="008E249F">
      <w:pPr>
        <w:pStyle w:val="ListParagraph"/>
        <w:numPr>
          <w:ilvl w:val="0"/>
          <w:numId w:val="7"/>
        </w:numPr>
      </w:pPr>
      <w:r>
        <w:t xml:space="preserve">One </w:t>
      </w:r>
      <w:r w:rsidR="00B44FBC">
        <w:t xml:space="preserve">expert </w:t>
      </w:r>
      <w:r w:rsidR="00090ACC">
        <w:t xml:space="preserve">stressed that </w:t>
      </w:r>
      <w:r w:rsidR="009E2F4A">
        <w:t xml:space="preserve">project </w:t>
      </w:r>
      <w:r w:rsidR="0003659E">
        <w:t>c</w:t>
      </w:r>
      <w:r w:rsidR="008E249F" w:rsidRPr="0003659E">
        <w:t xml:space="preserve">onsultations </w:t>
      </w:r>
      <w:r w:rsidR="00416D14">
        <w:t>should</w:t>
      </w:r>
      <w:r w:rsidR="008E249F" w:rsidRPr="0003659E">
        <w:t xml:space="preserve"> </w:t>
      </w:r>
      <w:r w:rsidR="00F66614">
        <w:t xml:space="preserve">include those who will be affected </w:t>
      </w:r>
      <w:r w:rsidR="00050AD5">
        <w:t xml:space="preserve">by the project </w:t>
      </w:r>
      <w:r w:rsidR="00F66614">
        <w:t xml:space="preserve">and </w:t>
      </w:r>
      <w:r w:rsidR="008E249F" w:rsidRPr="0003659E">
        <w:t>not</w:t>
      </w:r>
      <w:r w:rsidR="00F66614">
        <w:t xml:space="preserve"> simply</w:t>
      </w:r>
      <w:r w:rsidR="008E249F" w:rsidRPr="0003659E">
        <w:t xml:space="preserve"> </w:t>
      </w:r>
      <w:r w:rsidR="007875B0" w:rsidRPr="0003659E">
        <w:t>the head of household</w:t>
      </w:r>
      <w:r w:rsidR="00F66614">
        <w:t xml:space="preserve"> to ensure impacts are felt where intended</w:t>
      </w:r>
      <w:r w:rsidR="007875B0" w:rsidRPr="0003659E">
        <w:t>.</w:t>
      </w:r>
    </w:p>
    <w:p w:rsidR="002F176E" w:rsidRPr="0003659E" w:rsidRDefault="002F176E" w:rsidP="002F176E">
      <w:pPr>
        <w:ind w:left="360"/>
      </w:pPr>
    </w:p>
    <w:p w:rsidR="002F6D44" w:rsidRPr="00440AFE" w:rsidRDefault="002F6D44" w:rsidP="00134711">
      <w:pPr>
        <w:ind w:left="720" w:hanging="720"/>
        <w:rPr>
          <w:b/>
        </w:rPr>
      </w:pPr>
      <w:r w:rsidRPr="00134711">
        <w:rPr>
          <w:b/>
        </w:rPr>
        <w:t>4.</w:t>
      </w:r>
      <w:r w:rsidRPr="00134711">
        <w:rPr>
          <w:b/>
        </w:rPr>
        <w:tab/>
        <w:t xml:space="preserve">How should gender issues be addressed in the environmental and social assessment process </w:t>
      </w:r>
      <w:r w:rsidRPr="00440AFE">
        <w:rPr>
          <w:b/>
        </w:rPr>
        <w:t>at the project level?</w:t>
      </w:r>
    </w:p>
    <w:p w:rsidR="00615846" w:rsidRDefault="00440AFE" w:rsidP="00FE7F35">
      <w:pPr>
        <w:numPr>
          <w:ilvl w:val="0"/>
          <w:numId w:val="2"/>
        </w:numPr>
        <w:contextualSpacing/>
      </w:pPr>
      <w:r w:rsidRPr="00440AFE">
        <w:t xml:space="preserve">One </w:t>
      </w:r>
      <w:r w:rsidR="002A6FB3">
        <w:t>expert</w:t>
      </w:r>
      <w:r w:rsidRPr="00440AFE">
        <w:t xml:space="preserve"> suggested integrating gender policies under the social part of the Environmental Social Impact Assessment (ESIA) framework for baseline analysis (e.g., gender differentiated impact analysis)</w:t>
      </w:r>
      <w:r>
        <w:t>.</w:t>
      </w:r>
      <w:r w:rsidR="00FE7F35">
        <w:t xml:space="preserve"> </w:t>
      </w:r>
      <w:r w:rsidR="00752922">
        <w:t xml:space="preserve">Another </w:t>
      </w:r>
      <w:r w:rsidR="002A6FB3">
        <w:t>expert</w:t>
      </w:r>
      <w:r w:rsidR="00752922">
        <w:t xml:space="preserve"> suggested integrating human rights under the ESIA as well, to ensure that discrimination </w:t>
      </w:r>
      <w:r w:rsidR="005B710F">
        <w:t>(</w:t>
      </w:r>
      <w:r w:rsidR="00752922">
        <w:t>based on gender and other criteria</w:t>
      </w:r>
      <w:r w:rsidR="005B710F">
        <w:t>)</w:t>
      </w:r>
      <w:r w:rsidR="00752922">
        <w:t xml:space="preserve"> </w:t>
      </w:r>
      <w:r w:rsidR="005B710F">
        <w:t xml:space="preserve">is captured </w:t>
      </w:r>
      <w:r w:rsidR="00752922">
        <w:t xml:space="preserve">in </w:t>
      </w:r>
      <w:r w:rsidR="00177B1E">
        <w:t xml:space="preserve">the </w:t>
      </w:r>
      <w:r w:rsidR="00752922">
        <w:t xml:space="preserve">impact analysis. </w:t>
      </w:r>
    </w:p>
    <w:p w:rsidR="000860CF" w:rsidRPr="00440AFE" w:rsidRDefault="00C668D6" w:rsidP="00FE7F35">
      <w:pPr>
        <w:numPr>
          <w:ilvl w:val="0"/>
          <w:numId w:val="2"/>
        </w:numPr>
        <w:contextualSpacing/>
      </w:pPr>
      <w:r>
        <w:t xml:space="preserve">One expert </w:t>
      </w:r>
      <w:r w:rsidR="003366EA">
        <w:t>also suggested that it</w:t>
      </w:r>
      <w:r w:rsidR="00093611" w:rsidRPr="00093611">
        <w:t xml:space="preserve"> is </w:t>
      </w:r>
      <w:r w:rsidR="00093611">
        <w:t xml:space="preserve">important to appreciate the limitations of certain assessments, and </w:t>
      </w:r>
      <w:r w:rsidR="005E2E50">
        <w:t xml:space="preserve">that </w:t>
      </w:r>
      <w:r w:rsidR="00093611">
        <w:t xml:space="preserve">it is imperative to learn </w:t>
      </w:r>
      <w:r w:rsidR="00093611" w:rsidRPr="00093611">
        <w:t xml:space="preserve">what </w:t>
      </w:r>
      <w:r w:rsidR="007C7B66">
        <w:t>methodologies and instruments</w:t>
      </w:r>
      <w:r w:rsidR="00093611" w:rsidRPr="00093611">
        <w:t xml:space="preserve"> </w:t>
      </w:r>
      <w:r w:rsidR="00093611">
        <w:t xml:space="preserve">work </w:t>
      </w:r>
      <w:r w:rsidR="00093611" w:rsidRPr="00093611">
        <w:t xml:space="preserve">for various </w:t>
      </w:r>
      <w:r w:rsidR="002E6C9B">
        <w:t>sectors</w:t>
      </w:r>
      <w:r w:rsidR="00093611" w:rsidRPr="00093611">
        <w:t xml:space="preserve"> and projects.</w:t>
      </w:r>
    </w:p>
    <w:p w:rsidR="002F6D44" w:rsidRDefault="002F6D44" w:rsidP="00134711">
      <w:pPr>
        <w:contextualSpacing/>
      </w:pPr>
    </w:p>
    <w:p w:rsidR="002F176E" w:rsidRPr="00B160FE" w:rsidRDefault="002F176E" w:rsidP="00134711">
      <w:pPr>
        <w:contextualSpacing/>
      </w:pPr>
    </w:p>
    <w:p w:rsidR="002F6D44" w:rsidRPr="00094878" w:rsidRDefault="002F6D44" w:rsidP="00134711">
      <w:pPr>
        <w:ind w:left="720" w:hanging="720"/>
        <w:rPr>
          <w:b/>
        </w:rPr>
      </w:pPr>
      <w:r>
        <w:rPr>
          <w:b/>
        </w:rPr>
        <w:t>5</w:t>
      </w:r>
      <w:r w:rsidRPr="00134711">
        <w:rPr>
          <w:b/>
        </w:rPr>
        <w:t>.</w:t>
      </w:r>
      <w:r w:rsidRPr="00134711">
        <w:rPr>
          <w:b/>
        </w:rPr>
        <w:tab/>
        <w:t xml:space="preserve">How could the </w:t>
      </w:r>
      <w:r w:rsidR="009D63BA">
        <w:rPr>
          <w:b/>
        </w:rPr>
        <w:t xml:space="preserve">World </w:t>
      </w:r>
      <w:r w:rsidR="00FE042C">
        <w:rPr>
          <w:b/>
        </w:rPr>
        <w:t>Bank</w:t>
      </w:r>
      <w:r w:rsidRPr="00134711">
        <w:rPr>
          <w:b/>
        </w:rPr>
        <w:t xml:space="preserve"> use country policies more effectively to affect issues related to safeguard </w:t>
      </w:r>
      <w:r w:rsidRPr="00094878">
        <w:rPr>
          <w:b/>
        </w:rPr>
        <w:t>policies?</w:t>
      </w:r>
    </w:p>
    <w:p w:rsidR="002F6D44" w:rsidRDefault="00FA127F" w:rsidP="00D060F6">
      <w:pPr>
        <w:pStyle w:val="ListParagraph"/>
        <w:numPr>
          <w:ilvl w:val="0"/>
          <w:numId w:val="7"/>
        </w:numPr>
      </w:pPr>
      <w:r w:rsidRPr="00FA127F">
        <w:t xml:space="preserve">Several </w:t>
      </w:r>
      <w:r w:rsidR="005B710F">
        <w:t>experts</w:t>
      </w:r>
      <w:r w:rsidR="005B710F" w:rsidRPr="00FA127F">
        <w:t xml:space="preserve"> </w:t>
      </w:r>
      <w:r w:rsidRPr="00FA127F">
        <w:t xml:space="preserve">voiced support for a </w:t>
      </w:r>
      <w:r w:rsidR="005B710F" w:rsidRPr="00FA127F">
        <w:t>project</w:t>
      </w:r>
      <w:r w:rsidR="005B710F">
        <w:t>-</w:t>
      </w:r>
      <w:r w:rsidRPr="00FA127F">
        <w:t xml:space="preserve">based approach that aims to produce positive impacts </w:t>
      </w:r>
      <w:r w:rsidR="00086EB3">
        <w:t>to</w:t>
      </w:r>
      <w:r w:rsidRPr="00FA127F">
        <w:t xml:space="preserve"> incentivize broad replication and systemic reform. In addition to operating on a project level, one </w:t>
      </w:r>
      <w:r w:rsidR="00E41467">
        <w:t>expert</w:t>
      </w:r>
      <w:r w:rsidRPr="00FA127F">
        <w:t xml:space="preserve"> suggested the World </w:t>
      </w:r>
      <w:r w:rsidR="00FE042C">
        <w:t>Bank</w:t>
      </w:r>
      <w:r w:rsidRPr="00FA127F">
        <w:t xml:space="preserve"> maintain high-level political dialogue with governments about women’s rights through political and human rights assessments.</w:t>
      </w:r>
    </w:p>
    <w:sectPr w:rsidR="002F6D44" w:rsidSect="001E665C">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66" w:rsidRDefault="000A0966" w:rsidP="0049506B">
      <w:pPr>
        <w:spacing w:after="0" w:line="240" w:lineRule="auto"/>
      </w:pPr>
      <w:r>
        <w:separator/>
      </w:r>
    </w:p>
  </w:endnote>
  <w:endnote w:type="continuationSeparator" w:id="0">
    <w:p w:rsidR="000A0966" w:rsidRDefault="000A0966" w:rsidP="0049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44" w:rsidRPr="008D0B66" w:rsidRDefault="002F6D44">
    <w:pPr>
      <w:pStyle w:val="Footer"/>
      <w:jc w:val="right"/>
      <w:rPr>
        <w:sz w:val="16"/>
        <w:szCs w:val="16"/>
      </w:rPr>
    </w:pPr>
    <w:r w:rsidRPr="008D0B66">
      <w:rPr>
        <w:sz w:val="16"/>
        <w:szCs w:val="16"/>
      </w:rPr>
      <w:t>Summary Note –</w:t>
    </w:r>
    <w:r>
      <w:rPr>
        <w:sz w:val="16"/>
        <w:szCs w:val="16"/>
      </w:rPr>
      <w:t xml:space="preserve"> </w:t>
    </w:r>
    <w:r w:rsidRPr="008D0B66">
      <w:rPr>
        <w:sz w:val="16"/>
        <w:szCs w:val="16"/>
      </w:rPr>
      <w:t xml:space="preserve">Expert Focus Group Meeting on </w:t>
    </w:r>
    <w:r>
      <w:rPr>
        <w:sz w:val="16"/>
        <w:szCs w:val="16"/>
      </w:rPr>
      <w:t xml:space="preserve">Gender                          </w:t>
    </w:r>
    <w:r w:rsidRPr="008D0B66">
      <w:rPr>
        <w:sz w:val="16"/>
        <w:szCs w:val="16"/>
      </w:rPr>
      <w:t xml:space="preserve"> </w:t>
    </w:r>
    <w:r w:rsidRPr="008D0B66">
      <w:rPr>
        <w:sz w:val="16"/>
        <w:szCs w:val="16"/>
      </w:rPr>
      <w:tab/>
    </w:r>
    <w:r w:rsidR="009E25A0" w:rsidRPr="008D0B66">
      <w:rPr>
        <w:sz w:val="16"/>
        <w:szCs w:val="16"/>
      </w:rPr>
      <w:fldChar w:fldCharType="begin"/>
    </w:r>
    <w:r w:rsidRPr="008D0B66">
      <w:rPr>
        <w:sz w:val="16"/>
        <w:szCs w:val="16"/>
      </w:rPr>
      <w:instrText xml:space="preserve"> PAGE   \* MERGEFORMAT </w:instrText>
    </w:r>
    <w:r w:rsidR="009E25A0" w:rsidRPr="008D0B66">
      <w:rPr>
        <w:sz w:val="16"/>
        <w:szCs w:val="16"/>
      </w:rPr>
      <w:fldChar w:fldCharType="separate"/>
    </w:r>
    <w:r w:rsidR="003E2A78">
      <w:rPr>
        <w:noProof/>
        <w:sz w:val="16"/>
        <w:szCs w:val="16"/>
      </w:rPr>
      <w:t>4</w:t>
    </w:r>
    <w:r w:rsidR="009E25A0" w:rsidRPr="008D0B66">
      <w:rPr>
        <w:sz w:val="16"/>
        <w:szCs w:val="16"/>
      </w:rPr>
      <w:fldChar w:fldCharType="end"/>
    </w:r>
  </w:p>
  <w:p w:rsidR="002F6D44" w:rsidRDefault="002F6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66" w:rsidRDefault="000A0966" w:rsidP="0049506B">
      <w:pPr>
        <w:spacing w:after="0" w:line="240" w:lineRule="auto"/>
      </w:pPr>
      <w:r>
        <w:separator/>
      </w:r>
    </w:p>
  </w:footnote>
  <w:footnote w:type="continuationSeparator" w:id="0">
    <w:p w:rsidR="000A0966" w:rsidRDefault="000A0966" w:rsidP="00495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3E"/>
    <w:multiLevelType w:val="hybridMultilevel"/>
    <w:tmpl w:val="8F0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1526"/>
    <w:multiLevelType w:val="hybridMultilevel"/>
    <w:tmpl w:val="04C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46F95"/>
    <w:multiLevelType w:val="hybridMultilevel"/>
    <w:tmpl w:val="087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63A26"/>
    <w:multiLevelType w:val="hybridMultilevel"/>
    <w:tmpl w:val="679C3CF8"/>
    <w:lvl w:ilvl="0" w:tplc="825A2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B23D4"/>
    <w:multiLevelType w:val="hybridMultilevel"/>
    <w:tmpl w:val="F2B25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1D2F41"/>
    <w:multiLevelType w:val="hybridMultilevel"/>
    <w:tmpl w:val="F74A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457D9"/>
    <w:multiLevelType w:val="hybridMultilevel"/>
    <w:tmpl w:val="8E6A13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B066A51"/>
    <w:multiLevelType w:val="hybridMultilevel"/>
    <w:tmpl w:val="F10A96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222272"/>
    <w:multiLevelType w:val="hybridMultilevel"/>
    <w:tmpl w:val="64BE6D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F4FB1"/>
    <w:multiLevelType w:val="hybridMultilevel"/>
    <w:tmpl w:val="E014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80CC3"/>
    <w:multiLevelType w:val="hybridMultilevel"/>
    <w:tmpl w:val="792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1F"/>
    <w:rsid w:val="00001FC1"/>
    <w:rsid w:val="00002C79"/>
    <w:rsid w:val="00002FCD"/>
    <w:rsid w:val="000042B8"/>
    <w:rsid w:val="000046E5"/>
    <w:rsid w:val="000064C3"/>
    <w:rsid w:val="0000766E"/>
    <w:rsid w:val="00013F57"/>
    <w:rsid w:val="00017FB2"/>
    <w:rsid w:val="00020304"/>
    <w:rsid w:val="0003659E"/>
    <w:rsid w:val="00036894"/>
    <w:rsid w:val="00040139"/>
    <w:rsid w:val="00044A36"/>
    <w:rsid w:val="00047142"/>
    <w:rsid w:val="00050AD5"/>
    <w:rsid w:val="000516BC"/>
    <w:rsid w:val="000523F4"/>
    <w:rsid w:val="000528F2"/>
    <w:rsid w:val="00052B65"/>
    <w:rsid w:val="000536DE"/>
    <w:rsid w:val="00065CD4"/>
    <w:rsid w:val="00066091"/>
    <w:rsid w:val="00070832"/>
    <w:rsid w:val="000731A6"/>
    <w:rsid w:val="00076FEE"/>
    <w:rsid w:val="000779DA"/>
    <w:rsid w:val="000856A6"/>
    <w:rsid w:val="000860CF"/>
    <w:rsid w:val="00086EB3"/>
    <w:rsid w:val="00090ACC"/>
    <w:rsid w:val="00090C54"/>
    <w:rsid w:val="0009133A"/>
    <w:rsid w:val="00093611"/>
    <w:rsid w:val="00094878"/>
    <w:rsid w:val="00094A84"/>
    <w:rsid w:val="00094CED"/>
    <w:rsid w:val="00094F1A"/>
    <w:rsid w:val="000951E6"/>
    <w:rsid w:val="00095DBF"/>
    <w:rsid w:val="000966ED"/>
    <w:rsid w:val="00096EF5"/>
    <w:rsid w:val="000A0966"/>
    <w:rsid w:val="000A1252"/>
    <w:rsid w:val="000A253D"/>
    <w:rsid w:val="000B0E93"/>
    <w:rsid w:val="000B10DF"/>
    <w:rsid w:val="000B2044"/>
    <w:rsid w:val="000B22C3"/>
    <w:rsid w:val="000B2C6A"/>
    <w:rsid w:val="000B33C0"/>
    <w:rsid w:val="000B395A"/>
    <w:rsid w:val="000B4DF2"/>
    <w:rsid w:val="000B5B0B"/>
    <w:rsid w:val="000B6BCC"/>
    <w:rsid w:val="000B7DDD"/>
    <w:rsid w:val="000C5857"/>
    <w:rsid w:val="000C5F82"/>
    <w:rsid w:val="000C7701"/>
    <w:rsid w:val="000D22CC"/>
    <w:rsid w:val="000D257C"/>
    <w:rsid w:val="000D433D"/>
    <w:rsid w:val="000D77C4"/>
    <w:rsid w:val="000E07A4"/>
    <w:rsid w:val="000E0C04"/>
    <w:rsid w:val="000F07E2"/>
    <w:rsid w:val="000F0995"/>
    <w:rsid w:val="000F3CB3"/>
    <w:rsid w:val="0010165E"/>
    <w:rsid w:val="00102076"/>
    <w:rsid w:val="001030D5"/>
    <w:rsid w:val="00104125"/>
    <w:rsid w:val="00105555"/>
    <w:rsid w:val="0010724F"/>
    <w:rsid w:val="001149BB"/>
    <w:rsid w:val="00114E8F"/>
    <w:rsid w:val="0011658F"/>
    <w:rsid w:val="00121D34"/>
    <w:rsid w:val="001236F0"/>
    <w:rsid w:val="001308FE"/>
    <w:rsid w:val="00134227"/>
    <w:rsid w:val="00134711"/>
    <w:rsid w:val="00134D0E"/>
    <w:rsid w:val="001361A1"/>
    <w:rsid w:val="00142E4D"/>
    <w:rsid w:val="00145573"/>
    <w:rsid w:val="00145D4D"/>
    <w:rsid w:val="00147B62"/>
    <w:rsid w:val="00153845"/>
    <w:rsid w:val="001569B6"/>
    <w:rsid w:val="00164624"/>
    <w:rsid w:val="00172F9E"/>
    <w:rsid w:val="00177B1E"/>
    <w:rsid w:val="00181AAE"/>
    <w:rsid w:val="00181E4C"/>
    <w:rsid w:val="001908CE"/>
    <w:rsid w:val="001934BF"/>
    <w:rsid w:val="00196406"/>
    <w:rsid w:val="001A3220"/>
    <w:rsid w:val="001B2B5A"/>
    <w:rsid w:val="001B2D9F"/>
    <w:rsid w:val="001B35C8"/>
    <w:rsid w:val="001B71B7"/>
    <w:rsid w:val="001C02D0"/>
    <w:rsid w:val="001C5035"/>
    <w:rsid w:val="001D7ACB"/>
    <w:rsid w:val="001E22C1"/>
    <w:rsid w:val="001E362B"/>
    <w:rsid w:val="001E380F"/>
    <w:rsid w:val="001E665C"/>
    <w:rsid w:val="001E6AEB"/>
    <w:rsid w:val="001F15A1"/>
    <w:rsid w:val="001F42D9"/>
    <w:rsid w:val="001F4B49"/>
    <w:rsid w:val="001F536C"/>
    <w:rsid w:val="001F5A90"/>
    <w:rsid w:val="001F6D6F"/>
    <w:rsid w:val="001F7946"/>
    <w:rsid w:val="00201D37"/>
    <w:rsid w:val="002027DB"/>
    <w:rsid w:val="00204BF5"/>
    <w:rsid w:val="002058C4"/>
    <w:rsid w:val="002114D9"/>
    <w:rsid w:val="002120DD"/>
    <w:rsid w:val="00212796"/>
    <w:rsid w:val="00213886"/>
    <w:rsid w:val="002146CB"/>
    <w:rsid w:val="00215B42"/>
    <w:rsid w:val="002200CB"/>
    <w:rsid w:val="00220B03"/>
    <w:rsid w:val="00221B35"/>
    <w:rsid w:val="00222273"/>
    <w:rsid w:val="00227227"/>
    <w:rsid w:val="00230945"/>
    <w:rsid w:val="0023693F"/>
    <w:rsid w:val="00237FE2"/>
    <w:rsid w:val="00240C56"/>
    <w:rsid w:val="00241872"/>
    <w:rsid w:val="00241F28"/>
    <w:rsid w:val="0024260F"/>
    <w:rsid w:val="0024668D"/>
    <w:rsid w:val="0024677C"/>
    <w:rsid w:val="00250B34"/>
    <w:rsid w:val="00251231"/>
    <w:rsid w:val="002530ED"/>
    <w:rsid w:val="002553B8"/>
    <w:rsid w:val="00256102"/>
    <w:rsid w:val="00256205"/>
    <w:rsid w:val="00257B10"/>
    <w:rsid w:val="00262E08"/>
    <w:rsid w:val="00264C6B"/>
    <w:rsid w:val="00264CF7"/>
    <w:rsid w:val="0027072E"/>
    <w:rsid w:val="00270AA3"/>
    <w:rsid w:val="00273085"/>
    <w:rsid w:val="00275B73"/>
    <w:rsid w:val="00275C48"/>
    <w:rsid w:val="00280D67"/>
    <w:rsid w:val="00281179"/>
    <w:rsid w:val="00290064"/>
    <w:rsid w:val="00291CD8"/>
    <w:rsid w:val="002924CB"/>
    <w:rsid w:val="0029613F"/>
    <w:rsid w:val="002A09E1"/>
    <w:rsid w:val="002A3EF0"/>
    <w:rsid w:val="002A4C41"/>
    <w:rsid w:val="002A5DFC"/>
    <w:rsid w:val="002A6CD7"/>
    <w:rsid w:val="002A6FB3"/>
    <w:rsid w:val="002A7ABB"/>
    <w:rsid w:val="002B210B"/>
    <w:rsid w:val="002B4B5C"/>
    <w:rsid w:val="002B6508"/>
    <w:rsid w:val="002B6797"/>
    <w:rsid w:val="002C1285"/>
    <w:rsid w:val="002C2104"/>
    <w:rsid w:val="002C25FE"/>
    <w:rsid w:val="002C3540"/>
    <w:rsid w:val="002C35AB"/>
    <w:rsid w:val="002C6298"/>
    <w:rsid w:val="002C7F09"/>
    <w:rsid w:val="002E0B1B"/>
    <w:rsid w:val="002E2945"/>
    <w:rsid w:val="002E31AD"/>
    <w:rsid w:val="002E4EAD"/>
    <w:rsid w:val="002E6C9B"/>
    <w:rsid w:val="002F176E"/>
    <w:rsid w:val="002F30F9"/>
    <w:rsid w:val="002F326B"/>
    <w:rsid w:val="002F553E"/>
    <w:rsid w:val="002F5A3C"/>
    <w:rsid w:val="002F695D"/>
    <w:rsid w:val="002F6D44"/>
    <w:rsid w:val="003059DC"/>
    <w:rsid w:val="003061BD"/>
    <w:rsid w:val="00306D4E"/>
    <w:rsid w:val="003075B3"/>
    <w:rsid w:val="00307C4B"/>
    <w:rsid w:val="003109BC"/>
    <w:rsid w:val="0031159E"/>
    <w:rsid w:val="003151BD"/>
    <w:rsid w:val="00315D1C"/>
    <w:rsid w:val="0031679D"/>
    <w:rsid w:val="00316FA3"/>
    <w:rsid w:val="0032072C"/>
    <w:rsid w:val="0032098A"/>
    <w:rsid w:val="003223B0"/>
    <w:rsid w:val="003233CC"/>
    <w:rsid w:val="003244B8"/>
    <w:rsid w:val="0032647C"/>
    <w:rsid w:val="00331BA3"/>
    <w:rsid w:val="0033532A"/>
    <w:rsid w:val="003362D8"/>
    <w:rsid w:val="003366EA"/>
    <w:rsid w:val="0034060C"/>
    <w:rsid w:val="00342DB7"/>
    <w:rsid w:val="00342EA6"/>
    <w:rsid w:val="00343A3F"/>
    <w:rsid w:val="00344930"/>
    <w:rsid w:val="00344EA5"/>
    <w:rsid w:val="00347AA0"/>
    <w:rsid w:val="003543FD"/>
    <w:rsid w:val="003555E6"/>
    <w:rsid w:val="00356B8C"/>
    <w:rsid w:val="00357FBF"/>
    <w:rsid w:val="0036098E"/>
    <w:rsid w:val="003612E4"/>
    <w:rsid w:val="0036376F"/>
    <w:rsid w:val="0036396C"/>
    <w:rsid w:val="003671C3"/>
    <w:rsid w:val="00370CE9"/>
    <w:rsid w:val="00372C38"/>
    <w:rsid w:val="003737D8"/>
    <w:rsid w:val="003770B5"/>
    <w:rsid w:val="0037749E"/>
    <w:rsid w:val="00382AFF"/>
    <w:rsid w:val="00385A2A"/>
    <w:rsid w:val="00396B53"/>
    <w:rsid w:val="003A03BC"/>
    <w:rsid w:val="003A1827"/>
    <w:rsid w:val="003A1D6F"/>
    <w:rsid w:val="003A3C35"/>
    <w:rsid w:val="003A7270"/>
    <w:rsid w:val="003B0679"/>
    <w:rsid w:val="003B62E5"/>
    <w:rsid w:val="003C0F3B"/>
    <w:rsid w:val="003C107D"/>
    <w:rsid w:val="003C1733"/>
    <w:rsid w:val="003C1F87"/>
    <w:rsid w:val="003C3327"/>
    <w:rsid w:val="003D0BE7"/>
    <w:rsid w:val="003D19F3"/>
    <w:rsid w:val="003D6448"/>
    <w:rsid w:val="003D7BCA"/>
    <w:rsid w:val="003E2A78"/>
    <w:rsid w:val="003E5B6B"/>
    <w:rsid w:val="003E69EC"/>
    <w:rsid w:val="003E7C9A"/>
    <w:rsid w:val="003F0821"/>
    <w:rsid w:val="003F4E53"/>
    <w:rsid w:val="004035B1"/>
    <w:rsid w:val="004123E2"/>
    <w:rsid w:val="0041544C"/>
    <w:rsid w:val="00416D14"/>
    <w:rsid w:val="004170C1"/>
    <w:rsid w:val="004225D8"/>
    <w:rsid w:val="00422AAB"/>
    <w:rsid w:val="00424813"/>
    <w:rsid w:val="00425431"/>
    <w:rsid w:val="004255E9"/>
    <w:rsid w:val="00427B11"/>
    <w:rsid w:val="00430680"/>
    <w:rsid w:val="00440AFE"/>
    <w:rsid w:val="00441AC5"/>
    <w:rsid w:val="00447AA1"/>
    <w:rsid w:val="00450314"/>
    <w:rsid w:val="00454C8C"/>
    <w:rsid w:val="00456487"/>
    <w:rsid w:val="00463E3E"/>
    <w:rsid w:val="00470396"/>
    <w:rsid w:val="00470473"/>
    <w:rsid w:val="00472880"/>
    <w:rsid w:val="00476D6F"/>
    <w:rsid w:val="0048475A"/>
    <w:rsid w:val="00485129"/>
    <w:rsid w:val="00492942"/>
    <w:rsid w:val="004931EF"/>
    <w:rsid w:val="00494F5B"/>
    <w:rsid w:val="0049506B"/>
    <w:rsid w:val="00496BD7"/>
    <w:rsid w:val="00497D8D"/>
    <w:rsid w:val="004A0735"/>
    <w:rsid w:val="004A6B44"/>
    <w:rsid w:val="004A7D1D"/>
    <w:rsid w:val="004B0624"/>
    <w:rsid w:val="004B2A68"/>
    <w:rsid w:val="004B3CE4"/>
    <w:rsid w:val="004B5CDE"/>
    <w:rsid w:val="004B6D23"/>
    <w:rsid w:val="004C04F3"/>
    <w:rsid w:val="004C1D2D"/>
    <w:rsid w:val="004D18F0"/>
    <w:rsid w:val="004D2632"/>
    <w:rsid w:val="004D6982"/>
    <w:rsid w:val="004E3E31"/>
    <w:rsid w:val="004E594C"/>
    <w:rsid w:val="004E7A76"/>
    <w:rsid w:val="004F21D7"/>
    <w:rsid w:val="004F3590"/>
    <w:rsid w:val="004F36F3"/>
    <w:rsid w:val="004F7042"/>
    <w:rsid w:val="00500944"/>
    <w:rsid w:val="005037B7"/>
    <w:rsid w:val="00503D5A"/>
    <w:rsid w:val="00507306"/>
    <w:rsid w:val="0051217A"/>
    <w:rsid w:val="00513324"/>
    <w:rsid w:val="005135C5"/>
    <w:rsid w:val="00513B87"/>
    <w:rsid w:val="0051760A"/>
    <w:rsid w:val="00521753"/>
    <w:rsid w:val="00521CA8"/>
    <w:rsid w:val="00522DED"/>
    <w:rsid w:val="00522ECC"/>
    <w:rsid w:val="005243C5"/>
    <w:rsid w:val="00531C47"/>
    <w:rsid w:val="005320CF"/>
    <w:rsid w:val="00540EC7"/>
    <w:rsid w:val="00542610"/>
    <w:rsid w:val="005431FC"/>
    <w:rsid w:val="00543297"/>
    <w:rsid w:val="005441B0"/>
    <w:rsid w:val="0054702C"/>
    <w:rsid w:val="00550228"/>
    <w:rsid w:val="00553E42"/>
    <w:rsid w:val="00554D59"/>
    <w:rsid w:val="00554ED4"/>
    <w:rsid w:val="00557EFD"/>
    <w:rsid w:val="00561C1C"/>
    <w:rsid w:val="005647CD"/>
    <w:rsid w:val="0056542D"/>
    <w:rsid w:val="00567B8F"/>
    <w:rsid w:val="00567EB7"/>
    <w:rsid w:val="00575903"/>
    <w:rsid w:val="00577C53"/>
    <w:rsid w:val="005858C8"/>
    <w:rsid w:val="00590A6E"/>
    <w:rsid w:val="00590FC9"/>
    <w:rsid w:val="005923F1"/>
    <w:rsid w:val="005956C9"/>
    <w:rsid w:val="005A4C1E"/>
    <w:rsid w:val="005A5EF8"/>
    <w:rsid w:val="005A6240"/>
    <w:rsid w:val="005A6EA0"/>
    <w:rsid w:val="005A73AC"/>
    <w:rsid w:val="005B0870"/>
    <w:rsid w:val="005B4CDE"/>
    <w:rsid w:val="005B710F"/>
    <w:rsid w:val="005B7268"/>
    <w:rsid w:val="005B7B75"/>
    <w:rsid w:val="005C404C"/>
    <w:rsid w:val="005D06B9"/>
    <w:rsid w:val="005D3907"/>
    <w:rsid w:val="005D3C36"/>
    <w:rsid w:val="005D4A20"/>
    <w:rsid w:val="005D63DF"/>
    <w:rsid w:val="005D7829"/>
    <w:rsid w:val="005E0A36"/>
    <w:rsid w:val="005E0D94"/>
    <w:rsid w:val="005E2E50"/>
    <w:rsid w:val="005E31A8"/>
    <w:rsid w:val="005E361F"/>
    <w:rsid w:val="005E42C5"/>
    <w:rsid w:val="005E59C1"/>
    <w:rsid w:val="005E6319"/>
    <w:rsid w:val="005E79D6"/>
    <w:rsid w:val="005F1A55"/>
    <w:rsid w:val="005F2122"/>
    <w:rsid w:val="005F59A3"/>
    <w:rsid w:val="00600A2D"/>
    <w:rsid w:val="00604F49"/>
    <w:rsid w:val="00606BBC"/>
    <w:rsid w:val="00607B23"/>
    <w:rsid w:val="0061124D"/>
    <w:rsid w:val="006136D5"/>
    <w:rsid w:val="00615846"/>
    <w:rsid w:val="00616FF0"/>
    <w:rsid w:val="00625FC5"/>
    <w:rsid w:val="00627C7D"/>
    <w:rsid w:val="006301D2"/>
    <w:rsid w:val="00631455"/>
    <w:rsid w:val="00631BEC"/>
    <w:rsid w:val="00632950"/>
    <w:rsid w:val="006354F1"/>
    <w:rsid w:val="00635F5C"/>
    <w:rsid w:val="0063719A"/>
    <w:rsid w:val="0063785B"/>
    <w:rsid w:val="00637C42"/>
    <w:rsid w:val="00640CC9"/>
    <w:rsid w:val="006442C0"/>
    <w:rsid w:val="00650B55"/>
    <w:rsid w:val="00653AE5"/>
    <w:rsid w:val="00655189"/>
    <w:rsid w:val="006564D0"/>
    <w:rsid w:val="00657C47"/>
    <w:rsid w:val="00662781"/>
    <w:rsid w:val="00677C05"/>
    <w:rsid w:val="00684AC0"/>
    <w:rsid w:val="00685BAC"/>
    <w:rsid w:val="0069193C"/>
    <w:rsid w:val="00692361"/>
    <w:rsid w:val="006962E6"/>
    <w:rsid w:val="00696B98"/>
    <w:rsid w:val="006A0542"/>
    <w:rsid w:val="006A64D8"/>
    <w:rsid w:val="006B1176"/>
    <w:rsid w:val="006B2F62"/>
    <w:rsid w:val="006B321F"/>
    <w:rsid w:val="006B4F3D"/>
    <w:rsid w:val="006B61A9"/>
    <w:rsid w:val="006B6CBE"/>
    <w:rsid w:val="006B75E2"/>
    <w:rsid w:val="006C6242"/>
    <w:rsid w:val="006C6D59"/>
    <w:rsid w:val="006D4EAE"/>
    <w:rsid w:val="006D7151"/>
    <w:rsid w:val="006E134F"/>
    <w:rsid w:val="006E41DF"/>
    <w:rsid w:val="006F3E75"/>
    <w:rsid w:val="006F50F6"/>
    <w:rsid w:val="006F53A8"/>
    <w:rsid w:val="006F6280"/>
    <w:rsid w:val="0070087D"/>
    <w:rsid w:val="0070429E"/>
    <w:rsid w:val="00705993"/>
    <w:rsid w:val="00706344"/>
    <w:rsid w:val="007066B4"/>
    <w:rsid w:val="00712B59"/>
    <w:rsid w:val="00712DAF"/>
    <w:rsid w:val="00713A81"/>
    <w:rsid w:val="0071569C"/>
    <w:rsid w:val="007159ED"/>
    <w:rsid w:val="00716798"/>
    <w:rsid w:val="00716E17"/>
    <w:rsid w:val="00722034"/>
    <w:rsid w:val="0072458F"/>
    <w:rsid w:val="007270AE"/>
    <w:rsid w:val="007321AA"/>
    <w:rsid w:val="007434C1"/>
    <w:rsid w:val="007434CA"/>
    <w:rsid w:val="00743F1E"/>
    <w:rsid w:val="00744C64"/>
    <w:rsid w:val="00752922"/>
    <w:rsid w:val="007565F4"/>
    <w:rsid w:val="00761762"/>
    <w:rsid w:val="00762178"/>
    <w:rsid w:val="00762263"/>
    <w:rsid w:val="00763C91"/>
    <w:rsid w:val="00764BF8"/>
    <w:rsid w:val="00765DA8"/>
    <w:rsid w:val="007660E3"/>
    <w:rsid w:val="00766DE4"/>
    <w:rsid w:val="00775B1D"/>
    <w:rsid w:val="007813FB"/>
    <w:rsid w:val="00783606"/>
    <w:rsid w:val="00783697"/>
    <w:rsid w:val="00785B9F"/>
    <w:rsid w:val="00786C33"/>
    <w:rsid w:val="007875B0"/>
    <w:rsid w:val="007937B8"/>
    <w:rsid w:val="00794D72"/>
    <w:rsid w:val="00795121"/>
    <w:rsid w:val="007A4E4B"/>
    <w:rsid w:val="007A7E12"/>
    <w:rsid w:val="007B6A83"/>
    <w:rsid w:val="007C0099"/>
    <w:rsid w:val="007C7B66"/>
    <w:rsid w:val="007C7F18"/>
    <w:rsid w:val="007D2129"/>
    <w:rsid w:val="007D246D"/>
    <w:rsid w:val="007D6084"/>
    <w:rsid w:val="007E1F80"/>
    <w:rsid w:val="007E23E8"/>
    <w:rsid w:val="007E6D86"/>
    <w:rsid w:val="007E787D"/>
    <w:rsid w:val="007F190F"/>
    <w:rsid w:val="007F46EE"/>
    <w:rsid w:val="007F4985"/>
    <w:rsid w:val="00801F4E"/>
    <w:rsid w:val="00802FD3"/>
    <w:rsid w:val="0082091F"/>
    <w:rsid w:val="00823D6D"/>
    <w:rsid w:val="00831804"/>
    <w:rsid w:val="008322B5"/>
    <w:rsid w:val="00832DFC"/>
    <w:rsid w:val="0083691B"/>
    <w:rsid w:val="00837CD8"/>
    <w:rsid w:val="00840C6C"/>
    <w:rsid w:val="00840DA4"/>
    <w:rsid w:val="0084345D"/>
    <w:rsid w:val="00844FC2"/>
    <w:rsid w:val="00845482"/>
    <w:rsid w:val="00846F7B"/>
    <w:rsid w:val="0084739C"/>
    <w:rsid w:val="00851452"/>
    <w:rsid w:val="00851FAA"/>
    <w:rsid w:val="00854EB6"/>
    <w:rsid w:val="00855B60"/>
    <w:rsid w:val="00857413"/>
    <w:rsid w:val="00860F4D"/>
    <w:rsid w:val="00862739"/>
    <w:rsid w:val="008825A8"/>
    <w:rsid w:val="008873A3"/>
    <w:rsid w:val="008875A7"/>
    <w:rsid w:val="00894E02"/>
    <w:rsid w:val="008976FB"/>
    <w:rsid w:val="008A26F5"/>
    <w:rsid w:val="008A2716"/>
    <w:rsid w:val="008A2855"/>
    <w:rsid w:val="008A65E2"/>
    <w:rsid w:val="008A7700"/>
    <w:rsid w:val="008A7E90"/>
    <w:rsid w:val="008B06E2"/>
    <w:rsid w:val="008B57E2"/>
    <w:rsid w:val="008B640C"/>
    <w:rsid w:val="008B6CCC"/>
    <w:rsid w:val="008B6FCD"/>
    <w:rsid w:val="008C1D2E"/>
    <w:rsid w:val="008C2738"/>
    <w:rsid w:val="008C3906"/>
    <w:rsid w:val="008C3A43"/>
    <w:rsid w:val="008C52B0"/>
    <w:rsid w:val="008D0B66"/>
    <w:rsid w:val="008D0E1A"/>
    <w:rsid w:val="008D19B0"/>
    <w:rsid w:val="008D1B3B"/>
    <w:rsid w:val="008D3180"/>
    <w:rsid w:val="008D3F50"/>
    <w:rsid w:val="008D5D46"/>
    <w:rsid w:val="008E249F"/>
    <w:rsid w:val="008E2EA4"/>
    <w:rsid w:val="008E3C65"/>
    <w:rsid w:val="008E6E62"/>
    <w:rsid w:val="008F174A"/>
    <w:rsid w:val="008F197C"/>
    <w:rsid w:val="008F295D"/>
    <w:rsid w:val="008F6454"/>
    <w:rsid w:val="008F7175"/>
    <w:rsid w:val="0090014F"/>
    <w:rsid w:val="00904CE5"/>
    <w:rsid w:val="00905B27"/>
    <w:rsid w:val="00912BC9"/>
    <w:rsid w:val="009133FD"/>
    <w:rsid w:val="009154F8"/>
    <w:rsid w:val="0092246A"/>
    <w:rsid w:val="00922F00"/>
    <w:rsid w:val="00931091"/>
    <w:rsid w:val="00931B76"/>
    <w:rsid w:val="009323CE"/>
    <w:rsid w:val="00934B44"/>
    <w:rsid w:val="00935500"/>
    <w:rsid w:val="00936846"/>
    <w:rsid w:val="009377A5"/>
    <w:rsid w:val="009405F8"/>
    <w:rsid w:val="009469C3"/>
    <w:rsid w:val="00957245"/>
    <w:rsid w:val="009605EC"/>
    <w:rsid w:val="00963CA2"/>
    <w:rsid w:val="009713ED"/>
    <w:rsid w:val="0097218B"/>
    <w:rsid w:val="00976587"/>
    <w:rsid w:val="00976FB2"/>
    <w:rsid w:val="00977AFA"/>
    <w:rsid w:val="00980680"/>
    <w:rsid w:val="0098135A"/>
    <w:rsid w:val="009838E6"/>
    <w:rsid w:val="00987254"/>
    <w:rsid w:val="009879A9"/>
    <w:rsid w:val="00990141"/>
    <w:rsid w:val="009A5EAE"/>
    <w:rsid w:val="009A704A"/>
    <w:rsid w:val="009B191C"/>
    <w:rsid w:val="009B60A8"/>
    <w:rsid w:val="009C3A35"/>
    <w:rsid w:val="009C455D"/>
    <w:rsid w:val="009C4E5D"/>
    <w:rsid w:val="009D058B"/>
    <w:rsid w:val="009D5766"/>
    <w:rsid w:val="009D6189"/>
    <w:rsid w:val="009D63BA"/>
    <w:rsid w:val="009E04AB"/>
    <w:rsid w:val="009E22D1"/>
    <w:rsid w:val="009E25A0"/>
    <w:rsid w:val="009E2F4A"/>
    <w:rsid w:val="009E7494"/>
    <w:rsid w:val="009F553E"/>
    <w:rsid w:val="009F5F53"/>
    <w:rsid w:val="009F6A59"/>
    <w:rsid w:val="00A024F8"/>
    <w:rsid w:val="00A03CCC"/>
    <w:rsid w:val="00A043AB"/>
    <w:rsid w:val="00A05C02"/>
    <w:rsid w:val="00A05DB7"/>
    <w:rsid w:val="00A061C4"/>
    <w:rsid w:val="00A073D4"/>
    <w:rsid w:val="00A100DB"/>
    <w:rsid w:val="00A16392"/>
    <w:rsid w:val="00A17EDF"/>
    <w:rsid w:val="00A23937"/>
    <w:rsid w:val="00A2533A"/>
    <w:rsid w:val="00A2588D"/>
    <w:rsid w:val="00A25C78"/>
    <w:rsid w:val="00A27F97"/>
    <w:rsid w:val="00A344D8"/>
    <w:rsid w:val="00A3526A"/>
    <w:rsid w:val="00A4673F"/>
    <w:rsid w:val="00A50796"/>
    <w:rsid w:val="00A51356"/>
    <w:rsid w:val="00A56E6B"/>
    <w:rsid w:val="00A6621E"/>
    <w:rsid w:val="00A7457D"/>
    <w:rsid w:val="00A8615E"/>
    <w:rsid w:val="00A87926"/>
    <w:rsid w:val="00A95EBB"/>
    <w:rsid w:val="00A9675D"/>
    <w:rsid w:val="00A97FE5"/>
    <w:rsid w:val="00AA1AF9"/>
    <w:rsid w:val="00AA2EDA"/>
    <w:rsid w:val="00AA557B"/>
    <w:rsid w:val="00AB1A01"/>
    <w:rsid w:val="00AB1DF7"/>
    <w:rsid w:val="00AB2A61"/>
    <w:rsid w:val="00AB5A9A"/>
    <w:rsid w:val="00AC135D"/>
    <w:rsid w:val="00AC3685"/>
    <w:rsid w:val="00AC5230"/>
    <w:rsid w:val="00AD008F"/>
    <w:rsid w:val="00AD12B1"/>
    <w:rsid w:val="00AD58CC"/>
    <w:rsid w:val="00AD6194"/>
    <w:rsid w:val="00AE0A23"/>
    <w:rsid w:val="00AE14EE"/>
    <w:rsid w:val="00AE3CA3"/>
    <w:rsid w:val="00AF1B31"/>
    <w:rsid w:val="00AF4213"/>
    <w:rsid w:val="00B001FB"/>
    <w:rsid w:val="00B002DB"/>
    <w:rsid w:val="00B0110B"/>
    <w:rsid w:val="00B0298B"/>
    <w:rsid w:val="00B03E03"/>
    <w:rsid w:val="00B070C2"/>
    <w:rsid w:val="00B160FE"/>
    <w:rsid w:val="00B1660C"/>
    <w:rsid w:val="00B16644"/>
    <w:rsid w:val="00B25E5D"/>
    <w:rsid w:val="00B30D0C"/>
    <w:rsid w:val="00B4291F"/>
    <w:rsid w:val="00B4296E"/>
    <w:rsid w:val="00B439B8"/>
    <w:rsid w:val="00B43CB4"/>
    <w:rsid w:val="00B44FBC"/>
    <w:rsid w:val="00B47207"/>
    <w:rsid w:val="00B47465"/>
    <w:rsid w:val="00B540C4"/>
    <w:rsid w:val="00B61C6D"/>
    <w:rsid w:val="00B622B0"/>
    <w:rsid w:val="00B648A9"/>
    <w:rsid w:val="00B64CD5"/>
    <w:rsid w:val="00B67BCF"/>
    <w:rsid w:val="00B806A6"/>
    <w:rsid w:val="00B83220"/>
    <w:rsid w:val="00B83C93"/>
    <w:rsid w:val="00B8452F"/>
    <w:rsid w:val="00B93392"/>
    <w:rsid w:val="00B9586F"/>
    <w:rsid w:val="00BA057D"/>
    <w:rsid w:val="00BA2B2F"/>
    <w:rsid w:val="00BA2B85"/>
    <w:rsid w:val="00BA4E62"/>
    <w:rsid w:val="00BA6901"/>
    <w:rsid w:val="00BB05B6"/>
    <w:rsid w:val="00BB197D"/>
    <w:rsid w:val="00BC33E1"/>
    <w:rsid w:val="00BC5EE0"/>
    <w:rsid w:val="00BD6117"/>
    <w:rsid w:val="00BE0358"/>
    <w:rsid w:val="00BE0E8F"/>
    <w:rsid w:val="00BE126D"/>
    <w:rsid w:val="00BE1FA8"/>
    <w:rsid w:val="00BE2A02"/>
    <w:rsid w:val="00BE5675"/>
    <w:rsid w:val="00BF1F06"/>
    <w:rsid w:val="00BF252D"/>
    <w:rsid w:val="00BF324C"/>
    <w:rsid w:val="00BF589B"/>
    <w:rsid w:val="00C029C1"/>
    <w:rsid w:val="00C11B7F"/>
    <w:rsid w:val="00C149CF"/>
    <w:rsid w:val="00C25F7B"/>
    <w:rsid w:val="00C27797"/>
    <w:rsid w:val="00C305EA"/>
    <w:rsid w:val="00C306FF"/>
    <w:rsid w:val="00C35746"/>
    <w:rsid w:val="00C361A3"/>
    <w:rsid w:val="00C36D5C"/>
    <w:rsid w:val="00C4230D"/>
    <w:rsid w:val="00C42978"/>
    <w:rsid w:val="00C50339"/>
    <w:rsid w:val="00C5115E"/>
    <w:rsid w:val="00C5286D"/>
    <w:rsid w:val="00C53225"/>
    <w:rsid w:val="00C54209"/>
    <w:rsid w:val="00C55CF5"/>
    <w:rsid w:val="00C6021C"/>
    <w:rsid w:val="00C63B25"/>
    <w:rsid w:val="00C668D6"/>
    <w:rsid w:val="00C67990"/>
    <w:rsid w:val="00C67D8B"/>
    <w:rsid w:val="00C72FD3"/>
    <w:rsid w:val="00C7401F"/>
    <w:rsid w:val="00C803B0"/>
    <w:rsid w:val="00C85AFD"/>
    <w:rsid w:val="00C86BF7"/>
    <w:rsid w:val="00C95844"/>
    <w:rsid w:val="00C95AD8"/>
    <w:rsid w:val="00CA322D"/>
    <w:rsid w:val="00CA5097"/>
    <w:rsid w:val="00CA536F"/>
    <w:rsid w:val="00CA70CA"/>
    <w:rsid w:val="00CB0143"/>
    <w:rsid w:val="00CB3143"/>
    <w:rsid w:val="00CB659D"/>
    <w:rsid w:val="00CC6ABD"/>
    <w:rsid w:val="00CD25BF"/>
    <w:rsid w:val="00CD291D"/>
    <w:rsid w:val="00CD2EA3"/>
    <w:rsid w:val="00CD3E75"/>
    <w:rsid w:val="00CD41D9"/>
    <w:rsid w:val="00CD6C03"/>
    <w:rsid w:val="00CD75FD"/>
    <w:rsid w:val="00CE2594"/>
    <w:rsid w:val="00CE46DC"/>
    <w:rsid w:val="00CF08CA"/>
    <w:rsid w:val="00CF4C4A"/>
    <w:rsid w:val="00D002CE"/>
    <w:rsid w:val="00D060F6"/>
    <w:rsid w:val="00D06560"/>
    <w:rsid w:val="00D10DEE"/>
    <w:rsid w:val="00D214A4"/>
    <w:rsid w:val="00D22104"/>
    <w:rsid w:val="00D27D24"/>
    <w:rsid w:val="00D32F9F"/>
    <w:rsid w:val="00D33740"/>
    <w:rsid w:val="00D43011"/>
    <w:rsid w:val="00D467F8"/>
    <w:rsid w:val="00D52876"/>
    <w:rsid w:val="00D52E35"/>
    <w:rsid w:val="00D530E2"/>
    <w:rsid w:val="00D55D1F"/>
    <w:rsid w:val="00D60063"/>
    <w:rsid w:val="00D615DF"/>
    <w:rsid w:val="00D63A6E"/>
    <w:rsid w:val="00D6569C"/>
    <w:rsid w:val="00D67C09"/>
    <w:rsid w:val="00D67FCC"/>
    <w:rsid w:val="00D70E8C"/>
    <w:rsid w:val="00D723E5"/>
    <w:rsid w:val="00D72657"/>
    <w:rsid w:val="00D75F7D"/>
    <w:rsid w:val="00D846D7"/>
    <w:rsid w:val="00D8522D"/>
    <w:rsid w:val="00D85401"/>
    <w:rsid w:val="00D85985"/>
    <w:rsid w:val="00D86661"/>
    <w:rsid w:val="00D86B18"/>
    <w:rsid w:val="00D87037"/>
    <w:rsid w:val="00D93F07"/>
    <w:rsid w:val="00DA179C"/>
    <w:rsid w:val="00DA3BE9"/>
    <w:rsid w:val="00DB203C"/>
    <w:rsid w:val="00DB5555"/>
    <w:rsid w:val="00DC75F7"/>
    <w:rsid w:val="00DD00A5"/>
    <w:rsid w:val="00DD748A"/>
    <w:rsid w:val="00DE012C"/>
    <w:rsid w:val="00DE07D0"/>
    <w:rsid w:val="00DE0F54"/>
    <w:rsid w:val="00DE2C1D"/>
    <w:rsid w:val="00DE59E8"/>
    <w:rsid w:val="00DE5F4E"/>
    <w:rsid w:val="00DF1952"/>
    <w:rsid w:val="00DF6FBB"/>
    <w:rsid w:val="00DF7BB3"/>
    <w:rsid w:val="00E00879"/>
    <w:rsid w:val="00E05AF9"/>
    <w:rsid w:val="00E07757"/>
    <w:rsid w:val="00E166D4"/>
    <w:rsid w:val="00E22669"/>
    <w:rsid w:val="00E22739"/>
    <w:rsid w:val="00E22C57"/>
    <w:rsid w:val="00E277B1"/>
    <w:rsid w:val="00E3288C"/>
    <w:rsid w:val="00E33367"/>
    <w:rsid w:val="00E34A2B"/>
    <w:rsid w:val="00E34F79"/>
    <w:rsid w:val="00E40340"/>
    <w:rsid w:val="00E41467"/>
    <w:rsid w:val="00E42373"/>
    <w:rsid w:val="00E427F5"/>
    <w:rsid w:val="00E42D32"/>
    <w:rsid w:val="00E434BB"/>
    <w:rsid w:val="00E4410F"/>
    <w:rsid w:val="00E51BB4"/>
    <w:rsid w:val="00E56E9F"/>
    <w:rsid w:val="00E57AD3"/>
    <w:rsid w:val="00E62EC6"/>
    <w:rsid w:val="00E639DF"/>
    <w:rsid w:val="00E7167C"/>
    <w:rsid w:val="00E75D1E"/>
    <w:rsid w:val="00E76050"/>
    <w:rsid w:val="00E7679B"/>
    <w:rsid w:val="00E82B4D"/>
    <w:rsid w:val="00E82D45"/>
    <w:rsid w:val="00E833E9"/>
    <w:rsid w:val="00E8529F"/>
    <w:rsid w:val="00E93ECE"/>
    <w:rsid w:val="00E93F65"/>
    <w:rsid w:val="00E94BEC"/>
    <w:rsid w:val="00E95A83"/>
    <w:rsid w:val="00E9667E"/>
    <w:rsid w:val="00EA2187"/>
    <w:rsid w:val="00EA5944"/>
    <w:rsid w:val="00EB08D5"/>
    <w:rsid w:val="00EB1BF9"/>
    <w:rsid w:val="00EB64B3"/>
    <w:rsid w:val="00EB6991"/>
    <w:rsid w:val="00EC4630"/>
    <w:rsid w:val="00EC5E6D"/>
    <w:rsid w:val="00EC67A7"/>
    <w:rsid w:val="00ED2DDA"/>
    <w:rsid w:val="00ED4204"/>
    <w:rsid w:val="00ED4444"/>
    <w:rsid w:val="00ED58CA"/>
    <w:rsid w:val="00ED6572"/>
    <w:rsid w:val="00EE3729"/>
    <w:rsid w:val="00EE426D"/>
    <w:rsid w:val="00EE6BF1"/>
    <w:rsid w:val="00EE7F92"/>
    <w:rsid w:val="00EF06D3"/>
    <w:rsid w:val="00EF1CAB"/>
    <w:rsid w:val="00F00CA8"/>
    <w:rsid w:val="00F038C8"/>
    <w:rsid w:val="00F1011C"/>
    <w:rsid w:val="00F11805"/>
    <w:rsid w:val="00F14FED"/>
    <w:rsid w:val="00F15186"/>
    <w:rsid w:val="00F16352"/>
    <w:rsid w:val="00F17214"/>
    <w:rsid w:val="00F20833"/>
    <w:rsid w:val="00F22B8F"/>
    <w:rsid w:val="00F23409"/>
    <w:rsid w:val="00F266FE"/>
    <w:rsid w:val="00F26AA4"/>
    <w:rsid w:val="00F31815"/>
    <w:rsid w:val="00F33B37"/>
    <w:rsid w:val="00F33E76"/>
    <w:rsid w:val="00F4471D"/>
    <w:rsid w:val="00F455B7"/>
    <w:rsid w:val="00F46CCB"/>
    <w:rsid w:val="00F525B0"/>
    <w:rsid w:val="00F529A7"/>
    <w:rsid w:val="00F546C6"/>
    <w:rsid w:val="00F54E6A"/>
    <w:rsid w:val="00F57305"/>
    <w:rsid w:val="00F57B49"/>
    <w:rsid w:val="00F61D2C"/>
    <w:rsid w:val="00F6414E"/>
    <w:rsid w:val="00F643F6"/>
    <w:rsid w:val="00F66614"/>
    <w:rsid w:val="00F67725"/>
    <w:rsid w:val="00F70051"/>
    <w:rsid w:val="00F701A7"/>
    <w:rsid w:val="00F71160"/>
    <w:rsid w:val="00F76D62"/>
    <w:rsid w:val="00F807E1"/>
    <w:rsid w:val="00F808A4"/>
    <w:rsid w:val="00F80DB1"/>
    <w:rsid w:val="00F8212E"/>
    <w:rsid w:val="00F8661F"/>
    <w:rsid w:val="00F874B9"/>
    <w:rsid w:val="00F95AEB"/>
    <w:rsid w:val="00F978BA"/>
    <w:rsid w:val="00F97F98"/>
    <w:rsid w:val="00FA127F"/>
    <w:rsid w:val="00FA2151"/>
    <w:rsid w:val="00FA52ED"/>
    <w:rsid w:val="00FB0366"/>
    <w:rsid w:val="00FB30E8"/>
    <w:rsid w:val="00FB4834"/>
    <w:rsid w:val="00FB76E8"/>
    <w:rsid w:val="00FC23C7"/>
    <w:rsid w:val="00FC7019"/>
    <w:rsid w:val="00FD3F50"/>
    <w:rsid w:val="00FD5BF7"/>
    <w:rsid w:val="00FE042C"/>
    <w:rsid w:val="00FE6F7F"/>
    <w:rsid w:val="00FE7C59"/>
    <w:rsid w:val="00FE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0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506B"/>
    <w:rPr>
      <w:rFonts w:cs="Times New Roman"/>
    </w:rPr>
  </w:style>
  <w:style w:type="paragraph" w:styleId="Footer">
    <w:name w:val="footer"/>
    <w:basedOn w:val="Normal"/>
    <w:link w:val="FooterChar"/>
    <w:uiPriority w:val="99"/>
    <w:rsid w:val="004950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506B"/>
    <w:rPr>
      <w:rFonts w:cs="Times New Roman"/>
    </w:rPr>
  </w:style>
  <w:style w:type="paragraph" w:styleId="BalloonText">
    <w:name w:val="Balloon Text"/>
    <w:basedOn w:val="Normal"/>
    <w:link w:val="BalloonTextChar"/>
    <w:uiPriority w:val="99"/>
    <w:semiHidden/>
    <w:rsid w:val="0049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06B"/>
    <w:rPr>
      <w:rFonts w:ascii="Tahoma" w:hAnsi="Tahoma" w:cs="Tahoma"/>
      <w:sz w:val="16"/>
      <w:szCs w:val="16"/>
    </w:rPr>
  </w:style>
  <w:style w:type="character" w:styleId="Hyperlink">
    <w:name w:val="Hyperlink"/>
    <w:basedOn w:val="DefaultParagraphFont"/>
    <w:uiPriority w:val="99"/>
    <w:rsid w:val="004D18F0"/>
    <w:rPr>
      <w:rFonts w:cs="Times New Roman"/>
      <w:color w:val="0000FF"/>
      <w:u w:val="single"/>
    </w:rPr>
  </w:style>
  <w:style w:type="character" w:styleId="FollowedHyperlink">
    <w:name w:val="FollowedHyperlink"/>
    <w:basedOn w:val="DefaultParagraphFont"/>
    <w:uiPriority w:val="99"/>
    <w:semiHidden/>
    <w:rsid w:val="002553B8"/>
    <w:rPr>
      <w:rFonts w:cs="Times New Roman"/>
      <w:color w:val="800080"/>
      <w:u w:val="single"/>
    </w:rPr>
  </w:style>
  <w:style w:type="paragraph" w:styleId="ListParagraph">
    <w:name w:val="List Paragraph"/>
    <w:basedOn w:val="Normal"/>
    <w:uiPriority w:val="34"/>
    <w:qFormat/>
    <w:rsid w:val="007875B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C3A43"/>
    <w:rPr>
      <w:sz w:val="16"/>
      <w:szCs w:val="16"/>
    </w:rPr>
  </w:style>
  <w:style w:type="paragraph" w:styleId="CommentText">
    <w:name w:val="annotation text"/>
    <w:basedOn w:val="Normal"/>
    <w:link w:val="CommentTextChar"/>
    <w:uiPriority w:val="99"/>
    <w:semiHidden/>
    <w:unhideWhenUsed/>
    <w:rsid w:val="008C3A43"/>
    <w:rPr>
      <w:sz w:val="20"/>
      <w:szCs w:val="20"/>
    </w:rPr>
  </w:style>
  <w:style w:type="character" w:customStyle="1" w:styleId="CommentTextChar">
    <w:name w:val="Comment Text Char"/>
    <w:basedOn w:val="DefaultParagraphFont"/>
    <w:link w:val="CommentText"/>
    <w:uiPriority w:val="99"/>
    <w:semiHidden/>
    <w:rsid w:val="008C3A43"/>
    <w:rPr>
      <w:sz w:val="20"/>
      <w:szCs w:val="20"/>
    </w:rPr>
  </w:style>
  <w:style w:type="paragraph" w:styleId="CommentSubject">
    <w:name w:val="annotation subject"/>
    <w:basedOn w:val="CommentText"/>
    <w:next w:val="CommentText"/>
    <w:link w:val="CommentSubjectChar"/>
    <w:uiPriority w:val="99"/>
    <w:semiHidden/>
    <w:unhideWhenUsed/>
    <w:rsid w:val="008C3A43"/>
    <w:rPr>
      <w:b/>
      <w:bCs/>
    </w:rPr>
  </w:style>
  <w:style w:type="character" w:customStyle="1" w:styleId="CommentSubjectChar">
    <w:name w:val="Comment Subject Char"/>
    <w:basedOn w:val="CommentTextChar"/>
    <w:link w:val="CommentSubject"/>
    <w:uiPriority w:val="99"/>
    <w:semiHidden/>
    <w:rsid w:val="008C3A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50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506B"/>
    <w:rPr>
      <w:rFonts w:cs="Times New Roman"/>
    </w:rPr>
  </w:style>
  <w:style w:type="paragraph" w:styleId="Footer">
    <w:name w:val="footer"/>
    <w:basedOn w:val="Normal"/>
    <w:link w:val="FooterChar"/>
    <w:uiPriority w:val="99"/>
    <w:rsid w:val="004950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506B"/>
    <w:rPr>
      <w:rFonts w:cs="Times New Roman"/>
    </w:rPr>
  </w:style>
  <w:style w:type="paragraph" w:styleId="BalloonText">
    <w:name w:val="Balloon Text"/>
    <w:basedOn w:val="Normal"/>
    <w:link w:val="BalloonTextChar"/>
    <w:uiPriority w:val="99"/>
    <w:semiHidden/>
    <w:rsid w:val="0049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06B"/>
    <w:rPr>
      <w:rFonts w:ascii="Tahoma" w:hAnsi="Tahoma" w:cs="Tahoma"/>
      <w:sz w:val="16"/>
      <w:szCs w:val="16"/>
    </w:rPr>
  </w:style>
  <w:style w:type="character" w:styleId="Hyperlink">
    <w:name w:val="Hyperlink"/>
    <w:basedOn w:val="DefaultParagraphFont"/>
    <w:uiPriority w:val="99"/>
    <w:rsid w:val="004D18F0"/>
    <w:rPr>
      <w:rFonts w:cs="Times New Roman"/>
      <w:color w:val="0000FF"/>
      <w:u w:val="single"/>
    </w:rPr>
  </w:style>
  <w:style w:type="character" w:styleId="FollowedHyperlink">
    <w:name w:val="FollowedHyperlink"/>
    <w:basedOn w:val="DefaultParagraphFont"/>
    <w:uiPriority w:val="99"/>
    <w:semiHidden/>
    <w:rsid w:val="002553B8"/>
    <w:rPr>
      <w:rFonts w:cs="Times New Roman"/>
      <w:color w:val="800080"/>
      <w:u w:val="single"/>
    </w:rPr>
  </w:style>
  <w:style w:type="paragraph" w:styleId="ListParagraph">
    <w:name w:val="List Paragraph"/>
    <w:basedOn w:val="Normal"/>
    <w:uiPriority w:val="34"/>
    <w:qFormat/>
    <w:rsid w:val="007875B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C3A43"/>
    <w:rPr>
      <w:sz w:val="16"/>
      <w:szCs w:val="16"/>
    </w:rPr>
  </w:style>
  <w:style w:type="paragraph" w:styleId="CommentText">
    <w:name w:val="annotation text"/>
    <w:basedOn w:val="Normal"/>
    <w:link w:val="CommentTextChar"/>
    <w:uiPriority w:val="99"/>
    <w:semiHidden/>
    <w:unhideWhenUsed/>
    <w:rsid w:val="008C3A43"/>
    <w:rPr>
      <w:sz w:val="20"/>
      <w:szCs w:val="20"/>
    </w:rPr>
  </w:style>
  <w:style w:type="character" w:customStyle="1" w:styleId="CommentTextChar">
    <w:name w:val="Comment Text Char"/>
    <w:basedOn w:val="DefaultParagraphFont"/>
    <w:link w:val="CommentText"/>
    <w:uiPriority w:val="99"/>
    <w:semiHidden/>
    <w:rsid w:val="008C3A43"/>
    <w:rPr>
      <w:sz w:val="20"/>
      <w:szCs w:val="20"/>
    </w:rPr>
  </w:style>
  <w:style w:type="paragraph" w:styleId="CommentSubject">
    <w:name w:val="annotation subject"/>
    <w:basedOn w:val="CommentText"/>
    <w:next w:val="CommentText"/>
    <w:link w:val="CommentSubjectChar"/>
    <w:uiPriority w:val="99"/>
    <w:semiHidden/>
    <w:unhideWhenUsed/>
    <w:rsid w:val="008C3A43"/>
    <w:rPr>
      <w:b/>
      <w:bCs/>
    </w:rPr>
  </w:style>
  <w:style w:type="character" w:customStyle="1" w:styleId="CommentSubjectChar">
    <w:name w:val="Comment Subject Char"/>
    <w:basedOn w:val="CommentTextChar"/>
    <w:link w:val="CommentSubject"/>
    <w:uiPriority w:val="99"/>
    <w:semiHidden/>
    <w:rsid w:val="008C3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eresources.worldbank.org/EXTSAFEPOL/Resources/584434-1306431390058/EFGGenderMay16Attendees.pdf" TargetMode="External"/><Relationship Id="rId5" Type="http://schemas.openxmlformats.org/officeDocument/2006/relationships/webSettings" Target="webSettings.xml"/><Relationship Id="rId10" Type="http://schemas.openxmlformats.org/officeDocument/2006/relationships/hyperlink" Target="http://siteresources.worldbank.org/EXTSAFEPOL/Resources/584434-1306431390058/SafeguardExtFocusGroupTOR.pdf" TargetMode="External"/><Relationship Id="rId4" Type="http://schemas.openxmlformats.org/officeDocument/2006/relationships/settings" Target="settings.xml"/><Relationship Id="rId9" Type="http://schemas.openxmlformats.org/officeDocument/2006/relationships/hyperlink" Target="http://web.worldbank.org/WBSITE/EXTERNAL/PROJECTS/EXTPOLICIES/EXTSAFEPOL/0,,contentMDK:23275156~pagePK:64168445~piPK:64168309~theSitePK:584435,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WB451733</dc:creator>
  <cp:lastModifiedBy>Jennifer Chato</cp:lastModifiedBy>
  <cp:revision>2</cp:revision>
  <dcterms:created xsi:type="dcterms:W3CDTF">2013-06-27T13:07:00Z</dcterms:created>
  <dcterms:modified xsi:type="dcterms:W3CDTF">2013-06-27T13:07:00Z</dcterms:modified>
</cp:coreProperties>
</file>