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A4" w:rsidRPr="009D37B0" w:rsidRDefault="003B513E" w:rsidP="00134C70">
      <w:pPr>
        <w:spacing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2266315" cy="549910"/>
            <wp:effectExtent l="0" t="0" r="635" b="254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315" cy="549910"/>
                    </a:xfrm>
                    <a:prstGeom prst="rect">
                      <a:avLst/>
                    </a:prstGeom>
                    <a:noFill/>
                    <a:ln>
                      <a:noFill/>
                    </a:ln>
                  </pic:spPr>
                </pic:pic>
              </a:graphicData>
            </a:graphic>
          </wp:inline>
        </w:drawing>
      </w:r>
      <w:r>
        <w:rPr>
          <w:rFonts w:asciiTheme="minorHAnsi" w:hAnsiTheme="minorHAnsi" w:cstheme="minorHAnsi"/>
          <w:noProof/>
          <w:sz w:val="24"/>
          <w:szCs w:val="24"/>
        </w:rPr>
        <w:drawing>
          <wp:inline distT="0" distB="0" distL="0" distR="0">
            <wp:extent cx="2212975" cy="549910"/>
            <wp:effectExtent l="0" t="0" r="0" b="2540"/>
            <wp:docPr id="2" name="Picture 3"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onesia Ri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975" cy="549910"/>
                    </a:xfrm>
                    <a:prstGeom prst="rect">
                      <a:avLst/>
                    </a:prstGeom>
                    <a:noFill/>
                    <a:ln>
                      <a:noFill/>
                    </a:ln>
                  </pic:spPr>
                </pic:pic>
              </a:graphicData>
            </a:graphic>
          </wp:inline>
        </w:drawing>
      </w:r>
    </w:p>
    <w:p w:rsidR="00BF53B7" w:rsidRPr="009D37B0" w:rsidRDefault="00BF53B7" w:rsidP="00BF53B7">
      <w:pPr>
        <w:suppressAutoHyphens/>
        <w:spacing w:after="120" w:line="100" w:lineRule="atLeast"/>
        <w:jc w:val="center"/>
        <w:rPr>
          <w:rFonts w:asciiTheme="minorHAnsi" w:hAnsiTheme="minorHAnsi" w:cstheme="minorHAnsi"/>
          <w:b/>
          <w:color w:val="365F91"/>
          <w:spacing w:val="5"/>
          <w:kern w:val="28"/>
          <w:sz w:val="24"/>
        </w:rPr>
      </w:pPr>
      <w:r w:rsidRPr="009D37B0">
        <w:rPr>
          <w:rFonts w:asciiTheme="minorHAnsi" w:hAnsiTheme="minorHAnsi" w:cstheme="minorHAnsi"/>
          <w:b/>
          <w:color w:val="365F91"/>
          <w:spacing w:val="5"/>
          <w:kern w:val="28"/>
          <w:sz w:val="24"/>
        </w:rPr>
        <w:t xml:space="preserve">The World Bank </w:t>
      </w:r>
    </w:p>
    <w:p w:rsidR="00BF53B7" w:rsidRPr="00E2280E" w:rsidRDefault="00E2280E" w:rsidP="00BF53B7">
      <w:pPr>
        <w:suppressAutoHyphens/>
        <w:spacing w:after="120" w:line="100" w:lineRule="atLeast"/>
        <w:jc w:val="center"/>
        <w:rPr>
          <w:rFonts w:asciiTheme="minorHAnsi" w:hAnsiTheme="minorHAnsi" w:cstheme="minorHAnsi"/>
          <w:b/>
          <w:color w:val="365F91"/>
          <w:kern w:val="1"/>
          <w:sz w:val="28"/>
          <w:lang w:val="en-GB"/>
        </w:rPr>
      </w:pPr>
      <w:r w:rsidRPr="00E2280E">
        <w:rPr>
          <w:rFonts w:asciiTheme="minorHAnsi" w:hAnsiTheme="minorHAnsi" w:cstheme="minorHAnsi"/>
          <w:b/>
          <w:color w:val="365F91"/>
          <w:kern w:val="1"/>
          <w:sz w:val="28"/>
          <w:lang w:val="en-GB"/>
        </w:rPr>
        <w:t>REVIEW AND UPDATE OF THE WORLD BANK’S ENVIRONMENTAL AND SOCIAL SAFEGUARD POLICIES</w:t>
      </w:r>
    </w:p>
    <w:p w:rsidR="009D37B0" w:rsidRPr="009D37B0" w:rsidRDefault="00772509" w:rsidP="001516FC">
      <w:pPr>
        <w:suppressAutoHyphens/>
        <w:spacing w:after="0" w:line="240" w:lineRule="auto"/>
        <w:jc w:val="center"/>
        <w:rPr>
          <w:rFonts w:asciiTheme="minorHAnsi" w:hAnsiTheme="minorHAnsi" w:cstheme="minorHAnsi"/>
          <w:b/>
          <w:color w:val="365F91"/>
          <w:kern w:val="1"/>
          <w:sz w:val="24"/>
          <w:lang w:val="en-GB"/>
        </w:rPr>
      </w:pPr>
      <w:r w:rsidRPr="009D37B0">
        <w:rPr>
          <w:rFonts w:asciiTheme="minorHAnsi" w:hAnsiTheme="minorHAnsi" w:cstheme="minorHAnsi"/>
          <w:b/>
          <w:color w:val="365F91"/>
          <w:kern w:val="1"/>
          <w:sz w:val="24"/>
          <w:lang w:val="en-GB"/>
        </w:rPr>
        <w:t>Multi</w:t>
      </w:r>
      <w:r w:rsidR="00594973" w:rsidRPr="009D37B0">
        <w:rPr>
          <w:rFonts w:asciiTheme="minorHAnsi" w:hAnsiTheme="minorHAnsi" w:cstheme="minorHAnsi"/>
          <w:b/>
          <w:color w:val="365F91"/>
          <w:kern w:val="1"/>
          <w:sz w:val="24"/>
          <w:lang w:val="en-GB"/>
        </w:rPr>
        <w:t>-</w:t>
      </w:r>
      <w:r w:rsidRPr="009D37B0">
        <w:rPr>
          <w:rFonts w:asciiTheme="minorHAnsi" w:hAnsiTheme="minorHAnsi" w:cstheme="minorHAnsi"/>
          <w:b/>
          <w:color w:val="365F91"/>
          <w:kern w:val="1"/>
          <w:sz w:val="24"/>
          <w:lang w:val="en-GB"/>
        </w:rPr>
        <w:t xml:space="preserve">stakeholder </w:t>
      </w:r>
      <w:r w:rsidR="00624CB6" w:rsidRPr="009D37B0">
        <w:rPr>
          <w:rFonts w:asciiTheme="minorHAnsi" w:hAnsiTheme="minorHAnsi" w:cstheme="minorHAnsi"/>
          <w:b/>
          <w:color w:val="365F91"/>
          <w:kern w:val="1"/>
          <w:sz w:val="24"/>
          <w:lang w:val="en-GB"/>
        </w:rPr>
        <w:t>Safeguard</w:t>
      </w:r>
      <w:r w:rsidRPr="009D37B0">
        <w:rPr>
          <w:rFonts w:asciiTheme="minorHAnsi" w:hAnsiTheme="minorHAnsi" w:cstheme="minorHAnsi"/>
          <w:b/>
          <w:color w:val="365F91"/>
          <w:kern w:val="1"/>
          <w:sz w:val="24"/>
          <w:lang w:val="en-GB"/>
        </w:rPr>
        <w:t>s</w:t>
      </w:r>
      <w:r w:rsidR="009D37B0" w:rsidRPr="009D37B0">
        <w:rPr>
          <w:rFonts w:asciiTheme="minorHAnsi" w:hAnsiTheme="minorHAnsi" w:cstheme="minorHAnsi"/>
          <w:b/>
          <w:color w:val="365F91"/>
          <w:kern w:val="1"/>
          <w:sz w:val="24"/>
          <w:lang w:val="en-GB"/>
        </w:rPr>
        <w:t xml:space="preserve"> Consultation</w:t>
      </w:r>
    </w:p>
    <w:p w:rsidR="002B6717" w:rsidRPr="009D37B0" w:rsidRDefault="001516FC" w:rsidP="001516FC">
      <w:pPr>
        <w:suppressAutoHyphens/>
        <w:spacing w:after="0" w:line="240" w:lineRule="auto"/>
        <w:jc w:val="center"/>
        <w:rPr>
          <w:rFonts w:asciiTheme="minorHAnsi" w:hAnsiTheme="minorHAnsi" w:cstheme="minorHAnsi"/>
          <w:b/>
          <w:color w:val="365F91"/>
          <w:kern w:val="1"/>
          <w:sz w:val="24"/>
          <w:lang w:val="en-GB"/>
        </w:rPr>
      </w:pPr>
      <w:r w:rsidRPr="009D37B0">
        <w:rPr>
          <w:rFonts w:asciiTheme="minorHAnsi" w:hAnsiTheme="minorHAnsi" w:cstheme="minorHAnsi"/>
          <w:b/>
          <w:color w:val="365F91"/>
          <w:kern w:val="1"/>
          <w:sz w:val="24"/>
          <w:lang w:val="en-GB"/>
        </w:rPr>
        <w:t>London</w:t>
      </w:r>
      <w:r w:rsidR="00C02547" w:rsidRPr="009D37B0">
        <w:rPr>
          <w:rFonts w:asciiTheme="minorHAnsi" w:hAnsiTheme="minorHAnsi" w:cstheme="minorHAnsi"/>
          <w:b/>
          <w:color w:val="365F91"/>
          <w:kern w:val="1"/>
          <w:sz w:val="24"/>
          <w:lang w:val="en-GB"/>
        </w:rPr>
        <w:t>, March 7, 2013</w:t>
      </w:r>
    </w:p>
    <w:p w:rsidR="00BF591E" w:rsidRDefault="00BF591E" w:rsidP="00594973">
      <w:pPr>
        <w:jc w:val="both"/>
        <w:rPr>
          <w:rFonts w:asciiTheme="minorHAnsi" w:hAnsiTheme="minorHAnsi" w:cstheme="minorHAnsi"/>
          <w:b/>
        </w:rPr>
      </w:pPr>
    </w:p>
    <w:p w:rsidR="001516FC" w:rsidRPr="003B513E" w:rsidRDefault="00FE6E20" w:rsidP="00BF591E">
      <w:pPr>
        <w:jc w:val="both"/>
        <w:rPr>
          <w:rFonts w:asciiTheme="minorHAnsi" w:hAnsiTheme="minorHAnsi" w:cstheme="minorHAnsi"/>
          <w:sz w:val="20"/>
          <w:szCs w:val="20"/>
        </w:rPr>
      </w:pPr>
      <w:r w:rsidRPr="003B513E">
        <w:rPr>
          <w:rFonts w:asciiTheme="minorHAnsi" w:hAnsiTheme="minorHAnsi" w:cstheme="minorHAnsi"/>
          <w:sz w:val="20"/>
          <w:szCs w:val="20"/>
        </w:rPr>
        <w:t>The multi-stakeholder consultation meeting was held on March 7, 2013 and facilitated by Richard Burrett (University of Cambridge Programme for Sustainability Leadership,</w:t>
      </w:r>
      <w:r>
        <w:rPr>
          <w:rFonts w:asciiTheme="minorHAnsi" w:hAnsiTheme="minorHAnsi" w:cstheme="minorHAnsi"/>
          <w:sz w:val="20"/>
          <w:szCs w:val="20"/>
        </w:rPr>
        <w:t xml:space="preserve"> </w:t>
      </w:r>
      <w:r w:rsidRPr="003B513E">
        <w:rPr>
          <w:rFonts w:asciiTheme="minorHAnsi" w:hAnsiTheme="minorHAnsi" w:cstheme="minorHAnsi"/>
          <w:sz w:val="20"/>
          <w:szCs w:val="20"/>
        </w:rPr>
        <w:t>CPSL)</w:t>
      </w:r>
      <w:r>
        <w:rPr>
          <w:rFonts w:asciiTheme="minorHAnsi" w:hAnsiTheme="minorHAnsi" w:cstheme="minorHAnsi"/>
          <w:sz w:val="20"/>
          <w:szCs w:val="20"/>
        </w:rPr>
        <w:t xml:space="preserve">. </w:t>
      </w:r>
      <w:r w:rsidR="00BF591E" w:rsidRPr="00BF591E">
        <w:rPr>
          <w:rFonts w:asciiTheme="minorHAnsi" w:hAnsiTheme="minorHAnsi" w:cstheme="minorHAnsi"/>
          <w:sz w:val="20"/>
          <w:szCs w:val="20"/>
        </w:rPr>
        <w:t>A</w:t>
      </w:r>
      <w:r w:rsidR="001516FC" w:rsidRPr="00BF591E">
        <w:rPr>
          <w:rFonts w:asciiTheme="minorHAnsi" w:hAnsiTheme="minorHAnsi" w:cstheme="minorHAnsi"/>
          <w:sz w:val="20"/>
          <w:szCs w:val="20"/>
        </w:rPr>
        <w:t>fter a presentation by the World Bank Safeguards</w:t>
      </w:r>
      <w:r w:rsidR="00C02547" w:rsidRPr="00BF591E">
        <w:rPr>
          <w:rFonts w:asciiTheme="minorHAnsi" w:hAnsiTheme="minorHAnsi" w:cstheme="minorHAnsi"/>
          <w:sz w:val="20"/>
          <w:szCs w:val="20"/>
        </w:rPr>
        <w:t xml:space="preserve"> Review</w:t>
      </w:r>
      <w:r w:rsidR="001516FC" w:rsidRPr="00BF591E">
        <w:rPr>
          <w:rFonts w:asciiTheme="minorHAnsi" w:hAnsiTheme="minorHAnsi" w:cstheme="minorHAnsi"/>
          <w:sz w:val="20"/>
          <w:szCs w:val="20"/>
        </w:rPr>
        <w:t xml:space="preserve"> Team on the background, intended scope and process for t</w:t>
      </w:r>
      <w:r w:rsidR="00684C50" w:rsidRPr="00BF591E">
        <w:rPr>
          <w:rFonts w:asciiTheme="minorHAnsi" w:hAnsiTheme="minorHAnsi" w:cstheme="minorHAnsi"/>
          <w:sz w:val="20"/>
          <w:szCs w:val="20"/>
        </w:rPr>
        <w:t>he review, the floor was o</w:t>
      </w:r>
      <w:r w:rsidR="0037078C" w:rsidRPr="00BF591E">
        <w:rPr>
          <w:rFonts w:asciiTheme="minorHAnsi" w:hAnsiTheme="minorHAnsi" w:cstheme="minorHAnsi"/>
          <w:sz w:val="20"/>
          <w:szCs w:val="20"/>
        </w:rPr>
        <w:t>pen for participants</w:t>
      </w:r>
      <w:r>
        <w:rPr>
          <w:rFonts w:asciiTheme="minorHAnsi" w:hAnsiTheme="minorHAnsi" w:cstheme="minorHAnsi"/>
          <w:sz w:val="20"/>
          <w:szCs w:val="20"/>
        </w:rPr>
        <w:t>’</w:t>
      </w:r>
      <w:r w:rsidR="0037078C" w:rsidRPr="00BF591E">
        <w:rPr>
          <w:rFonts w:asciiTheme="minorHAnsi" w:hAnsiTheme="minorHAnsi" w:cstheme="minorHAnsi"/>
          <w:sz w:val="20"/>
          <w:szCs w:val="20"/>
        </w:rPr>
        <w:t xml:space="preserve"> questions and comments.  </w:t>
      </w:r>
    </w:p>
    <w:p w:rsidR="00BF591E" w:rsidRPr="00BF591E" w:rsidRDefault="00BF591E" w:rsidP="00BF591E">
      <w:pPr>
        <w:tabs>
          <w:tab w:val="left" w:pos="3600"/>
          <w:tab w:val="left" w:pos="3780"/>
        </w:tabs>
        <w:spacing w:after="0" w:line="360" w:lineRule="auto"/>
        <w:jc w:val="center"/>
        <w:rPr>
          <w:rFonts w:asciiTheme="minorHAnsi" w:hAnsiTheme="minorHAnsi" w:cstheme="minorHAnsi"/>
          <w:b/>
          <w:color w:val="244061" w:themeColor="accent1" w:themeShade="80"/>
          <w:sz w:val="28"/>
          <w:szCs w:val="28"/>
        </w:rPr>
      </w:pPr>
      <w:r w:rsidRPr="00BF591E">
        <w:rPr>
          <w:rFonts w:asciiTheme="minorHAnsi" w:hAnsiTheme="minorHAnsi" w:cstheme="minorHAnsi"/>
          <w:b/>
          <w:color w:val="244061" w:themeColor="accent1" w:themeShade="80"/>
          <w:sz w:val="28"/>
          <w:szCs w:val="28"/>
        </w:rPr>
        <w:t>SUMMARY</w:t>
      </w:r>
    </w:p>
    <w:p w:rsidR="00E2280E" w:rsidRDefault="00E2280E" w:rsidP="009D37B0">
      <w:pPr>
        <w:tabs>
          <w:tab w:val="left" w:pos="3600"/>
          <w:tab w:val="left" w:pos="3780"/>
        </w:tabs>
        <w:spacing w:after="0" w:line="360" w:lineRule="auto"/>
        <w:rPr>
          <w:rFonts w:asciiTheme="minorHAnsi" w:hAnsiTheme="minorHAnsi" w:cstheme="minorHAnsi"/>
          <w:b/>
          <w:sz w:val="24"/>
          <w:szCs w:val="24"/>
          <w:u w:val="single"/>
        </w:rPr>
      </w:pPr>
    </w:p>
    <w:p w:rsidR="009D37B0" w:rsidRDefault="001516FC" w:rsidP="009D37B0">
      <w:pPr>
        <w:tabs>
          <w:tab w:val="left" w:pos="3600"/>
          <w:tab w:val="left" w:pos="3780"/>
        </w:tabs>
        <w:spacing w:after="0" w:line="360" w:lineRule="auto"/>
        <w:rPr>
          <w:rFonts w:asciiTheme="minorHAnsi" w:hAnsiTheme="minorHAnsi" w:cstheme="minorHAnsi"/>
          <w:b/>
          <w:sz w:val="24"/>
          <w:szCs w:val="24"/>
          <w:u w:val="single"/>
        </w:rPr>
      </w:pPr>
      <w:r w:rsidRPr="009D37B0">
        <w:rPr>
          <w:rFonts w:asciiTheme="minorHAnsi" w:hAnsiTheme="minorHAnsi" w:cstheme="minorHAnsi"/>
          <w:b/>
          <w:sz w:val="24"/>
          <w:szCs w:val="24"/>
          <w:u w:val="single"/>
        </w:rPr>
        <w:t>P</w:t>
      </w:r>
      <w:r w:rsidR="00FE6E20">
        <w:rPr>
          <w:rFonts w:asciiTheme="minorHAnsi" w:hAnsiTheme="minorHAnsi" w:cstheme="minorHAnsi"/>
          <w:b/>
          <w:sz w:val="24"/>
          <w:szCs w:val="24"/>
          <w:u w:val="single"/>
        </w:rPr>
        <w:t>P</w:t>
      </w:r>
      <w:r w:rsidRPr="009D37B0">
        <w:rPr>
          <w:rFonts w:asciiTheme="minorHAnsi" w:hAnsiTheme="minorHAnsi" w:cstheme="minorHAnsi"/>
          <w:b/>
          <w:sz w:val="24"/>
          <w:szCs w:val="24"/>
          <w:u w:val="single"/>
        </w:rPr>
        <w:t>ROCESS</w:t>
      </w:r>
      <w:r w:rsidR="009D37B0">
        <w:rPr>
          <w:rFonts w:asciiTheme="minorHAnsi" w:hAnsiTheme="minorHAnsi" w:cstheme="minorHAnsi"/>
          <w:b/>
          <w:sz w:val="24"/>
          <w:szCs w:val="24"/>
          <w:u w:val="single"/>
        </w:rPr>
        <w:t xml:space="preserve"> of REVIEW AND CONSULTATIONS</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Agenda</w:t>
      </w:r>
      <w:r w:rsidR="003B2AAE" w:rsidRPr="00E2280E">
        <w:rPr>
          <w:rFonts w:asciiTheme="minorHAnsi" w:hAnsiTheme="minorHAnsi" w:cstheme="minorHAnsi"/>
          <w:b/>
          <w:sz w:val="20"/>
          <w:szCs w:val="20"/>
        </w:rPr>
        <w:t xml:space="preserve"> of the meeting.</w:t>
      </w:r>
      <w:r w:rsidRPr="00E2280E">
        <w:rPr>
          <w:rFonts w:asciiTheme="minorHAnsi" w:hAnsiTheme="minorHAnsi" w:cstheme="minorHAnsi"/>
          <w:sz w:val="20"/>
          <w:szCs w:val="20"/>
        </w:rPr>
        <w:t xml:space="preserve"> Preference expressed by some in </w:t>
      </w:r>
      <w:r w:rsidR="00FE6E20">
        <w:rPr>
          <w:rFonts w:asciiTheme="minorHAnsi" w:hAnsiTheme="minorHAnsi" w:cstheme="minorHAnsi"/>
          <w:sz w:val="20"/>
          <w:szCs w:val="20"/>
        </w:rPr>
        <w:t xml:space="preserve">the </w:t>
      </w:r>
      <w:r w:rsidRPr="00E2280E">
        <w:rPr>
          <w:rFonts w:asciiTheme="minorHAnsi" w:hAnsiTheme="minorHAnsi" w:cstheme="minorHAnsi"/>
          <w:sz w:val="20"/>
          <w:szCs w:val="20"/>
        </w:rPr>
        <w:t>group for an agenda to have been circulated before the consultation, giving more structure to discussions and the opportunity to influence the focus of discussions in advance.</w:t>
      </w:r>
    </w:p>
    <w:p w:rsidR="009D37B0" w:rsidRPr="00E2280E" w:rsidRDefault="00602905"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 xml:space="preserve">Concerns over consultation process in Phase </w:t>
      </w:r>
      <w:r w:rsidR="009C043C" w:rsidRPr="00E2280E">
        <w:rPr>
          <w:rFonts w:asciiTheme="minorHAnsi" w:hAnsiTheme="minorHAnsi" w:cstheme="minorHAnsi"/>
          <w:b/>
          <w:sz w:val="20"/>
          <w:szCs w:val="20"/>
        </w:rPr>
        <w:t>I</w:t>
      </w:r>
      <w:r w:rsidR="009D37B0" w:rsidRPr="00E2280E">
        <w:rPr>
          <w:rFonts w:asciiTheme="minorHAnsi" w:hAnsiTheme="minorHAnsi" w:cstheme="minorHAnsi"/>
          <w:b/>
          <w:sz w:val="20"/>
          <w:szCs w:val="20"/>
        </w:rPr>
        <w:t>.</w:t>
      </w:r>
      <w:r w:rsidR="009C043C" w:rsidRPr="00E2280E">
        <w:rPr>
          <w:rFonts w:asciiTheme="minorHAnsi" w:hAnsiTheme="minorHAnsi" w:cstheme="minorHAnsi"/>
          <w:b/>
          <w:sz w:val="20"/>
          <w:szCs w:val="20"/>
        </w:rPr>
        <w:t xml:space="preserve"> </w:t>
      </w:r>
      <w:r w:rsidRPr="00E2280E">
        <w:rPr>
          <w:rFonts w:asciiTheme="minorHAnsi" w:hAnsiTheme="minorHAnsi" w:cstheme="minorHAnsi"/>
          <w:sz w:val="20"/>
          <w:szCs w:val="20"/>
        </w:rPr>
        <w:t>Some in the group noted that consultations have been rushed in Phase I</w:t>
      </w:r>
      <w:r w:rsidR="00FE6E20">
        <w:rPr>
          <w:rFonts w:asciiTheme="minorHAnsi" w:hAnsiTheme="minorHAnsi" w:cstheme="minorHAnsi"/>
          <w:sz w:val="20"/>
          <w:szCs w:val="20"/>
        </w:rPr>
        <w:t>,</w:t>
      </w:r>
      <w:r w:rsidRPr="00E2280E">
        <w:rPr>
          <w:rFonts w:asciiTheme="minorHAnsi" w:hAnsiTheme="minorHAnsi" w:cstheme="minorHAnsi"/>
          <w:sz w:val="20"/>
          <w:szCs w:val="20"/>
        </w:rPr>
        <w:t xml:space="preserve"> with many topics requiring discussion in a very short space of time over just a few hours (eight safeguards, issues surrounding the </w:t>
      </w:r>
      <w:r w:rsidR="00EF582C" w:rsidRPr="00E2280E">
        <w:rPr>
          <w:rFonts w:asciiTheme="minorHAnsi" w:hAnsiTheme="minorHAnsi" w:cstheme="minorHAnsi"/>
          <w:sz w:val="20"/>
          <w:szCs w:val="20"/>
        </w:rPr>
        <w:t>scope of the review, eight emerging issues as well as</w:t>
      </w:r>
      <w:r w:rsidRPr="00E2280E">
        <w:rPr>
          <w:rFonts w:asciiTheme="minorHAnsi" w:hAnsiTheme="minorHAnsi" w:cstheme="minorHAnsi"/>
          <w:sz w:val="20"/>
          <w:szCs w:val="20"/>
        </w:rPr>
        <w:t xml:space="preserve"> implementation matters). The Bank was asked how it plans to </w:t>
      </w:r>
      <w:r w:rsidR="00EF582C" w:rsidRPr="00E2280E">
        <w:rPr>
          <w:rFonts w:asciiTheme="minorHAnsi" w:hAnsiTheme="minorHAnsi" w:cstheme="minorHAnsi"/>
          <w:sz w:val="20"/>
          <w:szCs w:val="20"/>
        </w:rPr>
        <w:t xml:space="preserve">address </w:t>
      </w:r>
      <w:r w:rsidRPr="00E2280E">
        <w:rPr>
          <w:rFonts w:asciiTheme="minorHAnsi" w:hAnsiTheme="minorHAnsi" w:cstheme="minorHAnsi"/>
          <w:sz w:val="20"/>
          <w:szCs w:val="20"/>
        </w:rPr>
        <w:t xml:space="preserve">concerns raised about the consultations in the meeting in Lima and in communications sent by civil society in Indonesia. The Bank responded that it has received </w:t>
      </w:r>
      <w:r w:rsidR="009D37B0" w:rsidRPr="00E2280E">
        <w:rPr>
          <w:rFonts w:asciiTheme="minorHAnsi" w:hAnsiTheme="minorHAnsi" w:cstheme="minorHAnsi"/>
          <w:sz w:val="20"/>
          <w:szCs w:val="20"/>
        </w:rPr>
        <w:t>the</w:t>
      </w:r>
      <w:r w:rsidRPr="00E2280E">
        <w:rPr>
          <w:rFonts w:asciiTheme="minorHAnsi" w:hAnsiTheme="minorHAnsi" w:cstheme="minorHAnsi"/>
          <w:sz w:val="20"/>
          <w:szCs w:val="20"/>
        </w:rPr>
        <w:t xml:space="preserve"> feedback and will be exploring how these may be addressed in remaining consultations, in particular in Phase II.</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Incorporation of lessons learned</w:t>
      </w:r>
      <w:r w:rsidR="00EF582C" w:rsidRPr="00E2280E">
        <w:rPr>
          <w:rFonts w:asciiTheme="minorHAnsi" w:hAnsiTheme="minorHAnsi" w:cstheme="minorHAnsi"/>
          <w:b/>
          <w:sz w:val="20"/>
          <w:szCs w:val="20"/>
        </w:rPr>
        <w:t xml:space="preserve"> and strengthening safeguard implementation</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There should be </w:t>
      </w:r>
      <w:r w:rsidR="0009525C" w:rsidRPr="00E2280E">
        <w:rPr>
          <w:rFonts w:asciiTheme="minorHAnsi" w:hAnsiTheme="minorHAnsi" w:cstheme="minorHAnsi"/>
          <w:sz w:val="20"/>
          <w:szCs w:val="20"/>
        </w:rPr>
        <w:t>time allocated in the review</w:t>
      </w:r>
      <w:r w:rsidRPr="00E2280E">
        <w:rPr>
          <w:rFonts w:asciiTheme="minorHAnsi" w:hAnsiTheme="minorHAnsi" w:cstheme="minorHAnsi"/>
          <w:sz w:val="20"/>
          <w:szCs w:val="20"/>
        </w:rPr>
        <w:t xml:space="preserve"> process for incorporating lessons already learned (particularly o</w:t>
      </w:r>
      <w:r w:rsidR="0009525C" w:rsidRPr="00E2280E">
        <w:rPr>
          <w:rFonts w:asciiTheme="minorHAnsi" w:hAnsiTheme="minorHAnsi" w:cstheme="minorHAnsi"/>
          <w:sz w:val="20"/>
          <w:szCs w:val="20"/>
        </w:rPr>
        <w:t xml:space="preserve">n implementation) </w:t>
      </w:r>
      <w:r w:rsidR="000D1063" w:rsidRPr="00E2280E">
        <w:rPr>
          <w:rFonts w:asciiTheme="minorHAnsi" w:hAnsiTheme="minorHAnsi" w:cstheme="minorHAnsi"/>
          <w:sz w:val="20"/>
          <w:szCs w:val="20"/>
        </w:rPr>
        <w:t>from the Inspection Panel</w:t>
      </w:r>
      <w:r w:rsidRPr="00E2280E">
        <w:rPr>
          <w:rFonts w:asciiTheme="minorHAnsi" w:hAnsiTheme="minorHAnsi" w:cstheme="minorHAnsi"/>
          <w:sz w:val="20"/>
          <w:szCs w:val="20"/>
        </w:rPr>
        <w:t xml:space="preserve"> and </w:t>
      </w:r>
      <w:r w:rsidR="0009525C" w:rsidRPr="00E2280E">
        <w:rPr>
          <w:rFonts w:asciiTheme="minorHAnsi" w:hAnsiTheme="minorHAnsi" w:cstheme="minorHAnsi"/>
          <w:sz w:val="20"/>
          <w:szCs w:val="20"/>
        </w:rPr>
        <w:t xml:space="preserve">from </w:t>
      </w:r>
      <w:r w:rsidRPr="00E2280E">
        <w:rPr>
          <w:rFonts w:asciiTheme="minorHAnsi" w:hAnsiTheme="minorHAnsi" w:cstheme="minorHAnsi"/>
          <w:sz w:val="20"/>
          <w:szCs w:val="20"/>
        </w:rPr>
        <w:t>previous Independent Evaluation Group (IEG) reports. If previous lessons have been learned then this should be more explicitly explained in Safeguards Review documentation.</w:t>
      </w:r>
      <w:r w:rsidR="00EF582C" w:rsidRPr="00E2280E">
        <w:rPr>
          <w:rFonts w:asciiTheme="minorHAnsi" w:hAnsiTheme="minorHAnsi" w:cstheme="minorHAnsi"/>
          <w:sz w:val="20"/>
          <w:szCs w:val="20"/>
        </w:rPr>
        <w:t xml:space="preserve"> Some in the group highlighted the </w:t>
      </w:r>
      <w:r w:rsidR="00FE6E20">
        <w:rPr>
          <w:rFonts w:asciiTheme="minorHAnsi" w:hAnsiTheme="minorHAnsi" w:cstheme="minorHAnsi"/>
          <w:sz w:val="20"/>
          <w:szCs w:val="20"/>
        </w:rPr>
        <w:t xml:space="preserve">need for the </w:t>
      </w:r>
      <w:r w:rsidR="00EF582C" w:rsidRPr="00E2280E">
        <w:rPr>
          <w:rFonts w:asciiTheme="minorHAnsi" w:hAnsiTheme="minorHAnsi" w:cstheme="minorHAnsi"/>
          <w:sz w:val="20"/>
          <w:szCs w:val="20"/>
        </w:rPr>
        <w:t xml:space="preserve">new framework </w:t>
      </w:r>
      <w:r w:rsidR="00FE6E20">
        <w:rPr>
          <w:rFonts w:asciiTheme="minorHAnsi" w:hAnsiTheme="minorHAnsi" w:cstheme="minorHAnsi"/>
          <w:sz w:val="20"/>
          <w:szCs w:val="20"/>
        </w:rPr>
        <w:t xml:space="preserve">to </w:t>
      </w:r>
      <w:r w:rsidR="00EF582C" w:rsidRPr="00E2280E">
        <w:rPr>
          <w:rFonts w:asciiTheme="minorHAnsi" w:hAnsiTheme="minorHAnsi" w:cstheme="minorHAnsi"/>
          <w:sz w:val="20"/>
          <w:szCs w:val="20"/>
        </w:rPr>
        <w:t xml:space="preserve">include a component setting out how the World Bank will improve arrangements for safeguard implementation. Without this element any new safeguard framework would be incomplete. </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The role of the Inspection Panel</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w:t>
      </w:r>
      <w:r w:rsidR="0037078C" w:rsidRPr="00E2280E">
        <w:rPr>
          <w:rFonts w:asciiTheme="minorHAnsi" w:hAnsiTheme="minorHAnsi" w:cstheme="minorHAnsi"/>
          <w:sz w:val="20"/>
          <w:szCs w:val="20"/>
        </w:rPr>
        <w:t>Concern was expressed</w:t>
      </w:r>
      <w:r w:rsidRPr="00E2280E">
        <w:rPr>
          <w:rFonts w:asciiTheme="minorHAnsi" w:hAnsiTheme="minorHAnsi" w:cstheme="minorHAnsi"/>
          <w:sz w:val="20"/>
          <w:szCs w:val="20"/>
        </w:rPr>
        <w:t xml:space="preserve"> that the </w:t>
      </w:r>
      <w:r w:rsidR="00F37256" w:rsidRPr="00E2280E">
        <w:rPr>
          <w:rFonts w:asciiTheme="minorHAnsi" w:hAnsiTheme="minorHAnsi" w:cstheme="minorHAnsi"/>
          <w:sz w:val="20"/>
          <w:szCs w:val="20"/>
        </w:rPr>
        <w:t>I</w:t>
      </w:r>
      <w:r w:rsidR="000D1063" w:rsidRPr="00E2280E">
        <w:rPr>
          <w:rFonts w:asciiTheme="minorHAnsi" w:hAnsiTheme="minorHAnsi" w:cstheme="minorHAnsi"/>
          <w:sz w:val="20"/>
          <w:szCs w:val="20"/>
        </w:rPr>
        <w:t xml:space="preserve">nspection Panel </w:t>
      </w:r>
      <w:r w:rsidRPr="00E2280E">
        <w:rPr>
          <w:rFonts w:asciiTheme="minorHAnsi" w:hAnsiTheme="minorHAnsi" w:cstheme="minorHAnsi"/>
          <w:sz w:val="20"/>
          <w:szCs w:val="20"/>
        </w:rPr>
        <w:t>did not seem to have been sufficiently consulted</w:t>
      </w:r>
      <w:r w:rsidR="0049172C" w:rsidRPr="00E2280E">
        <w:rPr>
          <w:rFonts w:asciiTheme="minorHAnsi" w:hAnsiTheme="minorHAnsi" w:cstheme="minorHAnsi"/>
          <w:sz w:val="20"/>
          <w:szCs w:val="20"/>
        </w:rPr>
        <w:t>,</w:t>
      </w:r>
      <w:r w:rsidR="000D1063" w:rsidRPr="00E2280E">
        <w:rPr>
          <w:rFonts w:asciiTheme="minorHAnsi" w:hAnsiTheme="minorHAnsi" w:cstheme="minorHAnsi"/>
          <w:sz w:val="20"/>
          <w:szCs w:val="20"/>
        </w:rPr>
        <w:t xml:space="preserve"> </w:t>
      </w:r>
      <w:r w:rsidR="0049172C" w:rsidRPr="00E2280E">
        <w:rPr>
          <w:rFonts w:asciiTheme="minorHAnsi" w:hAnsiTheme="minorHAnsi" w:cstheme="minorHAnsi"/>
          <w:sz w:val="20"/>
          <w:szCs w:val="20"/>
        </w:rPr>
        <w:t>and that the framework would need to effectively encompass issues of implementation</w:t>
      </w:r>
      <w:r w:rsidR="0054065E" w:rsidRPr="00E2280E">
        <w:rPr>
          <w:rFonts w:asciiTheme="minorHAnsi" w:hAnsiTheme="minorHAnsi" w:cstheme="minorHAnsi"/>
          <w:sz w:val="20"/>
          <w:szCs w:val="20"/>
        </w:rPr>
        <w:t xml:space="preserve"> and compliance</w:t>
      </w:r>
      <w:r w:rsidR="0049172C" w:rsidRPr="00E2280E">
        <w:rPr>
          <w:rFonts w:asciiTheme="minorHAnsi" w:hAnsiTheme="minorHAnsi" w:cstheme="minorHAnsi"/>
          <w:sz w:val="20"/>
          <w:szCs w:val="20"/>
        </w:rPr>
        <w:t xml:space="preserve"> </w:t>
      </w:r>
      <w:r w:rsidR="0054065E" w:rsidRPr="00E2280E">
        <w:rPr>
          <w:rFonts w:asciiTheme="minorHAnsi" w:hAnsiTheme="minorHAnsi" w:cstheme="minorHAnsi"/>
          <w:sz w:val="20"/>
          <w:szCs w:val="20"/>
        </w:rPr>
        <w:t xml:space="preserve">with social and environmental safeguards </w:t>
      </w:r>
      <w:r w:rsidR="0049172C" w:rsidRPr="00E2280E">
        <w:rPr>
          <w:rFonts w:asciiTheme="minorHAnsi" w:hAnsiTheme="minorHAnsi" w:cstheme="minorHAnsi"/>
          <w:sz w:val="20"/>
          <w:szCs w:val="20"/>
        </w:rPr>
        <w:t>and the role of the I</w:t>
      </w:r>
      <w:r w:rsidR="000D1063" w:rsidRPr="00E2280E">
        <w:rPr>
          <w:rFonts w:asciiTheme="minorHAnsi" w:hAnsiTheme="minorHAnsi" w:cstheme="minorHAnsi"/>
          <w:sz w:val="20"/>
          <w:szCs w:val="20"/>
        </w:rPr>
        <w:t xml:space="preserve">nspection Panel </w:t>
      </w:r>
      <w:r w:rsidR="0049172C" w:rsidRPr="00E2280E">
        <w:rPr>
          <w:rFonts w:asciiTheme="minorHAnsi" w:hAnsiTheme="minorHAnsi" w:cstheme="minorHAnsi"/>
          <w:sz w:val="20"/>
          <w:szCs w:val="20"/>
        </w:rPr>
        <w:t>in that</w:t>
      </w:r>
      <w:r w:rsidRPr="00E2280E">
        <w:rPr>
          <w:rFonts w:asciiTheme="minorHAnsi" w:hAnsiTheme="minorHAnsi" w:cstheme="minorHAnsi"/>
          <w:sz w:val="20"/>
          <w:szCs w:val="20"/>
        </w:rPr>
        <w:t xml:space="preserve">. The Safeguards Team </w:t>
      </w:r>
      <w:r w:rsidR="00C02547" w:rsidRPr="00E2280E">
        <w:rPr>
          <w:rFonts w:asciiTheme="minorHAnsi" w:hAnsiTheme="minorHAnsi" w:cstheme="minorHAnsi"/>
          <w:sz w:val="20"/>
          <w:szCs w:val="20"/>
        </w:rPr>
        <w:t xml:space="preserve">clarified the role of </w:t>
      </w:r>
      <w:r w:rsidRPr="00E2280E">
        <w:rPr>
          <w:rFonts w:asciiTheme="minorHAnsi" w:hAnsiTheme="minorHAnsi" w:cstheme="minorHAnsi"/>
          <w:sz w:val="20"/>
          <w:szCs w:val="20"/>
        </w:rPr>
        <w:t>the I</w:t>
      </w:r>
      <w:r w:rsidR="000D1063" w:rsidRPr="00E2280E">
        <w:rPr>
          <w:rFonts w:asciiTheme="minorHAnsi" w:hAnsiTheme="minorHAnsi" w:cstheme="minorHAnsi"/>
          <w:sz w:val="20"/>
          <w:szCs w:val="20"/>
        </w:rPr>
        <w:t xml:space="preserve">nspection Panel </w:t>
      </w:r>
      <w:r w:rsidR="00C02547" w:rsidRPr="00E2280E">
        <w:rPr>
          <w:rFonts w:asciiTheme="minorHAnsi" w:hAnsiTheme="minorHAnsi" w:cstheme="minorHAnsi"/>
          <w:sz w:val="20"/>
          <w:szCs w:val="20"/>
        </w:rPr>
        <w:t xml:space="preserve">and the communication with </w:t>
      </w:r>
      <w:r w:rsidR="00953D9A">
        <w:rPr>
          <w:rFonts w:asciiTheme="minorHAnsi" w:hAnsiTheme="minorHAnsi" w:cstheme="minorHAnsi"/>
          <w:sz w:val="20"/>
          <w:szCs w:val="20"/>
        </w:rPr>
        <w:t xml:space="preserve">it </w:t>
      </w:r>
      <w:r w:rsidR="00C02547" w:rsidRPr="00E2280E">
        <w:rPr>
          <w:rFonts w:asciiTheme="minorHAnsi" w:hAnsiTheme="minorHAnsi" w:cstheme="minorHAnsi"/>
          <w:sz w:val="20"/>
          <w:szCs w:val="20"/>
        </w:rPr>
        <w:t>to date</w:t>
      </w:r>
      <w:r w:rsidR="00953D9A">
        <w:rPr>
          <w:rFonts w:asciiTheme="minorHAnsi" w:hAnsiTheme="minorHAnsi" w:cstheme="minorHAnsi"/>
          <w:sz w:val="20"/>
          <w:szCs w:val="20"/>
        </w:rPr>
        <w:t>;</w:t>
      </w:r>
      <w:r w:rsidR="00DA73A4" w:rsidRPr="00E2280E">
        <w:rPr>
          <w:rFonts w:asciiTheme="minorHAnsi" w:hAnsiTheme="minorHAnsi" w:cstheme="minorHAnsi"/>
          <w:sz w:val="20"/>
          <w:szCs w:val="20"/>
        </w:rPr>
        <w:t xml:space="preserve"> however</w:t>
      </w:r>
      <w:r w:rsidR="00953D9A">
        <w:rPr>
          <w:rFonts w:asciiTheme="minorHAnsi" w:hAnsiTheme="minorHAnsi" w:cstheme="minorHAnsi"/>
          <w:sz w:val="20"/>
          <w:szCs w:val="20"/>
        </w:rPr>
        <w:t>,</w:t>
      </w:r>
      <w:r w:rsidR="00DA73A4" w:rsidRPr="00E2280E">
        <w:rPr>
          <w:rFonts w:asciiTheme="minorHAnsi" w:hAnsiTheme="minorHAnsi" w:cstheme="minorHAnsi"/>
          <w:sz w:val="20"/>
          <w:szCs w:val="20"/>
        </w:rPr>
        <w:t xml:space="preserve"> participants raised concerns related to the transparency of this approach.</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lastRenderedPageBreak/>
        <w:t>Detail and Language</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w:t>
      </w:r>
      <w:r w:rsidR="00C02547" w:rsidRPr="00E2280E">
        <w:rPr>
          <w:rFonts w:asciiTheme="minorHAnsi" w:hAnsiTheme="minorHAnsi" w:cstheme="minorHAnsi"/>
          <w:sz w:val="20"/>
          <w:szCs w:val="20"/>
        </w:rPr>
        <w:t xml:space="preserve">Some </w:t>
      </w:r>
      <w:r w:rsidR="009D37B0" w:rsidRPr="00E2280E">
        <w:rPr>
          <w:rFonts w:asciiTheme="minorHAnsi" w:hAnsiTheme="minorHAnsi" w:cstheme="minorHAnsi"/>
          <w:sz w:val="20"/>
          <w:szCs w:val="20"/>
        </w:rPr>
        <w:t xml:space="preserve">pointed out </w:t>
      </w:r>
      <w:r w:rsidR="00C02547" w:rsidRPr="00E2280E">
        <w:rPr>
          <w:rFonts w:asciiTheme="minorHAnsi" w:hAnsiTheme="minorHAnsi" w:cstheme="minorHAnsi"/>
          <w:sz w:val="20"/>
          <w:szCs w:val="20"/>
        </w:rPr>
        <w:t>that the d</w:t>
      </w:r>
      <w:r w:rsidRPr="00E2280E">
        <w:rPr>
          <w:rFonts w:asciiTheme="minorHAnsi" w:hAnsiTheme="minorHAnsi" w:cstheme="minorHAnsi"/>
          <w:sz w:val="20"/>
          <w:szCs w:val="20"/>
        </w:rPr>
        <w:t xml:space="preserve">ocumentation provided so far on the content and direction of the review is lacking in sufficient detail to allow for informed debate. </w:t>
      </w:r>
      <w:r w:rsidR="00B33137" w:rsidRPr="00E2280E">
        <w:rPr>
          <w:rFonts w:asciiTheme="minorHAnsi" w:hAnsiTheme="minorHAnsi" w:cstheme="minorHAnsi"/>
          <w:sz w:val="20"/>
          <w:szCs w:val="20"/>
        </w:rPr>
        <w:t xml:space="preserve">Further detailed drafts </w:t>
      </w:r>
      <w:r w:rsidR="00C02547" w:rsidRPr="00E2280E">
        <w:rPr>
          <w:rFonts w:asciiTheme="minorHAnsi" w:hAnsiTheme="minorHAnsi" w:cstheme="minorHAnsi"/>
          <w:sz w:val="20"/>
          <w:szCs w:val="20"/>
        </w:rPr>
        <w:t xml:space="preserve">of the integrated framework </w:t>
      </w:r>
      <w:r w:rsidR="00B33137" w:rsidRPr="00E2280E">
        <w:rPr>
          <w:rFonts w:asciiTheme="minorHAnsi" w:hAnsiTheme="minorHAnsi" w:cstheme="minorHAnsi"/>
          <w:sz w:val="20"/>
          <w:szCs w:val="20"/>
        </w:rPr>
        <w:t xml:space="preserve">would be </w:t>
      </w:r>
      <w:r w:rsidR="0049172C" w:rsidRPr="00E2280E">
        <w:rPr>
          <w:rFonts w:asciiTheme="minorHAnsi" w:hAnsiTheme="minorHAnsi" w:cstheme="minorHAnsi"/>
          <w:sz w:val="20"/>
          <w:szCs w:val="20"/>
        </w:rPr>
        <w:t xml:space="preserve">needed for effective input, including a request for at least </w:t>
      </w:r>
      <w:r w:rsidR="00953D9A">
        <w:rPr>
          <w:rFonts w:asciiTheme="minorHAnsi" w:hAnsiTheme="minorHAnsi" w:cstheme="minorHAnsi"/>
          <w:sz w:val="20"/>
          <w:szCs w:val="20"/>
        </w:rPr>
        <w:t>two</w:t>
      </w:r>
      <w:r w:rsidR="0049172C" w:rsidRPr="00E2280E">
        <w:rPr>
          <w:rFonts w:asciiTheme="minorHAnsi" w:hAnsiTheme="minorHAnsi" w:cstheme="minorHAnsi"/>
          <w:sz w:val="20"/>
          <w:szCs w:val="20"/>
        </w:rPr>
        <w:t xml:space="preserve"> rounds of consultation on detailed language</w:t>
      </w:r>
      <w:r w:rsidR="00B33137" w:rsidRPr="00E2280E">
        <w:rPr>
          <w:rFonts w:asciiTheme="minorHAnsi" w:hAnsiTheme="minorHAnsi" w:cstheme="minorHAnsi"/>
          <w:sz w:val="20"/>
          <w:szCs w:val="20"/>
        </w:rPr>
        <w:t>.</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 xml:space="preserve">Expert </w:t>
      </w:r>
      <w:r w:rsidR="009D37B0" w:rsidRPr="00E2280E">
        <w:rPr>
          <w:rFonts w:asciiTheme="minorHAnsi" w:hAnsiTheme="minorHAnsi" w:cstheme="minorHAnsi"/>
          <w:b/>
          <w:sz w:val="20"/>
          <w:szCs w:val="20"/>
        </w:rPr>
        <w:t xml:space="preserve">Focus </w:t>
      </w:r>
      <w:r w:rsidRPr="00E2280E">
        <w:rPr>
          <w:rFonts w:asciiTheme="minorHAnsi" w:hAnsiTheme="minorHAnsi" w:cstheme="minorHAnsi"/>
          <w:b/>
          <w:sz w:val="20"/>
          <w:szCs w:val="20"/>
        </w:rPr>
        <w:t>Groups</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w:t>
      </w:r>
      <w:r w:rsidR="0037078C" w:rsidRPr="00E2280E">
        <w:rPr>
          <w:rFonts w:asciiTheme="minorHAnsi" w:hAnsiTheme="minorHAnsi" w:cstheme="minorHAnsi"/>
          <w:sz w:val="20"/>
          <w:szCs w:val="20"/>
        </w:rPr>
        <w:t>More detail was requested</w:t>
      </w:r>
      <w:r w:rsidRPr="00E2280E">
        <w:rPr>
          <w:rFonts w:asciiTheme="minorHAnsi" w:hAnsiTheme="minorHAnsi" w:cstheme="minorHAnsi"/>
          <w:sz w:val="20"/>
          <w:szCs w:val="20"/>
        </w:rPr>
        <w:t xml:space="preserve"> on the expert groups, </w:t>
      </w:r>
      <w:r w:rsidR="00C02547" w:rsidRPr="00E2280E">
        <w:rPr>
          <w:rFonts w:asciiTheme="minorHAnsi" w:hAnsiTheme="minorHAnsi" w:cstheme="minorHAnsi"/>
          <w:sz w:val="20"/>
          <w:szCs w:val="20"/>
        </w:rPr>
        <w:t>including</w:t>
      </w:r>
      <w:r w:rsidRPr="00E2280E">
        <w:rPr>
          <w:rFonts w:asciiTheme="minorHAnsi" w:hAnsiTheme="minorHAnsi" w:cstheme="minorHAnsi"/>
          <w:sz w:val="20"/>
          <w:szCs w:val="20"/>
        </w:rPr>
        <w:t xml:space="preserve"> how members were chosen, when </w:t>
      </w:r>
      <w:r w:rsidR="002448B6" w:rsidRPr="00E2280E">
        <w:rPr>
          <w:rFonts w:asciiTheme="minorHAnsi" w:hAnsiTheme="minorHAnsi" w:cstheme="minorHAnsi"/>
          <w:sz w:val="20"/>
          <w:szCs w:val="20"/>
        </w:rPr>
        <w:t xml:space="preserve">and where </w:t>
      </w:r>
      <w:r w:rsidRPr="00E2280E">
        <w:rPr>
          <w:rFonts w:asciiTheme="minorHAnsi" w:hAnsiTheme="minorHAnsi" w:cstheme="minorHAnsi"/>
          <w:sz w:val="20"/>
          <w:szCs w:val="20"/>
        </w:rPr>
        <w:t xml:space="preserve">the meetings were </w:t>
      </w:r>
      <w:r w:rsidR="002448B6" w:rsidRPr="00E2280E">
        <w:rPr>
          <w:rFonts w:asciiTheme="minorHAnsi" w:hAnsiTheme="minorHAnsi" w:cstheme="minorHAnsi"/>
          <w:sz w:val="20"/>
          <w:szCs w:val="20"/>
        </w:rPr>
        <w:t xml:space="preserve">to be held </w:t>
      </w:r>
      <w:r w:rsidRPr="00E2280E">
        <w:rPr>
          <w:rFonts w:asciiTheme="minorHAnsi" w:hAnsiTheme="minorHAnsi" w:cstheme="minorHAnsi"/>
          <w:sz w:val="20"/>
          <w:szCs w:val="20"/>
        </w:rPr>
        <w:t xml:space="preserve">and more generally </w:t>
      </w:r>
      <w:r w:rsidR="002448B6" w:rsidRPr="00E2280E">
        <w:rPr>
          <w:rFonts w:asciiTheme="minorHAnsi" w:hAnsiTheme="minorHAnsi" w:cstheme="minorHAnsi"/>
          <w:sz w:val="20"/>
          <w:szCs w:val="20"/>
        </w:rPr>
        <w:t xml:space="preserve">on </w:t>
      </w:r>
      <w:r w:rsidRPr="00E2280E">
        <w:rPr>
          <w:rFonts w:asciiTheme="minorHAnsi" w:hAnsiTheme="minorHAnsi" w:cstheme="minorHAnsi"/>
          <w:sz w:val="20"/>
          <w:szCs w:val="20"/>
        </w:rPr>
        <w:t xml:space="preserve">how </w:t>
      </w:r>
      <w:r w:rsidR="00953D9A">
        <w:rPr>
          <w:rFonts w:asciiTheme="minorHAnsi" w:hAnsiTheme="minorHAnsi" w:cstheme="minorHAnsi"/>
          <w:sz w:val="20"/>
          <w:szCs w:val="20"/>
        </w:rPr>
        <w:t>civil society organizations (</w:t>
      </w:r>
      <w:r w:rsidRPr="00E2280E">
        <w:rPr>
          <w:rFonts w:asciiTheme="minorHAnsi" w:hAnsiTheme="minorHAnsi" w:cstheme="minorHAnsi"/>
          <w:sz w:val="20"/>
          <w:szCs w:val="20"/>
        </w:rPr>
        <w:t>CSOs</w:t>
      </w:r>
      <w:r w:rsidR="00953D9A">
        <w:rPr>
          <w:rFonts w:asciiTheme="minorHAnsi" w:hAnsiTheme="minorHAnsi" w:cstheme="minorHAnsi"/>
          <w:sz w:val="20"/>
          <w:szCs w:val="20"/>
        </w:rPr>
        <w:t>)</w:t>
      </w:r>
      <w:r w:rsidRPr="00E2280E">
        <w:rPr>
          <w:rFonts w:asciiTheme="minorHAnsi" w:hAnsiTheme="minorHAnsi" w:cstheme="minorHAnsi"/>
          <w:sz w:val="20"/>
          <w:szCs w:val="20"/>
        </w:rPr>
        <w:t xml:space="preserve"> could be involved and could </w:t>
      </w:r>
      <w:r w:rsidR="00C02547" w:rsidRPr="00E2280E">
        <w:rPr>
          <w:rFonts w:asciiTheme="minorHAnsi" w:hAnsiTheme="minorHAnsi" w:cstheme="minorHAnsi"/>
          <w:sz w:val="20"/>
          <w:szCs w:val="20"/>
        </w:rPr>
        <w:t xml:space="preserve">provide </w:t>
      </w:r>
      <w:r w:rsidRPr="00E2280E">
        <w:rPr>
          <w:rFonts w:asciiTheme="minorHAnsi" w:hAnsiTheme="minorHAnsi" w:cstheme="minorHAnsi"/>
          <w:sz w:val="20"/>
          <w:szCs w:val="20"/>
        </w:rPr>
        <w:t>input.</w:t>
      </w:r>
      <w:r w:rsidR="0049172C" w:rsidRPr="00E2280E">
        <w:rPr>
          <w:rFonts w:asciiTheme="minorHAnsi" w:hAnsiTheme="minorHAnsi" w:cstheme="minorHAnsi"/>
          <w:sz w:val="20"/>
          <w:szCs w:val="20"/>
        </w:rPr>
        <w:t xml:space="preserve"> In particular, participants expressed that the short notice for expert group meetings </w:t>
      </w:r>
      <w:r w:rsidR="00DA73A4" w:rsidRPr="00E2280E">
        <w:rPr>
          <w:rFonts w:asciiTheme="minorHAnsi" w:hAnsiTheme="minorHAnsi" w:cstheme="minorHAnsi"/>
          <w:sz w:val="20"/>
          <w:szCs w:val="20"/>
        </w:rPr>
        <w:t>is likely to make</w:t>
      </w:r>
      <w:r w:rsidR="0049172C" w:rsidRPr="00E2280E">
        <w:rPr>
          <w:rFonts w:asciiTheme="minorHAnsi" w:hAnsiTheme="minorHAnsi" w:cstheme="minorHAnsi"/>
          <w:sz w:val="20"/>
          <w:szCs w:val="20"/>
        </w:rPr>
        <w:t xml:space="preserve"> them less effective</w:t>
      </w:r>
      <w:r w:rsidR="00DA73A4" w:rsidRPr="00E2280E">
        <w:rPr>
          <w:rFonts w:asciiTheme="minorHAnsi" w:hAnsiTheme="minorHAnsi" w:cstheme="minorHAnsi"/>
          <w:sz w:val="20"/>
          <w:szCs w:val="20"/>
        </w:rPr>
        <w:t xml:space="preserve"> and i</w:t>
      </w:r>
      <w:r w:rsidR="009D37B0" w:rsidRPr="00E2280E">
        <w:rPr>
          <w:rFonts w:asciiTheme="minorHAnsi" w:hAnsiTheme="minorHAnsi" w:cstheme="minorHAnsi"/>
          <w:sz w:val="20"/>
          <w:szCs w:val="20"/>
        </w:rPr>
        <w:t xml:space="preserve">s making it very difficult for </w:t>
      </w:r>
      <w:r w:rsidR="00DA73A4" w:rsidRPr="00E2280E">
        <w:rPr>
          <w:rFonts w:asciiTheme="minorHAnsi" w:hAnsiTheme="minorHAnsi" w:cstheme="minorHAnsi"/>
          <w:sz w:val="20"/>
          <w:szCs w:val="20"/>
        </w:rPr>
        <w:t xml:space="preserve">experts to attend and provide meaningful input. </w:t>
      </w:r>
      <w:r w:rsidR="009D37B0" w:rsidRPr="00E2280E">
        <w:rPr>
          <w:rFonts w:asciiTheme="minorHAnsi" w:hAnsiTheme="minorHAnsi" w:cstheme="minorHAnsi"/>
          <w:sz w:val="20"/>
          <w:szCs w:val="20"/>
        </w:rPr>
        <w:br/>
      </w:r>
      <w:r w:rsidRPr="00E2280E">
        <w:rPr>
          <w:rFonts w:asciiTheme="minorHAnsi" w:hAnsiTheme="minorHAnsi" w:cstheme="minorHAnsi"/>
          <w:sz w:val="20"/>
          <w:szCs w:val="20"/>
        </w:rPr>
        <w:t>Questions were asked about whether or not there would be an Expert Group looking into how safeguards can and should apply in fragile and conflict affected states (FCS).</w:t>
      </w:r>
      <w:r w:rsidR="009D37B0" w:rsidRPr="00E2280E">
        <w:rPr>
          <w:rFonts w:asciiTheme="minorHAnsi" w:hAnsiTheme="minorHAnsi" w:cstheme="minorHAnsi"/>
          <w:sz w:val="20"/>
          <w:szCs w:val="20"/>
        </w:rPr>
        <w:br/>
      </w:r>
      <w:r w:rsidR="00B33137" w:rsidRPr="00E2280E">
        <w:rPr>
          <w:rFonts w:asciiTheme="minorHAnsi" w:hAnsiTheme="minorHAnsi" w:cstheme="minorHAnsi"/>
          <w:sz w:val="20"/>
          <w:szCs w:val="20"/>
        </w:rPr>
        <w:t xml:space="preserve">It was </w:t>
      </w:r>
      <w:r w:rsidR="00C02547" w:rsidRPr="00E2280E">
        <w:rPr>
          <w:rFonts w:asciiTheme="minorHAnsi" w:hAnsiTheme="minorHAnsi" w:cstheme="minorHAnsi"/>
          <w:sz w:val="20"/>
          <w:szCs w:val="20"/>
        </w:rPr>
        <w:t>recommended</w:t>
      </w:r>
      <w:r w:rsidR="00B33137" w:rsidRPr="00E2280E">
        <w:rPr>
          <w:rFonts w:asciiTheme="minorHAnsi" w:hAnsiTheme="minorHAnsi" w:cstheme="minorHAnsi"/>
          <w:sz w:val="20"/>
          <w:szCs w:val="20"/>
        </w:rPr>
        <w:t xml:space="preserve"> that </w:t>
      </w:r>
      <w:r w:rsidRPr="00E2280E">
        <w:rPr>
          <w:rFonts w:asciiTheme="minorHAnsi" w:hAnsiTheme="minorHAnsi" w:cstheme="minorHAnsi"/>
          <w:sz w:val="20"/>
          <w:szCs w:val="20"/>
        </w:rPr>
        <w:t xml:space="preserve">disabled people </w:t>
      </w:r>
      <w:r w:rsidR="00953D9A">
        <w:rPr>
          <w:rFonts w:asciiTheme="minorHAnsi" w:hAnsiTheme="minorHAnsi" w:cstheme="minorHAnsi"/>
          <w:sz w:val="20"/>
          <w:szCs w:val="20"/>
        </w:rPr>
        <w:t xml:space="preserve">be </w:t>
      </w:r>
      <w:r w:rsidRPr="00E2280E">
        <w:rPr>
          <w:rFonts w:asciiTheme="minorHAnsi" w:hAnsiTheme="minorHAnsi" w:cstheme="minorHAnsi"/>
          <w:sz w:val="20"/>
          <w:szCs w:val="20"/>
        </w:rPr>
        <w:t>adequately represented in the Expert Groups.</w:t>
      </w:r>
      <w:r w:rsidR="009D37B0" w:rsidRPr="00E2280E">
        <w:rPr>
          <w:rFonts w:asciiTheme="minorHAnsi" w:hAnsiTheme="minorHAnsi" w:cstheme="minorHAnsi"/>
          <w:sz w:val="20"/>
          <w:szCs w:val="20"/>
        </w:rPr>
        <w:t xml:space="preserve"> </w:t>
      </w:r>
      <w:r w:rsidR="00B33137" w:rsidRPr="00E2280E">
        <w:rPr>
          <w:rFonts w:asciiTheme="minorHAnsi" w:hAnsiTheme="minorHAnsi" w:cstheme="minorHAnsi"/>
          <w:sz w:val="20"/>
          <w:szCs w:val="20"/>
        </w:rPr>
        <w:t xml:space="preserve">It was </w:t>
      </w:r>
      <w:r w:rsidR="00C02547" w:rsidRPr="00E2280E">
        <w:rPr>
          <w:rFonts w:asciiTheme="minorHAnsi" w:hAnsiTheme="minorHAnsi" w:cstheme="minorHAnsi"/>
          <w:sz w:val="20"/>
          <w:szCs w:val="20"/>
        </w:rPr>
        <w:t xml:space="preserve">also recommended </w:t>
      </w:r>
      <w:r w:rsidR="00B33137" w:rsidRPr="00E2280E">
        <w:rPr>
          <w:rFonts w:asciiTheme="minorHAnsi" w:hAnsiTheme="minorHAnsi" w:cstheme="minorHAnsi"/>
          <w:sz w:val="20"/>
          <w:szCs w:val="20"/>
        </w:rPr>
        <w:t>that the Bank</w:t>
      </w:r>
      <w:r w:rsidRPr="00E2280E">
        <w:rPr>
          <w:rFonts w:asciiTheme="minorHAnsi" w:hAnsiTheme="minorHAnsi" w:cstheme="minorHAnsi"/>
          <w:sz w:val="20"/>
          <w:szCs w:val="20"/>
        </w:rPr>
        <w:t xml:space="preserve"> considers extending the use of Expert Groups to Phase 2.</w:t>
      </w:r>
    </w:p>
    <w:p w:rsidR="009D37B0" w:rsidRPr="00E2280E" w:rsidRDefault="001516FC" w:rsidP="009D37B0">
      <w:pPr>
        <w:pStyle w:val="ListParagraph"/>
        <w:numPr>
          <w:ilvl w:val="0"/>
          <w:numId w:val="9"/>
        </w:numPr>
        <w:tabs>
          <w:tab w:val="left" w:pos="3600"/>
          <w:tab w:val="left" w:pos="3780"/>
        </w:tabs>
        <w:spacing w:after="0" w:line="360" w:lineRule="auto"/>
        <w:rPr>
          <w:rFonts w:asciiTheme="minorHAnsi" w:hAnsiTheme="minorHAnsi" w:cstheme="minorHAnsi"/>
          <w:sz w:val="20"/>
          <w:szCs w:val="20"/>
        </w:rPr>
      </w:pPr>
      <w:r w:rsidRPr="00E2280E">
        <w:rPr>
          <w:rFonts w:asciiTheme="minorHAnsi" w:hAnsiTheme="minorHAnsi" w:cstheme="minorHAnsi"/>
          <w:b/>
          <w:sz w:val="20"/>
          <w:szCs w:val="20"/>
        </w:rPr>
        <w:t>Project Affected Communities</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More detail also </w:t>
      </w:r>
      <w:r w:rsidR="00C02547" w:rsidRPr="00E2280E">
        <w:rPr>
          <w:rFonts w:asciiTheme="minorHAnsi" w:hAnsiTheme="minorHAnsi" w:cstheme="minorHAnsi"/>
          <w:sz w:val="20"/>
          <w:szCs w:val="20"/>
        </w:rPr>
        <w:t xml:space="preserve">requested </w:t>
      </w:r>
      <w:r w:rsidRPr="00E2280E">
        <w:rPr>
          <w:rFonts w:asciiTheme="minorHAnsi" w:hAnsiTheme="minorHAnsi" w:cstheme="minorHAnsi"/>
          <w:sz w:val="20"/>
          <w:szCs w:val="20"/>
        </w:rPr>
        <w:t>on how “project affected communities” were defined and how the sample was chosen.</w:t>
      </w:r>
      <w:r w:rsidR="009D37B0" w:rsidRPr="00E2280E">
        <w:rPr>
          <w:rFonts w:asciiTheme="minorHAnsi" w:hAnsiTheme="minorHAnsi" w:cstheme="minorHAnsi"/>
          <w:sz w:val="20"/>
          <w:szCs w:val="20"/>
        </w:rPr>
        <w:t xml:space="preserve"> </w:t>
      </w:r>
      <w:r w:rsidR="009D37B0" w:rsidRPr="00E2280E">
        <w:rPr>
          <w:rFonts w:asciiTheme="minorHAnsi" w:hAnsiTheme="minorHAnsi" w:cstheme="minorHAnsi"/>
          <w:sz w:val="20"/>
          <w:szCs w:val="20"/>
        </w:rPr>
        <w:br/>
      </w:r>
      <w:r w:rsidR="00B33137" w:rsidRPr="00E2280E">
        <w:rPr>
          <w:rFonts w:asciiTheme="minorHAnsi" w:hAnsiTheme="minorHAnsi" w:cstheme="minorHAnsi"/>
          <w:sz w:val="20"/>
          <w:szCs w:val="20"/>
        </w:rPr>
        <w:t>It was suggested t</w:t>
      </w:r>
      <w:r w:rsidRPr="00E2280E">
        <w:rPr>
          <w:rFonts w:asciiTheme="minorHAnsi" w:hAnsiTheme="minorHAnsi" w:cstheme="minorHAnsi"/>
          <w:sz w:val="20"/>
          <w:szCs w:val="20"/>
        </w:rPr>
        <w:t xml:space="preserve">hat an Expert Group (or wider working group) </w:t>
      </w:r>
      <w:r w:rsidR="00953D9A">
        <w:rPr>
          <w:rFonts w:asciiTheme="minorHAnsi" w:hAnsiTheme="minorHAnsi" w:cstheme="minorHAnsi"/>
          <w:sz w:val="20"/>
          <w:szCs w:val="20"/>
        </w:rPr>
        <w:t xml:space="preserve">be </w:t>
      </w:r>
      <w:r w:rsidR="007C1498" w:rsidRPr="00E2280E">
        <w:rPr>
          <w:rFonts w:asciiTheme="minorHAnsi" w:hAnsiTheme="minorHAnsi" w:cstheme="minorHAnsi"/>
          <w:sz w:val="20"/>
          <w:szCs w:val="20"/>
        </w:rPr>
        <w:t xml:space="preserve">created to </w:t>
      </w:r>
      <w:r w:rsidRPr="00E2280E">
        <w:rPr>
          <w:rFonts w:asciiTheme="minorHAnsi" w:hAnsiTheme="minorHAnsi" w:cstheme="minorHAnsi"/>
          <w:sz w:val="20"/>
          <w:szCs w:val="20"/>
        </w:rPr>
        <w:t xml:space="preserve">include people from </w:t>
      </w:r>
      <w:r w:rsidR="007C1498" w:rsidRPr="00E2280E">
        <w:rPr>
          <w:rFonts w:asciiTheme="minorHAnsi" w:hAnsiTheme="minorHAnsi" w:cstheme="minorHAnsi"/>
          <w:sz w:val="20"/>
          <w:szCs w:val="20"/>
        </w:rPr>
        <w:t xml:space="preserve">project </w:t>
      </w:r>
      <w:r w:rsidRPr="00E2280E">
        <w:rPr>
          <w:rFonts w:asciiTheme="minorHAnsi" w:hAnsiTheme="minorHAnsi" w:cstheme="minorHAnsi"/>
          <w:sz w:val="20"/>
          <w:szCs w:val="20"/>
        </w:rPr>
        <w:t xml:space="preserve">affected communities. </w:t>
      </w:r>
      <w:r w:rsidR="00B33137" w:rsidRPr="00E2280E">
        <w:rPr>
          <w:rFonts w:asciiTheme="minorHAnsi" w:hAnsiTheme="minorHAnsi" w:cstheme="minorHAnsi"/>
          <w:sz w:val="20"/>
          <w:szCs w:val="20"/>
        </w:rPr>
        <w:t>The group asked</w:t>
      </w:r>
      <w:r w:rsidR="00DA73A4" w:rsidRPr="00E2280E">
        <w:rPr>
          <w:rFonts w:asciiTheme="minorHAnsi" w:hAnsiTheme="minorHAnsi" w:cstheme="minorHAnsi"/>
          <w:sz w:val="20"/>
          <w:szCs w:val="20"/>
        </w:rPr>
        <w:t xml:space="preserve"> </w:t>
      </w:r>
      <w:r w:rsidR="000077BC" w:rsidRPr="00E2280E">
        <w:rPr>
          <w:rFonts w:asciiTheme="minorHAnsi" w:hAnsiTheme="minorHAnsi" w:cstheme="minorHAnsi"/>
          <w:sz w:val="20"/>
          <w:szCs w:val="20"/>
        </w:rPr>
        <w:t xml:space="preserve">the Bank </w:t>
      </w:r>
      <w:r w:rsidR="00953D9A">
        <w:rPr>
          <w:rFonts w:asciiTheme="minorHAnsi" w:hAnsiTheme="minorHAnsi" w:cstheme="minorHAnsi"/>
          <w:sz w:val="20"/>
          <w:szCs w:val="20"/>
        </w:rPr>
        <w:t xml:space="preserve">to </w:t>
      </w:r>
      <w:r w:rsidR="000077BC" w:rsidRPr="00E2280E">
        <w:rPr>
          <w:rFonts w:asciiTheme="minorHAnsi" w:hAnsiTheme="minorHAnsi" w:cstheme="minorHAnsi"/>
          <w:sz w:val="20"/>
          <w:szCs w:val="20"/>
        </w:rPr>
        <w:t>find a way to do whatever is necessary to ensure</w:t>
      </w:r>
      <w:r w:rsidR="00B33137" w:rsidRPr="00E2280E">
        <w:rPr>
          <w:rFonts w:asciiTheme="minorHAnsi" w:hAnsiTheme="minorHAnsi" w:cstheme="minorHAnsi"/>
          <w:sz w:val="20"/>
          <w:szCs w:val="20"/>
        </w:rPr>
        <w:t xml:space="preserve"> that </w:t>
      </w:r>
      <w:r w:rsidRPr="00E2280E">
        <w:rPr>
          <w:rFonts w:asciiTheme="minorHAnsi" w:hAnsiTheme="minorHAnsi" w:cstheme="minorHAnsi"/>
          <w:sz w:val="20"/>
          <w:szCs w:val="20"/>
        </w:rPr>
        <w:t xml:space="preserve">project affected communities who are going to be consulted are given as much notice as </w:t>
      </w:r>
      <w:r w:rsidR="000077BC" w:rsidRPr="00E2280E">
        <w:rPr>
          <w:rFonts w:asciiTheme="minorHAnsi" w:hAnsiTheme="minorHAnsi" w:cstheme="minorHAnsi"/>
          <w:sz w:val="20"/>
          <w:szCs w:val="20"/>
        </w:rPr>
        <w:t xml:space="preserve">they need to meaningfully engage with the process </w:t>
      </w:r>
      <w:r w:rsidR="0049172C" w:rsidRPr="00E2280E">
        <w:rPr>
          <w:rFonts w:asciiTheme="minorHAnsi" w:hAnsiTheme="minorHAnsi" w:cstheme="minorHAnsi"/>
          <w:sz w:val="20"/>
          <w:szCs w:val="20"/>
        </w:rPr>
        <w:t>, and that there be transparency about the countries and projects selected.</w:t>
      </w:r>
    </w:p>
    <w:p w:rsidR="00E4642B" w:rsidRDefault="007C1498">
      <w:pPr>
        <w:pStyle w:val="ListParagraph"/>
        <w:numPr>
          <w:ilvl w:val="0"/>
          <w:numId w:val="9"/>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b/>
          <w:sz w:val="20"/>
          <w:szCs w:val="20"/>
        </w:rPr>
        <w:t>Development impact measurement and incentives</w:t>
      </w:r>
      <w:r w:rsidR="009D37B0" w:rsidRPr="00E2280E">
        <w:rPr>
          <w:rFonts w:asciiTheme="minorHAnsi" w:hAnsiTheme="minorHAnsi" w:cstheme="minorHAnsi"/>
          <w:b/>
          <w:sz w:val="20"/>
          <w:szCs w:val="20"/>
        </w:rPr>
        <w:t>.</w:t>
      </w:r>
      <w:r w:rsidRPr="00E2280E">
        <w:rPr>
          <w:rFonts w:asciiTheme="minorHAnsi" w:hAnsiTheme="minorHAnsi" w:cstheme="minorHAnsi"/>
          <w:sz w:val="20"/>
          <w:szCs w:val="20"/>
        </w:rPr>
        <w:t xml:space="preserve"> </w:t>
      </w:r>
      <w:r w:rsidR="001516FC" w:rsidRPr="00E2280E">
        <w:rPr>
          <w:rFonts w:asciiTheme="minorHAnsi" w:hAnsiTheme="minorHAnsi" w:cstheme="minorHAnsi"/>
          <w:sz w:val="20"/>
          <w:szCs w:val="20"/>
        </w:rPr>
        <w:t xml:space="preserve">Questions were asked about how </w:t>
      </w:r>
      <w:r w:rsidRPr="00E2280E">
        <w:rPr>
          <w:rFonts w:asciiTheme="minorHAnsi" w:hAnsiTheme="minorHAnsi" w:cstheme="minorHAnsi"/>
          <w:sz w:val="20"/>
          <w:szCs w:val="20"/>
        </w:rPr>
        <w:t xml:space="preserve">the </w:t>
      </w:r>
      <w:r w:rsidR="001516FC" w:rsidRPr="00E2280E">
        <w:rPr>
          <w:rFonts w:asciiTheme="minorHAnsi" w:hAnsiTheme="minorHAnsi" w:cstheme="minorHAnsi"/>
          <w:sz w:val="20"/>
          <w:szCs w:val="20"/>
        </w:rPr>
        <w:t>safeguards</w:t>
      </w:r>
      <w:r w:rsidR="00953D9A">
        <w:rPr>
          <w:rFonts w:asciiTheme="minorHAnsi" w:hAnsiTheme="minorHAnsi" w:cstheme="minorHAnsi"/>
          <w:sz w:val="20"/>
          <w:szCs w:val="20"/>
        </w:rPr>
        <w:t>’</w:t>
      </w:r>
      <w:r w:rsidR="001516FC" w:rsidRPr="003B513E">
        <w:rPr>
          <w:rFonts w:asciiTheme="minorHAnsi" w:hAnsiTheme="minorHAnsi" w:cstheme="minorHAnsi"/>
          <w:sz w:val="20"/>
          <w:szCs w:val="20"/>
        </w:rPr>
        <w:t xml:space="preserve"> effects on development outcomes would be measured and how Bank staff could be incentivized to </w:t>
      </w:r>
      <w:r w:rsidR="0054065E" w:rsidRPr="003B513E">
        <w:rPr>
          <w:rFonts w:asciiTheme="minorHAnsi" w:hAnsiTheme="minorHAnsi" w:cstheme="minorHAnsi"/>
          <w:sz w:val="20"/>
          <w:szCs w:val="20"/>
        </w:rPr>
        <w:t xml:space="preserve">apply safeguards effectively and </w:t>
      </w:r>
      <w:r w:rsidR="001516FC" w:rsidRPr="003B513E">
        <w:rPr>
          <w:rFonts w:asciiTheme="minorHAnsi" w:hAnsiTheme="minorHAnsi" w:cstheme="minorHAnsi"/>
          <w:sz w:val="20"/>
          <w:szCs w:val="20"/>
        </w:rPr>
        <w:t>maximize positive develo</w:t>
      </w:r>
      <w:r w:rsidR="00684C50" w:rsidRPr="003B513E">
        <w:rPr>
          <w:rFonts w:asciiTheme="minorHAnsi" w:hAnsiTheme="minorHAnsi" w:cstheme="minorHAnsi"/>
          <w:sz w:val="20"/>
          <w:szCs w:val="20"/>
        </w:rPr>
        <w:t>pment outcomes from their work.</w:t>
      </w:r>
      <w:r w:rsidR="009D37B0" w:rsidRPr="003B513E">
        <w:rPr>
          <w:rFonts w:asciiTheme="minorHAnsi" w:hAnsiTheme="minorHAnsi" w:cstheme="minorHAnsi"/>
          <w:sz w:val="20"/>
          <w:szCs w:val="20"/>
        </w:rPr>
        <w:t xml:space="preserve"> </w:t>
      </w:r>
    </w:p>
    <w:p w:rsidR="005F45F2" w:rsidRPr="003B513E" w:rsidRDefault="00E4642B">
      <w:pPr>
        <w:pStyle w:val="ListParagraph"/>
        <w:numPr>
          <w:ilvl w:val="0"/>
          <w:numId w:val="9"/>
        </w:numPr>
        <w:tabs>
          <w:tab w:val="left" w:pos="3600"/>
          <w:tab w:val="left" w:pos="3780"/>
        </w:tabs>
        <w:spacing w:after="0" w:line="360" w:lineRule="auto"/>
        <w:jc w:val="both"/>
        <w:rPr>
          <w:rFonts w:asciiTheme="minorHAnsi" w:hAnsiTheme="minorHAnsi" w:cstheme="minorHAnsi"/>
          <w:sz w:val="20"/>
          <w:szCs w:val="20"/>
        </w:rPr>
      </w:pPr>
      <w:r w:rsidRPr="003B513E">
        <w:rPr>
          <w:rFonts w:asciiTheme="minorHAnsi" w:hAnsiTheme="minorHAnsi" w:cstheme="minorHAnsi"/>
          <w:b/>
          <w:sz w:val="20"/>
          <w:szCs w:val="20"/>
        </w:rPr>
        <w:t>Indigenous Peoples.</w:t>
      </w:r>
      <w:r>
        <w:rPr>
          <w:rFonts w:asciiTheme="minorHAnsi" w:hAnsiTheme="minorHAnsi" w:cstheme="minorHAnsi"/>
          <w:sz w:val="20"/>
          <w:szCs w:val="20"/>
        </w:rPr>
        <w:t xml:space="preserve"> </w:t>
      </w:r>
      <w:r w:rsidR="005F45F2" w:rsidRPr="003B513E">
        <w:rPr>
          <w:rFonts w:asciiTheme="minorHAnsi" w:hAnsiTheme="minorHAnsi" w:cstheme="minorHAnsi"/>
          <w:sz w:val="20"/>
          <w:szCs w:val="20"/>
        </w:rPr>
        <w:t xml:space="preserve">It was recommended that the review have clear and specific outreach to </w:t>
      </w:r>
      <w:r w:rsidR="00953D9A">
        <w:rPr>
          <w:rFonts w:asciiTheme="minorHAnsi" w:hAnsiTheme="minorHAnsi" w:cstheme="minorHAnsi"/>
          <w:sz w:val="20"/>
          <w:szCs w:val="20"/>
        </w:rPr>
        <w:t>I</w:t>
      </w:r>
      <w:r w:rsidR="005F45F2" w:rsidRPr="003B513E">
        <w:rPr>
          <w:rFonts w:asciiTheme="minorHAnsi" w:hAnsiTheme="minorHAnsi" w:cstheme="minorHAnsi"/>
          <w:sz w:val="20"/>
          <w:szCs w:val="20"/>
        </w:rPr>
        <w:t xml:space="preserve">ndigenous </w:t>
      </w:r>
      <w:r w:rsidR="00953D9A">
        <w:rPr>
          <w:rFonts w:asciiTheme="minorHAnsi" w:hAnsiTheme="minorHAnsi" w:cstheme="minorHAnsi"/>
          <w:sz w:val="20"/>
          <w:szCs w:val="20"/>
        </w:rPr>
        <w:t>P</w:t>
      </w:r>
      <w:r w:rsidR="005F45F2" w:rsidRPr="003B513E">
        <w:rPr>
          <w:rFonts w:asciiTheme="minorHAnsi" w:hAnsiTheme="minorHAnsi" w:cstheme="minorHAnsi"/>
          <w:sz w:val="20"/>
          <w:szCs w:val="20"/>
        </w:rPr>
        <w:t>eoples as a separate stakeholder group, which has been requested a number of times.</w:t>
      </w:r>
    </w:p>
    <w:p w:rsidR="001516FC" w:rsidRPr="009D37B0" w:rsidRDefault="001516FC" w:rsidP="001516FC">
      <w:pPr>
        <w:tabs>
          <w:tab w:val="left" w:pos="3600"/>
          <w:tab w:val="left" w:pos="3780"/>
        </w:tabs>
        <w:spacing w:after="0" w:line="360" w:lineRule="auto"/>
        <w:jc w:val="both"/>
        <w:rPr>
          <w:rFonts w:asciiTheme="minorHAnsi" w:hAnsiTheme="minorHAnsi" w:cstheme="minorHAnsi"/>
          <w:b/>
          <w:sz w:val="24"/>
          <w:szCs w:val="24"/>
          <w:u w:val="single"/>
        </w:rPr>
      </w:pPr>
      <w:r w:rsidRPr="009D37B0">
        <w:rPr>
          <w:rFonts w:asciiTheme="minorHAnsi" w:hAnsiTheme="minorHAnsi" w:cstheme="minorHAnsi"/>
          <w:b/>
          <w:sz w:val="24"/>
          <w:szCs w:val="24"/>
          <w:u w:val="single"/>
        </w:rPr>
        <w:t>SCOPE</w:t>
      </w:r>
      <w:r w:rsidR="009D37B0">
        <w:rPr>
          <w:rFonts w:asciiTheme="minorHAnsi" w:hAnsiTheme="minorHAnsi" w:cstheme="minorHAnsi"/>
          <w:b/>
          <w:sz w:val="24"/>
          <w:szCs w:val="24"/>
          <w:u w:val="single"/>
        </w:rPr>
        <w:t xml:space="preserve"> of THE REVIEW</w:t>
      </w:r>
    </w:p>
    <w:p w:rsidR="001516FC" w:rsidRPr="00E2280E" w:rsidRDefault="00E2280E"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Pr>
          <w:rFonts w:asciiTheme="minorHAnsi" w:hAnsiTheme="minorHAnsi" w:cstheme="minorHAnsi"/>
          <w:sz w:val="20"/>
          <w:szCs w:val="20"/>
        </w:rPr>
        <w:t>C</w:t>
      </w:r>
      <w:r w:rsidR="001516FC" w:rsidRPr="00E2280E">
        <w:rPr>
          <w:rFonts w:asciiTheme="minorHAnsi" w:hAnsiTheme="minorHAnsi" w:cstheme="minorHAnsi"/>
          <w:sz w:val="20"/>
          <w:szCs w:val="20"/>
        </w:rPr>
        <w:t xml:space="preserve">oncern about the </w:t>
      </w:r>
      <w:r w:rsidR="001516FC" w:rsidRPr="00E2280E">
        <w:rPr>
          <w:rFonts w:asciiTheme="minorHAnsi" w:hAnsiTheme="minorHAnsi" w:cstheme="minorHAnsi"/>
          <w:b/>
          <w:sz w:val="20"/>
          <w:szCs w:val="20"/>
        </w:rPr>
        <w:t>review focusi</w:t>
      </w:r>
      <w:r w:rsidR="00C02547" w:rsidRPr="00E2280E">
        <w:rPr>
          <w:rFonts w:asciiTheme="minorHAnsi" w:hAnsiTheme="minorHAnsi" w:cstheme="minorHAnsi"/>
          <w:b/>
          <w:sz w:val="20"/>
          <w:szCs w:val="20"/>
        </w:rPr>
        <w:t>ng on investment lending only</w:t>
      </w:r>
      <w:r w:rsidR="00C02547" w:rsidRPr="00E2280E">
        <w:rPr>
          <w:rFonts w:asciiTheme="minorHAnsi" w:hAnsiTheme="minorHAnsi" w:cstheme="minorHAnsi"/>
          <w:sz w:val="20"/>
          <w:szCs w:val="20"/>
        </w:rPr>
        <w:t>: the revised s</w:t>
      </w:r>
      <w:r w:rsidR="0037078C" w:rsidRPr="00E2280E">
        <w:rPr>
          <w:rFonts w:asciiTheme="minorHAnsi" w:hAnsiTheme="minorHAnsi" w:cstheme="minorHAnsi"/>
          <w:sz w:val="20"/>
          <w:szCs w:val="20"/>
        </w:rPr>
        <w:t>afeguards should apply to all Bank lending</w:t>
      </w:r>
      <w:r w:rsidR="00B76524" w:rsidRPr="00E2280E">
        <w:rPr>
          <w:rFonts w:asciiTheme="minorHAnsi" w:hAnsiTheme="minorHAnsi" w:cstheme="minorHAnsi"/>
          <w:sz w:val="20"/>
          <w:szCs w:val="20"/>
        </w:rPr>
        <w:t>, including DPLs and other programmatic lending</w:t>
      </w:r>
      <w:r w:rsidR="0037078C" w:rsidRPr="00E2280E">
        <w:rPr>
          <w:rFonts w:asciiTheme="minorHAnsi" w:hAnsiTheme="minorHAnsi" w:cstheme="minorHAnsi"/>
          <w:sz w:val="20"/>
          <w:szCs w:val="20"/>
        </w:rPr>
        <w:t>.</w:t>
      </w:r>
      <w:r w:rsidR="009D37B0" w:rsidRPr="00E2280E">
        <w:rPr>
          <w:rFonts w:asciiTheme="minorHAnsi" w:hAnsiTheme="minorHAnsi" w:cstheme="minorHAnsi"/>
          <w:sz w:val="20"/>
          <w:szCs w:val="20"/>
        </w:rPr>
        <w:t xml:space="preserve"> </w:t>
      </w:r>
      <w:r w:rsidR="00E4642B">
        <w:rPr>
          <w:rFonts w:asciiTheme="minorHAnsi" w:hAnsiTheme="minorHAnsi" w:cstheme="minorHAnsi"/>
          <w:sz w:val="20"/>
          <w:szCs w:val="20"/>
        </w:rPr>
        <w:t>There was also c</w:t>
      </w:r>
      <w:r>
        <w:rPr>
          <w:rFonts w:asciiTheme="minorHAnsi" w:hAnsiTheme="minorHAnsi" w:cstheme="minorHAnsi"/>
          <w:sz w:val="20"/>
          <w:szCs w:val="20"/>
        </w:rPr>
        <w:t xml:space="preserve">oncern that </w:t>
      </w:r>
      <w:r w:rsidR="001516FC" w:rsidRPr="00E2280E">
        <w:rPr>
          <w:rFonts w:asciiTheme="minorHAnsi" w:hAnsiTheme="minorHAnsi" w:cstheme="minorHAnsi"/>
          <w:sz w:val="20"/>
          <w:szCs w:val="20"/>
        </w:rPr>
        <w:t>other multilateral de</w:t>
      </w:r>
      <w:r w:rsidR="004B626E" w:rsidRPr="00E2280E">
        <w:rPr>
          <w:rFonts w:asciiTheme="minorHAnsi" w:hAnsiTheme="minorHAnsi" w:cstheme="minorHAnsi"/>
          <w:sz w:val="20"/>
          <w:szCs w:val="20"/>
        </w:rPr>
        <w:t xml:space="preserve">velopment banks (MDBs) </w:t>
      </w:r>
      <w:r>
        <w:rPr>
          <w:rFonts w:asciiTheme="minorHAnsi" w:hAnsiTheme="minorHAnsi" w:cstheme="minorHAnsi"/>
          <w:sz w:val="20"/>
          <w:szCs w:val="20"/>
        </w:rPr>
        <w:t xml:space="preserve">would </w:t>
      </w:r>
      <w:r w:rsidR="004B626E" w:rsidRPr="00E2280E">
        <w:rPr>
          <w:rFonts w:asciiTheme="minorHAnsi" w:hAnsiTheme="minorHAnsi" w:cstheme="minorHAnsi"/>
          <w:sz w:val="20"/>
          <w:szCs w:val="20"/>
        </w:rPr>
        <w:t>follow the World Bank’s lead in adopting a narrow approach to review of their safeguard policies.</w:t>
      </w:r>
      <w:r w:rsidR="0049172C" w:rsidRPr="00E2280E">
        <w:rPr>
          <w:rFonts w:asciiTheme="minorHAnsi" w:hAnsiTheme="minorHAnsi" w:cstheme="minorHAnsi"/>
          <w:sz w:val="20"/>
          <w:szCs w:val="20"/>
        </w:rPr>
        <w:t xml:space="preserve"> </w:t>
      </w:r>
      <w:r>
        <w:rPr>
          <w:rFonts w:asciiTheme="minorHAnsi" w:hAnsiTheme="minorHAnsi" w:cstheme="minorHAnsi"/>
          <w:sz w:val="20"/>
          <w:szCs w:val="20"/>
        </w:rPr>
        <w:t xml:space="preserve">It was pointed </w:t>
      </w:r>
      <w:r w:rsidR="0049172C" w:rsidRPr="00E2280E">
        <w:rPr>
          <w:rFonts w:asciiTheme="minorHAnsi" w:hAnsiTheme="minorHAnsi" w:cstheme="minorHAnsi"/>
          <w:sz w:val="20"/>
          <w:szCs w:val="20"/>
        </w:rPr>
        <w:t>how other MDBs had wide scopes for their recent safeguards review processes.</w:t>
      </w:r>
      <w:r w:rsidR="005F45F2" w:rsidRPr="00E2280E">
        <w:rPr>
          <w:rFonts w:asciiTheme="minorHAnsi" w:hAnsiTheme="minorHAnsi" w:cstheme="minorHAnsi"/>
          <w:sz w:val="20"/>
          <w:szCs w:val="20"/>
        </w:rPr>
        <w:t xml:space="preserve"> It was emphasized that any harmonization across MDBs should be upward.</w:t>
      </w:r>
      <w:r w:rsidR="009D37B0" w:rsidRPr="00E2280E">
        <w:rPr>
          <w:rFonts w:asciiTheme="minorHAnsi" w:hAnsiTheme="minorHAnsi" w:cstheme="minorHAnsi"/>
          <w:sz w:val="20"/>
          <w:szCs w:val="20"/>
        </w:rPr>
        <w:t xml:space="preserve"> </w:t>
      </w:r>
      <w:r w:rsidR="001516FC" w:rsidRPr="00E2280E">
        <w:rPr>
          <w:rFonts w:asciiTheme="minorHAnsi" w:hAnsiTheme="minorHAnsi" w:cstheme="minorHAnsi"/>
          <w:sz w:val="20"/>
          <w:szCs w:val="20"/>
        </w:rPr>
        <w:t>Participants were interested to hear how the Safeguards Review fitted</w:t>
      </w:r>
      <w:r w:rsidR="007C1498" w:rsidRPr="00E2280E">
        <w:rPr>
          <w:rFonts w:asciiTheme="minorHAnsi" w:hAnsiTheme="minorHAnsi" w:cstheme="minorHAnsi"/>
          <w:sz w:val="20"/>
          <w:szCs w:val="20"/>
        </w:rPr>
        <w:t xml:space="preserve"> into wider World Bank </w:t>
      </w:r>
      <w:r w:rsidR="00B76524" w:rsidRPr="00E2280E">
        <w:rPr>
          <w:rFonts w:asciiTheme="minorHAnsi" w:hAnsiTheme="minorHAnsi" w:cstheme="minorHAnsi"/>
          <w:sz w:val="20"/>
          <w:szCs w:val="20"/>
        </w:rPr>
        <w:t xml:space="preserve">sector and country </w:t>
      </w:r>
      <w:r w:rsidR="007C1498" w:rsidRPr="00E2280E">
        <w:rPr>
          <w:rFonts w:asciiTheme="minorHAnsi" w:hAnsiTheme="minorHAnsi" w:cstheme="minorHAnsi"/>
          <w:sz w:val="20"/>
          <w:szCs w:val="20"/>
        </w:rPr>
        <w:t>strateg</w:t>
      </w:r>
      <w:r w:rsidR="00B76524" w:rsidRPr="00E2280E">
        <w:rPr>
          <w:rFonts w:asciiTheme="minorHAnsi" w:hAnsiTheme="minorHAnsi" w:cstheme="minorHAnsi"/>
          <w:sz w:val="20"/>
          <w:szCs w:val="20"/>
        </w:rPr>
        <w:t>ies</w:t>
      </w:r>
      <w:r w:rsidR="007C1498" w:rsidRPr="00E2280E">
        <w:rPr>
          <w:rFonts w:asciiTheme="minorHAnsi" w:hAnsiTheme="minorHAnsi" w:cstheme="minorHAnsi"/>
          <w:sz w:val="20"/>
          <w:szCs w:val="20"/>
        </w:rPr>
        <w:t xml:space="preserve"> and warned against it being developed in isolation.</w:t>
      </w:r>
    </w:p>
    <w:p w:rsidR="001516FC" w:rsidRPr="009D37B0" w:rsidRDefault="001516FC" w:rsidP="001516FC">
      <w:pPr>
        <w:tabs>
          <w:tab w:val="left" w:pos="3600"/>
          <w:tab w:val="left" w:pos="3780"/>
        </w:tabs>
        <w:spacing w:after="0" w:line="360" w:lineRule="auto"/>
        <w:jc w:val="both"/>
        <w:rPr>
          <w:rFonts w:asciiTheme="minorHAnsi" w:hAnsiTheme="minorHAnsi" w:cstheme="minorHAnsi"/>
          <w:b/>
          <w:sz w:val="24"/>
          <w:szCs w:val="24"/>
          <w:u w:val="single"/>
        </w:rPr>
      </w:pPr>
      <w:r w:rsidRPr="009D37B0">
        <w:rPr>
          <w:rFonts w:asciiTheme="minorHAnsi" w:hAnsiTheme="minorHAnsi" w:cstheme="minorHAnsi"/>
          <w:b/>
          <w:sz w:val="24"/>
          <w:szCs w:val="24"/>
          <w:u w:val="single"/>
        </w:rPr>
        <w:t xml:space="preserve">POLICY </w:t>
      </w:r>
    </w:p>
    <w:p w:rsidR="000D1063" w:rsidRPr="00E2280E" w:rsidRDefault="000D1063"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b/>
          <w:sz w:val="20"/>
          <w:szCs w:val="20"/>
        </w:rPr>
        <w:t>B</w:t>
      </w:r>
      <w:r w:rsidR="001516FC" w:rsidRPr="00E2280E">
        <w:rPr>
          <w:rFonts w:asciiTheme="minorHAnsi" w:hAnsiTheme="minorHAnsi" w:cstheme="minorHAnsi"/>
          <w:b/>
          <w:sz w:val="20"/>
          <w:szCs w:val="20"/>
        </w:rPr>
        <w:t>iodiversity issues</w:t>
      </w:r>
      <w:r w:rsidR="00C02547" w:rsidRPr="00E2280E">
        <w:rPr>
          <w:rFonts w:asciiTheme="minorHAnsi" w:hAnsiTheme="minorHAnsi" w:cstheme="minorHAnsi"/>
          <w:sz w:val="20"/>
          <w:szCs w:val="20"/>
        </w:rPr>
        <w:t xml:space="preserve"> </w:t>
      </w:r>
      <w:r w:rsidRPr="00E2280E">
        <w:rPr>
          <w:rFonts w:asciiTheme="minorHAnsi" w:hAnsiTheme="minorHAnsi" w:cstheme="minorHAnsi"/>
          <w:sz w:val="20"/>
          <w:szCs w:val="20"/>
        </w:rPr>
        <w:t xml:space="preserve">should </w:t>
      </w:r>
      <w:r w:rsidR="00C02547" w:rsidRPr="00E2280E">
        <w:rPr>
          <w:rFonts w:asciiTheme="minorHAnsi" w:hAnsiTheme="minorHAnsi" w:cstheme="minorHAnsi"/>
          <w:sz w:val="20"/>
          <w:szCs w:val="20"/>
        </w:rPr>
        <w:t>be a</w:t>
      </w:r>
      <w:r w:rsidR="001516FC" w:rsidRPr="00E2280E">
        <w:rPr>
          <w:rFonts w:asciiTheme="minorHAnsi" w:hAnsiTheme="minorHAnsi" w:cstheme="minorHAnsi"/>
          <w:sz w:val="20"/>
          <w:szCs w:val="20"/>
        </w:rPr>
        <w:t xml:space="preserve">dequately reflected </w:t>
      </w:r>
      <w:r w:rsidR="00B33137" w:rsidRPr="00E2280E">
        <w:rPr>
          <w:rFonts w:asciiTheme="minorHAnsi" w:hAnsiTheme="minorHAnsi" w:cstheme="minorHAnsi"/>
          <w:sz w:val="20"/>
          <w:szCs w:val="20"/>
        </w:rPr>
        <w:t>in the review</w:t>
      </w:r>
      <w:r w:rsidR="004B626E" w:rsidRPr="00E2280E">
        <w:rPr>
          <w:rFonts w:asciiTheme="minorHAnsi" w:hAnsiTheme="minorHAnsi" w:cstheme="minorHAnsi"/>
          <w:sz w:val="20"/>
          <w:szCs w:val="20"/>
        </w:rPr>
        <w:t>.</w:t>
      </w:r>
    </w:p>
    <w:p w:rsidR="000D1063" w:rsidRPr="00E2280E" w:rsidRDefault="000D1063"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sz w:val="20"/>
          <w:szCs w:val="20"/>
        </w:rPr>
        <w:t>E</w:t>
      </w:r>
      <w:r w:rsidR="00C02547" w:rsidRPr="00E2280E">
        <w:rPr>
          <w:rFonts w:asciiTheme="minorHAnsi" w:hAnsiTheme="minorHAnsi" w:cstheme="minorHAnsi"/>
          <w:sz w:val="20"/>
          <w:szCs w:val="20"/>
        </w:rPr>
        <w:t>xisting international</w:t>
      </w:r>
      <w:r w:rsidR="00B33137" w:rsidRPr="00E2280E">
        <w:rPr>
          <w:rFonts w:asciiTheme="minorHAnsi" w:hAnsiTheme="minorHAnsi" w:cstheme="minorHAnsi"/>
          <w:sz w:val="20"/>
          <w:szCs w:val="20"/>
        </w:rPr>
        <w:t xml:space="preserve"> </w:t>
      </w:r>
      <w:r w:rsidR="0049172C" w:rsidRPr="00E2280E">
        <w:rPr>
          <w:rFonts w:asciiTheme="minorHAnsi" w:hAnsiTheme="minorHAnsi" w:cstheme="minorHAnsi"/>
          <w:sz w:val="20"/>
          <w:szCs w:val="20"/>
        </w:rPr>
        <w:t xml:space="preserve">core </w:t>
      </w:r>
      <w:r w:rsidR="00E2280E" w:rsidRPr="00E2280E">
        <w:rPr>
          <w:rFonts w:asciiTheme="minorHAnsi" w:hAnsiTheme="minorHAnsi" w:cstheme="minorHAnsi"/>
          <w:b/>
          <w:sz w:val="20"/>
          <w:szCs w:val="20"/>
        </w:rPr>
        <w:t>labor</w:t>
      </w:r>
      <w:r w:rsidR="001516FC" w:rsidRPr="00E2280E">
        <w:rPr>
          <w:rFonts w:asciiTheme="minorHAnsi" w:hAnsiTheme="minorHAnsi" w:cstheme="minorHAnsi"/>
          <w:b/>
          <w:sz w:val="20"/>
          <w:szCs w:val="20"/>
        </w:rPr>
        <w:t xml:space="preserve"> standards</w:t>
      </w:r>
      <w:r w:rsidR="00B33137" w:rsidRPr="00E2280E">
        <w:rPr>
          <w:rFonts w:asciiTheme="minorHAnsi" w:hAnsiTheme="minorHAnsi" w:cstheme="minorHAnsi"/>
          <w:sz w:val="20"/>
          <w:szCs w:val="20"/>
        </w:rPr>
        <w:t xml:space="preserve"> </w:t>
      </w:r>
      <w:r w:rsidRPr="00E2280E">
        <w:rPr>
          <w:rFonts w:asciiTheme="minorHAnsi" w:hAnsiTheme="minorHAnsi" w:cstheme="minorHAnsi"/>
          <w:sz w:val="20"/>
          <w:szCs w:val="20"/>
        </w:rPr>
        <w:t xml:space="preserve">should </w:t>
      </w:r>
      <w:r w:rsidR="00C02547" w:rsidRPr="00E2280E">
        <w:rPr>
          <w:rFonts w:asciiTheme="minorHAnsi" w:hAnsiTheme="minorHAnsi" w:cstheme="minorHAnsi"/>
          <w:sz w:val="20"/>
          <w:szCs w:val="20"/>
        </w:rPr>
        <w:t xml:space="preserve">be </w:t>
      </w:r>
      <w:r w:rsidR="001516FC" w:rsidRPr="00E2280E">
        <w:rPr>
          <w:rFonts w:asciiTheme="minorHAnsi" w:hAnsiTheme="minorHAnsi" w:cstheme="minorHAnsi"/>
          <w:sz w:val="20"/>
          <w:szCs w:val="20"/>
        </w:rPr>
        <w:t xml:space="preserve">included </w:t>
      </w:r>
      <w:r w:rsidR="00B33137" w:rsidRPr="00E2280E">
        <w:rPr>
          <w:rFonts w:asciiTheme="minorHAnsi" w:hAnsiTheme="minorHAnsi" w:cstheme="minorHAnsi"/>
          <w:sz w:val="20"/>
          <w:szCs w:val="20"/>
        </w:rPr>
        <w:t>in the review</w:t>
      </w:r>
      <w:r w:rsidR="001516FC" w:rsidRPr="00E2280E">
        <w:rPr>
          <w:rFonts w:asciiTheme="minorHAnsi" w:hAnsiTheme="minorHAnsi" w:cstheme="minorHAnsi"/>
          <w:sz w:val="20"/>
          <w:szCs w:val="20"/>
        </w:rPr>
        <w:t>.</w:t>
      </w:r>
    </w:p>
    <w:p w:rsidR="000D1063" w:rsidRPr="00E2280E" w:rsidRDefault="000D1063" w:rsidP="000D1063">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sz w:val="20"/>
          <w:szCs w:val="20"/>
        </w:rPr>
        <w:t>The i</w:t>
      </w:r>
      <w:r w:rsidR="001516FC" w:rsidRPr="00E2280E">
        <w:rPr>
          <w:rFonts w:asciiTheme="minorHAnsi" w:hAnsiTheme="minorHAnsi" w:cstheme="minorHAnsi"/>
          <w:sz w:val="20"/>
          <w:szCs w:val="20"/>
        </w:rPr>
        <w:t xml:space="preserve">nclusion of </w:t>
      </w:r>
      <w:r w:rsidR="001516FC" w:rsidRPr="00E2280E">
        <w:rPr>
          <w:rFonts w:asciiTheme="minorHAnsi" w:hAnsiTheme="minorHAnsi" w:cstheme="minorHAnsi"/>
          <w:b/>
          <w:sz w:val="20"/>
          <w:szCs w:val="20"/>
        </w:rPr>
        <w:t>land tenure</w:t>
      </w:r>
      <w:r w:rsidR="001516FC" w:rsidRPr="00E2280E">
        <w:rPr>
          <w:rFonts w:asciiTheme="minorHAnsi" w:hAnsiTheme="minorHAnsi" w:cstheme="minorHAnsi"/>
          <w:sz w:val="20"/>
          <w:szCs w:val="20"/>
        </w:rPr>
        <w:t xml:space="preserve"> and management of natural resources </w:t>
      </w:r>
      <w:r w:rsidR="00E4642B">
        <w:rPr>
          <w:rFonts w:asciiTheme="minorHAnsi" w:hAnsiTheme="minorHAnsi" w:cstheme="minorHAnsi"/>
          <w:sz w:val="20"/>
          <w:szCs w:val="20"/>
        </w:rPr>
        <w:t xml:space="preserve">was </w:t>
      </w:r>
      <w:r w:rsidR="001516FC" w:rsidRPr="00E2280E">
        <w:rPr>
          <w:rFonts w:asciiTheme="minorHAnsi" w:hAnsiTheme="minorHAnsi" w:cstheme="minorHAnsi"/>
          <w:sz w:val="20"/>
          <w:szCs w:val="20"/>
        </w:rPr>
        <w:t xml:space="preserve">welcomed but concern </w:t>
      </w:r>
      <w:r w:rsidR="00E4642B">
        <w:rPr>
          <w:rFonts w:asciiTheme="minorHAnsi" w:hAnsiTheme="minorHAnsi" w:cstheme="minorHAnsi"/>
          <w:sz w:val="20"/>
          <w:szCs w:val="20"/>
        </w:rPr>
        <w:t xml:space="preserve">was </w:t>
      </w:r>
      <w:r w:rsidR="001516FC" w:rsidRPr="00E2280E">
        <w:rPr>
          <w:rFonts w:asciiTheme="minorHAnsi" w:hAnsiTheme="minorHAnsi" w:cstheme="minorHAnsi"/>
          <w:sz w:val="20"/>
          <w:szCs w:val="20"/>
        </w:rPr>
        <w:t xml:space="preserve">expressed over land tenure/involuntary settlement issues being caused by World Bank </w:t>
      </w:r>
      <w:r w:rsidRPr="00E2280E">
        <w:rPr>
          <w:rFonts w:asciiTheme="minorHAnsi" w:hAnsiTheme="minorHAnsi" w:cstheme="minorHAnsi"/>
          <w:sz w:val="20"/>
          <w:szCs w:val="20"/>
        </w:rPr>
        <w:t xml:space="preserve">funded </w:t>
      </w:r>
      <w:r w:rsidR="001516FC" w:rsidRPr="00E2280E">
        <w:rPr>
          <w:rFonts w:asciiTheme="minorHAnsi" w:hAnsiTheme="minorHAnsi" w:cstheme="minorHAnsi"/>
          <w:sz w:val="20"/>
          <w:szCs w:val="20"/>
        </w:rPr>
        <w:t xml:space="preserve">projects. </w:t>
      </w:r>
      <w:r w:rsidR="001516FC" w:rsidRPr="00E2280E">
        <w:rPr>
          <w:rFonts w:asciiTheme="minorHAnsi" w:hAnsiTheme="minorHAnsi" w:cstheme="minorHAnsi"/>
          <w:sz w:val="20"/>
          <w:szCs w:val="20"/>
        </w:rPr>
        <w:lastRenderedPageBreak/>
        <w:t xml:space="preserve">Concern </w:t>
      </w:r>
      <w:r w:rsidR="00E4642B">
        <w:rPr>
          <w:rFonts w:asciiTheme="minorHAnsi" w:hAnsiTheme="minorHAnsi" w:cstheme="minorHAnsi"/>
          <w:sz w:val="20"/>
          <w:szCs w:val="20"/>
        </w:rPr>
        <w:t xml:space="preserve">was also </w:t>
      </w:r>
      <w:r w:rsidR="001516FC" w:rsidRPr="00E2280E">
        <w:rPr>
          <w:rFonts w:asciiTheme="minorHAnsi" w:hAnsiTheme="minorHAnsi" w:cstheme="minorHAnsi"/>
          <w:sz w:val="20"/>
          <w:szCs w:val="20"/>
        </w:rPr>
        <w:t xml:space="preserve">expressed </w:t>
      </w:r>
      <w:r w:rsidR="005F45F2" w:rsidRPr="00E2280E">
        <w:rPr>
          <w:rFonts w:asciiTheme="minorHAnsi" w:hAnsiTheme="minorHAnsi" w:cstheme="minorHAnsi"/>
          <w:sz w:val="20"/>
          <w:szCs w:val="20"/>
        </w:rPr>
        <w:t xml:space="preserve">over the lack of recognition of customary land tenure and </w:t>
      </w:r>
      <w:r w:rsidR="001516FC" w:rsidRPr="00E2280E">
        <w:rPr>
          <w:rFonts w:asciiTheme="minorHAnsi" w:hAnsiTheme="minorHAnsi" w:cstheme="minorHAnsi"/>
          <w:sz w:val="20"/>
          <w:szCs w:val="20"/>
        </w:rPr>
        <w:t xml:space="preserve">that </w:t>
      </w:r>
      <w:r w:rsidR="007C1498" w:rsidRPr="00E2280E">
        <w:rPr>
          <w:rFonts w:asciiTheme="minorHAnsi" w:hAnsiTheme="minorHAnsi" w:cstheme="minorHAnsi"/>
          <w:sz w:val="20"/>
          <w:szCs w:val="20"/>
        </w:rPr>
        <w:t>there are “gaps” in current safeguards re land tenure</w:t>
      </w:r>
      <w:r w:rsidR="00E4642B">
        <w:rPr>
          <w:rFonts w:asciiTheme="minorHAnsi" w:hAnsiTheme="minorHAnsi" w:cstheme="minorHAnsi"/>
          <w:sz w:val="20"/>
          <w:szCs w:val="20"/>
        </w:rPr>
        <w:t>.</w:t>
      </w:r>
      <w:r w:rsidR="007C1498" w:rsidRPr="00E2280E">
        <w:rPr>
          <w:rFonts w:asciiTheme="minorHAnsi" w:hAnsiTheme="minorHAnsi" w:cstheme="minorHAnsi"/>
          <w:sz w:val="20"/>
          <w:szCs w:val="20"/>
        </w:rPr>
        <w:t xml:space="preserve"> </w:t>
      </w:r>
      <w:r w:rsidR="00E4642B">
        <w:rPr>
          <w:rFonts w:asciiTheme="minorHAnsi" w:hAnsiTheme="minorHAnsi" w:cstheme="minorHAnsi"/>
          <w:sz w:val="20"/>
          <w:szCs w:val="20"/>
        </w:rPr>
        <w:t>A</w:t>
      </w:r>
      <w:r w:rsidR="007C1498" w:rsidRPr="00E2280E">
        <w:rPr>
          <w:rFonts w:asciiTheme="minorHAnsi" w:hAnsiTheme="minorHAnsi" w:cstheme="minorHAnsi"/>
          <w:sz w:val="20"/>
          <w:szCs w:val="20"/>
        </w:rPr>
        <w:t xml:space="preserve"> specific safeguard on land tenure should be adopted.</w:t>
      </w:r>
    </w:p>
    <w:p w:rsidR="00DA73A4" w:rsidRPr="00E2280E" w:rsidRDefault="00DA73A4" w:rsidP="000D1063">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eastAsia="SimSun" w:hAnsiTheme="minorHAnsi" w:cstheme="minorHAnsi"/>
          <w:color w:val="000000"/>
          <w:sz w:val="20"/>
          <w:szCs w:val="20"/>
          <w:lang w:val="en-GB" w:eastAsia="zh-CN"/>
        </w:rPr>
        <w:t xml:space="preserve">As recommended by </w:t>
      </w:r>
      <w:r w:rsidR="009C043C" w:rsidRPr="00E2280E">
        <w:rPr>
          <w:rFonts w:asciiTheme="minorHAnsi" w:eastAsia="SimSun" w:hAnsiTheme="minorHAnsi" w:cstheme="minorHAnsi"/>
          <w:color w:val="000000"/>
          <w:sz w:val="20"/>
          <w:szCs w:val="20"/>
          <w:lang w:val="en-GB" w:eastAsia="zh-CN"/>
        </w:rPr>
        <w:t xml:space="preserve">the </w:t>
      </w:r>
      <w:r w:rsidRPr="00E2280E">
        <w:rPr>
          <w:rFonts w:asciiTheme="minorHAnsi" w:eastAsia="SimSun" w:hAnsiTheme="minorHAnsi" w:cstheme="minorHAnsi"/>
          <w:color w:val="000000"/>
          <w:sz w:val="20"/>
          <w:szCs w:val="20"/>
          <w:lang w:val="en-GB" w:eastAsia="zh-CN"/>
        </w:rPr>
        <w:t>2013 report by the UN Special Rapporteur on Adequate Housing</w:t>
      </w:r>
      <w:r w:rsidR="009C043C" w:rsidRPr="00E2280E">
        <w:rPr>
          <w:rFonts w:asciiTheme="minorHAnsi" w:eastAsia="SimSun" w:hAnsiTheme="minorHAnsi" w:cstheme="minorHAnsi"/>
          <w:color w:val="000000"/>
          <w:sz w:val="20"/>
          <w:szCs w:val="20"/>
          <w:lang w:val="en-GB" w:eastAsia="zh-CN"/>
        </w:rPr>
        <w:t>,</w:t>
      </w:r>
      <w:r w:rsidR="00097F07" w:rsidRPr="00E2280E">
        <w:rPr>
          <w:rFonts w:asciiTheme="minorHAnsi" w:eastAsia="SimSun" w:hAnsiTheme="minorHAnsi" w:cstheme="minorHAnsi"/>
          <w:color w:val="000000"/>
          <w:sz w:val="20"/>
          <w:szCs w:val="20"/>
          <w:lang w:val="en-GB" w:eastAsia="zh-CN"/>
        </w:rPr>
        <w:t xml:space="preserve"> </w:t>
      </w:r>
      <w:r w:rsidR="000D1063" w:rsidRPr="00E2280E">
        <w:rPr>
          <w:rFonts w:asciiTheme="minorHAnsi" w:eastAsia="SimSun" w:hAnsiTheme="minorHAnsi" w:cstheme="minorHAnsi"/>
          <w:color w:val="000000"/>
          <w:sz w:val="20"/>
          <w:szCs w:val="20"/>
          <w:lang w:val="en-GB" w:eastAsia="zh-CN"/>
        </w:rPr>
        <w:t>it is important</w:t>
      </w:r>
      <w:r w:rsidRPr="00E2280E">
        <w:rPr>
          <w:rFonts w:asciiTheme="minorHAnsi" w:eastAsia="SimSun" w:hAnsiTheme="minorHAnsi" w:cstheme="minorHAnsi"/>
          <w:color w:val="000000"/>
          <w:sz w:val="20"/>
          <w:szCs w:val="20"/>
          <w:lang w:val="en-GB" w:eastAsia="zh-CN"/>
        </w:rPr>
        <w:t xml:space="preserve"> </w:t>
      </w:r>
      <w:r w:rsidR="00E4642B">
        <w:rPr>
          <w:rFonts w:asciiTheme="minorHAnsi" w:eastAsia="SimSun" w:hAnsiTheme="minorHAnsi" w:cstheme="minorHAnsi"/>
          <w:color w:val="000000"/>
          <w:sz w:val="20"/>
          <w:szCs w:val="20"/>
          <w:lang w:val="en-GB" w:eastAsia="zh-CN"/>
        </w:rPr>
        <w:t xml:space="preserve">to </w:t>
      </w:r>
      <w:r w:rsidRPr="00E2280E">
        <w:rPr>
          <w:rFonts w:asciiTheme="minorHAnsi" w:eastAsia="SimSun" w:hAnsiTheme="minorHAnsi" w:cstheme="minorHAnsi"/>
          <w:color w:val="000000"/>
          <w:sz w:val="20"/>
          <w:szCs w:val="20"/>
          <w:lang w:val="en-GB" w:eastAsia="zh-CN"/>
        </w:rPr>
        <w:t xml:space="preserve">align the safeguard policies </w:t>
      </w:r>
      <w:r w:rsidR="00E4642B">
        <w:rPr>
          <w:rFonts w:asciiTheme="minorHAnsi" w:eastAsia="SimSun" w:hAnsiTheme="minorHAnsi" w:cstheme="minorHAnsi"/>
          <w:color w:val="000000"/>
          <w:sz w:val="20"/>
          <w:szCs w:val="20"/>
          <w:lang w:val="en-GB" w:eastAsia="zh-CN"/>
        </w:rPr>
        <w:t xml:space="preserve">with </w:t>
      </w:r>
      <w:r w:rsidRPr="00E2280E">
        <w:rPr>
          <w:rFonts w:asciiTheme="minorHAnsi" w:eastAsia="SimSun" w:hAnsiTheme="minorHAnsi" w:cstheme="minorHAnsi"/>
          <w:color w:val="000000"/>
          <w:sz w:val="20"/>
          <w:szCs w:val="20"/>
          <w:lang w:val="en-GB" w:eastAsia="zh-CN"/>
        </w:rPr>
        <w:t>human rights law and standards, for example in the context of resettlement</w:t>
      </w:r>
      <w:r w:rsidR="000D1063" w:rsidRPr="00E2280E">
        <w:rPr>
          <w:rFonts w:asciiTheme="minorHAnsi" w:eastAsia="SimSun" w:hAnsiTheme="minorHAnsi" w:cstheme="minorHAnsi"/>
          <w:color w:val="000000"/>
          <w:sz w:val="20"/>
          <w:szCs w:val="20"/>
          <w:lang w:val="en-GB" w:eastAsia="zh-CN"/>
        </w:rPr>
        <w:t xml:space="preserve">, </w:t>
      </w:r>
      <w:r w:rsidRPr="00E2280E">
        <w:rPr>
          <w:rFonts w:asciiTheme="minorHAnsi" w:eastAsia="SimSun" w:hAnsiTheme="minorHAnsi" w:cstheme="minorHAnsi"/>
          <w:color w:val="000000"/>
          <w:sz w:val="20"/>
          <w:szCs w:val="20"/>
          <w:lang w:val="en-GB" w:eastAsia="zh-CN"/>
        </w:rPr>
        <w:t xml:space="preserve">including a clear statement that the Bank would not support projects that might, directly or indirectly, lead to human rights violations such as forced evictions. </w:t>
      </w:r>
    </w:p>
    <w:p w:rsidR="000D1063" w:rsidRPr="00E2280E" w:rsidRDefault="00034A2E"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sz w:val="20"/>
          <w:szCs w:val="20"/>
        </w:rPr>
        <w:t>Where the Bank is providing</w:t>
      </w:r>
      <w:r w:rsidR="001516FC" w:rsidRPr="00E2280E">
        <w:rPr>
          <w:rFonts w:asciiTheme="minorHAnsi" w:hAnsiTheme="minorHAnsi" w:cstheme="minorHAnsi"/>
          <w:sz w:val="20"/>
          <w:szCs w:val="20"/>
        </w:rPr>
        <w:t xml:space="preserve"> </w:t>
      </w:r>
      <w:r w:rsidR="001516FC" w:rsidRPr="00E2280E">
        <w:rPr>
          <w:rFonts w:asciiTheme="minorHAnsi" w:hAnsiTheme="minorHAnsi" w:cstheme="minorHAnsi"/>
          <w:b/>
          <w:sz w:val="20"/>
          <w:szCs w:val="20"/>
        </w:rPr>
        <w:t>advisory services</w:t>
      </w:r>
      <w:r w:rsidR="001516FC" w:rsidRPr="00E2280E">
        <w:rPr>
          <w:rFonts w:asciiTheme="minorHAnsi" w:hAnsiTheme="minorHAnsi" w:cstheme="minorHAnsi"/>
          <w:sz w:val="20"/>
          <w:szCs w:val="20"/>
        </w:rPr>
        <w:t xml:space="preserve"> (especially on agricultural investment) </w:t>
      </w:r>
      <w:r w:rsidRPr="00E2280E">
        <w:rPr>
          <w:rFonts w:asciiTheme="minorHAnsi" w:hAnsiTheme="minorHAnsi" w:cstheme="minorHAnsi"/>
          <w:sz w:val="20"/>
          <w:szCs w:val="20"/>
        </w:rPr>
        <w:t>and technical assistance</w:t>
      </w:r>
      <w:r w:rsidR="000D1063" w:rsidRPr="00E2280E">
        <w:rPr>
          <w:rFonts w:asciiTheme="minorHAnsi" w:hAnsiTheme="minorHAnsi" w:cstheme="minorHAnsi"/>
          <w:sz w:val="20"/>
          <w:szCs w:val="20"/>
        </w:rPr>
        <w:t xml:space="preserve">, it should </w:t>
      </w:r>
      <w:r w:rsidR="00E4642B">
        <w:rPr>
          <w:rFonts w:asciiTheme="minorHAnsi" w:hAnsiTheme="minorHAnsi" w:cstheme="minorHAnsi"/>
          <w:sz w:val="20"/>
          <w:szCs w:val="20"/>
        </w:rPr>
        <w:t xml:space="preserve">be made </w:t>
      </w:r>
      <w:r w:rsidR="000D1063" w:rsidRPr="00E2280E">
        <w:rPr>
          <w:rFonts w:asciiTheme="minorHAnsi" w:hAnsiTheme="minorHAnsi" w:cstheme="minorHAnsi"/>
          <w:sz w:val="20"/>
          <w:szCs w:val="20"/>
        </w:rPr>
        <w:t xml:space="preserve">clear </w:t>
      </w:r>
      <w:r w:rsidRPr="00E2280E">
        <w:rPr>
          <w:rFonts w:asciiTheme="minorHAnsi" w:hAnsiTheme="minorHAnsi" w:cstheme="minorHAnsi"/>
          <w:sz w:val="20"/>
          <w:szCs w:val="20"/>
        </w:rPr>
        <w:t>that safeguards apply</w:t>
      </w:r>
      <w:r w:rsidR="00B33137" w:rsidRPr="00E2280E">
        <w:rPr>
          <w:rFonts w:asciiTheme="minorHAnsi" w:hAnsiTheme="minorHAnsi" w:cstheme="minorHAnsi"/>
          <w:sz w:val="20"/>
          <w:szCs w:val="20"/>
        </w:rPr>
        <w:t xml:space="preserve"> </w:t>
      </w:r>
      <w:r w:rsidRPr="00E2280E">
        <w:rPr>
          <w:rFonts w:asciiTheme="minorHAnsi" w:hAnsiTheme="minorHAnsi" w:cstheme="minorHAnsi"/>
          <w:sz w:val="20"/>
          <w:szCs w:val="20"/>
        </w:rPr>
        <w:t>to these types of Bank activity.</w:t>
      </w:r>
    </w:p>
    <w:p w:rsidR="001516FC" w:rsidRPr="00E2280E" w:rsidRDefault="001516FC"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sz w:val="20"/>
          <w:szCs w:val="20"/>
        </w:rPr>
        <w:t xml:space="preserve">An inquiry was made as to whether the review would look at how safeguard policies </w:t>
      </w:r>
      <w:r w:rsidR="00E4642B">
        <w:rPr>
          <w:rFonts w:asciiTheme="minorHAnsi" w:hAnsiTheme="minorHAnsi" w:cstheme="minorHAnsi"/>
          <w:sz w:val="20"/>
          <w:szCs w:val="20"/>
        </w:rPr>
        <w:t>affect</w:t>
      </w:r>
      <w:r w:rsidRPr="00E2280E">
        <w:rPr>
          <w:rFonts w:asciiTheme="minorHAnsi" w:hAnsiTheme="minorHAnsi" w:cstheme="minorHAnsi"/>
          <w:sz w:val="20"/>
          <w:szCs w:val="20"/>
        </w:rPr>
        <w:t xml:space="preserve"> </w:t>
      </w:r>
      <w:r w:rsidR="000077BC" w:rsidRPr="00E2280E">
        <w:rPr>
          <w:rFonts w:asciiTheme="minorHAnsi" w:hAnsiTheme="minorHAnsi" w:cstheme="minorHAnsi"/>
          <w:sz w:val="20"/>
          <w:szCs w:val="20"/>
        </w:rPr>
        <w:t xml:space="preserve">and include </w:t>
      </w:r>
      <w:r w:rsidRPr="00E2280E">
        <w:rPr>
          <w:rFonts w:asciiTheme="minorHAnsi" w:hAnsiTheme="minorHAnsi" w:cstheme="minorHAnsi"/>
          <w:sz w:val="20"/>
          <w:szCs w:val="20"/>
        </w:rPr>
        <w:t>micro</w:t>
      </w:r>
      <w:r w:rsidR="000077BC" w:rsidRPr="00E2280E">
        <w:rPr>
          <w:rFonts w:asciiTheme="minorHAnsi" w:hAnsiTheme="minorHAnsi" w:cstheme="minorHAnsi"/>
          <w:sz w:val="20"/>
          <w:szCs w:val="20"/>
        </w:rPr>
        <w:t xml:space="preserve"> and small </w:t>
      </w:r>
      <w:r w:rsidR="00DA73A4" w:rsidRPr="00E2280E">
        <w:rPr>
          <w:rFonts w:asciiTheme="minorHAnsi" w:hAnsiTheme="minorHAnsi" w:cstheme="minorHAnsi"/>
          <w:sz w:val="20"/>
          <w:szCs w:val="20"/>
        </w:rPr>
        <w:t>business</w:t>
      </w:r>
      <w:r w:rsidR="000077BC" w:rsidRPr="00E2280E">
        <w:rPr>
          <w:rFonts w:asciiTheme="minorHAnsi" w:hAnsiTheme="minorHAnsi" w:cstheme="minorHAnsi"/>
          <w:sz w:val="20"/>
          <w:szCs w:val="20"/>
        </w:rPr>
        <w:t>es</w:t>
      </w:r>
      <w:r w:rsidRPr="00E2280E">
        <w:rPr>
          <w:rFonts w:asciiTheme="minorHAnsi" w:hAnsiTheme="minorHAnsi" w:cstheme="minorHAnsi"/>
          <w:sz w:val="20"/>
          <w:szCs w:val="20"/>
        </w:rPr>
        <w:t xml:space="preserve">. </w:t>
      </w:r>
      <w:r w:rsidR="00C02547" w:rsidRPr="00E2280E">
        <w:rPr>
          <w:rFonts w:asciiTheme="minorHAnsi" w:hAnsiTheme="minorHAnsi" w:cstheme="minorHAnsi"/>
          <w:sz w:val="20"/>
          <w:szCs w:val="20"/>
        </w:rPr>
        <w:t>T</w:t>
      </w:r>
      <w:r w:rsidRPr="00E2280E">
        <w:rPr>
          <w:rFonts w:asciiTheme="minorHAnsi" w:hAnsiTheme="minorHAnsi" w:cstheme="minorHAnsi"/>
          <w:sz w:val="20"/>
          <w:szCs w:val="20"/>
        </w:rPr>
        <w:t>he Safeguards Team welcome</w:t>
      </w:r>
      <w:r w:rsidR="007C1498" w:rsidRPr="00E2280E">
        <w:rPr>
          <w:rFonts w:asciiTheme="minorHAnsi" w:hAnsiTheme="minorHAnsi" w:cstheme="minorHAnsi"/>
          <w:sz w:val="20"/>
          <w:szCs w:val="20"/>
        </w:rPr>
        <w:t>d</w:t>
      </w:r>
      <w:r w:rsidRPr="00E2280E">
        <w:rPr>
          <w:rFonts w:asciiTheme="minorHAnsi" w:hAnsiTheme="minorHAnsi" w:cstheme="minorHAnsi"/>
          <w:sz w:val="20"/>
          <w:szCs w:val="20"/>
        </w:rPr>
        <w:t xml:space="preserve"> a </w:t>
      </w:r>
      <w:r w:rsidR="00C02547" w:rsidRPr="00E2280E">
        <w:rPr>
          <w:rFonts w:asciiTheme="minorHAnsi" w:hAnsiTheme="minorHAnsi" w:cstheme="minorHAnsi"/>
          <w:sz w:val="20"/>
          <w:szCs w:val="20"/>
        </w:rPr>
        <w:t xml:space="preserve">written </w:t>
      </w:r>
      <w:r w:rsidRPr="00E2280E">
        <w:rPr>
          <w:rFonts w:asciiTheme="minorHAnsi" w:hAnsiTheme="minorHAnsi" w:cstheme="minorHAnsi"/>
          <w:sz w:val="20"/>
          <w:szCs w:val="20"/>
        </w:rPr>
        <w:t xml:space="preserve">submission on </w:t>
      </w:r>
      <w:r w:rsidR="00E4642B">
        <w:rPr>
          <w:rFonts w:asciiTheme="minorHAnsi" w:hAnsiTheme="minorHAnsi" w:cstheme="minorHAnsi"/>
          <w:sz w:val="20"/>
          <w:szCs w:val="20"/>
        </w:rPr>
        <w:t>this</w:t>
      </w:r>
      <w:r w:rsidRPr="00E2280E">
        <w:rPr>
          <w:rFonts w:asciiTheme="minorHAnsi" w:hAnsiTheme="minorHAnsi" w:cstheme="minorHAnsi"/>
          <w:sz w:val="20"/>
          <w:szCs w:val="20"/>
        </w:rPr>
        <w:t>.</w:t>
      </w:r>
    </w:p>
    <w:p w:rsidR="001516FC" w:rsidRPr="00E2280E" w:rsidRDefault="007C1498" w:rsidP="000D1063">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b/>
          <w:sz w:val="20"/>
          <w:szCs w:val="20"/>
        </w:rPr>
        <w:t xml:space="preserve">Vulnerable </w:t>
      </w:r>
      <w:r w:rsidR="001516FC" w:rsidRPr="00E2280E">
        <w:rPr>
          <w:rFonts w:asciiTheme="minorHAnsi" w:hAnsiTheme="minorHAnsi" w:cstheme="minorHAnsi"/>
          <w:b/>
          <w:sz w:val="20"/>
          <w:szCs w:val="20"/>
        </w:rPr>
        <w:t>groups</w:t>
      </w:r>
      <w:r w:rsidR="000D1063" w:rsidRPr="00E2280E">
        <w:rPr>
          <w:rFonts w:asciiTheme="minorHAnsi" w:hAnsiTheme="minorHAnsi" w:cstheme="minorHAnsi"/>
          <w:b/>
          <w:sz w:val="20"/>
          <w:szCs w:val="20"/>
        </w:rPr>
        <w:t>.</w:t>
      </w:r>
      <w:r w:rsidRPr="00E2280E">
        <w:rPr>
          <w:rFonts w:asciiTheme="minorHAnsi" w:hAnsiTheme="minorHAnsi" w:cstheme="minorHAnsi"/>
          <w:sz w:val="20"/>
          <w:szCs w:val="20"/>
        </w:rPr>
        <w:t xml:space="preserve"> C</w:t>
      </w:r>
      <w:r w:rsidR="001516FC" w:rsidRPr="00E2280E">
        <w:rPr>
          <w:rFonts w:asciiTheme="minorHAnsi" w:hAnsiTheme="minorHAnsi" w:cstheme="minorHAnsi"/>
          <w:sz w:val="20"/>
          <w:szCs w:val="20"/>
        </w:rPr>
        <w:t xml:space="preserve">hildren </w:t>
      </w:r>
      <w:r w:rsidRPr="00E2280E">
        <w:rPr>
          <w:rFonts w:asciiTheme="minorHAnsi" w:hAnsiTheme="minorHAnsi" w:cstheme="minorHAnsi"/>
          <w:sz w:val="20"/>
          <w:szCs w:val="20"/>
        </w:rPr>
        <w:t>and disabled people were found not to be</w:t>
      </w:r>
      <w:r w:rsidR="001516FC" w:rsidRPr="00E2280E">
        <w:rPr>
          <w:rFonts w:asciiTheme="minorHAnsi" w:hAnsiTheme="minorHAnsi" w:cstheme="minorHAnsi"/>
          <w:sz w:val="20"/>
          <w:szCs w:val="20"/>
        </w:rPr>
        <w:t xml:space="preserve"> adequately re</w:t>
      </w:r>
      <w:r w:rsidRPr="00E2280E">
        <w:rPr>
          <w:rFonts w:asciiTheme="minorHAnsi" w:hAnsiTheme="minorHAnsi" w:cstheme="minorHAnsi"/>
          <w:sz w:val="20"/>
          <w:szCs w:val="20"/>
        </w:rPr>
        <w:t xml:space="preserve">ferenced or provided for. Recognition of the differing needs of different groups of vulnerable people is needed. </w:t>
      </w:r>
      <w:r w:rsidR="00E4642B">
        <w:rPr>
          <w:rFonts w:asciiTheme="minorHAnsi" w:hAnsiTheme="minorHAnsi" w:cstheme="minorHAnsi"/>
          <w:sz w:val="20"/>
          <w:szCs w:val="20"/>
        </w:rPr>
        <w:t>A q</w:t>
      </w:r>
      <w:r w:rsidR="001516FC" w:rsidRPr="00E2280E">
        <w:rPr>
          <w:rFonts w:asciiTheme="minorHAnsi" w:hAnsiTheme="minorHAnsi" w:cstheme="minorHAnsi"/>
          <w:sz w:val="20"/>
          <w:szCs w:val="20"/>
        </w:rPr>
        <w:t>uestion was asked as to how the Bank will address downstream and upstream risks for vulnerable groups.</w:t>
      </w:r>
      <w:r w:rsidR="00B33137" w:rsidRPr="00E2280E">
        <w:rPr>
          <w:rFonts w:asciiTheme="minorHAnsi" w:hAnsiTheme="minorHAnsi" w:cstheme="minorHAnsi"/>
          <w:sz w:val="20"/>
          <w:szCs w:val="20"/>
        </w:rPr>
        <w:t xml:space="preserve"> It was suggested that i</w:t>
      </w:r>
      <w:r w:rsidR="001516FC" w:rsidRPr="00E2280E">
        <w:rPr>
          <w:rFonts w:asciiTheme="minorHAnsi" w:hAnsiTheme="minorHAnsi" w:cstheme="minorHAnsi"/>
          <w:sz w:val="20"/>
          <w:szCs w:val="20"/>
        </w:rPr>
        <w:t xml:space="preserve">mplementing more robust impact assessment policies </w:t>
      </w:r>
      <w:r w:rsidR="00B33137" w:rsidRPr="00E2280E">
        <w:rPr>
          <w:rFonts w:asciiTheme="minorHAnsi" w:hAnsiTheme="minorHAnsi" w:cstheme="minorHAnsi"/>
          <w:sz w:val="20"/>
          <w:szCs w:val="20"/>
        </w:rPr>
        <w:t>would be helpful</w:t>
      </w:r>
      <w:r w:rsidR="001516FC" w:rsidRPr="00E2280E">
        <w:rPr>
          <w:rFonts w:asciiTheme="minorHAnsi" w:hAnsiTheme="minorHAnsi" w:cstheme="minorHAnsi"/>
          <w:sz w:val="20"/>
          <w:szCs w:val="20"/>
        </w:rPr>
        <w:t xml:space="preserve"> </w:t>
      </w:r>
      <w:r w:rsidR="00B33137" w:rsidRPr="00E2280E">
        <w:rPr>
          <w:rFonts w:asciiTheme="minorHAnsi" w:hAnsiTheme="minorHAnsi" w:cstheme="minorHAnsi"/>
          <w:sz w:val="20"/>
          <w:szCs w:val="20"/>
        </w:rPr>
        <w:t xml:space="preserve">and the EBRD’s </w:t>
      </w:r>
      <w:r w:rsidR="000D1063" w:rsidRPr="00E2280E">
        <w:rPr>
          <w:rFonts w:asciiTheme="minorHAnsi" w:hAnsiTheme="minorHAnsi" w:cstheme="minorHAnsi"/>
          <w:sz w:val="20"/>
          <w:szCs w:val="20"/>
        </w:rPr>
        <w:t xml:space="preserve">(European Bank for Reconstruction and Development) </w:t>
      </w:r>
      <w:r w:rsidR="00B33137" w:rsidRPr="00E2280E">
        <w:rPr>
          <w:rFonts w:asciiTheme="minorHAnsi" w:hAnsiTheme="minorHAnsi" w:cstheme="minorHAnsi"/>
          <w:sz w:val="20"/>
          <w:szCs w:val="20"/>
        </w:rPr>
        <w:t xml:space="preserve">approach </w:t>
      </w:r>
      <w:r w:rsidR="005F45F2" w:rsidRPr="00E2280E">
        <w:rPr>
          <w:rFonts w:asciiTheme="minorHAnsi" w:hAnsiTheme="minorHAnsi" w:cstheme="minorHAnsi"/>
          <w:sz w:val="20"/>
          <w:szCs w:val="20"/>
        </w:rPr>
        <w:t xml:space="preserve">on forced </w:t>
      </w:r>
      <w:r w:rsidR="00E2280E" w:rsidRPr="00E2280E">
        <w:rPr>
          <w:rFonts w:asciiTheme="minorHAnsi" w:hAnsiTheme="minorHAnsi" w:cstheme="minorHAnsi"/>
          <w:sz w:val="20"/>
          <w:szCs w:val="20"/>
        </w:rPr>
        <w:t>labor</w:t>
      </w:r>
      <w:r w:rsidR="005F45F2" w:rsidRPr="00E2280E">
        <w:rPr>
          <w:rFonts w:asciiTheme="minorHAnsi" w:hAnsiTheme="minorHAnsi" w:cstheme="minorHAnsi"/>
          <w:sz w:val="20"/>
          <w:szCs w:val="20"/>
        </w:rPr>
        <w:t xml:space="preserve"> </w:t>
      </w:r>
      <w:r w:rsidR="00B33137" w:rsidRPr="00E2280E">
        <w:rPr>
          <w:rFonts w:asciiTheme="minorHAnsi" w:hAnsiTheme="minorHAnsi" w:cstheme="minorHAnsi"/>
          <w:sz w:val="20"/>
          <w:szCs w:val="20"/>
        </w:rPr>
        <w:t>was referenced as</w:t>
      </w:r>
      <w:r w:rsidR="001516FC" w:rsidRPr="00E2280E">
        <w:rPr>
          <w:rFonts w:asciiTheme="minorHAnsi" w:hAnsiTheme="minorHAnsi" w:cstheme="minorHAnsi"/>
          <w:sz w:val="20"/>
          <w:szCs w:val="20"/>
        </w:rPr>
        <w:t xml:space="preserve"> an example to follow.</w:t>
      </w:r>
    </w:p>
    <w:p w:rsidR="000D1063" w:rsidRPr="00E2280E" w:rsidRDefault="000D1063"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sz w:val="20"/>
          <w:szCs w:val="20"/>
        </w:rPr>
        <w:t>T</w:t>
      </w:r>
      <w:r w:rsidR="00951CE4" w:rsidRPr="00E2280E">
        <w:rPr>
          <w:rFonts w:asciiTheme="minorHAnsi" w:hAnsiTheme="minorHAnsi" w:cstheme="minorHAnsi"/>
          <w:sz w:val="20"/>
          <w:szCs w:val="20"/>
        </w:rPr>
        <w:t>he review process should take into account parallel work being done on inclusion and sustainability in the post 2015 Millennium Development Goals (MDGs)</w:t>
      </w:r>
      <w:r w:rsidR="001516FC" w:rsidRPr="00E2280E">
        <w:rPr>
          <w:rFonts w:asciiTheme="minorHAnsi" w:hAnsiTheme="minorHAnsi" w:cstheme="minorHAnsi"/>
          <w:sz w:val="20"/>
          <w:szCs w:val="20"/>
        </w:rPr>
        <w:t xml:space="preserve"> and </w:t>
      </w:r>
      <w:r w:rsidR="00951CE4" w:rsidRPr="00E2280E">
        <w:rPr>
          <w:rFonts w:asciiTheme="minorHAnsi" w:hAnsiTheme="minorHAnsi" w:cstheme="minorHAnsi"/>
          <w:sz w:val="20"/>
          <w:szCs w:val="20"/>
        </w:rPr>
        <w:t>Sustainable Development Goals (SDGs)</w:t>
      </w:r>
      <w:r w:rsidR="00667D8B" w:rsidRPr="00E2280E">
        <w:rPr>
          <w:rFonts w:asciiTheme="minorHAnsi" w:hAnsiTheme="minorHAnsi" w:cstheme="minorHAnsi"/>
          <w:sz w:val="20"/>
          <w:szCs w:val="20"/>
        </w:rPr>
        <w:t xml:space="preserve"> processes</w:t>
      </w:r>
      <w:r w:rsidR="00951CE4" w:rsidRPr="00E2280E">
        <w:rPr>
          <w:rFonts w:asciiTheme="minorHAnsi" w:hAnsiTheme="minorHAnsi" w:cstheme="minorHAnsi"/>
          <w:sz w:val="20"/>
          <w:szCs w:val="20"/>
        </w:rPr>
        <w:t>. Some participants thought a</w:t>
      </w:r>
      <w:r w:rsidR="001516FC" w:rsidRPr="00E2280E">
        <w:rPr>
          <w:rFonts w:asciiTheme="minorHAnsi" w:hAnsiTheme="minorHAnsi" w:cstheme="minorHAnsi"/>
          <w:sz w:val="20"/>
          <w:szCs w:val="20"/>
        </w:rPr>
        <w:t xml:space="preserve"> goal </w:t>
      </w:r>
      <w:r w:rsidR="007C7261" w:rsidRPr="00E2280E">
        <w:rPr>
          <w:rFonts w:asciiTheme="minorHAnsi" w:hAnsiTheme="minorHAnsi" w:cstheme="minorHAnsi"/>
          <w:sz w:val="20"/>
          <w:szCs w:val="20"/>
        </w:rPr>
        <w:t>of</w:t>
      </w:r>
      <w:r w:rsidR="001516FC" w:rsidRPr="00E2280E">
        <w:rPr>
          <w:rFonts w:asciiTheme="minorHAnsi" w:hAnsiTheme="minorHAnsi" w:cstheme="minorHAnsi"/>
          <w:sz w:val="20"/>
          <w:szCs w:val="20"/>
        </w:rPr>
        <w:t xml:space="preserve"> </w:t>
      </w:r>
      <w:r w:rsidR="00951CE4" w:rsidRPr="00E2280E">
        <w:rPr>
          <w:rFonts w:asciiTheme="minorHAnsi" w:hAnsiTheme="minorHAnsi" w:cstheme="minorHAnsi"/>
          <w:sz w:val="20"/>
          <w:szCs w:val="20"/>
        </w:rPr>
        <w:t xml:space="preserve">achieving </w:t>
      </w:r>
      <w:r w:rsidR="001516FC" w:rsidRPr="00E2280E">
        <w:rPr>
          <w:rFonts w:asciiTheme="minorHAnsi" w:hAnsiTheme="minorHAnsi" w:cstheme="minorHAnsi"/>
          <w:sz w:val="20"/>
          <w:szCs w:val="20"/>
        </w:rPr>
        <w:t xml:space="preserve">equity and inclusion </w:t>
      </w:r>
      <w:r w:rsidR="00951CE4" w:rsidRPr="00E2280E">
        <w:rPr>
          <w:rFonts w:asciiTheme="minorHAnsi" w:hAnsiTheme="minorHAnsi" w:cstheme="minorHAnsi"/>
          <w:sz w:val="20"/>
          <w:szCs w:val="20"/>
        </w:rPr>
        <w:t>should be included in the</w:t>
      </w:r>
      <w:r w:rsidR="001516FC" w:rsidRPr="00E2280E">
        <w:rPr>
          <w:rFonts w:asciiTheme="minorHAnsi" w:hAnsiTheme="minorHAnsi" w:cstheme="minorHAnsi"/>
          <w:sz w:val="20"/>
          <w:szCs w:val="20"/>
        </w:rPr>
        <w:t xml:space="preserve"> new safeguards framework and that the Safeguards Team </w:t>
      </w:r>
      <w:r w:rsidR="00951CE4" w:rsidRPr="00E2280E">
        <w:rPr>
          <w:rFonts w:asciiTheme="minorHAnsi" w:hAnsiTheme="minorHAnsi" w:cstheme="minorHAnsi"/>
          <w:sz w:val="20"/>
          <w:szCs w:val="20"/>
        </w:rPr>
        <w:t xml:space="preserve">should </w:t>
      </w:r>
      <w:r w:rsidR="001516FC" w:rsidRPr="00E2280E">
        <w:rPr>
          <w:rFonts w:asciiTheme="minorHAnsi" w:hAnsiTheme="minorHAnsi" w:cstheme="minorHAnsi"/>
          <w:sz w:val="20"/>
          <w:szCs w:val="20"/>
        </w:rPr>
        <w:t>ensure</w:t>
      </w:r>
      <w:r w:rsidR="007C7261" w:rsidRPr="00E2280E">
        <w:rPr>
          <w:rFonts w:asciiTheme="minorHAnsi" w:hAnsiTheme="minorHAnsi" w:cstheme="minorHAnsi"/>
          <w:sz w:val="20"/>
          <w:szCs w:val="20"/>
        </w:rPr>
        <w:t xml:space="preserve"> that the </w:t>
      </w:r>
      <w:r w:rsidR="00E2280E" w:rsidRPr="00E2280E">
        <w:rPr>
          <w:rFonts w:asciiTheme="minorHAnsi" w:hAnsiTheme="minorHAnsi" w:cstheme="minorHAnsi"/>
          <w:i/>
          <w:sz w:val="20"/>
          <w:szCs w:val="20"/>
        </w:rPr>
        <w:t>disaggregated</w:t>
      </w:r>
      <w:r w:rsidR="003471F0" w:rsidRPr="00E2280E">
        <w:rPr>
          <w:rFonts w:asciiTheme="minorHAnsi" w:hAnsiTheme="minorHAnsi" w:cstheme="minorHAnsi"/>
          <w:sz w:val="20"/>
          <w:szCs w:val="20"/>
        </w:rPr>
        <w:t xml:space="preserve"> </w:t>
      </w:r>
      <w:r w:rsidR="007C7261" w:rsidRPr="00E2280E">
        <w:rPr>
          <w:rFonts w:asciiTheme="minorHAnsi" w:hAnsiTheme="minorHAnsi" w:cstheme="minorHAnsi"/>
          <w:sz w:val="20"/>
          <w:szCs w:val="20"/>
        </w:rPr>
        <w:t>data exist</w:t>
      </w:r>
      <w:r w:rsidR="001516FC" w:rsidRPr="00E2280E">
        <w:rPr>
          <w:rFonts w:asciiTheme="minorHAnsi" w:hAnsiTheme="minorHAnsi" w:cstheme="minorHAnsi"/>
          <w:sz w:val="20"/>
          <w:szCs w:val="20"/>
        </w:rPr>
        <w:t xml:space="preserve"> to monitor progress made towards the goal.</w:t>
      </w:r>
    </w:p>
    <w:p w:rsidR="000D1063" w:rsidRPr="00E2280E" w:rsidRDefault="000D1063"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b/>
          <w:sz w:val="20"/>
          <w:szCs w:val="20"/>
        </w:rPr>
        <w:t>A</w:t>
      </w:r>
      <w:r w:rsidR="00DA73A4" w:rsidRPr="00E2280E">
        <w:rPr>
          <w:rFonts w:asciiTheme="minorHAnsi" w:hAnsiTheme="minorHAnsi" w:cstheme="minorHAnsi"/>
          <w:b/>
          <w:sz w:val="20"/>
          <w:szCs w:val="20"/>
        </w:rPr>
        <w:t>dequate human rights</w:t>
      </w:r>
      <w:r w:rsidR="00DA73A4" w:rsidRPr="00E2280E">
        <w:rPr>
          <w:rFonts w:asciiTheme="minorHAnsi" w:hAnsiTheme="minorHAnsi" w:cstheme="minorHAnsi"/>
          <w:sz w:val="20"/>
          <w:szCs w:val="20"/>
        </w:rPr>
        <w:t xml:space="preserve"> due diligence carried out by the Bank, as increasingly suggested by a number of UN Special Procedures, would be an excellent tool to identify the potential risks to human rights the Bank’s activities might pose and would also help identifying potential impact on different interest groups, such as children and women. Human </w:t>
      </w:r>
      <w:r w:rsidR="00E4642B">
        <w:rPr>
          <w:rFonts w:asciiTheme="minorHAnsi" w:hAnsiTheme="minorHAnsi" w:cstheme="minorHAnsi"/>
          <w:sz w:val="20"/>
          <w:szCs w:val="20"/>
        </w:rPr>
        <w:t>r</w:t>
      </w:r>
      <w:r w:rsidR="00DA73A4" w:rsidRPr="00E2280E">
        <w:rPr>
          <w:rFonts w:asciiTheme="minorHAnsi" w:hAnsiTheme="minorHAnsi" w:cstheme="minorHAnsi"/>
          <w:sz w:val="20"/>
          <w:szCs w:val="20"/>
        </w:rPr>
        <w:t>ights</w:t>
      </w:r>
      <w:r w:rsidR="00E4642B">
        <w:rPr>
          <w:rFonts w:asciiTheme="minorHAnsi" w:hAnsiTheme="minorHAnsi" w:cstheme="minorHAnsi"/>
          <w:sz w:val="20"/>
          <w:szCs w:val="20"/>
        </w:rPr>
        <w:t xml:space="preserve"> d</w:t>
      </w:r>
      <w:r w:rsidR="00DA73A4" w:rsidRPr="00E2280E">
        <w:rPr>
          <w:rFonts w:asciiTheme="minorHAnsi" w:hAnsiTheme="minorHAnsi" w:cstheme="minorHAnsi"/>
          <w:sz w:val="20"/>
          <w:szCs w:val="20"/>
        </w:rPr>
        <w:t xml:space="preserve">ue </w:t>
      </w:r>
      <w:r w:rsidR="00E4642B">
        <w:rPr>
          <w:rFonts w:asciiTheme="minorHAnsi" w:hAnsiTheme="minorHAnsi" w:cstheme="minorHAnsi"/>
          <w:sz w:val="20"/>
          <w:szCs w:val="20"/>
        </w:rPr>
        <w:t>d</w:t>
      </w:r>
      <w:r w:rsidR="00DA73A4" w:rsidRPr="00E2280E">
        <w:rPr>
          <w:rFonts w:asciiTheme="minorHAnsi" w:hAnsiTheme="minorHAnsi" w:cstheme="minorHAnsi"/>
          <w:sz w:val="20"/>
          <w:szCs w:val="20"/>
        </w:rPr>
        <w:t xml:space="preserve">iligence was </w:t>
      </w:r>
      <w:r w:rsidR="001516FC" w:rsidRPr="00E2280E">
        <w:rPr>
          <w:rFonts w:asciiTheme="minorHAnsi" w:hAnsiTheme="minorHAnsi" w:cstheme="minorHAnsi"/>
          <w:sz w:val="20"/>
          <w:szCs w:val="20"/>
        </w:rPr>
        <w:t xml:space="preserve">considered across the group to be of the upmost importance. Where governance or the rule of law is weak, participants asked that the Bank not </w:t>
      </w:r>
      <w:r w:rsidR="00DA73A4" w:rsidRPr="00E2280E">
        <w:rPr>
          <w:rFonts w:asciiTheme="minorHAnsi" w:hAnsiTheme="minorHAnsi" w:cstheme="minorHAnsi"/>
          <w:sz w:val="20"/>
          <w:szCs w:val="20"/>
        </w:rPr>
        <w:t xml:space="preserve">completely </w:t>
      </w:r>
      <w:r w:rsidR="001516FC" w:rsidRPr="00E2280E">
        <w:rPr>
          <w:rFonts w:asciiTheme="minorHAnsi" w:hAnsiTheme="minorHAnsi" w:cstheme="minorHAnsi"/>
          <w:sz w:val="20"/>
          <w:szCs w:val="20"/>
        </w:rPr>
        <w:t>devolve responsibility to governments</w:t>
      </w:r>
      <w:r w:rsidR="00170E42" w:rsidRPr="00E2280E">
        <w:rPr>
          <w:rFonts w:asciiTheme="minorHAnsi" w:hAnsiTheme="minorHAnsi" w:cstheme="minorHAnsi"/>
          <w:sz w:val="20"/>
          <w:szCs w:val="20"/>
        </w:rPr>
        <w:t>,</w:t>
      </w:r>
      <w:r w:rsidR="001516FC" w:rsidRPr="00E2280E">
        <w:rPr>
          <w:rFonts w:asciiTheme="minorHAnsi" w:hAnsiTheme="minorHAnsi" w:cstheme="minorHAnsi"/>
          <w:sz w:val="20"/>
          <w:szCs w:val="20"/>
        </w:rPr>
        <w:t xml:space="preserve"> but rather</w:t>
      </w:r>
      <w:r w:rsidR="00DA73A4" w:rsidRPr="00E2280E">
        <w:rPr>
          <w:rFonts w:asciiTheme="minorHAnsi" w:hAnsiTheme="minorHAnsi" w:cstheme="minorHAnsi"/>
          <w:sz w:val="20"/>
          <w:szCs w:val="20"/>
        </w:rPr>
        <w:t xml:space="preserve"> also</w:t>
      </w:r>
      <w:r w:rsidR="001516FC" w:rsidRPr="00E2280E">
        <w:rPr>
          <w:rFonts w:asciiTheme="minorHAnsi" w:hAnsiTheme="minorHAnsi" w:cstheme="minorHAnsi"/>
          <w:sz w:val="20"/>
          <w:szCs w:val="20"/>
        </w:rPr>
        <w:t xml:space="preserve"> take responsibility for its role in </w:t>
      </w:r>
      <w:r w:rsidR="004B626E" w:rsidRPr="00E2280E">
        <w:rPr>
          <w:rFonts w:asciiTheme="minorHAnsi" w:hAnsiTheme="minorHAnsi" w:cstheme="minorHAnsi"/>
          <w:sz w:val="20"/>
          <w:szCs w:val="20"/>
        </w:rPr>
        <w:t>contributing to</w:t>
      </w:r>
      <w:r w:rsidR="001516FC" w:rsidRPr="00E2280E">
        <w:rPr>
          <w:rFonts w:asciiTheme="minorHAnsi" w:hAnsiTheme="minorHAnsi" w:cstheme="minorHAnsi"/>
          <w:sz w:val="20"/>
          <w:szCs w:val="20"/>
        </w:rPr>
        <w:t xml:space="preserve"> </w:t>
      </w:r>
      <w:r w:rsidR="00951CE4" w:rsidRPr="00E2280E">
        <w:rPr>
          <w:rFonts w:asciiTheme="minorHAnsi" w:hAnsiTheme="minorHAnsi" w:cstheme="minorHAnsi"/>
          <w:sz w:val="20"/>
          <w:szCs w:val="20"/>
        </w:rPr>
        <w:t xml:space="preserve">potential </w:t>
      </w:r>
      <w:r w:rsidR="001516FC" w:rsidRPr="00E2280E">
        <w:rPr>
          <w:rFonts w:asciiTheme="minorHAnsi" w:hAnsiTheme="minorHAnsi" w:cstheme="minorHAnsi"/>
          <w:sz w:val="20"/>
          <w:szCs w:val="20"/>
        </w:rPr>
        <w:t>detrimental effects on human rights through its lending</w:t>
      </w:r>
      <w:r w:rsidR="00647922">
        <w:rPr>
          <w:rFonts w:asciiTheme="minorHAnsi" w:hAnsiTheme="minorHAnsi" w:cstheme="minorHAnsi"/>
          <w:sz w:val="20"/>
          <w:szCs w:val="20"/>
        </w:rPr>
        <w:t>. In this regard, the Bank should</w:t>
      </w:r>
      <w:r w:rsidR="00DA73A4" w:rsidRPr="00E2280E">
        <w:rPr>
          <w:rFonts w:asciiTheme="minorHAnsi" w:hAnsiTheme="minorHAnsi" w:cstheme="minorHAnsi"/>
          <w:sz w:val="20"/>
          <w:szCs w:val="20"/>
        </w:rPr>
        <w:t xml:space="preserve"> ensur</w:t>
      </w:r>
      <w:r w:rsidR="00647922">
        <w:rPr>
          <w:rFonts w:asciiTheme="minorHAnsi" w:hAnsiTheme="minorHAnsi" w:cstheme="minorHAnsi"/>
          <w:sz w:val="20"/>
          <w:szCs w:val="20"/>
        </w:rPr>
        <w:t>e</w:t>
      </w:r>
      <w:r w:rsidR="00DA73A4" w:rsidRPr="00E2280E">
        <w:rPr>
          <w:rFonts w:asciiTheme="minorHAnsi" w:hAnsiTheme="minorHAnsi" w:cstheme="minorHAnsi"/>
          <w:sz w:val="20"/>
          <w:szCs w:val="20"/>
        </w:rPr>
        <w:t xml:space="preserve"> </w:t>
      </w:r>
      <w:r w:rsidR="00647922">
        <w:rPr>
          <w:rFonts w:asciiTheme="minorHAnsi" w:hAnsiTheme="minorHAnsi" w:cstheme="minorHAnsi"/>
          <w:sz w:val="20"/>
          <w:szCs w:val="20"/>
        </w:rPr>
        <w:t xml:space="preserve">that </w:t>
      </w:r>
      <w:r w:rsidR="00DA73A4" w:rsidRPr="00E2280E">
        <w:rPr>
          <w:rFonts w:asciiTheme="minorHAnsi" w:hAnsiTheme="minorHAnsi" w:cstheme="minorHAnsi"/>
          <w:sz w:val="20"/>
          <w:szCs w:val="20"/>
        </w:rPr>
        <w:t>impact assessments carried out by the borrowers adequately identify potential adverse impact to communities likely to be affected.</w:t>
      </w:r>
    </w:p>
    <w:p w:rsidR="000D1063" w:rsidRPr="00E2280E" w:rsidRDefault="007C7261"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sidRPr="00E2280E">
        <w:rPr>
          <w:rFonts w:asciiTheme="minorHAnsi" w:hAnsiTheme="minorHAnsi" w:cstheme="minorHAnsi"/>
          <w:b/>
          <w:sz w:val="20"/>
          <w:szCs w:val="20"/>
        </w:rPr>
        <w:t>Impact on livelihoods</w:t>
      </w:r>
      <w:r w:rsidR="000D1063" w:rsidRPr="00E2280E">
        <w:rPr>
          <w:rFonts w:asciiTheme="minorHAnsi" w:hAnsiTheme="minorHAnsi" w:cstheme="minorHAnsi"/>
          <w:b/>
          <w:sz w:val="20"/>
          <w:szCs w:val="20"/>
        </w:rPr>
        <w:t>.</w:t>
      </w:r>
      <w:r w:rsidRPr="00E2280E">
        <w:rPr>
          <w:rFonts w:asciiTheme="minorHAnsi" w:hAnsiTheme="minorHAnsi" w:cstheme="minorHAnsi"/>
          <w:sz w:val="20"/>
          <w:szCs w:val="20"/>
        </w:rPr>
        <w:t xml:space="preserve"> </w:t>
      </w:r>
      <w:r w:rsidR="000D1063" w:rsidRPr="00E2280E">
        <w:rPr>
          <w:rFonts w:asciiTheme="minorHAnsi" w:hAnsiTheme="minorHAnsi" w:cstheme="minorHAnsi"/>
          <w:sz w:val="20"/>
          <w:szCs w:val="20"/>
        </w:rPr>
        <w:t>I</w:t>
      </w:r>
      <w:r w:rsidR="00647922">
        <w:rPr>
          <w:rFonts w:asciiTheme="minorHAnsi" w:hAnsiTheme="minorHAnsi" w:cstheme="minorHAnsi"/>
          <w:sz w:val="20"/>
          <w:szCs w:val="20"/>
        </w:rPr>
        <w:t xml:space="preserve">t is </w:t>
      </w:r>
      <w:r w:rsidR="006C5AD2" w:rsidRPr="00E2280E">
        <w:rPr>
          <w:rFonts w:asciiTheme="minorHAnsi" w:hAnsiTheme="minorHAnsi" w:cstheme="minorHAnsi"/>
          <w:sz w:val="20"/>
          <w:szCs w:val="20"/>
        </w:rPr>
        <w:t>important</w:t>
      </w:r>
      <w:r w:rsidR="000D1063" w:rsidRPr="00E2280E">
        <w:rPr>
          <w:rFonts w:asciiTheme="minorHAnsi" w:hAnsiTheme="minorHAnsi" w:cstheme="minorHAnsi"/>
          <w:sz w:val="20"/>
          <w:szCs w:val="20"/>
        </w:rPr>
        <w:t xml:space="preserve"> </w:t>
      </w:r>
      <w:r w:rsidR="001516FC" w:rsidRPr="00E2280E">
        <w:rPr>
          <w:rFonts w:asciiTheme="minorHAnsi" w:hAnsiTheme="minorHAnsi" w:cstheme="minorHAnsi"/>
          <w:sz w:val="20"/>
          <w:szCs w:val="20"/>
        </w:rPr>
        <w:t xml:space="preserve">to </w:t>
      </w:r>
      <w:r w:rsidR="000077BC" w:rsidRPr="00E2280E">
        <w:rPr>
          <w:rFonts w:asciiTheme="minorHAnsi" w:hAnsiTheme="minorHAnsi" w:cstheme="minorHAnsi"/>
          <w:sz w:val="20"/>
          <w:szCs w:val="20"/>
        </w:rPr>
        <w:t xml:space="preserve">mainstream </w:t>
      </w:r>
      <w:r w:rsidR="001516FC" w:rsidRPr="00E2280E">
        <w:rPr>
          <w:rFonts w:asciiTheme="minorHAnsi" w:hAnsiTheme="minorHAnsi" w:cstheme="minorHAnsi"/>
          <w:sz w:val="20"/>
          <w:szCs w:val="20"/>
        </w:rPr>
        <w:t xml:space="preserve">livelihoods more robustly </w:t>
      </w:r>
      <w:r w:rsidR="000077BC" w:rsidRPr="00E2280E">
        <w:rPr>
          <w:rFonts w:asciiTheme="minorHAnsi" w:hAnsiTheme="minorHAnsi" w:cstheme="minorHAnsi"/>
          <w:sz w:val="20"/>
          <w:szCs w:val="20"/>
        </w:rPr>
        <w:t xml:space="preserve">throughout </w:t>
      </w:r>
      <w:r w:rsidRPr="00E2280E">
        <w:rPr>
          <w:rFonts w:asciiTheme="minorHAnsi" w:hAnsiTheme="minorHAnsi" w:cstheme="minorHAnsi"/>
          <w:sz w:val="20"/>
          <w:szCs w:val="20"/>
        </w:rPr>
        <w:t xml:space="preserve">the </w:t>
      </w:r>
      <w:r w:rsidR="00647922">
        <w:rPr>
          <w:rFonts w:asciiTheme="minorHAnsi" w:hAnsiTheme="minorHAnsi" w:cstheme="minorHAnsi"/>
          <w:sz w:val="20"/>
          <w:szCs w:val="20"/>
        </w:rPr>
        <w:t>s</w:t>
      </w:r>
      <w:r w:rsidRPr="00E2280E">
        <w:rPr>
          <w:rFonts w:asciiTheme="minorHAnsi" w:hAnsiTheme="minorHAnsi" w:cstheme="minorHAnsi"/>
          <w:sz w:val="20"/>
          <w:szCs w:val="20"/>
        </w:rPr>
        <w:t xml:space="preserve">afeguards </w:t>
      </w:r>
      <w:r w:rsidR="000077BC" w:rsidRPr="00E2280E">
        <w:rPr>
          <w:rFonts w:asciiTheme="minorHAnsi" w:hAnsiTheme="minorHAnsi" w:cstheme="minorHAnsi"/>
          <w:sz w:val="20"/>
          <w:szCs w:val="20"/>
        </w:rPr>
        <w:t>so that the impact of World Bank projects on livelihoods can be much better and also more consistently understood</w:t>
      </w:r>
      <w:r w:rsidRPr="00E2280E">
        <w:rPr>
          <w:rFonts w:asciiTheme="minorHAnsi" w:hAnsiTheme="minorHAnsi" w:cstheme="minorHAnsi"/>
          <w:sz w:val="20"/>
          <w:szCs w:val="20"/>
        </w:rPr>
        <w:t>.</w:t>
      </w:r>
    </w:p>
    <w:p w:rsidR="000D1063" w:rsidRPr="00E2280E" w:rsidRDefault="00E2280E" w:rsidP="001516FC">
      <w:pPr>
        <w:pStyle w:val="ListParagraph"/>
        <w:numPr>
          <w:ilvl w:val="0"/>
          <w:numId w:val="10"/>
        </w:numPr>
        <w:tabs>
          <w:tab w:val="left" w:pos="3600"/>
          <w:tab w:val="left" w:pos="3780"/>
        </w:tabs>
        <w:spacing w:after="0" w:line="360" w:lineRule="auto"/>
        <w:jc w:val="both"/>
        <w:rPr>
          <w:rFonts w:asciiTheme="minorHAnsi" w:hAnsiTheme="minorHAnsi" w:cstheme="minorHAnsi"/>
          <w:sz w:val="20"/>
          <w:szCs w:val="20"/>
        </w:rPr>
      </w:pPr>
      <w:r>
        <w:rPr>
          <w:rFonts w:asciiTheme="minorHAnsi" w:hAnsiTheme="minorHAnsi" w:cstheme="minorHAnsi"/>
          <w:b/>
          <w:sz w:val="20"/>
          <w:szCs w:val="20"/>
        </w:rPr>
        <w:t>Current f</w:t>
      </w:r>
      <w:r w:rsidR="001516FC" w:rsidRPr="00E2280E">
        <w:rPr>
          <w:rFonts w:asciiTheme="minorHAnsi" w:hAnsiTheme="minorHAnsi" w:cstheme="minorHAnsi"/>
          <w:b/>
          <w:sz w:val="20"/>
          <w:szCs w:val="20"/>
        </w:rPr>
        <w:t>orest provisions</w:t>
      </w:r>
      <w:r w:rsidR="001516FC" w:rsidRPr="00E2280E">
        <w:rPr>
          <w:rFonts w:asciiTheme="minorHAnsi" w:hAnsiTheme="minorHAnsi" w:cstheme="minorHAnsi"/>
          <w:sz w:val="20"/>
          <w:szCs w:val="20"/>
        </w:rPr>
        <w:t xml:space="preserve"> are considered </w:t>
      </w:r>
      <w:r w:rsidR="00951CE4" w:rsidRPr="00E2280E">
        <w:rPr>
          <w:rFonts w:asciiTheme="minorHAnsi" w:hAnsiTheme="minorHAnsi" w:cstheme="minorHAnsi"/>
          <w:sz w:val="20"/>
          <w:szCs w:val="20"/>
        </w:rPr>
        <w:t xml:space="preserve">by certain groups as </w:t>
      </w:r>
      <w:r w:rsidR="001516FC" w:rsidRPr="00E2280E">
        <w:rPr>
          <w:rFonts w:asciiTheme="minorHAnsi" w:hAnsiTheme="minorHAnsi" w:cstheme="minorHAnsi"/>
          <w:sz w:val="20"/>
          <w:szCs w:val="20"/>
        </w:rPr>
        <w:t>outdated and there was a call for a strengthened approach t</w:t>
      </w:r>
      <w:r w:rsidR="007C7261" w:rsidRPr="00E2280E">
        <w:rPr>
          <w:rFonts w:asciiTheme="minorHAnsi" w:hAnsiTheme="minorHAnsi" w:cstheme="minorHAnsi"/>
          <w:sz w:val="20"/>
          <w:szCs w:val="20"/>
        </w:rPr>
        <w:t>owards forests and eco systems.</w:t>
      </w:r>
      <w:r w:rsidR="00353F5D" w:rsidRPr="00E2280E">
        <w:rPr>
          <w:rFonts w:asciiTheme="minorHAnsi" w:hAnsiTheme="minorHAnsi" w:cstheme="minorHAnsi"/>
          <w:sz w:val="20"/>
          <w:szCs w:val="20"/>
        </w:rPr>
        <w:t xml:space="preserve"> There was also a call for it to be made clear that the provisions </w:t>
      </w:r>
      <w:r w:rsidR="00647922">
        <w:rPr>
          <w:rFonts w:asciiTheme="minorHAnsi" w:hAnsiTheme="minorHAnsi" w:cstheme="minorHAnsi"/>
          <w:sz w:val="20"/>
          <w:szCs w:val="20"/>
        </w:rPr>
        <w:t xml:space="preserve">that </w:t>
      </w:r>
      <w:r w:rsidR="00353F5D" w:rsidRPr="00E2280E">
        <w:rPr>
          <w:rFonts w:asciiTheme="minorHAnsi" w:hAnsiTheme="minorHAnsi" w:cstheme="minorHAnsi"/>
          <w:sz w:val="20"/>
          <w:szCs w:val="20"/>
        </w:rPr>
        <w:t>apply to In</w:t>
      </w:r>
      <w:r w:rsidR="00BF591E" w:rsidRPr="00E2280E">
        <w:rPr>
          <w:rFonts w:asciiTheme="minorHAnsi" w:hAnsiTheme="minorHAnsi" w:cstheme="minorHAnsi"/>
          <w:sz w:val="20"/>
          <w:szCs w:val="20"/>
        </w:rPr>
        <w:t>digenous Peoples</w:t>
      </w:r>
      <w:r w:rsidR="00353F5D" w:rsidRPr="00E2280E">
        <w:rPr>
          <w:rFonts w:asciiTheme="minorHAnsi" w:hAnsiTheme="minorHAnsi" w:cstheme="minorHAnsi"/>
          <w:sz w:val="20"/>
          <w:szCs w:val="20"/>
        </w:rPr>
        <w:t xml:space="preserve"> also apply to vulnerable groups.</w:t>
      </w:r>
    </w:p>
    <w:p w:rsidR="000D1063" w:rsidRPr="003B513E" w:rsidRDefault="00C45499" w:rsidP="003B513E">
      <w:pPr>
        <w:pStyle w:val="ListParagraph"/>
        <w:numPr>
          <w:ilvl w:val="0"/>
          <w:numId w:val="10"/>
        </w:numPr>
        <w:tabs>
          <w:tab w:val="left" w:pos="3600"/>
          <w:tab w:val="left" w:pos="3780"/>
        </w:tabs>
        <w:spacing w:after="0" w:line="240" w:lineRule="auto"/>
        <w:jc w:val="both"/>
        <w:rPr>
          <w:rFonts w:asciiTheme="minorHAnsi" w:hAnsiTheme="minorHAnsi" w:cstheme="minorHAnsi"/>
          <w:b/>
          <w:sz w:val="24"/>
          <w:szCs w:val="24"/>
        </w:rPr>
      </w:pPr>
      <w:r w:rsidRPr="003B513E">
        <w:rPr>
          <w:rFonts w:asciiTheme="minorHAnsi" w:hAnsiTheme="minorHAnsi" w:cstheme="minorHAnsi"/>
          <w:b/>
          <w:sz w:val="20"/>
          <w:szCs w:val="20"/>
        </w:rPr>
        <w:t>Transparency</w:t>
      </w:r>
      <w:r w:rsidR="000D1063" w:rsidRPr="003B513E">
        <w:rPr>
          <w:rFonts w:asciiTheme="minorHAnsi" w:hAnsiTheme="minorHAnsi" w:cstheme="minorHAnsi"/>
          <w:b/>
          <w:sz w:val="20"/>
          <w:szCs w:val="20"/>
        </w:rPr>
        <w:t>.</w:t>
      </w:r>
      <w:r w:rsidRPr="003B513E">
        <w:rPr>
          <w:rFonts w:asciiTheme="minorHAnsi" w:hAnsiTheme="minorHAnsi" w:cstheme="minorHAnsi"/>
          <w:b/>
          <w:sz w:val="20"/>
          <w:szCs w:val="20"/>
        </w:rPr>
        <w:t xml:space="preserve"> </w:t>
      </w:r>
      <w:r w:rsidR="000D1063" w:rsidRPr="003B513E">
        <w:rPr>
          <w:rFonts w:asciiTheme="minorHAnsi" w:hAnsiTheme="minorHAnsi" w:cstheme="minorHAnsi"/>
          <w:sz w:val="20"/>
          <w:szCs w:val="20"/>
        </w:rPr>
        <w:t>M</w:t>
      </w:r>
      <w:r w:rsidRPr="003B513E">
        <w:rPr>
          <w:rFonts w:asciiTheme="minorHAnsi" w:hAnsiTheme="minorHAnsi" w:cstheme="minorHAnsi"/>
          <w:sz w:val="20"/>
          <w:szCs w:val="20"/>
        </w:rPr>
        <w:t xml:space="preserve">ore transparency </w:t>
      </w:r>
      <w:r w:rsidR="000D1063" w:rsidRPr="003B513E">
        <w:rPr>
          <w:rFonts w:asciiTheme="minorHAnsi" w:hAnsiTheme="minorHAnsi" w:cstheme="minorHAnsi"/>
          <w:sz w:val="20"/>
          <w:szCs w:val="20"/>
        </w:rPr>
        <w:t xml:space="preserve">should </w:t>
      </w:r>
      <w:r w:rsidRPr="003B513E">
        <w:rPr>
          <w:rFonts w:asciiTheme="minorHAnsi" w:hAnsiTheme="minorHAnsi" w:cstheme="minorHAnsi"/>
          <w:sz w:val="20"/>
          <w:szCs w:val="20"/>
        </w:rPr>
        <w:t>be included in the safeguards especially for early disclosure and to prevent country vetoes over publication.</w:t>
      </w:r>
      <w:bookmarkStart w:id="0" w:name="_GoBack"/>
      <w:bookmarkEnd w:id="0"/>
      <w:r w:rsidR="000D1063" w:rsidRPr="003B513E">
        <w:rPr>
          <w:rFonts w:asciiTheme="minorHAnsi" w:hAnsiTheme="minorHAnsi" w:cstheme="minorHAnsi"/>
          <w:b/>
          <w:sz w:val="24"/>
          <w:szCs w:val="24"/>
        </w:rPr>
        <w:br w:type="page"/>
      </w:r>
    </w:p>
    <w:p w:rsidR="00C83796" w:rsidRPr="009D37B0" w:rsidRDefault="004C787E" w:rsidP="00BF53B7">
      <w:pPr>
        <w:jc w:val="center"/>
        <w:rPr>
          <w:rFonts w:asciiTheme="minorHAnsi" w:hAnsiTheme="minorHAnsi" w:cstheme="minorHAnsi"/>
          <w:b/>
          <w:color w:val="365F91" w:themeColor="accent1" w:themeShade="BF"/>
          <w:sz w:val="24"/>
        </w:rPr>
      </w:pPr>
      <w:r w:rsidRPr="009D37B0">
        <w:rPr>
          <w:rFonts w:asciiTheme="minorHAnsi" w:hAnsiTheme="minorHAnsi" w:cstheme="minorHAnsi"/>
          <w:b/>
          <w:color w:val="365F91" w:themeColor="accent1" w:themeShade="BF"/>
          <w:sz w:val="24"/>
        </w:rPr>
        <w:lastRenderedPageBreak/>
        <w:t>Annex</w:t>
      </w:r>
    </w:p>
    <w:p w:rsidR="00DA73A4" w:rsidRPr="009D37B0" w:rsidRDefault="003B513E" w:rsidP="004C787E">
      <w:pPr>
        <w:jc w:val="center"/>
        <w:rPr>
          <w:rFonts w:asciiTheme="minorHAnsi" w:hAnsiTheme="minorHAnsi" w:cstheme="minorHAnsi"/>
          <w:b/>
          <w:color w:val="17365D"/>
          <w:spacing w:val="5"/>
          <w:kern w:val="28"/>
          <w:sz w:val="24"/>
          <w:szCs w:val="24"/>
        </w:rPr>
      </w:pPr>
      <w:r>
        <w:rPr>
          <w:rFonts w:asciiTheme="minorHAnsi" w:hAnsiTheme="minorHAnsi" w:cstheme="minorHAnsi"/>
          <w:noProof/>
          <w:color w:val="000000"/>
          <w:sz w:val="24"/>
          <w:szCs w:val="24"/>
        </w:rPr>
        <w:drawing>
          <wp:inline distT="0" distB="0" distL="0" distR="0">
            <wp:extent cx="3445510" cy="1007110"/>
            <wp:effectExtent l="0" t="0" r="2540" b="2540"/>
            <wp:docPr id="3"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different scenes such as green fields, water, an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510" cy="1007110"/>
                    </a:xfrm>
                    <a:prstGeom prst="rect">
                      <a:avLst/>
                    </a:prstGeom>
                    <a:noFill/>
                    <a:ln>
                      <a:noFill/>
                    </a:ln>
                  </pic:spPr>
                </pic:pic>
              </a:graphicData>
            </a:graphic>
          </wp:inline>
        </w:drawing>
      </w:r>
    </w:p>
    <w:p w:rsidR="004C787E" w:rsidRPr="009D37B0" w:rsidRDefault="004C787E" w:rsidP="004C787E">
      <w:pPr>
        <w:jc w:val="center"/>
        <w:rPr>
          <w:rFonts w:asciiTheme="minorHAnsi" w:hAnsiTheme="minorHAnsi" w:cstheme="minorHAnsi"/>
          <w:b/>
          <w:color w:val="365F91" w:themeColor="accent1" w:themeShade="BF"/>
          <w:spacing w:val="5"/>
          <w:kern w:val="28"/>
          <w:sz w:val="24"/>
        </w:rPr>
      </w:pPr>
      <w:r w:rsidRPr="009D37B0">
        <w:rPr>
          <w:rFonts w:asciiTheme="minorHAnsi" w:hAnsiTheme="minorHAnsi" w:cstheme="minorHAnsi"/>
          <w:b/>
          <w:color w:val="365F91" w:themeColor="accent1" w:themeShade="BF"/>
          <w:spacing w:val="5"/>
          <w:kern w:val="28"/>
          <w:sz w:val="24"/>
        </w:rPr>
        <w:t xml:space="preserve">The World Bank </w:t>
      </w:r>
    </w:p>
    <w:p w:rsidR="004C787E" w:rsidRPr="009D37B0" w:rsidRDefault="004C787E" w:rsidP="004C787E">
      <w:pPr>
        <w:jc w:val="center"/>
        <w:rPr>
          <w:rFonts w:asciiTheme="minorHAnsi" w:hAnsiTheme="minorHAnsi" w:cstheme="minorHAnsi"/>
          <w:b/>
          <w:color w:val="365F91" w:themeColor="accent1" w:themeShade="BF"/>
          <w:sz w:val="24"/>
        </w:rPr>
      </w:pPr>
      <w:r w:rsidRPr="009D37B0">
        <w:rPr>
          <w:rFonts w:asciiTheme="minorHAnsi" w:hAnsiTheme="minorHAnsi" w:cstheme="minorHAnsi"/>
          <w:b/>
          <w:color w:val="365F91" w:themeColor="accent1" w:themeShade="BF"/>
          <w:sz w:val="24"/>
        </w:rPr>
        <w:t>Review and Update of the World Bank’s Environmental and Social Safeguard Policies</w:t>
      </w:r>
    </w:p>
    <w:p w:rsidR="004C787E" w:rsidRPr="009D37B0" w:rsidRDefault="004C787E" w:rsidP="004C787E">
      <w:pPr>
        <w:pStyle w:val="Title"/>
        <w:jc w:val="center"/>
        <w:rPr>
          <w:rFonts w:asciiTheme="minorHAnsi" w:hAnsiTheme="minorHAnsi" w:cstheme="minorHAnsi"/>
          <w:b/>
          <w:color w:val="365F91" w:themeColor="accent1" w:themeShade="BF"/>
          <w:sz w:val="24"/>
        </w:rPr>
      </w:pPr>
      <w:r w:rsidRPr="009D37B0">
        <w:rPr>
          <w:rFonts w:asciiTheme="minorHAnsi" w:hAnsiTheme="minorHAnsi" w:cstheme="minorHAnsi"/>
          <w:b/>
          <w:color w:val="365F91" w:themeColor="accent1" w:themeShade="BF"/>
          <w:sz w:val="24"/>
        </w:rPr>
        <w:t>Consultation Meeting – Participant List</w:t>
      </w:r>
    </w:p>
    <w:p w:rsidR="004C787E" w:rsidRPr="000D1063" w:rsidRDefault="004C787E" w:rsidP="004C787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 w:val="20"/>
          <w:lang w:val="en-US"/>
        </w:rPr>
      </w:pPr>
      <w:r w:rsidRPr="000D1063">
        <w:rPr>
          <w:rFonts w:asciiTheme="minorHAnsi" w:hAnsiTheme="minorHAnsi" w:cstheme="minorHAnsi"/>
          <w:b/>
          <w:bCs/>
          <w:sz w:val="20"/>
          <w:lang w:val="en-US"/>
        </w:rPr>
        <w:t xml:space="preserve">Date: </w:t>
      </w:r>
      <w:r w:rsidR="00594973" w:rsidRPr="000D1063">
        <w:rPr>
          <w:rFonts w:asciiTheme="minorHAnsi" w:hAnsiTheme="minorHAnsi" w:cstheme="minorHAnsi"/>
          <w:bCs/>
          <w:sz w:val="20"/>
          <w:lang w:val="en-US"/>
        </w:rPr>
        <w:t>March 7</w:t>
      </w:r>
      <w:r w:rsidR="006C5AD2">
        <w:rPr>
          <w:rFonts w:asciiTheme="minorHAnsi" w:hAnsiTheme="minorHAnsi" w:cstheme="minorHAnsi"/>
          <w:bCs/>
          <w:sz w:val="20"/>
          <w:lang w:val="en-US"/>
        </w:rPr>
        <w:t>,</w:t>
      </w:r>
      <w:r w:rsidR="00594973" w:rsidRPr="000D1063">
        <w:rPr>
          <w:rFonts w:asciiTheme="minorHAnsi" w:hAnsiTheme="minorHAnsi" w:cstheme="minorHAnsi"/>
          <w:bCs/>
          <w:sz w:val="20"/>
          <w:lang w:val="en-US"/>
        </w:rPr>
        <w:t xml:space="preserve"> 2013</w:t>
      </w:r>
    </w:p>
    <w:p w:rsidR="004C787E" w:rsidRPr="000D1063" w:rsidRDefault="004C787E" w:rsidP="004C787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bCs/>
          <w:sz w:val="20"/>
          <w:lang w:val="en-US"/>
        </w:rPr>
      </w:pPr>
      <w:r w:rsidRPr="000D1063">
        <w:rPr>
          <w:rFonts w:asciiTheme="minorHAnsi" w:hAnsiTheme="minorHAnsi" w:cstheme="minorHAnsi"/>
          <w:b/>
          <w:bCs/>
          <w:sz w:val="20"/>
          <w:lang w:val="en-US"/>
        </w:rPr>
        <w:t xml:space="preserve">Venue: </w:t>
      </w:r>
      <w:r w:rsidR="00684C50" w:rsidRPr="000D1063">
        <w:rPr>
          <w:rFonts w:asciiTheme="minorHAnsi" w:hAnsiTheme="minorHAnsi" w:cstheme="minorHAnsi"/>
          <w:bCs/>
          <w:sz w:val="20"/>
          <w:lang w:val="en-US"/>
        </w:rPr>
        <w:t xml:space="preserve">Central Hall Westminster, </w:t>
      </w:r>
      <w:r w:rsidR="00AC0617" w:rsidRPr="000D1063">
        <w:rPr>
          <w:rFonts w:asciiTheme="minorHAnsi" w:hAnsiTheme="minorHAnsi" w:cstheme="minorHAnsi"/>
          <w:bCs/>
          <w:sz w:val="20"/>
          <w:lang w:val="en-US"/>
        </w:rPr>
        <w:t xml:space="preserve">London, </w:t>
      </w:r>
      <w:r w:rsidR="00AC0617" w:rsidRPr="000D1063">
        <w:rPr>
          <w:rFonts w:asciiTheme="minorHAnsi" w:eastAsia="Calibri" w:hAnsiTheme="minorHAnsi" w:cstheme="minorHAnsi"/>
          <w:color w:val="222222"/>
          <w:kern w:val="0"/>
          <w:sz w:val="20"/>
          <w:lang w:val="en-US" w:eastAsia="en-US" w:bidi="ar-SA"/>
        </w:rPr>
        <w:t>SW1H 9NH</w:t>
      </w:r>
    </w:p>
    <w:p w:rsidR="00594973" w:rsidRPr="009D37B0" w:rsidRDefault="00594973" w:rsidP="004C787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bCs/>
          <w:szCs w:val="24"/>
          <w:lang w:val="en-US"/>
        </w:rPr>
      </w:pPr>
    </w:p>
    <w:tbl>
      <w:tblPr>
        <w:tblStyle w:val="TableGrid"/>
        <w:tblW w:w="7582" w:type="dxa"/>
        <w:tblLayout w:type="fixed"/>
        <w:tblLook w:val="04A0" w:firstRow="1" w:lastRow="0" w:firstColumn="1" w:lastColumn="0" w:noHBand="0" w:noVBand="1"/>
      </w:tblPr>
      <w:tblGrid>
        <w:gridCol w:w="558"/>
        <w:gridCol w:w="4230"/>
        <w:gridCol w:w="2794"/>
      </w:tblGrid>
      <w:tr w:rsidR="003B513E" w:rsidRPr="006C5AD2" w:rsidTr="003B513E">
        <w:tc>
          <w:tcPr>
            <w:tcW w:w="558" w:type="dxa"/>
          </w:tcPr>
          <w:p w:rsidR="003B513E" w:rsidRPr="003B513E" w:rsidRDefault="003B513E" w:rsidP="003B513E">
            <w:pPr>
              <w:pStyle w:val="ippara2"/>
              <w:numPr>
                <w:ilvl w:val="0"/>
                <w:numId w:val="0"/>
              </w:numPr>
              <w:spacing w:after="0" w:line="240" w:lineRule="auto"/>
              <w:rPr>
                <w:rFonts w:asciiTheme="minorHAnsi" w:hAnsiTheme="minorHAnsi" w:cstheme="minorHAnsi"/>
                <w:b/>
                <w:lang w:val="en-GB"/>
              </w:rPr>
            </w:pPr>
            <w:r w:rsidRPr="003B513E">
              <w:rPr>
                <w:rFonts w:asciiTheme="minorHAnsi" w:hAnsiTheme="minorHAnsi" w:cstheme="minorHAnsi"/>
                <w:b/>
                <w:lang w:val="en-GB"/>
              </w:rPr>
              <w:t>No.</w:t>
            </w:r>
          </w:p>
        </w:tc>
        <w:tc>
          <w:tcPr>
            <w:tcW w:w="4230" w:type="dxa"/>
          </w:tcPr>
          <w:p w:rsidR="003B513E" w:rsidRPr="003B513E" w:rsidRDefault="003B513E" w:rsidP="003B513E">
            <w:pPr>
              <w:spacing w:after="0" w:line="240" w:lineRule="auto"/>
              <w:rPr>
                <w:rFonts w:asciiTheme="minorHAnsi" w:hAnsiTheme="minorHAnsi" w:cstheme="minorHAnsi"/>
                <w:b/>
                <w:bCs/>
                <w:lang w:val="en-GB"/>
              </w:rPr>
            </w:pPr>
            <w:r w:rsidRPr="003B513E">
              <w:rPr>
                <w:rFonts w:asciiTheme="minorHAnsi" w:hAnsiTheme="minorHAnsi" w:cstheme="minorHAnsi"/>
                <w:b/>
                <w:bCs/>
                <w:lang w:val="en-GB"/>
              </w:rPr>
              <w:t>Name</w:t>
            </w:r>
          </w:p>
        </w:tc>
        <w:tc>
          <w:tcPr>
            <w:tcW w:w="2794" w:type="dxa"/>
          </w:tcPr>
          <w:p w:rsidR="003B513E" w:rsidRPr="003B513E" w:rsidRDefault="003B513E" w:rsidP="003B513E">
            <w:pPr>
              <w:spacing w:after="0" w:line="240" w:lineRule="auto"/>
              <w:jc w:val="both"/>
              <w:rPr>
                <w:rFonts w:asciiTheme="minorHAnsi" w:hAnsiTheme="minorHAnsi" w:cstheme="minorHAnsi"/>
                <w:b/>
              </w:rPr>
            </w:pPr>
            <w:r w:rsidRPr="003B513E">
              <w:rPr>
                <w:rFonts w:asciiTheme="minorHAnsi" w:hAnsiTheme="minorHAnsi" w:cstheme="minorHAnsi"/>
                <w:b/>
              </w:rPr>
              <w:t>Organization</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lang w:val="en-GB"/>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bCs/>
                <w:lang w:val="en-GB"/>
              </w:rPr>
              <w:t xml:space="preserve">Tim Wainwright, </w:t>
            </w:r>
            <w:r w:rsidRPr="00647922">
              <w:rPr>
                <w:rFonts w:asciiTheme="minorHAnsi" w:hAnsiTheme="minorHAnsi" w:cstheme="minorHAnsi"/>
                <w:lang w:val="en-GB"/>
              </w:rPr>
              <w:t>Chief Executive</w:t>
            </w:r>
          </w:p>
        </w:tc>
        <w:tc>
          <w:tcPr>
            <w:tcW w:w="2794" w:type="dxa"/>
          </w:tcPr>
          <w:p w:rsidR="003B513E" w:rsidRPr="00647922" w:rsidRDefault="003B513E" w:rsidP="003B513E">
            <w:pPr>
              <w:spacing w:after="0" w:line="240" w:lineRule="auto"/>
              <w:jc w:val="both"/>
              <w:rPr>
                <w:rFonts w:asciiTheme="minorHAnsi" w:eastAsia="Calibri" w:hAnsiTheme="minorHAnsi" w:cstheme="minorHAnsi"/>
                <w:bCs/>
                <w:sz w:val="22"/>
                <w:szCs w:val="22"/>
                <w:lang w:val="en-GB"/>
              </w:rPr>
            </w:pPr>
            <w:r w:rsidRPr="00647922">
              <w:rPr>
                <w:rFonts w:asciiTheme="minorHAnsi" w:hAnsiTheme="minorHAnsi" w:cstheme="minorHAnsi"/>
              </w:rPr>
              <w:t>ADD International</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Alessandra Masci, Global Thematic Issues</w:t>
            </w:r>
          </w:p>
        </w:tc>
        <w:tc>
          <w:tcPr>
            <w:tcW w:w="2794" w:type="dxa"/>
          </w:tcPr>
          <w:p w:rsidR="003B513E" w:rsidRPr="00647922" w:rsidRDefault="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Amnesty International</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Malavika Vartak, Coordinator, ESCR Rights</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Joanna Ewart-James, Supply Chain Project Coordinator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Anti-Slavery International</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David Banisar, Senior Legal Counsel</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Article 19</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Elana Berger, International Child Rights Campaign</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Bank Information Center</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Stephen Mooney, Global Policy Safeguards Officer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Bird Life</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Peter Chowla, Coordinator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Bretton Woods Project</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Beck Wallace, Extractive Industries &amp; Corruption</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Cafod</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Josh Roberts, Lawyer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Client Earth</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Tom Griffiths, Coordinator, Responsible Finance Prog.</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Forest People Programme</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lang w:val="fr-CH"/>
              </w:rPr>
            </w:pPr>
          </w:p>
        </w:tc>
        <w:tc>
          <w:tcPr>
            <w:tcW w:w="4230" w:type="dxa"/>
          </w:tcPr>
          <w:p w:rsidR="003B513E" w:rsidRPr="003B513E" w:rsidRDefault="003B513E" w:rsidP="003B513E">
            <w:pPr>
              <w:spacing w:after="0" w:line="240" w:lineRule="auto"/>
              <w:rPr>
                <w:rFonts w:asciiTheme="minorHAnsi" w:hAnsiTheme="minorHAnsi" w:cstheme="minorHAnsi"/>
                <w:lang w:val="fr-CH"/>
              </w:rPr>
            </w:pPr>
            <w:r w:rsidRPr="003B513E">
              <w:rPr>
                <w:rFonts w:asciiTheme="minorHAnsi" w:hAnsiTheme="minorHAnsi" w:cstheme="minorHAnsi"/>
                <w:lang w:val="fr-CH"/>
              </w:rPr>
              <w:t>Alexandra Pardal, Sr. Campaigner – Europe</w:t>
            </w:r>
          </w:p>
        </w:tc>
        <w:tc>
          <w:tcPr>
            <w:tcW w:w="2794" w:type="dxa"/>
          </w:tcPr>
          <w:p w:rsidR="003B513E" w:rsidRPr="003B513E" w:rsidRDefault="003B513E">
            <w:pPr>
              <w:spacing w:after="0" w:line="240" w:lineRule="auto"/>
              <w:jc w:val="both"/>
              <w:rPr>
                <w:rFonts w:asciiTheme="minorHAnsi" w:hAnsiTheme="minorHAnsi" w:cstheme="minorHAnsi"/>
                <w:lang w:val="fr-CH"/>
              </w:rPr>
            </w:pPr>
            <w:r w:rsidRPr="00647922">
              <w:rPr>
                <w:rFonts w:asciiTheme="minorHAnsi" w:hAnsiTheme="minorHAnsi" w:cstheme="minorHAnsi"/>
              </w:rPr>
              <w:t>Global Witness</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Megan MacInnes, Sr. Land Campaigner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Eleonor Blatchley, Comms. &amp; Advocacy Coordinator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Human Rights Watch</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Monica Stephen, Head of International Institutions</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International Alert</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Corinne Davey, Director</w:t>
            </w:r>
          </w:p>
        </w:tc>
        <w:tc>
          <w:tcPr>
            <w:tcW w:w="2794" w:type="dxa"/>
          </w:tcPr>
          <w:p w:rsidR="003B513E" w:rsidRPr="00647922" w:rsidRDefault="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Keeping Children Safe</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Sally Warren, Communications and Advocacy Manager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Giles Henley, Research Officer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ODI</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Hannah Stoddart, Head of Economic Justice Policy Team</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Oxfam</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Andy Whitmore, Indigenous Peoples Links</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PIP Links</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Catherine Stevens, People &amp; Performance Director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Restless Development</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Daniel Pullan, Int. Site Casework Officer</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RSPB</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Sunit Bagree, Policy Advisor, Education</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Sightsavers</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Bandula Kothalawala, EU and Int. Relations</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TUC</w:t>
            </w:r>
          </w:p>
        </w:tc>
      </w:tr>
      <w:tr w:rsidR="003B513E" w:rsidRPr="00647922" w:rsidTr="003B513E">
        <w:tc>
          <w:tcPr>
            <w:tcW w:w="558" w:type="dxa"/>
          </w:tcPr>
          <w:p w:rsidR="003B513E" w:rsidRPr="003B513E" w:rsidRDefault="003B513E" w:rsidP="003B513E">
            <w:pPr>
              <w:pStyle w:val="ippara2"/>
              <w:spacing w:after="0" w:line="240" w:lineRule="auto"/>
              <w:ind w:left="0" w:firstLine="0"/>
              <w:rPr>
                <w:rFonts w:asciiTheme="minorHAnsi" w:hAnsiTheme="minorHAnsi" w:cstheme="minorHAnsi"/>
              </w:rPr>
            </w:pPr>
          </w:p>
        </w:tc>
        <w:tc>
          <w:tcPr>
            <w:tcW w:w="4230" w:type="dxa"/>
          </w:tcPr>
          <w:p w:rsidR="003B513E" w:rsidRPr="00647922" w:rsidRDefault="003B513E" w:rsidP="003B513E">
            <w:pPr>
              <w:spacing w:after="0" w:line="240" w:lineRule="auto"/>
              <w:rPr>
                <w:rFonts w:asciiTheme="minorHAnsi" w:eastAsia="Calibri" w:hAnsiTheme="minorHAnsi" w:cstheme="minorHAnsi"/>
                <w:sz w:val="22"/>
                <w:szCs w:val="22"/>
              </w:rPr>
            </w:pPr>
            <w:r w:rsidRPr="00647922">
              <w:rPr>
                <w:rFonts w:asciiTheme="minorHAnsi" w:hAnsiTheme="minorHAnsi" w:cstheme="minorHAnsi"/>
              </w:rPr>
              <w:t>Sanae Fujita, School of Law/Human Rights</w:t>
            </w:r>
          </w:p>
        </w:tc>
        <w:tc>
          <w:tcPr>
            <w:tcW w:w="2794" w:type="dxa"/>
          </w:tcPr>
          <w:p w:rsidR="003B513E" w:rsidRPr="00647922" w:rsidRDefault="003B513E" w:rsidP="003B513E">
            <w:pPr>
              <w:spacing w:after="0" w:line="240" w:lineRule="auto"/>
              <w:jc w:val="both"/>
              <w:rPr>
                <w:rFonts w:asciiTheme="minorHAnsi" w:eastAsia="Calibri" w:hAnsiTheme="minorHAnsi" w:cstheme="minorHAnsi"/>
                <w:sz w:val="22"/>
                <w:szCs w:val="22"/>
              </w:rPr>
            </w:pPr>
            <w:r w:rsidRPr="00647922">
              <w:rPr>
                <w:rFonts w:asciiTheme="minorHAnsi" w:hAnsiTheme="minorHAnsi" w:cstheme="minorHAnsi"/>
              </w:rPr>
              <w:t>University of Essex</w:t>
            </w:r>
          </w:p>
        </w:tc>
      </w:tr>
    </w:tbl>
    <w:p w:rsidR="004C787E" w:rsidRPr="000D1063" w:rsidRDefault="004C787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p>
    <w:sectPr w:rsidR="004C787E" w:rsidRPr="000D1063" w:rsidSect="000D1063">
      <w:footerReference w:type="default" r:id="rId13"/>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1C" w:rsidRDefault="007E261C" w:rsidP="002448B6">
      <w:pPr>
        <w:spacing w:after="0" w:line="240" w:lineRule="auto"/>
      </w:pPr>
      <w:r>
        <w:separator/>
      </w:r>
    </w:p>
  </w:endnote>
  <w:endnote w:type="continuationSeparator" w:id="0">
    <w:p w:rsidR="007E261C" w:rsidRDefault="007E261C" w:rsidP="002448B6">
      <w:pPr>
        <w:spacing w:after="0" w:line="240" w:lineRule="auto"/>
      </w:pPr>
      <w:r>
        <w:continuationSeparator/>
      </w:r>
    </w:p>
  </w:endnote>
  <w:endnote w:type="continuationNotice" w:id="1">
    <w:p w:rsidR="007E261C" w:rsidRDefault="007E2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9381"/>
      <w:docPartObj>
        <w:docPartGallery w:val="Page Numbers (Bottom of Page)"/>
        <w:docPartUnique/>
      </w:docPartObj>
    </w:sdtPr>
    <w:sdtEndPr>
      <w:rPr>
        <w:noProof/>
        <w:sz w:val="18"/>
        <w:szCs w:val="18"/>
      </w:rPr>
    </w:sdtEndPr>
    <w:sdtContent>
      <w:p w:rsidR="005F45F2" w:rsidRPr="000D1063" w:rsidRDefault="00A23B1B">
        <w:pPr>
          <w:pStyle w:val="Footer"/>
          <w:jc w:val="right"/>
          <w:rPr>
            <w:sz w:val="18"/>
            <w:szCs w:val="18"/>
          </w:rPr>
        </w:pPr>
        <w:r w:rsidRPr="000D1063">
          <w:rPr>
            <w:sz w:val="18"/>
            <w:szCs w:val="18"/>
          </w:rPr>
          <w:fldChar w:fldCharType="begin"/>
        </w:r>
        <w:r w:rsidR="005F45F2" w:rsidRPr="000D1063">
          <w:rPr>
            <w:sz w:val="18"/>
            <w:szCs w:val="18"/>
          </w:rPr>
          <w:instrText xml:space="preserve"> PAGE   \* MERGEFORMAT </w:instrText>
        </w:r>
        <w:r w:rsidRPr="000D1063">
          <w:rPr>
            <w:sz w:val="18"/>
            <w:szCs w:val="18"/>
          </w:rPr>
          <w:fldChar w:fldCharType="separate"/>
        </w:r>
        <w:r w:rsidR="003B513E">
          <w:rPr>
            <w:noProof/>
            <w:sz w:val="18"/>
            <w:szCs w:val="18"/>
          </w:rPr>
          <w:t>1</w:t>
        </w:r>
        <w:r w:rsidRPr="000D1063">
          <w:rPr>
            <w:noProof/>
            <w:sz w:val="18"/>
            <w:szCs w:val="18"/>
          </w:rPr>
          <w:fldChar w:fldCharType="end"/>
        </w:r>
      </w:p>
    </w:sdtContent>
  </w:sdt>
  <w:p w:rsidR="005F45F2" w:rsidRDefault="005F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1C" w:rsidRDefault="007E261C" w:rsidP="002448B6">
      <w:pPr>
        <w:spacing w:after="0" w:line="240" w:lineRule="auto"/>
      </w:pPr>
      <w:r>
        <w:separator/>
      </w:r>
    </w:p>
  </w:footnote>
  <w:footnote w:type="continuationSeparator" w:id="0">
    <w:p w:rsidR="007E261C" w:rsidRDefault="007E261C" w:rsidP="002448B6">
      <w:pPr>
        <w:spacing w:after="0" w:line="240" w:lineRule="auto"/>
      </w:pPr>
      <w:r>
        <w:continuationSeparator/>
      </w:r>
    </w:p>
  </w:footnote>
  <w:footnote w:type="continuationNotice" w:id="1">
    <w:p w:rsidR="007E261C" w:rsidRDefault="007E26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0A9E73C8"/>
    <w:multiLevelType w:val="hybridMultilevel"/>
    <w:tmpl w:val="2BC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F526BF8"/>
    <w:multiLevelType w:val="hybridMultilevel"/>
    <w:tmpl w:val="04C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C943842"/>
    <w:multiLevelType w:val="hybridMultilevel"/>
    <w:tmpl w:val="03D44604"/>
    <w:lvl w:ilvl="0" w:tplc="493260AC">
      <w:start w:val="1"/>
      <w:numFmt w:val="decimal"/>
      <w:pStyle w:val="ippara2"/>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0"/>
  </w:num>
  <w:num w:numId="6">
    <w:abstractNumId w:val="4"/>
  </w:num>
  <w:num w:numId="7">
    <w:abstractNumId w:val="3"/>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610E"/>
    <w:rsid w:val="00006338"/>
    <w:rsid w:val="000077BC"/>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4A2E"/>
    <w:rsid w:val="000358E1"/>
    <w:rsid w:val="00035C69"/>
    <w:rsid w:val="0003691B"/>
    <w:rsid w:val="00037D2A"/>
    <w:rsid w:val="000402D5"/>
    <w:rsid w:val="00041D60"/>
    <w:rsid w:val="000431CD"/>
    <w:rsid w:val="00044779"/>
    <w:rsid w:val="000449A9"/>
    <w:rsid w:val="0004646C"/>
    <w:rsid w:val="0005441A"/>
    <w:rsid w:val="000548B0"/>
    <w:rsid w:val="000552B2"/>
    <w:rsid w:val="00060B03"/>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7EFD"/>
    <w:rsid w:val="00090ABD"/>
    <w:rsid w:val="000911A4"/>
    <w:rsid w:val="000949E3"/>
    <w:rsid w:val="0009525C"/>
    <w:rsid w:val="0009653F"/>
    <w:rsid w:val="00097F07"/>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1063"/>
    <w:rsid w:val="000D25D0"/>
    <w:rsid w:val="000D349D"/>
    <w:rsid w:val="000D402D"/>
    <w:rsid w:val="000D639A"/>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2DC4"/>
    <w:rsid w:val="001246A2"/>
    <w:rsid w:val="001249D7"/>
    <w:rsid w:val="0012649F"/>
    <w:rsid w:val="001301A2"/>
    <w:rsid w:val="00130DFC"/>
    <w:rsid w:val="001311D6"/>
    <w:rsid w:val="001316E8"/>
    <w:rsid w:val="00131B76"/>
    <w:rsid w:val="00131F1F"/>
    <w:rsid w:val="001325D4"/>
    <w:rsid w:val="00134488"/>
    <w:rsid w:val="00134C70"/>
    <w:rsid w:val="00136B41"/>
    <w:rsid w:val="001425F1"/>
    <w:rsid w:val="001446A4"/>
    <w:rsid w:val="001473D8"/>
    <w:rsid w:val="00150FF5"/>
    <w:rsid w:val="00151385"/>
    <w:rsid w:val="001516FC"/>
    <w:rsid w:val="00152A4F"/>
    <w:rsid w:val="00152A50"/>
    <w:rsid w:val="00154946"/>
    <w:rsid w:val="00157C22"/>
    <w:rsid w:val="00160866"/>
    <w:rsid w:val="0016095E"/>
    <w:rsid w:val="00164796"/>
    <w:rsid w:val="00164CF3"/>
    <w:rsid w:val="00164D86"/>
    <w:rsid w:val="001659F5"/>
    <w:rsid w:val="00167922"/>
    <w:rsid w:val="00170E42"/>
    <w:rsid w:val="001732E5"/>
    <w:rsid w:val="00173DB1"/>
    <w:rsid w:val="0017514C"/>
    <w:rsid w:val="00176E03"/>
    <w:rsid w:val="00181C7B"/>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4318"/>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6EC2"/>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42F5"/>
    <w:rsid w:val="002448B6"/>
    <w:rsid w:val="00247024"/>
    <w:rsid w:val="00247D4B"/>
    <w:rsid w:val="002504DB"/>
    <w:rsid w:val="00251053"/>
    <w:rsid w:val="002530C3"/>
    <w:rsid w:val="002537A8"/>
    <w:rsid w:val="0025726F"/>
    <w:rsid w:val="00257CBD"/>
    <w:rsid w:val="00260B02"/>
    <w:rsid w:val="00260CAF"/>
    <w:rsid w:val="00262E45"/>
    <w:rsid w:val="00263C9B"/>
    <w:rsid w:val="00266E73"/>
    <w:rsid w:val="00267E4F"/>
    <w:rsid w:val="00271E83"/>
    <w:rsid w:val="002741B0"/>
    <w:rsid w:val="00275EEC"/>
    <w:rsid w:val="002769A5"/>
    <w:rsid w:val="00276E87"/>
    <w:rsid w:val="00277242"/>
    <w:rsid w:val="00277B2B"/>
    <w:rsid w:val="0028364D"/>
    <w:rsid w:val="002847BC"/>
    <w:rsid w:val="0028482B"/>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1F0"/>
    <w:rsid w:val="00347D65"/>
    <w:rsid w:val="003526E0"/>
    <w:rsid w:val="003533A9"/>
    <w:rsid w:val="003538CE"/>
    <w:rsid w:val="00353F5D"/>
    <w:rsid w:val="00354450"/>
    <w:rsid w:val="003544F6"/>
    <w:rsid w:val="00356042"/>
    <w:rsid w:val="00356425"/>
    <w:rsid w:val="0035760B"/>
    <w:rsid w:val="00360390"/>
    <w:rsid w:val="003635B1"/>
    <w:rsid w:val="0036551B"/>
    <w:rsid w:val="00366FC0"/>
    <w:rsid w:val="0037059C"/>
    <w:rsid w:val="0037078C"/>
    <w:rsid w:val="00371949"/>
    <w:rsid w:val="00372ECE"/>
    <w:rsid w:val="00374DF9"/>
    <w:rsid w:val="00375426"/>
    <w:rsid w:val="0037648C"/>
    <w:rsid w:val="00376588"/>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2AAE"/>
    <w:rsid w:val="003B50A8"/>
    <w:rsid w:val="003B513E"/>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9E3"/>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5EE"/>
    <w:rsid w:val="00405E63"/>
    <w:rsid w:val="00406D76"/>
    <w:rsid w:val="004117EB"/>
    <w:rsid w:val="00420CB8"/>
    <w:rsid w:val="00421E83"/>
    <w:rsid w:val="00423539"/>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5401"/>
    <w:rsid w:val="00476F7C"/>
    <w:rsid w:val="00480749"/>
    <w:rsid w:val="00480B90"/>
    <w:rsid w:val="0048208C"/>
    <w:rsid w:val="004827DA"/>
    <w:rsid w:val="004842F6"/>
    <w:rsid w:val="00484C3A"/>
    <w:rsid w:val="004915C9"/>
    <w:rsid w:val="0049172C"/>
    <w:rsid w:val="0049197D"/>
    <w:rsid w:val="0049252A"/>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626E"/>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D5666"/>
    <w:rsid w:val="004E0DE6"/>
    <w:rsid w:val="004E2902"/>
    <w:rsid w:val="004E4F9E"/>
    <w:rsid w:val="004E740B"/>
    <w:rsid w:val="004F285D"/>
    <w:rsid w:val="004F344D"/>
    <w:rsid w:val="004F3883"/>
    <w:rsid w:val="004F42C2"/>
    <w:rsid w:val="004F472C"/>
    <w:rsid w:val="004F6C98"/>
    <w:rsid w:val="0050097E"/>
    <w:rsid w:val="00503048"/>
    <w:rsid w:val="00504D63"/>
    <w:rsid w:val="005056F0"/>
    <w:rsid w:val="005078BE"/>
    <w:rsid w:val="00512372"/>
    <w:rsid w:val="0051263E"/>
    <w:rsid w:val="005127D8"/>
    <w:rsid w:val="00513230"/>
    <w:rsid w:val="00513BF7"/>
    <w:rsid w:val="005170EF"/>
    <w:rsid w:val="00522772"/>
    <w:rsid w:val="00524038"/>
    <w:rsid w:val="005265CF"/>
    <w:rsid w:val="00526722"/>
    <w:rsid w:val="00527B8E"/>
    <w:rsid w:val="005302B7"/>
    <w:rsid w:val="00530496"/>
    <w:rsid w:val="00530C5F"/>
    <w:rsid w:val="00535201"/>
    <w:rsid w:val="0054065E"/>
    <w:rsid w:val="00542C8E"/>
    <w:rsid w:val="005452F5"/>
    <w:rsid w:val="0054605B"/>
    <w:rsid w:val="00546FB4"/>
    <w:rsid w:val="0054705D"/>
    <w:rsid w:val="005506FD"/>
    <w:rsid w:val="0055301B"/>
    <w:rsid w:val="0055506D"/>
    <w:rsid w:val="00555582"/>
    <w:rsid w:val="00555B05"/>
    <w:rsid w:val="00557307"/>
    <w:rsid w:val="00560118"/>
    <w:rsid w:val="0056052F"/>
    <w:rsid w:val="00560A2C"/>
    <w:rsid w:val="005627C4"/>
    <w:rsid w:val="00563DA2"/>
    <w:rsid w:val="00565247"/>
    <w:rsid w:val="00565477"/>
    <w:rsid w:val="00565FCF"/>
    <w:rsid w:val="00567B85"/>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4973"/>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B6848"/>
    <w:rsid w:val="005B6DDD"/>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5F2"/>
    <w:rsid w:val="005F4FF1"/>
    <w:rsid w:val="005F66F6"/>
    <w:rsid w:val="00600577"/>
    <w:rsid w:val="00602905"/>
    <w:rsid w:val="0060374B"/>
    <w:rsid w:val="006043D9"/>
    <w:rsid w:val="00604D46"/>
    <w:rsid w:val="00606561"/>
    <w:rsid w:val="006065C2"/>
    <w:rsid w:val="00611CF0"/>
    <w:rsid w:val="00616E72"/>
    <w:rsid w:val="0061745B"/>
    <w:rsid w:val="0061791E"/>
    <w:rsid w:val="00621863"/>
    <w:rsid w:val="00621FB6"/>
    <w:rsid w:val="006222AE"/>
    <w:rsid w:val="00623F5B"/>
    <w:rsid w:val="00624CB6"/>
    <w:rsid w:val="00626712"/>
    <w:rsid w:val="006302F8"/>
    <w:rsid w:val="00634596"/>
    <w:rsid w:val="0064451F"/>
    <w:rsid w:val="00647922"/>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D8B"/>
    <w:rsid w:val="00667E3D"/>
    <w:rsid w:val="006703B1"/>
    <w:rsid w:val="006715BD"/>
    <w:rsid w:val="00672F95"/>
    <w:rsid w:val="0067478E"/>
    <w:rsid w:val="006759CE"/>
    <w:rsid w:val="00676E88"/>
    <w:rsid w:val="00677536"/>
    <w:rsid w:val="0068029D"/>
    <w:rsid w:val="00680A3F"/>
    <w:rsid w:val="00684853"/>
    <w:rsid w:val="00684C50"/>
    <w:rsid w:val="00687D11"/>
    <w:rsid w:val="00691723"/>
    <w:rsid w:val="0069336D"/>
    <w:rsid w:val="0069454A"/>
    <w:rsid w:val="0069560C"/>
    <w:rsid w:val="00695CAD"/>
    <w:rsid w:val="00695D8B"/>
    <w:rsid w:val="006960FE"/>
    <w:rsid w:val="00696869"/>
    <w:rsid w:val="0069702E"/>
    <w:rsid w:val="00697828"/>
    <w:rsid w:val="006A1B3B"/>
    <w:rsid w:val="006A2534"/>
    <w:rsid w:val="006A3BD6"/>
    <w:rsid w:val="006A5B08"/>
    <w:rsid w:val="006A6927"/>
    <w:rsid w:val="006A6EB7"/>
    <w:rsid w:val="006B2E6C"/>
    <w:rsid w:val="006B42AE"/>
    <w:rsid w:val="006B59E4"/>
    <w:rsid w:val="006C08D2"/>
    <w:rsid w:val="006C0FE9"/>
    <w:rsid w:val="006C103B"/>
    <w:rsid w:val="006C3366"/>
    <w:rsid w:val="006C5AD2"/>
    <w:rsid w:val="006C5D05"/>
    <w:rsid w:val="006D1D4B"/>
    <w:rsid w:val="006D283D"/>
    <w:rsid w:val="006D2ADC"/>
    <w:rsid w:val="006D352F"/>
    <w:rsid w:val="006D4863"/>
    <w:rsid w:val="006D76E9"/>
    <w:rsid w:val="006E1D7C"/>
    <w:rsid w:val="006E3053"/>
    <w:rsid w:val="006E372D"/>
    <w:rsid w:val="006E392D"/>
    <w:rsid w:val="006E6151"/>
    <w:rsid w:val="006E7A9B"/>
    <w:rsid w:val="006F3692"/>
    <w:rsid w:val="006F69CB"/>
    <w:rsid w:val="006F783B"/>
    <w:rsid w:val="007013BF"/>
    <w:rsid w:val="0070247B"/>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4D5F"/>
    <w:rsid w:val="007B555E"/>
    <w:rsid w:val="007B5710"/>
    <w:rsid w:val="007C0FDE"/>
    <w:rsid w:val="007C1498"/>
    <w:rsid w:val="007C2013"/>
    <w:rsid w:val="007C2748"/>
    <w:rsid w:val="007C31CC"/>
    <w:rsid w:val="007C4283"/>
    <w:rsid w:val="007C507D"/>
    <w:rsid w:val="007C680B"/>
    <w:rsid w:val="007C7261"/>
    <w:rsid w:val="007D2EEC"/>
    <w:rsid w:val="007D3BA1"/>
    <w:rsid w:val="007D3D7B"/>
    <w:rsid w:val="007D5822"/>
    <w:rsid w:val="007D6966"/>
    <w:rsid w:val="007E190B"/>
    <w:rsid w:val="007E261C"/>
    <w:rsid w:val="007E31A6"/>
    <w:rsid w:val="007E41A0"/>
    <w:rsid w:val="007E50EC"/>
    <w:rsid w:val="007E6244"/>
    <w:rsid w:val="007E7603"/>
    <w:rsid w:val="007E7BA4"/>
    <w:rsid w:val="007F0684"/>
    <w:rsid w:val="007F2303"/>
    <w:rsid w:val="007F25F3"/>
    <w:rsid w:val="007F29C9"/>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7170"/>
    <w:rsid w:val="0085096C"/>
    <w:rsid w:val="0085249D"/>
    <w:rsid w:val="008528A5"/>
    <w:rsid w:val="00861CAA"/>
    <w:rsid w:val="00865232"/>
    <w:rsid w:val="00865C75"/>
    <w:rsid w:val="00866C0B"/>
    <w:rsid w:val="00866D9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C5D5A"/>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37194"/>
    <w:rsid w:val="00941BAF"/>
    <w:rsid w:val="00942BF3"/>
    <w:rsid w:val="00943C12"/>
    <w:rsid w:val="00947657"/>
    <w:rsid w:val="00951CE4"/>
    <w:rsid w:val="009528FD"/>
    <w:rsid w:val="00953D9A"/>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17AF"/>
    <w:rsid w:val="009B28D3"/>
    <w:rsid w:val="009B3AA8"/>
    <w:rsid w:val="009B3FA7"/>
    <w:rsid w:val="009B430C"/>
    <w:rsid w:val="009B43FC"/>
    <w:rsid w:val="009B4C84"/>
    <w:rsid w:val="009B50A1"/>
    <w:rsid w:val="009C043C"/>
    <w:rsid w:val="009C0632"/>
    <w:rsid w:val="009C19B8"/>
    <w:rsid w:val="009C35B6"/>
    <w:rsid w:val="009C3DFB"/>
    <w:rsid w:val="009C75CB"/>
    <w:rsid w:val="009D10C4"/>
    <w:rsid w:val="009D13FD"/>
    <w:rsid w:val="009D37B0"/>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60A1"/>
    <w:rsid w:val="00A23B1B"/>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1223"/>
    <w:rsid w:val="00A53791"/>
    <w:rsid w:val="00A5542C"/>
    <w:rsid w:val="00A557E5"/>
    <w:rsid w:val="00A569BC"/>
    <w:rsid w:val="00A60231"/>
    <w:rsid w:val="00A630B5"/>
    <w:rsid w:val="00A65885"/>
    <w:rsid w:val="00A669F7"/>
    <w:rsid w:val="00A67995"/>
    <w:rsid w:val="00A73153"/>
    <w:rsid w:val="00A741DA"/>
    <w:rsid w:val="00A75E9F"/>
    <w:rsid w:val="00A77D70"/>
    <w:rsid w:val="00A82FCE"/>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617"/>
    <w:rsid w:val="00AC0CC4"/>
    <w:rsid w:val="00AC1A67"/>
    <w:rsid w:val="00AC4ACC"/>
    <w:rsid w:val="00AC570B"/>
    <w:rsid w:val="00AC664A"/>
    <w:rsid w:val="00AD12F9"/>
    <w:rsid w:val="00AD3CF0"/>
    <w:rsid w:val="00AD4A1E"/>
    <w:rsid w:val="00AD7450"/>
    <w:rsid w:val="00AE21AF"/>
    <w:rsid w:val="00AE3D6A"/>
    <w:rsid w:val="00AE5364"/>
    <w:rsid w:val="00AE6845"/>
    <w:rsid w:val="00AF0442"/>
    <w:rsid w:val="00AF2436"/>
    <w:rsid w:val="00AF3052"/>
    <w:rsid w:val="00AF58CA"/>
    <w:rsid w:val="00AF729E"/>
    <w:rsid w:val="00B00B63"/>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5E80"/>
    <w:rsid w:val="00B2773D"/>
    <w:rsid w:val="00B309A3"/>
    <w:rsid w:val="00B31A7A"/>
    <w:rsid w:val="00B31F91"/>
    <w:rsid w:val="00B33137"/>
    <w:rsid w:val="00B33462"/>
    <w:rsid w:val="00B35C8F"/>
    <w:rsid w:val="00B360E9"/>
    <w:rsid w:val="00B374E6"/>
    <w:rsid w:val="00B37627"/>
    <w:rsid w:val="00B37B01"/>
    <w:rsid w:val="00B403F4"/>
    <w:rsid w:val="00B437CA"/>
    <w:rsid w:val="00B44629"/>
    <w:rsid w:val="00B464FA"/>
    <w:rsid w:val="00B530B9"/>
    <w:rsid w:val="00B557DE"/>
    <w:rsid w:val="00B55C84"/>
    <w:rsid w:val="00B567A4"/>
    <w:rsid w:val="00B571EF"/>
    <w:rsid w:val="00B6262A"/>
    <w:rsid w:val="00B634C4"/>
    <w:rsid w:val="00B63ACD"/>
    <w:rsid w:val="00B65D75"/>
    <w:rsid w:val="00B72777"/>
    <w:rsid w:val="00B747B9"/>
    <w:rsid w:val="00B76258"/>
    <w:rsid w:val="00B76524"/>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591E"/>
    <w:rsid w:val="00BF7098"/>
    <w:rsid w:val="00C0019D"/>
    <w:rsid w:val="00C00BD1"/>
    <w:rsid w:val="00C02547"/>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11D1"/>
    <w:rsid w:val="00C432B0"/>
    <w:rsid w:val="00C43537"/>
    <w:rsid w:val="00C436F7"/>
    <w:rsid w:val="00C45499"/>
    <w:rsid w:val="00C46257"/>
    <w:rsid w:val="00C5156B"/>
    <w:rsid w:val="00C530D3"/>
    <w:rsid w:val="00C56417"/>
    <w:rsid w:val="00C6112B"/>
    <w:rsid w:val="00C61EC7"/>
    <w:rsid w:val="00C63EBB"/>
    <w:rsid w:val="00C64B32"/>
    <w:rsid w:val="00C659AB"/>
    <w:rsid w:val="00C66319"/>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15BF"/>
    <w:rsid w:val="00D61E0B"/>
    <w:rsid w:val="00D6210A"/>
    <w:rsid w:val="00D63264"/>
    <w:rsid w:val="00D66205"/>
    <w:rsid w:val="00D67A3E"/>
    <w:rsid w:val="00D7147F"/>
    <w:rsid w:val="00D72A7D"/>
    <w:rsid w:val="00D75DAB"/>
    <w:rsid w:val="00D8006A"/>
    <w:rsid w:val="00D82AD6"/>
    <w:rsid w:val="00D84E02"/>
    <w:rsid w:val="00D856B8"/>
    <w:rsid w:val="00D8578C"/>
    <w:rsid w:val="00D85BCA"/>
    <w:rsid w:val="00D9048B"/>
    <w:rsid w:val="00D90F1A"/>
    <w:rsid w:val="00D914B5"/>
    <w:rsid w:val="00D93402"/>
    <w:rsid w:val="00D93569"/>
    <w:rsid w:val="00DA09DE"/>
    <w:rsid w:val="00DA193F"/>
    <w:rsid w:val="00DA3632"/>
    <w:rsid w:val="00DA66C0"/>
    <w:rsid w:val="00DA73A4"/>
    <w:rsid w:val="00DB119B"/>
    <w:rsid w:val="00DB31BF"/>
    <w:rsid w:val="00DB3F55"/>
    <w:rsid w:val="00DC3DAF"/>
    <w:rsid w:val="00DC7802"/>
    <w:rsid w:val="00DD033E"/>
    <w:rsid w:val="00DD2D92"/>
    <w:rsid w:val="00DD3019"/>
    <w:rsid w:val="00DD3969"/>
    <w:rsid w:val="00DD4188"/>
    <w:rsid w:val="00DD5FE6"/>
    <w:rsid w:val="00DE4758"/>
    <w:rsid w:val="00DE7FDB"/>
    <w:rsid w:val="00DF0216"/>
    <w:rsid w:val="00DF1C2A"/>
    <w:rsid w:val="00DF2221"/>
    <w:rsid w:val="00DF2D2D"/>
    <w:rsid w:val="00E01986"/>
    <w:rsid w:val="00E01AF8"/>
    <w:rsid w:val="00E02350"/>
    <w:rsid w:val="00E02ACE"/>
    <w:rsid w:val="00E04046"/>
    <w:rsid w:val="00E05D9A"/>
    <w:rsid w:val="00E13F74"/>
    <w:rsid w:val="00E14491"/>
    <w:rsid w:val="00E21702"/>
    <w:rsid w:val="00E2280E"/>
    <w:rsid w:val="00E252A1"/>
    <w:rsid w:val="00E27794"/>
    <w:rsid w:val="00E33209"/>
    <w:rsid w:val="00E3364C"/>
    <w:rsid w:val="00E3680D"/>
    <w:rsid w:val="00E418B2"/>
    <w:rsid w:val="00E41CE5"/>
    <w:rsid w:val="00E4256B"/>
    <w:rsid w:val="00E42AEF"/>
    <w:rsid w:val="00E44AEA"/>
    <w:rsid w:val="00E45327"/>
    <w:rsid w:val="00E46264"/>
    <w:rsid w:val="00E4642B"/>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0E08"/>
    <w:rsid w:val="00EA3F2A"/>
    <w:rsid w:val="00EA4216"/>
    <w:rsid w:val="00EA541A"/>
    <w:rsid w:val="00EB3596"/>
    <w:rsid w:val="00EB35E2"/>
    <w:rsid w:val="00EB3C3B"/>
    <w:rsid w:val="00EB3E5B"/>
    <w:rsid w:val="00EB4C6F"/>
    <w:rsid w:val="00EB54A8"/>
    <w:rsid w:val="00EB6570"/>
    <w:rsid w:val="00EB7C7C"/>
    <w:rsid w:val="00EC6759"/>
    <w:rsid w:val="00EC71FB"/>
    <w:rsid w:val="00ED1445"/>
    <w:rsid w:val="00ED3F10"/>
    <w:rsid w:val="00ED4856"/>
    <w:rsid w:val="00ED4A9D"/>
    <w:rsid w:val="00ED53B3"/>
    <w:rsid w:val="00ED65C9"/>
    <w:rsid w:val="00EE24A9"/>
    <w:rsid w:val="00EE33DF"/>
    <w:rsid w:val="00EE37B8"/>
    <w:rsid w:val="00EE4B48"/>
    <w:rsid w:val="00EE5836"/>
    <w:rsid w:val="00EE6CA8"/>
    <w:rsid w:val="00EF0327"/>
    <w:rsid w:val="00EF13BB"/>
    <w:rsid w:val="00EF4196"/>
    <w:rsid w:val="00EF582C"/>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37256"/>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19A4"/>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6E20"/>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9C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C043C"/>
    <w:rPr>
      <w:sz w:val="16"/>
      <w:szCs w:val="16"/>
    </w:rPr>
  </w:style>
  <w:style w:type="paragraph" w:styleId="CommentText">
    <w:name w:val="annotation text"/>
    <w:basedOn w:val="Normal"/>
    <w:link w:val="CommentTextChar"/>
    <w:uiPriority w:val="99"/>
    <w:semiHidden/>
    <w:unhideWhenUsed/>
    <w:rsid w:val="009C043C"/>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9C043C"/>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9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uiPriority w:val="99"/>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99"/>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9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B6"/>
    <w:rPr>
      <w:lang w:val="en-US" w:eastAsia="en-US"/>
    </w:rPr>
  </w:style>
  <w:style w:type="paragraph" w:styleId="Footer">
    <w:name w:val="footer"/>
    <w:basedOn w:val="Normal"/>
    <w:link w:val="FooterChar"/>
    <w:uiPriority w:val="99"/>
    <w:unhideWhenUsed/>
    <w:rsid w:val="009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B6"/>
    <w:rPr>
      <w:lang w:val="en-US" w:eastAsia="en-US"/>
    </w:rPr>
  </w:style>
  <w:style w:type="paragraph" w:customStyle="1" w:styleId="ippara2">
    <w:name w:val="ippara2"/>
    <w:basedOn w:val="Normal"/>
    <w:rsid w:val="006C5AD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9C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C043C"/>
    <w:rPr>
      <w:sz w:val="16"/>
      <w:szCs w:val="16"/>
    </w:rPr>
  </w:style>
  <w:style w:type="paragraph" w:styleId="CommentText">
    <w:name w:val="annotation text"/>
    <w:basedOn w:val="Normal"/>
    <w:link w:val="CommentTextChar"/>
    <w:uiPriority w:val="99"/>
    <w:semiHidden/>
    <w:unhideWhenUsed/>
    <w:rsid w:val="009C043C"/>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9C043C"/>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9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uiPriority w:val="99"/>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99"/>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9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B6"/>
    <w:rPr>
      <w:lang w:val="en-US" w:eastAsia="en-US"/>
    </w:rPr>
  </w:style>
  <w:style w:type="paragraph" w:styleId="Footer">
    <w:name w:val="footer"/>
    <w:basedOn w:val="Normal"/>
    <w:link w:val="FooterChar"/>
    <w:uiPriority w:val="99"/>
    <w:unhideWhenUsed/>
    <w:rsid w:val="009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B6"/>
    <w:rPr>
      <w:lang w:val="en-US" w:eastAsia="en-US"/>
    </w:rPr>
  </w:style>
  <w:style w:type="paragraph" w:customStyle="1" w:styleId="ippara2">
    <w:name w:val="ippara2"/>
    <w:basedOn w:val="Normal"/>
    <w:rsid w:val="006C5AD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1E14-6165-4CC3-9EA9-86399A307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140349-0B83-4BAF-B77F-A09854A69E39}">
  <ds:schemaRefs>
    <ds:schemaRef ds:uri="http://schemas.microsoft.com/sharepoint/v3/contenttype/forms"/>
  </ds:schemaRefs>
</ds:datastoreItem>
</file>

<file path=customXml/itemProps3.xml><?xml version="1.0" encoding="utf-8"?>
<ds:datastoreItem xmlns:ds="http://schemas.openxmlformats.org/officeDocument/2006/customXml" ds:itemID="{57DD70FC-9D57-46DF-B487-9B4E344F8C16}">
  <ds:schemaRefs>
    <ds:schemaRef ds:uri="http://schemas.microsoft.com/office/2006/metadata/properties"/>
  </ds:schemaRefs>
</ds:datastoreItem>
</file>

<file path=customXml/itemProps4.xml><?xml version="1.0" encoding="utf-8"?>
<ds:datastoreItem xmlns:ds="http://schemas.openxmlformats.org/officeDocument/2006/customXml" ds:itemID="{BD8135B7-4E0E-4042-857D-9D0DEF2C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1639</Words>
  <Characters>9346</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World Bank Group</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Ida Mori</cp:lastModifiedBy>
  <cp:revision>2</cp:revision>
  <cp:lastPrinted>2013-03-21T09:43:00Z</cp:lastPrinted>
  <dcterms:created xsi:type="dcterms:W3CDTF">2013-03-25T15:41:00Z</dcterms:created>
  <dcterms:modified xsi:type="dcterms:W3CDTF">2013-03-25T15:41:00Z</dcterms:modified>
</cp:coreProperties>
</file>