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491230" cy="920115"/>
            <wp:effectExtent b="0" l="0" r="0" t="0"/>
            <wp:docPr descr="Indonesia River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ndonesia Rive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color w:val="365F91"/>
          <w:sz w:val="24"/>
          <w:szCs w:val="24"/>
          <w:lang w:val="es-MX"/>
        </w:rPr>
        <w:t>El Banco Mundial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  <w:t>Revisión y Actualización de las Políticas de Salvaguarda Ambientales y Sociales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  <w:t>Reunión de Consulta con Representantes del Gobierno del Perú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bookmarkStart w:id="0" w:name="_GoBack"/>
      <w:bookmarkEnd w:id="0"/>
      <w:r>
        <w:rPr>
          <w:rFonts w:cs="Calibri"/>
          <w:b/>
          <w:color w:val="365F91"/>
          <w:lang w:val="es-MX"/>
        </w:rPr>
        <w:t>Lista de Participantes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lang w:val="es-ES"/>
        </w:rPr>
        <w:t>Lugar del encuentro</w:t>
      </w:r>
      <w:r>
        <w:rPr>
          <w:lang w:val="es-ES"/>
        </w:rPr>
        <w:t>: Hotel Sonesta El Olivar, Lima, Perú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lang w:val="es-ES"/>
        </w:rPr>
        <w:t>Fecha</w:t>
      </w:r>
      <w:r>
        <w:rPr>
          <w:lang w:val="es-ES"/>
        </w:rPr>
        <w:t>: 13 de Febrero de 2013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  <w:t>Número de participantes</w:t>
      </w:r>
      <w:r>
        <w:rPr/>
        <w:t>: 35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17"/>
        <w:gridCol w:w="4320"/>
        <w:gridCol w:w="4339"/>
      </w:tblGrid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Nro.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Organización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Nombre del participante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del Pueblo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Daniel Sánchez Velásquez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del Pueblo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Bruce Barnaby Rubio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FONAM – Fondo Nacional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Julia Justo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FONAM – Fondo Nacional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Inés Mendoza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MINAG – Ministerio de Agricultura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Ricardo Gutiérrez Quiroz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Comercio Exterior y Turismo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Liliana Honorio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Blanca Alva Guerrero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Jerka Guerrero Varas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Iván Kriss Lanegra Quispe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Gian Luiggi Massa Villafuerte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Rocio Muñoz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Lic. Luis Cáceres Rey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Desarrollo e Inclusión Social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Valeria Biffi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Economía y Finanzas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Rocío García Naranjo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Educación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Lener Guimaraes Vasquez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16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Ministerio de Educación 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Liliana Miranda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Energía y Minas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Rols Pérez Camarena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Energía y Minas – FONER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Ing. Jorge Luis Palomino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Energía y Minas - FONER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Dra. Maritza León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la Producción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Javier Butrón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Ministerio de la Producción 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Dra. Rosa María del Castillo Rosas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Vivienda, Construcción y Saneamiento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Ing. Richard Montes Escalante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Ministerio del Ambiente 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Danilia Rojas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Fiorella León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Fiorella León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Elvira Gómez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Lorena Durán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Lucas Dourojeanni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OEFA – Organismo de Evaluación y Fiscalización Ambiental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Ana Franzua Rugel Oyoia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Presidencia del Consejo de Ministros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Iván Mendoza Villareal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PRONASAR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Verónica Angulo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PROVIAS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Ing. Angel Pavel Sosa Espinoza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SERNANP – Servicio de Areas Protegidas por el Estado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Pedro Gamboa Moquillaza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Relaciones Exteriores – AP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Santiago Alayza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35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INIA 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Ruth López</w:t>
            </w:r>
          </w:p>
        </w:tc>
      </w:tr>
    </w:tbl>
    <w:p>
      <w:pPr>
        <w:pStyle w:val="style0"/>
        <w:tabs>
          <w:tab w:leader="none" w:pos="1648" w:val="left"/>
        </w:tabs>
      </w:pPr>
      <w:r>
        <w:rPr>
          <w:rFonts w:cs=""/>
          <w:lang w:val="es-ES"/>
        </w:rPr>
        <w:tab/>
      </w:r>
    </w:p>
    <w:sectPr>
      <w:footerReference r:id="rId3" w:type="default"/>
      <w:type w:val="nextPage"/>
      <w:pgSz w:h="15840" w:w="12240"/>
      <w:pgMar w:bottom="1440" w:footer="720" w:gutter="0" w:header="0" w:left="1080" w:right="108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>
        <w:rFonts w:cs="Calibri"/>
        <w:sz w:val="18"/>
        <w:szCs w:val="18"/>
      </w:rPr>
      <w:t xml:space="preserve">Página | </w:t>
    </w:r>
    <w:r>
      <w:rPr>
        <w:rFonts w:cs="Calibri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4"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" w:hAnsi="Tahoma"/>
      <w:sz w:val="16"/>
      <w:szCs w:val="16"/>
    </w:rPr>
  </w:style>
  <w:style w:styleId="style17" w:type="character">
    <w:name w:val="Header Char"/>
    <w:basedOn w:val="style15"/>
    <w:next w:val="style17"/>
    <w:rPr>
      <w:rFonts w:cs=""/>
    </w:rPr>
  </w:style>
  <w:style w:styleId="style18" w:type="character">
    <w:name w:val="Footer Char"/>
    <w:basedOn w:val="style15"/>
    <w:next w:val="style18"/>
    <w:rPr>
      <w:rFonts w:cs="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Comment Text Char"/>
    <w:basedOn w:val="style15"/>
    <w:next w:val="style20"/>
    <w:rPr>
      <w:rFonts w:cs=""/>
      <w:sz w:val="20"/>
      <w:szCs w:val="20"/>
    </w:rPr>
  </w:style>
  <w:style w:styleId="style21" w:type="character">
    <w:name w:val="Comment Subject Char"/>
    <w:basedOn w:val="style20"/>
    <w:next w:val="style21"/>
    <w:rPr>
      <w:rFonts w:cs=""/>
      <w:b/>
      <w:bCs/>
      <w:sz w:val="20"/>
      <w:szCs w:val="20"/>
    </w:rPr>
  </w:style>
  <w:style w:styleId="style22" w:type="character">
    <w:name w:val="ListLabel 1"/>
    <w:next w:val="style22"/>
    <w:rPr>
      <w:u w:val="none"/>
    </w:rPr>
  </w:style>
  <w:style w:styleId="style23" w:type="character">
    <w:name w:val="ListLabel 2"/>
    <w:next w:val="style23"/>
    <w:rPr>
      <w:rFonts w:cs="Calibri"/>
    </w:rPr>
  </w:style>
  <w:style w:styleId="style24" w:type="character">
    <w:name w:val="ListLabel 3"/>
    <w:next w:val="style24"/>
    <w:rPr>
      <w:rFonts w:cs="Courier New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Lohit Devanagari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ohit Devanagari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0" w:before="0" w:line="100" w:lineRule="atLeast"/>
      <w:ind w:hanging="0" w:left="720" w:right="0"/>
      <w:contextualSpacing/>
    </w:pPr>
    <w:rPr>
      <w:sz w:val="24"/>
      <w:szCs w:val="24"/>
      <w:lang w:val="en-GB"/>
    </w:rPr>
  </w:style>
  <w:style w:styleId="style32" w:type="paragraph">
    <w:name w:val="No Spacing"/>
    <w:next w:val="style3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WenQuanYi Zen Hei" w:hAnsi="Calibri"/>
      <w:color w:val="auto"/>
      <w:sz w:val="22"/>
      <w:szCs w:val="22"/>
      <w:lang w:bidi="ar-SA" w:eastAsia="en-US" w:val="en-US"/>
    </w:rPr>
  </w:style>
  <w:style w:styleId="style33" w:type="paragraph">
    <w:name w:val="Header"/>
    <w:basedOn w:val="style0"/>
    <w:next w:val="style33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5" w:type="paragraph">
    <w:name w:val="annotation text"/>
    <w:basedOn w:val="style0"/>
    <w:next w:val="style35"/>
    <w:pPr>
      <w:spacing w:line="100" w:lineRule="atLeast"/>
    </w:pPr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2013-03-20T22:28:00.00Z</dcterms:created>
  <dc:creator>Maria Elena Garcia Mora</dc:creator>
  <cp:lastModifiedBy>Anne-Katrin Arnold</cp:lastModifiedBy>
  <dcterms:modified xsi:type="dcterms:W3CDTF">2013-03-20T22:28:00.00Z</dcterms:modified>
  <cp:revision>2</cp:revision>
</cp:coreProperties>
</file>