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0BF5" w14:textId="6BD86238" w:rsidR="0021741C" w:rsidRDefault="00FB0537" w:rsidP="0043005F">
      <w:pPr>
        <w:spacing w:after="0"/>
        <w:jc w:val="center"/>
        <w:rPr>
          <w:rFonts w:ascii="Arial" w:hAnsi="Arial" w:cs="Arial"/>
          <w:b/>
          <w:sz w:val="28"/>
          <w:szCs w:val="28"/>
        </w:rPr>
      </w:pPr>
      <w:r>
        <w:rPr>
          <w:rFonts w:ascii="Arial" w:hAnsi="Arial"/>
          <w:b/>
          <w:noProof/>
        </w:rPr>
        <w:drawing>
          <wp:anchor distT="0" distB="0" distL="114300" distR="114300" simplePos="0" relativeHeight="251659264" behindDoc="0" locked="0" layoutInCell="1" allowOverlap="1" wp14:anchorId="14FBBE52" wp14:editId="281288A6">
            <wp:simplePos x="0" y="0"/>
            <wp:positionH relativeFrom="column">
              <wp:posOffset>3314700</wp:posOffset>
            </wp:positionH>
            <wp:positionV relativeFrom="paragraph">
              <wp:posOffset>-685800</wp:posOffset>
            </wp:positionV>
            <wp:extent cx="2697480" cy="800100"/>
            <wp:effectExtent l="0" t="0" r="0" b="12700"/>
            <wp:wrapTight wrapText="bothSides">
              <wp:wrapPolygon edited="0">
                <wp:start x="0" y="0"/>
                <wp:lineTo x="0" y="21257"/>
                <wp:lineTo x="21356" y="21257"/>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 Logo_Large.jpg"/>
                    <pic:cNvPicPr/>
                  </pic:nvPicPr>
                  <pic:blipFill>
                    <a:blip r:embed="rId9">
                      <a:extLst>
                        <a:ext uri="{28A0092B-C50C-407E-A947-70E740481C1C}">
                          <a14:useLocalDpi xmlns:a14="http://schemas.microsoft.com/office/drawing/2010/main" val="0"/>
                        </a:ext>
                      </a:extLst>
                    </a:blip>
                    <a:stretch>
                      <a:fillRect/>
                    </a:stretch>
                  </pic:blipFill>
                  <pic:spPr>
                    <a:xfrm>
                      <a:off x="0" y="0"/>
                      <a:ext cx="2697480" cy="800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anchor distT="0" distB="0" distL="114300" distR="114300" simplePos="0" relativeHeight="251660288" behindDoc="0" locked="0" layoutInCell="1" allowOverlap="1" wp14:anchorId="03340ADF" wp14:editId="673CF1BB">
            <wp:simplePos x="0" y="0"/>
            <wp:positionH relativeFrom="column">
              <wp:posOffset>0</wp:posOffset>
            </wp:positionH>
            <wp:positionV relativeFrom="paragraph">
              <wp:posOffset>-685800</wp:posOffset>
            </wp:positionV>
            <wp:extent cx="854710" cy="800100"/>
            <wp:effectExtent l="0" t="0" r="8890" b="12700"/>
            <wp:wrapTight wrapText="bothSides">
              <wp:wrapPolygon edited="0">
                <wp:start x="0" y="0"/>
                <wp:lineTo x="0" y="21257"/>
                <wp:lineTo x="21183" y="21257"/>
                <wp:lineTo x="2118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F77DD" w14:textId="77777777" w:rsidR="0021741C" w:rsidRDefault="0021741C" w:rsidP="0043005F">
      <w:pPr>
        <w:spacing w:after="0"/>
        <w:jc w:val="center"/>
        <w:rPr>
          <w:rFonts w:ascii="Arial" w:hAnsi="Arial" w:cs="Arial"/>
          <w:b/>
          <w:sz w:val="28"/>
          <w:szCs w:val="28"/>
        </w:rPr>
      </w:pPr>
    </w:p>
    <w:p w14:paraId="04764C87" w14:textId="77777777" w:rsidR="0021741C" w:rsidRDefault="0021741C" w:rsidP="0043005F">
      <w:pPr>
        <w:spacing w:after="0"/>
        <w:jc w:val="center"/>
        <w:rPr>
          <w:rFonts w:ascii="Arial" w:hAnsi="Arial" w:cs="Arial"/>
          <w:b/>
          <w:sz w:val="28"/>
          <w:szCs w:val="28"/>
        </w:rPr>
      </w:pPr>
    </w:p>
    <w:p w14:paraId="77655D03" w14:textId="1B8D0376" w:rsidR="00D0625E" w:rsidRDefault="00D0356A" w:rsidP="0043005F">
      <w:pPr>
        <w:spacing w:after="0"/>
        <w:jc w:val="center"/>
        <w:rPr>
          <w:rFonts w:ascii="Arial" w:hAnsi="Arial" w:cs="Arial"/>
          <w:b/>
          <w:sz w:val="28"/>
          <w:szCs w:val="28"/>
        </w:rPr>
      </w:pPr>
      <w:r w:rsidRPr="00D318C5">
        <w:rPr>
          <w:rFonts w:ascii="Arial" w:hAnsi="Arial" w:cs="Arial"/>
          <w:b/>
          <w:sz w:val="28"/>
          <w:szCs w:val="28"/>
        </w:rPr>
        <w:t>A Proposal</w:t>
      </w:r>
      <w:r w:rsidR="00816ABB" w:rsidRPr="00D318C5">
        <w:rPr>
          <w:rFonts w:ascii="Arial" w:hAnsi="Arial" w:cs="Arial"/>
          <w:b/>
          <w:sz w:val="28"/>
          <w:szCs w:val="28"/>
        </w:rPr>
        <w:t xml:space="preserve"> for </w:t>
      </w:r>
      <w:r w:rsidR="004E7333" w:rsidRPr="00D318C5">
        <w:rPr>
          <w:rFonts w:ascii="Arial" w:hAnsi="Arial" w:cs="Arial"/>
          <w:b/>
          <w:sz w:val="28"/>
          <w:szCs w:val="28"/>
        </w:rPr>
        <w:t>New Wor</w:t>
      </w:r>
      <w:bookmarkStart w:id="0" w:name="_GoBack"/>
      <w:bookmarkEnd w:id="0"/>
      <w:r w:rsidR="004E7333" w:rsidRPr="00D318C5">
        <w:rPr>
          <w:rFonts w:ascii="Arial" w:hAnsi="Arial" w:cs="Arial"/>
          <w:b/>
          <w:sz w:val="28"/>
          <w:szCs w:val="28"/>
        </w:rPr>
        <w:t>ld Bank Safeguard</w:t>
      </w:r>
      <w:r w:rsidR="009041C9" w:rsidRPr="00D318C5">
        <w:rPr>
          <w:rFonts w:ascii="Arial" w:hAnsi="Arial" w:cs="Arial"/>
          <w:b/>
          <w:sz w:val="28"/>
          <w:szCs w:val="28"/>
        </w:rPr>
        <w:t>s</w:t>
      </w:r>
      <w:r w:rsidR="004E7333" w:rsidRPr="00D318C5">
        <w:rPr>
          <w:rFonts w:ascii="Arial" w:hAnsi="Arial" w:cs="Arial"/>
          <w:b/>
          <w:sz w:val="28"/>
          <w:szCs w:val="28"/>
        </w:rPr>
        <w:t xml:space="preserve"> on Tenure</w:t>
      </w:r>
      <w:r w:rsidR="00CB033E" w:rsidRPr="00D318C5">
        <w:rPr>
          <w:rFonts w:ascii="Arial" w:hAnsi="Arial" w:cs="Arial"/>
          <w:b/>
          <w:sz w:val="28"/>
          <w:szCs w:val="28"/>
        </w:rPr>
        <w:t xml:space="preserve"> of Land, Housing and Natural Resources</w:t>
      </w:r>
    </w:p>
    <w:p w14:paraId="459B7B9B" w14:textId="78E1B642" w:rsidR="005B6935" w:rsidRDefault="005B6935" w:rsidP="0043005F">
      <w:pPr>
        <w:spacing w:after="0"/>
        <w:jc w:val="center"/>
        <w:rPr>
          <w:rFonts w:ascii="Arial" w:hAnsi="Arial" w:cs="Arial"/>
          <w:b/>
          <w:sz w:val="28"/>
          <w:szCs w:val="28"/>
        </w:rPr>
      </w:pPr>
      <w:r>
        <w:rPr>
          <w:rFonts w:ascii="Arial" w:hAnsi="Arial" w:cs="Arial"/>
          <w:b/>
          <w:sz w:val="28"/>
          <w:szCs w:val="28"/>
        </w:rPr>
        <w:t>April 2013</w:t>
      </w:r>
    </w:p>
    <w:p w14:paraId="6A11097D" w14:textId="77777777" w:rsidR="00FB0537" w:rsidRDefault="00FB0537" w:rsidP="0043005F">
      <w:pPr>
        <w:spacing w:after="0"/>
        <w:jc w:val="center"/>
        <w:rPr>
          <w:rFonts w:ascii="Arial" w:hAnsi="Arial" w:cs="Arial"/>
          <w:b/>
          <w:sz w:val="28"/>
          <w:szCs w:val="28"/>
        </w:rPr>
      </w:pPr>
    </w:p>
    <w:p w14:paraId="28B2C2B1" w14:textId="77777777" w:rsidR="00FB0537" w:rsidRPr="00FB0537" w:rsidRDefault="00FB0537" w:rsidP="0043005F">
      <w:pPr>
        <w:spacing w:after="0"/>
        <w:jc w:val="center"/>
        <w:rPr>
          <w:rFonts w:ascii="Arial" w:hAnsi="Arial" w:cs="Arial"/>
          <w:b/>
          <w:sz w:val="24"/>
          <w:szCs w:val="24"/>
        </w:rPr>
      </w:pPr>
    </w:p>
    <w:p w14:paraId="24E1B7E0" w14:textId="77777777" w:rsidR="0043005F" w:rsidRPr="00D318C5" w:rsidRDefault="0043005F" w:rsidP="0043005F">
      <w:pPr>
        <w:spacing w:after="0"/>
        <w:ind w:right="-138"/>
        <w:jc w:val="center"/>
        <w:rPr>
          <w:rFonts w:ascii="Times New Roman" w:hAnsi="Times New Roman" w:cs="Times New Roman"/>
          <w:b/>
          <w:sz w:val="23"/>
          <w:szCs w:val="23"/>
        </w:rPr>
      </w:pPr>
    </w:p>
    <w:p w14:paraId="61B65AE8" w14:textId="6C5F004E" w:rsidR="004E7333" w:rsidRPr="00D318C5" w:rsidRDefault="004E15D5" w:rsidP="004E7333">
      <w:pPr>
        <w:rPr>
          <w:rFonts w:ascii="Arial" w:hAnsi="Arial" w:cs="Arial"/>
          <w:b/>
          <w:sz w:val="23"/>
          <w:szCs w:val="23"/>
        </w:rPr>
      </w:pPr>
      <w:r w:rsidRPr="00D318C5">
        <w:rPr>
          <w:rFonts w:ascii="Arial" w:hAnsi="Arial" w:cs="Arial"/>
          <w:b/>
          <w:sz w:val="23"/>
          <w:szCs w:val="23"/>
        </w:rPr>
        <w:t>Rationale</w:t>
      </w:r>
    </w:p>
    <w:p w14:paraId="2BCA52BF" w14:textId="3F0AD9F2" w:rsidR="004E7333" w:rsidRPr="00D318C5" w:rsidRDefault="004E7333" w:rsidP="004E7333">
      <w:pPr>
        <w:spacing w:after="0"/>
        <w:jc w:val="both"/>
        <w:rPr>
          <w:rFonts w:ascii="Times New Roman" w:hAnsi="Times New Roman" w:cs="Times New Roman"/>
          <w:sz w:val="23"/>
          <w:szCs w:val="23"/>
        </w:rPr>
      </w:pPr>
      <w:r w:rsidRPr="00D318C5">
        <w:rPr>
          <w:rFonts w:ascii="Times New Roman" w:hAnsi="Times New Roman" w:cs="Times New Roman"/>
          <w:sz w:val="23"/>
          <w:szCs w:val="23"/>
        </w:rPr>
        <w:t xml:space="preserve">To communities and societies across the world, land is regarded as an economic, environmental, </w:t>
      </w:r>
      <w:proofErr w:type="gramStart"/>
      <w:r w:rsidRPr="00D318C5">
        <w:rPr>
          <w:rFonts w:ascii="Times New Roman" w:hAnsi="Times New Roman" w:cs="Times New Roman"/>
          <w:sz w:val="23"/>
          <w:szCs w:val="23"/>
        </w:rPr>
        <w:t>social</w:t>
      </w:r>
      <w:proofErr w:type="gramEnd"/>
      <w:r w:rsidRPr="00D318C5">
        <w:rPr>
          <w:rFonts w:ascii="Times New Roman" w:hAnsi="Times New Roman" w:cs="Times New Roman"/>
          <w:sz w:val="23"/>
          <w:szCs w:val="23"/>
        </w:rPr>
        <w:t xml:space="preserve">, cultural and spiritual resource. The way land </w:t>
      </w:r>
      <w:r w:rsidR="008C4B10" w:rsidRPr="00D318C5">
        <w:rPr>
          <w:rFonts w:ascii="Times New Roman" w:hAnsi="Times New Roman" w:cs="Times New Roman"/>
          <w:sz w:val="23"/>
          <w:szCs w:val="23"/>
        </w:rPr>
        <w:t xml:space="preserve"> - as well as housing </w:t>
      </w:r>
      <w:r w:rsidRPr="00D318C5">
        <w:rPr>
          <w:rFonts w:ascii="Times New Roman" w:hAnsi="Times New Roman" w:cs="Times New Roman"/>
          <w:sz w:val="23"/>
          <w:szCs w:val="23"/>
        </w:rPr>
        <w:t xml:space="preserve">and natural resources on </w:t>
      </w:r>
      <w:r w:rsidR="00B81B2D" w:rsidRPr="00D318C5">
        <w:rPr>
          <w:rFonts w:ascii="Times New Roman" w:hAnsi="Times New Roman" w:cs="Times New Roman"/>
          <w:sz w:val="23"/>
          <w:szCs w:val="23"/>
        </w:rPr>
        <w:t>the land</w:t>
      </w:r>
      <w:r w:rsidR="008C4B10" w:rsidRPr="00D318C5">
        <w:rPr>
          <w:rFonts w:ascii="Times New Roman" w:hAnsi="Times New Roman" w:cs="Times New Roman"/>
          <w:sz w:val="23"/>
          <w:szCs w:val="23"/>
        </w:rPr>
        <w:t xml:space="preserve"> </w:t>
      </w:r>
      <w:r w:rsidR="00B825DC" w:rsidRPr="00D318C5">
        <w:rPr>
          <w:rFonts w:ascii="Times New Roman" w:hAnsi="Times New Roman" w:cs="Times New Roman"/>
          <w:sz w:val="23"/>
          <w:szCs w:val="23"/>
        </w:rPr>
        <w:t>–</w:t>
      </w:r>
      <w:r w:rsidR="008C4B10" w:rsidRPr="00D318C5">
        <w:rPr>
          <w:rFonts w:ascii="Times New Roman" w:hAnsi="Times New Roman" w:cs="Times New Roman"/>
          <w:sz w:val="23"/>
          <w:szCs w:val="23"/>
        </w:rPr>
        <w:t xml:space="preserve"> </w:t>
      </w:r>
      <w:r w:rsidR="00B825DC" w:rsidRPr="00D318C5">
        <w:rPr>
          <w:rFonts w:ascii="Times New Roman" w:hAnsi="Times New Roman" w:cs="Times New Roman"/>
          <w:sz w:val="23"/>
          <w:szCs w:val="23"/>
        </w:rPr>
        <w:t xml:space="preserve">is </w:t>
      </w:r>
      <w:r w:rsidRPr="00D318C5">
        <w:rPr>
          <w:rFonts w:ascii="Times New Roman" w:hAnsi="Times New Roman" w:cs="Times New Roman"/>
          <w:sz w:val="23"/>
          <w:szCs w:val="23"/>
        </w:rPr>
        <w:t xml:space="preserve">used, controlled, managed and protected affects societies and people’s lives in profound and multifaceted ways. </w:t>
      </w:r>
      <w:r w:rsidR="00B825DC" w:rsidRPr="00D318C5">
        <w:rPr>
          <w:rFonts w:ascii="Times New Roman" w:hAnsi="Times New Roman" w:cs="Times New Roman"/>
          <w:sz w:val="23"/>
          <w:szCs w:val="23"/>
        </w:rPr>
        <w:t xml:space="preserve">For the purposes of this submission, tenure refers to the relationship amongst people and groups with respect to rights and interests in land, housing and natural resources. </w:t>
      </w:r>
      <w:r w:rsidR="00DB716F" w:rsidRPr="00D318C5">
        <w:rPr>
          <w:rFonts w:ascii="Times New Roman" w:hAnsi="Times New Roman" w:cs="Times New Roman"/>
          <w:sz w:val="23"/>
          <w:szCs w:val="23"/>
        </w:rPr>
        <w:t>T</w:t>
      </w:r>
      <w:r w:rsidR="00B825DC" w:rsidRPr="00D318C5">
        <w:rPr>
          <w:rFonts w:ascii="Times New Roman" w:hAnsi="Times New Roman" w:cs="Times New Roman"/>
          <w:sz w:val="23"/>
          <w:szCs w:val="23"/>
        </w:rPr>
        <w:t xml:space="preserve">enure </w:t>
      </w:r>
      <w:r w:rsidR="00DB716F" w:rsidRPr="00D318C5">
        <w:rPr>
          <w:rFonts w:ascii="Times New Roman" w:hAnsi="Times New Roman" w:cs="Times New Roman"/>
          <w:sz w:val="23"/>
          <w:szCs w:val="23"/>
        </w:rPr>
        <w:t xml:space="preserve">systems </w:t>
      </w:r>
      <w:r w:rsidR="00B825DC" w:rsidRPr="00D318C5">
        <w:rPr>
          <w:rFonts w:ascii="Times New Roman" w:hAnsi="Times New Roman" w:cs="Times New Roman"/>
          <w:sz w:val="23"/>
          <w:szCs w:val="23"/>
        </w:rPr>
        <w:t>in a given society govern how these rights are created or determined, allocated and enjoyed, and conversely, the way they are constrained and extinguished.</w:t>
      </w:r>
    </w:p>
    <w:p w14:paraId="0BD52269" w14:textId="6AEFA46C" w:rsidR="004E7333" w:rsidRPr="00D318C5" w:rsidRDefault="00B81B2D" w:rsidP="00D415F5">
      <w:pPr>
        <w:tabs>
          <w:tab w:val="left" w:pos="5960"/>
        </w:tabs>
        <w:spacing w:after="0"/>
        <w:jc w:val="both"/>
        <w:rPr>
          <w:rFonts w:ascii="Times New Roman" w:hAnsi="Times New Roman" w:cs="Times New Roman"/>
          <w:sz w:val="23"/>
          <w:szCs w:val="23"/>
        </w:rPr>
      </w:pPr>
      <w:r w:rsidRPr="00D318C5">
        <w:rPr>
          <w:rFonts w:ascii="Times New Roman" w:hAnsi="Times New Roman" w:cs="Times New Roman"/>
          <w:sz w:val="23"/>
          <w:szCs w:val="23"/>
        </w:rPr>
        <w:tab/>
      </w:r>
    </w:p>
    <w:p w14:paraId="50B04915" w14:textId="18945D94" w:rsidR="00B825DC" w:rsidRPr="00D318C5" w:rsidRDefault="00B825DC" w:rsidP="00D415F5">
      <w:pPr>
        <w:jc w:val="both"/>
        <w:rPr>
          <w:rFonts w:ascii="Times New Roman" w:hAnsi="Times New Roman" w:cs="Times New Roman"/>
          <w:sz w:val="23"/>
          <w:szCs w:val="23"/>
        </w:rPr>
      </w:pPr>
      <w:r w:rsidRPr="00D318C5">
        <w:rPr>
          <w:rFonts w:ascii="Times New Roman" w:hAnsi="Times New Roman" w:cs="Times New Roman"/>
          <w:sz w:val="23"/>
          <w:szCs w:val="23"/>
        </w:rPr>
        <w:t xml:space="preserve">Forms of tenure and the systems that govern them vary from one society to another since they reflect the particular relationships and rules that have emerged due to specific demographics, geography, cultures and socio-economic systems. Land tenure is deeply influenced by power dynamics within and between households and communities, and between the citizen and the state and global economic forces. People with a weak tenure status are thus often the most vulnerable and marginalized in society; and their vulnerability is exacerbated and reinforced by the lack of recognition, respect and protection of their tenure rights, and their associated inability to access productive resources. Women, in particular, commonly face this cycle of marginalization due to entrenched discrimination in land governance systems. </w:t>
      </w:r>
    </w:p>
    <w:p w14:paraId="2A19A2EC" w14:textId="6FA13638" w:rsidR="004E7333" w:rsidRPr="00D318C5" w:rsidRDefault="004E7333" w:rsidP="004E7333">
      <w:pPr>
        <w:spacing w:after="0"/>
        <w:jc w:val="both"/>
        <w:rPr>
          <w:rFonts w:ascii="Times New Roman" w:hAnsi="Times New Roman" w:cs="Times New Roman"/>
          <w:sz w:val="23"/>
          <w:szCs w:val="23"/>
        </w:rPr>
      </w:pPr>
      <w:r w:rsidRPr="00D318C5">
        <w:rPr>
          <w:rFonts w:ascii="Times New Roman" w:hAnsi="Times New Roman" w:cs="Times New Roman"/>
          <w:sz w:val="23"/>
          <w:szCs w:val="23"/>
        </w:rPr>
        <w:t>It is well established that secur</w:t>
      </w:r>
      <w:r w:rsidR="00A855AD" w:rsidRPr="00D318C5">
        <w:rPr>
          <w:rFonts w:ascii="Times New Roman" w:hAnsi="Times New Roman" w:cs="Times New Roman"/>
          <w:sz w:val="23"/>
          <w:szCs w:val="23"/>
        </w:rPr>
        <w:t>ity of</w:t>
      </w:r>
      <w:r w:rsidRPr="00D318C5">
        <w:rPr>
          <w:rFonts w:ascii="Times New Roman" w:hAnsi="Times New Roman" w:cs="Times New Roman"/>
          <w:sz w:val="23"/>
          <w:szCs w:val="23"/>
        </w:rPr>
        <w:t xml:space="preserve"> tenure for all is a crucial foundation for poverty reduction and the enjoyment of human rights, particularly the right to an adequate standard of living</w:t>
      </w:r>
      <w:r w:rsidR="00CC6040" w:rsidRPr="00D318C5">
        <w:rPr>
          <w:rFonts w:ascii="Times New Roman" w:hAnsi="Times New Roman" w:cs="Times New Roman"/>
          <w:sz w:val="23"/>
          <w:szCs w:val="23"/>
        </w:rPr>
        <w:t>,</w:t>
      </w:r>
      <w:r w:rsidRPr="00D318C5">
        <w:rPr>
          <w:rFonts w:ascii="Times New Roman" w:hAnsi="Times New Roman" w:cs="Times New Roman"/>
          <w:sz w:val="23"/>
          <w:szCs w:val="23"/>
        </w:rPr>
        <w:t xml:space="preserve"> including </w:t>
      </w:r>
      <w:r w:rsidR="00D61EE4" w:rsidRPr="00D318C5">
        <w:rPr>
          <w:rFonts w:ascii="Times New Roman" w:hAnsi="Times New Roman" w:cs="Times New Roman"/>
          <w:sz w:val="23"/>
          <w:szCs w:val="23"/>
        </w:rPr>
        <w:t>the right</w:t>
      </w:r>
      <w:r w:rsidR="00032C97" w:rsidRPr="00D318C5">
        <w:rPr>
          <w:rFonts w:ascii="Times New Roman" w:hAnsi="Times New Roman" w:cs="Times New Roman"/>
          <w:sz w:val="23"/>
          <w:szCs w:val="23"/>
        </w:rPr>
        <w:t xml:space="preserve"> to adequate </w:t>
      </w:r>
      <w:r w:rsidRPr="00D318C5">
        <w:rPr>
          <w:rFonts w:ascii="Times New Roman" w:hAnsi="Times New Roman" w:cs="Times New Roman"/>
          <w:sz w:val="23"/>
          <w:szCs w:val="23"/>
        </w:rPr>
        <w:t>housing and</w:t>
      </w:r>
      <w:r w:rsidR="00D61EE4" w:rsidRPr="00D318C5">
        <w:rPr>
          <w:rFonts w:ascii="Times New Roman" w:hAnsi="Times New Roman" w:cs="Times New Roman"/>
          <w:sz w:val="23"/>
          <w:szCs w:val="23"/>
        </w:rPr>
        <w:t xml:space="preserve"> the right to</w:t>
      </w:r>
      <w:r w:rsidRPr="00D318C5">
        <w:rPr>
          <w:rFonts w:ascii="Times New Roman" w:hAnsi="Times New Roman" w:cs="Times New Roman"/>
          <w:sz w:val="23"/>
          <w:szCs w:val="23"/>
        </w:rPr>
        <w:t xml:space="preserve"> food.</w:t>
      </w:r>
      <w:r w:rsidRPr="00D318C5">
        <w:rPr>
          <w:rStyle w:val="FootnoteReference"/>
          <w:rFonts w:ascii="Times New Roman" w:hAnsi="Times New Roman" w:cs="Times New Roman"/>
          <w:sz w:val="23"/>
          <w:szCs w:val="23"/>
        </w:rPr>
        <w:footnoteReference w:id="1"/>
      </w:r>
      <w:r w:rsidRPr="00D318C5">
        <w:rPr>
          <w:rFonts w:ascii="Times New Roman" w:hAnsi="Times New Roman" w:cs="Times New Roman"/>
          <w:sz w:val="23"/>
          <w:szCs w:val="23"/>
        </w:rPr>
        <w:t xml:space="preserve"> </w:t>
      </w:r>
      <w:r w:rsidR="004E15D5" w:rsidRPr="00D318C5">
        <w:rPr>
          <w:rFonts w:ascii="Times New Roman" w:hAnsi="Times New Roman" w:cs="Times New Roman"/>
          <w:sz w:val="23"/>
          <w:szCs w:val="23"/>
        </w:rPr>
        <w:t>Security of tenure that confers in land users a degree of confidence that they will not be deprived of their current arrangements wi</w:t>
      </w:r>
      <w:r w:rsidR="00900ACD" w:rsidRPr="00D318C5">
        <w:rPr>
          <w:rFonts w:ascii="Times New Roman" w:hAnsi="Times New Roman" w:cs="Times New Roman"/>
          <w:sz w:val="23"/>
          <w:szCs w:val="23"/>
        </w:rPr>
        <w:t>thout adequate legal safeguards</w:t>
      </w:r>
      <w:r w:rsidR="004E15D5" w:rsidRPr="00D318C5">
        <w:rPr>
          <w:rFonts w:ascii="Times New Roman" w:hAnsi="Times New Roman" w:cs="Times New Roman"/>
          <w:sz w:val="23"/>
          <w:szCs w:val="23"/>
        </w:rPr>
        <w:t xml:space="preserve"> enables families to invest in their homes and livelihoods, and thereby actively contribute to economic dev</w:t>
      </w:r>
      <w:r w:rsidR="00900ACD" w:rsidRPr="00D318C5">
        <w:rPr>
          <w:rFonts w:ascii="Times New Roman" w:hAnsi="Times New Roman" w:cs="Times New Roman"/>
          <w:sz w:val="23"/>
          <w:szCs w:val="23"/>
        </w:rPr>
        <w:t>elopment and enjoy</w:t>
      </w:r>
      <w:r w:rsidR="004E15D5" w:rsidRPr="00D318C5">
        <w:rPr>
          <w:rFonts w:ascii="Times New Roman" w:hAnsi="Times New Roman" w:cs="Times New Roman"/>
          <w:sz w:val="23"/>
          <w:szCs w:val="23"/>
        </w:rPr>
        <w:t xml:space="preserve"> its benefits. </w:t>
      </w:r>
      <w:r w:rsidRPr="00D318C5">
        <w:rPr>
          <w:rFonts w:ascii="Times New Roman" w:hAnsi="Times New Roman" w:cs="Times New Roman"/>
          <w:sz w:val="23"/>
          <w:szCs w:val="23"/>
        </w:rPr>
        <w:t>Equitable tenure systems</w:t>
      </w:r>
      <w:r w:rsidR="00900ACD" w:rsidRPr="00D318C5">
        <w:rPr>
          <w:rFonts w:ascii="Times New Roman" w:hAnsi="Times New Roman" w:cs="Times New Roman"/>
          <w:sz w:val="23"/>
          <w:szCs w:val="23"/>
        </w:rPr>
        <w:t>,</w:t>
      </w:r>
      <w:r w:rsidRPr="00D318C5">
        <w:rPr>
          <w:rFonts w:ascii="Times New Roman" w:hAnsi="Times New Roman" w:cs="Times New Roman"/>
          <w:sz w:val="23"/>
          <w:szCs w:val="23"/>
        </w:rPr>
        <w:t xml:space="preserve"> that enable all people to have access to and control over an adequate supply of land for their homes, livelihoods and other basic needs</w:t>
      </w:r>
      <w:r w:rsidR="00900ACD" w:rsidRPr="00D318C5">
        <w:rPr>
          <w:rFonts w:ascii="Times New Roman" w:hAnsi="Times New Roman" w:cs="Times New Roman"/>
          <w:sz w:val="23"/>
          <w:szCs w:val="23"/>
        </w:rPr>
        <w:t>,</w:t>
      </w:r>
      <w:r w:rsidRPr="00D318C5">
        <w:rPr>
          <w:rFonts w:ascii="Times New Roman" w:hAnsi="Times New Roman" w:cs="Times New Roman"/>
          <w:sz w:val="23"/>
          <w:szCs w:val="23"/>
        </w:rPr>
        <w:t xml:space="preserve"> provide an</w:t>
      </w:r>
      <w:r w:rsidR="00900ACD" w:rsidRPr="00D318C5">
        <w:rPr>
          <w:rFonts w:ascii="Times New Roman" w:hAnsi="Times New Roman" w:cs="Times New Roman"/>
          <w:sz w:val="23"/>
          <w:szCs w:val="23"/>
        </w:rPr>
        <w:t>other essential</w:t>
      </w:r>
      <w:r w:rsidRPr="00D318C5">
        <w:rPr>
          <w:rFonts w:ascii="Times New Roman" w:hAnsi="Times New Roman" w:cs="Times New Roman"/>
          <w:sz w:val="23"/>
          <w:szCs w:val="23"/>
        </w:rPr>
        <w:t xml:space="preserve"> underpinning for </w:t>
      </w:r>
      <w:r w:rsidR="00900ACD" w:rsidRPr="00D318C5">
        <w:rPr>
          <w:rFonts w:ascii="Times New Roman" w:hAnsi="Times New Roman" w:cs="Times New Roman"/>
          <w:sz w:val="23"/>
          <w:szCs w:val="23"/>
        </w:rPr>
        <w:t xml:space="preserve">poverty reduction and </w:t>
      </w:r>
      <w:r w:rsidRPr="00D318C5">
        <w:rPr>
          <w:rFonts w:ascii="Times New Roman" w:hAnsi="Times New Roman" w:cs="Times New Roman"/>
          <w:sz w:val="23"/>
          <w:szCs w:val="23"/>
        </w:rPr>
        <w:t xml:space="preserve">inclusive </w:t>
      </w:r>
      <w:r w:rsidR="00900ACD" w:rsidRPr="00D318C5">
        <w:rPr>
          <w:rFonts w:ascii="Times New Roman" w:hAnsi="Times New Roman" w:cs="Times New Roman"/>
          <w:sz w:val="23"/>
          <w:szCs w:val="23"/>
        </w:rPr>
        <w:t xml:space="preserve">and sustainable </w:t>
      </w:r>
      <w:r w:rsidRPr="00D318C5">
        <w:rPr>
          <w:rFonts w:ascii="Times New Roman" w:hAnsi="Times New Roman" w:cs="Times New Roman"/>
          <w:sz w:val="23"/>
          <w:szCs w:val="23"/>
        </w:rPr>
        <w:lastRenderedPageBreak/>
        <w:t xml:space="preserve">development. Yet without concerted measures to strengthen </w:t>
      </w:r>
      <w:r w:rsidR="007A3997" w:rsidRPr="00D318C5">
        <w:rPr>
          <w:rFonts w:ascii="Times New Roman" w:hAnsi="Times New Roman" w:cs="Times New Roman"/>
          <w:sz w:val="23"/>
          <w:szCs w:val="23"/>
        </w:rPr>
        <w:t xml:space="preserve">the </w:t>
      </w:r>
      <w:r w:rsidRPr="00D318C5">
        <w:rPr>
          <w:rFonts w:ascii="Times New Roman" w:hAnsi="Times New Roman" w:cs="Times New Roman"/>
          <w:sz w:val="23"/>
          <w:szCs w:val="23"/>
        </w:rPr>
        <w:t xml:space="preserve">tenure </w:t>
      </w:r>
      <w:r w:rsidR="007A3997" w:rsidRPr="00D318C5">
        <w:rPr>
          <w:rFonts w:ascii="Times New Roman" w:hAnsi="Times New Roman" w:cs="Times New Roman"/>
          <w:sz w:val="23"/>
          <w:szCs w:val="23"/>
        </w:rPr>
        <w:t xml:space="preserve">rights of </w:t>
      </w:r>
      <w:r w:rsidR="00D431FF" w:rsidRPr="00D318C5">
        <w:rPr>
          <w:rFonts w:ascii="Times New Roman" w:hAnsi="Times New Roman" w:cs="Times New Roman"/>
          <w:sz w:val="23"/>
          <w:szCs w:val="23"/>
        </w:rPr>
        <w:t xml:space="preserve">poor and marginalized </w:t>
      </w:r>
      <w:r w:rsidR="007A3997" w:rsidRPr="00D318C5">
        <w:rPr>
          <w:rFonts w:ascii="Times New Roman" w:hAnsi="Times New Roman" w:cs="Times New Roman"/>
          <w:sz w:val="23"/>
          <w:szCs w:val="23"/>
        </w:rPr>
        <w:t>groups</w:t>
      </w:r>
      <w:r w:rsidR="00714AE2" w:rsidRPr="00D318C5">
        <w:rPr>
          <w:rFonts w:ascii="Times New Roman" w:hAnsi="Times New Roman" w:cs="Times New Roman"/>
          <w:sz w:val="23"/>
          <w:szCs w:val="23"/>
        </w:rPr>
        <w:t xml:space="preserve"> and promote equitable</w:t>
      </w:r>
      <w:r w:rsidR="00900ACD" w:rsidRPr="00D318C5">
        <w:rPr>
          <w:rFonts w:ascii="Times New Roman" w:hAnsi="Times New Roman" w:cs="Times New Roman"/>
          <w:sz w:val="23"/>
          <w:szCs w:val="23"/>
        </w:rPr>
        <w:t xml:space="preserve"> </w:t>
      </w:r>
      <w:r w:rsidR="00714AE2" w:rsidRPr="00D318C5">
        <w:rPr>
          <w:rFonts w:ascii="Times New Roman" w:hAnsi="Times New Roman" w:cs="Times New Roman"/>
          <w:sz w:val="23"/>
          <w:szCs w:val="23"/>
        </w:rPr>
        <w:t>tenure systems</w:t>
      </w:r>
      <w:r w:rsidRPr="00D318C5">
        <w:rPr>
          <w:rFonts w:ascii="Times New Roman" w:hAnsi="Times New Roman" w:cs="Times New Roman"/>
          <w:sz w:val="23"/>
          <w:szCs w:val="23"/>
        </w:rPr>
        <w:t>, development projects</w:t>
      </w:r>
      <w:r w:rsidR="00260D1D" w:rsidRPr="00D318C5">
        <w:rPr>
          <w:rFonts w:ascii="Times New Roman" w:hAnsi="Times New Roman" w:cs="Times New Roman"/>
          <w:sz w:val="23"/>
          <w:szCs w:val="23"/>
        </w:rPr>
        <w:t xml:space="preserve"> </w:t>
      </w:r>
      <w:r w:rsidRPr="00D318C5">
        <w:rPr>
          <w:rFonts w:ascii="Times New Roman" w:hAnsi="Times New Roman" w:cs="Times New Roman"/>
          <w:sz w:val="23"/>
          <w:szCs w:val="23"/>
        </w:rPr>
        <w:t>can have p</w:t>
      </w:r>
      <w:r w:rsidR="00900ACD" w:rsidRPr="00D318C5">
        <w:rPr>
          <w:rFonts w:ascii="Times New Roman" w:hAnsi="Times New Roman" w:cs="Times New Roman"/>
          <w:sz w:val="23"/>
          <w:szCs w:val="23"/>
        </w:rPr>
        <w:t>rofound</w:t>
      </w:r>
      <w:r w:rsidR="0057516D" w:rsidRPr="00D318C5">
        <w:rPr>
          <w:rFonts w:ascii="Times New Roman" w:hAnsi="Times New Roman" w:cs="Times New Roman"/>
          <w:sz w:val="23"/>
          <w:szCs w:val="23"/>
        </w:rPr>
        <w:t xml:space="preserve">ly detrimental </w:t>
      </w:r>
      <w:r w:rsidR="00900ACD" w:rsidRPr="00D318C5">
        <w:rPr>
          <w:rFonts w:ascii="Times New Roman" w:hAnsi="Times New Roman" w:cs="Times New Roman"/>
          <w:sz w:val="23"/>
          <w:szCs w:val="23"/>
        </w:rPr>
        <w:t>impacts</w:t>
      </w:r>
      <w:r w:rsidRPr="00D318C5">
        <w:rPr>
          <w:rFonts w:ascii="Times New Roman" w:hAnsi="Times New Roman" w:cs="Times New Roman"/>
          <w:sz w:val="23"/>
          <w:szCs w:val="23"/>
        </w:rPr>
        <w:t xml:space="preserve"> on </w:t>
      </w:r>
      <w:r w:rsidR="0057516D" w:rsidRPr="00D318C5">
        <w:rPr>
          <w:rFonts w:ascii="Times New Roman" w:hAnsi="Times New Roman" w:cs="Times New Roman"/>
          <w:sz w:val="23"/>
          <w:szCs w:val="23"/>
        </w:rPr>
        <w:t xml:space="preserve">people’s </w:t>
      </w:r>
      <w:r w:rsidRPr="00D318C5">
        <w:rPr>
          <w:rFonts w:ascii="Times New Roman" w:hAnsi="Times New Roman" w:cs="Times New Roman"/>
          <w:sz w:val="23"/>
          <w:szCs w:val="23"/>
        </w:rPr>
        <w:t>access to land</w:t>
      </w:r>
      <w:r w:rsidR="003E29C2" w:rsidRPr="00D318C5">
        <w:rPr>
          <w:rFonts w:ascii="Times New Roman" w:hAnsi="Times New Roman" w:cs="Times New Roman"/>
          <w:sz w:val="23"/>
          <w:szCs w:val="23"/>
        </w:rPr>
        <w:t>, housing</w:t>
      </w:r>
      <w:r w:rsidRPr="00D318C5">
        <w:rPr>
          <w:rFonts w:ascii="Times New Roman" w:hAnsi="Times New Roman" w:cs="Times New Roman"/>
          <w:sz w:val="23"/>
          <w:szCs w:val="23"/>
        </w:rPr>
        <w:t xml:space="preserve"> and natural resources, exacerbating </w:t>
      </w:r>
      <w:r w:rsidR="00476758" w:rsidRPr="00D318C5">
        <w:rPr>
          <w:rFonts w:ascii="Times New Roman" w:hAnsi="Times New Roman" w:cs="Times New Roman"/>
          <w:sz w:val="23"/>
          <w:szCs w:val="23"/>
        </w:rPr>
        <w:t>inequality</w:t>
      </w:r>
      <w:r w:rsidRPr="00D318C5">
        <w:rPr>
          <w:rFonts w:ascii="Times New Roman" w:hAnsi="Times New Roman" w:cs="Times New Roman"/>
          <w:sz w:val="23"/>
          <w:szCs w:val="23"/>
        </w:rPr>
        <w:t xml:space="preserve"> and harming the most vulnerable. </w:t>
      </w:r>
    </w:p>
    <w:p w14:paraId="348C0B6E" w14:textId="77777777" w:rsidR="004E7333" w:rsidRPr="00D318C5" w:rsidRDefault="004E7333" w:rsidP="004E7333">
      <w:pPr>
        <w:spacing w:after="0" w:line="240" w:lineRule="auto"/>
        <w:jc w:val="both"/>
        <w:rPr>
          <w:rFonts w:ascii="Times New Roman" w:hAnsi="Times New Roman" w:cs="Times New Roman"/>
          <w:sz w:val="23"/>
          <w:szCs w:val="23"/>
        </w:rPr>
      </w:pPr>
    </w:p>
    <w:p w14:paraId="527BB6E0" w14:textId="76B5D5EE" w:rsidR="005537B1" w:rsidRPr="00D318C5" w:rsidRDefault="00A318BC" w:rsidP="004E7333">
      <w:pPr>
        <w:widowControl w:val="0"/>
        <w:autoSpaceDE w:val="0"/>
        <w:autoSpaceDN w:val="0"/>
        <w:adjustRightInd w:val="0"/>
        <w:spacing w:after="240"/>
        <w:jc w:val="both"/>
        <w:rPr>
          <w:rFonts w:ascii="Times New Roman" w:hAnsi="Times New Roman" w:cs="Times New Roman"/>
          <w:sz w:val="23"/>
          <w:szCs w:val="23"/>
        </w:rPr>
      </w:pPr>
      <w:r w:rsidRPr="00D318C5">
        <w:rPr>
          <w:rFonts w:ascii="Times New Roman" w:hAnsi="Times New Roman" w:cs="Times New Roman"/>
          <w:sz w:val="23"/>
          <w:szCs w:val="23"/>
        </w:rPr>
        <w:t xml:space="preserve">As the UN Special Rapporteur on the Right to Adequate Housing has reported to the Human Rights Council, “We are in the grip of </w:t>
      </w:r>
      <w:r w:rsidR="004E15D5" w:rsidRPr="00D318C5">
        <w:rPr>
          <w:rFonts w:ascii="Times New Roman" w:hAnsi="Times New Roman" w:cs="Times New Roman"/>
          <w:sz w:val="23"/>
          <w:szCs w:val="23"/>
        </w:rPr>
        <w:t>a “global tenure insecurity crisis.”</w:t>
      </w:r>
      <w:r w:rsidR="0049684E" w:rsidRPr="00D318C5">
        <w:rPr>
          <w:rStyle w:val="FootnoteReference"/>
          <w:rFonts w:ascii="Times New Roman" w:hAnsi="Times New Roman" w:cs="Times New Roman"/>
          <w:sz w:val="23"/>
          <w:szCs w:val="23"/>
        </w:rPr>
        <w:footnoteReference w:id="2"/>
      </w:r>
      <w:r w:rsidR="004E15D5" w:rsidRPr="00D318C5">
        <w:rPr>
          <w:rFonts w:ascii="Times New Roman" w:hAnsi="Times New Roman" w:cs="Times New Roman"/>
          <w:sz w:val="23"/>
          <w:szCs w:val="23"/>
        </w:rPr>
        <w:t xml:space="preserve"> The </w:t>
      </w:r>
      <w:r w:rsidR="00300B09" w:rsidRPr="00D318C5">
        <w:rPr>
          <w:rFonts w:ascii="Times New Roman" w:hAnsi="Times New Roman" w:cs="Times New Roman"/>
          <w:sz w:val="23"/>
          <w:szCs w:val="23"/>
        </w:rPr>
        <w:t xml:space="preserve">rural poor are </w:t>
      </w:r>
      <w:r w:rsidR="004E7333" w:rsidRPr="00D318C5">
        <w:rPr>
          <w:rFonts w:ascii="Times New Roman" w:hAnsi="Times New Roman" w:cs="Times New Roman"/>
          <w:sz w:val="23"/>
          <w:szCs w:val="23"/>
        </w:rPr>
        <w:t xml:space="preserve">increasingly facing contestation over rights to land </w:t>
      </w:r>
      <w:r w:rsidR="00510928" w:rsidRPr="00D318C5">
        <w:rPr>
          <w:rFonts w:ascii="Times New Roman" w:hAnsi="Times New Roman" w:cs="Times New Roman"/>
          <w:sz w:val="23"/>
          <w:szCs w:val="23"/>
        </w:rPr>
        <w:t xml:space="preserve">and natural resources </w:t>
      </w:r>
      <w:r w:rsidR="004E7333" w:rsidRPr="00D318C5">
        <w:rPr>
          <w:rFonts w:ascii="Times New Roman" w:hAnsi="Times New Roman" w:cs="Times New Roman"/>
          <w:sz w:val="23"/>
          <w:szCs w:val="23"/>
        </w:rPr>
        <w:t>by powerful economic and business interests</w:t>
      </w:r>
      <w:r w:rsidR="004E15D5" w:rsidRPr="00D318C5">
        <w:rPr>
          <w:rFonts w:ascii="Times New Roman" w:hAnsi="Times New Roman" w:cs="Times New Roman"/>
          <w:sz w:val="23"/>
          <w:szCs w:val="23"/>
        </w:rPr>
        <w:t xml:space="preserve">, and are being dispossessed of </w:t>
      </w:r>
      <w:r w:rsidR="0049684E" w:rsidRPr="00D318C5">
        <w:rPr>
          <w:rFonts w:ascii="Times New Roman" w:hAnsi="Times New Roman" w:cs="Times New Roman"/>
          <w:sz w:val="23"/>
          <w:szCs w:val="23"/>
        </w:rPr>
        <w:t xml:space="preserve">their rights to </w:t>
      </w:r>
      <w:r w:rsidR="004E15D5" w:rsidRPr="00D318C5">
        <w:rPr>
          <w:rFonts w:ascii="Times New Roman" w:hAnsi="Times New Roman" w:cs="Times New Roman"/>
          <w:sz w:val="23"/>
          <w:szCs w:val="23"/>
        </w:rPr>
        <w:t>productive land and natural resources at an alarming scale</w:t>
      </w:r>
      <w:r w:rsidR="004E7333" w:rsidRPr="00D318C5">
        <w:rPr>
          <w:rFonts w:ascii="Times New Roman" w:hAnsi="Times New Roman" w:cs="Times New Roman"/>
          <w:sz w:val="23"/>
          <w:szCs w:val="23"/>
        </w:rPr>
        <w:t xml:space="preserve">. </w:t>
      </w:r>
      <w:r w:rsidR="00300B09" w:rsidRPr="00D318C5">
        <w:rPr>
          <w:rFonts w:ascii="Times New Roman" w:hAnsi="Times New Roman" w:cs="Times New Roman"/>
          <w:sz w:val="23"/>
          <w:szCs w:val="23"/>
        </w:rPr>
        <w:t>Meanwhile, a</w:t>
      </w:r>
      <w:r w:rsidR="00B9033C" w:rsidRPr="00D318C5">
        <w:rPr>
          <w:rFonts w:ascii="Times New Roman" w:hAnsi="Times New Roman" w:cs="Times New Roman"/>
          <w:sz w:val="23"/>
          <w:szCs w:val="23"/>
        </w:rPr>
        <w:t xml:space="preserve">s the number of urban inhabitants surpasses the </w:t>
      </w:r>
      <w:r w:rsidR="00300B09" w:rsidRPr="00D318C5">
        <w:rPr>
          <w:rFonts w:ascii="Times New Roman" w:hAnsi="Times New Roman" w:cs="Times New Roman"/>
          <w:sz w:val="23"/>
          <w:szCs w:val="23"/>
        </w:rPr>
        <w:t xml:space="preserve">global </w:t>
      </w:r>
      <w:r w:rsidR="00B9033C" w:rsidRPr="00D318C5">
        <w:rPr>
          <w:rFonts w:ascii="Times New Roman" w:hAnsi="Times New Roman" w:cs="Times New Roman"/>
          <w:sz w:val="23"/>
          <w:szCs w:val="23"/>
        </w:rPr>
        <w:t xml:space="preserve">rural population, </w:t>
      </w:r>
      <w:r w:rsidR="004E7333" w:rsidRPr="00D318C5">
        <w:rPr>
          <w:rFonts w:ascii="Times New Roman" w:hAnsi="Times New Roman" w:cs="Times New Roman"/>
          <w:sz w:val="23"/>
          <w:szCs w:val="23"/>
        </w:rPr>
        <w:t xml:space="preserve">the scarcity of affordable </w:t>
      </w:r>
      <w:r w:rsidR="00B9033C" w:rsidRPr="00D318C5">
        <w:rPr>
          <w:rFonts w:ascii="Times New Roman" w:hAnsi="Times New Roman" w:cs="Times New Roman"/>
          <w:sz w:val="23"/>
          <w:szCs w:val="23"/>
        </w:rPr>
        <w:t xml:space="preserve">city </w:t>
      </w:r>
      <w:r w:rsidR="004E7333" w:rsidRPr="00D318C5">
        <w:rPr>
          <w:rFonts w:ascii="Times New Roman" w:hAnsi="Times New Roman" w:cs="Times New Roman"/>
          <w:sz w:val="23"/>
          <w:szCs w:val="23"/>
        </w:rPr>
        <w:t>housing</w:t>
      </w:r>
      <w:r w:rsidR="00B9033C" w:rsidRPr="00D318C5">
        <w:rPr>
          <w:rFonts w:ascii="Times New Roman" w:hAnsi="Times New Roman" w:cs="Times New Roman"/>
          <w:sz w:val="23"/>
          <w:szCs w:val="23"/>
        </w:rPr>
        <w:t xml:space="preserve"> and real estate</w:t>
      </w:r>
      <w:r w:rsidR="004E7333" w:rsidRPr="00D318C5">
        <w:rPr>
          <w:rFonts w:ascii="Times New Roman" w:hAnsi="Times New Roman" w:cs="Times New Roman"/>
          <w:sz w:val="23"/>
          <w:szCs w:val="23"/>
        </w:rPr>
        <w:t xml:space="preserve"> is creating a highly insecure urban underclass facing a constant threat of forced eviction. </w:t>
      </w:r>
      <w:r w:rsidR="000D73DA" w:rsidRPr="00D318C5">
        <w:rPr>
          <w:rFonts w:ascii="Times New Roman" w:hAnsi="Times New Roman" w:cs="Times New Roman"/>
          <w:sz w:val="23"/>
          <w:szCs w:val="23"/>
        </w:rPr>
        <w:t xml:space="preserve">The </w:t>
      </w:r>
      <w:r w:rsidR="00355690" w:rsidRPr="00D318C5">
        <w:rPr>
          <w:rFonts w:ascii="Times New Roman" w:hAnsi="Times New Roman" w:cs="Times New Roman"/>
          <w:sz w:val="23"/>
          <w:szCs w:val="23"/>
        </w:rPr>
        <w:t xml:space="preserve">pervasive </w:t>
      </w:r>
      <w:r w:rsidR="000D73DA" w:rsidRPr="00D318C5">
        <w:rPr>
          <w:rFonts w:ascii="Times New Roman" w:hAnsi="Times New Roman" w:cs="Times New Roman"/>
          <w:sz w:val="23"/>
          <w:szCs w:val="23"/>
        </w:rPr>
        <w:t>lack of tenure security and increasing inequa</w:t>
      </w:r>
      <w:r w:rsidR="0049684E" w:rsidRPr="00D318C5">
        <w:rPr>
          <w:rFonts w:ascii="Times New Roman" w:hAnsi="Times New Roman" w:cs="Times New Roman"/>
          <w:sz w:val="23"/>
          <w:szCs w:val="23"/>
        </w:rPr>
        <w:t>lity in access to and control over</w:t>
      </w:r>
      <w:r w:rsidR="000D73DA" w:rsidRPr="00D318C5">
        <w:rPr>
          <w:rFonts w:ascii="Times New Roman" w:hAnsi="Times New Roman" w:cs="Times New Roman"/>
          <w:sz w:val="23"/>
          <w:szCs w:val="23"/>
        </w:rPr>
        <w:t xml:space="preserve"> land, which manifests most visibly in forced displacement, homelessness and landlessness, </w:t>
      </w:r>
      <w:r w:rsidRPr="00D318C5">
        <w:rPr>
          <w:rFonts w:ascii="Times New Roman" w:hAnsi="Times New Roman" w:cs="Times New Roman"/>
          <w:sz w:val="23"/>
          <w:szCs w:val="23"/>
        </w:rPr>
        <w:t>ranks among</w:t>
      </w:r>
      <w:r w:rsidR="000D73DA" w:rsidRPr="00D318C5">
        <w:rPr>
          <w:rFonts w:ascii="Times New Roman" w:hAnsi="Times New Roman" w:cs="Times New Roman"/>
          <w:sz w:val="23"/>
          <w:szCs w:val="23"/>
        </w:rPr>
        <w:t xml:space="preserve"> the most serious hurdles to </w:t>
      </w:r>
      <w:r w:rsidRPr="00D318C5">
        <w:rPr>
          <w:rFonts w:ascii="Times New Roman" w:hAnsi="Times New Roman" w:cs="Times New Roman"/>
          <w:sz w:val="23"/>
          <w:szCs w:val="23"/>
        </w:rPr>
        <w:t xml:space="preserve">global </w:t>
      </w:r>
      <w:r w:rsidR="000D73DA" w:rsidRPr="00D318C5">
        <w:rPr>
          <w:rFonts w:ascii="Times New Roman" w:hAnsi="Times New Roman" w:cs="Times New Roman"/>
          <w:sz w:val="23"/>
          <w:szCs w:val="23"/>
        </w:rPr>
        <w:t>poverty reduction</w:t>
      </w:r>
      <w:r w:rsidR="004E15D5" w:rsidRPr="00D318C5">
        <w:rPr>
          <w:rFonts w:ascii="Times New Roman" w:hAnsi="Times New Roman" w:cs="Times New Roman"/>
          <w:sz w:val="23"/>
          <w:szCs w:val="23"/>
        </w:rPr>
        <w:t xml:space="preserve"> </w:t>
      </w:r>
      <w:r w:rsidRPr="00D318C5">
        <w:rPr>
          <w:rFonts w:ascii="Times New Roman" w:hAnsi="Times New Roman" w:cs="Times New Roman"/>
          <w:sz w:val="23"/>
          <w:szCs w:val="23"/>
        </w:rPr>
        <w:t>efforts</w:t>
      </w:r>
      <w:r w:rsidR="000D73DA" w:rsidRPr="00D318C5">
        <w:rPr>
          <w:rFonts w:ascii="Times New Roman" w:hAnsi="Times New Roman" w:cs="Times New Roman"/>
          <w:sz w:val="23"/>
          <w:szCs w:val="23"/>
        </w:rPr>
        <w:t>.</w:t>
      </w:r>
      <w:r w:rsidR="00667DCC" w:rsidRPr="00D318C5">
        <w:rPr>
          <w:rFonts w:ascii="Times New Roman" w:hAnsi="Times New Roman" w:cs="Times New Roman"/>
          <w:sz w:val="23"/>
          <w:szCs w:val="23"/>
        </w:rPr>
        <w:t xml:space="preserve"> </w:t>
      </w:r>
      <w:r w:rsidR="00355690" w:rsidRPr="00D318C5">
        <w:rPr>
          <w:rFonts w:ascii="Times New Roman" w:hAnsi="Times New Roman" w:cs="Times New Roman"/>
          <w:sz w:val="23"/>
          <w:szCs w:val="23"/>
        </w:rPr>
        <w:t>T</w:t>
      </w:r>
      <w:r w:rsidR="00667DCC" w:rsidRPr="00D318C5">
        <w:rPr>
          <w:rFonts w:ascii="Times New Roman" w:hAnsi="Times New Roman" w:cs="Times New Roman"/>
          <w:sz w:val="23"/>
          <w:szCs w:val="23"/>
        </w:rPr>
        <w:t xml:space="preserve">hese phenomena </w:t>
      </w:r>
      <w:r w:rsidR="00355690" w:rsidRPr="00D318C5">
        <w:rPr>
          <w:rFonts w:ascii="Times New Roman" w:hAnsi="Times New Roman" w:cs="Times New Roman"/>
          <w:sz w:val="23"/>
          <w:szCs w:val="23"/>
        </w:rPr>
        <w:t>deepen impoverishment</w:t>
      </w:r>
      <w:r w:rsidR="00667DCC" w:rsidRPr="00D318C5">
        <w:rPr>
          <w:rFonts w:ascii="Times New Roman" w:hAnsi="Times New Roman" w:cs="Times New Roman"/>
          <w:sz w:val="23"/>
          <w:szCs w:val="23"/>
        </w:rPr>
        <w:t xml:space="preserve"> and thwart self-development for </w:t>
      </w:r>
      <w:r w:rsidR="00320FD8" w:rsidRPr="00D318C5">
        <w:rPr>
          <w:rFonts w:ascii="Times New Roman" w:hAnsi="Times New Roman" w:cs="Times New Roman"/>
          <w:sz w:val="23"/>
          <w:szCs w:val="23"/>
        </w:rPr>
        <w:t xml:space="preserve">hundreds </w:t>
      </w:r>
      <w:r w:rsidR="00667DCC" w:rsidRPr="00D318C5">
        <w:rPr>
          <w:rFonts w:ascii="Times New Roman" w:hAnsi="Times New Roman" w:cs="Times New Roman"/>
          <w:sz w:val="23"/>
          <w:szCs w:val="23"/>
        </w:rPr>
        <w:t>of millions of people.</w:t>
      </w:r>
      <w:r w:rsidR="000D73DA" w:rsidRPr="00D318C5">
        <w:rPr>
          <w:rFonts w:ascii="Times New Roman" w:hAnsi="Times New Roman" w:cs="Times New Roman"/>
          <w:sz w:val="23"/>
          <w:szCs w:val="23"/>
        </w:rPr>
        <w:t xml:space="preserve">  </w:t>
      </w:r>
    </w:p>
    <w:p w14:paraId="5F3DDB45" w14:textId="308BAD15" w:rsidR="00D4342E" w:rsidRPr="00D318C5" w:rsidRDefault="004E7333" w:rsidP="005537B1">
      <w:pPr>
        <w:widowControl w:val="0"/>
        <w:autoSpaceDE w:val="0"/>
        <w:autoSpaceDN w:val="0"/>
        <w:adjustRightInd w:val="0"/>
        <w:spacing w:after="240"/>
        <w:jc w:val="both"/>
        <w:rPr>
          <w:rFonts w:ascii="Times New Roman" w:hAnsi="Times New Roman" w:cs="Times New Roman"/>
          <w:sz w:val="23"/>
          <w:szCs w:val="23"/>
        </w:rPr>
      </w:pPr>
      <w:r w:rsidRPr="00D318C5">
        <w:rPr>
          <w:rFonts w:ascii="Times New Roman" w:hAnsi="Times New Roman" w:cs="Times New Roman"/>
          <w:sz w:val="23"/>
          <w:szCs w:val="23"/>
        </w:rPr>
        <w:t xml:space="preserve">In recognition of these </w:t>
      </w:r>
      <w:r w:rsidR="00B9033C" w:rsidRPr="00D318C5">
        <w:rPr>
          <w:rFonts w:ascii="Times New Roman" w:hAnsi="Times New Roman" w:cs="Times New Roman"/>
          <w:sz w:val="23"/>
          <w:szCs w:val="23"/>
        </w:rPr>
        <w:t xml:space="preserve">fundamental </w:t>
      </w:r>
      <w:r w:rsidR="000D73DA" w:rsidRPr="00D318C5">
        <w:rPr>
          <w:rFonts w:ascii="Times New Roman" w:hAnsi="Times New Roman" w:cs="Times New Roman"/>
          <w:sz w:val="23"/>
          <w:szCs w:val="23"/>
        </w:rPr>
        <w:t xml:space="preserve">truths and challenges, </w:t>
      </w:r>
      <w:r w:rsidR="00A318BC" w:rsidRPr="00D318C5">
        <w:rPr>
          <w:rFonts w:ascii="Times New Roman" w:hAnsi="Times New Roman" w:cs="Times New Roman"/>
          <w:sz w:val="23"/>
          <w:szCs w:val="23"/>
        </w:rPr>
        <w:t xml:space="preserve">World </w:t>
      </w:r>
      <w:r w:rsidR="000D73DA" w:rsidRPr="00D318C5">
        <w:rPr>
          <w:rFonts w:ascii="Times New Roman" w:hAnsi="Times New Roman" w:cs="Times New Roman"/>
          <w:sz w:val="23"/>
          <w:szCs w:val="23"/>
        </w:rPr>
        <w:t>Bank</w:t>
      </w:r>
      <w:r w:rsidRPr="00D318C5">
        <w:rPr>
          <w:rFonts w:ascii="Times New Roman" w:hAnsi="Times New Roman" w:cs="Times New Roman"/>
          <w:sz w:val="23"/>
          <w:szCs w:val="23"/>
        </w:rPr>
        <w:t xml:space="preserve"> </w:t>
      </w:r>
      <w:r w:rsidR="000D73DA" w:rsidRPr="00D318C5">
        <w:rPr>
          <w:rFonts w:ascii="Times New Roman" w:hAnsi="Times New Roman" w:cs="Times New Roman"/>
          <w:sz w:val="23"/>
          <w:szCs w:val="23"/>
        </w:rPr>
        <w:t xml:space="preserve">operations </w:t>
      </w:r>
      <w:r w:rsidRPr="00D318C5">
        <w:rPr>
          <w:rFonts w:ascii="Times New Roman" w:hAnsi="Times New Roman" w:cs="Times New Roman"/>
          <w:sz w:val="23"/>
          <w:szCs w:val="23"/>
        </w:rPr>
        <w:t xml:space="preserve">should actively seek to strengthen tenure security for those who experience </w:t>
      </w:r>
      <w:r w:rsidR="0035520B" w:rsidRPr="00D318C5">
        <w:rPr>
          <w:rFonts w:ascii="Times New Roman" w:hAnsi="Times New Roman" w:cs="Times New Roman"/>
          <w:sz w:val="23"/>
          <w:szCs w:val="23"/>
        </w:rPr>
        <w:t xml:space="preserve">vulnerability </w:t>
      </w:r>
      <w:r w:rsidRPr="00D318C5">
        <w:rPr>
          <w:rFonts w:ascii="Times New Roman" w:hAnsi="Times New Roman" w:cs="Times New Roman"/>
          <w:sz w:val="23"/>
          <w:szCs w:val="23"/>
        </w:rPr>
        <w:t xml:space="preserve">and </w:t>
      </w:r>
      <w:r w:rsidR="00A318BC" w:rsidRPr="00D318C5">
        <w:rPr>
          <w:rFonts w:ascii="Times New Roman" w:hAnsi="Times New Roman" w:cs="Times New Roman"/>
          <w:sz w:val="23"/>
          <w:szCs w:val="23"/>
        </w:rPr>
        <w:t xml:space="preserve">work to </w:t>
      </w:r>
      <w:r w:rsidRPr="00D318C5">
        <w:rPr>
          <w:rFonts w:ascii="Times New Roman" w:hAnsi="Times New Roman" w:cs="Times New Roman"/>
          <w:sz w:val="23"/>
          <w:szCs w:val="23"/>
        </w:rPr>
        <w:t>improve access to productive land</w:t>
      </w:r>
      <w:r w:rsidR="00256C0B" w:rsidRPr="00D318C5">
        <w:rPr>
          <w:rFonts w:ascii="Times New Roman" w:hAnsi="Times New Roman" w:cs="Times New Roman"/>
          <w:sz w:val="23"/>
          <w:szCs w:val="23"/>
        </w:rPr>
        <w:t xml:space="preserve"> and other </w:t>
      </w:r>
      <w:r w:rsidR="00C225DB" w:rsidRPr="00D318C5">
        <w:rPr>
          <w:rFonts w:ascii="Times New Roman" w:hAnsi="Times New Roman" w:cs="Times New Roman"/>
          <w:sz w:val="23"/>
          <w:szCs w:val="23"/>
        </w:rPr>
        <w:t xml:space="preserve">resources </w:t>
      </w:r>
      <w:r w:rsidR="0035520B" w:rsidRPr="00D318C5">
        <w:rPr>
          <w:rFonts w:ascii="Times New Roman" w:hAnsi="Times New Roman" w:cs="Times New Roman"/>
          <w:sz w:val="23"/>
          <w:szCs w:val="23"/>
        </w:rPr>
        <w:t xml:space="preserve">for land-poor and landless </w:t>
      </w:r>
      <w:r w:rsidRPr="00D318C5">
        <w:rPr>
          <w:rFonts w:ascii="Times New Roman" w:hAnsi="Times New Roman" w:cs="Times New Roman"/>
          <w:sz w:val="23"/>
          <w:szCs w:val="23"/>
        </w:rPr>
        <w:t xml:space="preserve">groups. </w:t>
      </w:r>
      <w:r w:rsidR="005537B1" w:rsidRPr="00D318C5">
        <w:rPr>
          <w:rFonts w:ascii="Times New Roman" w:hAnsi="Times New Roman" w:cs="Times New Roman"/>
          <w:sz w:val="23"/>
          <w:szCs w:val="23"/>
        </w:rPr>
        <w:t xml:space="preserve"> </w:t>
      </w:r>
      <w:r w:rsidRPr="00D318C5">
        <w:rPr>
          <w:rFonts w:ascii="Times New Roman" w:hAnsi="Times New Roman" w:cs="Times New Roman"/>
          <w:sz w:val="23"/>
          <w:szCs w:val="23"/>
        </w:rPr>
        <w:t>In doing so, the Bank should recognize that “secure tenure is not a one-size-fits-all concept.”</w:t>
      </w:r>
      <w:r w:rsidRPr="00D318C5">
        <w:rPr>
          <w:rStyle w:val="FootnoteReference"/>
          <w:rFonts w:ascii="Times New Roman" w:hAnsi="Times New Roman" w:cs="Times New Roman"/>
          <w:sz w:val="23"/>
          <w:szCs w:val="23"/>
        </w:rPr>
        <w:t xml:space="preserve"> </w:t>
      </w:r>
      <w:r w:rsidRPr="00D318C5">
        <w:rPr>
          <w:rStyle w:val="FootnoteReference"/>
          <w:rFonts w:ascii="Times New Roman" w:hAnsi="Times New Roman" w:cs="Times New Roman"/>
          <w:sz w:val="23"/>
          <w:szCs w:val="23"/>
        </w:rPr>
        <w:footnoteReference w:id="3"/>
      </w:r>
      <w:r w:rsidRPr="00D318C5">
        <w:rPr>
          <w:rFonts w:ascii="Times New Roman" w:hAnsi="Times New Roman" w:cs="Times New Roman"/>
          <w:sz w:val="23"/>
          <w:szCs w:val="23"/>
        </w:rPr>
        <w:t xml:space="preserve"> </w:t>
      </w:r>
      <w:r w:rsidR="00B825DC" w:rsidRPr="00D318C5">
        <w:rPr>
          <w:rFonts w:ascii="Times New Roman" w:hAnsi="Times New Roman" w:cs="Times New Roman"/>
          <w:sz w:val="23"/>
          <w:szCs w:val="23"/>
        </w:rPr>
        <w:t xml:space="preserve">A variety of tenure forms have the potential to ensure secure, efficient and sustainable access to </w:t>
      </w:r>
      <w:r w:rsidR="0049684E" w:rsidRPr="00D318C5">
        <w:rPr>
          <w:rFonts w:ascii="Times New Roman" w:hAnsi="Times New Roman" w:cs="Times New Roman"/>
          <w:sz w:val="23"/>
          <w:szCs w:val="23"/>
        </w:rPr>
        <w:t xml:space="preserve">land, </w:t>
      </w:r>
      <w:r w:rsidR="00B825DC" w:rsidRPr="00D318C5">
        <w:rPr>
          <w:rFonts w:ascii="Times New Roman" w:hAnsi="Times New Roman" w:cs="Times New Roman"/>
          <w:sz w:val="23"/>
          <w:szCs w:val="23"/>
        </w:rPr>
        <w:t>housing</w:t>
      </w:r>
      <w:r w:rsidR="0049684E" w:rsidRPr="00D318C5">
        <w:rPr>
          <w:rFonts w:ascii="Times New Roman" w:hAnsi="Times New Roman" w:cs="Times New Roman"/>
          <w:sz w:val="23"/>
          <w:szCs w:val="23"/>
        </w:rPr>
        <w:t xml:space="preserve"> </w:t>
      </w:r>
      <w:r w:rsidR="00B825DC" w:rsidRPr="00D318C5">
        <w:rPr>
          <w:rFonts w:ascii="Times New Roman" w:hAnsi="Times New Roman" w:cs="Times New Roman"/>
          <w:sz w:val="23"/>
          <w:szCs w:val="23"/>
        </w:rPr>
        <w:t xml:space="preserve">and </w:t>
      </w:r>
      <w:r w:rsidR="0049684E" w:rsidRPr="00D318C5">
        <w:rPr>
          <w:rFonts w:ascii="Times New Roman" w:hAnsi="Times New Roman" w:cs="Times New Roman"/>
          <w:sz w:val="23"/>
          <w:szCs w:val="23"/>
        </w:rPr>
        <w:t xml:space="preserve">natural </w:t>
      </w:r>
      <w:r w:rsidR="00B825DC" w:rsidRPr="00D318C5">
        <w:rPr>
          <w:rFonts w:ascii="Times New Roman" w:hAnsi="Times New Roman" w:cs="Times New Roman"/>
          <w:sz w:val="23"/>
          <w:szCs w:val="23"/>
        </w:rPr>
        <w:t>resources in different contexts. Thus, while in mainstream development discourse “security of tenure” has become essentially synonymous with registered private ownership, this is in reality only</w:t>
      </w:r>
      <w:r w:rsidR="00D318C5">
        <w:rPr>
          <w:rFonts w:ascii="Times New Roman" w:hAnsi="Times New Roman" w:cs="Times New Roman"/>
          <w:sz w:val="23"/>
          <w:szCs w:val="23"/>
        </w:rPr>
        <w:t xml:space="preserve"> one form of tenure, which may </w:t>
      </w:r>
      <w:r w:rsidR="00B825DC" w:rsidRPr="00D318C5">
        <w:rPr>
          <w:rFonts w:ascii="Times New Roman" w:hAnsi="Times New Roman" w:cs="Times New Roman"/>
          <w:sz w:val="23"/>
          <w:szCs w:val="23"/>
        </w:rPr>
        <w:t xml:space="preserve">or may not be best suited to securing the </w:t>
      </w:r>
      <w:r w:rsidR="00756C50" w:rsidRPr="00D318C5">
        <w:rPr>
          <w:rFonts w:ascii="Times New Roman" w:hAnsi="Times New Roman" w:cs="Times New Roman"/>
          <w:sz w:val="23"/>
          <w:szCs w:val="23"/>
        </w:rPr>
        <w:t>rights of a particular group</w:t>
      </w:r>
      <w:r w:rsidR="00B825DC" w:rsidRPr="00D318C5">
        <w:rPr>
          <w:rFonts w:ascii="Times New Roman" w:hAnsi="Times New Roman" w:cs="Times New Roman"/>
          <w:sz w:val="23"/>
          <w:szCs w:val="23"/>
        </w:rPr>
        <w:t xml:space="preserve"> in a given context. </w:t>
      </w:r>
      <w:r w:rsidR="00ED5B3C" w:rsidRPr="00D318C5">
        <w:rPr>
          <w:rFonts w:ascii="Times New Roman" w:hAnsi="Times New Roman" w:cs="Times New Roman"/>
          <w:sz w:val="23"/>
          <w:szCs w:val="23"/>
        </w:rPr>
        <w:t xml:space="preserve">The </w:t>
      </w:r>
      <w:r w:rsidR="00D4342E" w:rsidRPr="00D318C5">
        <w:rPr>
          <w:rFonts w:ascii="Times New Roman" w:hAnsi="Times New Roman" w:cs="Times New Roman"/>
          <w:sz w:val="23"/>
          <w:szCs w:val="23"/>
        </w:rPr>
        <w:t xml:space="preserve">UN </w:t>
      </w:r>
      <w:r w:rsidR="00ED5B3C" w:rsidRPr="00D318C5">
        <w:rPr>
          <w:rFonts w:ascii="Times New Roman" w:hAnsi="Times New Roman" w:cs="Times New Roman"/>
          <w:sz w:val="23"/>
          <w:szCs w:val="23"/>
        </w:rPr>
        <w:t xml:space="preserve">Voluntary Guidelines on the Responsible Governance of Tenure </w:t>
      </w:r>
      <w:r w:rsidR="00D4342E" w:rsidRPr="00D318C5">
        <w:rPr>
          <w:rFonts w:ascii="Times New Roman" w:hAnsi="Times New Roman" w:cs="Times New Roman"/>
          <w:sz w:val="23"/>
          <w:szCs w:val="23"/>
        </w:rPr>
        <w:t>of Land, Fisheries and Forests in the Context of National Food Security</w:t>
      </w:r>
      <w:r w:rsidR="00D4342E" w:rsidRPr="00D318C5">
        <w:rPr>
          <w:rFonts w:ascii="Times New Roman" w:hAnsi="Times New Roman" w:cs="Times New Roman"/>
          <w:i/>
          <w:sz w:val="23"/>
          <w:szCs w:val="23"/>
        </w:rPr>
        <w:t xml:space="preserve"> </w:t>
      </w:r>
      <w:r w:rsidR="00756C50" w:rsidRPr="00D318C5">
        <w:rPr>
          <w:rFonts w:ascii="Times New Roman" w:hAnsi="Times New Roman" w:cs="Times New Roman"/>
          <w:sz w:val="23"/>
          <w:szCs w:val="23"/>
        </w:rPr>
        <w:t>call</w:t>
      </w:r>
      <w:r w:rsidR="00ED5B3C" w:rsidRPr="00D318C5">
        <w:rPr>
          <w:rFonts w:ascii="Times New Roman" w:hAnsi="Times New Roman" w:cs="Times New Roman"/>
          <w:sz w:val="23"/>
          <w:szCs w:val="23"/>
        </w:rPr>
        <w:t xml:space="preserve"> on States to “recognize and respect all legitimate tenure right holders and their rights</w:t>
      </w:r>
      <w:r w:rsidR="00FC440F" w:rsidRPr="00D318C5">
        <w:rPr>
          <w:rFonts w:ascii="Times New Roman" w:hAnsi="Times New Roman" w:cs="Times New Roman"/>
          <w:sz w:val="23"/>
          <w:szCs w:val="23"/>
        </w:rPr>
        <w:t>”</w:t>
      </w:r>
      <w:r w:rsidR="00ED5B3C" w:rsidRPr="00D318C5">
        <w:rPr>
          <w:rFonts w:ascii="Times New Roman" w:hAnsi="Times New Roman" w:cs="Times New Roman"/>
          <w:sz w:val="23"/>
          <w:szCs w:val="23"/>
        </w:rPr>
        <w:t xml:space="preserve"> whether formally recorded or not</w:t>
      </w:r>
      <w:r w:rsidR="00E56203" w:rsidRPr="00D318C5">
        <w:rPr>
          <w:rFonts w:ascii="Times New Roman" w:hAnsi="Times New Roman" w:cs="Times New Roman"/>
          <w:sz w:val="23"/>
          <w:szCs w:val="23"/>
        </w:rPr>
        <w:t>.</w:t>
      </w:r>
      <w:r w:rsidR="00E56203" w:rsidRPr="00D318C5">
        <w:rPr>
          <w:rStyle w:val="FootnoteReference"/>
          <w:rFonts w:ascii="Times New Roman" w:hAnsi="Times New Roman" w:cs="Times New Roman"/>
          <w:sz w:val="23"/>
          <w:szCs w:val="23"/>
        </w:rPr>
        <w:footnoteReference w:id="4"/>
      </w:r>
      <w:r w:rsidR="00355690" w:rsidRPr="00D318C5">
        <w:rPr>
          <w:rFonts w:ascii="Times New Roman" w:hAnsi="Times New Roman" w:cs="Times New Roman"/>
          <w:sz w:val="23"/>
          <w:szCs w:val="23"/>
        </w:rPr>
        <w:t xml:space="preserve"> </w:t>
      </w:r>
      <w:r w:rsidR="00D4342E" w:rsidRPr="00D318C5">
        <w:rPr>
          <w:rFonts w:ascii="Times New Roman" w:hAnsi="Times New Roman" w:cs="Times New Roman"/>
          <w:sz w:val="23"/>
          <w:szCs w:val="23"/>
        </w:rPr>
        <w:t>The Committee on Economic, Social and Cultural Rights affirms that “notwithstanding the form of tenure,” the international law obligation with respect to the right to adequate housing is to confer a sufficient degree of tenure security to legally protect people against forced eviction.</w:t>
      </w:r>
      <w:r w:rsidR="00D4342E" w:rsidRPr="00D318C5">
        <w:rPr>
          <w:rStyle w:val="FootnoteReference"/>
          <w:rFonts w:ascii="Times New Roman" w:hAnsi="Times New Roman" w:cs="Times New Roman"/>
          <w:sz w:val="23"/>
          <w:szCs w:val="23"/>
        </w:rPr>
        <w:footnoteReference w:id="5"/>
      </w:r>
      <w:r w:rsidR="00D4342E" w:rsidRPr="00D318C5">
        <w:rPr>
          <w:rFonts w:ascii="Times New Roman" w:hAnsi="Times New Roman" w:cs="Times New Roman"/>
          <w:sz w:val="23"/>
          <w:szCs w:val="23"/>
        </w:rPr>
        <w:t xml:space="preserve"> </w:t>
      </w:r>
    </w:p>
    <w:p w14:paraId="3DA3D8AB" w14:textId="6311C7B2" w:rsidR="00914A24" w:rsidRPr="00D318C5" w:rsidRDefault="004E7333" w:rsidP="005537B1">
      <w:pPr>
        <w:widowControl w:val="0"/>
        <w:autoSpaceDE w:val="0"/>
        <w:autoSpaceDN w:val="0"/>
        <w:adjustRightInd w:val="0"/>
        <w:spacing w:after="240"/>
        <w:jc w:val="both"/>
        <w:rPr>
          <w:rFonts w:ascii="Times New Roman" w:hAnsi="Times New Roman" w:cs="Times New Roman"/>
          <w:sz w:val="23"/>
          <w:szCs w:val="23"/>
        </w:rPr>
      </w:pPr>
      <w:r w:rsidRPr="00D318C5">
        <w:rPr>
          <w:rFonts w:ascii="Times New Roman" w:hAnsi="Times New Roman" w:cs="Times New Roman"/>
          <w:sz w:val="23"/>
          <w:szCs w:val="23"/>
        </w:rPr>
        <w:t xml:space="preserve">The recognition </w:t>
      </w:r>
      <w:r w:rsidR="00914A24" w:rsidRPr="00D318C5">
        <w:rPr>
          <w:rFonts w:ascii="Times New Roman" w:hAnsi="Times New Roman" w:cs="Times New Roman"/>
          <w:sz w:val="23"/>
          <w:szCs w:val="23"/>
        </w:rPr>
        <w:t xml:space="preserve">and protection </w:t>
      </w:r>
      <w:r w:rsidRPr="00D318C5">
        <w:rPr>
          <w:rFonts w:ascii="Times New Roman" w:hAnsi="Times New Roman" w:cs="Times New Roman"/>
          <w:sz w:val="23"/>
          <w:szCs w:val="23"/>
        </w:rPr>
        <w:t>of a “continuum of tenure types”</w:t>
      </w:r>
      <w:r w:rsidRPr="00D318C5">
        <w:rPr>
          <w:rStyle w:val="FootnoteReference"/>
          <w:rFonts w:ascii="Times New Roman" w:hAnsi="Times New Roman" w:cs="Times New Roman"/>
          <w:sz w:val="23"/>
          <w:szCs w:val="23"/>
        </w:rPr>
        <w:footnoteReference w:id="6"/>
      </w:r>
      <w:r w:rsidRPr="00D318C5">
        <w:rPr>
          <w:rFonts w:ascii="Times New Roman" w:hAnsi="Times New Roman" w:cs="Times New Roman"/>
          <w:sz w:val="23"/>
          <w:szCs w:val="23"/>
        </w:rPr>
        <w:t xml:space="preserve"> and the imperative to </w:t>
      </w:r>
      <w:r w:rsidR="00D11132" w:rsidRPr="00D318C5">
        <w:rPr>
          <w:rFonts w:ascii="Times New Roman" w:hAnsi="Times New Roman" w:cs="Times New Roman"/>
          <w:sz w:val="23"/>
          <w:szCs w:val="23"/>
        </w:rPr>
        <w:t xml:space="preserve">prioritize the </w:t>
      </w:r>
      <w:r w:rsidRPr="00D318C5">
        <w:rPr>
          <w:rFonts w:ascii="Times New Roman" w:hAnsi="Times New Roman" w:cs="Times New Roman"/>
          <w:sz w:val="23"/>
          <w:szCs w:val="23"/>
        </w:rPr>
        <w:t>protect</w:t>
      </w:r>
      <w:r w:rsidR="00D11132" w:rsidRPr="00D318C5">
        <w:rPr>
          <w:rFonts w:ascii="Times New Roman" w:hAnsi="Times New Roman" w:cs="Times New Roman"/>
          <w:sz w:val="23"/>
          <w:szCs w:val="23"/>
        </w:rPr>
        <w:t>ion of</w:t>
      </w:r>
      <w:r w:rsidRPr="00D318C5">
        <w:rPr>
          <w:rFonts w:ascii="Times New Roman" w:hAnsi="Times New Roman" w:cs="Times New Roman"/>
          <w:sz w:val="23"/>
          <w:szCs w:val="23"/>
        </w:rPr>
        <w:t xml:space="preserve"> vulnerable groups with tenuous rights under less secure tenure arrangements should be incorporated into the Bank’s safeguard policy framework, given the </w:t>
      </w:r>
      <w:r w:rsidR="00A21AF8" w:rsidRPr="00D318C5">
        <w:rPr>
          <w:rFonts w:ascii="Times New Roman" w:hAnsi="Times New Roman" w:cs="Times New Roman"/>
          <w:sz w:val="23"/>
          <w:szCs w:val="23"/>
        </w:rPr>
        <w:t>significant</w:t>
      </w:r>
      <w:r w:rsidRPr="00D318C5">
        <w:rPr>
          <w:rFonts w:ascii="Times New Roman" w:hAnsi="Times New Roman" w:cs="Times New Roman"/>
          <w:sz w:val="23"/>
          <w:szCs w:val="23"/>
        </w:rPr>
        <w:t xml:space="preserve"> impacts of </w:t>
      </w:r>
      <w:r w:rsidR="00A21AF8" w:rsidRPr="00D318C5">
        <w:rPr>
          <w:rFonts w:ascii="Times New Roman" w:hAnsi="Times New Roman" w:cs="Times New Roman"/>
          <w:sz w:val="23"/>
          <w:szCs w:val="23"/>
        </w:rPr>
        <w:t xml:space="preserve">its operations </w:t>
      </w:r>
      <w:r w:rsidRPr="00D318C5">
        <w:rPr>
          <w:rFonts w:ascii="Times New Roman" w:hAnsi="Times New Roman" w:cs="Times New Roman"/>
          <w:sz w:val="23"/>
          <w:szCs w:val="23"/>
        </w:rPr>
        <w:t xml:space="preserve">on tenure. </w:t>
      </w:r>
      <w:r w:rsidR="004F435F" w:rsidRPr="00D318C5">
        <w:rPr>
          <w:rFonts w:ascii="Times New Roman" w:hAnsi="Times New Roman" w:cs="Times New Roman"/>
          <w:sz w:val="23"/>
          <w:szCs w:val="23"/>
        </w:rPr>
        <w:t xml:space="preserve"> Underlying the </w:t>
      </w:r>
      <w:r w:rsidR="00192816" w:rsidRPr="00D318C5">
        <w:rPr>
          <w:rFonts w:ascii="Times New Roman" w:hAnsi="Times New Roman" w:cs="Times New Roman"/>
          <w:sz w:val="23"/>
          <w:szCs w:val="23"/>
        </w:rPr>
        <w:t xml:space="preserve">safeguard measures </w:t>
      </w:r>
      <w:r w:rsidR="004F435F" w:rsidRPr="00D318C5">
        <w:rPr>
          <w:rFonts w:ascii="Times New Roman" w:hAnsi="Times New Roman" w:cs="Times New Roman"/>
          <w:sz w:val="23"/>
          <w:szCs w:val="23"/>
        </w:rPr>
        <w:t xml:space="preserve">should be a presumption that people using land and natural resources for their basic housing, subsistence and livelihood needs have </w:t>
      </w:r>
      <w:r w:rsidR="00192816" w:rsidRPr="00D318C5">
        <w:rPr>
          <w:rFonts w:ascii="Times New Roman" w:hAnsi="Times New Roman" w:cs="Times New Roman"/>
          <w:sz w:val="23"/>
          <w:szCs w:val="23"/>
        </w:rPr>
        <w:t>valid and justiciable tenure rights, whether or not they formally own these resources.</w:t>
      </w:r>
    </w:p>
    <w:p w14:paraId="3136930A" w14:textId="3008098A" w:rsidR="006264F9" w:rsidRPr="00D318C5" w:rsidRDefault="00914A24" w:rsidP="00914A24">
      <w:pPr>
        <w:widowControl w:val="0"/>
        <w:autoSpaceDE w:val="0"/>
        <w:autoSpaceDN w:val="0"/>
        <w:adjustRightInd w:val="0"/>
        <w:jc w:val="both"/>
        <w:rPr>
          <w:rFonts w:ascii="Times New Roman" w:hAnsi="Times New Roman" w:cs="Times New Roman"/>
          <w:sz w:val="23"/>
          <w:szCs w:val="23"/>
        </w:rPr>
      </w:pPr>
      <w:r w:rsidRPr="00D318C5">
        <w:rPr>
          <w:rFonts w:ascii="Times New Roman" w:hAnsi="Times New Roman" w:cs="Times New Roman"/>
          <w:sz w:val="23"/>
          <w:szCs w:val="23"/>
        </w:rPr>
        <w:t xml:space="preserve">The Operational Policies on Involuntary Resettlement (OP/BP 4.12), Indigenous Peoples (OP/BP 4.10) and Forests (OP/BP 4.36) cover aspects of land tenure for particular groups that fall within their respective scopes. </w:t>
      </w:r>
      <w:r w:rsidR="00B8146D" w:rsidRPr="00D318C5">
        <w:rPr>
          <w:rFonts w:ascii="Times New Roman" w:hAnsi="Times New Roman" w:cs="Times New Roman"/>
          <w:sz w:val="23"/>
          <w:szCs w:val="23"/>
        </w:rPr>
        <w:t xml:space="preserve">In addition to the need to strengthen these policies to bring them into accordance with international human rights standards (which is not analyzed in this submission), there are </w:t>
      </w:r>
      <w:r w:rsidRPr="00D318C5">
        <w:rPr>
          <w:rFonts w:ascii="Times New Roman" w:hAnsi="Times New Roman" w:cs="Times New Roman"/>
          <w:sz w:val="23"/>
          <w:szCs w:val="23"/>
        </w:rPr>
        <w:t xml:space="preserve">significant gaps </w:t>
      </w:r>
      <w:r w:rsidR="00474462">
        <w:rPr>
          <w:rFonts w:ascii="Times New Roman" w:hAnsi="Times New Roman" w:cs="Times New Roman"/>
          <w:sz w:val="23"/>
          <w:szCs w:val="23"/>
        </w:rPr>
        <w:t xml:space="preserve">in </w:t>
      </w:r>
      <w:r w:rsidR="00B8146D" w:rsidRPr="00D318C5">
        <w:rPr>
          <w:rFonts w:ascii="Times New Roman" w:hAnsi="Times New Roman" w:cs="Times New Roman"/>
          <w:sz w:val="23"/>
          <w:szCs w:val="23"/>
        </w:rPr>
        <w:t xml:space="preserve">the scope of the </w:t>
      </w:r>
      <w:r w:rsidR="00B72311" w:rsidRPr="00D318C5">
        <w:rPr>
          <w:rFonts w:ascii="Times New Roman" w:hAnsi="Times New Roman" w:cs="Times New Roman"/>
          <w:sz w:val="23"/>
          <w:szCs w:val="23"/>
        </w:rPr>
        <w:t>current</w:t>
      </w:r>
      <w:r w:rsidR="00B8146D" w:rsidRPr="00D318C5">
        <w:rPr>
          <w:rFonts w:ascii="Times New Roman" w:hAnsi="Times New Roman" w:cs="Times New Roman"/>
          <w:sz w:val="23"/>
          <w:szCs w:val="23"/>
        </w:rPr>
        <w:t xml:space="preserve"> suite</w:t>
      </w:r>
      <w:r w:rsidR="00B72311" w:rsidRPr="00D318C5">
        <w:rPr>
          <w:rFonts w:ascii="Times New Roman" w:hAnsi="Times New Roman" w:cs="Times New Roman"/>
          <w:sz w:val="23"/>
          <w:szCs w:val="23"/>
        </w:rPr>
        <w:t xml:space="preserve"> </w:t>
      </w:r>
      <w:r w:rsidR="00B8146D" w:rsidRPr="00D318C5">
        <w:rPr>
          <w:rFonts w:ascii="Times New Roman" w:hAnsi="Times New Roman" w:cs="Times New Roman"/>
          <w:sz w:val="23"/>
          <w:szCs w:val="23"/>
        </w:rPr>
        <w:t xml:space="preserve">of </w:t>
      </w:r>
      <w:r w:rsidR="00B72311" w:rsidRPr="00D318C5">
        <w:rPr>
          <w:rFonts w:ascii="Times New Roman" w:hAnsi="Times New Roman" w:cs="Times New Roman"/>
          <w:sz w:val="23"/>
          <w:szCs w:val="23"/>
        </w:rPr>
        <w:t>Bank</w:t>
      </w:r>
      <w:r w:rsidR="00FC480F" w:rsidRPr="00D318C5">
        <w:rPr>
          <w:rFonts w:ascii="Times New Roman" w:hAnsi="Times New Roman" w:cs="Times New Roman"/>
          <w:sz w:val="23"/>
          <w:szCs w:val="23"/>
        </w:rPr>
        <w:t xml:space="preserve"> policies</w:t>
      </w:r>
      <w:r w:rsidRPr="00D318C5">
        <w:rPr>
          <w:rFonts w:ascii="Times New Roman" w:hAnsi="Times New Roman" w:cs="Times New Roman"/>
          <w:sz w:val="23"/>
          <w:szCs w:val="23"/>
        </w:rPr>
        <w:t xml:space="preserve"> in ensuring that Bank operations do not have harmful impacts on tenure rights, arrangements and systems. </w:t>
      </w:r>
      <w:r w:rsidR="006264F9" w:rsidRPr="00D318C5">
        <w:rPr>
          <w:rFonts w:ascii="Times New Roman" w:hAnsi="Times New Roman" w:cs="Times New Roman"/>
          <w:sz w:val="23"/>
          <w:szCs w:val="23"/>
        </w:rPr>
        <w:t xml:space="preserve">For example, land administration, zoning and spatial planning projects can jeopardize or weaken the pre-existing range of un-codified tenure rights, diminishing tenure security for affected groups. In particular, land-titling projects can strengthen ownership rights </w:t>
      </w:r>
      <w:r w:rsidR="00D4342E" w:rsidRPr="00D318C5">
        <w:rPr>
          <w:rFonts w:ascii="Times New Roman" w:hAnsi="Times New Roman" w:cs="Times New Roman"/>
          <w:sz w:val="23"/>
          <w:szCs w:val="23"/>
        </w:rPr>
        <w:t>of</w:t>
      </w:r>
      <w:r w:rsidR="006264F9" w:rsidRPr="00D318C5">
        <w:rPr>
          <w:rFonts w:ascii="Times New Roman" w:hAnsi="Times New Roman" w:cs="Times New Roman"/>
          <w:sz w:val="23"/>
          <w:szCs w:val="23"/>
        </w:rPr>
        <w:t xml:space="preserve"> those that receive title, while weakening the tenure status</w:t>
      </w:r>
      <w:r w:rsidR="00474462">
        <w:rPr>
          <w:rFonts w:ascii="Times New Roman" w:hAnsi="Times New Roman" w:cs="Times New Roman"/>
          <w:sz w:val="23"/>
          <w:szCs w:val="23"/>
        </w:rPr>
        <w:t xml:space="preserve"> of those who are denied</w:t>
      </w:r>
      <w:r w:rsidR="006264F9" w:rsidRPr="00D318C5">
        <w:rPr>
          <w:rFonts w:ascii="Times New Roman" w:hAnsi="Times New Roman" w:cs="Times New Roman"/>
          <w:sz w:val="23"/>
          <w:szCs w:val="23"/>
        </w:rPr>
        <w:t>. Zoning and spatial planning projects can change the tenure status underlying entire areas. Coastal management projects can under</w:t>
      </w:r>
      <w:r w:rsidR="00D4342E" w:rsidRPr="00D318C5">
        <w:rPr>
          <w:rFonts w:ascii="Times New Roman" w:hAnsi="Times New Roman" w:cs="Times New Roman"/>
          <w:sz w:val="23"/>
          <w:szCs w:val="23"/>
        </w:rPr>
        <w:t>mine the tenure rights of fishers</w:t>
      </w:r>
      <w:r w:rsidR="006264F9" w:rsidRPr="00D318C5">
        <w:rPr>
          <w:rFonts w:ascii="Times New Roman" w:hAnsi="Times New Roman" w:cs="Times New Roman"/>
          <w:sz w:val="23"/>
          <w:szCs w:val="23"/>
        </w:rPr>
        <w:t xml:space="preserve">. Linear infrastructure projects such as railways or roads that establish rights of way, in some cases only require resettlement of people living in a narrower corridor of impact, but the tenure rights of all households within the newly established right of way are affected. Programs that promote or foster industrial agriculture, including large-scale mono-crop plantations and contract farming, can change the way land and natural resources are used and controlled.  In the long-term, this model of agricultural development can transform entire tenure systems, often to the detriment of </w:t>
      </w:r>
      <w:r w:rsidR="00F950B9" w:rsidRPr="00D318C5">
        <w:rPr>
          <w:rFonts w:ascii="Times New Roman" w:hAnsi="Times New Roman" w:cs="Times New Roman"/>
          <w:sz w:val="23"/>
          <w:szCs w:val="23"/>
        </w:rPr>
        <w:t xml:space="preserve">vulnerable groups and </w:t>
      </w:r>
      <w:r w:rsidR="006264F9" w:rsidRPr="00D318C5">
        <w:rPr>
          <w:rFonts w:ascii="Times New Roman" w:hAnsi="Times New Roman" w:cs="Times New Roman"/>
          <w:sz w:val="23"/>
          <w:szCs w:val="23"/>
        </w:rPr>
        <w:t xml:space="preserve">local food security. Current </w:t>
      </w:r>
      <w:r w:rsidR="00FC480F" w:rsidRPr="00D318C5">
        <w:rPr>
          <w:rFonts w:ascii="Times New Roman" w:hAnsi="Times New Roman" w:cs="Times New Roman"/>
          <w:sz w:val="23"/>
          <w:szCs w:val="23"/>
        </w:rPr>
        <w:t xml:space="preserve">Bank </w:t>
      </w:r>
      <w:r w:rsidR="006264F9" w:rsidRPr="00D318C5">
        <w:rPr>
          <w:rFonts w:ascii="Times New Roman" w:hAnsi="Times New Roman" w:cs="Times New Roman"/>
          <w:sz w:val="23"/>
          <w:szCs w:val="23"/>
        </w:rPr>
        <w:t>safeguard</w:t>
      </w:r>
      <w:r w:rsidR="00FC480F" w:rsidRPr="00D318C5">
        <w:rPr>
          <w:rFonts w:ascii="Times New Roman" w:hAnsi="Times New Roman" w:cs="Times New Roman"/>
          <w:sz w:val="23"/>
          <w:szCs w:val="23"/>
        </w:rPr>
        <w:t xml:space="preserve"> policie</w:t>
      </w:r>
      <w:r w:rsidR="006264F9" w:rsidRPr="00D318C5">
        <w:rPr>
          <w:rFonts w:ascii="Times New Roman" w:hAnsi="Times New Roman" w:cs="Times New Roman"/>
          <w:sz w:val="23"/>
          <w:szCs w:val="23"/>
        </w:rPr>
        <w:t xml:space="preserve">s do not sufficiently address these effects on tenure and their </w:t>
      </w:r>
      <w:r w:rsidR="005D028A" w:rsidRPr="00D318C5">
        <w:rPr>
          <w:rFonts w:ascii="Times New Roman" w:hAnsi="Times New Roman" w:cs="Times New Roman"/>
          <w:sz w:val="23"/>
          <w:szCs w:val="23"/>
        </w:rPr>
        <w:t xml:space="preserve">economic, </w:t>
      </w:r>
      <w:r w:rsidR="006264F9" w:rsidRPr="00D318C5">
        <w:rPr>
          <w:rFonts w:ascii="Times New Roman" w:hAnsi="Times New Roman" w:cs="Times New Roman"/>
          <w:sz w:val="23"/>
          <w:szCs w:val="23"/>
        </w:rPr>
        <w:t>social and human rights implications.</w:t>
      </w:r>
    </w:p>
    <w:p w14:paraId="40E1DCE9" w14:textId="6FC32A18" w:rsidR="005076CE" w:rsidRPr="00D318C5" w:rsidRDefault="004E7333" w:rsidP="00981CE5">
      <w:pPr>
        <w:widowControl w:val="0"/>
        <w:autoSpaceDE w:val="0"/>
        <w:autoSpaceDN w:val="0"/>
        <w:adjustRightInd w:val="0"/>
        <w:spacing w:after="120"/>
        <w:jc w:val="both"/>
        <w:rPr>
          <w:rFonts w:ascii="Times New Roman" w:hAnsi="Times New Roman" w:cs="Times New Roman"/>
          <w:sz w:val="23"/>
          <w:szCs w:val="23"/>
        </w:rPr>
      </w:pPr>
      <w:r w:rsidRPr="00D318C5">
        <w:rPr>
          <w:rFonts w:ascii="Times New Roman" w:hAnsi="Times New Roman" w:cs="Times New Roman"/>
          <w:sz w:val="23"/>
          <w:szCs w:val="23"/>
        </w:rPr>
        <w:t>Despite the fact that tenure rights and systems are affected in a multitude of ways by Bank operations, current operational policies do not</w:t>
      </w:r>
      <w:r w:rsidR="005076CE" w:rsidRPr="00D318C5">
        <w:rPr>
          <w:rFonts w:ascii="Times New Roman" w:hAnsi="Times New Roman" w:cs="Times New Roman"/>
          <w:sz w:val="23"/>
          <w:szCs w:val="23"/>
        </w:rPr>
        <w:t>:</w:t>
      </w:r>
    </w:p>
    <w:p w14:paraId="1CCEE679" w14:textId="658ABB7D" w:rsidR="00E85999" w:rsidRPr="00D318C5" w:rsidRDefault="004E7333" w:rsidP="00981CE5">
      <w:pPr>
        <w:pStyle w:val="ListParagraph"/>
        <w:widowControl w:val="0"/>
        <w:numPr>
          <w:ilvl w:val="0"/>
          <w:numId w:val="13"/>
        </w:numPr>
        <w:autoSpaceDE w:val="0"/>
        <w:autoSpaceDN w:val="0"/>
        <w:adjustRightInd w:val="0"/>
        <w:spacing w:after="120"/>
        <w:jc w:val="both"/>
        <w:rPr>
          <w:rFonts w:ascii="Times New Roman" w:hAnsi="Times New Roman"/>
          <w:sz w:val="23"/>
          <w:szCs w:val="23"/>
        </w:rPr>
      </w:pPr>
      <w:proofErr w:type="gramStart"/>
      <w:r w:rsidRPr="00D318C5">
        <w:rPr>
          <w:rFonts w:ascii="Times New Roman" w:hAnsi="Times New Roman"/>
          <w:sz w:val="23"/>
          <w:szCs w:val="23"/>
        </w:rPr>
        <w:t>safeguard</w:t>
      </w:r>
      <w:proofErr w:type="gramEnd"/>
      <w:r w:rsidRPr="00D318C5">
        <w:rPr>
          <w:rFonts w:ascii="Times New Roman" w:hAnsi="Times New Roman"/>
          <w:sz w:val="23"/>
          <w:szCs w:val="23"/>
        </w:rPr>
        <w:t xml:space="preserve"> against</w:t>
      </w:r>
      <w:r w:rsidR="005076CE" w:rsidRPr="00D318C5">
        <w:rPr>
          <w:rFonts w:ascii="Times New Roman" w:hAnsi="Times New Roman"/>
          <w:sz w:val="23"/>
          <w:szCs w:val="23"/>
        </w:rPr>
        <w:t xml:space="preserve"> </w:t>
      </w:r>
      <w:r w:rsidR="00206746" w:rsidRPr="00D318C5">
        <w:rPr>
          <w:rFonts w:ascii="Times New Roman" w:hAnsi="Times New Roman"/>
          <w:sz w:val="23"/>
          <w:szCs w:val="23"/>
        </w:rPr>
        <w:t xml:space="preserve">the </w:t>
      </w:r>
      <w:r w:rsidRPr="00D318C5">
        <w:rPr>
          <w:rFonts w:ascii="Times New Roman" w:hAnsi="Times New Roman"/>
          <w:sz w:val="23"/>
          <w:szCs w:val="23"/>
        </w:rPr>
        <w:t xml:space="preserve">weakening of or interference with a range of tenure </w:t>
      </w:r>
      <w:r w:rsidR="00206746" w:rsidRPr="00D318C5">
        <w:rPr>
          <w:rFonts w:ascii="Times New Roman" w:hAnsi="Times New Roman"/>
          <w:sz w:val="23"/>
          <w:szCs w:val="23"/>
        </w:rPr>
        <w:t>rights</w:t>
      </w:r>
      <w:r w:rsidR="00B649EC" w:rsidRPr="00D318C5">
        <w:rPr>
          <w:rFonts w:ascii="Times New Roman" w:hAnsi="Times New Roman"/>
          <w:sz w:val="23"/>
          <w:szCs w:val="23"/>
        </w:rPr>
        <w:t xml:space="preserve"> and arrangements</w:t>
      </w:r>
      <w:r w:rsidRPr="00D318C5">
        <w:rPr>
          <w:rFonts w:ascii="Times New Roman" w:hAnsi="Times New Roman"/>
          <w:sz w:val="23"/>
          <w:szCs w:val="23"/>
        </w:rPr>
        <w:t>;</w:t>
      </w:r>
    </w:p>
    <w:p w14:paraId="4150EFCE" w14:textId="1C403054" w:rsidR="00E85999" w:rsidRPr="00D318C5" w:rsidRDefault="00580EB4" w:rsidP="00981CE5">
      <w:pPr>
        <w:pStyle w:val="ListParagraph"/>
        <w:widowControl w:val="0"/>
        <w:numPr>
          <w:ilvl w:val="0"/>
          <w:numId w:val="13"/>
        </w:numPr>
        <w:autoSpaceDE w:val="0"/>
        <w:autoSpaceDN w:val="0"/>
        <w:adjustRightInd w:val="0"/>
        <w:spacing w:after="120"/>
        <w:jc w:val="both"/>
        <w:rPr>
          <w:rFonts w:ascii="Times New Roman" w:hAnsi="Times New Roman"/>
          <w:sz w:val="23"/>
          <w:szCs w:val="23"/>
        </w:rPr>
      </w:pPr>
      <w:proofErr w:type="gramStart"/>
      <w:r w:rsidRPr="00D318C5">
        <w:rPr>
          <w:rFonts w:ascii="Times New Roman" w:hAnsi="Times New Roman"/>
          <w:sz w:val="23"/>
          <w:szCs w:val="23"/>
        </w:rPr>
        <w:t>safeguard</w:t>
      </w:r>
      <w:proofErr w:type="gramEnd"/>
      <w:r w:rsidRPr="00D318C5">
        <w:rPr>
          <w:rFonts w:ascii="Times New Roman" w:hAnsi="Times New Roman"/>
          <w:sz w:val="23"/>
          <w:szCs w:val="23"/>
        </w:rPr>
        <w:t xml:space="preserve"> against an </w:t>
      </w:r>
      <w:r w:rsidR="008469ED" w:rsidRPr="00D318C5">
        <w:rPr>
          <w:rFonts w:ascii="Times New Roman" w:hAnsi="Times New Roman"/>
          <w:sz w:val="23"/>
          <w:szCs w:val="23"/>
        </w:rPr>
        <w:t>exacerbation of in</w:t>
      </w:r>
      <w:r w:rsidRPr="00D318C5">
        <w:rPr>
          <w:rFonts w:ascii="Times New Roman" w:hAnsi="Times New Roman"/>
          <w:sz w:val="23"/>
          <w:szCs w:val="23"/>
        </w:rPr>
        <w:t>equality in</w:t>
      </w:r>
      <w:r w:rsidR="004E7333" w:rsidRPr="00D318C5">
        <w:rPr>
          <w:rFonts w:ascii="Times New Roman" w:hAnsi="Times New Roman"/>
          <w:sz w:val="23"/>
          <w:szCs w:val="23"/>
        </w:rPr>
        <w:t xml:space="preserve"> access to land</w:t>
      </w:r>
      <w:r w:rsidR="00EC31F5" w:rsidRPr="00D318C5">
        <w:rPr>
          <w:rFonts w:ascii="Times New Roman" w:hAnsi="Times New Roman"/>
          <w:sz w:val="23"/>
          <w:szCs w:val="23"/>
        </w:rPr>
        <w:t>,</w:t>
      </w:r>
      <w:r w:rsidR="00EB796A" w:rsidRPr="00D318C5">
        <w:rPr>
          <w:rFonts w:ascii="Times New Roman" w:hAnsi="Times New Roman"/>
          <w:sz w:val="23"/>
          <w:szCs w:val="23"/>
        </w:rPr>
        <w:t xml:space="preserve"> housing</w:t>
      </w:r>
      <w:r w:rsidR="00EC31F5" w:rsidRPr="00D318C5">
        <w:rPr>
          <w:rFonts w:ascii="Times New Roman" w:hAnsi="Times New Roman"/>
          <w:sz w:val="23"/>
          <w:szCs w:val="23"/>
        </w:rPr>
        <w:t xml:space="preserve"> and natural resources</w:t>
      </w:r>
      <w:r w:rsidR="004E7333" w:rsidRPr="00D318C5">
        <w:rPr>
          <w:rFonts w:ascii="Times New Roman" w:hAnsi="Times New Roman"/>
          <w:sz w:val="23"/>
          <w:szCs w:val="23"/>
        </w:rPr>
        <w:t xml:space="preserve">; and </w:t>
      </w:r>
    </w:p>
    <w:p w14:paraId="5134BF12" w14:textId="1D69975A" w:rsidR="00E85999" w:rsidRPr="00D318C5" w:rsidRDefault="004E7333" w:rsidP="00981CE5">
      <w:pPr>
        <w:pStyle w:val="ListParagraph"/>
        <w:widowControl w:val="0"/>
        <w:numPr>
          <w:ilvl w:val="0"/>
          <w:numId w:val="13"/>
        </w:numPr>
        <w:autoSpaceDE w:val="0"/>
        <w:autoSpaceDN w:val="0"/>
        <w:adjustRightInd w:val="0"/>
        <w:spacing w:after="120"/>
        <w:jc w:val="both"/>
        <w:rPr>
          <w:rFonts w:ascii="Times New Roman" w:hAnsi="Times New Roman"/>
          <w:sz w:val="23"/>
          <w:szCs w:val="23"/>
        </w:rPr>
      </w:pPr>
      <w:proofErr w:type="gramStart"/>
      <w:r w:rsidRPr="00D318C5">
        <w:rPr>
          <w:rFonts w:ascii="Times New Roman" w:hAnsi="Times New Roman"/>
          <w:sz w:val="23"/>
          <w:szCs w:val="23"/>
        </w:rPr>
        <w:t>ensure</w:t>
      </w:r>
      <w:proofErr w:type="gramEnd"/>
      <w:r w:rsidRPr="00D318C5">
        <w:rPr>
          <w:rFonts w:ascii="Times New Roman" w:hAnsi="Times New Roman"/>
          <w:sz w:val="23"/>
          <w:szCs w:val="23"/>
        </w:rPr>
        <w:t xml:space="preserve"> that every effort is made to avoid and address land </w:t>
      </w:r>
      <w:r w:rsidR="004B2962" w:rsidRPr="00D318C5">
        <w:rPr>
          <w:rFonts w:ascii="Times New Roman" w:hAnsi="Times New Roman"/>
          <w:sz w:val="23"/>
          <w:szCs w:val="23"/>
        </w:rPr>
        <w:t xml:space="preserve">and natural resource </w:t>
      </w:r>
      <w:r w:rsidRPr="00D318C5">
        <w:rPr>
          <w:rFonts w:ascii="Times New Roman" w:hAnsi="Times New Roman"/>
          <w:sz w:val="23"/>
          <w:szCs w:val="23"/>
        </w:rPr>
        <w:t>conflict</w:t>
      </w:r>
      <w:r w:rsidR="000E3680" w:rsidRPr="00D318C5">
        <w:rPr>
          <w:rFonts w:ascii="Times New Roman" w:hAnsi="Times New Roman"/>
          <w:sz w:val="23"/>
          <w:szCs w:val="23"/>
        </w:rPr>
        <w:t xml:space="preserve"> caused or exacerbated by Bank-financed projects</w:t>
      </w:r>
      <w:r w:rsidRPr="00D318C5">
        <w:rPr>
          <w:rFonts w:ascii="Times New Roman" w:hAnsi="Times New Roman"/>
          <w:sz w:val="23"/>
          <w:szCs w:val="23"/>
        </w:rPr>
        <w:t xml:space="preserve">. </w:t>
      </w:r>
    </w:p>
    <w:p w14:paraId="73659DA5" w14:textId="77777777" w:rsidR="004E0FAC" w:rsidRPr="00D318C5" w:rsidRDefault="004E0FAC" w:rsidP="00981CE5">
      <w:pPr>
        <w:widowControl w:val="0"/>
        <w:autoSpaceDE w:val="0"/>
        <w:autoSpaceDN w:val="0"/>
        <w:adjustRightInd w:val="0"/>
        <w:spacing w:after="0"/>
        <w:jc w:val="both"/>
        <w:rPr>
          <w:rFonts w:ascii="Times New Roman" w:hAnsi="Times New Roman" w:cs="Times New Roman"/>
          <w:sz w:val="23"/>
          <w:szCs w:val="23"/>
        </w:rPr>
      </w:pPr>
    </w:p>
    <w:p w14:paraId="4CCCBD4D" w14:textId="6E3577D8" w:rsidR="002958DD" w:rsidRPr="00D318C5" w:rsidRDefault="004E7333" w:rsidP="00666B9F">
      <w:pPr>
        <w:widowControl w:val="0"/>
        <w:autoSpaceDE w:val="0"/>
        <w:autoSpaceDN w:val="0"/>
        <w:adjustRightInd w:val="0"/>
        <w:jc w:val="both"/>
        <w:rPr>
          <w:rFonts w:ascii="Times New Roman" w:hAnsi="Times New Roman" w:cs="Times New Roman"/>
          <w:sz w:val="23"/>
          <w:szCs w:val="23"/>
        </w:rPr>
      </w:pPr>
      <w:r w:rsidRPr="00D318C5">
        <w:rPr>
          <w:rFonts w:ascii="Times New Roman" w:hAnsi="Times New Roman" w:cs="Times New Roman"/>
          <w:sz w:val="23"/>
          <w:szCs w:val="23"/>
        </w:rPr>
        <w:t xml:space="preserve">The Bank should use the opportunity presented by its review and restructuring of its safeguard policy framework to address these </w:t>
      </w:r>
      <w:r w:rsidR="00D03043" w:rsidRPr="00D318C5">
        <w:rPr>
          <w:rFonts w:ascii="Times New Roman" w:hAnsi="Times New Roman" w:cs="Times New Roman"/>
          <w:sz w:val="23"/>
          <w:szCs w:val="23"/>
        </w:rPr>
        <w:t xml:space="preserve">significant </w:t>
      </w:r>
      <w:r w:rsidR="00206746" w:rsidRPr="00D318C5">
        <w:rPr>
          <w:rFonts w:ascii="Times New Roman" w:hAnsi="Times New Roman" w:cs="Times New Roman"/>
          <w:sz w:val="23"/>
          <w:szCs w:val="23"/>
        </w:rPr>
        <w:t>lacunae</w:t>
      </w:r>
      <w:r w:rsidRPr="00D318C5">
        <w:rPr>
          <w:rFonts w:ascii="Times New Roman" w:hAnsi="Times New Roman" w:cs="Times New Roman"/>
          <w:sz w:val="23"/>
          <w:szCs w:val="23"/>
        </w:rPr>
        <w:t xml:space="preserve">. </w:t>
      </w:r>
      <w:r w:rsidR="00A37420" w:rsidRPr="00D318C5">
        <w:rPr>
          <w:rFonts w:ascii="Times New Roman" w:hAnsi="Times New Roman" w:cs="Times New Roman"/>
          <w:sz w:val="23"/>
          <w:szCs w:val="23"/>
        </w:rPr>
        <w:t xml:space="preserve"> </w:t>
      </w:r>
      <w:r w:rsidR="007A3F8B" w:rsidRPr="00D318C5">
        <w:rPr>
          <w:rFonts w:ascii="Times New Roman" w:hAnsi="Times New Roman" w:cs="Times New Roman"/>
          <w:sz w:val="23"/>
          <w:szCs w:val="23"/>
        </w:rPr>
        <w:t>The adoption of new safeguards on tenure that protect and promote the rights to land, housing and natural resources of the most vulnerable</w:t>
      </w:r>
      <w:r w:rsidR="00B319EF" w:rsidRPr="00D318C5">
        <w:rPr>
          <w:rFonts w:ascii="Times New Roman" w:hAnsi="Times New Roman" w:cs="Times New Roman"/>
          <w:sz w:val="23"/>
          <w:szCs w:val="23"/>
        </w:rPr>
        <w:t xml:space="preserve"> will have direct </w:t>
      </w:r>
      <w:r w:rsidR="00F83EC8" w:rsidRPr="00D318C5">
        <w:rPr>
          <w:rFonts w:ascii="Times New Roman" w:hAnsi="Times New Roman" w:cs="Times New Roman"/>
          <w:sz w:val="23"/>
          <w:szCs w:val="23"/>
        </w:rPr>
        <w:t xml:space="preserve">and immediate positive </w:t>
      </w:r>
      <w:r w:rsidR="00B319EF" w:rsidRPr="00D318C5">
        <w:rPr>
          <w:rFonts w:ascii="Times New Roman" w:hAnsi="Times New Roman" w:cs="Times New Roman"/>
          <w:sz w:val="23"/>
          <w:szCs w:val="23"/>
        </w:rPr>
        <w:t xml:space="preserve">impacts for Bank-financed projects and the potential for catalytic effects on </w:t>
      </w:r>
      <w:r w:rsidR="007A3F8B" w:rsidRPr="00D318C5">
        <w:rPr>
          <w:rFonts w:ascii="Times New Roman" w:hAnsi="Times New Roman" w:cs="Times New Roman"/>
          <w:sz w:val="23"/>
          <w:szCs w:val="23"/>
        </w:rPr>
        <w:t xml:space="preserve">the governance of tenure </w:t>
      </w:r>
      <w:r w:rsidR="00B319EF" w:rsidRPr="00D318C5">
        <w:rPr>
          <w:rFonts w:ascii="Times New Roman" w:hAnsi="Times New Roman" w:cs="Times New Roman"/>
          <w:sz w:val="23"/>
          <w:szCs w:val="23"/>
        </w:rPr>
        <w:t xml:space="preserve">globally. </w:t>
      </w:r>
    </w:p>
    <w:p w14:paraId="3A03DAAF" w14:textId="3DCF9B07" w:rsidR="00272C8F" w:rsidRPr="00D318C5" w:rsidRDefault="002958DD" w:rsidP="00666B9F">
      <w:pPr>
        <w:widowControl w:val="0"/>
        <w:autoSpaceDE w:val="0"/>
        <w:autoSpaceDN w:val="0"/>
        <w:adjustRightInd w:val="0"/>
        <w:jc w:val="both"/>
        <w:rPr>
          <w:rFonts w:ascii="Times New Roman" w:hAnsi="Times New Roman" w:cs="Times New Roman"/>
          <w:sz w:val="23"/>
          <w:szCs w:val="23"/>
        </w:rPr>
      </w:pPr>
      <w:r w:rsidRPr="00D318C5">
        <w:rPr>
          <w:rFonts w:ascii="Times New Roman" w:hAnsi="Times New Roman" w:cs="Times New Roman"/>
          <w:sz w:val="23"/>
          <w:szCs w:val="23"/>
        </w:rPr>
        <w:t xml:space="preserve">Our </w:t>
      </w:r>
      <w:r w:rsidR="009A3D92" w:rsidRPr="00D318C5">
        <w:rPr>
          <w:rFonts w:ascii="Times New Roman" w:hAnsi="Times New Roman" w:cs="Times New Roman"/>
          <w:sz w:val="23"/>
          <w:szCs w:val="23"/>
        </w:rPr>
        <w:t>proposal for new</w:t>
      </w:r>
      <w:r w:rsidR="00EB3CBB" w:rsidRPr="00D318C5">
        <w:rPr>
          <w:rFonts w:ascii="Times New Roman" w:hAnsi="Times New Roman" w:cs="Times New Roman"/>
          <w:sz w:val="23"/>
          <w:szCs w:val="23"/>
        </w:rPr>
        <w:t xml:space="preserve"> World Bank</w:t>
      </w:r>
      <w:r w:rsidR="009A3D92" w:rsidRPr="00D318C5">
        <w:rPr>
          <w:rFonts w:ascii="Times New Roman" w:hAnsi="Times New Roman" w:cs="Times New Roman"/>
          <w:sz w:val="23"/>
          <w:szCs w:val="23"/>
        </w:rPr>
        <w:t xml:space="preserve"> </w:t>
      </w:r>
      <w:r w:rsidR="00EB3CBB" w:rsidRPr="00D318C5">
        <w:rPr>
          <w:rFonts w:ascii="Times New Roman" w:hAnsi="Times New Roman" w:cs="Times New Roman"/>
          <w:sz w:val="23"/>
          <w:szCs w:val="23"/>
        </w:rPr>
        <w:t xml:space="preserve">safeguards </w:t>
      </w:r>
      <w:r w:rsidR="009A3D92" w:rsidRPr="00D318C5">
        <w:rPr>
          <w:rFonts w:ascii="Times New Roman" w:hAnsi="Times New Roman" w:cs="Times New Roman"/>
          <w:sz w:val="23"/>
          <w:szCs w:val="23"/>
        </w:rPr>
        <w:t xml:space="preserve">on tenure of land, housing and natural resources draws from the Voluntary Guidelines on the Responsible Governance of Tenure of Land, </w:t>
      </w:r>
      <w:r w:rsidR="00A40169" w:rsidRPr="00D318C5">
        <w:rPr>
          <w:rFonts w:ascii="Times New Roman" w:hAnsi="Times New Roman" w:cs="Times New Roman"/>
          <w:sz w:val="23"/>
          <w:szCs w:val="23"/>
        </w:rPr>
        <w:t xml:space="preserve">Fisheries and </w:t>
      </w:r>
      <w:r w:rsidR="009A3D92" w:rsidRPr="00D318C5">
        <w:rPr>
          <w:rFonts w:ascii="Times New Roman" w:hAnsi="Times New Roman" w:cs="Times New Roman"/>
          <w:sz w:val="23"/>
          <w:szCs w:val="23"/>
        </w:rPr>
        <w:t>Forests, endorsed by the Committee on World Food Security in May 2012, and supported by the Bank</w:t>
      </w:r>
      <w:r w:rsidR="00AB2828" w:rsidRPr="00D318C5">
        <w:rPr>
          <w:rStyle w:val="FootnoteReference"/>
          <w:rFonts w:ascii="Times New Roman" w:hAnsi="Times New Roman" w:cs="Times New Roman"/>
          <w:sz w:val="23"/>
          <w:szCs w:val="23"/>
        </w:rPr>
        <w:footnoteReference w:id="7"/>
      </w:r>
      <w:r w:rsidR="00F83EC8" w:rsidRPr="00D318C5">
        <w:rPr>
          <w:rFonts w:ascii="Times New Roman" w:hAnsi="Times New Roman" w:cs="Times New Roman"/>
          <w:sz w:val="23"/>
          <w:szCs w:val="23"/>
        </w:rPr>
        <w:t xml:space="preserve"> as well as other </w:t>
      </w:r>
      <w:r w:rsidR="0062496C" w:rsidRPr="00D318C5">
        <w:rPr>
          <w:rFonts w:ascii="Times New Roman" w:hAnsi="Times New Roman" w:cs="Times New Roman"/>
          <w:sz w:val="23"/>
          <w:szCs w:val="23"/>
        </w:rPr>
        <w:t>relevant</w:t>
      </w:r>
      <w:r w:rsidR="0043005F" w:rsidRPr="00D318C5">
        <w:rPr>
          <w:rFonts w:ascii="Times New Roman" w:hAnsi="Times New Roman" w:cs="Times New Roman"/>
          <w:sz w:val="23"/>
          <w:szCs w:val="23"/>
        </w:rPr>
        <w:t xml:space="preserve"> </w:t>
      </w:r>
      <w:r w:rsidR="00F83EC8" w:rsidRPr="00D318C5">
        <w:rPr>
          <w:rFonts w:ascii="Times New Roman" w:hAnsi="Times New Roman" w:cs="Times New Roman"/>
          <w:sz w:val="23"/>
          <w:szCs w:val="23"/>
        </w:rPr>
        <w:t>international law instruments.</w:t>
      </w:r>
      <w:r w:rsidR="005B4CCE" w:rsidRPr="00D318C5">
        <w:rPr>
          <w:rFonts w:ascii="Times New Roman" w:hAnsi="Times New Roman" w:cs="Times New Roman"/>
          <w:sz w:val="23"/>
          <w:szCs w:val="23"/>
        </w:rPr>
        <w:t xml:space="preserve"> It is also based on </w:t>
      </w:r>
      <w:r w:rsidR="00C93704" w:rsidRPr="00D318C5">
        <w:rPr>
          <w:rFonts w:ascii="Times New Roman" w:hAnsi="Times New Roman" w:cs="Times New Roman"/>
          <w:sz w:val="23"/>
          <w:szCs w:val="23"/>
        </w:rPr>
        <w:t xml:space="preserve">a review of </w:t>
      </w:r>
      <w:r w:rsidR="005B4CCE" w:rsidRPr="00D318C5">
        <w:rPr>
          <w:rFonts w:ascii="Times New Roman" w:hAnsi="Times New Roman" w:cs="Times New Roman"/>
          <w:sz w:val="23"/>
          <w:szCs w:val="23"/>
        </w:rPr>
        <w:t>the findings of</w:t>
      </w:r>
      <w:r w:rsidR="00B65AF3" w:rsidRPr="00D318C5">
        <w:rPr>
          <w:rFonts w:ascii="Times New Roman" w:hAnsi="Times New Roman" w:cs="Times New Roman"/>
          <w:sz w:val="23"/>
          <w:szCs w:val="23"/>
        </w:rPr>
        <w:t xml:space="preserve"> the Inspection Panel </w:t>
      </w:r>
      <w:r w:rsidR="0043005F" w:rsidRPr="00D318C5">
        <w:rPr>
          <w:rFonts w:ascii="Times New Roman" w:hAnsi="Times New Roman" w:cs="Times New Roman"/>
          <w:sz w:val="23"/>
          <w:szCs w:val="23"/>
        </w:rPr>
        <w:t>and lessons learned from</w:t>
      </w:r>
      <w:r w:rsidR="005B4CCE" w:rsidRPr="00D318C5">
        <w:rPr>
          <w:rFonts w:ascii="Times New Roman" w:hAnsi="Times New Roman" w:cs="Times New Roman"/>
          <w:sz w:val="23"/>
          <w:szCs w:val="23"/>
        </w:rPr>
        <w:t xml:space="preserve"> a number of Bank projects, including the Cambodia: Land Management and Administration Project (2011); the Albania: Integrated Coastal Zone Management and Clean-Up Project (2008); </w:t>
      </w:r>
      <w:r w:rsidR="00655C4D" w:rsidRPr="00D318C5">
        <w:rPr>
          <w:rFonts w:ascii="Times New Roman" w:hAnsi="Times New Roman" w:cs="Times New Roman"/>
          <w:sz w:val="23"/>
          <w:szCs w:val="23"/>
        </w:rPr>
        <w:t>the Honduras: Land Administration Project (2007); and the Papua New Guinea: Smallholder Agriculture Development Project (2011).</w:t>
      </w:r>
      <w:r w:rsidR="005B4CCE" w:rsidRPr="00D318C5">
        <w:rPr>
          <w:rFonts w:ascii="Times New Roman" w:hAnsi="Times New Roman" w:cs="Times New Roman"/>
          <w:sz w:val="23"/>
          <w:szCs w:val="23"/>
        </w:rPr>
        <w:t xml:space="preserve"> </w:t>
      </w:r>
      <w:r w:rsidR="00EE5CED" w:rsidRPr="00D318C5">
        <w:rPr>
          <w:rFonts w:ascii="Times New Roman" w:hAnsi="Times New Roman" w:cs="Times New Roman"/>
          <w:sz w:val="23"/>
          <w:szCs w:val="23"/>
        </w:rPr>
        <w:t xml:space="preserve"> </w:t>
      </w:r>
    </w:p>
    <w:p w14:paraId="6C921EC6" w14:textId="77777777" w:rsidR="0089533F" w:rsidRPr="00D318C5" w:rsidRDefault="0089533F" w:rsidP="0017111F">
      <w:pPr>
        <w:widowControl w:val="0"/>
        <w:autoSpaceDE w:val="0"/>
        <w:autoSpaceDN w:val="0"/>
        <w:adjustRightInd w:val="0"/>
        <w:spacing w:after="120"/>
        <w:jc w:val="both"/>
        <w:rPr>
          <w:rFonts w:ascii="Arial" w:hAnsi="Arial" w:cs="Arial"/>
          <w:b/>
          <w:sz w:val="23"/>
          <w:szCs w:val="23"/>
        </w:rPr>
      </w:pPr>
      <w:r w:rsidRPr="00D318C5">
        <w:rPr>
          <w:rFonts w:ascii="Arial" w:hAnsi="Arial" w:cs="Arial"/>
          <w:b/>
          <w:sz w:val="23"/>
          <w:szCs w:val="23"/>
        </w:rPr>
        <w:t>Caveat</w:t>
      </w:r>
    </w:p>
    <w:p w14:paraId="0E8D155F" w14:textId="481C28A8" w:rsidR="00666B9F" w:rsidRPr="00B675CB" w:rsidRDefault="00666B9F" w:rsidP="00BA7CF9">
      <w:pPr>
        <w:widowControl w:val="0"/>
        <w:autoSpaceDE w:val="0"/>
        <w:autoSpaceDN w:val="0"/>
        <w:adjustRightInd w:val="0"/>
        <w:spacing w:after="240"/>
        <w:jc w:val="both"/>
        <w:rPr>
          <w:rFonts w:ascii="Times New Roman" w:hAnsi="Times New Roman" w:cs="Times New Roman"/>
          <w:sz w:val="23"/>
          <w:szCs w:val="23"/>
        </w:rPr>
      </w:pPr>
      <w:r w:rsidRPr="00D318C5">
        <w:rPr>
          <w:rFonts w:ascii="Times New Roman" w:hAnsi="Times New Roman" w:cs="Times New Roman"/>
          <w:sz w:val="23"/>
          <w:szCs w:val="23"/>
        </w:rPr>
        <w:t>The proposed safeguard measures on tenure set out below are not comprehensive or exhaustive.</w:t>
      </w:r>
      <w:r w:rsidR="00696337" w:rsidRPr="00D318C5">
        <w:rPr>
          <w:rFonts w:ascii="Times New Roman" w:hAnsi="Times New Roman" w:cs="Times New Roman"/>
          <w:sz w:val="23"/>
          <w:szCs w:val="23"/>
        </w:rPr>
        <w:t xml:space="preserve"> We have not set out to write a model policy</w:t>
      </w:r>
      <w:r w:rsidR="00EA3249" w:rsidRPr="00D318C5">
        <w:rPr>
          <w:rFonts w:ascii="Times New Roman" w:hAnsi="Times New Roman" w:cs="Times New Roman"/>
          <w:sz w:val="23"/>
          <w:szCs w:val="23"/>
        </w:rPr>
        <w:t xml:space="preserve"> on tenure</w:t>
      </w:r>
      <w:r w:rsidR="00696337" w:rsidRPr="00D318C5">
        <w:rPr>
          <w:rFonts w:ascii="Times New Roman" w:hAnsi="Times New Roman" w:cs="Times New Roman"/>
          <w:sz w:val="23"/>
          <w:szCs w:val="23"/>
        </w:rPr>
        <w:t xml:space="preserve">, </w:t>
      </w:r>
      <w:r w:rsidR="00DA50BE" w:rsidRPr="00D318C5">
        <w:rPr>
          <w:rFonts w:ascii="Times New Roman" w:hAnsi="Times New Roman" w:cs="Times New Roman"/>
          <w:sz w:val="23"/>
          <w:szCs w:val="23"/>
        </w:rPr>
        <w:t xml:space="preserve">or to make recommendations for strengthening existing policies on </w:t>
      </w:r>
      <w:r w:rsidR="00DA50BE" w:rsidRPr="00D318C5">
        <w:rPr>
          <w:rFonts w:ascii="Times New Roman" w:hAnsi="Times New Roman" w:cs="Times New Roman"/>
          <w:i/>
          <w:sz w:val="23"/>
          <w:szCs w:val="23"/>
        </w:rPr>
        <w:t>inter alia</w:t>
      </w:r>
      <w:r w:rsidR="00DA50BE" w:rsidRPr="00D318C5">
        <w:rPr>
          <w:rFonts w:ascii="Times New Roman" w:hAnsi="Times New Roman" w:cs="Times New Roman"/>
          <w:sz w:val="23"/>
          <w:szCs w:val="23"/>
        </w:rPr>
        <w:t xml:space="preserve"> Involuntary Resettlement, Indigenous Peoples and Forests, </w:t>
      </w:r>
      <w:r w:rsidR="00696337" w:rsidRPr="00D318C5">
        <w:rPr>
          <w:rFonts w:ascii="Times New Roman" w:hAnsi="Times New Roman" w:cs="Times New Roman"/>
          <w:sz w:val="23"/>
          <w:szCs w:val="23"/>
        </w:rPr>
        <w:t xml:space="preserve">but merely to outline the contours of some </w:t>
      </w:r>
      <w:r w:rsidR="00DA50BE" w:rsidRPr="00D318C5">
        <w:rPr>
          <w:rFonts w:ascii="Times New Roman" w:hAnsi="Times New Roman" w:cs="Times New Roman"/>
          <w:sz w:val="23"/>
          <w:szCs w:val="23"/>
        </w:rPr>
        <w:t xml:space="preserve">new key </w:t>
      </w:r>
      <w:r w:rsidR="00696337" w:rsidRPr="00D318C5">
        <w:rPr>
          <w:rFonts w:ascii="Times New Roman" w:hAnsi="Times New Roman" w:cs="Times New Roman"/>
          <w:sz w:val="23"/>
          <w:szCs w:val="23"/>
        </w:rPr>
        <w:t xml:space="preserve">measures with respect to tenure that should be included in the </w:t>
      </w:r>
      <w:r w:rsidR="00DA50BE" w:rsidRPr="00D318C5">
        <w:rPr>
          <w:rFonts w:ascii="Times New Roman" w:hAnsi="Times New Roman" w:cs="Times New Roman"/>
          <w:sz w:val="23"/>
          <w:szCs w:val="23"/>
        </w:rPr>
        <w:t>updated</w:t>
      </w:r>
      <w:r w:rsidR="00696337" w:rsidRPr="00D318C5">
        <w:rPr>
          <w:rFonts w:ascii="Times New Roman" w:hAnsi="Times New Roman" w:cs="Times New Roman"/>
          <w:sz w:val="23"/>
          <w:szCs w:val="23"/>
        </w:rPr>
        <w:t xml:space="preserve"> safeguard policy framework</w:t>
      </w:r>
      <w:r w:rsidR="00DA50BE" w:rsidRPr="00D318C5">
        <w:rPr>
          <w:rFonts w:ascii="Times New Roman" w:hAnsi="Times New Roman" w:cs="Times New Roman"/>
          <w:sz w:val="23"/>
          <w:szCs w:val="23"/>
        </w:rPr>
        <w:t xml:space="preserve">. This submission also does not seek to address the significant shortcomings in the implementation of Bank safeguard policies, which are being addressed through recommendations in other civil society submissions. </w:t>
      </w:r>
      <w:r w:rsidRPr="00D318C5">
        <w:rPr>
          <w:rFonts w:ascii="Times New Roman" w:hAnsi="Times New Roman" w:cs="Times New Roman"/>
          <w:sz w:val="23"/>
          <w:szCs w:val="23"/>
        </w:rPr>
        <w:t>We encourage the Bank to explore and actively seek additional ideas</w:t>
      </w:r>
      <w:r w:rsidR="00696337" w:rsidRPr="00D318C5">
        <w:rPr>
          <w:rFonts w:ascii="Times New Roman" w:hAnsi="Times New Roman" w:cs="Times New Roman"/>
          <w:sz w:val="23"/>
          <w:szCs w:val="23"/>
        </w:rPr>
        <w:t xml:space="preserve">, particularly from community-based </w:t>
      </w:r>
      <w:proofErr w:type="spellStart"/>
      <w:r w:rsidR="00696337" w:rsidRPr="00D318C5">
        <w:rPr>
          <w:rFonts w:ascii="Times New Roman" w:hAnsi="Times New Roman" w:cs="Times New Roman"/>
          <w:sz w:val="23"/>
          <w:szCs w:val="23"/>
        </w:rPr>
        <w:t>organisations</w:t>
      </w:r>
      <w:proofErr w:type="spellEnd"/>
      <w:r w:rsidR="00696337" w:rsidRPr="00D318C5">
        <w:rPr>
          <w:rFonts w:ascii="Times New Roman" w:hAnsi="Times New Roman" w:cs="Times New Roman"/>
          <w:sz w:val="23"/>
          <w:szCs w:val="23"/>
        </w:rPr>
        <w:t>,</w:t>
      </w:r>
      <w:r w:rsidRPr="00D318C5">
        <w:rPr>
          <w:rFonts w:ascii="Times New Roman" w:hAnsi="Times New Roman" w:cs="Times New Roman"/>
          <w:sz w:val="23"/>
          <w:szCs w:val="23"/>
        </w:rPr>
        <w:t xml:space="preserve"> </w:t>
      </w:r>
      <w:r w:rsidR="00696337" w:rsidRPr="00D318C5">
        <w:rPr>
          <w:rFonts w:ascii="Times New Roman" w:hAnsi="Times New Roman" w:cs="Times New Roman"/>
          <w:sz w:val="23"/>
          <w:szCs w:val="23"/>
        </w:rPr>
        <w:t>about</w:t>
      </w:r>
      <w:r w:rsidRPr="00D318C5">
        <w:rPr>
          <w:rFonts w:ascii="Times New Roman" w:hAnsi="Times New Roman" w:cs="Times New Roman"/>
          <w:sz w:val="23"/>
          <w:szCs w:val="23"/>
        </w:rPr>
        <w:t xml:space="preserve"> </w:t>
      </w:r>
      <w:r w:rsidR="00696337" w:rsidRPr="00D318C5">
        <w:rPr>
          <w:rFonts w:ascii="Times New Roman" w:hAnsi="Times New Roman" w:cs="Times New Roman"/>
          <w:sz w:val="23"/>
          <w:szCs w:val="23"/>
        </w:rPr>
        <w:t>new Bank policy</w:t>
      </w:r>
      <w:r w:rsidRPr="00D318C5">
        <w:rPr>
          <w:rFonts w:ascii="Times New Roman" w:hAnsi="Times New Roman" w:cs="Times New Roman"/>
          <w:sz w:val="23"/>
          <w:szCs w:val="23"/>
        </w:rPr>
        <w:t xml:space="preserve"> measures </w:t>
      </w:r>
      <w:r w:rsidR="00696337" w:rsidRPr="00D318C5">
        <w:rPr>
          <w:rFonts w:ascii="Times New Roman" w:hAnsi="Times New Roman" w:cs="Times New Roman"/>
          <w:sz w:val="23"/>
          <w:szCs w:val="23"/>
        </w:rPr>
        <w:t>that are needed with respect to tenure</w:t>
      </w:r>
      <w:r w:rsidR="00DA50BE" w:rsidRPr="00D318C5">
        <w:rPr>
          <w:rFonts w:ascii="Times New Roman" w:hAnsi="Times New Roman" w:cs="Times New Roman"/>
          <w:sz w:val="23"/>
          <w:szCs w:val="23"/>
        </w:rPr>
        <w:t xml:space="preserve"> and how existing policies and their implementation need to be improved</w:t>
      </w:r>
      <w:r w:rsidR="005E0F9E" w:rsidRPr="00D318C5">
        <w:rPr>
          <w:rFonts w:ascii="Times New Roman" w:hAnsi="Times New Roman" w:cs="Times New Roman"/>
          <w:sz w:val="23"/>
          <w:szCs w:val="23"/>
        </w:rPr>
        <w:t>.</w:t>
      </w:r>
      <w:r w:rsidR="00EA3249" w:rsidRPr="00D318C5">
        <w:rPr>
          <w:rFonts w:ascii="Times New Roman" w:hAnsi="Times New Roman" w:cs="Times New Roman"/>
          <w:sz w:val="23"/>
          <w:szCs w:val="23"/>
        </w:rPr>
        <w:t xml:space="preserve"> </w:t>
      </w:r>
    </w:p>
    <w:p w14:paraId="4E63AFA0" w14:textId="306F545A" w:rsidR="0017314D" w:rsidRPr="00D318C5" w:rsidRDefault="00EB3CBB" w:rsidP="00B44F4A">
      <w:pPr>
        <w:rPr>
          <w:rFonts w:ascii="Arial" w:hAnsi="Arial" w:cs="Arial"/>
          <w:b/>
          <w:sz w:val="23"/>
          <w:szCs w:val="23"/>
        </w:rPr>
      </w:pPr>
      <w:r w:rsidRPr="00D318C5">
        <w:rPr>
          <w:rFonts w:ascii="Arial" w:hAnsi="Arial" w:cs="Arial"/>
          <w:b/>
          <w:sz w:val="23"/>
          <w:szCs w:val="23"/>
        </w:rPr>
        <w:t>Proposed Elements of New Safeguards</w:t>
      </w:r>
      <w:r w:rsidR="0017314D" w:rsidRPr="00D318C5">
        <w:rPr>
          <w:rFonts w:ascii="Arial" w:hAnsi="Arial" w:cs="Arial"/>
          <w:b/>
          <w:sz w:val="23"/>
          <w:szCs w:val="23"/>
        </w:rPr>
        <w:t xml:space="preserve"> on </w:t>
      </w:r>
      <w:r w:rsidRPr="00D318C5">
        <w:rPr>
          <w:rFonts w:ascii="Arial" w:hAnsi="Arial" w:cs="Arial"/>
          <w:b/>
          <w:sz w:val="23"/>
          <w:szCs w:val="23"/>
        </w:rPr>
        <w:t>Tenure</w:t>
      </w:r>
    </w:p>
    <w:p w14:paraId="40D32FA5" w14:textId="1A7CA641" w:rsidR="0012228E" w:rsidRPr="00D318C5" w:rsidRDefault="00AE185A" w:rsidP="004E11AD">
      <w:pPr>
        <w:spacing w:after="120"/>
        <w:jc w:val="both"/>
        <w:outlineLvl w:val="0"/>
        <w:rPr>
          <w:rFonts w:ascii="Times New Roman" w:hAnsi="Times New Roman" w:cs="Times New Roman"/>
          <w:b/>
          <w:sz w:val="23"/>
          <w:szCs w:val="23"/>
        </w:rPr>
      </w:pPr>
      <w:r w:rsidRPr="00D318C5">
        <w:rPr>
          <w:rFonts w:ascii="Times New Roman" w:hAnsi="Times New Roman" w:cs="Times New Roman"/>
          <w:b/>
          <w:sz w:val="23"/>
          <w:szCs w:val="23"/>
        </w:rPr>
        <w:t xml:space="preserve">Objectives </w:t>
      </w:r>
    </w:p>
    <w:p w14:paraId="2E5D962B" w14:textId="62CF0EC7" w:rsidR="0012228E" w:rsidRPr="00D318C5" w:rsidRDefault="008A59FA" w:rsidP="004E11AD">
      <w:pPr>
        <w:spacing w:after="120"/>
        <w:jc w:val="both"/>
        <w:outlineLvl w:val="0"/>
        <w:rPr>
          <w:rFonts w:ascii="Times New Roman" w:hAnsi="Times New Roman" w:cs="Times New Roman"/>
          <w:sz w:val="23"/>
          <w:szCs w:val="23"/>
        </w:rPr>
      </w:pPr>
      <w:r w:rsidRPr="00D318C5">
        <w:rPr>
          <w:rFonts w:ascii="Times New Roman" w:hAnsi="Times New Roman" w:cs="Times New Roman"/>
          <w:sz w:val="23"/>
          <w:szCs w:val="23"/>
        </w:rPr>
        <w:t xml:space="preserve">The </w:t>
      </w:r>
      <w:r w:rsidR="0061790A" w:rsidRPr="00D318C5">
        <w:rPr>
          <w:rFonts w:ascii="Times New Roman" w:hAnsi="Times New Roman" w:cs="Times New Roman"/>
          <w:sz w:val="23"/>
          <w:szCs w:val="23"/>
        </w:rPr>
        <w:t>objectives of the proposed</w:t>
      </w:r>
      <w:r w:rsidR="00EB3CBB" w:rsidRPr="00D318C5">
        <w:rPr>
          <w:rFonts w:ascii="Times New Roman" w:hAnsi="Times New Roman" w:cs="Times New Roman"/>
          <w:sz w:val="23"/>
          <w:szCs w:val="23"/>
        </w:rPr>
        <w:t xml:space="preserve"> safeguard</w:t>
      </w:r>
      <w:r w:rsidR="00A86F8E" w:rsidRPr="00D318C5">
        <w:rPr>
          <w:rFonts w:ascii="Times New Roman" w:hAnsi="Times New Roman" w:cs="Times New Roman"/>
          <w:sz w:val="23"/>
          <w:szCs w:val="23"/>
        </w:rPr>
        <w:t xml:space="preserve"> mea</w:t>
      </w:r>
      <w:r w:rsidR="00C8777B" w:rsidRPr="00D318C5">
        <w:rPr>
          <w:rFonts w:ascii="Times New Roman" w:hAnsi="Times New Roman" w:cs="Times New Roman"/>
          <w:sz w:val="23"/>
          <w:szCs w:val="23"/>
        </w:rPr>
        <w:t>s</w:t>
      </w:r>
      <w:r w:rsidR="00A86F8E" w:rsidRPr="00D318C5">
        <w:rPr>
          <w:rFonts w:ascii="Times New Roman" w:hAnsi="Times New Roman" w:cs="Times New Roman"/>
          <w:sz w:val="23"/>
          <w:szCs w:val="23"/>
        </w:rPr>
        <w:t>ures</w:t>
      </w:r>
      <w:r w:rsidR="0012228E" w:rsidRPr="00D318C5">
        <w:rPr>
          <w:rFonts w:ascii="Times New Roman" w:hAnsi="Times New Roman" w:cs="Times New Roman"/>
          <w:sz w:val="23"/>
          <w:szCs w:val="23"/>
        </w:rPr>
        <w:t xml:space="preserve"> should be</w:t>
      </w:r>
      <w:r w:rsidRPr="00D318C5">
        <w:rPr>
          <w:rFonts w:ascii="Times New Roman" w:hAnsi="Times New Roman" w:cs="Times New Roman"/>
          <w:sz w:val="23"/>
          <w:szCs w:val="23"/>
        </w:rPr>
        <w:t xml:space="preserve"> </w:t>
      </w:r>
      <w:r w:rsidR="004E1AC4" w:rsidRPr="00D318C5">
        <w:rPr>
          <w:rFonts w:ascii="Times New Roman" w:hAnsi="Times New Roman" w:cs="Times New Roman"/>
          <w:sz w:val="23"/>
          <w:szCs w:val="23"/>
        </w:rPr>
        <w:t>to</w:t>
      </w:r>
      <w:r w:rsidR="00A86F8E" w:rsidRPr="00D318C5">
        <w:rPr>
          <w:rFonts w:ascii="Times New Roman" w:hAnsi="Times New Roman" w:cs="Times New Roman"/>
          <w:sz w:val="23"/>
          <w:szCs w:val="23"/>
        </w:rPr>
        <w:t xml:space="preserve"> ensure that Bank operations that impact on tenure</w:t>
      </w:r>
      <w:r w:rsidR="0012228E" w:rsidRPr="00D318C5">
        <w:rPr>
          <w:rFonts w:ascii="Times New Roman" w:hAnsi="Times New Roman" w:cs="Times New Roman"/>
          <w:sz w:val="23"/>
          <w:szCs w:val="23"/>
        </w:rPr>
        <w:t>:</w:t>
      </w:r>
      <w:r w:rsidR="004E1AC4" w:rsidRPr="00D318C5">
        <w:rPr>
          <w:rFonts w:ascii="Times New Roman" w:hAnsi="Times New Roman" w:cs="Times New Roman"/>
          <w:sz w:val="23"/>
          <w:szCs w:val="23"/>
        </w:rPr>
        <w:t xml:space="preserve"> </w:t>
      </w:r>
    </w:p>
    <w:p w14:paraId="175468E4" w14:textId="288B37AF" w:rsidR="0012228E" w:rsidRPr="00D318C5" w:rsidRDefault="000D224C" w:rsidP="004E11AD">
      <w:pPr>
        <w:pStyle w:val="ListParagraph"/>
        <w:numPr>
          <w:ilvl w:val="0"/>
          <w:numId w:val="5"/>
        </w:numPr>
        <w:spacing w:after="120" w:line="276" w:lineRule="auto"/>
        <w:contextualSpacing w:val="0"/>
        <w:jc w:val="both"/>
        <w:outlineLvl w:val="0"/>
        <w:rPr>
          <w:rFonts w:ascii="Times New Roman" w:hAnsi="Times New Roman"/>
          <w:sz w:val="23"/>
          <w:szCs w:val="23"/>
        </w:rPr>
      </w:pPr>
      <w:proofErr w:type="gramStart"/>
      <w:r w:rsidRPr="00D318C5">
        <w:rPr>
          <w:rFonts w:ascii="Times New Roman" w:hAnsi="Times New Roman"/>
          <w:sz w:val="23"/>
          <w:szCs w:val="23"/>
        </w:rPr>
        <w:t>do</w:t>
      </w:r>
      <w:proofErr w:type="gramEnd"/>
      <w:r w:rsidRPr="00D318C5">
        <w:rPr>
          <w:rFonts w:ascii="Times New Roman" w:hAnsi="Times New Roman"/>
          <w:sz w:val="23"/>
          <w:szCs w:val="23"/>
        </w:rPr>
        <w:t xml:space="preserve"> not </w:t>
      </w:r>
      <w:r w:rsidR="00240A85" w:rsidRPr="00D318C5">
        <w:rPr>
          <w:rFonts w:ascii="Times New Roman" w:hAnsi="Times New Roman"/>
          <w:sz w:val="23"/>
          <w:szCs w:val="23"/>
        </w:rPr>
        <w:t>weaken</w:t>
      </w:r>
      <w:r w:rsidR="00FA7F20" w:rsidRPr="00D318C5">
        <w:rPr>
          <w:rFonts w:ascii="Times New Roman" w:hAnsi="Times New Roman"/>
          <w:sz w:val="23"/>
          <w:szCs w:val="23"/>
        </w:rPr>
        <w:t>, impede</w:t>
      </w:r>
      <w:r w:rsidR="00240A85" w:rsidRPr="00D318C5">
        <w:rPr>
          <w:rFonts w:ascii="Times New Roman" w:hAnsi="Times New Roman"/>
          <w:sz w:val="23"/>
          <w:szCs w:val="23"/>
        </w:rPr>
        <w:t xml:space="preserve"> or restrict </w:t>
      </w:r>
      <w:r w:rsidR="008A59FA" w:rsidRPr="00D318C5">
        <w:rPr>
          <w:rFonts w:ascii="Times New Roman" w:hAnsi="Times New Roman"/>
          <w:sz w:val="23"/>
          <w:szCs w:val="23"/>
        </w:rPr>
        <w:t>tenure rights</w:t>
      </w:r>
      <w:r w:rsidR="00A73210" w:rsidRPr="00D318C5">
        <w:rPr>
          <w:rStyle w:val="FootnoteReference"/>
          <w:rFonts w:ascii="Times New Roman" w:hAnsi="Times New Roman"/>
          <w:sz w:val="23"/>
          <w:szCs w:val="23"/>
        </w:rPr>
        <w:footnoteReference w:id="8"/>
      </w:r>
      <w:r w:rsidR="008A59FA" w:rsidRPr="00D318C5">
        <w:rPr>
          <w:rFonts w:ascii="Times New Roman" w:hAnsi="Times New Roman"/>
          <w:sz w:val="23"/>
          <w:szCs w:val="23"/>
        </w:rPr>
        <w:t xml:space="preserve"> </w:t>
      </w:r>
      <w:r w:rsidR="00482B29" w:rsidRPr="00D318C5">
        <w:rPr>
          <w:rFonts w:ascii="Times New Roman" w:hAnsi="Times New Roman"/>
          <w:sz w:val="23"/>
          <w:szCs w:val="23"/>
        </w:rPr>
        <w:t xml:space="preserve">to </w:t>
      </w:r>
      <w:r w:rsidR="00BD6EDF" w:rsidRPr="00D318C5">
        <w:rPr>
          <w:rFonts w:ascii="Times New Roman" w:hAnsi="Times New Roman"/>
          <w:sz w:val="23"/>
          <w:szCs w:val="23"/>
        </w:rPr>
        <w:t xml:space="preserve">land, </w:t>
      </w:r>
      <w:r w:rsidR="007A000D" w:rsidRPr="00D318C5">
        <w:rPr>
          <w:rFonts w:ascii="Times New Roman" w:hAnsi="Times New Roman"/>
          <w:sz w:val="23"/>
          <w:szCs w:val="23"/>
        </w:rPr>
        <w:t>housing</w:t>
      </w:r>
      <w:r w:rsidR="00482B29" w:rsidRPr="00D318C5">
        <w:rPr>
          <w:rFonts w:ascii="Times New Roman" w:hAnsi="Times New Roman"/>
          <w:sz w:val="23"/>
          <w:szCs w:val="23"/>
        </w:rPr>
        <w:t xml:space="preserve"> and natural resources</w:t>
      </w:r>
      <w:r w:rsidR="00F84FE7" w:rsidRPr="00D318C5">
        <w:rPr>
          <w:rFonts w:ascii="Times New Roman" w:hAnsi="Times New Roman"/>
          <w:sz w:val="23"/>
          <w:szCs w:val="23"/>
        </w:rPr>
        <w:t xml:space="preserve"> in a manner that </w:t>
      </w:r>
      <w:r w:rsidR="00114235" w:rsidRPr="00D318C5">
        <w:rPr>
          <w:rFonts w:ascii="Times New Roman" w:hAnsi="Times New Roman"/>
          <w:sz w:val="23"/>
          <w:szCs w:val="23"/>
        </w:rPr>
        <w:t xml:space="preserve">violates </w:t>
      </w:r>
      <w:r w:rsidR="00DA0253" w:rsidRPr="00D318C5">
        <w:rPr>
          <w:rFonts w:ascii="Times New Roman" w:hAnsi="Times New Roman"/>
          <w:sz w:val="23"/>
          <w:szCs w:val="23"/>
        </w:rPr>
        <w:t>human</w:t>
      </w:r>
      <w:r w:rsidR="00F84FE7" w:rsidRPr="00D318C5">
        <w:rPr>
          <w:rFonts w:ascii="Times New Roman" w:hAnsi="Times New Roman"/>
          <w:sz w:val="23"/>
          <w:szCs w:val="23"/>
        </w:rPr>
        <w:t xml:space="preserve"> right</w:t>
      </w:r>
      <w:r w:rsidR="005131BD" w:rsidRPr="00D318C5">
        <w:rPr>
          <w:rFonts w:ascii="Times New Roman" w:hAnsi="Times New Roman"/>
          <w:sz w:val="23"/>
          <w:szCs w:val="23"/>
        </w:rPr>
        <w:t>s, including the right to adequate</w:t>
      </w:r>
      <w:r w:rsidR="00FC6E77" w:rsidRPr="00D318C5">
        <w:rPr>
          <w:rFonts w:ascii="Times New Roman" w:hAnsi="Times New Roman"/>
          <w:sz w:val="23"/>
          <w:szCs w:val="23"/>
        </w:rPr>
        <w:t xml:space="preserve"> housing, the right to food,</w:t>
      </w:r>
      <w:r w:rsidR="005131BD" w:rsidRPr="00D318C5">
        <w:rPr>
          <w:rFonts w:ascii="Times New Roman" w:hAnsi="Times New Roman"/>
          <w:sz w:val="23"/>
          <w:szCs w:val="23"/>
        </w:rPr>
        <w:t xml:space="preserve"> the right to non-discrimination and </w:t>
      </w:r>
      <w:r w:rsidR="00FC6E77" w:rsidRPr="00D318C5">
        <w:rPr>
          <w:rFonts w:ascii="Times New Roman" w:hAnsi="Times New Roman"/>
          <w:sz w:val="23"/>
          <w:szCs w:val="23"/>
        </w:rPr>
        <w:t xml:space="preserve">the right to </w:t>
      </w:r>
      <w:r w:rsidR="005131BD" w:rsidRPr="00D318C5">
        <w:rPr>
          <w:rFonts w:ascii="Times New Roman" w:hAnsi="Times New Roman"/>
          <w:sz w:val="23"/>
          <w:szCs w:val="23"/>
        </w:rPr>
        <w:t xml:space="preserve">equal protection </w:t>
      </w:r>
      <w:r w:rsidR="00046318" w:rsidRPr="00D318C5">
        <w:rPr>
          <w:rFonts w:ascii="Times New Roman" w:hAnsi="Times New Roman"/>
          <w:sz w:val="23"/>
          <w:szCs w:val="23"/>
        </w:rPr>
        <w:t>of</w:t>
      </w:r>
      <w:r w:rsidR="005131BD" w:rsidRPr="00D318C5">
        <w:rPr>
          <w:rFonts w:ascii="Times New Roman" w:hAnsi="Times New Roman"/>
          <w:sz w:val="23"/>
          <w:szCs w:val="23"/>
        </w:rPr>
        <w:t xml:space="preserve"> the law</w:t>
      </w:r>
      <w:r w:rsidR="004E1AC4" w:rsidRPr="00D318C5">
        <w:rPr>
          <w:rFonts w:ascii="Times New Roman" w:hAnsi="Times New Roman"/>
          <w:sz w:val="23"/>
          <w:szCs w:val="23"/>
        </w:rPr>
        <w:t xml:space="preserve">; </w:t>
      </w:r>
    </w:p>
    <w:p w14:paraId="5CEB622D" w14:textId="71F823C2" w:rsidR="00A86F8E" w:rsidRPr="00D318C5" w:rsidRDefault="00A86F8E" w:rsidP="000D224C">
      <w:pPr>
        <w:pStyle w:val="ListParagraph"/>
        <w:numPr>
          <w:ilvl w:val="0"/>
          <w:numId w:val="5"/>
        </w:numPr>
        <w:spacing w:after="120" w:line="276" w:lineRule="auto"/>
        <w:contextualSpacing w:val="0"/>
        <w:jc w:val="both"/>
        <w:outlineLvl w:val="0"/>
        <w:rPr>
          <w:rFonts w:ascii="Times New Roman" w:hAnsi="Times New Roman"/>
          <w:sz w:val="23"/>
          <w:szCs w:val="23"/>
        </w:rPr>
      </w:pPr>
      <w:proofErr w:type="gramStart"/>
      <w:r w:rsidRPr="00D318C5">
        <w:rPr>
          <w:rFonts w:ascii="Times New Roman" w:hAnsi="Times New Roman"/>
          <w:sz w:val="23"/>
          <w:szCs w:val="23"/>
        </w:rPr>
        <w:t>avoid</w:t>
      </w:r>
      <w:proofErr w:type="gramEnd"/>
      <w:r w:rsidRPr="00D318C5">
        <w:rPr>
          <w:rFonts w:ascii="Times New Roman" w:hAnsi="Times New Roman"/>
          <w:sz w:val="23"/>
          <w:szCs w:val="23"/>
        </w:rPr>
        <w:t xml:space="preserve"> and minimize the risk of</w:t>
      </w:r>
      <w:r w:rsidR="000D224C" w:rsidRPr="00D318C5">
        <w:rPr>
          <w:rFonts w:ascii="Times New Roman" w:hAnsi="Times New Roman"/>
          <w:sz w:val="23"/>
          <w:szCs w:val="23"/>
        </w:rPr>
        <w:t xml:space="preserve"> conflict o</w:t>
      </w:r>
      <w:r w:rsidRPr="00D318C5">
        <w:rPr>
          <w:rFonts w:ascii="Times New Roman" w:hAnsi="Times New Roman"/>
          <w:sz w:val="23"/>
          <w:szCs w:val="23"/>
        </w:rPr>
        <w:t>ver land and natural resources</w:t>
      </w:r>
      <w:r w:rsidR="00763666" w:rsidRPr="00D318C5">
        <w:rPr>
          <w:rFonts w:ascii="Times New Roman" w:hAnsi="Times New Roman"/>
          <w:sz w:val="23"/>
          <w:szCs w:val="23"/>
        </w:rPr>
        <w:t>, and make every effort to address any conflicts that arise from Bank operations</w:t>
      </w:r>
      <w:r w:rsidRPr="00D318C5">
        <w:rPr>
          <w:rFonts w:ascii="Times New Roman" w:hAnsi="Times New Roman"/>
          <w:sz w:val="23"/>
          <w:szCs w:val="23"/>
        </w:rPr>
        <w:t>;</w:t>
      </w:r>
    </w:p>
    <w:p w14:paraId="35CEFAA5" w14:textId="7CABB86C" w:rsidR="00FC6E77" w:rsidRPr="00D318C5" w:rsidRDefault="00FC6E77" w:rsidP="00FC6E77">
      <w:pPr>
        <w:pStyle w:val="ListParagraph"/>
        <w:numPr>
          <w:ilvl w:val="0"/>
          <w:numId w:val="5"/>
        </w:numPr>
        <w:spacing w:after="120" w:line="276" w:lineRule="auto"/>
        <w:contextualSpacing w:val="0"/>
        <w:jc w:val="both"/>
        <w:outlineLvl w:val="0"/>
        <w:rPr>
          <w:rFonts w:ascii="Times New Roman" w:hAnsi="Times New Roman"/>
          <w:sz w:val="23"/>
          <w:szCs w:val="23"/>
        </w:rPr>
      </w:pPr>
      <w:proofErr w:type="gramStart"/>
      <w:r w:rsidRPr="00D318C5">
        <w:rPr>
          <w:rFonts w:ascii="Times New Roman" w:hAnsi="Times New Roman"/>
          <w:sz w:val="23"/>
          <w:szCs w:val="23"/>
        </w:rPr>
        <w:t>strengthen</w:t>
      </w:r>
      <w:proofErr w:type="gramEnd"/>
      <w:r w:rsidRPr="00D318C5">
        <w:rPr>
          <w:rFonts w:ascii="Times New Roman" w:hAnsi="Times New Roman"/>
          <w:sz w:val="23"/>
          <w:szCs w:val="23"/>
        </w:rPr>
        <w:t>, secure and prioritize the tenure rights of vulnerable and marginalized people</w:t>
      </w:r>
      <w:r w:rsidR="00A86F8E" w:rsidRPr="00D318C5">
        <w:rPr>
          <w:rFonts w:ascii="Times New Roman" w:hAnsi="Times New Roman"/>
          <w:sz w:val="23"/>
          <w:szCs w:val="23"/>
        </w:rPr>
        <w:t xml:space="preserve"> </w:t>
      </w:r>
      <w:r w:rsidRPr="00D318C5">
        <w:rPr>
          <w:rFonts w:ascii="Times New Roman" w:hAnsi="Times New Roman"/>
          <w:sz w:val="23"/>
          <w:szCs w:val="23"/>
        </w:rPr>
        <w:t xml:space="preserve">so that they enjoy, at minimum, legal protection against forced eviction and illegitimate use by others of their land and natural resources; </w:t>
      </w:r>
      <w:r w:rsidR="00A86F8E" w:rsidRPr="00D318C5">
        <w:rPr>
          <w:rFonts w:ascii="Times New Roman" w:hAnsi="Times New Roman"/>
          <w:sz w:val="23"/>
          <w:szCs w:val="23"/>
        </w:rPr>
        <w:t xml:space="preserve">and </w:t>
      </w:r>
    </w:p>
    <w:p w14:paraId="4471BC9E" w14:textId="0516A82B" w:rsidR="0012228E" w:rsidRPr="00D318C5" w:rsidRDefault="00A42E1C" w:rsidP="00272C8F">
      <w:pPr>
        <w:pStyle w:val="ListParagraph"/>
        <w:numPr>
          <w:ilvl w:val="0"/>
          <w:numId w:val="5"/>
        </w:numPr>
        <w:spacing w:line="276" w:lineRule="auto"/>
        <w:contextualSpacing w:val="0"/>
        <w:jc w:val="both"/>
        <w:outlineLvl w:val="0"/>
        <w:rPr>
          <w:rFonts w:ascii="Times New Roman" w:hAnsi="Times New Roman"/>
          <w:sz w:val="23"/>
          <w:szCs w:val="23"/>
        </w:rPr>
      </w:pPr>
      <w:proofErr w:type="gramStart"/>
      <w:r w:rsidRPr="00D318C5">
        <w:rPr>
          <w:rFonts w:ascii="Times New Roman" w:hAnsi="Times New Roman"/>
          <w:sz w:val="23"/>
          <w:szCs w:val="23"/>
        </w:rPr>
        <w:t>promote</w:t>
      </w:r>
      <w:proofErr w:type="gramEnd"/>
      <w:r w:rsidRPr="00D318C5">
        <w:rPr>
          <w:rFonts w:ascii="Times New Roman" w:hAnsi="Times New Roman"/>
          <w:sz w:val="23"/>
          <w:szCs w:val="23"/>
        </w:rPr>
        <w:t xml:space="preserve"> more equi</w:t>
      </w:r>
      <w:r w:rsidR="00E41D0E" w:rsidRPr="00D318C5">
        <w:rPr>
          <w:rFonts w:ascii="Times New Roman" w:hAnsi="Times New Roman"/>
          <w:sz w:val="23"/>
          <w:szCs w:val="23"/>
        </w:rPr>
        <w:t xml:space="preserve">table </w:t>
      </w:r>
      <w:r w:rsidR="00D940E4" w:rsidRPr="00D318C5">
        <w:rPr>
          <w:rFonts w:ascii="Times New Roman" w:hAnsi="Times New Roman"/>
          <w:sz w:val="23"/>
          <w:szCs w:val="23"/>
        </w:rPr>
        <w:t xml:space="preserve">use of, </w:t>
      </w:r>
      <w:r w:rsidR="00E41D0E" w:rsidRPr="00D318C5">
        <w:rPr>
          <w:rFonts w:ascii="Times New Roman" w:hAnsi="Times New Roman"/>
          <w:sz w:val="23"/>
          <w:szCs w:val="23"/>
        </w:rPr>
        <w:t xml:space="preserve">access to </w:t>
      </w:r>
      <w:r w:rsidR="004D7324" w:rsidRPr="00D318C5">
        <w:rPr>
          <w:rFonts w:ascii="Times New Roman" w:hAnsi="Times New Roman"/>
          <w:sz w:val="23"/>
          <w:szCs w:val="23"/>
        </w:rPr>
        <w:t xml:space="preserve">and control over </w:t>
      </w:r>
      <w:r w:rsidR="00E41D0E" w:rsidRPr="00D318C5">
        <w:rPr>
          <w:rFonts w:ascii="Times New Roman" w:hAnsi="Times New Roman"/>
          <w:sz w:val="23"/>
          <w:szCs w:val="23"/>
        </w:rPr>
        <w:t>land</w:t>
      </w:r>
      <w:r w:rsidR="00F966E9" w:rsidRPr="00D318C5">
        <w:rPr>
          <w:rFonts w:ascii="Times New Roman" w:hAnsi="Times New Roman"/>
          <w:sz w:val="23"/>
          <w:szCs w:val="23"/>
        </w:rPr>
        <w:t>, housing and natural resources</w:t>
      </w:r>
      <w:r w:rsidR="00B70015" w:rsidRPr="00D318C5">
        <w:rPr>
          <w:rFonts w:ascii="Times New Roman" w:hAnsi="Times New Roman"/>
          <w:sz w:val="23"/>
          <w:szCs w:val="23"/>
        </w:rPr>
        <w:t>, with particular attention to the rights of women</w:t>
      </w:r>
      <w:r w:rsidR="000947F0" w:rsidRPr="00D318C5">
        <w:rPr>
          <w:rFonts w:ascii="Times New Roman" w:hAnsi="Times New Roman"/>
          <w:sz w:val="23"/>
          <w:szCs w:val="23"/>
        </w:rPr>
        <w:t xml:space="preserve">.  </w:t>
      </w:r>
      <w:r w:rsidR="00E41D0E" w:rsidRPr="00D318C5">
        <w:rPr>
          <w:rFonts w:ascii="Times New Roman" w:hAnsi="Times New Roman"/>
          <w:sz w:val="23"/>
          <w:szCs w:val="23"/>
        </w:rPr>
        <w:t xml:space="preserve"> </w:t>
      </w:r>
    </w:p>
    <w:p w14:paraId="7B508D5E" w14:textId="77777777" w:rsidR="00B675CB" w:rsidRDefault="00B675CB" w:rsidP="00BA7CF9">
      <w:pPr>
        <w:spacing w:after="0"/>
        <w:jc w:val="both"/>
        <w:rPr>
          <w:rFonts w:ascii="Times New Roman" w:hAnsi="Times New Roman" w:cs="Times New Roman"/>
          <w:b/>
          <w:sz w:val="23"/>
          <w:szCs w:val="23"/>
        </w:rPr>
      </w:pPr>
    </w:p>
    <w:p w14:paraId="380C323A" w14:textId="3EB8C96B" w:rsidR="0012228E" w:rsidRPr="00D318C5" w:rsidRDefault="0012228E" w:rsidP="004E11AD">
      <w:pPr>
        <w:jc w:val="both"/>
        <w:rPr>
          <w:rFonts w:ascii="Times New Roman" w:hAnsi="Times New Roman" w:cs="Times New Roman"/>
          <w:b/>
          <w:sz w:val="23"/>
          <w:szCs w:val="23"/>
        </w:rPr>
      </w:pPr>
      <w:r w:rsidRPr="00D318C5">
        <w:rPr>
          <w:rFonts w:ascii="Times New Roman" w:hAnsi="Times New Roman" w:cs="Times New Roman"/>
          <w:b/>
          <w:sz w:val="23"/>
          <w:szCs w:val="23"/>
        </w:rPr>
        <w:t xml:space="preserve">Scope </w:t>
      </w:r>
    </w:p>
    <w:p w14:paraId="23D43BC5" w14:textId="038A9EC8" w:rsidR="0012228E" w:rsidRPr="00D318C5" w:rsidRDefault="00901944" w:rsidP="004E11AD">
      <w:pPr>
        <w:jc w:val="both"/>
        <w:rPr>
          <w:rFonts w:ascii="Times New Roman" w:hAnsi="Times New Roman" w:cs="Times New Roman"/>
          <w:sz w:val="23"/>
          <w:szCs w:val="23"/>
        </w:rPr>
      </w:pPr>
      <w:r w:rsidRPr="00D318C5">
        <w:rPr>
          <w:rFonts w:ascii="Times New Roman" w:hAnsi="Times New Roman" w:cs="Times New Roman"/>
          <w:sz w:val="23"/>
          <w:szCs w:val="23"/>
        </w:rPr>
        <w:t xml:space="preserve">The proposed </w:t>
      </w:r>
      <w:r w:rsidR="00763666" w:rsidRPr="00D318C5">
        <w:rPr>
          <w:rFonts w:ascii="Times New Roman" w:hAnsi="Times New Roman" w:cs="Times New Roman"/>
          <w:sz w:val="23"/>
          <w:szCs w:val="23"/>
        </w:rPr>
        <w:t>safeguard measures</w:t>
      </w:r>
      <w:r w:rsidRPr="00D318C5">
        <w:rPr>
          <w:rFonts w:ascii="Times New Roman" w:hAnsi="Times New Roman" w:cs="Times New Roman"/>
          <w:sz w:val="23"/>
          <w:szCs w:val="23"/>
        </w:rPr>
        <w:t xml:space="preserve"> should be applied to a</w:t>
      </w:r>
      <w:r w:rsidR="0012228E" w:rsidRPr="00D318C5">
        <w:rPr>
          <w:rFonts w:ascii="Times New Roman" w:hAnsi="Times New Roman" w:cs="Times New Roman"/>
          <w:sz w:val="23"/>
          <w:szCs w:val="23"/>
        </w:rPr>
        <w:t xml:space="preserve">ny Bank-financed </w:t>
      </w:r>
      <w:r w:rsidR="00015E43" w:rsidRPr="00D318C5">
        <w:rPr>
          <w:rFonts w:ascii="Times New Roman" w:hAnsi="Times New Roman" w:cs="Times New Roman"/>
          <w:sz w:val="23"/>
          <w:szCs w:val="23"/>
        </w:rPr>
        <w:t>operation</w:t>
      </w:r>
      <w:r w:rsidR="0012228E" w:rsidRPr="00D318C5">
        <w:rPr>
          <w:rFonts w:ascii="Times New Roman" w:hAnsi="Times New Roman" w:cs="Times New Roman"/>
          <w:sz w:val="23"/>
          <w:szCs w:val="23"/>
        </w:rPr>
        <w:t xml:space="preserve"> that </w:t>
      </w:r>
      <w:r w:rsidR="005360C4" w:rsidRPr="00D318C5">
        <w:rPr>
          <w:rFonts w:ascii="Times New Roman" w:hAnsi="Times New Roman" w:cs="Times New Roman"/>
          <w:sz w:val="23"/>
          <w:szCs w:val="23"/>
        </w:rPr>
        <w:t xml:space="preserve">is likely to impact </w:t>
      </w:r>
      <w:r w:rsidR="0012228E" w:rsidRPr="00D318C5">
        <w:rPr>
          <w:rFonts w:ascii="Times New Roman" w:hAnsi="Times New Roman" w:cs="Times New Roman"/>
          <w:sz w:val="23"/>
          <w:szCs w:val="23"/>
        </w:rPr>
        <w:t xml:space="preserve">upon the tenure </w:t>
      </w:r>
      <w:r w:rsidR="007E5FDD" w:rsidRPr="00D318C5">
        <w:rPr>
          <w:rFonts w:ascii="Times New Roman" w:hAnsi="Times New Roman" w:cs="Times New Roman"/>
          <w:sz w:val="23"/>
          <w:szCs w:val="23"/>
        </w:rPr>
        <w:t xml:space="preserve">of </w:t>
      </w:r>
      <w:r w:rsidR="00BB2207" w:rsidRPr="00D318C5">
        <w:rPr>
          <w:rFonts w:ascii="Times New Roman" w:hAnsi="Times New Roman" w:cs="Times New Roman"/>
          <w:sz w:val="23"/>
          <w:szCs w:val="23"/>
        </w:rPr>
        <w:t xml:space="preserve">land, </w:t>
      </w:r>
      <w:r w:rsidR="007E5FDD" w:rsidRPr="00D318C5">
        <w:rPr>
          <w:rFonts w:ascii="Times New Roman" w:hAnsi="Times New Roman" w:cs="Times New Roman"/>
          <w:sz w:val="23"/>
          <w:szCs w:val="23"/>
        </w:rPr>
        <w:t>housing</w:t>
      </w:r>
      <w:r w:rsidR="00BB2207" w:rsidRPr="00D318C5">
        <w:rPr>
          <w:rFonts w:ascii="Times New Roman" w:hAnsi="Times New Roman" w:cs="Times New Roman"/>
          <w:sz w:val="23"/>
          <w:szCs w:val="23"/>
        </w:rPr>
        <w:t xml:space="preserve"> </w:t>
      </w:r>
      <w:r w:rsidR="007A000D" w:rsidRPr="00D318C5">
        <w:rPr>
          <w:rFonts w:ascii="Times New Roman" w:hAnsi="Times New Roman" w:cs="Times New Roman"/>
          <w:sz w:val="23"/>
          <w:szCs w:val="23"/>
        </w:rPr>
        <w:t xml:space="preserve">and natural resources, </w:t>
      </w:r>
      <w:r w:rsidR="0012228E" w:rsidRPr="00D318C5">
        <w:rPr>
          <w:rFonts w:ascii="Times New Roman" w:hAnsi="Times New Roman" w:cs="Times New Roman"/>
          <w:sz w:val="23"/>
          <w:szCs w:val="23"/>
        </w:rPr>
        <w:t xml:space="preserve">including rights and arrangements that derive from customary, </w:t>
      </w:r>
      <w:r w:rsidR="00735807" w:rsidRPr="00D318C5">
        <w:rPr>
          <w:rFonts w:ascii="Times New Roman" w:hAnsi="Times New Roman" w:cs="Times New Roman"/>
          <w:sz w:val="23"/>
          <w:szCs w:val="23"/>
        </w:rPr>
        <w:t xml:space="preserve">formal, </w:t>
      </w:r>
      <w:r w:rsidR="0012228E" w:rsidRPr="00D318C5">
        <w:rPr>
          <w:rFonts w:ascii="Times New Roman" w:hAnsi="Times New Roman" w:cs="Times New Roman"/>
          <w:sz w:val="23"/>
          <w:szCs w:val="23"/>
        </w:rPr>
        <w:t>informal, and extra-legal systems.</w:t>
      </w:r>
      <w:r w:rsidR="00EB3CBB" w:rsidRPr="00D318C5">
        <w:rPr>
          <w:rFonts w:ascii="Times New Roman" w:hAnsi="Times New Roman" w:cs="Times New Roman"/>
          <w:sz w:val="23"/>
          <w:szCs w:val="23"/>
        </w:rPr>
        <w:t xml:space="preserve"> The proposed safeguards</w:t>
      </w:r>
      <w:r w:rsidR="00DF6ABB" w:rsidRPr="00D318C5">
        <w:rPr>
          <w:rFonts w:ascii="Times New Roman" w:hAnsi="Times New Roman" w:cs="Times New Roman"/>
          <w:sz w:val="23"/>
          <w:szCs w:val="23"/>
        </w:rPr>
        <w:t xml:space="preserve"> </w:t>
      </w:r>
      <w:r w:rsidR="00EB3CBB" w:rsidRPr="00D318C5">
        <w:rPr>
          <w:rFonts w:ascii="Times New Roman" w:hAnsi="Times New Roman" w:cs="Times New Roman"/>
          <w:sz w:val="23"/>
          <w:szCs w:val="23"/>
        </w:rPr>
        <w:t>are closely linked to the Policy on Involuntary Resettlement, which protects</w:t>
      </w:r>
      <w:r w:rsidR="00DF6ABB" w:rsidRPr="00D318C5">
        <w:rPr>
          <w:rFonts w:ascii="Times New Roman" w:hAnsi="Times New Roman" w:cs="Times New Roman"/>
          <w:sz w:val="23"/>
          <w:szCs w:val="23"/>
        </w:rPr>
        <w:t xml:space="preserve"> project-affected persons who are directly physically or economica</w:t>
      </w:r>
      <w:r w:rsidR="00EB3CBB" w:rsidRPr="00D318C5">
        <w:rPr>
          <w:rFonts w:ascii="Times New Roman" w:hAnsi="Times New Roman" w:cs="Times New Roman"/>
          <w:sz w:val="23"/>
          <w:szCs w:val="23"/>
        </w:rPr>
        <w:t>lly displaced as a result of</w:t>
      </w:r>
      <w:r w:rsidR="00DF6ABB" w:rsidRPr="00D318C5">
        <w:rPr>
          <w:rFonts w:ascii="Times New Roman" w:hAnsi="Times New Roman" w:cs="Times New Roman"/>
          <w:sz w:val="23"/>
          <w:szCs w:val="23"/>
        </w:rPr>
        <w:t xml:space="preserve"> Bank-financed project</w:t>
      </w:r>
      <w:r w:rsidR="00EB3CBB" w:rsidRPr="00D318C5">
        <w:rPr>
          <w:rFonts w:ascii="Times New Roman" w:hAnsi="Times New Roman" w:cs="Times New Roman"/>
          <w:sz w:val="23"/>
          <w:szCs w:val="23"/>
        </w:rPr>
        <w:t xml:space="preserve">s.  Some of proposed safeguards set out below could be integrated into an updated </w:t>
      </w:r>
      <w:r w:rsidR="00DF6ABB" w:rsidRPr="00D318C5">
        <w:rPr>
          <w:rFonts w:ascii="Times New Roman" w:hAnsi="Times New Roman" w:cs="Times New Roman"/>
          <w:sz w:val="23"/>
          <w:szCs w:val="23"/>
        </w:rPr>
        <w:t>Policy on Involuntary Resettlemen</w:t>
      </w:r>
      <w:r w:rsidR="00EB3CBB" w:rsidRPr="00D318C5">
        <w:rPr>
          <w:rFonts w:ascii="Times New Roman" w:hAnsi="Times New Roman" w:cs="Times New Roman"/>
          <w:sz w:val="23"/>
          <w:szCs w:val="23"/>
        </w:rPr>
        <w:t>t, while others may be integrated into other updated existing policies</w:t>
      </w:r>
      <w:r w:rsidR="00763666" w:rsidRPr="00D318C5">
        <w:rPr>
          <w:rFonts w:ascii="Times New Roman" w:hAnsi="Times New Roman" w:cs="Times New Roman"/>
          <w:sz w:val="23"/>
          <w:szCs w:val="23"/>
        </w:rPr>
        <w:t>.  Alternatively, some or all of the proposed measures may be better</w:t>
      </w:r>
      <w:r w:rsidR="00EB3CBB" w:rsidRPr="00D318C5">
        <w:rPr>
          <w:rFonts w:ascii="Times New Roman" w:hAnsi="Times New Roman" w:cs="Times New Roman"/>
          <w:sz w:val="23"/>
          <w:szCs w:val="23"/>
        </w:rPr>
        <w:t xml:space="preserve"> suited to a new standalone policy.</w:t>
      </w:r>
    </w:p>
    <w:p w14:paraId="2DBCEBBC" w14:textId="6E6B1100" w:rsidR="00AD042C" w:rsidRPr="00D318C5" w:rsidRDefault="00B737B3" w:rsidP="00272C8F">
      <w:pPr>
        <w:spacing w:after="0"/>
        <w:jc w:val="both"/>
        <w:rPr>
          <w:rFonts w:ascii="Times New Roman" w:hAnsi="Times New Roman" w:cs="Times New Roman"/>
          <w:sz w:val="23"/>
          <w:szCs w:val="23"/>
        </w:rPr>
      </w:pPr>
      <w:r w:rsidRPr="00D318C5">
        <w:rPr>
          <w:rFonts w:ascii="Times New Roman" w:hAnsi="Times New Roman" w:cs="Times New Roman"/>
          <w:sz w:val="23"/>
          <w:szCs w:val="23"/>
        </w:rPr>
        <w:t xml:space="preserve">For the purposes of </w:t>
      </w:r>
      <w:r w:rsidR="00EB3CBB" w:rsidRPr="00D318C5">
        <w:rPr>
          <w:rFonts w:ascii="Times New Roman" w:hAnsi="Times New Roman" w:cs="Times New Roman"/>
          <w:sz w:val="23"/>
          <w:szCs w:val="23"/>
        </w:rPr>
        <w:t>the proposed safeguards</w:t>
      </w:r>
      <w:r w:rsidRPr="00D318C5">
        <w:rPr>
          <w:rFonts w:ascii="Times New Roman" w:hAnsi="Times New Roman" w:cs="Times New Roman"/>
          <w:sz w:val="23"/>
          <w:szCs w:val="23"/>
        </w:rPr>
        <w:t xml:space="preserve"> “a</w:t>
      </w:r>
      <w:r w:rsidR="00AB687E" w:rsidRPr="00D318C5">
        <w:rPr>
          <w:rFonts w:ascii="Times New Roman" w:hAnsi="Times New Roman" w:cs="Times New Roman"/>
          <w:sz w:val="23"/>
          <w:szCs w:val="23"/>
        </w:rPr>
        <w:t xml:space="preserve">ffected persons” include </w:t>
      </w:r>
      <w:r w:rsidR="008441AF" w:rsidRPr="00D318C5">
        <w:rPr>
          <w:rFonts w:ascii="Times New Roman" w:hAnsi="Times New Roman" w:cs="Times New Roman"/>
          <w:sz w:val="23"/>
          <w:szCs w:val="23"/>
        </w:rPr>
        <w:t>individuals, households</w:t>
      </w:r>
      <w:r w:rsidR="00EC78D0" w:rsidRPr="00D318C5">
        <w:rPr>
          <w:rFonts w:ascii="Times New Roman" w:hAnsi="Times New Roman" w:cs="Times New Roman"/>
          <w:sz w:val="23"/>
          <w:szCs w:val="23"/>
        </w:rPr>
        <w:t>, groups</w:t>
      </w:r>
      <w:r w:rsidR="008441AF" w:rsidRPr="00D318C5">
        <w:rPr>
          <w:rFonts w:ascii="Times New Roman" w:hAnsi="Times New Roman" w:cs="Times New Roman"/>
          <w:sz w:val="23"/>
          <w:szCs w:val="23"/>
        </w:rPr>
        <w:t xml:space="preserve"> and communitie</w:t>
      </w:r>
      <w:r w:rsidR="00AB687E" w:rsidRPr="00D318C5">
        <w:rPr>
          <w:rFonts w:ascii="Times New Roman" w:hAnsi="Times New Roman" w:cs="Times New Roman"/>
          <w:sz w:val="23"/>
          <w:szCs w:val="23"/>
        </w:rPr>
        <w:t>s whose</w:t>
      </w:r>
      <w:r w:rsidR="00AE3E7E" w:rsidRPr="00D318C5">
        <w:rPr>
          <w:rFonts w:ascii="Times New Roman" w:hAnsi="Times New Roman" w:cs="Times New Roman"/>
          <w:sz w:val="23"/>
          <w:szCs w:val="23"/>
        </w:rPr>
        <w:t xml:space="preserve"> tenure </w:t>
      </w:r>
      <w:r w:rsidR="00BB2207" w:rsidRPr="00D318C5">
        <w:rPr>
          <w:rFonts w:ascii="Times New Roman" w:hAnsi="Times New Roman" w:cs="Times New Roman"/>
          <w:sz w:val="23"/>
          <w:szCs w:val="23"/>
        </w:rPr>
        <w:t xml:space="preserve">of land, housing and natural resources </w:t>
      </w:r>
      <w:r w:rsidR="0012228E" w:rsidRPr="00D318C5">
        <w:rPr>
          <w:rFonts w:ascii="Times New Roman" w:hAnsi="Times New Roman" w:cs="Times New Roman"/>
          <w:sz w:val="23"/>
          <w:szCs w:val="23"/>
        </w:rPr>
        <w:t xml:space="preserve">is </w:t>
      </w:r>
      <w:r w:rsidR="00AE3E7E" w:rsidRPr="00D318C5">
        <w:rPr>
          <w:rFonts w:ascii="Times New Roman" w:hAnsi="Times New Roman" w:cs="Times New Roman"/>
          <w:sz w:val="23"/>
          <w:szCs w:val="23"/>
        </w:rPr>
        <w:t>impacted by the Bank-financed project</w:t>
      </w:r>
      <w:r w:rsidRPr="00D318C5">
        <w:rPr>
          <w:rFonts w:ascii="Times New Roman" w:hAnsi="Times New Roman" w:cs="Times New Roman"/>
          <w:sz w:val="23"/>
          <w:szCs w:val="23"/>
        </w:rPr>
        <w:t xml:space="preserve">. </w:t>
      </w:r>
    </w:p>
    <w:p w14:paraId="59ADE83C" w14:textId="77777777" w:rsidR="00342554" w:rsidRPr="00D318C5" w:rsidRDefault="00342554" w:rsidP="00BA7CF9">
      <w:pPr>
        <w:spacing w:after="0"/>
        <w:jc w:val="both"/>
        <w:outlineLvl w:val="0"/>
        <w:rPr>
          <w:rFonts w:ascii="Times New Roman" w:hAnsi="Times New Roman" w:cs="Times New Roman"/>
          <w:b/>
          <w:sz w:val="23"/>
          <w:szCs w:val="23"/>
        </w:rPr>
      </w:pPr>
    </w:p>
    <w:p w14:paraId="0680B083" w14:textId="7FB61D66" w:rsidR="0012228E" w:rsidRPr="00D318C5" w:rsidRDefault="00A15ED1" w:rsidP="004E11AD">
      <w:pPr>
        <w:jc w:val="both"/>
        <w:outlineLvl w:val="0"/>
        <w:rPr>
          <w:rFonts w:ascii="Times New Roman" w:hAnsi="Times New Roman" w:cs="Times New Roman"/>
          <w:b/>
          <w:sz w:val="23"/>
          <w:szCs w:val="23"/>
        </w:rPr>
      </w:pPr>
      <w:r w:rsidRPr="00D318C5">
        <w:rPr>
          <w:rFonts w:ascii="Times New Roman" w:hAnsi="Times New Roman" w:cs="Times New Roman"/>
          <w:b/>
          <w:sz w:val="23"/>
          <w:szCs w:val="23"/>
        </w:rPr>
        <w:t>Proposed Safeguard</w:t>
      </w:r>
      <w:r w:rsidR="00763666" w:rsidRPr="00D318C5">
        <w:rPr>
          <w:rFonts w:ascii="Times New Roman" w:hAnsi="Times New Roman" w:cs="Times New Roman"/>
          <w:b/>
          <w:sz w:val="23"/>
          <w:szCs w:val="23"/>
        </w:rPr>
        <w:t xml:space="preserve"> Measure</w:t>
      </w:r>
      <w:r w:rsidRPr="00D318C5">
        <w:rPr>
          <w:rFonts w:ascii="Times New Roman" w:hAnsi="Times New Roman" w:cs="Times New Roman"/>
          <w:b/>
          <w:sz w:val="23"/>
          <w:szCs w:val="23"/>
        </w:rPr>
        <w:t>s</w:t>
      </w:r>
    </w:p>
    <w:p w14:paraId="241126C4" w14:textId="0B2EAE0E" w:rsidR="00126888" w:rsidRPr="00D318C5" w:rsidRDefault="000F0DF2" w:rsidP="004E11AD">
      <w:pPr>
        <w:jc w:val="both"/>
        <w:outlineLvl w:val="0"/>
        <w:rPr>
          <w:rFonts w:ascii="Times New Roman" w:eastAsia="Arial Unicode MS" w:hAnsi="Times New Roman" w:cs="Times New Roman"/>
          <w:color w:val="000000"/>
          <w:sz w:val="23"/>
          <w:szCs w:val="23"/>
          <w:u w:color="000000"/>
          <w:shd w:val="clear" w:color="auto" w:fill="FFFF00"/>
        </w:rPr>
      </w:pPr>
      <w:r w:rsidRPr="00D318C5">
        <w:rPr>
          <w:rFonts w:ascii="Times New Roman" w:hAnsi="Times New Roman" w:cs="Times New Roman"/>
          <w:sz w:val="23"/>
          <w:szCs w:val="23"/>
        </w:rPr>
        <w:t>In order to achieve the objectives</w:t>
      </w:r>
      <w:r w:rsidR="00342554" w:rsidRPr="00D318C5">
        <w:rPr>
          <w:rFonts w:ascii="Times New Roman" w:hAnsi="Times New Roman" w:cs="Times New Roman"/>
          <w:sz w:val="23"/>
          <w:szCs w:val="23"/>
        </w:rPr>
        <w:t xml:space="preserve"> set out above</w:t>
      </w:r>
      <w:r w:rsidRPr="00D318C5">
        <w:rPr>
          <w:rFonts w:ascii="Times New Roman" w:hAnsi="Times New Roman" w:cs="Times New Roman"/>
          <w:sz w:val="23"/>
          <w:szCs w:val="23"/>
        </w:rPr>
        <w:t>, a</w:t>
      </w:r>
      <w:r w:rsidR="00126888" w:rsidRPr="00D318C5">
        <w:rPr>
          <w:rFonts w:ascii="Times New Roman" w:hAnsi="Times New Roman" w:cs="Times New Roman"/>
          <w:sz w:val="23"/>
          <w:szCs w:val="23"/>
        </w:rPr>
        <w:t xml:space="preserve">ny Bank </w:t>
      </w:r>
      <w:r w:rsidR="00BE51C5" w:rsidRPr="00D318C5">
        <w:rPr>
          <w:rFonts w:ascii="Times New Roman" w:hAnsi="Times New Roman" w:cs="Times New Roman"/>
          <w:sz w:val="23"/>
          <w:szCs w:val="23"/>
        </w:rPr>
        <w:t>operation</w:t>
      </w:r>
      <w:r w:rsidR="00126888" w:rsidRPr="00D318C5">
        <w:rPr>
          <w:rFonts w:ascii="Times New Roman" w:hAnsi="Times New Roman" w:cs="Times New Roman"/>
          <w:sz w:val="23"/>
          <w:szCs w:val="23"/>
        </w:rPr>
        <w:t xml:space="preserve"> that </w:t>
      </w:r>
      <w:r w:rsidR="00D04412" w:rsidRPr="00D318C5">
        <w:rPr>
          <w:rFonts w:ascii="Times New Roman" w:hAnsi="Times New Roman" w:cs="Times New Roman"/>
          <w:sz w:val="23"/>
          <w:szCs w:val="23"/>
        </w:rPr>
        <w:t xml:space="preserve">has the potential to impact upon </w:t>
      </w:r>
      <w:r w:rsidR="00126888" w:rsidRPr="00D318C5">
        <w:rPr>
          <w:rFonts w:ascii="Times New Roman" w:hAnsi="Times New Roman" w:cs="Times New Roman"/>
          <w:sz w:val="23"/>
          <w:szCs w:val="23"/>
        </w:rPr>
        <w:t>tenure</w:t>
      </w:r>
      <w:r w:rsidR="00281441" w:rsidRPr="00D318C5">
        <w:rPr>
          <w:rFonts w:ascii="Times New Roman" w:hAnsi="Times New Roman" w:cs="Times New Roman"/>
          <w:sz w:val="23"/>
          <w:szCs w:val="23"/>
        </w:rPr>
        <w:t xml:space="preserve"> rights, arrangements or systems</w:t>
      </w:r>
      <w:r w:rsidR="00126888" w:rsidRPr="00D318C5">
        <w:rPr>
          <w:rFonts w:ascii="Times New Roman" w:hAnsi="Times New Roman" w:cs="Times New Roman"/>
          <w:sz w:val="23"/>
          <w:szCs w:val="23"/>
        </w:rPr>
        <w:t xml:space="preserve"> should </w:t>
      </w:r>
      <w:r w:rsidR="00D647D7" w:rsidRPr="00D318C5">
        <w:rPr>
          <w:rFonts w:ascii="Times New Roman" w:hAnsi="Times New Roman" w:cs="Times New Roman"/>
          <w:sz w:val="23"/>
          <w:szCs w:val="23"/>
        </w:rPr>
        <w:t xml:space="preserve">trigger </w:t>
      </w:r>
      <w:r w:rsidR="00126888" w:rsidRPr="00D318C5">
        <w:rPr>
          <w:rFonts w:ascii="Times New Roman" w:hAnsi="Times New Roman" w:cs="Times New Roman"/>
          <w:sz w:val="23"/>
          <w:szCs w:val="23"/>
        </w:rPr>
        <w:t>the following safeguards:</w:t>
      </w:r>
      <w:r w:rsidR="0056407F" w:rsidRPr="00D318C5">
        <w:rPr>
          <w:rFonts w:ascii="Times New Roman" w:hAnsi="Times New Roman" w:cs="Times New Roman"/>
          <w:sz w:val="23"/>
          <w:szCs w:val="23"/>
        </w:rPr>
        <w:t xml:space="preserve"> </w:t>
      </w:r>
    </w:p>
    <w:p w14:paraId="072AA589" w14:textId="6B84AF07" w:rsidR="00B63043" w:rsidRPr="00D318C5" w:rsidRDefault="00126888" w:rsidP="000C73B6">
      <w:pPr>
        <w:pStyle w:val="ListParagraph"/>
        <w:numPr>
          <w:ilvl w:val="0"/>
          <w:numId w:val="7"/>
        </w:numPr>
        <w:spacing w:after="120" w:line="276" w:lineRule="auto"/>
        <w:ind w:left="357" w:hanging="357"/>
        <w:contextualSpacing w:val="0"/>
        <w:jc w:val="both"/>
        <w:rPr>
          <w:rFonts w:ascii="Times New Roman" w:hAnsi="Times New Roman"/>
          <w:sz w:val="23"/>
          <w:szCs w:val="23"/>
        </w:rPr>
      </w:pPr>
      <w:r w:rsidRPr="00D318C5">
        <w:rPr>
          <w:rFonts w:ascii="Times New Roman" w:hAnsi="Times New Roman"/>
          <w:b/>
          <w:sz w:val="23"/>
          <w:szCs w:val="23"/>
        </w:rPr>
        <w:t xml:space="preserve">An </w:t>
      </w:r>
      <w:r w:rsidR="006E3588" w:rsidRPr="00D318C5">
        <w:rPr>
          <w:rFonts w:ascii="Times New Roman" w:hAnsi="Times New Roman"/>
          <w:b/>
          <w:sz w:val="23"/>
          <w:szCs w:val="23"/>
        </w:rPr>
        <w:t xml:space="preserve">assessment </w:t>
      </w:r>
      <w:r w:rsidR="00511888" w:rsidRPr="00D318C5">
        <w:rPr>
          <w:rFonts w:ascii="Times New Roman" w:hAnsi="Times New Roman"/>
          <w:b/>
          <w:sz w:val="23"/>
          <w:szCs w:val="23"/>
        </w:rPr>
        <w:t xml:space="preserve">and political economy analysis </w:t>
      </w:r>
      <w:r w:rsidR="00336E3D" w:rsidRPr="00D318C5">
        <w:rPr>
          <w:rFonts w:ascii="Times New Roman" w:hAnsi="Times New Roman"/>
          <w:b/>
          <w:sz w:val="23"/>
          <w:szCs w:val="23"/>
        </w:rPr>
        <w:t>of</w:t>
      </w:r>
      <w:r w:rsidR="00B63043" w:rsidRPr="00D318C5">
        <w:rPr>
          <w:rFonts w:ascii="Times New Roman" w:hAnsi="Times New Roman"/>
          <w:b/>
          <w:sz w:val="23"/>
          <w:szCs w:val="23"/>
        </w:rPr>
        <w:t>:</w:t>
      </w:r>
    </w:p>
    <w:p w14:paraId="17F8EE46" w14:textId="1761CDE4" w:rsidR="00336E3D" w:rsidRPr="00D318C5" w:rsidRDefault="00336E3D" w:rsidP="00771218">
      <w:pPr>
        <w:pStyle w:val="ListParagraph"/>
        <w:numPr>
          <w:ilvl w:val="0"/>
          <w:numId w:val="15"/>
        </w:numPr>
        <w:spacing w:line="276" w:lineRule="auto"/>
        <w:jc w:val="both"/>
        <w:rPr>
          <w:rFonts w:ascii="Times New Roman" w:hAnsi="Times New Roman"/>
          <w:b/>
          <w:sz w:val="23"/>
          <w:szCs w:val="23"/>
        </w:rPr>
      </w:pPr>
      <w:r w:rsidRPr="00D318C5">
        <w:rPr>
          <w:rFonts w:ascii="Times New Roman" w:hAnsi="Times New Roman"/>
          <w:b/>
          <w:sz w:val="23"/>
          <w:szCs w:val="23"/>
        </w:rPr>
        <w:t>T</w:t>
      </w:r>
      <w:r w:rsidR="00771218" w:rsidRPr="00D318C5">
        <w:rPr>
          <w:rFonts w:ascii="Times New Roman" w:hAnsi="Times New Roman"/>
          <w:b/>
          <w:sz w:val="23"/>
          <w:szCs w:val="23"/>
        </w:rPr>
        <w:t>he borrower country</w:t>
      </w:r>
      <w:r w:rsidR="005B1403" w:rsidRPr="00D318C5">
        <w:rPr>
          <w:rFonts w:ascii="Times New Roman" w:hAnsi="Times New Roman"/>
          <w:b/>
          <w:sz w:val="23"/>
          <w:szCs w:val="23"/>
        </w:rPr>
        <w:t>’s</w:t>
      </w:r>
      <w:r w:rsidR="00771218" w:rsidRPr="00D318C5">
        <w:rPr>
          <w:rFonts w:ascii="Times New Roman" w:hAnsi="Times New Roman"/>
          <w:b/>
          <w:sz w:val="23"/>
          <w:szCs w:val="23"/>
        </w:rPr>
        <w:t xml:space="preserve"> legal, policy and institutional framework governing tenure (including customary and traditional law), gaps and weaknesses, if any, between them and these safeguard measures</w:t>
      </w:r>
      <w:r w:rsidR="00114235" w:rsidRPr="00D318C5">
        <w:rPr>
          <w:rFonts w:ascii="Times New Roman" w:hAnsi="Times New Roman"/>
          <w:b/>
          <w:sz w:val="23"/>
          <w:szCs w:val="23"/>
        </w:rPr>
        <w:t xml:space="preserve"> and international obligations</w:t>
      </w:r>
      <w:r w:rsidR="00771218" w:rsidRPr="00D318C5">
        <w:rPr>
          <w:rFonts w:ascii="Times New Roman" w:hAnsi="Times New Roman"/>
          <w:b/>
          <w:sz w:val="23"/>
          <w:szCs w:val="23"/>
        </w:rPr>
        <w:t>, and the mechanisms required to bridge such gaps</w:t>
      </w:r>
      <w:r w:rsidR="002903FF" w:rsidRPr="00D318C5">
        <w:rPr>
          <w:rFonts w:ascii="Times New Roman" w:hAnsi="Times New Roman"/>
          <w:b/>
          <w:sz w:val="23"/>
          <w:szCs w:val="23"/>
        </w:rPr>
        <w:t xml:space="preserve"> to give effect to </w:t>
      </w:r>
      <w:r w:rsidR="00D327F8">
        <w:rPr>
          <w:rFonts w:ascii="Times New Roman" w:hAnsi="Times New Roman"/>
          <w:b/>
          <w:sz w:val="23"/>
          <w:szCs w:val="23"/>
        </w:rPr>
        <w:t xml:space="preserve">the </w:t>
      </w:r>
      <w:r w:rsidR="002903FF" w:rsidRPr="00D318C5">
        <w:rPr>
          <w:rFonts w:ascii="Times New Roman" w:hAnsi="Times New Roman"/>
          <w:b/>
          <w:sz w:val="23"/>
          <w:szCs w:val="23"/>
        </w:rPr>
        <w:t>objectives of these safeguard measures</w:t>
      </w:r>
      <w:r w:rsidR="00771218" w:rsidRPr="00D318C5">
        <w:rPr>
          <w:rFonts w:ascii="Times New Roman" w:hAnsi="Times New Roman"/>
          <w:b/>
          <w:sz w:val="23"/>
          <w:szCs w:val="23"/>
        </w:rPr>
        <w:t xml:space="preserve">. </w:t>
      </w:r>
      <w:r w:rsidRPr="00D318C5">
        <w:rPr>
          <w:rFonts w:ascii="Times New Roman" w:hAnsi="Times New Roman"/>
          <w:sz w:val="23"/>
          <w:szCs w:val="23"/>
        </w:rPr>
        <w:t>If affected persons include communities whose tenure is governed by customary systems, the customary laws, clan structures, lineage systems, and decision-making processes need to be understood, recorded and recognized in the design of the project and project-specific safeguard measures.</w:t>
      </w:r>
      <w:r w:rsidRPr="00D318C5">
        <w:rPr>
          <w:rStyle w:val="FootnoteReference"/>
          <w:rFonts w:ascii="Times New Roman" w:hAnsi="Times New Roman"/>
          <w:sz w:val="23"/>
          <w:szCs w:val="23"/>
        </w:rPr>
        <w:footnoteReference w:id="9"/>
      </w:r>
      <w:r w:rsidRPr="00D318C5">
        <w:rPr>
          <w:rFonts w:ascii="Times New Roman" w:hAnsi="Times New Roman"/>
          <w:sz w:val="23"/>
          <w:szCs w:val="23"/>
        </w:rPr>
        <w:t xml:space="preserve"> </w:t>
      </w:r>
    </w:p>
    <w:p w14:paraId="73B6713F" w14:textId="064E548D" w:rsidR="00336E3D" w:rsidRPr="00D318C5" w:rsidRDefault="00336E3D" w:rsidP="00771218">
      <w:pPr>
        <w:pStyle w:val="ListParagraph"/>
        <w:numPr>
          <w:ilvl w:val="0"/>
          <w:numId w:val="15"/>
        </w:numPr>
        <w:spacing w:line="276" w:lineRule="auto"/>
        <w:jc w:val="both"/>
        <w:rPr>
          <w:rFonts w:ascii="Times New Roman" w:hAnsi="Times New Roman"/>
          <w:b/>
          <w:sz w:val="23"/>
          <w:szCs w:val="23"/>
        </w:rPr>
      </w:pPr>
      <w:r w:rsidRPr="00D318C5">
        <w:rPr>
          <w:rFonts w:ascii="Times New Roman" w:hAnsi="Times New Roman"/>
          <w:b/>
          <w:sz w:val="23"/>
          <w:szCs w:val="23"/>
        </w:rPr>
        <w:t xml:space="preserve">The ability of </w:t>
      </w:r>
      <w:r w:rsidR="002903FF" w:rsidRPr="00D318C5">
        <w:rPr>
          <w:rFonts w:ascii="Times New Roman" w:hAnsi="Times New Roman"/>
          <w:b/>
          <w:sz w:val="23"/>
          <w:szCs w:val="23"/>
        </w:rPr>
        <w:t xml:space="preserve">potentially </w:t>
      </w:r>
      <w:r w:rsidRPr="00D318C5">
        <w:rPr>
          <w:rFonts w:ascii="Times New Roman" w:hAnsi="Times New Roman"/>
          <w:b/>
          <w:sz w:val="23"/>
          <w:szCs w:val="23"/>
        </w:rPr>
        <w:t xml:space="preserve">affected persons to access the court system or alternative dispute resolution mechanisms and use them effectively to defend their </w:t>
      </w:r>
      <w:r w:rsidR="002903FF" w:rsidRPr="00D318C5">
        <w:rPr>
          <w:rFonts w:ascii="Times New Roman" w:hAnsi="Times New Roman"/>
          <w:b/>
          <w:sz w:val="23"/>
          <w:szCs w:val="23"/>
        </w:rPr>
        <w:t xml:space="preserve">tenure </w:t>
      </w:r>
      <w:r w:rsidRPr="00D318C5">
        <w:rPr>
          <w:rFonts w:ascii="Times New Roman" w:hAnsi="Times New Roman"/>
          <w:b/>
          <w:sz w:val="23"/>
          <w:szCs w:val="23"/>
        </w:rPr>
        <w:t xml:space="preserve">rights and interests, including against the State. </w:t>
      </w:r>
    </w:p>
    <w:p w14:paraId="54E81A12" w14:textId="4FC744CD" w:rsidR="00771218" w:rsidRPr="00D318C5" w:rsidRDefault="00336E3D" w:rsidP="00771218">
      <w:pPr>
        <w:pStyle w:val="ListParagraph"/>
        <w:numPr>
          <w:ilvl w:val="0"/>
          <w:numId w:val="15"/>
        </w:numPr>
        <w:spacing w:line="276" w:lineRule="auto"/>
        <w:jc w:val="both"/>
        <w:rPr>
          <w:rFonts w:ascii="Times New Roman" w:hAnsi="Times New Roman"/>
          <w:b/>
          <w:sz w:val="23"/>
          <w:szCs w:val="23"/>
        </w:rPr>
      </w:pPr>
      <w:r w:rsidRPr="00D318C5">
        <w:rPr>
          <w:rFonts w:ascii="Times New Roman" w:hAnsi="Times New Roman"/>
          <w:b/>
          <w:sz w:val="23"/>
          <w:szCs w:val="23"/>
        </w:rPr>
        <w:t xml:space="preserve">Whether </w:t>
      </w:r>
      <w:r w:rsidR="008052C8" w:rsidRPr="00D318C5">
        <w:rPr>
          <w:rFonts w:ascii="Times New Roman" w:hAnsi="Times New Roman"/>
          <w:b/>
          <w:sz w:val="23"/>
          <w:szCs w:val="23"/>
        </w:rPr>
        <w:t xml:space="preserve">tenure </w:t>
      </w:r>
      <w:r w:rsidRPr="00D318C5">
        <w:rPr>
          <w:rFonts w:ascii="Times New Roman" w:hAnsi="Times New Roman"/>
          <w:b/>
          <w:sz w:val="23"/>
          <w:szCs w:val="23"/>
        </w:rPr>
        <w:t>systems and laws discriminate against women or other marginalized groups, and measures needed to reverse this discrimination</w:t>
      </w:r>
      <w:r w:rsidR="002903FF" w:rsidRPr="00D318C5">
        <w:rPr>
          <w:rFonts w:ascii="Times New Roman" w:hAnsi="Times New Roman"/>
          <w:b/>
          <w:sz w:val="23"/>
          <w:szCs w:val="23"/>
        </w:rPr>
        <w:t>,</w:t>
      </w:r>
      <w:r w:rsidRPr="00D318C5">
        <w:rPr>
          <w:rFonts w:ascii="Times New Roman" w:hAnsi="Times New Roman"/>
          <w:b/>
          <w:sz w:val="23"/>
          <w:szCs w:val="23"/>
        </w:rPr>
        <w:t xml:space="preserve"> which should be explored in cooperation with the community, and particularly the marginalized group. </w:t>
      </w:r>
    </w:p>
    <w:p w14:paraId="7FE8299E" w14:textId="65F52AE4" w:rsidR="000C73B6" w:rsidRPr="00D318C5" w:rsidRDefault="00336E3D" w:rsidP="000C73B6">
      <w:pPr>
        <w:pStyle w:val="ListParagraph"/>
        <w:numPr>
          <w:ilvl w:val="0"/>
          <w:numId w:val="15"/>
        </w:numPr>
        <w:spacing w:after="120" w:line="276" w:lineRule="auto"/>
        <w:ind w:left="1077" w:hanging="357"/>
        <w:contextualSpacing w:val="0"/>
        <w:jc w:val="both"/>
        <w:rPr>
          <w:rFonts w:ascii="Times New Roman" w:hAnsi="Times New Roman"/>
          <w:b/>
          <w:sz w:val="23"/>
          <w:szCs w:val="23"/>
        </w:rPr>
      </w:pPr>
      <w:r w:rsidRPr="00D318C5">
        <w:rPr>
          <w:rFonts w:ascii="Times New Roman" w:hAnsi="Times New Roman"/>
          <w:b/>
          <w:sz w:val="23"/>
          <w:szCs w:val="23"/>
        </w:rPr>
        <w:t>Any o</w:t>
      </w:r>
      <w:r w:rsidR="00771218" w:rsidRPr="00D318C5">
        <w:rPr>
          <w:rFonts w:ascii="Times New Roman" w:hAnsi="Times New Roman"/>
          <w:b/>
          <w:sz w:val="23"/>
          <w:szCs w:val="23"/>
        </w:rPr>
        <w:t xml:space="preserve">ther </w:t>
      </w:r>
      <w:r w:rsidRPr="00D318C5">
        <w:rPr>
          <w:rFonts w:ascii="Times New Roman" w:hAnsi="Times New Roman"/>
          <w:b/>
          <w:sz w:val="23"/>
          <w:szCs w:val="23"/>
        </w:rPr>
        <w:t xml:space="preserve">contextual </w:t>
      </w:r>
      <w:r w:rsidR="00771218" w:rsidRPr="00D318C5">
        <w:rPr>
          <w:rFonts w:ascii="Times New Roman" w:hAnsi="Times New Roman"/>
          <w:b/>
          <w:sz w:val="23"/>
          <w:szCs w:val="23"/>
        </w:rPr>
        <w:t xml:space="preserve">information needed to inform the </w:t>
      </w:r>
      <w:r w:rsidRPr="00D318C5">
        <w:rPr>
          <w:rFonts w:ascii="Times New Roman" w:hAnsi="Times New Roman"/>
          <w:b/>
          <w:sz w:val="23"/>
          <w:szCs w:val="23"/>
        </w:rPr>
        <w:t xml:space="preserve">project </w:t>
      </w:r>
      <w:r w:rsidR="00771218" w:rsidRPr="00D318C5">
        <w:rPr>
          <w:rFonts w:ascii="Times New Roman" w:hAnsi="Times New Roman"/>
          <w:b/>
          <w:sz w:val="23"/>
          <w:szCs w:val="23"/>
        </w:rPr>
        <w:t xml:space="preserve">design </w:t>
      </w:r>
      <w:r w:rsidRPr="00D318C5">
        <w:rPr>
          <w:rFonts w:ascii="Times New Roman" w:hAnsi="Times New Roman"/>
          <w:b/>
          <w:sz w:val="23"/>
          <w:szCs w:val="23"/>
        </w:rPr>
        <w:t>in order</w:t>
      </w:r>
      <w:r w:rsidR="00771218" w:rsidRPr="00D318C5">
        <w:rPr>
          <w:rFonts w:ascii="Times New Roman" w:hAnsi="Times New Roman"/>
          <w:b/>
          <w:sz w:val="23"/>
          <w:szCs w:val="23"/>
        </w:rPr>
        <w:t xml:space="preserve"> to meet the objectives of these safeguard measures.</w:t>
      </w:r>
      <w:r w:rsidR="00771218" w:rsidRPr="00D318C5">
        <w:rPr>
          <w:rFonts w:ascii="Times New Roman" w:hAnsi="Times New Roman"/>
          <w:sz w:val="23"/>
          <w:szCs w:val="23"/>
        </w:rPr>
        <w:t xml:space="preserve"> </w:t>
      </w:r>
    </w:p>
    <w:p w14:paraId="59109AE7" w14:textId="68D52BD6" w:rsidR="00F77A03" w:rsidRPr="00D318C5" w:rsidRDefault="00F77A03" w:rsidP="00F77A03">
      <w:pPr>
        <w:pStyle w:val="ListParagraph"/>
        <w:spacing w:after="120" w:line="276" w:lineRule="auto"/>
        <w:ind w:left="360"/>
        <w:contextualSpacing w:val="0"/>
        <w:jc w:val="both"/>
        <w:rPr>
          <w:rFonts w:ascii="Times New Roman" w:hAnsi="Times New Roman"/>
          <w:b/>
          <w:sz w:val="23"/>
          <w:szCs w:val="23"/>
        </w:rPr>
      </w:pPr>
      <w:r w:rsidRPr="00D318C5">
        <w:rPr>
          <w:rFonts w:ascii="Times New Roman" w:hAnsi="Times New Roman"/>
          <w:b/>
          <w:sz w:val="23"/>
          <w:szCs w:val="23"/>
        </w:rPr>
        <w:t>Within this context, the assessment should then examine</w:t>
      </w:r>
      <w:r w:rsidR="003B2C71" w:rsidRPr="00D318C5">
        <w:rPr>
          <w:rFonts w:ascii="Times New Roman" w:hAnsi="Times New Roman"/>
          <w:b/>
          <w:sz w:val="23"/>
          <w:szCs w:val="23"/>
        </w:rPr>
        <w:t>:</w:t>
      </w:r>
      <w:r w:rsidR="00B85A3D" w:rsidRPr="00D318C5">
        <w:rPr>
          <w:rFonts w:ascii="Times New Roman" w:hAnsi="Times New Roman"/>
          <w:b/>
          <w:sz w:val="23"/>
          <w:szCs w:val="23"/>
        </w:rPr>
        <w:t xml:space="preserve"> </w:t>
      </w:r>
    </w:p>
    <w:p w14:paraId="301A98AC" w14:textId="77777777" w:rsidR="00F77A03" w:rsidRPr="00D318C5" w:rsidRDefault="00F77A03" w:rsidP="00F77A03">
      <w:pPr>
        <w:pStyle w:val="ListParagraph"/>
        <w:numPr>
          <w:ilvl w:val="0"/>
          <w:numId w:val="18"/>
        </w:numPr>
        <w:spacing w:line="276" w:lineRule="auto"/>
        <w:jc w:val="both"/>
        <w:rPr>
          <w:rFonts w:ascii="Times New Roman" w:hAnsi="Times New Roman"/>
          <w:b/>
          <w:sz w:val="23"/>
          <w:szCs w:val="23"/>
        </w:rPr>
      </w:pPr>
      <w:r w:rsidRPr="00D318C5">
        <w:rPr>
          <w:rFonts w:ascii="Times New Roman" w:hAnsi="Times New Roman"/>
          <w:b/>
          <w:sz w:val="23"/>
          <w:szCs w:val="23"/>
        </w:rPr>
        <w:t xml:space="preserve">How the proposed operation could impact on existing tenure systems, rights and arrangements, and particularly less secure forms of tenure not fully recognized or protected by law or in practice. </w:t>
      </w:r>
    </w:p>
    <w:p w14:paraId="075FB8EF" w14:textId="77777777" w:rsidR="00F77A03" w:rsidRPr="00D318C5" w:rsidRDefault="00F77A03" w:rsidP="00F77A03">
      <w:pPr>
        <w:pStyle w:val="ListParagraph"/>
        <w:numPr>
          <w:ilvl w:val="0"/>
          <w:numId w:val="18"/>
        </w:numPr>
        <w:spacing w:line="276" w:lineRule="auto"/>
        <w:jc w:val="both"/>
        <w:rPr>
          <w:rFonts w:ascii="Times New Roman" w:hAnsi="Times New Roman"/>
          <w:sz w:val="23"/>
          <w:szCs w:val="23"/>
        </w:rPr>
      </w:pPr>
      <w:r w:rsidRPr="00D318C5">
        <w:rPr>
          <w:rFonts w:ascii="Times New Roman" w:hAnsi="Times New Roman"/>
          <w:b/>
          <w:sz w:val="23"/>
          <w:szCs w:val="23"/>
        </w:rPr>
        <w:t>How the proposed operation could impact on people’s access to, use of and control over land, housing and natural resources.</w:t>
      </w:r>
    </w:p>
    <w:p w14:paraId="7E465002" w14:textId="77777777" w:rsidR="00F77A03" w:rsidRPr="00D318C5" w:rsidRDefault="00F77A03" w:rsidP="00F77A03">
      <w:pPr>
        <w:pStyle w:val="ListParagraph"/>
        <w:numPr>
          <w:ilvl w:val="0"/>
          <w:numId w:val="18"/>
        </w:numPr>
        <w:spacing w:line="276" w:lineRule="auto"/>
        <w:jc w:val="both"/>
        <w:rPr>
          <w:rFonts w:ascii="Times New Roman" w:hAnsi="Times New Roman"/>
          <w:sz w:val="23"/>
          <w:szCs w:val="23"/>
        </w:rPr>
      </w:pPr>
      <w:r w:rsidRPr="00D318C5">
        <w:rPr>
          <w:rFonts w:ascii="Times New Roman" w:hAnsi="Times New Roman"/>
          <w:b/>
          <w:sz w:val="23"/>
          <w:szCs w:val="23"/>
        </w:rPr>
        <w:t xml:space="preserve">The potential for the instigation or exacerbation of conflict over land or natural resources due to the proposed operation. </w:t>
      </w:r>
    </w:p>
    <w:p w14:paraId="2C59735F" w14:textId="77777777" w:rsidR="002A45D9" w:rsidRDefault="00F77A03" w:rsidP="002A45D9">
      <w:pPr>
        <w:pStyle w:val="ListParagraph"/>
        <w:numPr>
          <w:ilvl w:val="0"/>
          <w:numId w:val="18"/>
        </w:numPr>
        <w:spacing w:line="276" w:lineRule="auto"/>
        <w:contextualSpacing w:val="0"/>
        <w:jc w:val="both"/>
        <w:rPr>
          <w:rFonts w:ascii="Times New Roman" w:hAnsi="Times New Roman"/>
          <w:sz w:val="23"/>
          <w:szCs w:val="23"/>
        </w:rPr>
      </w:pPr>
      <w:r w:rsidRPr="00D318C5">
        <w:rPr>
          <w:rFonts w:ascii="Times New Roman" w:hAnsi="Times New Roman"/>
          <w:b/>
          <w:sz w:val="23"/>
          <w:szCs w:val="23"/>
        </w:rPr>
        <w:t xml:space="preserve">The implications of these impacts for the enjoyment of human rights, including the rights to housing, food, non-discrimination and equal protection of the law.  </w:t>
      </w:r>
      <w:r w:rsidRPr="00D318C5">
        <w:rPr>
          <w:rFonts w:ascii="Times New Roman" w:hAnsi="Times New Roman"/>
          <w:sz w:val="23"/>
          <w:szCs w:val="23"/>
        </w:rPr>
        <w:t>This will require an examination of current land use patterns in the project area and how they support livelihoods</w:t>
      </w:r>
      <w:r w:rsidR="000C73B6" w:rsidRPr="00D318C5">
        <w:rPr>
          <w:rFonts w:ascii="Times New Roman" w:hAnsi="Times New Roman"/>
          <w:sz w:val="23"/>
          <w:szCs w:val="23"/>
        </w:rPr>
        <w:t>, housing, food security</w:t>
      </w:r>
      <w:r w:rsidRPr="00D318C5">
        <w:rPr>
          <w:rFonts w:ascii="Times New Roman" w:hAnsi="Times New Roman"/>
          <w:sz w:val="23"/>
          <w:szCs w:val="23"/>
        </w:rPr>
        <w:t xml:space="preserve"> and other aspects of household and community life.  It will also require a </w:t>
      </w:r>
      <w:r w:rsidRPr="00D318C5">
        <w:rPr>
          <w:rFonts w:ascii="Times New Roman" w:hAnsi="Times New Roman"/>
          <w:b/>
          <w:sz w:val="23"/>
          <w:szCs w:val="23"/>
        </w:rPr>
        <w:t xml:space="preserve">screening </w:t>
      </w:r>
      <w:r w:rsidR="000C73B6" w:rsidRPr="00D318C5">
        <w:rPr>
          <w:rFonts w:ascii="Times New Roman" w:hAnsi="Times New Roman"/>
          <w:b/>
          <w:sz w:val="23"/>
          <w:szCs w:val="23"/>
        </w:rPr>
        <w:t>for</w:t>
      </w:r>
      <w:r w:rsidR="00B70015" w:rsidRPr="00D318C5">
        <w:rPr>
          <w:rFonts w:ascii="Times New Roman" w:hAnsi="Times New Roman"/>
          <w:b/>
          <w:sz w:val="23"/>
          <w:szCs w:val="23"/>
        </w:rPr>
        <w:t xml:space="preserve"> vulnerable</w:t>
      </w:r>
      <w:r w:rsidR="000C73B6" w:rsidRPr="00D318C5">
        <w:rPr>
          <w:rFonts w:ascii="Times New Roman" w:hAnsi="Times New Roman"/>
          <w:b/>
          <w:sz w:val="23"/>
          <w:szCs w:val="23"/>
        </w:rPr>
        <w:t xml:space="preserve"> and marginalized</w:t>
      </w:r>
      <w:r w:rsidR="00B70015" w:rsidRPr="00D318C5">
        <w:rPr>
          <w:rFonts w:ascii="Times New Roman" w:hAnsi="Times New Roman"/>
          <w:b/>
          <w:sz w:val="23"/>
          <w:szCs w:val="23"/>
        </w:rPr>
        <w:t xml:space="preserve"> groups</w:t>
      </w:r>
      <w:r w:rsidR="00B70015" w:rsidRPr="00D318C5">
        <w:rPr>
          <w:rFonts w:ascii="Times New Roman" w:hAnsi="Times New Roman"/>
          <w:sz w:val="23"/>
          <w:szCs w:val="23"/>
        </w:rPr>
        <w:t xml:space="preserve"> </w:t>
      </w:r>
      <w:r w:rsidR="00126888" w:rsidRPr="00D318C5">
        <w:rPr>
          <w:rFonts w:ascii="Times New Roman" w:hAnsi="Times New Roman"/>
          <w:sz w:val="23"/>
          <w:szCs w:val="23"/>
        </w:rPr>
        <w:t xml:space="preserve">whose existing tenure </w:t>
      </w:r>
      <w:r w:rsidR="00980A06" w:rsidRPr="00D318C5">
        <w:rPr>
          <w:rFonts w:ascii="Times New Roman" w:hAnsi="Times New Roman"/>
          <w:sz w:val="23"/>
          <w:szCs w:val="23"/>
        </w:rPr>
        <w:t xml:space="preserve">systems, </w:t>
      </w:r>
      <w:r w:rsidR="00126888" w:rsidRPr="00D318C5">
        <w:rPr>
          <w:rFonts w:ascii="Times New Roman" w:hAnsi="Times New Roman"/>
          <w:sz w:val="23"/>
          <w:szCs w:val="23"/>
        </w:rPr>
        <w:t>rights or</w:t>
      </w:r>
      <w:r w:rsidR="00A6317D" w:rsidRPr="00D318C5">
        <w:rPr>
          <w:rFonts w:ascii="Times New Roman" w:hAnsi="Times New Roman"/>
          <w:sz w:val="23"/>
          <w:szCs w:val="23"/>
        </w:rPr>
        <w:t xml:space="preserve"> arrangements could be weakened,</w:t>
      </w:r>
      <w:r w:rsidR="00126888" w:rsidRPr="00D318C5">
        <w:rPr>
          <w:rFonts w:ascii="Times New Roman" w:hAnsi="Times New Roman"/>
          <w:sz w:val="23"/>
          <w:szCs w:val="23"/>
        </w:rPr>
        <w:t xml:space="preserve"> infringed </w:t>
      </w:r>
      <w:r w:rsidR="00A6317D" w:rsidRPr="00D318C5">
        <w:rPr>
          <w:rFonts w:ascii="Times New Roman" w:hAnsi="Times New Roman"/>
          <w:sz w:val="23"/>
          <w:szCs w:val="23"/>
        </w:rPr>
        <w:t xml:space="preserve">or restricted </w:t>
      </w:r>
      <w:r w:rsidR="00AB3731" w:rsidRPr="00D318C5">
        <w:rPr>
          <w:rFonts w:ascii="Times New Roman" w:hAnsi="Times New Roman"/>
          <w:sz w:val="23"/>
          <w:szCs w:val="23"/>
        </w:rPr>
        <w:t xml:space="preserve">by the proposed </w:t>
      </w:r>
      <w:r w:rsidR="00BE51C5" w:rsidRPr="00D318C5">
        <w:rPr>
          <w:rFonts w:ascii="Times New Roman" w:hAnsi="Times New Roman"/>
          <w:sz w:val="23"/>
          <w:szCs w:val="23"/>
        </w:rPr>
        <w:t>operation</w:t>
      </w:r>
      <w:r w:rsidR="006C7BB5" w:rsidRPr="00D318C5">
        <w:rPr>
          <w:rFonts w:ascii="Times New Roman" w:hAnsi="Times New Roman"/>
          <w:sz w:val="23"/>
          <w:szCs w:val="23"/>
        </w:rPr>
        <w:t xml:space="preserve">. </w:t>
      </w:r>
      <w:r w:rsidR="00B70015" w:rsidRPr="00D318C5">
        <w:rPr>
          <w:rFonts w:ascii="Times New Roman" w:hAnsi="Times New Roman"/>
          <w:sz w:val="23"/>
          <w:szCs w:val="23"/>
        </w:rPr>
        <w:t xml:space="preserve">The particular impacts on women’s tenure rights and arrangements should be assessed, including </w:t>
      </w:r>
      <w:r w:rsidR="00F26ECA" w:rsidRPr="00D318C5">
        <w:rPr>
          <w:rFonts w:ascii="Times New Roman" w:hAnsi="Times New Roman"/>
          <w:sz w:val="23"/>
          <w:szCs w:val="23"/>
        </w:rPr>
        <w:t xml:space="preserve">through an </w:t>
      </w:r>
      <w:r w:rsidR="00B70015" w:rsidRPr="00D318C5">
        <w:rPr>
          <w:rFonts w:ascii="Times New Roman" w:hAnsi="Times New Roman"/>
          <w:sz w:val="23"/>
          <w:szCs w:val="23"/>
        </w:rPr>
        <w:t>identification of obstacles faced by women and girls in claiming secure tenure rights</w:t>
      </w:r>
      <w:r w:rsidR="00FE6B0C" w:rsidRPr="00D318C5">
        <w:rPr>
          <w:rFonts w:ascii="Times New Roman" w:hAnsi="Times New Roman"/>
          <w:sz w:val="23"/>
          <w:szCs w:val="23"/>
        </w:rPr>
        <w:t xml:space="preserve"> </w:t>
      </w:r>
      <w:r w:rsidR="00435B0C" w:rsidRPr="00D318C5">
        <w:rPr>
          <w:rFonts w:ascii="Times New Roman" w:hAnsi="Times New Roman"/>
          <w:sz w:val="23"/>
          <w:szCs w:val="23"/>
        </w:rPr>
        <w:t>to</w:t>
      </w:r>
      <w:r w:rsidR="00FE6B0C" w:rsidRPr="00D318C5">
        <w:rPr>
          <w:rFonts w:ascii="Times New Roman" w:hAnsi="Times New Roman"/>
          <w:sz w:val="23"/>
          <w:szCs w:val="23"/>
        </w:rPr>
        <w:t xml:space="preserve"> land, housing and natural resources</w:t>
      </w:r>
      <w:r w:rsidR="00B70015" w:rsidRPr="00D318C5">
        <w:rPr>
          <w:rFonts w:ascii="Times New Roman" w:hAnsi="Times New Roman"/>
          <w:sz w:val="23"/>
          <w:szCs w:val="23"/>
        </w:rPr>
        <w:t>.</w:t>
      </w:r>
    </w:p>
    <w:p w14:paraId="66214BF3" w14:textId="4C1C2016" w:rsidR="00F77A03" w:rsidRPr="002A45D9" w:rsidRDefault="002A45D9" w:rsidP="002A45D9">
      <w:pPr>
        <w:pStyle w:val="ListParagraph"/>
        <w:numPr>
          <w:ilvl w:val="0"/>
          <w:numId w:val="18"/>
        </w:numPr>
        <w:spacing w:after="360" w:line="276" w:lineRule="auto"/>
        <w:contextualSpacing w:val="0"/>
        <w:jc w:val="both"/>
        <w:rPr>
          <w:rFonts w:ascii="Times New Roman" w:hAnsi="Times New Roman"/>
          <w:sz w:val="23"/>
          <w:szCs w:val="23"/>
        </w:rPr>
      </w:pPr>
      <w:r w:rsidRPr="00724B52">
        <w:rPr>
          <w:rFonts w:ascii="Times New Roman" w:hAnsi="Times New Roman"/>
          <w:b/>
          <w:sz w:val="23"/>
          <w:szCs w:val="23"/>
        </w:rPr>
        <w:t>Alternative project designs and options, including a “no project option”, to ensure that potential adverse impacts on tenure of housing, land and natural resources are avoided and minimized to the fullest extent possible.</w:t>
      </w:r>
      <w:r w:rsidRPr="00724B52">
        <w:rPr>
          <w:rFonts w:ascii="Times New Roman" w:hAnsi="Times New Roman"/>
          <w:sz w:val="23"/>
          <w:szCs w:val="23"/>
        </w:rPr>
        <w:t xml:space="preserve"> </w:t>
      </w:r>
      <w:r w:rsidRPr="00724B52">
        <w:rPr>
          <w:rFonts w:ascii="Times New Roman" w:hAnsi="Times New Roman"/>
          <w:b/>
          <w:sz w:val="23"/>
          <w:szCs w:val="23"/>
        </w:rPr>
        <w:t>The exploration of alternative project designs should also seek to strengthen the tenure security of vulnerable and marginalized groups and promote more equitable use of, access to and control over land, housing and natural resources.</w:t>
      </w:r>
      <w:r w:rsidRPr="00724B52">
        <w:rPr>
          <w:rFonts w:ascii="Times New Roman" w:hAnsi="Times New Roman"/>
          <w:sz w:val="23"/>
          <w:szCs w:val="23"/>
        </w:rPr>
        <w:t xml:space="preserve"> The “no project option” should be given serious consideration where there is a high-risk of conflict over land and natural resources or that</w:t>
      </w:r>
      <w:r w:rsidRPr="00D318C5">
        <w:rPr>
          <w:rFonts w:ascii="Times New Roman" w:hAnsi="Times New Roman"/>
          <w:sz w:val="23"/>
          <w:szCs w:val="23"/>
        </w:rPr>
        <w:t xml:space="preserve"> the objectives of these safeguard measures will otherwise not be met. The assessment should be based on the views of a variety of stakeholders, with meaningful opportunities provided to expected affected persons to propose alternatives.</w:t>
      </w:r>
      <w:r w:rsidR="00B70015" w:rsidRPr="002A45D9">
        <w:rPr>
          <w:rFonts w:ascii="Times New Roman" w:hAnsi="Times New Roman"/>
          <w:sz w:val="23"/>
          <w:szCs w:val="23"/>
        </w:rPr>
        <w:t xml:space="preserve"> </w:t>
      </w:r>
    </w:p>
    <w:p w14:paraId="7913B06F" w14:textId="12EAFBCA" w:rsidR="006A0791" w:rsidRPr="00D318C5" w:rsidRDefault="00435B0C" w:rsidP="006A0791">
      <w:pPr>
        <w:pStyle w:val="ListParagraph"/>
        <w:spacing w:after="360" w:line="276" w:lineRule="auto"/>
        <w:ind w:left="357"/>
        <w:contextualSpacing w:val="0"/>
        <w:jc w:val="both"/>
        <w:rPr>
          <w:rFonts w:ascii="Times New Roman" w:hAnsi="Times New Roman"/>
          <w:sz w:val="23"/>
          <w:szCs w:val="23"/>
        </w:rPr>
      </w:pPr>
      <w:r w:rsidRPr="002A45D9">
        <w:rPr>
          <w:rFonts w:ascii="Times New Roman" w:hAnsi="Times New Roman"/>
          <w:b/>
          <w:sz w:val="23"/>
          <w:szCs w:val="23"/>
        </w:rPr>
        <w:t>The decision to proceed with the project and the design of the proposed project should reflect the findings of these assessments in order to meet the objectives of these safeguard measures.</w:t>
      </w:r>
      <w:r w:rsidRPr="002A45D9">
        <w:rPr>
          <w:rFonts w:ascii="Times New Roman" w:hAnsi="Times New Roman"/>
          <w:sz w:val="23"/>
          <w:szCs w:val="23"/>
        </w:rPr>
        <w:t xml:space="preserve"> The findings</w:t>
      </w:r>
      <w:r w:rsidRPr="00D318C5">
        <w:rPr>
          <w:rFonts w:ascii="Times New Roman" w:hAnsi="Times New Roman"/>
          <w:sz w:val="23"/>
          <w:szCs w:val="23"/>
        </w:rPr>
        <w:t xml:space="preserve"> of the assessments and analysis should be made </w:t>
      </w:r>
      <w:r w:rsidR="003B2C71" w:rsidRPr="00D318C5">
        <w:rPr>
          <w:rFonts w:ascii="Times New Roman" w:hAnsi="Times New Roman"/>
          <w:sz w:val="23"/>
          <w:szCs w:val="23"/>
        </w:rPr>
        <w:t>public</w:t>
      </w:r>
      <w:r w:rsidRPr="00D318C5">
        <w:rPr>
          <w:rFonts w:ascii="Times New Roman" w:hAnsi="Times New Roman"/>
          <w:sz w:val="23"/>
          <w:szCs w:val="23"/>
        </w:rPr>
        <w:t>.</w:t>
      </w:r>
    </w:p>
    <w:p w14:paraId="1BA048AB" w14:textId="1CC20175" w:rsidR="00126888" w:rsidRPr="00D318C5" w:rsidRDefault="00126888" w:rsidP="000C73B6">
      <w:pPr>
        <w:pStyle w:val="ListParagraph"/>
        <w:numPr>
          <w:ilvl w:val="0"/>
          <w:numId w:val="7"/>
        </w:numPr>
        <w:spacing w:after="360" w:line="276" w:lineRule="auto"/>
        <w:ind w:left="357"/>
        <w:contextualSpacing w:val="0"/>
        <w:jc w:val="both"/>
        <w:rPr>
          <w:rFonts w:ascii="Times New Roman" w:hAnsi="Times New Roman"/>
          <w:sz w:val="23"/>
          <w:szCs w:val="23"/>
        </w:rPr>
      </w:pPr>
      <w:r w:rsidRPr="00D318C5">
        <w:rPr>
          <w:rFonts w:ascii="Times New Roman" w:hAnsi="Times New Roman"/>
          <w:b/>
          <w:sz w:val="23"/>
          <w:szCs w:val="23"/>
        </w:rPr>
        <w:t xml:space="preserve">Meaningful consultation </w:t>
      </w:r>
      <w:r w:rsidR="00480E61" w:rsidRPr="00D318C5">
        <w:rPr>
          <w:rFonts w:ascii="Times New Roman" w:hAnsi="Times New Roman"/>
          <w:b/>
          <w:sz w:val="23"/>
          <w:szCs w:val="23"/>
        </w:rPr>
        <w:t xml:space="preserve">and active participation </w:t>
      </w:r>
      <w:r w:rsidRPr="00D318C5">
        <w:rPr>
          <w:rFonts w:ascii="Times New Roman" w:hAnsi="Times New Roman"/>
          <w:b/>
          <w:sz w:val="23"/>
          <w:szCs w:val="23"/>
        </w:rPr>
        <w:t xml:space="preserve">of </w:t>
      </w:r>
      <w:r w:rsidR="00EA36BC" w:rsidRPr="00D318C5">
        <w:rPr>
          <w:rFonts w:ascii="Times New Roman" w:hAnsi="Times New Roman"/>
          <w:b/>
          <w:sz w:val="23"/>
          <w:szCs w:val="23"/>
        </w:rPr>
        <w:t xml:space="preserve">affected persons </w:t>
      </w:r>
      <w:r w:rsidR="00AB3731" w:rsidRPr="00D318C5">
        <w:rPr>
          <w:rFonts w:ascii="Times New Roman" w:hAnsi="Times New Roman"/>
          <w:b/>
          <w:sz w:val="23"/>
          <w:szCs w:val="23"/>
        </w:rPr>
        <w:t xml:space="preserve">about the proposed </w:t>
      </w:r>
      <w:r w:rsidR="006F0361" w:rsidRPr="00D318C5">
        <w:rPr>
          <w:rFonts w:ascii="Times New Roman" w:hAnsi="Times New Roman"/>
          <w:b/>
          <w:sz w:val="23"/>
          <w:szCs w:val="23"/>
        </w:rPr>
        <w:t>operation;</w:t>
      </w:r>
      <w:r w:rsidRPr="00D318C5">
        <w:rPr>
          <w:rFonts w:ascii="Times New Roman" w:hAnsi="Times New Roman"/>
          <w:b/>
          <w:sz w:val="23"/>
          <w:szCs w:val="23"/>
        </w:rPr>
        <w:t xml:space="preserve"> its design</w:t>
      </w:r>
      <w:r w:rsidR="004508BD" w:rsidRPr="00D318C5">
        <w:rPr>
          <w:rFonts w:ascii="Times New Roman" w:hAnsi="Times New Roman"/>
          <w:b/>
          <w:sz w:val="23"/>
          <w:szCs w:val="23"/>
        </w:rPr>
        <w:t xml:space="preserve"> </w:t>
      </w:r>
      <w:r w:rsidRPr="00D318C5">
        <w:rPr>
          <w:rFonts w:ascii="Times New Roman" w:hAnsi="Times New Roman"/>
          <w:b/>
          <w:sz w:val="23"/>
          <w:szCs w:val="23"/>
        </w:rPr>
        <w:t xml:space="preserve">and </w:t>
      </w:r>
      <w:r w:rsidR="004508BD" w:rsidRPr="00D318C5">
        <w:rPr>
          <w:rFonts w:ascii="Times New Roman" w:hAnsi="Times New Roman"/>
          <w:b/>
          <w:sz w:val="23"/>
          <w:szCs w:val="23"/>
        </w:rPr>
        <w:t xml:space="preserve">its </w:t>
      </w:r>
      <w:r w:rsidRPr="00D318C5">
        <w:rPr>
          <w:rFonts w:ascii="Times New Roman" w:hAnsi="Times New Roman"/>
          <w:b/>
          <w:sz w:val="23"/>
          <w:szCs w:val="23"/>
        </w:rPr>
        <w:t>implementation</w:t>
      </w:r>
      <w:r w:rsidR="006F0361" w:rsidRPr="00D318C5">
        <w:rPr>
          <w:rFonts w:ascii="Times New Roman" w:hAnsi="Times New Roman"/>
          <w:b/>
          <w:sz w:val="23"/>
          <w:szCs w:val="23"/>
        </w:rPr>
        <w:t xml:space="preserve"> strategy;</w:t>
      </w:r>
      <w:r w:rsidRPr="00D318C5">
        <w:rPr>
          <w:rFonts w:ascii="Times New Roman" w:hAnsi="Times New Roman"/>
          <w:b/>
          <w:sz w:val="23"/>
          <w:szCs w:val="23"/>
        </w:rPr>
        <w:t xml:space="preserve"> </w:t>
      </w:r>
      <w:r w:rsidR="004D5D3B" w:rsidRPr="00D318C5">
        <w:rPr>
          <w:rFonts w:ascii="Times New Roman" w:hAnsi="Times New Roman"/>
          <w:b/>
          <w:sz w:val="23"/>
          <w:szCs w:val="23"/>
        </w:rPr>
        <w:t xml:space="preserve">potential adverse impacts </w:t>
      </w:r>
      <w:r w:rsidR="00A00262" w:rsidRPr="00D318C5">
        <w:rPr>
          <w:rFonts w:ascii="Times New Roman" w:hAnsi="Times New Roman"/>
          <w:b/>
          <w:sz w:val="23"/>
          <w:szCs w:val="23"/>
        </w:rPr>
        <w:t>on tenure</w:t>
      </w:r>
      <w:r w:rsidR="006F0361" w:rsidRPr="00D318C5">
        <w:rPr>
          <w:rFonts w:ascii="Times New Roman" w:hAnsi="Times New Roman"/>
          <w:b/>
          <w:sz w:val="23"/>
          <w:szCs w:val="23"/>
        </w:rPr>
        <w:t>;</w:t>
      </w:r>
      <w:r w:rsidR="00A00262" w:rsidRPr="00D318C5">
        <w:rPr>
          <w:rFonts w:ascii="Times New Roman" w:hAnsi="Times New Roman"/>
          <w:b/>
          <w:sz w:val="23"/>
          <w:szCs w:val="23"/>
        </w:rPr>
        <w:t xml:space="preserve"> </w:t>
      </w:r>
      <w:r w:rsidR="006F0361" w:rsidRPr="00D318C5">
        <w:rPr>
          <w:rFonts w:ascii="Times New Roman" w:hAnsi="Times New Roman"/>
          <w:b/>
          <w:sz w:val="23"/>
          <w:szCs w:val="23"/>
        </w:rPr>
        <w:t>and proposed safeguards to protect</w:t>
      </w:r>
      <w:r w:rsidRPr="00D318C5">
        <w:rPr>
          <w:rFonts w:ascii="Times New Roman" w:hAnsi="Times New Roman"/>
          <w:b/>
          <w:sz w:val="23"/>
          <w:szCs w:val="23"/>
        </w:rPr>
        <w:t xml:space="preserve"> against </w:t>
      </w:r>
      <w:r w:rsidR="006F0361" w:rsidRPr="00D318C5">
        <w:rPr>
          <w:rFonts w:ascii="Times New Roman" w:hAnsi="Times New Roman"/>
          <w:b/>
          <w:sz w:val="23"/>
          <w:szCs w:val="23"/>
        </w:rPr>
        <w:t xml:space="preserve">adverse </w:t>
      </w:r>
      <w:r w:rsidR="00A00262" w:rsidRPr="00D318C5">
        <w:rPr>
          <w:rFonts w:ascii="Times New Roman" w:hAnsi="Times New Roman"/>
          <w:b/>
          <w:sz w:val="23"/>
          <w:szCs w:val="23"/>
        </w:rPr>
        <w:t>impacts</w:t>
      </w:r>
      <w:r w:rsidR="00053F6E" w:rsidRPr="00D318C5">
        <w:rPr>
          <w:rFonts w:ascii="Times New Roman" w:hAnsi="Times New Roman"/>
          <w:b/>
          <w:sz w:val="23"/>
          <w:szCs w:val="23"/>
        </w:rPr>
        <w:t>,</w:t>
      </w:r>
      <w:r w:rsidR="006F0361" w:rsidRPr="00D318C5">
        <w:rPr>
          <w:rFonts w:ascii="Times New Roman" w:hAnsi="Times New Roman"/>
          <w:b/>
          <w:sz w:val="23"/>
          <w:szCs w:val="23"/>
        </w:rPr>
        <w:t xml:space="preserve"> strengthen tenure rights and improve</w:t>
      </w:r>
      <w:r w:rsidR="00A00262" w:rsidRPr="00D318C5">
        <w:rPr>
          <w:rFonts w:ascii="Times New Roman" w:hAnsi="Times New Roman"/>
          <w:b/>
          <w:sz w:val="23"/>
          <w:szCs w:val="23"/>
        </w:rPr>
        <w:t xml:space="preserve"> equitable access to land</w:t>
      </w:r>
      <w:r w:rsidR="00365AA5" w:rsidRPr="00D318C5">
        <w:rPr>
          <w:rFonts w:ascii="Times New Roman" w:hAnsi="Times New Roman"/>
          <w:b/>
          <w:sz w:val="23"/>
          <w:szCs w:val="23"/>
        </w:rPr>
        <w:t>, housing and natural resources</w:t>
      </w:r>
      <w:r w:rsidR="00ED29BE" w:rsidRPr="00D318C5">
        <w:rPr>
          <w:rFonts w:ascii="Times New Roman" w:hAnsi="Times New Roman"/>
          <w:b/>
          <w:sz w:val="23"/>
          <w:szCs w:val="23"/>
        </w:rPr>
        <w:t>.</w:t>
      </w:r>
      <w:r w:rsidR="00ED29BE" w:rsidRPr="00D318C5">
        <w:rPr>
          <w:rFonts w:ascii="Times New Roman" w:hAnsi="Times New Roman"/>
          <w:sz w:val="23"/>
          <w:szCs w:val="23"/>
        </w:rPr>
        <w:t xml:space="preserve"> </w:t>
      </w:r>
      <w:r w:rsidR="00480E61" w:rsidRPr="00D318C5">
        <w:rPr>
          <w:rFonts w:ascii="Times New Roman" w:hAnsi="Times New Roman"/>
          <w:sz w:val="23"/>
          <w:szCs w:val="23"/>
        </w:rPr>
        <w:t xml:space="preserve"> Affected people should have opportunities to actively participate from the earliest stages of the project so that they can set priorities, contribute ideas, express concerns and influence decision-making from the outset.  </w:t>
      </w:r>
      <w:r w:rsidR="00ED29BE" w:rsidRPr="00D318C5">
        <w:rPr>
          <w:rFonts w:ascii="Times New Roman" w:hAnsi="Times New Roman"/>
          <w:sz w:val="23"/>
          <w:szCs w:val="23"/>
        </w:rPr>
        <w:t>The findings of the assessments undertaken</w:t>
      </w:r>
      <w:r w:rsidR="00480E61" w:rsidRPr="00D318C5">
        <w:rPr>
          <w:rFonts w:ascii="Times New Roman" w:hAnsi="Times New Roman"/>
          <w:sz w:val="23"/>
          <w:szCs w:val="23"/>
        </w:rPr>
        <w:t xml:space="preserve"> should be made available</w:t>
      </w:r>
      <w:r w:rsidR="009D56C9" w:rsidRPr="00D318C5">
        <w:rPr>
          <w:rFonts w:ascii="Times New Roman" w:hAnsi="Times New Roman"/>
          <w:sz w:val="23"/>
          <w:szCs w:val="23"/>
        </w:rPr>
        <w:t xml:space="preserve"> in a form accessible to affected persons</w:t>
      </w:r>
      <w:r w:rsidR="00480E61" w:rsidRPr="00D318C5">
        <w:rPr>
          <w:rFonts w:ascii="Times New Roman" w:hAnsi="Times New Roman"/>
          <w:sz w:val="23"/>
          <w:szCs w:val="23"/>
        </w:rPr>
        <w:t xml:space="preserve"> to inform their active participation</w:t>
      </w:r>
      <w:r w:rsidR="00474BAC" w:rsidRPr="00D318C5">
        <w:rPr>
          <w:rFonts w:ascii="Times New Roman" w:hAnsi="Times New Roman"/>
          <w:sz w:val="23"/>
          <w:szCs w:val="23"/>
        </w:rPr>
        <w:t xml:space="preserve">. </w:t>
      </w:r>
      <w:r w:rsidR="00480E61" w:rsidRPr="00D318C5">
        <w:rPr>
          <w:rFonts w:ascii="Times New Roman" w:hAnsi="Times New Roman"/>
          <w:sz w:val="23"/>
          <w:szCs w:val="23"/>
        </w:rPr>
        <w:t xml:space="preserve"> </w:t>
      </w:r>
      <w:r w:rsidR="003918A9" w:rsidRPr="00D318C5">
        <w:rPr>
          <w:rFonts w:ascii="Times New Roman" w:hAnsi="Times New Roman"/>
          <w:sz w:val="23"/>
          <w:szCs w:val="23"/>
        </w:rPr>
        <w:t xml:space="preserve">In line with the Voluntary Guidelines on </w:t>
      </w:r>
      <w:r w:rsidR="00DB6CAD" w:rsidRPr="00D318C5">
        <w:rPr>
          <w:rFonts w:ascii="Times New Roman" w:hAnsi="Times New Roman"/>
          <w:sz w:val="23"/>
          <w:szCs w:val="23"/>
        </w:rPr>
        <w:t xml:space="preserve">the Responsible Governance of </w:t>
      </w:r>
      <w:r w:rsidR="003918A9" w:rsidRPr="00D318C5">
        <w:rPr>
          <w:rFonts w:ascii="Times New Roman" w:hAnsi="Times New Roman"/>
          <w:sz w:val="23"/>
          <w:szCs w:val="23"/>
        </w:rPr>
        <w:t xml:space="preserve">Tenure, </w:t>
      </w:r>
      <w:r w:rsidR="004B1DF7" w:rsidRPr="00D318C5">
        <w:rPr>
          <w:rFonts w:ascii="Times New Roman" w:hAnsi="Times New Roman"/>
          <w:sz w:val="23"/>
          <w:szCs w:val="23"/>
        </w:rPr>
        <w:t xml:space="preserve">the process of </w:t>
      </w:r>
      <w:r w:rsidR="003918A9" w:rsidRPr="00D318C5">
        <w:rPr>
          <w:rFonts w:ascii="Times New Roman" w:hAnsi="Times New Roman"/>
          <w:sz w:val="23"/>
          <w:szCs w:val="23"/>
        </w:rPr>
        <w:t>consultation should be understood as “engaging with and seeking the support of those who</w:t>
      </w:r>
      <w:r w:rsidR="008E65AD" w:rsidRPr="00D318C5">
        <w:rPr>
          <w:rFonts w:ascii="Times New Roman" w:hAnsi="Times New Roman"/>
          <w:sz w:val="23"/>
          <w:szCs w:val="23"/>
        </w:rPr>
        <w:t xml:space="preserve"> [</w:t>
      </w:r>
      <w:r w:rsidR="003918A9" w:rsidRPr="00D318C5">
        <w:rPr>
          <w:rFonts w:ascii="Times New Roman" w:hAnsi="Times New Roman"/>
          <w:sz w:val="23"/>
          <w:szCs w:val="23"/>
        </w:rPr>
        <w:t>…</w:t>
      </w:r>
      <w:r w:rsidR="008E65AD" w:rsidRPr="00D318C5">
        <w:rPr>
          <w:rFonts w:ascii="Times New Roman" w:hAnsi="Times New Roman"/>
          <w:sz w:val="23"/>
          <w:szCs w:val="23"/>
        </w:rPr>
        <w:t xml:space="preserve">] </w:t>
      </w:r>
      <w:r w:rsidR="003918A9" w:rsidRPr="00D318C5">
        <w:rPr>
          <w:rFonts w:ascii="Times New Roman" w:hAnsi="Times New Roman"/>
          <w:sz w:val="23"/>
          <w:szCs w:val="23"/>
        </w:rPr>
        <w:t>could be affected by decisions, prior to decisions being taken</w:t>
      </w:r>
      <w:r w:rsidR="00BF0BB4" w:rsidRPr="00D318C5">
        <w:rPr>
          <w:rFonts w:ascii="Times New Roman" w:hAnsi="Times New Roman"/>
          <w:sz w:val="23"/>
          <w:szCs w:val="23"/>
        </w:rPr>
        <w:t>, and responding to their contributions; taking into consideration existing power imbalances between different parties and ensuring active, free, effective, meaningful and informed participation of individuals and groups in associated decision-making processes.”</w:t>
      </w:r>
      <w:r w:rsidR="004B1DF7" w:rsidRPr="00D318C5">
        <w:rPr>
          <w:rStyle w:val="FootnoteReference"/>
          <w:rFonts w:ascii="Times New Roman" w:hAnsi="Times New Roman"/>
          <w:sz w:val="23"/>
          <w:szCs w:val="23"/>
        </w:rPr>
        <w:footnoteReference w:id="10"/>
      </w:r>
      <w:r w:rsidR="003918A9" w:rsidRPr="00D318C5">
        <w:rPr>
          <w:rFonts w:ascii="Times New Roman" w:hAnsi="Times New Roman"/>
          <w:sz w:val="23"/>
          <w:szCs w:val="23"/>
        </w:rPr>
        <w:t xml:space="preserve"> </w:t>
      </w:r>
      <w:r w:rsidR="007F7794" w:rsidRPr="00D318C5">
        <w:rPr>
          <w:rFonts w:ascii="Times New Roman" w:hAnsi="Times New Roman"/>
          <w:sz w:val="23"/>
          <w:szCs w:val="23"/>
        </w:rPr>
        <w:t xml:space="preserve">Particular efforts should be made to ensure that women are able to </w:t>
      </w:r>
      <w:r w:rsidR="00BA07F5" w:rsidRPr="00D318C5">
        <w:rPr>
          <w:rFonts w:ascii="Times New Roman" w:hAnsi="Times New Roman"/>
          <w:sz w:val="23"/>
          <w:szCs w:val="23"/>
        </w:rPr>
        <w:t xml:space="preserve">actively </w:t>
      </w:r>
      <w:r w:rsidR="007F7794" w:rsidRPr="00D318C5">
        <w:rPr>
          <w:rFonts w:ascii="Times New Roman" w:hAnsi="Times New Roman"/>
          <w:sz w:val="23"/>
          <w:szCs w:val="23"/>
        </w:rPr>
        <w:t>participate in and contribute to consultation processes</w:t>
      </w:r>
      <w:r w:rsidR="003A1D6D" w:rsidRPr="00D318C5">
        <w:rPr>
          <w:rFonts w:ascii="Times New Roman" w:hAnsi="Times New Roman"/>
          <w:sz w:val="23"/>
          <w:szCs w:val="23"/>
        </w:rPr>
        <w:t xml:space="preserve"> and that their views are taken into account</w:t>
      </w:r>
      <w:r w:rsidR="007F7794" w:rsidRPr="00D318C5">
        <w:rPr>
          <w:rFonts w:ascii="Times New Roman" w:hAnsi="Times New Roman"/>
          <w:sz w:val="23"/>
          <w:szCs w:val="23"/>
        </w:rPr>
        <w:t xml:space="preserve">. </w:t>
      </w:r>
      <w:r w:rsidR="009D5527" w:rsidRPr="00D318C5">
        <w:rPr>
          <w:rFonts w:ascii="Times New Roman" w:hAnsi="Times New Roman"/>
          <w:sz w:val="23"/>
          <w:szCs w:val="23"/>
        </w:rPr>
        <w:t>Any proposed operation</w:t>
      </w:r>
      <w:r w:rsidR="00A83D0B" w:rsidRPr="00D318C5">
        <w:rPr>
          <w:rFonts w:ascii="Times New Roman" w:hAnsi="Times New Roman"/>
          <w:sz w:val="23"/>
          <w:szCs w:val="23"/>
        </w:rPr>
        <w:t xml:space="preserve"> that</w:t>
      </w:r>
      <w:r w:rsidR="00AF174D" w:rsidRPr="00D318C5">
        <w:rPr>
          <w:rFonts w:ascii="Times New Roman" w:hAnsi="Times New Roman"/>
          <w:sz w:val="23"/>
          <w:szCs w:val="23"/>
        </w:rPr>
        <w:t xml:space="preserve"> </w:t>
      </w:r>
      <w:r w:rsidR="009D5527" w:rsidRPr="00D318C5">
        <w:rPr>
          <w:rFonts w:ascii="Times New Roman" w:hAnsi="Times New Roman"/>
          <w:sz w:val="23"/>
          <w:szCs w:val="23"/>
        </w:rPr>
        <w:t>affect</w:t>
      </w:r>
      <w:r w:rsidR="00A83D0B" w:rsidRPr="00D318C5">
        <w:rPr>
          <w:rFonts w:ascii="Times New Roman" w:hAnsi="Times New Roman"/>
          <w:sz w:val="23"/>
          <w:szCs w:val="23"/>
        </w:rPr>
        <w:t>s</w:t>
      </w:r>
      <w:r w:rsidR="008D25A3" w:rsidRPr="00D318C5">
        <w:rPr>
          <w:rFonts w:ascii="Times New Roman" w:hAnsi="Times New Roman"/>
          <w:sz w:val="23"/>
          <w:szCs w:val="23"/>
        </w:rPr>
        <w:t xml:space="preserve"> t</w:t>
      </w:r>
      <w:r w:rsidR="00977956">
        <w:rPr>
          <w:rFonts w:ascii="Times New Roman" w:hAnsi="Times New Roman"/>
          <w:sz w:val="23"/>
          <w:szCs w:val="23"/>
        </w:rPr>
        <w:t>he tenure of indigenous</w:t>
      </w:r>
      <w:r w:rsidR="002A3B99" w:rsidRPr="00D318C5">
        <w:rPr>
          <w:rFonts w:ascii="Times New Roman" w:hAnsi="Times New Roman"/>
          <w:sz w:val="23"/>
          <w:szCs w:val="23"/>
        </w:rPr>
        <w:t xml:space="preserve"> </w:t>
      </w:r>
      <w:r w:rsidR="009D5527" w:rsidRPr="00D318C5">
        <w:rPr>
          <w:rFonts w:ascii="Times New Roman" w:hAnsi="Times New Roman"/>
          <w:sz w:val="23"/>
          <w:szCs w:val="23"/>
        </w:rPr>
        <w:t>peoples</w:t>
      </w:r>
      <w:r w:rsidR="002A3B99" w:rsidRPr="00D318C5">
        <w:rPr>
          <w:rStyle w:val="FootnoteReference"/>
          <w:rFonts w:ascii="Times New Roman" w:hAnsi="Times New Roman"/>
          <w:sz w:val="23"/>
          <w:szCs w:val="23"/>
        </w:rPr>
        <w:footnoteReference w:id="11"/>
      </w:r>
      <w:r w:rsidR="002A3B99" w:rsidRPr="00D318C5">
        <w:rPr>
          <w:rFonts w:ascii="Times New Roman" w:hAnsi="Times New Roman"/>
          <w:sz w:val="23"/>
          <w:szCs w:val="23"/>
        </w:rPr>
        <w:t xml:space="preserve"> </w:t>
      </w:r>
      <w:r w:rsidR="009D5527" w:rsidRPr="00D318C5">
        <w:rPr>
          <w:rFonts w:ascii="Times New Roman" w:hAnsi="Times New Roman"/>
          <w:sz w:val="23"/>
          <w:szCs w:val="23"/>
        </w:rPr>
        <w:t>must</w:t>
      </w:r>
      <w:r w:rsidR="00174E9F" w:rsidRPr="00D318C5">
        <w:rPr>
          <w:rFonts w:ascii="Times New Roman" w:hAnsi="Times New Roman"/>
          <w:sz w:val="23"/>
          <w:szCs w:val="23"/>
        </w:rPr>
        <w:t>, in</w:t>
      </w:r>
      <w:r w:rsidR="008D25A3" w:rsidRPr="00D318C5">
        <w:rPr>
          <w:rFonts w:ascii="Times New Roman" w:hAnsi="Times New Roman"/>
          <w:sz w:val="23"/>
          <w:szCs w:val="23"/>
        </w:rPr>
        <w:t xml:space="preserve"> </w:t>
      </w:r>
      <w:r w:rsidR="00174E9F" w:rsidRPr="00D318C5">
        <w:rPr>
          <w:rFonts w:ascii="Times New Roman" w:hAnsi="Times New Roman"/>
          <w:sz w:val="23"/>
          <w:szCs w:val="23"/>
        </w:rPr>
        <w:t xml:space="preserve">addition to </w:t>
      </w:r>
      <w:r w:rsidR="008651D3" w:rsidRPr="00D318C5">
        <w:rPr>
          <w:rFonts w:ascii="Times New Roman" w:hAnsi="Times New Roman"/>
          <w:sz w:val="23"/>
          <w:szCs w:val="23"/>
        </w:rPr>
        <w:t xml:space="preserve">the full range of </w:t>
      </w:r>
      <w:r w:rsidR="00174E9F" w:rsidRPr="00D318C5">
        <w:rPr>
          <w:rFonts w:ascii="Times New Roman" w:hAnsi="Times New Roman"/>
          <w:sz w:val="23"/>
          <w:szCs w:val="23"/>
        </w:rPr>
        <w:t xml:space="preserve">other safeguard measures, </w:t>
      </w:r>
      <w:r w:rsidR="009D5527" w:rsidRPr="00D318C5">
        <w:rPr>
          <w:rFonts w:ascii="Times New Roman" w:hAnsi="Times New Roman"/>
          <w:sz w:val="23"/>
          <w:szCs w:val="23"/>
        </w:rPr>
        <w:t>respect their right to give or withhold</w:t>
      </w:r>
      <w:r w:rsidR="008D25A3" w:rsidRPr="00D318C5">
        <w:rPr>
          <w:rFonts w:ascii="Times New Roman" w:hAnsi="Times New Roman"/>
          <w:sz w:val="23"/>
          <w:szCs w:val="23"/>
        </w:rPr>
        <w:t xml:space="preserve"> their free, prior and informed consent.</w:t>
      </w:r>
      <w:r w:rsidR="008D25A3" w:rsidRPr="00D318C5">
        <w:rPr>
          <w:rStyle w:val="FootnoteReference"/>
          <w:rFonts w:ascii="Times New Roman" w:hAnsi="Times New Roman"/>
          <w:sz w:val="23"/>
          <w:szCs w:val="23"/>
        </w:rPr>
        <w:t xml:space="preserve"> </w:t>
      </w:r>
      <w:r w:rsidR="008D25A3" w:rsidRPr="00D318C5">
        <w:rPr>
          <w:rStyle w:val="FootnoteReference"/>
          <w:rFonts w:ascii="Times New Roman" w:hAnsi="Times New Roman"/>
          <w:sz w:val="23"/>
          <w:szCs w:val="23"/>
        </w:rPr>
        <w:footnoteReference w:id="12"/>
      </w:r>
      <w:r w:rsidR="008D25A3" w:rsidRPr="00D318C5">
        <w:rPr>
          <w:rStyle w:val="FootnoteReference"/>
          <w:rFonts w:ascii="Times New Roman" w:hAnsi="Times New Roman"/>
          <w:sz w:val="23"/>
          <w:szCs w:val="23"/>
        </w:rPr>
        <w:t xml:space="preserve"> </w:t>
      </w:r>
      <w:r w:rsidR="008D25A3" w:rsidRPr="00D318C5">
        <w:rPr>
          <w:rFonts w:ascii="Times New Roman" w:hAnsi="Times New Roman"/>
          <w:sz w:val="23"/>
          <w:szCs w:val="23"/>
        </w:rPr>
        <w:t xml:space="preserve"> </w:t>
      </w:r>
    </w:p>
    <w:p w14:paraId="5BDD34AD" w14:textId="5561851D" w:rsidR="00320C22" w:rsidRPr="00D318C5" w:rsidRDefault="00E4147B" w:rsidP="00A9026F">
      <w:pPr>
        <w:pStyle w:val="ListParagraph"/>
        <w:numPr>
          <w:ilvl w:val="0"/>
          <w:numId w:val="7"/>
        </w:numPr>
        <w:spacing w:after="360" w:line="276" w:lineRule="auto"/>
        <w:ind w:left="360"/>
        <w:contextualSpacing w:val="0"/>
        <w:jc w:val="both"/>
        <w:rPr>
          <w:rFonts w:ascii="Times New Roman" w:hAnsi="Times New Roman"/>
          <w:sz w:val="23"/>
          <w:szCs w:val="23"/>
        </w:rPr>
      </w:pPr>
      <w:r w:rsidRPr="00D318C5">
        <w:rPr>
          <w:rFonts w:ascii="Times New Roman" w:hAnsi="Times New Roman"/>
          <w:b/>
          <w:sz w:val="23"/>
          <w:szCs w:val="23"/>
        </w:rPr>
        <w:t>P</w:t>
      </w:r>
      <w:r w:rsidR="00126888" w:rsidRPr="00D318C5">
        <w:rPr>
          <w:rFonts w:ascii="Times New Roman" w:hAnsi="Times New Roman"/>
          <w:b/>
          <w:sz w:val="23"/>
          <w:szCs w:val="23"/>
        </w:rPr>
        <w:t xml:space="preserve">articipatory and transparent </w:t>
      </w:r>
      <w:r w:rsidR="001075CA" w:rsidRPr="00D318C5">
        <w:rPr>
          <w:rFonts w:ascii="Times New Roman" w:hAnsi="Times New Roman"/>
          <w:b/>
          <w:sz w:val="23"/>
          <w:szCs w:val="23"/>
        </w:rPr>
        <w:t xml:space="preserve">identification and </w:t>
      </w:r>
      <w:r w:rsidR="00126888" w:rsidRPr="00D318C5">
        <w:rPr>
          <w:rFonts w:ascii="Times New Roman" w:hAnsi="Times New Roman"/>
          <w:b/>
          <w:sz w:val="23"/>
          <w:szCs w:val="23"/>
        </w:rPr>
        <w:t xml:space="preserve">recording of </w:t>
      </w:r>
      <w:r w:rsidR="00D47DA1" w:rsidRPr="00D318C5">
        <w:rPr>
          <w:rFonts w:ascii="Times New Roman" w:hAnsi="Times New Roman"/>
          <w:b/>
          <w:sz w:val="23"/>
          <w:szCs w:val="23"/>
        </w:rPr>
        <w:t xml:space="preserve">all </w:t>
      </w:r>
      <w:r w:rsidR="00126888" w:rsidRPr="00D318C5">
        <w:rPr>
          <w:rFonts w:ascii="Times New Roman" w:hAnsi="Times New Roman"/>
          <w:b/>
          <w:sz w:val="23"/>
          <w:szCs w:val="23"/>
        </w:rPr>
        <w:t xml:space="preserve">existing </w:t>
      </w:r>
      <w:r w:rsidR="00943FA6" w:rsidRPr="00D318C5">
        <w:rPr>
          <w:rFonts w:ascii="Times New Roman" w:hAnsi="Times New Roman"/>
          <w:b/>
          <w:sz w:val="23"/>
          <w:szCs w:val="23"/>
        </w:rPr>
        <w:t xml:space="preserve">forms of </w:t>
      </w:r>
      <w:r w:rsidR="00126888" w:rsidRPr="00D318C5">
        <w:rPr>
          <w:rFonts w:ascii="Times New Roman" w:hAnsi="Times New Roman"/>
          <w:b/>
          <w:sz w:val="23"/>
          <w:szCs w:val="23"/>
        </w:rPr>
        <w:t>tenure</w:t>
      </w:r>
      <w:r w:rsidR="0074570B" w:rsidRPr="00D318C5">
        <w:rPr>
          <w:rFonts w:ascii="Times New Roman" w:hAnsi="Times New Roman"/>
          <w:b/>
          <w:sz w:val="23"/>
          <w:szCs w:val="23"/>
        </w:rPr>
        <w:t xml:space="preserve">, including </w:t>
      </w:r>
      <w:r w:rsidR="004F6F7B" w:rsidRPr="00D318C5">
        <w:rPr>
          <w:rFonts w:ascii="Times New Roman" w:hAnsi="Times New Roman"/>
          <w:b/>
          <w:sz w:val="23"/>
          <w:szCs w:val="23"/>
        </w:rPr>
        <w:t xml:space="preserve">tenancy </w:t>
      </w:r>
      <w:r w:rsidR="006D030C" w:rsidRPr="00D318C5">
        <w:rPr>
          <w:rFonts w:ascii="Times New Roman" w:hAnsi="Times New Roman"/>
          <w:b/>
          <w:sz w:val="23"/>
          <w:szCs w:val="23"/>
        </w:rPr>
        <w:t>a</w:t>
      </w:r>
      <w:r w:rsidR="004F6F7B" w:rsidRPr="00D318C5">
        <w:rPr>
          <w:rFonts w:ascii="Times New Roman" w:hAnsi="Times New Roman"/>
          <w:b/>
          <w:sz w:val="23"/>
          <w:szCs w:val="23"/>
        </w:rPr>
        <w:t xml:space="preserve">nd </w:t>
      </w:r>
      <w:r w:rsidR="0074570B" w:rsidRPr="00D318C5">
        <w:rPr>
          <w:rFonts w:ascii="Times New Roman" w:hAnsi="Times New Roman"/>
          <w:b/>
          <w:sz w:val="23"/>
          <w:szCs w:val="23"/>
        </w:rPr>
        <w:t>subsidiary</w:t>
      </w:r>
      <w:r w:rsidR="00F16F00" w:rsidRPr="00D318C5">
        <w:rPr>
          <w:rFonts w:ascii="Times New Roman" w:hAnsi="Times New Roman"/>
          <w:b/>
          <w:sz w:val="23"/>
          <w:szCs w:val="23"/>
        </w:rPr>
        <w:t xml:space="preserve"> </w:t>
      </w:r>
      <w:r w:rsidR="00165B4C" w:rsidRPr="00D318C5">
        <w:rPr>
          <w:rFonts w:ascii="Times New Roman" w:hAnsi="Times New Roman"/>
          <w:b/>
          <w:sz w:val="23"/>
          <w:szCs w:val="23"/>
        </w:rPr>
        <w:t xml:space="preserve">use and access </w:t>
      </w:r>
      <w:r w:rsidR="00F16F00" w:rsidRPr="00D318C5">
        <w:rPr>
          <w:rFonts w:ascii="Times New Roman" w:hAnsi="Times New Roman"/>
          <w:b/>
          <w:sz w:val="23"/>
          <w:szCs w:val="23"/>
        </w:rPr>
        <w:t>rights,</w:t>
      </w:r>
      <w:r w:rsidR="00126888" w:rsidRPr="00D318C5">
        <w:rPr>
          <w:rFonts w:ascii="Times New Roman" w:hAnsi="Times New Roman"/>
          <w:b/>
          <w:sz w:val="23"/>
          <w:szCs w:val="23"/>
        </w:rPr>
        <w:t xml:space="preserve"> </w:t>
      </w:r>
      <w:r w:rsidR="00AB3731" w:rsidRPr="00D318C5">
        <w:rPr>
          <w:rFonts w:ascii="Times New Roman" w:hAnsi="Times New Roman"/>
          <w:b/>
          <w:sz w:val="23"/>
          <w:szCs w:val="23"/>
        </w:rPr>
        <w:t>within the project</w:t>
      </w:r>
      <w:r w:rsidR="00437F75" w:rsidRPr="00D318C5">
        <w:rPr>
          <w:rFonts w:ascii="Times New Roman" w:hAnsi="Times New Roman"/>
          <w:b/>
          <w:sz w:val="23"/>
          <w:szCs w:val="23"/>
        </w:rPr>
        <w:t>’s area of influence</w:t>
      </w:r>
      <w:r w:rsidR="008E3DDC" w:rsidRPr="00D318C5">
        <w:rPr>
          <w:rFonts w:ascii="Times New Roman" w:hAnsi="Times New Roman"/>
          <w:b/>
          <w:sz w:val="23"/>
          <w:szCs w:val="23"/>
        </w:rPr>
        <w:t>. This measure is</w:t>
      </w:r>
      <w:r w:rsidR="00EC64AE" w:rsidRPr="00D318C5">
        <w:rPr>
          <w:rFonts w:ascii="Times New Roman" w:hAnsi="Times New Roman"/>
          <w:b/>
          <w:sz w:val="23"/>
          <w:szCs w:val="23"/>
        </w:rPr>
        <w:t xml:space="preserve"> necessary</w:t>
      </w:r>
      <w:r w:rsidRPr="00D318C5">
        <w:rPr>
          <w:rFonts w:ascii="Times New Roman" w:hAnsi="Times New Roman"/>
          <w:b/>
          <w:sz w:val="23"/>
          <w:szCs w:val="23"/>
        </w:rPr>
        <w:t xml:space="preserve"> </w:t>
      </w:r>
      <w:r w:rsidR="008E3DDC" w:rsidRPr="00D318C5">
        <w:rPr>
          <w:rFonts w:ascii="Times New Roman" w:hAnsi="Times New Roman"/>
          <w:b/>
          <w:sz w:val="23"/>
          <w:szCs w:val="23"/>
        </w:rPr>
        <w:t xml:space="preserve">where, during the tenure assessment and screening, groups are identified whose existing tenure rights or arrangements could </w:t>
      </w:r>
      <w:r w:rsidR="001865C5" w:rsidRPr="00D318C5">
        <w:rPr>
          <w:rFonts w:ascii="Times New Roman" w:hAnsi="Times New Roman"/>
          <w:b/>
          <w:sz w:val="23"/>
          <w:szCs w:val="23"/>
        </w:rPr>
        <w:t xml:space="preserve">potentially </w:t>
      </w:r>
      <w:r w:rsidR="008E3DDC" w:rsidRPr="00D318C5">
        <w:rPr>
          <w:rFonts w:ascii="Times New Roman" w:hAnsi="Times New Roman"/>
          <w:b/>
          <w:sz w:val="23"/>
          <w:szCs w:val="23"/>
        </w:rPr>
        <w:t>be weakened, infringed or restricted by the proposed operation</w:t>
      </w:r>
      <w:r w:rsidR="003E6F9C" w:rsidRPr="00D318C5">
        <w:rPr>
          <w:rFonts w:ascii="Times New Roman" w:hAnsi="Times New Roman"/>
          <w:b/>
          <w:sz w:val="23"/>
          <w:szCs w:val="23"/>
        </w:rPr>
        <w:t>.</w:t>
      </w:r>
      <w:r w:rsidR="00126888" w:rsidRPr="00D318C5">
        <w:rPr>
          <w:rFonts w:ascii="Times New Roman" w:hAnsi="Times New Roman"/>
          <w:sz w:val="23"/>
          <w:szCs w:val="23"/>
        </w:rPr>
        <w:t xml:space="preserve"> </w:t>
      </w:r>
      <w:r w:rsidR="003E6F9C" w:rsidRPr="00D318C5">
        <w:rPr>
          <w:rFonts w:ascii="Times New Roman" w:hAnsi="Times New Roman"/>
          <w:sz w:val="23"/>
          <w:szCs w:val="23"/>
        </w:rPr>
        <w:t>P</w:t>
      </w:r>
      <w:r w:rsidR="00126888" w:rsidRPr="00D318C5">
        <w:rPr>
          <w:rFonts w:ascii="Times New Roman" w:hAnsi="Times New Roman"/>
          <w:sz w:val="23"/>
          <w:szCs w:val="23"/>
        </w:rPr>
        <w:t xml:space="preserve">articular care </w:t>
      </w:r>
      <w:r w:rsidR="003E6F9C" w:rsidRPr="00D318C5">
        <w:rPr>
          <w:rFonts w:ascii="Times New Roman" w:hAnsi="Times New Roman"/>
          <w:sz w:val="23"/>
          <w:szCs w:val="23"/>
        </w:rPr>
        <w:t xml:space="preserve">should be </w:t>
      </w:r>
      <w:r w:rsidR="00126888" w:rsidRPr="00D318C5">
        <w:rPr>
          <w:rFonts w:ascii="Times New Roman" w:hAnsi="Times New Roman"/>
          <w:sz w:val="23"/>
          <w:szCs w:val="23"/>
        </w:rPr>
        <w:t xml:space="preserve">taken to record </w:t>
      </w:r>
      <w:r w:rsidR="003E6F9C" w:rsidRPr="00D318C5">
        <w:rPr>
          <w:rFonts w:ascii="Times New Roman" w:hAnsi="Times New Roman"/>
          <w:sz w:val="23"/>
          <w:szCs w:val="23"/>
        </w:rPr>
        <w:t xml:space="preserve">the tenure forms of </w:t>
      </w:r>
      <w:r w:rsidR="00126888" w:rsidRPr="00D318C5">
        <w:rPr>
          <w:rFonts w:ascii="Times New Roman" w:hAnsi="Times New Roman"/>
          <w:sz w:val="23"/>
          <w:szCs w:val="23"/>
        </w:rPr>
        <w:t>vulnerable groups in the area whose tenure situations are not recognized or protected by law</w:t>
      </w:r>
      <w:r w:rsidR="00393779" w:rsidRPr="00D318C5">
        <w:rPr>
          <w:rFonts w:ascii="Times New Roman" w:hAnsi="Times New Roman"/>
          <w:sz w:val="23"/>
          <w:szCs w:val="23"/>
        </w:rPr>
        <w:t xml:space="preserve"> or in practice</w:t>
      </w:r>
      <w:r w:rsidR="00126888" w:rsidRPr="00D318C5">
        <w:rPr>
          <w:rFonts w:ascii="Times New Roman" w:hAnsi="Times New Roman"/>
          <w:sz w:val="23"/>
          <w:szCs w:val="23"/>
        </w:rPr>
        <w:t xml:space="preserve">. </w:t>
      </w:r>
      <w:r w:rsidR="003E6F9C" w:rsidRPr="00D318C5">
        <w:rPr>
          <w:rFonts w:ascii="Times New Roman" w:hAnsi="Times New Roman"/>
          <w:sz w:val="23"/>
          <w:szCs w:val="23"/>
        </w:rPr>
        <w:t xml:space="preserve">For some </w:t>
      </w:r>
      <w:r w:rsidR="00BE51C5" w:rsidRPr="00D318C5">
        <w:rPr>
          <w:rFonts w:ascii="Times New Roman" w:hAnsi="Times New Roman"/>
          <w:sz w:val="23"/>
          <w:szCs w:val="23"/>
        </w:rPr>
        <w:t>operation</w:t>
      </w:r>
      <w:r w:rsidR="003E6F9C" w:rsidRPr="00D318C5">
        <w:rPr>
          <w:rFonts w:ascii="Times New Roman" w:hAnsi="Times New Roman"/>
          <w:sz w:val="23"/>
          <w:szCs w:val="23"/>
        </w:rPr>
        <w:t xml:space="preserve">s it will be necessary to undertake a full </w:t>
      </w:r>
      <w:r w:rsidR="009E5DA2" w:rsidRPr="00D318C5">
        <w:rPr>
          <w:rFonts w:ascii="Times New Roman" w:hAnsi="Times New Roman"/>
          <w:sz w:val="23"/>
          <w:szCs w:val="23"/>
        </w:rPr>
        <w:t xml:space="preserve">surveying, </w:t>
      </w:r>
      <w:r w:rsidR="003E6F9C" w:rsidRPr="00D318C5">
        <w:rPr>
          <w:rFonts w:ascii="Times New Roman" w:hAnsi="Times New Roman"/>
          <w:sz w:val="23"/>
          <w:szCs w:val="23"/>
        </w:rPr>
        <w:t xml:space="preserve">mapping and recording process of the tenure </w:t>
      </w:r>
      <w:r w:rsidR="00F233E3" w:rsidRPr="00D318C5">
        <w:rPr>
          <w:rFonts w:ascii="Times New Roman" w:hAnsi="Times New Roman"/>
          <w:sz w:val="23"/>
          <w:szCs w:val="23"/>
        </w:rPr>
        <w:t xml:space="preserve">rights </w:t>
      </w:r>
      <w:r w:rsidR="003E6F9C" w:rsidRPr="00D318C5">
        <w:rPr>
          <w:rFonts w:ascii="Times New Roman" w:hAnsi="Times New Roman"/>
          <w:sz w:val="23"/>
          <w:szCs w:val="23"/>
        </w:rPr>
        <w:t xml:space="preserve">of individual </w:t>
      </w:r>
      <w:r w:rsidR="00833387" w:rsidRPr="00D318C5">
        <w:rPr>
          <w:rFonts w:ascii="Times New Roman" w:hAnsi="Times New Roman"/>
          <w:sz w:val="23"/>
          <w:szCs w:val="23"/>
        </w:rPr>
        <w:t xml:space="preserve">affected persons, households and groups </w:t>
      </w:r>
      <w:r w:rsidR="001075CA" w:rsidRPr="00D318C5">
        <w:rPr>
          <w:rFonts w:ascii="Times New Roman" w:hAnsi="Times New Roman"/>
          <w:sz w:val="23"/>
          <w:szCs w:val="23"/>
        </w:rPr>
        <w:t xml:space="preserve">(rather than just the various forms of tenure) </w:t>
      </w:r>
      <w:r w:rsidR="00FF7520" w:rsidRPr="00D318C5">
        <w:rPr>
          <w:rFonts w:ascii="Times New Roman" w:hAnsi="Times New Roman"/>
          <w:sz w:val="23"/>
          <w:szCs w:val="23"/>
        </w:rPr>
        <w:t xml:space="preserve">in order to meet the </w:t>
      </w:r>
      <w:r w:rsidR="003E6F9C" w:rsidRPr="00D318C5">
        <w:rPr>
          <w:rFonts w:ascii="Times New Roman" w:hAnsi="Times New Roman"/>
          <w:sz w:val="23"/>
          <w:szCs w:val="23"/>
        </w:rPr>
        <w:t>objective</w:t>
      </w:r>
      <w:r w:rsidR="00FF7520" w:rsidRPr="00D318C5">
        <w:rPr>
          <w:rFonts w:ascii="Times New Roman" w:hAnsi="Times New Roman"/>
          <w:sz w:val="23"/>
          <w:szCs w:val="23"/>
        </w:rPr>
        <w:t>s of these safeguard measures</w:t>
      </w:r>
      <w:r w:rsidR="003E6F9C" w:rsidRPr="00D318C5">
        <w:rPr>
          <w:rFonts w:ascii="Times New Roman" w:hAnsi="Times New Roman"/>
          <w:sz w:val="23"/>
          <w:szCs w:val="23"/>
        </w:rPr>
        <w:t xml:space="preserve">. </w:t>
      </w:r>
      <w:r w:rsidR="008E7B21" w:rsidRPr="00D318C5">
        <w:rPr>
          <w:rFonts w:ascii="Times New Roman" w:hAnsi="Times New Roman"/>
          <w:sz w:val="23"/>
          <w:szCs w:val="23"/>
        </w:rPr>
        <w:t>The recording and mapping process should be gender-sensitive and s</w:t>
      </w:r>
      <w:r w:rsidR="00837737" w:rsidRPr="00D318C5">
        <w:rPr>
          <w:rFonts w:ascii="Times New Roman" w:hAnsi="Times New Roman"/>
          <w:sz w:val="23"/>
          <w:szCs w:val="23"/>
        </w:rPr>
        <w:t xml:space="preserve">pecial care should be taken to record the tenure arrangements enjoyed by women, including </w:t>
      </w:r>
      <w:r w:rsidR="0092754A" w:rsidRPr="00D318C5">
        <w:rPr>
          <w:rFonts w:ascii="Times New Roman" w:hAnsi="Times New Roman"/>
          <w:sz w:val="23"/>
          <w:szCs w:val="23"/>
        </w:rPr>
        <w:t xml:space="preserve">subsidiary </w:t>
      </w:r>
      <w:r w:rsidR="00837737" w:rsidRPr="00D318C5">
        <w:rPr>
          <w:rFonts w:ascii="Times New Roman" w:hAnsi="Times New Roman"/>
          <w:sz w:val="23"/>
          <w:szCs w:val="23"/>
        </w:rPr>
        <w:t xml:space="preserve">access and use rights. </w:t>
      </w:r>
      <w:r w:rsidR="00126888" w:rsidRPr="00D318C5">
        <w:rPr>
          <w:rFonts w:ascii="Times New Roman" w:hAnsi="Times New Roman"/>
          <w:sz w:val="23"/>
          <w:szCs w:val="23"/>
        </w:rPr>
        <w:t>The recording system should be</w:t>
      </w:r>
      <w:r w:rsidR="000170E7" w:rsidRPr="00D318C5">
        <w:rPr>
          <w:rFonts w:ascii="Times New Roman" w:hAnsi="Times New Roman"/>
          <w:sz w:val="23"/>
          <w:szCs w:val="23"/>
        </w:rPr>
        <w:t xml:space="preserve"> </w:t>
      </w:r>
      <w:r w:rsidR="00126888" w:rsidRPr="00D318C5">
        <w:rPr>
          <w:rFonts w:ascii="Times New Roman" w:hAnsi="Times New Roman"/>
          <w:sz w:val="23"/>
          <w:szCs w:val="23"/>
        </w:rPr>
        <w:t>simple, clear</w:t>
      </w:r>
      <w:r w:rsidR="005360C4" w:rsidRPr="00D318C5">
        <w:rPr>
          <w:rFonts w:ascii="Times New Roman" w:hAnsi="Times New Roman"/>
          <w:sz w:val="23"/>
          <w:szCs w:val="23"/>
        </w:rPr>
        <w:t>,</w:t>
      </w:r>
      <w:r w:rsidR="00126888" w:rsidRPr="00D318C5">
        <w:rPr>
          <w:rFonts w:ascii="Times New Roman" w:hAnsi="Times New Roman"/>
          <w:sz w:val="23"/>
          <w:szCs w:val="23"/>
        </w:rPr>
        <w:t xml:space="preserve"> accessible</w:t>
      </w:r>
      <w:r w:rsidR="005360C4" w:rsidRPr="00D318C5">
        <w:rPr>
          <w:rFonts w:ascii="Times New Roman" w:hAnsi="Times New Roman"/>
          <w:sz w:val="23"/>
          <w:szCs w:val="23"/>
        </w:rPr>
        <w:t xml:space="preserve"> and non-discriminatory</w:t>
      </w:r>
      <w:r w:rsidR="00126888" w:rsidRPr="00D318C5">
        <w:rPr>
          <w:rFonts w:ascii="Times New Roman" w:hAnsi="Times New Roman"/>
          <w:sz w:val="23"/>
          <w:szCs w:val="23"/>
        </w:rPr>
        <w:t>, and the map and</w:t>
      </w:r>
      <w:r w:rsidR="003E6F9C" w:rsidRPr="00D318C5">
        <w:rPr>
          <w:rFonts w:ascii="Times New Roman" w:hAnsi="Times New Roman"/>
          <w:sz w:val="23"/>
          <w:szCs w:val="23"/>
        </w:rPr>
        <w:t>/or</w:t>
      </w:r>
      <w:r w:rsidR="00126888" w:rsidRPr="00D318C5">
        <w:rPr>
          <w:rFonts w:ascii="Times New Roman" w:hAnsi="Times New Roman"/>
          <w:sz w:val="23"/>
          <w:szCs w:val="23"/>
        </w:rPr>
        <w:t xml:space="preserve"> record produced should be made publicly available in a manner suitable to interested parties, including in appropriate languages. People should have a reasonable opportunity </w:t>
      </w:r>
      <w:r w:rsidR="006264F9" w:rsidRPr="00D318C5">
        <w:rPr>
          <w:rFonts w:ascii="Times New Roman" w:hAnsi="Times New Roman"/>
          <w:sz w:val="23"/>
          <w:szCs w:val="23"/>
        </w:rPr>
        <w:t xml:space="preserve">and sufficient time </w:t>
      </w:r>
      <w:r w:rsidR="00126888" w:rsidRPr="00D318C5">
        <w:rPr>
          <w:rFonts w:ascii="Times New Roman" w:hAnsi="Times New Roman"/>
          <w:sz w:val="23"/>
          <w:szCs w:val="23"/>
        </w:rPr>
        <w:t>to contest, clarify or query recorded tenure rights and arrangements through an appropriate adjudication and review process</w:t>
      </w:r>
      <w:r w:rsidR="00CA7B71" w:rsidRPr="00D318C5">
        <w:rPr>
          <w:rFonts w:ascii="Times New Roman" w:hAnsi="Times New Roman"/>
          <w:sz w:val="23"/>
          <w:szCs w:val="23"/>
        </w:rPr>
        <w:t>.</w:t>
      </w:r>
      <w:r w:rsidR="00C43C0D" w:rsidRPr="00D318C5">
        <w:rPr>
          <w:rFonts w:ascii="Times New Roman" w:hAnsi="Times New Roman"/>
          <w:sz w:val="23"/>
          <w:szCs w:val="23"/>
        </w:rPr>
        <w:t xml:space="preserve"> </w:t>
      </w:r>
    </w:p>
    <w:p w14:paraId="1BF2C2F2" w14:textId="3BC2D83C" w:rsidR="002A1EAB" w:rsidRPr="00D318C5" w:rsidRDefault="00D3269D" w:rsidP="00A9026F">
      <w:pPr>
        <w:pStyle w:val="ListParagraph"/>
        <w:numPr>
          <w:ilvl w:val="0"/>
          <w:numId w:val="7"/>
        </w:numPr>
        <w:spacing w:after="360" w:line="276" w:lineRule="auto"/>
        <w:ind w:left="360"/>
        <w:contextualSpacing w:val="0"/>
        <w:jc w:val="both"/>
        <w:rPr>
          <w:rFonts w:ascii="Times New Roman" w:hAnsi="Times New Roman"/>
          <w:b/>
          <w:sz w:val="23"/>
          <w:szCs w:val="23"/>
        </w:rPr>
      </w:pPr>
      <w:r w:rsidRPr="00D318C5">
        <w:rPr>
          <w:rFonts w:ascii="Times New Roman" w:hAnsi="Times New Roman"/>
          <w:b/>
          <w:sz w:val="23"/>
          <w:szCs w:val="23"/>
        </w:rPr>
        <w:t xml:space="preserve">An action plan for the </w:t>
      </w:r>
      <w:r w:rsidR="00FB3678" w:rsidRPr="00D318C5">
        <w:rPr>
          <w:rFonts w:ascii="Times New Roman" w:hAnsi="Times New Roman"/>
          <w:b/>
          <w:sz w:val="23"/>
          <w:szCs w:val="23"/>
        </w:rPr>
        <w:t>confer</w:t>
      </w:r>
      <w:r w:rsidRPr="00D318C5">
        <w:rPr>
          <w:rFonts w:ascii="Times New Roman" w:hAnsi="Times New Roman"/>
          <w:b/>
          <w:sz w:val="23"/>
          <w:szCs w:val="23"/>
        </w:rPr>
        <w:t>ral of</w:t>
      </w:r>
      <w:r w:rsidR="00FB3678" w:rsidRPr="00D318C5">
        <w:rPr>
          <w:rFonts w:ascii="Times New Roman" w:hAnsi="Times New Roman"/>
          <w:b/>
          <w:sz w:val="23"/>
          <w:szCs w:val="23"/>
        </w:rPr>
        <w:t xml:space="preserve"> </w:t>
      </w:r>
      <w:r w:rsidR="004C4203" w:rsidRPr="00D318C5">
        <w:rPr>
          <w:rFonts w:ascii="Times New Roman" w:hAnsi="Times New Roman"/>
          <w:b/>
          <w:sz w:val="23"/>
          <w:szCs w:val="23"/>
        </w:rPr>
        <w:t xml:space="preserve">legal </w:t>
      </w:r>
      <w:r w:rsidR="00FB3678" w:rsidRPr="00D318C5">
        <w:rPr>
          <w:rFonts w:ascii="Times New Roman" w:hAnsi="Times New Roman"/>
          <w:b/>
          <w:sz w:val="23"/>
          <w:szCs w:val="23"/>
        </w:rPr>
        <w:t>security for</w:t>
      </w:r>
      <w:r w:rsidR="004C4203" w:rsidRPr="00D318C5">
        <w:rPr>
          <w:rFonts w:ascii="Times New Roman" w:hAnsi="Times New Roman"/>
          <w:b/>
          <w:sz w:val="23"/>
          <w:szCs w:val="23"/>
        </w:rPr>
        <w:t xml:space="preserve"> the </w:t>
      </w:r>
      <w:r w:rsidR="00126888" w:rsidRPr="00D318C5">
        <w:rPr>
          <w:rFonts w:ascii="Times New Roman" w:hAnsi="Times New Roman"/>
          <w:b/>
          <w:sz w:val="23"/>
          <w:szCs w:val="23"/>
        </w:rPr>
        <w:t xml:space="preserve">range of </w:t>
      </w:r>
      <w:r w:rsidR="004C4203" w:rsidRPr="00D318C5">
        <w:rPr>
          <w:rFonts w:ascii="Times New Roman" w:hAnsi="Times New Roman"/>
          <w:b/>
          <w:sz w:val="23"/>
          <w:szCs w:val="23"/>
        </w:rPr>
        <w:t xml:space="preserve">existing </w:t>
      </w:r>
      <w:r w:rsidR="00591EEC" w:rsidRPr="00D318C5">
        <w:rPr>
          <w:rFonts w:ascii="Times New Roman" w:hAnsi="Times New Roman"/>
          <w:b/>
          <w:sz w:val="23"/>
          <w:szCs w:val="23"/>
        </w:rPr>
        <w:t xml:space="preserve">forms of </w:t>
      </w:r>
      <w:r w:rsidR="00126888" w:rsidRPr="00D318C5">
        <w:rPr>
          <w:rFonts w:ascii="Times New Roman" w:hAnsi="Times New Roman"/>
          <w:b/>
          <w:sz w:val="23"/>
          <w:szCs w:val="23"/>
        </w:rPr>
        <w:t xml:space="preserve">tenure </w:t>
      </w:r>
      <w:r w:rsidR="00807B7E" w:rsidRPr="00D318C5">
        <w:rPr>
          <w:rFonts w:ascii="Times New Roman" w:hAnsi="Times New Roman"/>
          <w:b/>
          <w:sz w:val="23"/>
          <w:szCs w:val="23"/>
        </w:rPr>
        <w:t>and</w:t>
      </w:r>
      <w:r w:rsidR="00317650" w:rsidRPr="00D318C5">
        <w:rPr>
          <w:rFonts w:ascii="Times New Roman" w:hAnsi="Times New Roman"/>
          <w:b/>
          <w:sz w:val="23"/>
          <w:szCs w:val="23"/>
        </w:rPr>
        <w:t>,</w:t>
      </w:r>
      <w:r w:rsidR="00DE0A30" w:rsidRPr="00D318C5">
        <w:rPr>
          <w:rFonts w:ascii="Times New Roman" w:hAnsi="Times New Roman"/>
          <w:b/>
          <w:sz w:val="23"/>
          <w:szCs w:val="23"/>
        </w:rPr>
        <w:t xml:space="preserve"> </w:t>
      </w:r>
      <w:r w:rsidR="00807B7E" w:rsidRPr="00D318C5">
        <w:rPr>
          <w:rFonts w:ascii="Times New Roman" w:hAnsi="Times New Roman"/>
          <w:b/>
          <w:sz w:val="23"/>
          <w:szCs w:val="23"/>
        </w:rPr>
        <w:t xml:space="preserve">in cases in which it is </w:t>
      </w:r>
      <w:r w:rsidR="00DE0A30" w:rsidRPr="00D318C5">
        <w:rPr>
          <w:rFonts w:ascii="Times New Roman" w:hAnsi="Times New Roman"/>
          <w:b/>
          <w:sz w:val="23"/>
          <w:szCs w:val="23"/>
        </w:rPr>
        <w:t xml:space="preserve">necessary to meet </w:t>
      </w:r>
      <w:r w:rsidR="002A5830" w:rsidRPr="00D318C5">
        <w:rPr>
          <w:rFonts w:ascii="Times New Roman" w:hAnsi="Times New Roman"/>
          <w:b/>
          <w:sz w:val="23"/>
          <w:szCs w:val="23"/>
        </w:rPr>
        <w:t>the</w:t>
      </w:r>
      <w:r w:rsidR="00DE0A30" w:rsidRPr="00D318C5">
        <w:rPr>
          <w:rFonts w:ascii="Times New Roman" w:hAnsi="Times New Roman"/>
          <w:b/>
          <w:sz w:val="23"/>
          <w:szCs w:val="23"/>
        </w:rPr>
        <w:t xml:space="preserve"> objectives</w:t>
      </w:r>
      <w:r w:rsidR="002A5830" w:rsidRPr="00D318C5">
        <w:rPr>
          <w:rFonts w:ascii="Times New Roman" w:hAnsi="Times New Roman"/>
          <w:b/>
          <w:sz w:val="23"/>
          <w:szCs w:val="23"/>
        </w:rPr>
        <w:t xml:space="preserve"> of these safeguard measures</w:t>
      </w:r>
      <w:r w:rsidR="00DE0A30" w:rsidRPr="00D318C5">
        <w:rPr>
          <w:rFonts w:ascii="Times New Roman" w:hAnsi="Times New Roman"/>
          <w:b/>
          <w:sz w:val="23"/>
          <w:szCs w:val="23"/>
        </w:rPr>
        <w:t xml:space="preserve">, </w:t>
      </w:r>
      <w:r w:rsidR="00807B7E" w:rsidRPr="00D318C5">
        <w:rPr>
          <w:rFonts w:ascii="Times New Roman" w:hAnsi="Times New Roman"/>
          <w:b/>
          <w:sz w:val="23"/>
          <w:szCs w:val="23"/>
        </w:rPr>
        <w:t xml:space="preserve">the legal recognition of </w:t>
      </w:r>
      <w:r w:rsidR="00DE0A30" w:rsidRPr="00D318C5">
        <w:rPr>
          <w:rFonts w:ascii="Times New Roman" w:hAnsi="Times New Roman"/>
          <w:b/>
          <w:sz w:val="23"/>
          <w:szCs w:val="23"/>
        </w:rPr>
        <w:t xml:space="preserve">the </w:t>
      </w:r>
      <w:r w:rsidR="00807B7E" w:rsidRPr="00D318C5">
        <w:rPr>
          <w:rFonts w:ascii="Times New Roman" w:hAnsi="Times New Roman"/>
          <w:b/>
          <w:sz w:val="23"/>
          <w:szCs w:val="23"/>
        </w:rPr>
        <w:t xml:space="preserve">tenure </w:t>
      </w:r>
      <w:r w:rsidR="00DE0A30" w:rsidRPr="00D318C5">
        <w:rPr>
          <w:rFonts w:ascii="Times New Roman" w:hAnsi="Times New Roman"/>
          <w:b/>
          <w:sz w:val="23"/>
          <w:szCs w:val="23"/>
        </w:rPr>
        <w:t xml:space="preserve">rights of </w:t>
      </w:r>
      <w:r w:rsidR="00807B7E" w:rsidRPr="00D318C5">
        <w:rPr>
          <w:rFonts w:ascii="Times New Roman" w:hAnsi="Times New Roman"/>
          <w:b/>
          <w:sz w:val="23"/>
          <w:szCs w:val="23"/>
        </w:rPr>
        <w:t>each affected person, household or community</w:t>
      </w:r>
      <w:r w:rsidR="00126888" w:rsidRPr="00D318C5">
        <w:rPr>
          <w:rFonts w:ascii="Times New Roman" w:hAnsi="Times New Roman"/>
          <w:b/>
          <w:sz w:val="23"/>
          <w:szCs w:val="23"/>
        </w:rPr>
        <w:t>.</w:t>
      </w:r>
      <w:r w:rsidR="00627994" w:rsidRPr="00D318C5">
        <w:rPr>
          <w:rStyle w:val="FootnoteReference"/>
          <w:rFonts w:ascii="Times New Roman" w:hAnsi="Times New Roman"/>
          <w:b/>
          <w:sz w:val="23"/>
          <w:szCs w:val="23"/>
        </w:rPr>
        <w:footnoteReference w:id="13"/>
      </w:r>
      <w:r w:rsidR="00126888" w:rsidRPr="00D318C5">
        <w:rPr>
          <w:rFonts w:ascii="Times New Roman" w:hAnsi="Times New Roman"/>
          <w:sz w:val="23"/>
          <w:szCs w:val="23"/>
        </w:rPr>
        <w:t xml:space="preserve"> The </w:t>
      </w:r>
      <w:r w:rsidR="00FB3678" w:rsidRPr="00D318C5">
        <w:rPr>
          <w:rFonts w:ascii="Times New Roman" w:hAnsi="Times New Roman"/>
          <w:sz w:val="23"/>
          <w:szCs w:val="23"/>
        </w:rPr>
        <w:t xml:space="preserve">process </w:t>
      </w:r>
      <w:r w:rsidR="00126888" w:rsidRPr="00D318C5">
        <w:rPr>
          <w:rFonts w:ascii="Times New Roman" w:hAnsi="Times New Roman"/>
          <w:sz w:val="23"/>
          <w:szCs w:val="23"/>
        </w:rPr>
        <w:t xml:space="preserve">should </w:t>
      </w:r>
      <w:r w:rsidR="006D030C" w:rsidRPr="00D318C5">
        <w:rPr>
          <w:rFonts w:ascii="Times New Roman" w:hAnsi="Times New Roman"/>
          <w:sz w:val="23"/>
          <w:szCs w:val="23"/>
        </w:rPr>
        <w:t xml:space="preserve">be </w:t>
      </w:r>
      <w:r w:rsidR="002A5830" w:rsidRPr="00D318C5">
        <w:rPr>
          <w:rFonts w:ascii="Times New Roman" w:hAnsi="Times New Roman"/>
          <w:sz w:val="23"/>
          <w:szCs w:val="23"/>
        </w:rPr>
        <w:t xml:space="preserve">transparent, </w:t>
      </w:r>
      <w:r w:rsidR="006D030C" w:rsidRPr="00D318C5">
        <w:rPr>
          <w:rFonts w:ascii="Times New Roman" w:hAnsi="Times New Roman"/>
          <w:sz w:val="23"/>
          <w:szCs w:val="23"/>
        </w:rPr>
        <w:t xml:space="preserve">participatory, </w:t>
      </w:r>
      <w:proofErr w:type="gramStart"/>
      <w:r w:rsidR="006D030C" w:rsidRPr="00D318C5">
        <w:rPr>
          <w:rFonts w:ascii="Times New Roman" w:hAnsi="Times New Roman"/>
          <w:sz w:val="23"/>
          <w:szCs w:val="23"/>
        </w:rPr>
        <w:t>gender</w:t>
      </w:r>
      <w:proofErr w:type="gramEnd"/>
      <w:r w:rsidR="006D030C" w:rsidRPr="00D318C5">
        <w:rPr>
          <w:rFonts w:ascii="Times New Roman" w:hAnsi="Times New Roman"/>
          <w:sz w:val="23"/>
          <w:szCs w:val="23"/>
        </w:rPr>
        <w:t xml:space="preserve">-sensitive and </w:t>
      </w:r>
      <w:r w:rsidR="00126888" w:rsidRPr="00D318C5">
        <w:rPr>
          <w:rFonts w:ascii="Times New Roman" w:hAnsi="Times New Roman"/>
          <w:sz w:val="23"/>
          <w:szCs w:val="23"/>
        </w:rPr>
        <w:t>confer on a non-discriminatory basis a sufficient degree of tenure security to provide legal protection against forced eviction</w:t>
      </w:r>
      <w:r w:rsidR="00F74092" w:rsidRPr="00D318C5">
        <w:rPr>
          <w:rFonts w:ascii="Times New Roman" w:hAnsi="Times New Roman"/>
          <w:sz w:val="23"/>
          <w:szCs w:val="23"/>
        </w:rPr>
        <w:t xml:space="preserve"> and arbitrary </w:t>
      </w:r>
      <w:r w:rsidR="002A5830" w:rsidRPr="00D318C5">
        <w:rPr>
          <w:rFonts w:ascii="Times New Roman" w:hAnsi="Times New Roman"/>
          <w:sz w:val="23"/>
          <w:szCs w:val="23"/>
        </w:rPr>
        <w:t xml:space="preserve">and unlawful </w:t>
      </w:r>
      <w:r w:rsidR="00F74092" w:rsidRPr="00D318C5">
        <w:rPr>
          <w:rFonts w:ascii="Times New Roman" w:hAnsi="Times New Roman"/>
          <w:sz w:val="23"/>
          <w:szCs w:val="23"/>
        </w:rPr>
        <w:t>interference with tenure rights</w:t>
      </w:r>
      <w:r w:rsidR="00126888" w:rsidRPr="00D318C5">
        <w:rPr>
          <w:rFonts w:ascii="Times New Roman" w:hAnsi="Times New Roman"/>
          <w:sz w:val="23"/>
          <w:szCs w:val="23"/>
        </w:rPr>
        <w:t>.</w:t>
      </w:r>
      <w:r w:rsidR="00013A10" w:rsidRPr="00D318C5">
        <w:rPr>
          <w:rStyle w:val="FootnoteReference"/>
          <w:rFonts w:ascii="Times New Roman" w:hAnsi="Times New Roman"/>
          <w:sz w:val="23"/>
          <w:szCs w:val="23"/>
        </w:rPr>
        <w:footnoteReference w:id="14"/>
      </w:r>
      <w:r w:rsidR="00126888" w:rsidRPr="00D318C5">
        <w:rPr>
          <w:rFonts w:ascii="Times New Roman" w:hAnsi="Times New Roman"/>
          <w:sz w:val="23"/>
          <w:szCs w:val="23"/>
        </w:rPr>
        <w:t xml:space="preserve"> </w:t>
      </w:r>
      <w:r w:rsidR="00A24545" w:rsidRPr="00D318C5">
        <w:rPr>
          <w:rFonts w:ascii="Times New Roman" w:hAnsi="Times New Roman"/>
          <w:sz w:val="23"/>
          <w:szCs w:val="23"/>
        </w:rPr>
        <w:t>Depending on the circumstances</w:t>
      </w:r>
      <w:r w:rsidR="00DE0A30" w:rsidRPr="00D318C5">
        <w:rPr>
          <w:rFonts w:ascii="Times New Roman" w:hAnsi="Times New Roman"/>
          <w:sz w:val="23"/>
          <w:szCs w:val="23"/>
        </w:rPr>
        <w:t>,</w:t>
      </w:r>
      <w:r w:rsidR="00A24545" w:rsidRPr="00D318C5">
        <w:rPr>
          <w:rFonts w:ascii="Times New Roman" w:hAnsi="Times New Roman"/>
          <w:sz w:val="23"/>
          <w:szCs w:val="23"/>
        </w:rPr>
        <w:t xml:space="preserve"> </w:t>
      </w:r>
      <w:r w:rsidR="00DE0A30" w:rsidRPr="00D318C5">
        <w:rPr>
          <w:rFonts w:ascii="Times New Roman" w:hAnsi="Times New Roman"/>
          <w:sz w:val="23"/>
          <w:szCs w:val="23"/>
        </w:rPr>
        <w:t>a</w:t>
      </w:r>
      <w:r w:rsidR="006E1F6D" w:rsidRPr="00D318C5">
        <w:rPr>
          <w:rFonts w:ascii="Times New Roman" w:hAnsi="Times New Roman"/>
          <w:sz w:val="23"/>
          <w:szCs w:val="23"/>
        </w:rPr>
        <w:t>n</w:t>
      </w:r>
      <w:r w:rsidR="00DE0A30" w:rsidRPr="00D318C5">
        <w:rPr>
          <w:rFonts w:ascii="Times New Roman" w:hAnsi="Times New Roman"/>
          <w:sz w:val="23"/>
          <w:szCs w:val="23"/>
        </w:rPr>
        <w:t xml:space="preserve"> enf</w:t>
      </w:r>
      <w:r w:rsidR="00D84D16" w:rsidRPr="00D318C5">
        <w:rPr>
          <w:rFonts w:ascii="Times New Roman" w:hAnsi="Times New Roman"/>
          <w:sz w:val="23"/>
          <w:szCs w:val="23"/>
        </w:rPr>
        <w:t>orceable moratorium on eviction</w:t>
      </w:r>
      <w:r w:rsidR="00527AA0" w:rsidRPr="00D318C5">
        <w:rPr>
          <w:rFonts w:ascii="Times New Roman" w:hAnsi="Times New Roman"/>
          <w:sz w:val="23"/>
          <w:szCs w:val="23"/>
        </w:rPr>
        <w:t xml:space="preserve"> of affected </w:t>
      </w:r>
      <w:r w:rsidR="00D84D16" w:rsidRPr="00D318C5">
        <w:rPr>
          <w:rFonts w:ascii="Times New Roman" w:hAnsi="Times New Roman"/>
          <w:sz w:val="23"/>
          <w:szCs w:val="23"/>
        </w:rPr>
        <w:t>persons</w:t>
      </w:r>
      <w:r w:rsidR="000C6FFD" w:rsidRPr="00D318C5">
        <w:rPr>
          <w:rFonts w:ascii="Times New Roman" w:hAnsi="Times New Roman"/>
          <w:sz w:val="23"/>
          <w:szCs w:val="23"/>
        </w:rPr>
        <w:t xml:space="preserve"> may be sufficient</w:t>
      </w:r>
      <w:r w:rsidR="00D84D16" w:rsidRPr="00D318C5">
        <w:rPr>
          <w:rFonts w:ascii="Times New Roman" w:hAnsi="Times New Roman"/>
          <w:sz w:val="23"/>
          <w:szCs w:val="23"/>
        </w:rPr>
        <w:t xml:space="preserve">. </w:t>
      </w:r>
      <w:r w:rsidR="000C6FFD" w:rsidRPr="00D318C5">
        <w:rPr>
          <w:rFonts w:ascii="Times New Roman" w:hAnsi="Times New Roman"/>
          <w:sz w:val="23"/>
          <w:szCs w:val="23"/>
        </w:rPr>
        <w:t>F</w:t>
      </w:r>
      <w:r w:rsidR="00AA6216" w:rsidRPr="00D318C5">
        <w:rPr>
          <w:rFonts w:ascii="Times New Roman" w:hAnsi="Times New Roman"/>
          <w:sz w:val="23"/>
          <w:szCs w:val="23"/>
        </w:rPr>
        <w:t>or example,</w:t>
      </w:r>
      <w:r w:rsidR="00D84D16" w:rsidRPr="00D318C5">
        <w:rPr>
          <w:rFonts w:ascii="Times New Roman" w:hAnsi="Times New Roman"/>
          <w:sz w:val="23"/>
          <w:szCs w:val="23"/>
        </w:rPr>
        <w:t xml:space="preserve"> during the implementation of a nation-wide </w:t>
      </w:r>
      <w:r w:rsidR="003C4B4C" w:rsidRPr="00D318C5">
        <w:rPr>
          <w:rFonts w:ascii="Times New Roman" w:hAnsi="Times New Roman"/>
          <w:sz w:val="23"/>
          <w:szCs w:val="23"/>
        </w:rPr>
        <w:t xml:space="preserve">systematic </w:t>
      </w:r>
      <w:r w:rsidR="00D84D16" w:rsidRPr="00D318C5">
        <w:rPr>
          <w:rFonts w:ascii="Times New Roman" w:hAnsi="Times New Roman"/>
          <w:sz w:val="23"/>
          <w:szCs w:val="23"/>
        </w:rPr>
        <w:t>land administration project</w:t>
      </w:r>
      <w:r w:rsidR="000C6FFD" w:rsidRPr="00D318C5">
        <w:rPr>
          <w:rFonts w:ascii="Times New Roman" w:hAnsi="Times New Roman"/>
          <w:sz w:val="23"/>
          <w:szCs w:val="23"/>
        </w:rPr>
        <w:t>, a</w:t>
      </w:r>
      <w:r w:rsidR="009F7232" w:rsidRPr="00D318C5">
        <w:rPr>
          <w:rFonts w:ascii="Times New Roman" w:hAnsi="Times New Roman"/>
          <w:sz w:val="23"/>
          <w:szCs w:val="23"/>
        </w:rPr>
        <w:t xml:space="preserve"> </w:t>
      </w:r>
      <w:r w:rsidR="000C6FFD" w:rsidRPr="00D318C5">
        <w:rPr>
          <w:rFonts w:ascii="Times New Roman" w:hAnsi="Times New Roman"/>
          <w:sz w:val="23"/>
          <w:szCs w:val="23"/>
        </w:rPr>
        <w:t xml:space="preserve">moratorium on eviction </w:t>
      </w:r>
      <w:r w:rsidR="009F7232" w:rsidRPr="00D318C5">
        <w:rPr>
          <w:rFonts w:ascii="Times New Roman" w:hAnsi="Times New Roman"/>
          <w:sz w:val="23"/>
          <w:szCs w:val="23"/>
        </w:rPr>
        <w:t xml:space="preserve">of any household or community </w:t>
      </w:r>
      <w:r w:rsidR="000C6FFD" w:rsidRPr="00D318C5">
        <w:rPr>
          <w:rFonts w:ascii="Times New Roman" w:hAnsi="Times New Roman"/>
          <w:sz w:val="23"/>
          <w:szCs w:val="23"/>
        </w:rPr>
        <w:t xml:space="preserve">until </w:t>
      </w:r>
      <w:r w:rsidR="009F7232" w:rsidRPr="00D318C5">
        <w:rPr>
          <w:rFonts w:ascii="Times New Roman" w:hAnsi="Times New Roman"/>
          <w:sz w:val="23"/>
          <w:szCs w:val="23"/>
        </w:rPr>
        <w:t xml:space="preserve">their tenure </w:t>
      </w:r>
      <w:r w:rsidR="000C6FFD" w:rsidRPr="00D318C5">
        <w:rPr>
          <w:rFonts w:ascii="Times New Roman" w:hAnsi="Times New Roman"/>
          <w:sz w:val="23"/>
          <w:szCs w:val="23"/>
        </w:rPr>
        <w:t>rights are adjudicated</w:t>
      </w:r>
      <w:r w:rsidR="009F7232" w:rsidRPr="00D318C5">
        <w:rPr>
          <w:rFonts w:ascii="Times New Roman" w:hAnsi="Times New Roman"/>
          <w:sz w:val="23"/>
          <w:szCs w:val="23"/>
        </w:rPr>
        <w:t xml:space="preserve"> would be an app</w:t>
      </w:r>
      <w:r w:rsidR="00D86A72">
        <w:rPr>
          <w:rFonts w:ascii="Times New Roman" w:hAnsi="Times New Roman"/>
          <w:sz w:val="23"/>
          <w:szCs w:val="23"/>
        </w:rPr>
        <w:t>ropriate safeguard measure</w:t>
      </w:r>
      <w:r w:rsidR="00D84D16" w:rsidRPr="00D318C5">
        <w:rPr>
          <w:rFonts w:ascii="Times New Roman" w:hAnsi="Times New Roman"/>
          <w:sz w:val="23"/>
          <w:szCs w:val="23"/>
        </w:rPr>
        <w:t>.</w:t>
      </w:r>
      <w:r w:rsidR="003E1670" w:rsidRPr="00D318C5">
        <w:rPr>
          <w:rStyle w:val="FootnoteReference"/>
          <w:rFonts w:ascii="Times New Roman" w:hAnsi="Times New Roman"/>
          <w:sz w:val="23"/>
          <w:szCs w:val="23"/>
        </w:rPr>
        <w:footnoteReference w:id="15"/>
      </w:r>
      <w:r w:rsidR="00C9283D" w:rsidRPr="00D318C5">
        <w:rPr>
          <w:rFonts w:ascii="Times New Roman" w:hAnsi="Times New Roman"/>
          <w:sz w:val="23"/>
          <w:szCs w:val="23"/>
        </w:rPr>
        <w:t xml:space="preserve"> In other situations, </w:t>
      </w:r>
      <w:r w:rsidR="00D84D16" w:rsidRPr="00D318C5">
        <w:rPr>
          <w:rFonts w:ascii="Times New Roman" w:hAnsi="Times New Roman"/>
          <w:sz w:val="23"/>
          <w:szCs w:val="23"/>
        </w:rPr>
        <w:t xml:space="preserve">in which a limited group is affected in a particular way, </w:t>
      </w:r>
      <w:r w:rsidR="00DF1DDB" w:rsidRPr="00D318C5">
        <w:rPr>
          <w:rFonts w:ascii="Times New Roman" w:hAnsi="Times New Roman"/>
          <w:sz w:val="23"/>
          <w:szCs w:val="23"/>
        </w:rPr>
        <w:t xml:space="preserve">such as a </w:t>
      </w:r>
      <w:r w:rsidR="00C9283D" w:rsidRPr="00D318C5">
        <w:rPr>
          <w:rFonts w:ascii="Times New Roman" w:hAnsi="Times New Roman"/>
          <w:sz w:val="23"/>
          <w:szCs w:val="23"/>
        </w:rPr>
        <w:t xml:space="preserve">project that </w:t>
      </w:r>
      <w:r w:rsidR="00103D01" w:rsidRPr="00D318C5">
        <w:rPr>
          <w:rFonts w:ascii="Times New Roman" w:hAnsi="Times New Roman"/>
          <w:sz w:val="23"/>
          <w:szCs w:val="23"/>
        </w:rPr>
        <w:t xml:space="preserve">establishes </w:t>
      </w:r>
      <w:r w:rsidR="00C9283D" w:rsidRPr="00D318C5">
        <w:rPr>
          <w:rFonts w:ascii="Times New Roman" w:hAnsi="Times New Roman"/>
          <w:sz w:val="23"/>
          <w:szCs w:val="23"/>
        </w:rPr>
        <w:t>a right of way</w:t>
      </w:r>
      <w:r w:rsidR="00593630" w:rsidRPr="00D318C5">
        <w:rPr>
          <w:rFonts w:ascii="Times New Roman" w:hAnsi="Times New Roman"/>
          <w:sz w:val="23"/>
          <w:szCs w:val="23"/>
        </w:rPr>
        <w:t xml:space="preserve"> but only removes people in a narrower corridor of impact</w:t>
      </w:r>
      <w:r w:rsidR="00C9283D" w:rsidRPr="00D318C5">
        <w:rPr>
          <w:rFonts w:ascii="Times New Roman" w:hAnsi="Times New Roman"/>
          <w:sz w:val="23"/>
          <w:szCs w:val="23"/>
        </w:rPr>
        <w:t xml:space="preserve">, </w:t>
      </w:r>
      <w:r w:rsidR="00D84D16" w:rsidRPr="00D318C5">
        <w:rPr>
          <w:rFonts w:ascii="Times New Roman" w:hAnsi="Times New Roman"/>
          <w:sz w:val="23"/>
          <w:szCs w:val="23"/>
        </w:rPr>
        <w:t>the t</w:t>
      </w:r>
      <w:r w:rsidR="007273C0" w:rsidRPr="00D318C5">
        <w:rPr>
          <w:rFonts w:ascii="Times New Roman" w:hAnsi="Times New Roman"/>
          <w:sz w:val="23"/>
          <w:szCs w:val="23"/>
        </w:rPr>
        <w:t xml:space="preserve">enure rights of </w:t>
      </w:r>
      <w:r w:rsidR="00D84D16" w:rsidRPr="00D318C5">
        <w:rPr>
          <w:rFonts w:ascii="Times New Roman" w:hAnsi="Times New Roman"/>
          <w:sz w:val="23"/>
          <w:szCs w:val="23"/>
        </w:rPr>
        <w:t xml:space="preserve">each </w:t>
      </w:r>
      <w:r w:rsidR="00DF2677" w:rsidRPr="00D318C5">
        <w:rPr>
          <w:rFonts w:ascii="Times New Roman" w:hAnsi="Times New Roman"/>
          <w:sz w:val="23"/>
          <w:szCs w:val="23"/>
        </w:rPr>
        <w:t>affected</w:t>
      </w:r>
      <w:r w:rsidR="007273C0" w:rsidRPr="00D318C5">
        <w:rPr>
          <w:rFonts w:ascii="Times New Roman" w:hAnsi="Times New Roman"/>
          <w:sz w:val="23"/>
          <w:szCs w:val="23"/>
        </w:rPr>
        <w:t xml:space="preserve"> household</w:t>
      </w:r>
      <w:r w:rsidR="00103D01" w:rsidRPr="00D318C5">
        <w:rPr>
          <w:rFonts w:ascii="Times New Roman" w:hAnsi="Times New Roman"/>
          <w:sz w:val="23"/>
          <w:szCs w:val="23"/>
        </w:rPr>
        <w:t xml:space="preserve"> or community</w:t>
      </w:r>
      <w:r w:rsidR="00275F72" w:rsidRPr="00D318C5">
        <w:rPr>
          <w:rFonts w:ascii="Times New Roman" w:hAnsi="Times New Roman"/>
          <w:sz w:val="23"/>
          <w:szCs w:val="23"/>
        </w:rPr>
        <w:t xml:space="preserve"> </w:t>
      </w:r>
      <w:r w:rsidR="00593630" w:rsidRPr="00D318C5">
        <w:rPr>
          <w:rFonts w:ascii="Times New Roman" w:hAnsi="Times New Roman"/>
          <w:sz w:val="23"/>
          <w:szCs w:val="23"/>
        </w:rPr>
        <w:t xml:space="preserve">remaining </w:t>
      </w:r>
      <w:r w:rsidR="00BD2960" w:rsidRPr="00D318C5">
        <w:rPr>
          <w:rFonts w:ascii="Times New Roman" w:hAnsi="Times New Roman"/>
          <w:sz w:val="23"/>
          <w:szCs w:val="23"/>
        </w:rPr>
        <w:t xml:space="preserve">may </w:t>
      </w:r>
      <w:r w:rsidR="00D84D16" w:rsidRPr="00D318C5">
        <w:rPr>
          <w:rFonts w:ascii="Times New Roman" w:hAnsi="Times New Roman"/>
          <w:sz w:val="23"/>
          <w:szCs w:val="23"/>
        </w:rPr>
        <w:t xml:space="preserve">need to be </w:t>
      </w:r>
      <w:r w:rsidR="00275F72" w:rsidRPr="00D318C5">
        <w:rPr>
          <w:rFonts w:ascii="Times New Roman" w:hAnsi="Times New Roman"/>
          <w:sz w:val="23"/>
          <w:szCs w:val="23"/>
        </w:rPr>
        <w:t xml:space="preserve">legally recognized and </w:t>
      </w:r>
      <w:r w:rsidR="007273C0" w:rsidRPr="00D318C5">
        <w:rPr>
          <w:rFonts w:ascii="Times New Roman" w:hAnsi="Times New Roman"/>
          <w:sz w:val="23"/>
          <w:szCs w:val="23"/>
        </w:rPr>
        <w:t>secured</w:t>
      </w:r>
      <w:r w:rsidR="00D84D16" w:rsidRPr="00D318C5">
        <w:rPr>
          <w:rFonts w:ascii="Times New Roman" w:hAnsi="Times New Roman"/>
          <w:sz w:val="23"/>
          <w:szCs w:val="23"/>
        </w:rPr>
        <w:t>. This can</w:t>
      </w:r>
      <w:r w:rsidR="00A24545" w:rsidRPr="00D318C5">
        <w:rPr>
          <w:rFonts w:ascii="Times New Roman" w:hAnsi="Times New Roman"/>
          <w:sz w:val="23"/>
          <w:szCs w:val="23"/>
        </w:rPr>
        <w:t xml:space="preserve"> </w:t>
      </w:r>
      <w:r w:rsidR="00D84D16" w:rsidRPr="00D318C5">
        <w:rPr>
          <w:rFonts w:ascii="Times New Roman" w:hAnsi="Times New Roman"/>
          <w:sz w:val="23"/>
          <w:szCs w:val="23"/>
        </w:rPr>
        <w:t xml:space="preserve">occur </w:t>
      </w:r>
      <w:r w:rsidR="00275F72" w:rsidRPr="00D318C5">
        <w:rPr>
          <w:rFonts w:ascii="Times New Roman" w:hAnsi="Times New Roman"/>
          <w:sz w:val="23"/>
          <w:szCs w:val="23"/>
        </w:rPr>
        <w:t xml:space="preserve">through </w:t>
      </w:r>
      <w:r w:rsidR="007273C0" w:rsidRPr="00D318C5">
        <w:rPr>
          <w:rFonts w:ascii="Times New Roman" w:hAnsi="Times New Roman"/>
          <w:sz w:val="23"/>
          <w:szCs w:val="23"/>
        </w:rPr>
        <w:t xml:space="preserve">a variety of possible means, such as </w:t>
      </w:r>
      <w:r w:rsidR="00A24545" w:rsidRPr="00D318C5">
        <w:rPr>
          <w:rFonts w:ascii="Times New Roman" w:hAnsi="Times New Roman"/>
          <w:sz w:val="23"/>
          <w:szCs w:val="23"/>
        </w:rPr>
        <w:t>enforceable contracts</w:t>
      </w:r>
      <w:r w:rsidR="000A39DD" w:rsidRPr="00D318C5">
        <w:rPr>
          <w:rFonts w:ascii="Times New Roman" w:hAnsi="Times New Roman"/>
          <w:sz w:val="23"/>
          <w:szCs w:val="23"/>
        </w:rPr>
        <w:t xml:space="preserve"> including leases</w:t>
      </w:r>
      <w:r w:rsidR="0034606C" w:rsidRPr="00D318C5">
        <w:rPr>
          <w:rFonts w:ascii="Times New Roman" w:hAnsi="Times New Roman"/>
          <w:sz w:val="23"/>
          <w:szCs w:val="23"/>
        </w:rPr>
        <w:t xml:space="preserve"> or usufruct agreements</w:t>
      </w:r>
      <w:r w:rsidR="00A24545" w:rsidRPr="00D318C5">
        <w:rPr>
          <w:rFonts w:ascii="Times New Roman" w:hAnsi="Times New Roman"/>
          <w:sz w:val="23"/>
          <w:szCs w:val="23"/>
        </w:rPr>
        <w:t>,</w:t>
      </w:r>
      <w:r w:rsidR="004C4203" w:rsidRPr="00D318C5">
        <w:rPr>
          <w:rFonts w:ascii="Times New Roman" w:hAnsi="Times New Roman"/>
          <w:sz w:val="23"/>
          <w:szCs w:val="23"/>
        </w:rPr>
        <w:t xml:space="preserve"> the conferral of titles,</w:t>
      </w:r>
      <w:r w:rsidR="00A2424E" w:rsidRPr="00D318C5">
        <w:rPr>
          <w:rStyle w:val="FootnoteReference"/>
          <w:rFonts w:ascii="Times New Roman" w:hAnsi="Times New Roman"/>
          <w:sz w:val="23"/>
          <w:szCs w:val="23"/>
        </w:rPr>
        <w:footnoteReference w:id="16"/>
      </w:r>
      <w:r w:rsidR="004C4203" w:rsidRPr="00D318C5">
        <w:rPr>
          <w:rFonts w:ascii="Times New Roman" w:hAnsi="Times New Roman"/>
          <w:sz w:val="23"/>
          <w:szCs w:val="23"/>
        </w:rPr>
        <w:t xml:space="preserve"> occu</w:t>
      </w:r>
      <w:r w:rsidR="007273C0" w:rsidRPr="00D318C5">
        <w:rPr>
          <w:rFonts w:ascii="Times New Roman" w:hAnsi="Times New Roman"/>
          <w:sz w:val="23"/>
          <w:szCs w:val="23"/>
        </w:rPr>
        <w:t>pancy</w:t>
      </w:r>
      <w:r w:rsidR="00152C30" w:rsidRPr="00D318C5">
        <w:rPr>
          <w:rFonts w:ascii="Times New Roman" w:hAnsi="Times New Roman"/>
          <w:sz w:val="23"/>
          <w:szCs w:val="23"/>
        </w:rPr>
        <w:t>, access</w:t>
      </w:r>
      <w:r w:rsidR="007273C0" w:rsidRPr="00D318C5">
        <w:rPr>
          <w:rFonts w:ascii="Times New Roman" w:hAnsi="Times New Roman"/>
          <w:sz w:val="23"/>
          <w:szCs w:val="23"/>
        </w:rPr>
        <w:t xml:space="preserve"> </w:t>
      </w:r>
      <w:r w:rsidR="00152C30" w:rsidRPr="00D318C5">
        <w:rPr>
          <w:rFonts w:ascii="Times New Roman" w:hAnsi="Times New Roman"/>
          <w:sz w:val="23"/>
          <w:szCs w:val="23"/>
        </w:rPr>
        <w:t xml:space="preserve">or use </w:t>
      </w:r>
      <w:r w:rsidR="007273C0" w:rsidRPr="00D318C5">
        <w:rPr>
          <w:rFonts w:ascii="Times New Roman" w:hAnsi="Times New Roman"/>
          <w:sz w:val="23"/>
          <w:szCs w:val="23"/>
        </w:rPr>
        <w:t>licenses or certificates</w:t>
      </w:r>
      <w:r w:rsidR="00E63B96" w:rsidRPr="00D318C5">
        <w:rPr>
          <w:rFonts w:ascii="Times New Roman" w:hAnsi="Times New Roman"/>
          <w:sz w:val="23"/>
          <w:szCs w:val="23"/>
        </w:rPr>
        <w:t>,</w:t>
      </w:r>
      <w:r w:rsidR="004C4203" w:rsidRPr="00D318C5">
        <w:rPr>
          <w:rFonts w:ascii="Times New Roman" w:hAnsi="Times New Roman"/>
          <w:sz w:val="23"/>
          <w:szCs w:val="23"/>
        </w:rPr>
        <w:t xml:space="preserve"> </w:t>
      </w:r>
      <w:r w:rsidR="00BD339D" w:rsidRPr="00D318C5">
        <w:rPr>
          <w:rFonts w:ascii="Times New Roman" w:hAnsi="Times New Roman"/>
          <w:sz w:val="23"/>
          <w:szCs w:val="23"/>
        </w:rPr>
        <w:t>establishing community land trusts or</w:t>
      </w:r>
      <w:r w:rsidR="001D02C3" w:rsidRPr="00D318C5">
        <w:rPr>
          <w:rFonts w:ascii="Times New Roman" w:hAnsi="Times New Roman"/>
          <w:sz w:val="23"/>
          <w:szCs w:val="23"/>
        </w:rPr>
        <w:t xml:space="preserve"> cooperatives</w:t>
      </w:r>
      <w:r w:rsidR="00BD339D" w:rsidRPr="00D318C5">
        <w:rPr>
          <w:rFonts w:ascii="Times New Roman" w:hAnsi="Times New Roman"/>
          <w:sz w:val="23"/>
          <w:szCs w:val="23"/>
        </w:rPr>
        <w:t>,</w:t>
      </w:r>
      <w:r w:rsidR="001D02C3" w:rsidRPr="00D318C5">
        <w:rPr>
          <w:rFonts w:ascii="Times New Roman" w:hAnsi="Times New Roman"/>
          <w:sz w:val="23"/>
          <w:szCs w:val="23"/>
        </w:rPr>
        <w:t xml:space="preserve"> </w:t>
      </w:r>
      <w:r w:rsidR="00E52E68" w:rsidRPr="00D318C5">
        <w:rPr>
          <w:rFonts w:ascii="Times New Roman" w:hAnsi="Times New Roman"/>
          <w:sz w:val="23"/>
          <w:szCs w:val="23"/>
        </w:rPr>
        <w:t>or</w:t>
      </w:r>
      <w:r w:rsidR="00A24545" w:rsidRPr="00D318C5">
        <w:rPr>
          <w:rFonts w:ascii="Times New Roman" w:hAnsi="Times New Roman"/>
          <w:sz w:val="23"/>
          <w:szCs w:val="23"/>
        </w:rPr>
        <w:t xml:space="preserve"> </w:t>
      </w:r>
      <w:r w:rsidR="00BD339D" w:rsidRPr="00D318C5">
        <w:rPr>
          <w:rFonts w:ascii="Times New Roman" w:hAnsi="Times New Roman"/>
          <w:sz w:val="23"/>
          <w:szCs w:val="23"/>
        </w:rPr>
        <w:t xml:space="preserve">any </w:t>
      </w:r>
      <w:r w:rsidR="00A24545" w:rsidRPr="00D318C5">
        <w:rPr>
          <w:rFonts w:ascii="Times New Roman" w:hAnsi="Times New Roman"/>
          <w:sz w:val="23"/>
          <w:szCs w:val="23"/>
        </w:rPr>
        <w:t xml:space="preserve">other </w:t>
      </w:r>
      <w:r w:rsidR="008E5589" w:rsidRPr="00D318C5">
        <w:rPr>
          <w:rFonts w:ascii="Times New Roman" w:hAnsi="Times New Roman"/>
          <w:sz w:val="23"/>
          <w:szCs w:val="23"/>
        </w:rPr>
        <w:t xml:space="preserve">contextually </w:t>
      </w:r>
      <w:r w:rsidR="00A24545" w:rsidRPr="00D318C5">
        <w:rPr>
          <w:rFonts w:ascii="Times New Roman" w:hAnsi="Times New Roman"/>
          <w:sz w:val="23"/>
          <w:szCs w:val="23"/>
        </w:rPr>
        <w:t>appropriate means</w:t>
      </w:r>
      <w:r w:rsidR="00BD339D" w:rsidRPr="00D318C5">
        <w:rPr>
          <w:rFonts w:ascii="Times New Roman" w:hAnsi="Times New Roman"/>
          <w:sz w:val="23"/>
          <w:szCs w:val="23"/>
        </w:rPr>
        <w:t xml:space="preserve"> that provides security of tenure</w:t>
      </w:r>
      <w:r w:rsidR="00A24545" w:rsidRPr="00D318C5">
        <w:rPr>
          <w:rFonts w:ascii="Times New Roman" w:hAnsi="Times New Roman"/>
          <w:sz w:val="23"/>
          <w:szCs w:val="23"/>
        </w:rPr>
        <w:t>.</w:t>
      </w:r>
      <w:r w:rsidR="006378C6" w:rsidRPr="00D318C5">
        <w:rPr>
          <w:rFonts w:ascii="Times New Roman" w:hAnsi="Times New Roman"/>
          <w:sz w:val="23"/>
          <w:szCs w:val="23"/>
        </w:rPr>
        <w:t xml:space="preserve"> In some cases, it will be necessary to update, clarify and affirm tenure rights, rather than </w:t>
      </w:r>
      <w:r w:rsidR="006F2C13" w:rsidRPr="00D318C5">
        <w:rPr>
          <w:rFonts w:ascii="Times New Roman" w:hAnsi="Times New Roman"/>
          <w:sz w:val="23"/>
          <w:szCs w:val="23"/>
        </w:rPr>
        <w:t xml:space="preserve">recognize or grant </w:t>
      </w:r>
      <w:r w:rsidR="006378C6" w:rsidRPr="00D318C5">
        <w:rPr>
          <w:rFonts w:ascii="Times New Roman" w:hAnsi="Times New Roman"/>
          <w:sz w:val="23"/>
          <w:szCs w:val="23"/>
        </w:rPr>
        <w:t>them.</w:t>
      </w:r>
      <w:r w:rsidR="00A24545" w:rsidRPr="00D318C5">
        <w:rPr>
          <w:rFonts w:ascii="Times New Roman" w:hAnsi="Times New Roman"/>
          <w:sz w:val="23"/>
          <w:szCs w:val="23"/>
        </w:rPr>
        <w:t xml:space="preserve"> </w:t>
      </w:r>
      <w:r w:rsidR="00126888" w:rsidRPr="00D318C5">
        <w:rPr>
          <w:rFonts w:ascii="Times New Roman" w:hAnsi="Times New Roman"/>
          <w:b/>
          <w:sz w:val="23"/>
          <w:szCs w:val="23"/>
        </w:rPr>
        <w:t xml:space="preserve">The </w:t>
      </w:r>
      <w:r w:rsidR="005F0F22" w:rsidRPr="00D318C5">
        <w:rPr>
          <w:rFonts w:ascii="Times New Roman" w:hAnsi="Times New Roman"/>
          <w:b/>
          <w:sz w:val="23"/>
          <w:szCs w:val="23"/>
        </w:rPr>
        <w:t xml:space="preserve">conferral of tenure security </w:t>
      </w:r>
      <w:r w:rsidR="00126888" w:rsidRPr="00D318C5">
        <w:rPr>
          <w:rFonts w:ascii="Times New Roman" w:hAnsi="Times New Roman"/>
          <w:b/>
          <w:sz w:val="23"/>
          <w:szCs w:val="23"/>
        </w:rPr>
        <w:t xml:space="preserve">should only be denied in </w:t>
      </w:r>
      <w:r w:rsidR="00374077" w:rsidRPr="00D318C5">
        <w:rPr>
          <w:rFonts w:ascii="Times New Roman" w:hAnsi="Times New Roman"/>
          <w:b/>
          <w:sz w:val="23"/>
          <w:szCs w:val="23"/>
        </w:rPr>
        <w:t xml:space="preserve">lawful </w:t>
      </w:r>
      <w:r w:rsidR="00126888" w:rsidRPr="00D318C5">
        <w:rPr>
          <w:rFonts w:ascii="Times New Roman" w:hAnsi="Times New Roman"/>
          <w:b/>
          <w:sz w:val="23"/>
          <w:szCs w:val="23"/>
        </w:rPr>
        <w:t>and non-arbitrary circumstances</w:t>
      </w:r>
      <w:r w:rsidR="00012CFB" w:rsidRPr="00D318C5">
        <w:rPr>
          <w:rFonts w:ascii="Times New Roman" w:hAnsi="Times New Roman"/>
          <w:b/>
          <w:sz w:val="23"/>
          <w:szCs w:val="23"/>
        </w:rPr>
        <w:t xml:space="preserve"> after the consideration of all feasible alternatives</w:t>
      </w:r>
      <w:r w:rsidR="00DD6636" w:rsidRPr="00D318C5">
        <w:rPr>
          <w:rFonts w:ascii="Times New Roman" w:hAnsi="Times New Roman"/>
          <w:b/>
          <w:sz w:val="23"/>
          <w:szCs w:val="23"/>
        </w:rPr>
        <w:t xml:space="preserve"> </w:t>
      </w:r>
      <w:r w:rsidR="0034098D" w:rsidRPr="00D318C5">
        <w:rPr>
          <w:rFonts w:ascii="Times New Roman" w:hAnsi="Times New Roman"/>
          <w:b/>
          <w:sz w:val="23"/>
          <w:szCs w:val="23"/>
        </w:rPr>
        <w:t xml:space="preserve">and </w:t>
      </w:r>
      <w:r w:rsidR="00126888" w:rsidRPr="00D318C5">
        <w:rPr>
          <w:rFonts w:ascii="Times New Roman" w:hAnsi="Times New Roman"/>
          <w:b/>
          <w:sz w:val="23"/>
          <w:szCs w:val="23"/>
        </w:rPr>
        <w:t xml:space="preserve">solely for the purpose of promoting </w:t>
      </w:r>
      <w:r w:rsidR="004366C4" w:rsidRPr="00D318C5">
        <w:rPr>
          <w:rFonts w:ascii="Times New Roman" w:hAnsi="Times New Roman"/>
          <w:b/>
          <w:sz w:val="23"/>
          <w:szCs w:val="23"/>
        </w:rPr>
        <w:t xml:space="preserve">the </w:t>
      </w:r>
      <w:r w:rsidR="00126888" w:rsidRPr="00D318C5">
        <w:rPr>
          <w:rFonts w:ascii="Times New Roman" w:hAnsi="Times New Roman"/>
          <w:b/>
          <w:sz w:val="23"/>
          <w:szCs w:val="23"/>
        </w:rPr>
        <w:t>general welfare consistent with international human rights obligations</w:t>
      </w:r>
      <w:r w:rsidR="000C3398" w:rsidRPr="00D318C5">
        <w:rPr>
          <w:rFonts w:ascii="Times New Roman" w:hAnsi="Times New Roman"/>
          <w:b/>
          <w:sz w:val="23"/>
          <w:szCs w:val="23"/>
        </w:rPr>
        <w:t>.</w:t>
      </w:r>
      <w:r w:rsidR="00DA596A" w:rsidRPr="00D318C5">
        <w:rPr>
          <w:rStyle w:val="FootnoteReference"/>
          <w:rFonts w:ascii="Times New Roman" w:hAnsi="Times New Roman"/>
          <w:b/>
          <w:sz w:val="23"/>
          <w:szCs w:val="23"/>
        </w:rPr>
        <w:footnoteReference w:id="17"/>
      </w:r>
      <w:r w:rsidR="000C3398" w:rsidRPr="00D318C5">
        <w:rPr>
          <w:rFonts w:ascii="Times New Roman" w:hAnsi="Times New Roman"/>
          <w:b/>
          <w:sz w:val="23"/>
          <w:szCs w:val="23"/>
        </w:rPr>
        <w:t xml:space="preserve"> </w:t>
      </w:r>
    </w:p>
    <w:p w14:paraId="649B3288" w14:textId="5C1FBEB9" w:rsidR="00C52966" w:rsidRPr="00977956" w:rsidRDefault="002A1EAB" w:rsidP="00A9026F">
      <w:pPr>
        <w:pStyle w:val="ListParagraph"/>
        <w:numPr>
          <w:ilvl w:val="0"/>
          <w:numId w:val="7"/>
        </w:numPr>
        <w:spacing w:after="360" w:line="276" w:lineRule="auto"/>
        <w:ind w:left="360"/>
        <w:contextualSpacing w:val="0"/>
        <w:jc w:val="both"/>
        <w:rPr>
          <w:rFonts w:ascii="Times New Roman" w:hAnsi="Times New Roman"/>
          <w:sz w:val="23"/>
          <w:szCs w:val="23"/>
        </w:rPr>
      </w:pPr>
      <w:r w:rsidRPr="00D318C5">
        <w:rPr>
          <w:rFonts w:ascii="Times New Roman" w:hAnsi="Times New Roman"/>
          <w:b/>
          <w:sz w:val="23"/>
          <w:szCs w:val="23"/>
        </w:rPr>
        <w:t xml:space="preserve">The means used to confer legal tenure </w:t>
      </w:r>
      <w:r w:rsidR="00F64028">
        <w:rPr>
          <w:rFonts w:ascii="Times New Roman" w:hAnsi="Times New Roman"/>
          <w:b/>
          <w:sz w:val="23"/>
          <w:szCs w:val="23"/>
        </w:rPr>
        <w:t xml:space="preserve">security </w:t>
      </w:r>
      <w:r w:rsidRPr="00D318C5">
        <w:rPr>
          <w:rFonts w:ascii="Times New Roman" w:hAnsi="Times New Roman"/>
          <w:b/>
          <w:sz w:val="23"/>
          <w:szCs w:val="23"/>
        </w:rPr>
        <w:t>should, to the fullest extent possible, be based on tenure systems that are familiar to affected persons and locally legitimate as well as legally</w:t>
      </w:r>
      <w:r w:rsidR="00F64028">
        <w:rPr>
          <w:rFonts w:ascii="Times New Roman" w:hAnsi="Times New Roman"/>
          <w:b/>
          <w:sz w:val="23"/>
          <w:szCs w:val="23"/>
        </w:rPr>
        <w:t xml:space="preserve"> valid</w:t>
      </w:r>
      <w:r w:rsidRPr="00D318C5">
        <w:rPr>
          <w:rFonts w:ascii="Times New Roman" w:hAnsi="Times New Roman"/>
          <w:b/>
          <w:sz w:val="23"/>
          <w:szCs w:val="23"/>
        </w:rPr>
        <w:t>.</w:t>
      </w:r>
      <w:r w:rsidRPr="00D318C5">
        <w:rPr>
          <w:rFonts w:ascii="Times New Roman" w:hAnsi="Times New Roman"/>
          <w:sz w:val="23"/>
          <w:szCs w:val="23"/>
        </w:rPr>
        <w:t xml:space="preserve"> </w:t>
      </w:r>
      <w:r w:rsidR="00474BAC" w:rsidRPr="00D318C5">
        <w:rPr>
          <w:rFonts w:ascii="Times New Roman" w:hAnsi="Times New Roman"/>
          <w:sz w:val="23"/>
          <w:szCs w:val="23"/>
        </w:rPr>
        <w:t xml:space="preserve">In </w:t>
      </w:r>
      <w:r w:rsidR="00977956">
        <w:rPr>
          <w:rFonts w:ascii="Times New Roman" w:hAnsi="Times New Roman"/>
          <w:sz w:val="23"/>
          <w:szCs w:val="23"/>
        </w:rPr>
        <w:t xml:space="preserve">the case of indigenous </w:t>
      </w:r>
      <w:r w:rsidR="00A456D5" w:rsidRPr="00977956">
        <w:rPr>
          <w:rFonts w:ascii="Times New Roman" w:hAnsi="Times New Roman"/>
          <w:sz w:val="23"/>
          <w:szCs w:val="23"/>
        </w:rPr>
        <w:t xml:space="preserve">peoples’ </w:t>
      </w:r>
      <w:r w:rsidR="00474BAC" w:rsidRPr="00977956">
        <w:rPr>
          <w:rFonts w:ascii="Times New Roman" w:hAnsi="Times New Roman"/>
          <w:sz w:val="23"/>
          <w:szCs w:val="23"/>
        </w:rPr>
        <w:t xml:space="preserve">land tenure, legal recognition and protection </w:t>
      </w:r>
      <w:r w:rsidR="00FA5EF5" w:rsidRPr="00977956">
        <w:rPr>
          <w:rFonts w:ascii="Times New Roman" w:hAnsi="Times New Roman"/>
          <w:sz w:val="23"/>
          <w:szCs w:val="23"/>
        </w:rPr>
        <w:t>of</w:t>
      </w:r>
      <w:r w:rsidR="00474BAC" w:rsidRPr="00977956">
        <w:rPr>
          <w:rFonts w:ascii="Times New Roman" w:hAnsi="Times New Roman"/>
          <w:sz w:val="23"/>
          <w:szCs w:val="23"/>
        </w:rPr>
        <w:t xml:space="preserve"> their lands, territories and resources should be conferred in a manner that gives due respect to the customs, traditions and land tenure systems of the peoples concerned</w:t>
      </w:r>
      <w:r w:rsidR="0097407E" w:rsidRPr="00977956">
        <w:rPr>
          <w:rFonts w:ascii="Times New Roman" w:hAnsi="Times New Roman"/>
          <w:sz w:val="23"/>
          <w:szCs w:val="23"/>
        </w:rPr>
        <w:t xml:space="preserve"> (subject to the rights of women and other marginalized groups to non-discrimination and equal treatment under the law)</w:t>
      </w:r>
      <w:r w:rsidR="008A4002" w:rsidRPr="00977956">
        <w:rPr>
          <w:rFonts w:ascii="Times New Roman" w:hAnsi="Times New Roman"/>
          <w:sz w:val="23"/>
          <w:szCs w:val="23"/>
        </w:rPr>
        <w:t xml:space="preserve"> and </w:t>
      </w:r>
      <w:r w:rsidR="00180F43" w:rsidRPr="00977956">
        <w:rPr>
          <w:rFonts w:ascii="Times New Roman" w:hAnsi="Times New Roman"/>
          <w:sz w:val="23"/>
          <w:szCs w:val="23"/>
        </w:rPr>
        <w:t>respects their right to give or withhold their free, prior and informed consent</w:t>
      </w:r>
      <w:r w:rsidR="00474BAC" w:rsidRPr="00977956">
        <w:rPr>
          <w:rFonts w:ascii="Times New Roman" w:hAnsi="Times New Roman"/>
          <w:sz w:val="23"/>
          <w:szCs w:val="23"/>
        </w:rPr>
        <w:t>.</w:t>
      </w:r>
      <w:r w:rsidR="00165793" w:rsidRPr="00D318C5">
        <w:rPr>
          <w:rStyle w:val="FootnoteReference"/>
          <w:rFonts w:ascii="Times New Roman" w:hAnsi="Times New Roman"/>
          <w:sz w:val="23"/>
          <w:szCs w:val="23"/>
        </w:rPr>
        <w:footnoteReference w:id="18"/>
      </w:r>
      <w:r w:rsidR="00474BAC" w:rsidRPr="00977956">
        <w:rPr>
          <w:rFonts w:ascii="Times New Roman" w:hAnsi="Times New Roman"/>
          <w:sz w:val="23"/>
          <w:szCs w:val="23"/>
        </w:rPr>
        <w:t xml:space="preserve"> </w:t>
      </w:r>
      <w:r w:rsidRPr="00977956">
        <w:rPr>
          <w:rFonts w:ascii="Times New Roman" w:hAnsi="Times New Roman"/>
          <w:sz w:val="23"/>
          <w:szCs w:val="23"/>
        </w:rPr>
        <w:t xml:space="preserve">Under no circumstances should </w:t>
      </w:r>
      <w:r w:rsidR="00AC7A07" w:rsidRPr="00977956">
        <w:rPr>
          <w:rFonts w:ascii="Times New Roman" w:hAnsi="Times New Roman"/>
          <w:sz w:val="23"/>
          <w:szCs w:val="23"/>
        </w:rPr>
        <w:t xml:space="preserve">a </w:t>
      </w:r>
      <w:r w:rsidR="006556BE" w:rsidRPr="00977956">
        <w:rPr>
          <w:rFonts w:ascii="Times New Roman" w:hAnsi="Times New Roman"/>
          <w:sz w:val="23"/>
          <w:szCs w:val="23"/>
        </w:rPr>
        <w:t xml:space="preserve">tenure </w:t>
      </w:r>
      <w:r w:rsidR="00AC7A07" w:rsidRPr="00977956">
        <w:rPr>
          <w:rFonts w:ascii="Times New Roman" w:hAnsi="Times New Roman"/>
          <w:sz w:val="23"/>
          <w:szCs w:val="23"/>
        </w:rPr>
        <w:t>system</w:t>
      </w:r>
      <w:r w:rsidR="007B2119" w:rsidRPr="00977956">
        <w:rPr>
          <w:rFonts w:ascii="Times New Roman" w:hAnsi="Times New Roman"/>
          <w:sz w:val="23"/>
          <w:szCs w:val="23"/>
        </w:rPr>
        <w:t>, such as a system of</w:t>
      </w:r>
      <w:r w:rsidR="00AC7A07" w:rsidRPr="00977956">
        <w:rPr>
          <w:rFonts w:ascii="Times New Roman" w:hAnsi="Times New Roman"/>
          <w:sz w:val="23"/>
          <w:szCs w:val="23"/>
        </w:rPr>
        <w:t xml:space="preserve"> </w:t>
      </w:r>
      <w:r w:rsidRPr="00977956">
        <w:rPr>
          <w:rFonts w:ascii="Times New Roman" w:hAnsi="Times New Roman"/>
          <w:sz w:val="23"/>
          <w:szCs w:val="23"/>
        </w:rPr>
        <w:t xml:space="preserve">individual </w:t>
      </w:r>
      <w:r w:rsidR="00AC7A07" w:rsidRPr="00977956">
        <w:rPr>
          <w:rFonts w:ascii="Times New Roman" w:hAnsi="Times New Roman"/>
          <w:sz w:val="23"/>
          <w:szCs w:val="23"/>
        </w:rPr>
        <w:t>ownership</w:t>
      </w:r>
      <w:r w:rsidR="007B2119" w:rsidRPr="00977956">
        <w:rPr>
          <w:rFonts w:ascii="Times New Roman" w:hAnsi="Times New Roman"/>
          <w:sz w:val="23"/>
          <w:szCs w:val="23"/>
        </w:rPr>
        <w:t>,</w:t>
      </w:r>
      <w:r w:rsidR="00AC7A07" w:rsidRPr="00977956">
        <w:rPr>
          <w:rFonts w:ascii="Times New Roman" w:hAnsi="Times New Roman"/>
          <w:sz w:val="23"/>
          <w:szCs w:val="23"/>
        </w:rPr>
        <w:t xml:space="preserve"> </w:t>
      </w:r>
      <w:r w:rsidRPr="00977956">
        <w:rPr>
          <w:rFonts w:ascii="Times New Roman" w:hAnsi="Times New Roman"/>
          <w:sz w:val="23"/>
          <w:szCs w:val="23"/>
        </w:rPr>
        <w:t xml:space="preserve">be </w:t>
      </w:r>
      <w:r w:rsidR="00FB2026" w:rsidRPr="00977956">
        <w:rPr>
          <w:rFonts w:ascii="Times New Roman" w:hAnsi="Times New Roman"/>
          <w:sz w:val="23"/>
          <w:szCs w:val="23"/>
        </w:rPr>
        <w:t xml:space="preserve">directly or indirectly </w:t>
      </w:r>
      <w:r w:rsidRPr="00977956">
        <w:rPr>
          <w:rFonts w:ascii="Times New Roman" w:hAnsi="Times New Roman"/>
          <w:sz w:val="23"/>
          <w:szCs w:val="23"/>
        </w:rPr>
        <w:t xml:space="preserve">imposed on </w:t>
      </w:r>
      <w:r w:rsidR="006325FF" w:rsidRPr="00977956">
        <w:rPr>
          <w:rFonts w:ascii="Times New Roman" w:hAnsi="Times New Roman"/>
          <w:sz w:val="23"/>
          <w:szCs w:val="23"/>
        </w:rPr>
        <w:t xml:space="preserve">communities </w:t>
      </w:r>
      <w:r w:rsidRPr="00977956">
        <w:rPr>
          <w:rFonts w:ascii="Times New Roman" w:hAnsi="Times New Roman"/>
          <w:sz w:val="23"/>
          <w:szCs w:val="23"/>
        </w:rPr>
        <w:t>who oppose it and whose customary or pre-existing tenure rules, rights and arrangements are inconsistent with</w:t>
      </w:r>
      <w:r w:rsidR="006556BE" w:rsidRPr="00977956">
        <w:rPr>
          <w:rFonts w:ascii="Times New Roman" w:hAnsi="Times New Roman"/>
          <w:sz w:val="23"/>
          <w:szCs w:val="23"/>
        </w:rPr>
        <w:t xml:space="preserve"> it</w:t>
      </w:r>
      <w:r w:rsidR="00702E19" w:rsidRPr="00977956">
        <w:rPr>
          <w:rFonts w:ascii="Times New Roman" w:hAnsi="Times New Roman"/>
          <w:sz w:val="23"/>
          <w:szCs w:val="23"/>
        </w:rPr>
        <w:t>. “Opt out” options may not be enough to avoid an indirect imposition of a tenure system.</w:t>
      </w:r>
      <w:r w:rsidR="00F60AA5" w:rsidRPr="00D318C5">
        <w:rPr>
          <w:rStyle w:val="FootnoteReference"/>
          <w:rFonts w:ascii="Times New Roman" w:hAnsi="Times New Roman"/>
          <w:sz w:val="23"/>
          <w:szCs w:val="23"/>
        </w:rPr>
        <w:footnoteReference w:id="19"/>
      </w:r>
      <w:r w:rsidR="00702E19" w:rsidRPr="00977956">
        <w:rPr>
          <w:rFonts w:ascii="Times New Roman" w:hAnsi="Times New Roman"/>
          <w:sz w:val="23"/>
          <w:szCs w:val="23"/>
        </w:rPr>
        <w:t xml:space="preserve"> </w:t>
      </w:r>
      <w:r w:rsidR="00F47172" w:rsidRPr="00977956">
        <w:rPr>
          <w:rFonts w:ascii="Times New Roman" w:hAnsi="Times New Roman"/>
          <w:sz w:val="23"/>
          <w:szCs w:val="23"/>
        </w:rPr>
        <w:t>Full l</w:t>
      </w:r>
      <w:r w:rsidR="00702E19" w:rsidRPr="00977956">
        <w:rPr>
          <w:rFonts w:ascii="Times New Roman" w:hAnsi="Times New Roman"/>
          <w:sz w:val="23"/>
          <w:szCs w:val="23"/>
        </w:rPr>
        <w:t xml:space="preserve">egal protection of the existing tenure </w:t>
      </w:r>
      <w:r w:rsidR="00F47172" w:rsidRPr="00977956">
        <w:rPr>
          <w:rFonts w:ascii="Times New Roman" w:hAnsi="Times New Roman"/>
          <w:sz w:val="23"/>
          <w:szCs w:val="23"/>
        </w:rPr>
        <w:t xml:space="preserve">right and/or system </w:t>
      </w:r>
      <w:r w:rsidR="00702E19" w:rsidRPr="00977956">
        <w:rPr>
          <w:rFonts w:ascii="Times New Roman" w:hAnsi="Times New Roman"/>
          <w:sz w:val="23"/>
          <w:szCs w:val="23"/>
        </w:rPr>
        <w:t>should be conferred in such cases</w:t>
      </w:r>
      <w:r w:rsidR="00567E8F" w:rsidRPr="00977956">
        <w:rPr>
          <w:rFonts w:ascii="Times New Roman" w:hAnsi="Times New Roman"/>
          <w:sz w:val="23"/>
          <w:szCs w:val="23"/>
        </w:rPr>
        <w:t>;</w:t>
      </w:r>
    </w:p>
    <w:p w14:paraId="01977BF0" w14:textId="661ED409" w:rsidR="0030369C" w:rsidRPr="00D318C5" w:rsidRDefault="00FB3A51" w:rsidP="00A9026F">
      <w:pPr>
        <w:pStyle w:val="ListParagraph"/>
        <w:numPr>
          <w:ilvl w:val="0"/>
          <w:numId w:val="7"/>
        </w:numPr>
        <w:spacing w:after="360" w:line="276" w:lineRule="auto"/>
        <w:ind w:left="360"/>
        <w:contextualSpacing w:val="0"/>
        <w:jc w:val="both"/>
        <w:rPr>
          <w:rFonts w:ascii="Times New Roman" w:hAnsi="Times New Roman"/>
          <w:sz w:val="23"/>
          <w:szCs w:val="23"/>
        </w:rPr>
      </w:pPr>
      <w:r w:rsidRPr="00D318C5">
        <w:rPr>
          <w:rFonts w:ascii="Times New Roman" w:hAnsi="Times New Roman"/>
          <w:b/>
          <w:sz w:val="23"/>
          <w:szCs w:val="23"/>
        </w:rPr>
        <w:t xml:space="preserve">Measures to promote </w:t>
      </w:r>
      <w:r w:rsidR="007A4940" w:rsidRPr="00D318C5">
        <w:rPr>
          <w:rFonts w:ascii="Times New Roman" w:hAnsi="Times New Roman"/>
          <w:b/>
          <w:sz w:val="23"/>
          <w:szCs w:val="23"/>
        </w:rPr>
        <w:t xml:space="preserve">and secure </w:t>
      </w:r>
      <w:r w:rsidR="00C52966" w:rsidRPr="00D318C5">
        <w:rPr>
          <w:rFonts w:ascii="Times New Roman" w:hAnsi="Times New Roman"/>
          <w:b/>
          <w:sz w:val="23"/>
          <w:szCs w:val="23"/>
        </w:rPr>
        <w:t>women’s tenure rights regardless of their marital</w:t>
      </w:r>
      <w:r w:rsidR="0044246D" w:rsidRPr="00D318C5">
        <w:rPr>
          <w:rFonts w:ascii="Times New Roman" w:hAnsi="Times New Roman"/>
          <w:b/>
          <w:sz w:val="23"/>
          <w:szCs w:val="23"/>
        </w:rPr>
        <w:t>, civil</w:t>
      </w:r>
      <w:r w:rsidR="00C52966" w:rsidRPr="00D318C5">
        <w:rPr>
          <w:rFonts w:ascii="Times New Roman" w:hAnsi="Times New Roman"/>
          <w:b/>
          <w:sz w:val="23"/>
          <w:szCs w:val="23"/>
        </w:rPr>
        <w:t xml:space="preserve"> or social status with the aim of achieving </w:t>
      </w:r>
      <w:r w:rsidR="00DC7E1D" w:rsidRPr="00D318C5">
        <w:rPr>
          <w:rFonts w:ascii="Times New Roman" w:hAnsi="Times New Roman"/>
          <w:b/>
          <w:sz w:val="23"/>
          <w:szCs w:val="23"/>
        </w:rPr>
        <w:t xml:space="preserve">non-discrimination and </w:t>
      </w:r>
      <w:r w:rsidR="00C52966" w:rsidRPr="00D318C5">
        <w:rPr>
          <w:rFonts w:ascii="Times New Roman" w:hAnsi="Times New Roman"/>
          <w:b/>
          <w:sz w:val="23"/>
          <w:szCs w:val="23"/>
        </w:rPr>
        <w:t xml:space="preserve">gender </w:t>
      </w:r>
      <w:r w:rsidR="00651FBF" w:rsidRPr="00D318C5">
        <w:rPr>
          <w:rFonts w:ascii="Times New Roman" w:hAnsi="Times New Roman"/>
          <w:b/>
          <w:sz w:val="23"/>
          <w:szCs w:val="23"/>
        </w:rPr>
        <w:t>equ</w:t>
      </w:r>
      <w:r w:rsidR="007A4940" w:rsidRPr="00D318C5">
        <w:rPr>
          <w:rFonts w:ascii="Times New Roman" w:hAnsi="Times New Roman"/>
          <w:b/>
          <w:sz w:val="23"/>
          <w:szCs w:val="23"/>
        </w:rPr>
        <w:t>ality</w:t>
      </w:r>
      <w:r w:rsidR="0044246D" w:rsidRPr="00D318C5">
        <w:rPr>
          <w:rFonts w:ascii="Times New Roman" w:hAnsi="Times New Roman"/>
          <w:b/>
          <w:sz w:val="23"/>
          <w:szCs w:val="23"/>
        </w:rPr>
        <w:t xml:space="preserve"> </w:t>
      </w:r>
      <w:r w:rsidR="00651FBF" w:rsidRPr="00D318C5">
        <w:rPr>
          <w:rFonts w:ascii="Times New Roman" w:hAnsi="Times New Roman"/>
          <w:b/>
          <w:sz w:val="23"/>
          <w:szCs w:val="23"/>
        </w:rPr>
        <w:t xml:space="preserve">in </w:t>
      </w:r>
      <w:r w:rsidR="00C52966" w:rsidRPr="00D318C5">
        <w:rPr>
          <w:rFonts w:ascii="Times New Roman" w:hAnsi="Times New Roman"/>
          <w:b/>
          <w:sz w:val="23"/>
          <w:szCs w:val="23"/>
        </w:rPr>
        <w:t>land tenure systems.</w:t>
      </w:r>
      <w:r w:rsidR="00C52966" w:rsidRPr="00D318C5">
        <w:rPr>
          <w:rFonts w:ascii="Times New Roman" w:hAnsi="Times New Roman"/>
          <w:sz w:val="23"/>
          <w:szCs w:val="23"/>
        </w:rPr>
        <w:t xml:space="preserve"> The tenure forms enjoyed by women, including </w:t>
      </w:r>
      <w:r w:rsidR="0097407E" w:rsidRPr="00D318C5">
        <w:rPr>
          <w:rFonts w:ascii="Times New Roman" w:hAnsi="Times New Roman"/>
          <w:sz w:val="23"/>
          <w:szCs w:val="23"/>
        </w:rPr>
        <w:t xml:space="preserve">subsidiary </w:t>
      </w:r>
      <w:r w:rsidR="00C52966" w:rsidRPr="00D318C5">
        <w:rPr>
          <w:rFonts w:ascii="Times New Roman" w:hAnsi="Times New Roman"/>
          <w:sz w:val="23"/>
          <w:szCs w:val="23"/>
        </w:rPr>
        <w:t>access and use rights, should be included in the tenure mapping process</w:t>
      </w:r>
      <w:r w:rsidR="00016EA7" w:rsidRPr="00D318C5">
        <w:rPr>
          <w:rFonts w:ascii="Times New Roman" w:hAnsi="Times New Roman"/>
          <w:sz w:val="23"/>
          <w:szCs w:val="23"/>
        </w:rPr>
        <w:t xml:space="preserve">. </w:t>
      </w:r>
      <w:r w:rsidRPr="00D318C5">
        <w:rPr>
          <w:rFonts w:ascii="Times New Roman" w:hAnsi="Times New Roman"/>
          <w:sz w:val="23"/>
          <w:szCs w:val="23"/>
        </w:rPr>
        <w:t>Measures should be taken to elevate the tenure rights of female household and community members</w:t>
      </w:r>
      <w:r w:rsidR="00A25F79" w:rsidRPr="00D318C5">
        <w:rPr>
          <w:rFonts w:ascii="Times New Roman" w:hAnsi="Times New Roman"/>
          <w:sz w:val="23"/>
          <w:szCs w:val="23"/>
        </w:rPr>
        <w:t xml:space="preserve"> during processes to confer legal </w:t>
      </w:r>
      <w:r w:rsidR="00344D6C">
        <w:rPr>
          <w:rFonts w:ascii="Times New Roman" w:hAnsi="Times New Roman"/>
          <w:sz w:val="23"/>
          <w:szCs w:val="23"/>
        </w:rPr>
        <w:t xml:space="preserve">security </w:t>
      </w:r>
      <w:r w:rsidR="006D030C" w:rsidRPr="00D318C5">
        <w:rPr>
          <w:rFonts w:ascii="Times New Roman" w:hAnsi="Times New Roman"/>
          <w:sz w:val="23"/>
          <w:szCs w:val="23"/>
        </w:rPr>
        <w:t xml:space="preserve">of </w:t>
      </w:r>
      <w:r w:rsidR="00A25F79" w:rsidRPr="00D318C5">
        <w:rPr>
          <w:rFonts w:ascii="Times New Roman" w:hAnsi="Times New Roman"/>
          <w:sz w:val="23"/>
          <w:szCs w:val="23"/>
        </w:rPr>
        <w:t>tenure</w:t>
      </w:r>
      <w:r w:rsidRPr="00D318C5">
        <w:rPr>
          <w:rFonts w:ascii="Times New Roman" w:hAnsi="Times New Roman"/>
          <w:sz w:val="23"/>
          <w:szCs w:val="23"/>
        </w:rPr>
        <w:t xml:space="preserve">. </w:t>
      </w:r>
      <w:r w:rsidR="00C52966" w:rsidRPr="00D318C5">
        <w:rPr>
          <w:rFonts w:ascii="Times New Roman" w:hAnsi="Times New Roman"/>
          <w:sz w:val="23"/>
          <w:szCs w:val="23"/>
        </w:rPr>
        <w:t xml:space="preserve">Legislative or policy reform initiatives should incorporate a prohibition of discrimination against women </w:t>
      </w:r>
      <w:r w:rsidR="00DC7E1D" w:rsidRPr="00D318C5">
        <w:rPr>
          <w:rFonts w:ascii="Times New Roman" w:hAnsi="Times New Roman"/>
          <w:sz w:val="23"/>
          <w:szCs w:val="23"/>
        </w:rPr>
        <w:t>and girls and</w:t>
      </w:r>
      <w:r w:rsidR="00C52966" w:rsidRPr="00D318C5">
        <w:rPr>
          <w:rFonts w:ascii="Times New Roman" w:hAnsi="Times New Roman"/>
          <w:sz w:val="23"/>
          <w:szCs w:val="23"/>
        </w:rPr>
        <w:t xml:space="preserve"> </w:t>
      </w:r>
      <w:r w:rsidR="00DC7E1D" w:rsidRPr="00D318C5">
        <w:rPr>
          <w:rFonts w:ascii="Times New Roman" w:hAnsi="Times New Roman"/>
          <w:sz w:val="23"/>
          <w:szCs w:val="23"/>
        </w:rPr>
        <w:t xml:space="preserve">aim to ensure that women and men enjoy equal tenure rights. </w:t>
      </w:r>
    </w:p>
    <w:p w14:paraId="2A57CF73" w14:textId="0D06ABA2" w:rsidR="00126888" w:rsidRPr="00D318C5" w:rsidRDefault="00126888" w:rsidP="00A9026F">
      <w:pPr>
        <w:pStyle w:val="ListParagraph"/>
        <w:numPr>
          <w:ilvl w:val="0"/>
          <w:numId w:val="7"/>
        </w:numPr>
        <w:spacing w:after="360" w:line="276" w:lineRule="auto"/>
        <w:ind w:left="360"/>
        <w:contextualSpacing w:val="0"/>
        <w:jc w:val="both"/>
        <w:rPr>
          <w:rFonts w:ascii="Times New Roman" w:hAnsi="Times New Roman"/>
          <w:sz w:val="23"/>
          <w:szCs w:val="23"/>
        </w:rPr>
      </w:pPr>
      <w:r w:rsidRPr="00D318C5">
        <w:rPr>
          <w:rFonts w:ascii="Times New Roman" w:hAnsi="Times New Roman"/>
          <w:b/>
          <w:sz w:val="23"/>
          <w:szCs w:val="23"/>
        </w:rPr>
        <w:t xml:space="preserve">The </w:t>
      </w:r>
      <w:r w:rsidR="00046578" w:rsidRPr="00D318C5">
        <w:rPr>
          <w:rFonts w:ascii="Times New Roman" w:hAnsi="Times New Roman"/>
          <w:b/>
          <w:sz w:val="23"/>
          <w:szCs w:val="23"/>
        </w:rPr>
        <w:t>application</w:t>
      </w:r>
      <w:r w:rsidRPr="00D318C5">
        <w:rPr>
          <w:rFonts w:ascii="Times New Roman" w:hAnsi="Times New Roman"/>
          <w:b/>
          <w:sz w:val="23"/>
          <w:szCs w:val="23"/>
        </w:rPr>
        <w:t xml:space="preserve"> of the </w:t>
      </w:r>
      <w:r w:rsidR="00FA790C" w:rsidRPr="00D318C5">
        <w:rPr>
          <w:rFonts w:ascii="Times New Roman" w:hAnsi="Times New Roman"/>
          <w:b/>
          <w:sz w:val="23"/>
          <w:szCs w:val="23"/>
        </w:rPr>
        <w:t>I</w:t>
      </w:r>
      <w:r w:rsidRPr="00D318C5">
        <w:rPr>
          <w:rFonts w:ascii="Times New Roman" w:hAnsi="Times New Roman"/>
          <w:b/>
          <w:sz w:val="23"/>
          <w:szCs w:val="23"/>
        </w:rPr>
        <w:t xml:space="preserve">nvoluntary </w:t>
      </w:r>
      <w:r w:rsidR="00FA790C" w:rsidRPr="00D318C5">
        <w:rPr>
          <w:rFonts w:ascii="Times New Roman" w:hAnsi="Times New Roman"/>
          <w:b/>
          <w:sz w:val="23"/>
          <w:szCs w:val="23"/>
        </w:rPr>
        <w:t>R</w:t>
      </w:r>
      <w:r w:rsidRPr="00D318C5">
        <w:rPr>
          <w:rFonts w:ascii="Times New Roman" w:hAnsi="Times New Roman"/>
          <w:b/>
          <w:sz w:val="23"/>
          <w:szCs w:val="23"/>
        </w:rPr>
        <w:t xml:space="preserve">esettlement </w:t>
      </w:r>
      <w:r w:rsidR="00FA790C" w:rsidRPr="00D318C5">
        <w:rPr>
          <w:rFonts w:ascii="Times New Roman" w:hAnsi="Times New Roman"/>
          <w:b/>
          <w:sz w:val="23"/>
          <w:szCs w:val="23"/>
        </w:rPr>
        <w:t>P</w:t>
      </w:r>
      <w:r w:rsidRPr="00D318C5">
        <w:rPr>
          <w:rFonts w:ascii="Times New Roman" w:hAnsi="Times New Roman"/>
          <w:b/>
          <w:sz w:val="23"/>
          <w:szCs w:val="23"/>
        </w:rPr>
        <w:t xml:space="preserve">olicy </w:t>
      </w:r>
      <w:r w:rsidR="00FA790C" w:rsidRPr="00D318C5">
        <w:rPr>
          <w:rFonts w:ascii="Times New Roman" w:hAnsi="Times New Roman"/>
          <w:b/>
          <w:sz w:val="23"/>
          <w:szCs w:val="23"/>
        </w:rPr>
        <w:t xml:space="preserve">to </w:t>
      </w:r>
      <w:r w:rsidR="002836C0" w:rsidRPr="00D318C5">
        <w:rPr>
          <w:rFonts w:ascii="Times New Roman" w:hAnsi="Times New Roman"/>
          <w:b/>
          <w:sz w:val="23"/>
          <w:szCs w:val="23"/>
        </w:rPr>
        <w:t xml:space="preserve">protect </w:t>
      </w:r>
      <w:r w:rsidR="00317650" w:rsidRPr="00D318C5">
        <w:rPr>
          <w:rFonts w:ascii="Times New Roman" w:hAnsi="Times New Roman"/>
          <w:b/>
          <w:sz w:val="23"/>
          <w:szCs w:val="23"/>
        </w:rPr>
        <w:t xml:space="preserve">persons </w:t>
      </w:r>
      <w:r w:rsidRPr="00D318C5">
        <w:rPr>
          <w:rFonts w:ascii="Times New Roman" w:hAnsi="Times New Roman"/>
          <w:b/>
          <w:sz w:val="23"/>
          <w:szCs w:val="23"/>
        </w:rPr>
        <w:t>whose tenure rights or arrangements are denied</w:t>
      </w:r>
      <w:r w:rsidR="00317650" w:rsidRPr="00D318C5">
        <w:rPr>
          <w:rFonts w:ascii="Times New Roman" w:hAnsi="Times New Roman"/>
          <w:b/>
          <w:sz w:val="23"/>
          <w:szCs w:val="23"/>
        </w:rPr>
        <w:t>,</w:t>
      </w:r>
      <w:r w:rsidRPr="00D318C5">
        <w:rPr>
          <w:rFonts w:ascii="Times New Roman" w:hAnsi="Times New Roman"/>
          <w:b/>
          <w:sz w:val="23"/>
          <w:szCs w:val="23"/>
        </w:rPr>
        <w:t xml:space="preserve"> revoked</w:t>
      </w:r>
      <w:r w:rsidR="00317650" w:rsidRPr="00D318C5">
        <w:rPr>
          <w:rFonts w:ascii="Times New Roman" w:hAnsi="Times New Roman"/>
          <w:b/>
          <w:sz w:val="23"/>
          <w:szCs w:val="23"/>
        </w:rPr>
        <w:t xml:space="preserve"> or restricted</w:t>
      </w:r>
      <w:r w:rsidR="002836C0" w:rsidRPr="00D318C5">
        <w:rPr>
          <w:rFonts w:ascii="Times New Roman" w:hAnsi="Times New Roman"/>
          <w:b/>
          <w:sz w:val="23"/>
          <w:szCs w:val="23"/>
        </w:rPr>
        <w:t xml:space="preserve"> as a result of the Bank-assisted project and are thus subject to displacement</w:t>
      </w:r>
      <w:r w:rsidR="002836C0" w:rsidRPr="00D318C5">
        <w:rPr>
          <w:rFonts w:ascii="Times New Roman" w:hAnsi="Times New Roman"/>
          <w:sz w:val="23"/>
          <w:szCs w:val="23"/>
        </w:rPr>
        <w:t>.</w:t>
      </w:r>
      <w:r w:rsidR="002836C0" w:rsidRPr="00D318C5">
        <w:rPr>
          <w:rStyle w:val="FootnoteReference"/>
          <w:rFonts w:ascii="Times New Roman" w:hAnsi="Times New Roman"/>
          <w:sz w:val="23"/>
          <w:szCs w:val="23"/>
        </w:rPr>
        <w:footnoteReference w:id="20"/>
      </w:r>
      <w:r w:rsidR="002836C0" w:rsidRPr="00D318C5">
        <w:rPr>
          <w:rFonts w:ascii="Times New Roman" w:hAnsi="Times New Roman"/>
          <w:sz w:val="23"/>
          <w:szCs w:val="23"/>
        </w:rPr>
        <w:t xml:space="preserve"> </w:t>
      </w:r>
      <w:r w:rsidR="00D95E6D" w:rsidRPr="00D318C5">
        <w:rPr>
          <w:rFonts w:ascii="Times New Roman" w:hAnsi="Times New Roman"/>
          <w:sz w:val="23"/>
          <w:szCs w:val="23"/>
        </w:rPr>
        <w:t xml:space="preserve">This should be understood </w:t>
      </w:r>
      <w:r w:rsidR="00CE4C1C" w:rsidRPr="00D318C5">
        <w:rPr>
          <w:rFonts w:ascii="Times New Roman" w:hAnsi="Times New Roman"/>
          <w:sz w:val="23"/>
          <w:szCs w:val="23"/>
        </w:rPr>
        <w:t>as broadening the scope of the Involuntary R</w:t>
      </w:r>
      <w:r w:rsidR="00D95E6D" w:rsidRPr="00D318C5">
        <w:rPr>
          <w:rFonts w:ascii="Times New Roman" w:hAnsi="Times New Roman"/>
          <w:sz w:val="23"/>
          <w:szCs w:val="23"/>
        </w:rPr>
        <w:t xml:space="preserve">esettlement </w:t>
      </w:r>
      <w:r w:rsidR="00CE4C1C" w:rsidRPr="00D318C5">
        <w:rPr>
          <w:rFonts w:ascii="Times New Roman" w:hAnsi="Times New Roman"/>
          <w:sz w:val="23"/>
          <w:szCs w:val="23"/>
        </w:rPr>
        <w:t>P</w:t>
      </w:r>
      <w:r w:rsidR="00D95E6D" w:rsidRPr="00D318C5">
        <w:rPr>
          <w:rFonts w:ascii="Times New Roman" w:hAnsi="Times New Roman"/>
          <w:sz w:val="23"/>
          <w:szCs w:val="23"/>
        </w:rPr>
        <w:t xml:space="preserve">olicy to the extent necessary to give effect to the </w:t>
      </w:r>
      <w:r w:rsidR="00506713" w:rsidRPr="00D318C5">
        <w:rPr>
          <w:rFonts w:ascii="Times New Roman" w:hAnsi="Times New Roman"/>
          <w:sz w:val="23"/>
          <w:szCs w:val="23"/>
        </w:rPr>
        <w:t xml:space="preserve">proposed </w:t>
      </w:r>
      <w:r w:rsidR="00D95E6D" w:rsidRPr="00D318C5">
        <w:rPr>
          <w:rFonts w:ascii="Times New Roman" w:hAnsi="Times New Roman"/>
          <w:sz w:val="23"/>
          <w:szCs w:val="23"/>
        </w:rPr>
        <w:t>land tenure policy</w:t>
      </w:r>
      <w:r w:rsidR="00E000E9" w:rsidRPr="00D318C5">
        <w:rPr>
          <w:rFonts w:ascii="Times New Roman" w:hAnsi="Times New Roman"/>
          <w:sz w:val="23"/>
          <w:szCs w:val="23"/>
        </w:rPr>
        <w:t>.</w:t>
      </w:r>
      <w:r w:rsidR="005618A8" w:rsidRPr="00D318C5">
        <w:rPr>
          <w:rFonts w:ascii="Times New Roman" w:hAnsi="Times New Roman"/>
          <w:sz w:val="23"/>
          <w:szCs w:val="23"/>
        </w:rPr>
        <w:t xml:space="preserve"> </w:t>
      </w:r>
      <w:r w:rsidRPr="00D318C5">
        <w:rPr>
          <w:rFonts w:ascii="Times New Roman" w:hAnsi="Times New Roman"/>
          <w:sz w:val="23"/>
          <w:szCs w:val="23"/>
        </w:rPr>
        <w:t xml:space="preserve"> </w:t>
      </w:r>
      <w:r w:rsidR="00317650" w:rsidRPr="00D318C5">
        <w:rPr>
          <w:rFonts w:ascii="Times New Roman" w:hAnsi="Times New Roman"/>
          <w:sz w:val="23"/>
          <w:szCs w:val="23"/>
        </w:rPr>
        <w:t xml:space="preserve">In the case of affected persons whose access, use or passage rights </w:t>
      </w:r>
      <w:r w:rsidR="00241583" w:rsidRPr="00D318C5">
        <w:rPr>
          <w:rFonts w:ascii="Times New Roman" w:hAnsi="Times New Roman"/>
          <w:sz w:val="23"/>
          <w:szCs w:val="23"/>
        </w:rPr>
        <w:t>to land or other resources</w:t>
      </w:r>
      <w:r w:rsidR="00704510" w:rsidRPr="00D318C5">
        <w:rPr>
          <w:rFonts w:ascii="Times New Roman" w:hAnsi="Times New Roman"/>
          <w:sz w:val="23"/>
          <w:szCs w:val="23"/>
        </w:rPr>
        <w:t xml:space="preserve"> that they rely upon</w:t>
      </w:r>
      <w:r w:rsidR="00241583" w:rsidRPr="00D318C5">
        <w:rPr>
          <w:rFonts w:ascii="Times New Roman" w:hAnsi="Times New Roman"/>
          <w:sz w:val="23"/>
          <w:szCs w:val="23"/>
        </w:rPr>
        <w:t xml:space="preserve"> </w:t>
      </w:r>
      <w:r w:rsidR="00317650" w:rsidRPr="00D318C5">
        <w:rPr>
          <w:rFonts w:ascii="Times New Roman" w:hAnsi="Times New Roman"/>
          <w:sz w:val="23"/>
          <w:szCs w:val="23"/>
        </w:rPr>
        <w:t>are restricted</w:t>
      </w:r>
      <w:r w:rsidR="00704510" w:rsidRPr="00D318C5">
        <w:rPr>
          <w:rFonts w:ascii="Times New Roman" w:hAnsi="Times New Roman"/>
          <w:sz w:val="23"/>
          <w:szCs w:val="23"/>
        </w:rPr>
        <w:t>,</w:t>
      </w:r>
      <w:r w:rsidR="00CE4C1C" w:rsidRPr="00D318C5">
        <w:rPr>
          <w:rFonts w:ascii="Times New Roman" w:hAnsi="Times New Roman"/>
          <w:sz w:val="23"/>
          <w:szCs w:val="23"/>
        </w:rPr>
        <w:t xml:space="preserve"> the I</w:t>
      </w:r>
      <w:r w:rsidR="00317650" w:rsidRPr="00D318C5">
        <w:rPr>
          <w:rFonts w:ascii="Times New Roman" w:hAnsi="Times New Roman"/>
          <w:sz w:val="23"/>
          <w:szCs w:val="23"/>
        </w:rPr>
        <w:t xml:space="preserve">nvoluntary </w:t>
      </w:r>
      <w:r w:rsidR="00CE4C1C" w:rsidRPr="00D318C5">
        <w:rPr>
          <w:rFonts w:ascii="Times New Roman" w:hAnsi="Times New Roman"/>
          <w:sz w:val="23"/>
          <w:szCs w:val="23"/>
        </w:rPr>
        <w:t>R</w:t>
      </w:r>
      <w:r w:rsidR="00317650" w:rsidRPr="00D318C5">
        <w:rPr>
          <w:rFonts w:ascii="Times New Roman" w:hAnsi="Times New Roman"/>
          <w:sz w:val="23"/>
          <w:szCs w:val="23"/>
        </w:rPr>
        <w:t xml:space="preserve">esettlement </w:t>
      </w:r>
      <w:r w:rsidR="00CE4C1C" w:rsidRPr="00D318C5">
        <w:rPr>
          <w:rFonts w:ascii="Times New Roman" w:hAnsi="Times New Roman"/>
          <w:sz w:val="23"/>
          <w:szCs w:val="23"/>
        </w:rPr>
        <w:t>P</w:t>
      </w:r>
      <w:r w:rsidR="00317650" w:rsidRPr="00D318C5">
        <w:rPr>
          <w:rFonts w:ascii="Times New Roman" w:hAnsi="Times New Roman"/>
          <w:sz w:val="23"/>
          <w:szCs w:val="23"/>
        </w:rPr>
        <w:t xml:space="preserve">olicy provisions on </w:t>
      </w:r>
      <w:r w:rsidR="00241583" w:rsidRPr="00D318C5">
        <w:rPr>
          <w:rFonts w:ascii="Times New Roman" w:hAnsi="Times New Roman"/>
          <w:sz w:val="23"/>
          <w:szCs w:val="23"/>
        </w:rPr>
        <w:t xml:space="preserve">involuntary restriction of access should apply, noting, however, that the </w:t>
      </w:r>
      <w:r w:rsidR="00CE4C1C" w:rsidRPr="00D318C5">
        <w:rPr>
          <w:rFonts w:ascii="Times New Roman" w:hAnsi="Times New Roman"/>
          <w:sz w:val="23"/>
          <w:szCs w:val="23"/>
        </w:rPr>
        <w:t>Involuntary R</w:t>
      </w:r>
      <w:r w:rsidR="00241583" w:rsidRPr="00D318C5">
        <w:rPr>
          <w:rFonts w:ascii="Times New Roman" w:hAnsi="Times New Roman"/>
          <w:sz w:val="23"/>
          <w:szCs w:val="23"/>
        </w:rPr>
        <w:t xml:space="preserve">esettlement </w:t>
      </w:r>
      <w:r w:rsidR="00CE4C1C" w:rsidRPr="00D318C5">
        <w:rPr>
          <w:rFonts w:ascii="Times New Roman" w:hAnsi="Times New Roman"/>
          <w:sz w:val="23"/>
          <w:szCs w:val="23"/>
        </w:rPr>
        <w:t>P</w:t>
      </w:r>
      <w:r w:rsidR="00241583" w:rsidRPr="00D318C5">
        <w:rPr>
          <w:rFonts w:ascii="Times New Roman" w:hAnsi="Times New Roman"/>
          <w:sz w:val="23"/>
          <w:szCs w:val="23"/>
        </w:rPr>
        <w:t xml:space="preserve">olicy scope should be expanded to include restrictions </w:t>
      </w:r>
      <w:r w:rsidR="005618A8" w:rsidRPr="00D318C5">
        <w:rPr>
          <w:rFonts w:ascii="Times New Roman" w:hAnsi="Times New Roman"/>
          <w:sz w:val="23"/>
          <w:szCs w:val="23"/>
        </w:rPr>
        <w:t>on access to any</w:t>
      </w:r>
      <w:r w:rsidR="00241583" w:rsidRPr="00D318C5">
        <w:rPr>
          <w:rFonts w:ascii="Times New Roman" w:hAnsi="Times New Roman"/>
          <w:sz w:val="23"/>
          <w:szCs w:val="23"/>
        </w:rPr>
        <w:t xml:space="preserve"> project-affected areas </w:t>
      </w:r>
      <w:r w:rsidR="006A540F" w:rsidRPr="00D318C5">
        <w:rPr>
          <w:rFonts w:ascii="Times New Roman" w:hAnsi="Times New Roman"/>
          <w:sz w:val="23"/>
          <w:szCs w:val="23"/>
        </w:rPr>
        <w:t xml:space="preserve">upon which people depend </w:t>
      </w:r>
      <w:r w:rsidR="00241583" w:rsidRPr="00D318C5">
        <w:rPr>
          <w:rFonts w:ascii="Times New Roman" w:hAnsi="Times New Roman"/>
          <w:sz w:val="23"/>
          <w:szCs w:val="23"/>
        </w:rPr>
        <w:t>(not just “legally design</w:t>
      </w:r>
      <w:r w:rsidR="00704510" w:rsidRPr="00D318C5">
        <w:rPr>
          <w:rFonts w:ascii="Times New Roman" w:hAnsi="Times New Roman"/>
          <w:sz w:val="23"/>
          <w:szCs w:val="23"/>
        </w:rPr>
        <w:t>ated parks and protected areas”</w:t>
      </w:r>
      <w:r w:rsidR="00241583" w:rsidRPr="00D318C5">
        <w:rPr>
          <w:rFonts w:ascii="Times New Roman" w:hAnsi="Times New Roman"/>
          <w:sz w:val="23"/>
          <w:szCs w:val="23"/>
        </w:rPr>
        <w:t>)</w:t>
      </w:r>
      <w:r w:rsidR="00704510" w:rsidRPr="00D318C5">
        <w:rPr>
          <w:rFonts w:ascii="Times New Roman" w:hAnsi="Times New Roman"/>
          <w:sz w:val="23"/>
          <w:szCs w:val="23"/>
        </w:rPr>
        <w:t>.</w:t>
      </w:r>
      <w:r w:rsidR="00704510" w:rsidRPr="00D318C5">
        <w:rPr>
          <w:rStyle w:val="FootnoteReference"/>
          <w:rFonts w:ascii="Times New Roman" w:hAnsi="Times New Roman"/>
          <w:sz w:val="23"/>
          <w:szCs w:val="23"/>
        </w:rPr>
        <w:footnoteReference w:id="21"/>
      </w:r>
      <w:r w:rsidR="005618A8" w:rsidRPr="00D318C5">
        <w:rPr>
          <w:rFonts w:ascii="Times New Roman" w:hAnsi="Times New Roman"/>
          <w:sz w:val="23"/>
          <w:szCs w:val="23"/>
        </w:rPr>
        <w:t xml:space="preserve">  The current Involuntary Resettlement Policy, however, needs to be significantly strengthened </w:t>
      </w:r>
      <w:r w:rsidR="00795182" w:rsidRPr="00D318C5">
        <w:rPr>
          <w:rFonts w:ascii="Times New Roman" w:hAnsi="Times New Roman"/>
          <w:sz w:val="23"/>
          <w:szCs w:val="23"/>
        </w:rPr>
        <w:t>in accordance with</w:t>
      </w:r>
      <w:r w:rsidR="005618A8" w:rsidRPr="00D318C5">
        <w:rPr>
          <w:rFonts w:ascii="Times New Roman" w:hAnsi="Times New Roman"/>
          <w:sz w:val="23"/>
          <w:szCs w:val="23"/>
        </w:rPr>
        <w:t xml:space="preserve"> international human rights standards.</w:t>
      </w:r>
      <w:r w:rsidR="005618A8" w:rsidRPr="00D318C5">
        <w:rPr>
          <w:rStyle w:val="FootnoteReference"/>
          <w:rFonts w:ascii="Times New Roman" w:hAnsi="Times New Roman"/>
          <w:sz w:val="23"/>
          <w:szCs w:val="23"/>
        </w:rPr>
        <w:footnoteReference w:id="22"/>
      </w:r>
      <w:r w:rsidR="00C736C2" w:rsidRPr="00D318C5">
        <w:rPr>
          <w:rFonts w:ascii="Times New Roman" w:hAnsi="Times New Roman"/>
          <w:sz w:val="23"/>
          <w:szCs w:val="23"/>
        </w:rPr>
        <w:t xml:space="preserve"> In cases in which tenure rights are </w:t>
      </w:r>
      <w:r w:rsidR="00C52966" w:rsidRPr="00D318C5">
        <w:rPr>
          <w:rFonts w:ascii="Times New Roman" w:hAnsi="Times New Roman"/>
          <w:sz w:val="23"/>
          <w:szCs w:val="23"/>
        </w:rPr>
        <w:t>weakened</w:t>
      </w:r>
      <w:r w:rsidR="00C736C2" w:rsidRPr="00D318C5">
        <w:rPr>
          <w:rFonts w:ascii="Times New Roman" w:hAnsi="Times New Roman"/>
          <w:sz w:val="23"/>
          <w:szCs w:val="23"/>
        </w:rPr>
        <w:t xml:space="preserve"> or temporally limited</w:t>
      </w:r>
      <w:r w:rsidR="00E21994" w:rsidRPr="00D318C5">
        <w:rPr>
          <w:rFonts w:ascii="Times New Roman" w:hAnsi="Times New Roman"/>
          <w:sz w:val="23"/>
          <w:szCs w:val="23"/>
        </w:rPr>
        <w:t xml:space="preserve">, for example, because of the creation of rights of way and planned future expansions of the project, anticipated displacement should be safeguarded through the </w:t>
      </w:r>
      <w:r w:rsidR="002836C0" w:rsidRPr="00D318C5">
        <w:rPr>
          <w:rFonts w:ascii="Times New Roman" w:hAnsi="Times New Roman"/>
          <w:sz w:val="23"/>
          <w:szCs w:val="23"/>
        </w:rPr>
        <w:t>development of a Resettlement Policy Framework or a Process Framework.  The obligation to apply the framework</w:t>
      </w:r>
      <w:r w:rsidR="0058142F" w:rsidRPr="00D318C5">
        <w:rPr>
          <w:rFonts w:ascii="Times New Roman" w:hAnsi="Times New Roman"/>
          <w:sz w:val="23"/>
          <w:szCs w:val="23"/>
        </w:rPr>
        <w:t>(</w:t>
      </w:r>
      <w:r w:rsidR="002836C0" w:rsidRPr="00D318C5">
        <w:rPr>
          <w:rFonts w:ascii="Times New Roman" w:hAnsi="Times New Roman"/>
          <w:sz w:val="23"/>
          <w:szCs w:val="23"/>
        </w:rPr>
        <w:t>s</w:t>
      </w:r>
      <w:r w:rsidR="0058142F" w:rsidRPr="00D318C5">
        <w:rPr>
          <w:rFonts w:ascii="Times New Roman" w:hAnsi="Times New Roman"/>
          <w:sz w:val="23"/>
          <w:szCs w:val="23"/>
        </w:rPr>
        <w:t>)</w:t>
      </w:r>
      <w:r w:rsidR="002836C0" w:rsidRPr="00D318C5">
        <w:rPr>
          <w:rFonts w:ascii="Times New Roman" w:hAnsi="Times New Roman"/>
          <w:sz w:val="23"/>
          <w:szCs w:val="23"/>
        </w:rPr>
        <w:t xml:space="preserve">, consistent with the </w:t>
      </w:r>
      <w:r w:rsidR="00111A7E" w:rsidRPr="00D318C5">
        <w:rPr>
          <w:rFonts w:ascii="Times New Roman" w:hAnsi="Times New Roman"/>
          <w:sz w:val="23"/>
          <w:szCs w:val="23"/>
        </w:rPr>
        <w:t>Involuntary Resettlement Policy,</w:t>
      </w:r>
      <w:r w:rsidR="002836C0" w:rsidRPr="00D318C5">
        <w:rPr>
          <w:rFonts w:ascii="Times New Roman" w:hAnsi="Times New Roman"/>
          <w:sz w:val="23"/>
          <w:szCs w:val="23"/>
        </w:rPr>
        <w:t xml:space="preserve"> should be included</w:t>
      </w:r>
      <w:r w:rsidR="00E21994" w:rsidRPr="00D318C5">
        <w:rPr>
          <w:rFonts w:ascii="Times New Roman" w:hAnsi="Times New Roman"/>
          <w:sz w:val="23"/>
          <w:szCs w:val="23"/>
        </w:rPr>
        <w:t xml:space="preserve"> a</w:t>
      </w:r>
      <w:r w:rsidR="0058142F" w:rsidRPr="00D318C5">
        <w:rPr>
          <w:rFonts w:ascii="Times New Roman" w:hAnsi="Times New Roman"/>
          <w:sz w:val="23"/>
          <w:szCs w:val="23"/>
        </w:rPr>
        <w:t>s a</w:t>
      </w:r>
      <w:r w:rsidR="00E21994" w:rsidRPr="00D318C5">
        <w:rPr>
          <w:rFonts w:ascii="Times New Roman" w:hAnsi="Times New Roman"/>
          <w:sz w:val="23"/>
          <w:szCs w:val="23"/>
        </w:rPr>
        <w:t xml:space="preserve"> term in the credit agreement between the Bank and the </w:t>
      </w:r>
      <w:r w:rsidR="000005FF" w:rsidRPr="00D318C5">
        <w:rPr>
          <w:rFonts w:ascii="Times New Roman" w:hAnsi="Times New Roman"/>
          <w:sz w:val="23"/>
          <w:szCs w:val="23"/>
        </w:rPr>
        <w:t xml:space="preserve">borrower </w:t>
      </w:r>
      <w:r w:rsidR="00E21994" w:rsidRPr="00D318C5">
        <w:rPr>
          <w:rFonts w:ascii="Times New Roman" w:hAnsi="Times New Roman"/>
          <w:sz w:val="23"/>
          <w:szCs w:val="23"/>
        </w:rPr>
        <w:t>government</w:t>
      </w:r>
      <w:r w:rsidR="006541F6" w:rsidRPr="00D318C5">
        <w:rPr>
          <w:rFonts w:ascii="Times New Roman" w:hAnsi="Times New Roman"/>
          <w:sz w:val="23"/>
          <w:szCs w:val="23"/>
        </w:rPr>
        <w:t xml:space="preserve">. </w:t>
      </w:r>
      <w:r w:rsidR="004E4D2A" w:rsidRPr="00D318C5">
        <w:rPr>
          <w:rFonts w:ascii="Times New Roman" w:hAnsi="Times New Roman"/>
          <w:sz w:val="23"/>
          <w:szCs w:val="23"/>
        </w:rPr>
        <w:t xml:space="preserve">This should apply regardless of the source of financing for future activities that result in displacement, as long as it is directly and significantly related to the Bank-assisted project.  </w:t>
      </w:r>
    </w:p>
    <w:p w14:paraId="6661A76D" w14:textId="53A12C11" w:rsidR="006F0AEA" w:rsidRPr="00D318C5" w:rsidRDefault="00126888" w:rsidP="00A9026F">
      <w:pPr>
        <w:pStyle w:val="ListParagraph"/>
        <w:numPr>
          <w:ilvl w:val="0"/>
          <w:numId w:val="7"/>
        </w:numPr>
        <w:spacing w:after="360" w:line="276" w:lineRule="auto"/>
        <w:ind w:left="360"/>
        <w:contextualSpacing w:val="0"/>
        <w:jc w:val="both"/>
        <w:rPr>
          <w:rFonts w:ascii="Times New Roman" w:hAnsi="Times New Roman"/>
          <w:sz w:val="23"/>
          <w:szCs w:val="23"/>
        </w:rPr>
      </w:pPr>
      <w:r w:rsidRPr="00D318C5">
        <w:rPr>
          <w:rFonts w:ascii="Times New Roman" w:hAnsi="Times New Roman"/>
          <w:b/>
          <w:sz w:val="23"/>
          <w:szCs w:val="23"/>
        </w:rPr>
        <w:t xml:space="preserve">The </w:t>
      </w:r>
      <w:r w:rsidR="006A540F" w:rsidRPr="00D318C5">
        <w:rPr>
          <w:rFonts w:ascii="Times New Roman" w:hAnsi="Times New Roman"/>
          <w:b/>
          <w:sz w:val="23"/>
          <w:szCs w:val="23"/>
        </w:rPr>
        <w:t xml:space="preserve">establishment, where one does not already exist, of </w:t>
      </w:r>
      <w:r w:rsidR="00E30FB5" w:rsidRPr="00D318C5">
        <w:rPr>
          <w:rFonts w:ascii="Times New Roman" w:hAnsi="Times New Roman"/>
          <w:b/>
          <w:sz w:val="23"/>
          <w:szCs w:val="23"/>
        </w:rPr>
        <w:t>a local</w:t>
      </w:r>
      <w:r w:rsidRPr="00D318C5">
        <w:rPr>
          <w:rFonts w:ascii="Times New Roman" w:hAnsi="Times New Roman"/>
          <w:b/>
          <w:sz w:val="23"/>
          <w:szCs w:val="23"/>
        </w:rPr>
        <w:t xml:space="preserve"> rule-bound, impartial, fair and competent land dispute resolution mechanism, which is socially and culturally appropriate</w:t>
      </w:r>
      <w:r w:rsidR="0035580A" w:rsidRPr="00D318C5">
        <w:rPr>
          <w:rFonts w:ascii="Times New Roman" w:hAnsi="Times New Roman"/>
          <w:b/>
          <w:sz w:val="23"/>
          <w:szCs w:val="23"/>
        </w:rPr>
        <w:t>,</w:t>
      </w:r>
      <w:r w:rsidR="00E05BA6" w:rsidRPr="00D318C5">
        <w:rPr>
          <w:rStyle w:val="FootnoteReference"/>
          <w:rFonts w:ascii="Times New Roman" w:hAnsi="Times New Roman"/>
          <w:b/>
          <w:sz w:val="23"/>
          <w:szCs w:val="23"/>
        </w:rPr>
        <w:footnoteReference w:id="23"/>
      </w:r>
      <w:r w:rsidR="00E05BA6" w:rsidRPr="00D318C5">
        <w:rPr>
          <w:rFonts w:ascii="Times New Roman" w:hAnsi="Times New Roman"/>
          <w:sz w:val="23"/>
          <w:szCs w:val="23"/>
        </w:rPr>
        <w:t xml:space="preserve"> </w:t>
      </w:r>
      <w:r w:rsidR="007A2533" w:rsidRPr="00D318C5">
        <w:rPr>
          <w:rFonts w:ascii="Times New Roman" w:hAnsi="Times New Roman"/>
          <w:b/>
          <w:sz w:val="23"/>
          <w:szCs w:val="23"/>
        </w:rPr>
        <w:t>for any project that involves the adjudication and determination of tenure rights or may otherwise cause or exacerbate conflict over land and natural resources</w:t>
      </w:r>
      <w:r w:rsidR="00FC4E75" w:rsidRPr="00D318C5">
        <w:rPr>
          <w:rFonts w:ascii="Times New Roman" w:hAnsi="Times New Roman"/>
          <w:b/>
          <w:sz w:val="23"/>
          <w:szCs w:val="23"/>
        </w:rPr>
        <w:t>.</w:t>
      </w:r>
      <w:r w:rsidR="00281359" w:rsidRPr="00D318C5">
        <w:rPr>
          <w:rFonts w:ascii="Times New Roman" w:hAnsi="Times New Roman"/>
          <w:sz w:val="23"/>
          <w:szCs w:val="23"/>
        </w:rPr>
        <w:t xml:space="preserve"> The dispute resolution mechanism should </w:t>
      </w:r>
      <w:r w:rsidR="00266043" w:rsidRPr="00D318C5">
        <w:rPr>
          <w:rFonts w:ascii="Times New Roman" w:hAnsi="Times New Roman"/>
          <w:sz w:val="23"/>
          <w:szCs w:val="23"/>
        </w:rPr>
        <w:t xml:space="preserve">be legitimate, accessible, predictable, equitable, transparent, </w:t>
      </w:r>
      <w:r w:rsidR="00FC4E75" w:rsidRPr="00D318C5">
        <w:rPr>
          <w:rFonts w:ascii="Times New Roman" w:hAnsi="Times New Roman"/>
          <w:sz w:val="23"/>
          <w:szCs w:val="23"/>
        </w:rPr>
        <w:t xml:space="preserve">human </w:t>
      </w:r>
      <w:r w:rsidR="00266043" w:rsidRPr="00D318C5">
        <w:rPr>
          <w:rFonts w:ascii="Times New Roman" w:hAnsi="Times New Roman"/>
          <w:sz w:val="23"/>
          <w:szCs w:val="23"/>
        </w:rPr>
        <w:t>rights-compatible,</w:t>
      </w:r>
      <w:r w:rsidR="00266043" w:rsidRPr="00D318C5">
        <w:rPr>
          <w:rStyle w:val="FootnoteReference"/>
          <w:rFonts w:ascii="Times New Roman" w:hAnsi="Times New Roman"/>
          <w:sz w:val="23"/>
          <w:szCs w:val="23"/>
        </w:rPr>
        <w:footnoteReference w:id="24"/>
      </w:r>
      <w:r w:rsidR="00266043" w:rsidRPr="00D318C5">
        <w:rPr>
          <w:rFonts w:ascii="Times New Roman" w:hAnsi="Times New Roman"/>
          <w:sz w:val="23"/>
          <w:szCs w:val="23"/>
        </w:rPr>
        <w:t xml:space="preserve"> and </w:t>
      </w:r>
      <w:r w:rsidR="00281359" w:rsidRPr="00D318C5">
        <w:rPr>
          <w:rFonts w:ascii="Times New Roman" w:hAnsi="Times New Roman"/>
          <w:sz w:val="23"/>
          <w:szCs w:val="23"/>
        </w:rPr>
        <w:t>operate on the basis of non-discrimination, including against women</w:t>
      </w:r>
      <w:r w:rsidR="001E5D7F" w:rsidRPr="00D318C5">
        <w:rPr>
          <w:rFonts w:ascii="Times New Roman" w:hAnsi="Times New Roman"/>
          <w:sz w:val="23"/>
          <w:szCs w:val="23"/>
        </w:rPr>
        <w:t xml:space="preserve">. </w:t>
      </w:r>
      <w:r w:rsidR="003A191E" w:rsidRPr="00D318C5">
        <w:rPr>
          <w:rFonts w:ascii="Times New Roman" w:hAnsi="Times New Roman"/>
          <w:sz w:val="23"/>
          <w:szCs w:val="23"/>
        </w:rPr>
        <w:t>If necessary to me</w:t>
      </w:r>
      <w:r w:rsidR="006955BE" w:rsidRPr="00D318C5">
        <w:rPr>
          <w:rFonts w:ascii="Times New Roman" w:hAnsi="Times New Roman"/>
          <w:sz w:val="23"/>
          <w:szCs w:val="23"/>
        </w:rPr>
        <w:t>e</w:t>
      </w:r>
      <w:r w:rsidR="003A191E" w:rsidRPr="00D318C5">
        <w:rPr>
          <w:rFonts w:ascii="Times New Roman" w:hAnsi="Times New Roman"/>
          <w:sz w:val="23"/>
          <w:szCs w:val="23"/>
        </w:rPr>
        <w:t>t</w:t>
      </w:r>
      <w:r w:rsidR="0035580A" w:rsidRPr="00D318C5">
        <w:rPr>
          <w:rFonts w:ascii="Times New Roman" w:hAnsi="Times New Roman"/>
          <w:sz w:val="23"/>
          <w:szCs w:val="23"/>
        </w:rPr>
        <w:t xml:space="preserve"> the</w:t>
      </w:r>
      <w:r w:rsidR="006955BE" w:rsidRPr="00D318C5">
        <w:rPr>
          <w:rFonts w:ascii="Times New Roman" w:hAnsi="Times New Roman"/>
          <w:sz w:val="23"/>
          <w:szCs w:val="23"/>
        </w:rPr>
        <w:t xml:space="preserve"> objectives</w:t>
      </w:r>
      <w:r w:rsidR="0035580A" w:rsidRPr="00D318C5">
        <w:rPr>
          <w:rFonts w:ascii="Times New Roman" w:hAnsi="Times New Roman"/>
          <w:sz w:val="23"/>
          <w:szCs w:val="23"/>
        </w:rPr>
        <w:t xml:space="preserve"> of these safeguard measures</w:t>
      </w:r>
      <w:r w:rsidR="006955BE" w:rsidRPr="00D318C5">
        <w:rPr>
          <w:rFonts w:ascii="Times New Roman" w:hAnsi="Times New Roman"/>
          <w:sz w:val="23"/>
          <w:szCs w:val="23"/>
        </w:rPr>
        <w:t>, the project should</w:t>
      </w:r>
      <w:r w:rsidR="0035580A" w:rsidRPr="00D318C5">
        <w:rPr>
          <w:rFonts w:ascii="Times New Roman" w:hAnsi="Times New Roman"/>
          <w:sz w:val="23"/>
          <w:szCs w:val="23"/>
        </w:rPr>
        <w:t xml:space="preserve"> </w:t>
      </w:r>
      <w:r w:rsidR="006955BE" w:rsidRPr="00D318C5">
        <w:rPr>
          <w:rFonts w:ascii="Times New Roman" w:hAnsi="Times New Roman"/>
          <w:sz w:val="23"/>
          <w:szCs w:val="23"/>
        </w:rPr>
        <w:t xml:space="preserve">ensure that affected </w:t>
      </w:r>
      <w:r w:rsidR="007A2533" w:rsidRPr="00D318C5">
        <w:rPr>
          <w:rFonts w:ascii="Times New Roman" w:hAnsi="Times New Roman"/>
          <w:sz w:val="23"/>
          <w:szCs w:val="23"/>
        </w:rPr>
        <w:t>poor and vulnerable groups</w:t>
      </w:r>
      <w:r w:rsidR="006955BE" w:rsidRPr="00D318C5">
        <w:rPr>
          <w:rFonts w:ascii="Times New Roman" w:hAnsi="Times New Roman"/>
          <w:sz w:val="23"/>
          <w:szCs w:val="23"/>
        </w:rPr>
        <w:t xml:space="preserve"> have access to </w:t>
      </w:r>
      <w:r w:rsidR="007A2533" w:rsidRPr="00D318C5">
        <w:rPr>
          <w:rFonts w:ascii="Times New Roman" w:hAnsi="Times New Roman"/>
          <w:sz w:val="23"/>
          <w:szCs w:val="23"/>
        </w:rPr>
        <w:t>legal assistance</w:t>
      </w:r>
      <w:r w:rsidR="006955BE" w:rsidRPr="00D318C5">
        <w:rPr>
          <w:rFonts w:ascii="Times New Roman" w:hAnsi="Times New Roman"/>
          <w:sz w:val="23"/>
          <w:szCs w:val="23"/>
        </w:rPr>
        <w:t xml:space="preserve">. </w:t>
      </w:r>
      <w:r w:rsidR="00706778" w:rsidRPr="00D318C5">
        <w:rPr>
          <w:rFonts w:ascii="Times New Roman" w:hAnsi="Times New Roman"/>
          <w:sz w:val="23"/>
          <w:szCs w:val="23"/>
        </w:rPr>
        <w:t>Other possible strategies to mitigate potential conflicts over land</w:t>
      </w:r>
      <w:r w:rsidR="006A4BA5" w:rsidRPr="00D318C5">
        <w:rPr>
          <w:rFonts w:ascii="Times New Roman" w:hAnsi="Times New Roman"/>
          <w:sz w:val="23"/>
          <w:szCs w:val="23"/>
        </w:rPr>
        <w:t xml:space="preserve"> in the particular circumstances </w:t>
      </w:r>
      <w:r w:rsidR="00706778" w:rsidRPr="00D318C5">
        <w:rPr>
          <w:rFonts w:ascii="Times New Roman" w:hAnsi="Times New Roman"/>
          <w:sz w:val="23"/>
          <w:szCs w:val="23"/>
        </w:rPr>
        <w:t>should be explor</w:t>
      </w:r>
      <w:r w:rsidR="00C52966" w:rsidRPr="00D318C5">
        <w:rPr>
          <w:rFonts w:ascii="Times New Roman" w:hAnsi="Times New Roman"/>
          <w:sz w:val="23"/>
          <w:szCs w:val="23"/>
        </w:rPr>
        <w:t xml:space="preserve">ed in consultation with </w:t>
      </w:r>
      <w:r w:rsidR="00706778" w:rsidRPr="00D318C5">
        <w:rPr>
          <w:rFonts w:ascii="Times New Roman" w:hAnsi="Times New Roman"/>
          <w:sz w:val="23"/>
          <w:szCs w:val="23"/>
        </w:rPr>
        <w:t>affected persons and other stakeholders</w:t>
      </w:r>
      <w:r w:rsidR="0061117B" w:rsidRPr="00D318C5">
        <w:rPr>
          <w:rFonts w:ascii="Times New Roman" w:hAnsi="Times New Roman"/>
          <w:sz w:val="23"/>
          <w:szCs w:val="23"/>
        </w:rPr>
        <w:t>.</w:t>
      </w:r>
      <w:r w:rsidR="00706778" w:rsidRPr="00D318C5">
        <w:rPr>
          <w:rFonts w:ascii="Times New Roman" w:hAnsi="Times New Roman"/>
          <w:sz w:val="23"/>
          <w:szCs w:val="23"/>
        </w:rPr>
        <w:t xml:space="preserve"> </w:t>
      </w:r>
      <w:r w:rsidR="0061117B" w:rsidRPr="00D318C5">
        <w:rPr>
          <w:rFonts w:ascii="Times New Roman" w:hAnsi="Times New Roman"/>
          <w:sz w:val="23"/>
          <w:szCs w:val="23"/>
        </w:rPr>
        <w:t>S</w:t>
      </w:r>
      <w:r w:rsidR="00706778" w:rsidRPr="00D318C5">
        <w:rPr>
          <w:rFonts w:ascii="Times New Roman" w:hAnsi="Times New Roman"/>
          <w:sz w:val="23"/>
          <w:szCs w:val="23"/>
        </w:rPr>
        <w:t>trategies that are iden</w:t>
      </w:r>
      <w:r w:rsidR="0061117B" w:rsidRPr="00D318C5">
        <w:rPr>
          <w:rFonts w:ascii="Times New Roman" w:hAnsi="Times New Roman"/>
          <w:sz w:val="23"/>
          <w:szCs w:val="23"/>
        </w:rPr>
        <w:t>tified as feasible and likely to be effective</w:t>
      </w:r>
      <w:r w:rsidR="008B64E9" w:rsidRPr="00D318C5">
        <w:rPr>
          <w:rFonts w:ascii="Times New Roman" w:hAnsi="Times New Roman"/>
          <w:sz w:val="23"/>
          <w:szCs w:val="23"/>
        </w:rPr>
        <w:t>,</w:t>
      </w:r>
      <w:r w:rsidR="00706778" w:rsidRPr="00D318C5">
        <w:rPr>
          <w:rFonts w:ascii="Times New Roman" w:hAnsi="Times New Roman"/>
          <w:sz w:val="23"/>
          <w:szCs w:val="23"/>
        </w:rPr>
        <w:t xml:space="preserve"> </w:t>
      </w:r>
      <w:r w:rsidR="008B64E9" w:rsidRPr="00D318C5">
        <w:rPr>
          <w:rFonts w:ascii="Times New Roman" w:hAnsi="Times New Roman"/>
          <w:sz w:val="23"/>
          <w:szCs w:val="23"/>
        </w:rPr>
        <w:t xml:space="preserve">taking into account power imbalances between various parties, </w:t>
      </w:r>
      <w:r w:rsidR="00706778" w:rsidRPr="00D318C5">
        <w:rPr>
          <w:rFonts w:ascii="Times New Roman" w:hAnsi="Times New Roman"/>
          <w:sz w:val="23"/>
          <w:szCs w:val="23"/>
        </w:rPr>
        <w:t>should be put in place</w:t>
      </w:r>
      <w:r w:rsidR="001E5D7F" w:rsidRPr="00D318C5">
        <w:rPr>
          <w:rFonts w:ascii="Times New Roman" w:hAnsi="Times New Roman"/>
          <w:sz w:val="23"/>
          <w:szCs w:val="23"/>
        </w:rPr>
        <w:t>;</w:t>
      </w:r>
    </w:p>
    <w:p w14:paraId="5E41572C" w14:textId="005D41B5" w:rsidR="00126888" w:rsidRPr="00D318C5" w:rsidRDefault="00126888" w:rsidP="00A9026F">
      <w:pPr>
        <w:pStyle w:val="ListParagraph"/>
        <w:numPr>
          <w:ilvl w:val="0"/>
          <w:numId w:val="7"/>
        </w:numPr>
        <w:spacing w:after="360" w:line="276" w:lineRule="auto"/>
        <w:ind w:left="360"/>
        <w:contextualSpacing w:val="0"/>
        <w:jc w:val="both"/>
        <w:rPr>
          <w:rFonts w:ascii="Times New Roman" w:hAnsi="Times New Roman"/>
          <w:sz w:val="23"/>
          <w:szCs w:val="23"/>
        </w:rPr>
      </w:pPr>
      <w:r w:rsidRPr="00D318C5">
        <w:rPr>
          <w:rFonts w:ascii="Times New Roman" w:hAnsi="Times New Roman"/>
          <w:b/>
          <w:sz w:val="23"/>
          <w:szCs w:val="23"/>
        </w:rPr>
        <w:t xml:space="preserve">Measures to ensure that tenure rights </w:t>
      </w:r>
      <w:r w:rsidR="00992B01" w:rsidRPr="00D318C5">
        <w:rPr>
          <w:rFonts w:ascii="Times New Roman" w:hAnsi="Times New Roman"/>
          <w:b/>
          <w:sz w:val="23"/>
          <w:szCs w:val="23"/>
        </w:rPr>
        <w:t xml:space="preserve">of poor and vulnerable groups </w:t>
      </w:r>
      <w:r w:rsidRPr="00D318C5">
        <w:rPr>
          <w:rFonts w:ascii="Times New Roman" w:hAnsi="Times New Roman"/>
          <w:b/>
          <w:sz w:val="23"/>
          <w:szCs w:val="23"/>
        </w:rPr>
        <w:t xml:space="preserve">are not weakened or jeopardized due to the introduction </w:t>
      </w:r>
      <w:r w:rsidR="00467EEB" w:rsidRPr="00D318C5">
        <w:rPr>
          <w:rFonts w:ascii="Times New Roman" w:hAnsi="Times New Roman"/>
          <w:b/>
          <w:sz w:val="23"/>
          <w:szCs w:val="23"/>
        </w:rPr>
        <w:t xml:space="preserve">or enforcement </w:t>
      </w:r>
      <w:r w:rsidRPr="00D318C5">
        <w:rPr>
          <w:rFonts w:ascii="Times New Roman" w:hAnsi="Times New Roman"/>
          <w:b/>
          <w:sz w:val="23"/>
          <w:szCs w:val="23"/>
        </w:rPr>
        <w:t>of administrative or legal rules that are overly complex, onerous or expensive to fulfill, including with respect to land registration and transfer fees, and land use and development restrictions, standards or requirements</w:t>
      </w:r>
      <w:r w:rsidRPr="00D318C5">
        <w:rPr>
          <w:rFonts w:ascii="Times New Roman" w:hAnsi="Times New Roman"/>
          <w:sz w:val="23"/>
          <w:szCs w:val="23"/>
        </w:rPr>
        <w:t>;</w:t>
      </w:r>
    </w:p>
    <w:p w14:paraId="0F723512" w14:textId="67CE4A63" w:rsidR="00784494" w:rsidRPr="00D318C5" w:rsidRDefault="00814F58" w:rsidP="00374807">
      <w:pPr>
        <w:pStyle w:val="ListParagraph"/>
        <w:numPr>
          <w:ilvl w:val="0"/>
          <w:numId w:val="7"/>
        </w:numPr>
        <w:spacing w:after="120" w:line="276" w:lineRule="auto"/>
        <w:ind w:left="360"/>
        <w:contextualSpacing w:val="0"/>
        <w:jc w:val="both"/>
        <w:rPr>
          <w:rFonts w:ascii="Times New Roman" w:hAnsi="Times New Roman"/>
          <w:sz w:val="23"/>
          <w:szCs w:val="23"/>
        </w:rPr>
      </w:pPr>
      <w:r w:rsidRPr="00D318C5">
        <w:rPr>
          <w:rFonts w:ascii="Times New Roman" w:hAnsi="Times New Roman"/>
          <w:b/>
          <w:sz w:val="23"/>
          <w:szCs w:val="23"/>
        </w:rPr>
        <w:t>Other</w:t>
      </w:r>
      <w:r w:rsidR="00126888" w:rsidRPr="00D318C5">
        <w:rPr>
          <w:rFonts w:ascii="Times New Roman" w:hAnsi="Times New Roman"/>
          <w:b/>
          <w:sz w:val="23"/>
          <w:szCs w:val="23"/>
        </w:rPr>
        <w:t xml:space="preserve"> measures required to ensure that </w:t>
      </w:r>
      <w:r w:rsidR="00161C39" w:rsidRPr="00D318C5">
        <w:rPr>
          <w:rFonts w:ascii="Times New Roman" w:hAnsi="Times New Roman"/>
          <w:b/>
          <w:sz w:val="23"/>
          <w:szCs w:val="23"/>
        </w:rPr>
        <w:t>agricultu</w:t>
      </w:r>
      <w:r w:rsidR="001533C9" w:rsidRPr="00D318C5">
        <w:rPr>
          <w:rFonts w:ascii="Times New Roman" w:hAnsi="Times New Roman"/>
          <w:b/>
          <w:sz w:val="23"/>
          <w:szCs w:val="23"/>
        </w:rPr>
        <w:t xml:space="preserve">ral and other </w:t>
      </w:r>
      <w:r w:rsidR="00A53355" w:rsidRPr="00D318C5">
        <w:rPr>
          <w:rFonts w:ascii="Times New Roman" w:hAnsi="Times New Roman"/>
          <w:b/>
          <w:sz w:val="23"/>
          <w:szCs w:val="23"/>
        </w:rPr>
        <w:t xml:space="preserve">development </w:t>
      </w:r>
      <w:r w:rsidR="008915A3" w:rsidRPr="00D318C5">
        <w:rPr>
          <w:rFonts w:ascii="Times New Roman" w:hAnsi="Times New Roman"/>
          <w:b/>
          <w:sz w:val="23"/>
          <w:szCs w:val="23"/>
        </w:rPr>
        <w:t>operations</w:t>
      </w:r>
      <w:r w:rsidR="00B85AC6" w:rsidRPr="00D318C5">
        <w:rPr>
          <w:rFonts w:ascii="Times New Roman" w:hAnsi="Times New Roman"/>
          <w:b/>
          <w:sz w:val="23"/>
          <w:szCs w:val="23"/>
        </w:rPr>
        <w:t>, including those that support the d</w:t>
      </w:r>
      <w:r w:rsidR="00E05BA6" w:rsidRPr="00D318C5">
        <w:rPr>
          <w:rFonts w:ascii="Times New Roman" w:hAnsi="Times New Roman"/>
          <w:b/>
          <w:sz w:val="23"/>
          <w:szCs w:val="23"/>
        </w:rPr>
        <w:t>evelopment of laws and policies</w:t>
      </w:r>
      <w:r w:rsidR="00C0321A">
        <w:rPr>
          <w:rFonts w:ascii="Times New Roman" w:hAnsi="Times New Roman"/>
          <w:b/>
          <w:sz w:val="23"/>
          <w:szCs w:val="23"/>
        </w:rPr>
        <w:t>,</w:t>
      </w:r>
      <w:r w:rsidR="008915A3" w:rsidRPr="00D318C5">
        <w:rPr>
          <w:rFonts w:ascii="Times New Roman" w:hAnsi="Times New Roman"/>
          <w:b/>
          <w:sz w:val="23"/>
          <w:szCs w:val="23"/>
        </w:rPr>
        <w:t xml:space="preserve"> </w:t>
      </w:r>
      <w:r w:rsidR="00126888" w:rsidRPr="00D318C5">
        <w:rPr>
          <w:rFonts w:ascii="Times New Roman" w:hAnsi="Times New Roman"/>
          <w:b/>
          <w:sz w:val="23"/>
          <w:szCs w:val="23"/>
        </w:rPr>
        <w:t>do not infringe</w:t>
      </w:r>
      <w:r w:rsidR="00EC79D6" w:rsidRPr="00D318C5">
        <w:rPr>
          <w:rFonts w:ascii="Times New Roman" w:hAnsi="Times New Roman"/>
          <w:b/>
          <w:sz w:val="23"/>
          <w:szCs w:val="23"/>
        </w:rPr>
        <w:t xml:space="preserve"> </w:t>
      </w:r>
      <w:r w:rsidR="00126888" w:rsidRPr="00D318C5">
        <w:rPr>
          <w:rFonts w:ascii="Times New Roman" w:hAnsi="Times New Roman"/>
          <w:b/>
          <w:sz w:val="23"/>
          <w:szCs w:val="23"/>
        </w:rPr>
        <w:t xml:space="preserve">the tenure rights </w:t>
      </w:r>
      <w:r w:rsidR="00EC79D6" w:rsidRPr="00D318C5">
        <w:rPr>
          <w:rFonts w:ascii="Times New Roman" w:hAnsi="Times New Roman"/>
          <w:b/>
          <w:sz w:val="23"/>
          <w:szCs w:val="23"/>
        </w:rPr>
        <w:t xml:space="preserve">and arrangements </w:t>
      </w:r>
      <w:r w:rsidR="00126888" w:rsidRPr="00D318C5">
        <w:rPr>
          <w:rFonts w:ascii="Times New Roman" w:hAnsi="Times New Roman"/>
          <w:b/>
          <w:sz w:val="23"/>
          <w:szCs w:val="23"/>
        </w:rPr>
        <w:t xml:space="preserve">of </w:t>
      </w:r>
      <w:r w:rsidR="00814E6A" w:rsidRPr="00D318C5">
        <w:rPr>
          <w:rFonts w:ascii="Times New Roman" w:hAnsi="Times New Roman"/>
          <w:b/>
          <w:sz w:val="23"/>
          <w:szCs w:val="23"/>
        </w:rPr>
        <w:t xml:space="preserve">people and communities with land and natural resource-based livelihoods, including </w:t>
      </w:r>
      <w:r w:rsidR="00126888" w:rsidRPr="00D318C5">
        <w:rPr>
          <w:rFonts w:ascii="Times New Roman" w:hAnsi="Times New Roman"/>
          <w:b/>
          <w:sz w:val="23"/>
          <w:szCs w:val="23"/>
        </w:rPr>
        <w:t xml:space="preserve">smallholder </w:t>
      </w:r>
      <w:r w:rsidRPr="00D318C5">
        <w:rPr>
          <w:rFonts w:ascii="Times New Roman" w:hAnsi="Times New Roman"/>
          <w:b/>
          <w:sz w:val="23"/>
          <w:szCs w:val="23"/>
        </w:rPr>
        <w:t>food producers</w:t>
      </w:r>
      <w:r w:rsidR="00126888" w:rsidRPr="00D318C5">
        <w:rPr>
          <w:rFonts w:ascii="Times New Roman" w:hAnsi="Times New Roman"/>
          <w:b/>
          <w:sz w:val="23"/>
          <w:szCs w:val="23"/>
        </w:rPr>
        <w:t xml:space="preserve">, </w:t>
      </w:r>
      <w:r w:rsidR="00165BD2" w:rsidRPr="00D318C5">
        <w:rPr>
          <w:rFonts w:ascii="Times New Roman" w:hAnsi="Times New Roman"/>
          <w:b/>
          <w:sz w:val="23"/>
          <w:szCs w:val="23"/>
        </w:rPr>
        <w:t xml:space="preserve">fisher folk, </w:t>
      </w:r>
      <w:r w:rsidR="000921B0" w:rsidRPr="00D318C5">
        <w:rPr>
          <w:rFonts w:ascii="Times New Roman" w:hAnsi="Times New Roman"/>
          <w:b/>
          <w:sz w:val="23"/>
          <w:szCs w:val="23"/>
        </w:rPr>
        <w:t xml:space="preserve">herders </w:t>
      </w:r>
      <w:r w:rsidR="00814E6A" w:rsidRPr="00D318C5">
        <w:rPr>
          <w:rFonts w:ascii="Times New Roman" w:hAnsi="Times New Roman"/>
          <w:b/>
          <w:sz w:val="23"/>
          <w:szCs w:val="23"/>
        </w:rPr>
        <w:t xml:space="preserve">and </w:t>
      </w:r>
      <w:r w:rsidR="00165BD2" w:rsidRPr="00D318C5">
        <w:rPr>
          <w:rFonts w:ascii="Times New Roman" w:hAnsi="Times New Roman"/>
          <w:b/>
          <w:sz w:val="23"/>
          <w:szCs w:val="23"/>
        </w:rPr>
        <w:t>forest dwellers</w:t>
      </w:r>
      <w:r w:rsidR="00126888" w:rsidRPr="00D318C5">
        <w:rPr>
          <w:rFonts w:ascii="Times New Roman" w:hAnsi="Times New Roman"/>
          <w:b/>
          <w:sz w:val="23"/>
          <w:szCs w:val="23"/>
        </w:rPr>
        <w:t>.</w:t>
      </w:r>
      <w:r w:rsidR="00126888" w:rsidRPr="00D318C5">
        <w:rPr>
          <w:rFonts w:ascii="Times New Roman" w:hAnsi="Times New Roman"/>
          <w:sz w:val="23"/>
          <w:szCs w:val="23"/>
        </w:rPr>
        <w:t xml:space="preserve"> </w:t>
      </w:r>
      <w:r w:rsidR="006376AD" w:rsidRPr="00D318C5">
        <w:rPr>
          <w:rFonts w:ascii="Times New Roman" w:hAnsi="Times New Roman"/>
          <w:sz w:val="23"/>
          <w:szCs w:val="23"/>
        </w:rPr>
        <w:t>These land and natural resource users should be the primary beneficiaries of any such project, including through the strengthening of their tenure security</w:t>
      </w:r>
      <w:r w:rsidR="00077C90" w:rsidRPr="00D318C5">
        <w:rPr>
          <w:rFonts w:ascii="Times New Roman" w:hAnsi="Times New Roman"/>
          <w:sz w:val="23"/>
          <w:szCs w:val="23"/>
        </w:rPr>
        <w:t xml:space="preserve"> and increasing their access to productive resources</w:t>
      </w:r>
      <w:r w:rsidR="006376AD" w:rsidRPr="00D318C5">
        <w:rPr>
          <w:rFonts w:ascii="Times New Roman" w:hAnsi="Times New Roman"/>
          <w:sz w:val="23"/>
          <w:szCs w:val="23"/>
        </w:rPr>
        <w:t xml:space="preserve">. </w:t>
      </w:r>
      <w:r w:rsidR="00E215FB" w:rsidRPr="00D318C5">
        <w:rPr>
          <w:rFonts w:ascii="Times New Roman" w:hAnsi="Times New Roman"/>
          <w:sz w:val="23"/>
          <w:szCs w:val="23"/>
        </w:rPr>
        <w:t xml:space="preserve">Under no circumstances should the Bank </w:t>
      </w:r>
      <w:r w:rsidR="000921B0" w:rsidRPr="00D318C5">
        <w:rPr>
          <w:rFonts w:ascii="Times New Roman" w:hAnsi="Times New Roman"/>
          <w:sz w:val="23"/>
          <w:szCs w:val="23"/>
        </w:rPr>
        <w:t>support</w:t>
      </w:r>
      <w:r w:rsidR="00E215FB" w:rsidRPr="00D318C5">
        <w:rPr>
          <w:rFonts w:ascii="Times New Roman" w:hAnsi="Times New Roman"/>
          <w:sz w:val="23"/>
          <w:szCs w:val="23"/>
        </w:rPr>
        <w:t xml:space="preserve"> </w:t>
      </w:r>
      <w:r w:rsidR="000921B0" w:rsidRPr="00D318C5">
        <w:rPr>
          <w:rFonts w:ascii="Times New Roman" w:hAnsi="Times New Roman"/>
          <w:sz w:val="23"/>
          <w:szCs w:val="23"/>
        </w:rPr>
        <w:t xml:space="preserve">land </w:t>
      </w:r>
      <w:r w:rsidR="00E215FB" w:rsidRPr="00D318C5">
        <w:rPr>
          <w:rFonts w:ascii="Times New Roman" w:hAnsi="Times New Roman"/>
          <w:sz w:val="23"/>
          <w:szCs w:val="23"/>
        </w:rPr>
        <w:t>investments or acquisitions that do not comply with these safeguards</w:t>
      </w:r>
      <w:r w:rsidR="00E215FB" w:rsidRPr="00D318C5">
        <w:rPr>
          <w:rStyle w:val="FootnoteReference"/>
          <w:rFonts w:ascii="Times New Roman" w:hAnsi="Times New Roman"/>
          <w:sz w:val="23"/>
          <w:szCs w:val="23"/>
        </w:rPr>
        <w:footnoteReference w:id="25"/>
      </w:r>
      <w:r w:rsidR="00E215FB" w:rsidRPr="00D318C5">
        <w:rPr>
          <w:rFonts w:ascii="Times New Roman" w:hAnsi="Times New Roman"/>
          <w:sz w:val="23"/>
          <w:szCs w:val="23"/>
        </w:rPr>
        <w:t xml:space="preserve"> </w:t>
      </w:r>
      <w:r w:rsidR="002C5EC3" w:rsidRPr="00D318C5">
        <w:rPr>
          <w:rFonts w:ascii="Times New Roman" w:hAnsi="Times New Roman"/>
          <w:sz w:val="23"/>
          <w:szCs w:val="23"/>
        </w:rPr>
        <w:t>or which reduce the availability of productive land</w:t>
      </w:r>
      <w:r w:rsidR="000921B0" w:rsidRPr="00D318C5">
        <w:rPr>
          <w:rFonts w:ascii="Times New Roman" w:hAnsi="Times New Roman"/>
          <w:sz w:val="23"/>
          <w:szCs w:val="23"/>
        </w:rPr>
        <w:t>, water</w:t>
      </w:r>
      <w:r w:rsidR="00165BD2" w:rsidRPr="00D318C5">
        <w:rPr>
          <w:rFonts w:ascii="Times New Roman" w:hAnsi="Times New Roman"/>
          <w:sz w:val="23"/>
          <w:szCs w:val="23"/>
        </w:rPr>
        <w:t xml:space="preserve"> or other natural resources</w:t>
      </w:r>
      <w:r w:rsidR="002C5EC3" w:rsidRPr="00D318C5">
        <w:rPr>
          <w:rFonts w:ascii="Times New Roman" w:hAnsi="Times New Roman"/>
          <w:sz w:val="23"/>
          <w:szCs w:val="23"/>
        </w:rPr>
        <w:t xml:space="preserve"> for smallholder food producers</w:t>
      </w:r>
      <w:r w:rsidR="00D65C7C" w:rsidRPr="00D318C5">
        <w:rPr>
          <w:rFonts w:ascii="Times New Roman" w:hAnsi="Times New Roman"/>
          <w:sz w:val="23"/>
          <w:szCs w:val="23"/>
        </w:rPr>
        <w:t xml:space="preserve"> and pastoralists</w:t>
      </w:r>
      <w:r w:rsidR="002C5EC3" w:rsidRPr="00D318C5">
        <w:rPr>
          <w:rFonts w:ascii="Times New Roman" w:hAnsi="Times New Roman"/>
          <w:sz w:val="23"/>
          <w:szCs w:val="23"/>
        </w:rPr>
        <w:t xml:space="preserve"> to the detriment of </w:t>
      </w:r>
      <w:r w:rsidR="000C114F" w:rsidRPr="00D318C5">
        <w:rPr>
          <w:rFonts w:ascii="Times New Roman" w:hAnsi="Times New Roman"/>
          <w:sz w:val="23"/>
          <w:szCs w:val="23"/>
        </w:rPr>
        <w:t xml:space="preserve">their welfare </w:t>
      </w:r>
      <w:r w:rsidR="002C5EC3" w:rsidRPr="00D318C5">
        <w:rPr>
          <w:rFonts w:ascii="Times New Roman" w:hAnsi="Times New Roman"/>
          <w:sz w:val="23"/>
          <w:szCs w:val="23"/>
        </w:rPr>
        <w:t>and national food security.</w:t>
      </w:r>
      <w:r w:rsidR="000C114F" w:rsidRPr="00D318C5">
        <w:rPr>
          <w:rFonts w:ascii="Times New Roman" w:hAnsi="Times New Roman"/>
          <w:sz w:val="23"/>
          <w:szCs w:val="23"/>
        </w:rPr>
        <w:t xml:space="preserve"> </w:t>
      </w:r>
      <w:r w:rsidR="00126888" w:rsidRPr="00D318C5">
        <w:rPr>
          <w:rFonts w:ascii="Times New Roman" w:hAnsi="Times New Roman"/>
          <w:sz w:val="23"/>
          <w:szCs w:val="23"/>
        </w:rPr>
        <w:t xml:space="preserve">Specific </w:t>
      </w:r>
      <w:r w:rsidR="00E215FB" w:rsidRPr="00D318C5">
        <w:rPr>
          <w:rFonts w:ascii="Times New Roman" w:hAnsi="Times New Roman"/>
          <w:sz w:val="23"/>
          <w:szCs w:val="23"/>
        </w:rPr>
        <w:t xml:space="preserve">safeguard </w:t>
      </w:r>
      <w:r w:rsidR="002C5EC3" w:rsidRPr="00D318C5">
        <w:rPr>
          <w:rFonts w:ascii="Times New Roman" w:hAnsi="Times New Roman"/>
          <w:sz w:val="23"/>
          <w:szCs w:val="23"/>
        </w:rPr>
        <w:t>measures will</w:t>
      </w:r>
      <w:r w:rsidR="00126888" w:rsidRPr="00D318C5">
        <w:rPr>
          <w:rFonts w:ascii="Times New Roman" w:hAnsi="Times New Roman"/>
          <w:sz w:val="23"/>
          <w:szCs w:val="23"/>
        </w:rPr>
        <w:t xml:space="preserve"> need to be</w:t>
      </w:r>
      <w:r w:rsidR="002C5EC3" w:rsidRPr="00D318C5">
        <w:rPr>
          <w:rFonts w:ascii="Times New Roman" w:hAnsi="Times New Roman"/>
          <w:sz w:val="23"/>
          <w:szCs w:val="23"/>
        </w:rPr>
        <w:t xml:space="preserve"> designed and</w:t>
      </w:r>
      <w:r w:rsidR="00C32BC0" w:rsidRPr="00D318C5">
        <w:rPr>
          <w:rFonts w:ascii="Times New Roman" w:hAnsi="Times New Roman"/>
          <w:sz w:val="23"/>
          <w:szCs w:val="23"/>
        </w:rPr>
        <w:t xml:space="preserve"> established as</w:t>
      </w:r>
      <w:r w:rsidR="00126888" w:rsidRPr="00D318C5">
        <w:rPr>
          <w:rFonts w:ascii="Times New Roman" w:hAnsi="Times New Roman"/>
          <w:sz w:val="23"/>
          <w:szCs w:val="23"/>
        </w:rPr>
        <w:t xml:space="preserve"> p</w:t>
      </w:r>
      <w:r w:rsidR="00C128C0" w:rsidRPr="00D318C5">
        <w:rPr>
          <w:rFonts w:ascii="Times New Roman" w:hAnsi="Times New Roman"/>
          <w:sz w:val="23"/>
          <w:szCs w:val="23"/>
        </w:rPr>
        <w:t>art of the Bank-financed project</w:t>
      </w:r>
      <w:r w:rsidR="00126888" w:rsidRPr="00D318C5">
        <w:rPr>
          <w:rFonts w:ascii="Times New Roman" w:hAnsi="Times New Roman"/>
          <w:sz w:val="23"/>
          <w:szCs w:val="23"/>
        </w:rPr>
        <w:t xml:space="preserve"> </w:t>
      </w:r>
      <w:r w:rsidR="002C5EC3" w:rsidRPr="00D318C5">
        <w:rPr>
          <w:rFonts w:ascii="Times New Roman" w:hAnsi="Times New Roman"/>
          <w:sz w:val="23"/>
          <w:szCs w:val="23"/>
        </w:rPr>
        <w:t>on the basis of</w:t>
      </w:r>
      <w:r w:rsidR="006E3588" w:rsidRPr="00D318C5">
        <w:rPr>
          <w:rFonts w:ascii="Times New Roman" w:hAnsi="Times New Roman"/>
          <w:i/>
          <w:sz w:val="23"/>
          <w:szCs w:val="23"/>
        </w:rPr>
        <w:t xml:space="preserve"> </w:t>
      </w:r>
      <w:r w:rsidR="00F26BDD" w:rsidRPr="00D318C5">
        <w:rPr>
          <w:rFonts w:ascii="Times New Roman" w:hAnsi="Times New Roman"/>
          <w:sz w:val="23"/>
          <w:szCs w:val="23"/>
        </w:rPr>
        <w:t>the i</w:t>
      </w:r>
      <w:r w:rsidR="006E3588" w:rsidRPr="00D318C5">
        <w:rPr>
          <w:rFonts w:ascii="Times New Roman" w:hAnsi="Times New Roman"/>
          <w:sz w:val="23"/>
          <w:szCs w:val="23"/>
        </w:rPr>
        <w:t xml:space="preserve">mpact </w:t>
      </w:r>
      <w:r w:rsidR="00F26BDD" w:rsidRPr="00D318C5">
        <w:rPr>
          <w:rFonts w:ascii="Times New Roman" w:hAnsi="Times New Roman"/>
          <w:sz w:val="23"/>
          <w:szCs w:val="23"/>
        </w:rPr>
        <w:t xml:space="preserve">assessments </w:t>
      </w:r>
      <w:r w:rsidR="00814E6A" w:rsidRPr="00D318C5">
        <w:rPr>
          <w:rFonts w:ascii="Times New Roman" w:hAnsi="Times New Roman"/>
          <w:sz w:val="23"/>
          <w:szCs w:val="23"/>
        </w:rPr>
        <w:t>and consultations</w:t>
      </w:r>
      <w:r w:rsidR="00126888" w:rsidRPr="00D318C5">
        <w:rPr>
          <w:rFonts w:ascii="Times New Roman" w:hAnsi="Times New Roman"/>
          <w:sz w:val="23"/>
          <w:szCs w:val="23"/>
        </w:rPr>
        <w:t xml:space="preserve">. However, </w:t>
      </w:r>
      <w:r w:rsidR="00321B16" w:rsidRPr="00D318C5">
        <w:rPr>
          <w:rFonts w:ascii="Times New Roman" w:hAnsi="Times New Roman"/>
          <w:sz w:val="23"/>
          <w:szCs w:val="23"/>
        </w:rPr>
        <w:t>they should include the following:</w:t>
      </w:r>
      <w:r w:rsidR="004E4F70" w:rsidRPr="00D318C5">
        <w:rPr>
          <w:rFonts w:ascii="Times New Roman" w:hAnsi="Times New Roman"/>
          <w:sz w:val="23"/>
          <w:szCs w:val="23"/>
        </w:rPr>
        <w:t xml:space="preserve"> </w:t>
      </w:r>
    </w:p>
    <w:p w14:paraId="0BFB618A" w14:textId="589B6476" w:rsidR="004D6444" w:rsidRPr="00D318C5" w:rsidRDefault="004D6444" w:rsidP="0011568D">
      <w:pPr>
        <w:pStyle w:val="ListParagraph"/>
        <w:numPr>
          <w:ilvl w:val="0"/>
          <w:numId w:val="21"/>
        </w:numPr>
        <w:spacing w:after="120" w:line="276" w:lineRule="auto"/>
        <w:contextualSpacing w:val="0"/>
        <w:jc w:val="both"/>
        <w:rPr>
          <w:rFonts w:ascii="Times New Roman" w:hAnsi="Times New Roman"/>
          <w:sz w:val="23"/>
          <w:szCs w:val="23"/>
        </w:rPr>
      </w:pPr>
      <w:r w:rsidRPr="00D318C5">
        <w:rPr>
          <w:rFonts w:ascii="Times New Roman" w:hAnsi="Times New Roman"/>
          <w:sz w:val="23"/>
          <w:szCs w:val="23"/>
        </w:rPr>
        <w:t>F</w:t>
      </w:r>
      <w:r w:rsidR="008704BD" w:rsidRPr="00D318C5">
        <w:rPr>
          <w:rFonts w:ascii="Times New Roman" w:hAnsi="Times New Roman"/>
          <w:sz w:val="23"/>
          <w:szCs w:val="23"/>
        </w:rPr>
        <w:t>or projects that encourage</w:t>
      </w:r>
      <w:r w:rsidR="000921B0" w:rsidRPr="00D318C5">
        <w:rPr>
          <w:rFonts w:ascii="Times New Roman" w:hAnsi="Times New Roman"/>
          <w:sz w:val="23"/>
          <w:szCs w:val="23"/>
        </w:rPr>
        <w:t xml:space="preserve"> </w:t>
      </w:r>
      <w:r w:rsidR="001533C9" w:rsidRPr="00D318C5">
        <w:rPr>
          <w:rFonts w:ascii="Times New Roman" w:hAnsi="Times New Roman"/>
          <w:sz w:val="23"/>
          <w:szCs w:val="23"/>
        </w:rPr>
        <w:t xml:space="preserve">external </w:t>
      </w:r>
      <w:r w:rsidR="000921B0" w:rsidRPr="00D318C5">
        <w:rPr>
          <w:rFonts w:ascii="Times New Roman" w:hAnsi="Times New Roman"/>
          <w:sz w:val="23"/>
          <w:szCs w:val="23"/>
        </w:rPr>
        <w:t>private</w:t>
      </w:r>
      <w:r w:rsidR="009D5527" w:rsidRPr="00D318C5">
        <w:rPr>
          <w:rFonts w:ascii="Times New Roman" w:hAnsi="Times New Roman"/>
          <w:sz w:val="23"/>
          <w:szCs w:val="23"/>
        </w:rPr>
        <w:t xml:space="preserve"> </w:t>
      </w:r>
      <w:r w:rsidR="008704BD" w:rsidRPr="00D318C5">
        <w:rPr>
          <w:rFonts w:ascii="Times New Roman" w:hAnsi="Times New Roman"/>
          <w:sz w:val="23"/>
          <w:szCs w:val="23"/>
        </w:rPr>
        <w:t>investment</w:t>
      </w:r>
      <w:r w:rsidR="00A70D80" w:rsidRPr="00D318C5">
        <w:rPr>
          <w:rFonts w:ascii="Times New Roman" w:hAnsi="Times New Roman"/>
          <w:sz w:val="23"/>
          <w:szCs w:val="23"/>
        </w:rPr>
        <w:t>s</w:t>
      </w:r>
      <w:r w:rsidR="008704BD" w:rsidRPr="00D318C5">
        <w:rPr>
          <w:rFonts w:ascii="Times New Roman" w:hAnsi="Times New Roman"/>
          <w:sz w:val="23"/>
          <w:szCs w:val="23"/>
        </w:rPr>
        <w:t xml:space="preserve"> </w:t>
      </w:r>
      <w:r w:rsidR="009D5527" w:rsidRPr="00D318C5">
        <w:rPr>
          <w:rFonts w:ascii="Times New Roman" w:hAnsi="Times New Roman"/>
          <w:sz w:val="23"/>
          <w:szCs w:val="23"/>
        </w:rPr>
        <w:t xml:space="preserve">that </w:t>
      </w:r>
      <w:r w:rsidR="00A86F54" w:rsidRPr="00D318C5">
        <w:rPr>
          <w:rFonts w:ascii="Times New Roman" w:hAnsi="Times New Roman"/>
          <w:sz w:val="23"/>
          <w:szCs w:val="23"/>
        </w:rPr>
        <w:t xml:space="preserve">do not have a </w:t>
      </w:r>
      <w:r w:rsidR="009D5527" w:rsidRPr="00D318C5">
        <w:rPr>
          <w:rFonts w:ascii="Times New Roman" w:hAnsi="Times New Roman"/>
          <w:sz w:val="23"/>
          <w:szCs w:val="23"/>
        </w:rPr>
        <w:t xml:space="preserve">public </w:t>
      </w:r>
      <w:r w:rsidR="00523E3E" w:rsidRPr="00D318C5">
        <w:rPr>
          <w:rFonts w:ascii="Times New Roman" w:hAnsi="Times New Roman"/>
          <w:sz w:val="23"/>
          <w:szCs w:val="23"/>
        </w:rPr>
        <w:t>purpose</w:t>
      </w:r>
      <w:r w:rsidR="005E76E1" w:rsidRPr="00D318C5">
        <w:rPr>
          <w:rFonts w:ascii="Times New Roman" w:hAnsi="Times New Roman"/>
          <w:sz w:val="23"/>
          <w:szCs w:val="23"/>
        </w:rPr>
        <w:t>,</w:t>
      </w:r>
      <w:r w:rsidR="000D460F" w:rsidRPr="00D318C5">
        <w:rPr>
          <w:rStyle w:val="FootnoteReference"/>
          <w:rFonts w:ascii="Garamond" w:hAnsi="Garamond"/>
        </w:rPr>
        <w:footnoteReference w:id="26"/>
      </w:r>
      <w:r w:rsidR="008704BD" w:rsidRPr="00D318C5">
        <w:rPr>
          <w:rFonts w:ascii="Times New Roman" w:hAnsi="Times New Roman"/>
          <w:sz w:val="23"/>
          <w:szCs w:val="23"/>
        </w:rPr>
        <w:t xml:space="preserve"> </w:t>
      </w:r>
      <w:r w:rsidR="00126888" w:rsidRPr="00D318C5">
        <w:rPr>
          <w:rFonts w:ascii="Times New Roman" w:hAnsi="Times New Roman"/>
          <w:sz w:val="23"/>
          <w:szCs w:val="23"/>
        </w:rPr>
        <w:t>such measures should include the development of regulations that require potential investors to demonstrate</w:t>
      </w:r>
      <w:r w:rsidR="00C54E9E" w:rsidRPr="00D318C5">
        <w:rPr>
          <w:rFonts w:ascii="Times New Roman" w:hAnsi="Times New Roman"/>
          <w:sz w:val="23"/>
          <w:szCs w:val="23"/>
        </w:rPr>
        <w:t>,</w:t>
      </w:r>
      <w:r w:rsidR="00126888" w:rsidRPr="00D318C5">
        <w:rPr>
          <w:rFonts w:ascii="Times New Roman" w:hAnsi="Times New Roman"/>
          <w:sz w:val="23"/>
          <w:szCs w:val="23"/>
        </w:rPr>
        <w:t xml:space="preserve"> </w:t>
      </w:r>
      <w:r w:rsidR="004011E9" w:rsidRPr="00D318C5">
        <w:rPr>
          <w:rFonts w:ascii="Times New Roman" w:hAnsi="Times New Roman"/>
          <w:sz w:val="23"/>
          <w:szCs w:val="23"/>
        </w:rPr>
        <w:t>through a publicly disclosed</w:t>
      </w:r>
      <w:r w:rsidR="00C54E9E" w:rsidRPr="00D318C5">
        <w:rPr>
          <w:rFonts w:ascii="Times New Roman" w:hAnsi="Times New Roman"/>
          <w:sz w:val="23"/>
          <w:szCs w:val="23"/>
        </w:rPr>
        <w:t xml:space="preserve"> account of their due diligence,</w:t>
      </w:r>
      <w:r w:rsidR="00E9742B" w:rsidRPr="00D318C5">
        <w:rPr>
          <w:rStyle w:val="FootnoteReference"/>
          <w:rFonts w:ascii="Times New Roman" w:hAnsi="Times New Roman"/>
          <w:sz w:val="23"/>
          <w:szCs w:val="23"/>
        </w:rPr>
        <w:footnoteReference w:id="27"/>
      </w:r>
      <w:r w:rsidR="00C54E9E" w:rsidRPr="00D318C5">
        <w:rPr>
          <w:rFonts w:ascii="Times New Roman" w:hAnsi="Times New Roman"/>
          <w:sz w:val="23"/>
          <w:szCs w:val="23"/>
        </w:rPr>
        <w:t xml:space="preserve"> </w:t>
      </w:r>
      <w:r w:rsidR="00126888" w:rsidRPr="00D318C5">
        <w:rPr>
          <w:rFonts w:ascii="Times New Roman" w:hAnsi="Times New Roman"/>
          <w:sz w:val="23"/>
          <w:szCs w:val="23"/>
        </w:rPr>
        <w:t xml:space="preserve">how </w:t>
      </w:r>
      <w:r w:rsidR="00B04197" w:rsidRPr="00D318C5">
        <w:rPr>
          <w:rFonts w:ascii="Times New Roman" w:hAnsi="Times New Roman"/>
          <w:sz w:val="23"/>
          <w:szCs w:val="23"/>
        </w:rPr>
        <w:t>their project will</w:t>
      </w:r>
      <w:r w:rsidR="00A86F54" w:rsidRPr="00D318C5">
        <w:rPr>
          <w:rFonts w:ascii="Times New Roman" w:hAnsi="Times New Roman"/>
          <w:sz w:val="23"/>
          <w:szCs w:val="23"/>
        </w:rPr>
        <w:t xml:space="preserve"> respect the </w:t>
      </w:r>
      <w:r w:rsidR="00126888" w:rsidRPr="00D318C5">
        <w:rPr>
          <w:rFonts w:ascii="Times New Roman" w:hAnsi="Times New Roman"/>
          <w:sz w:val="23"/>
          <w:szCs w:val="23"/>
        </w:rPr>
        <w:t>pre-existing te</w:t>
      </w:r>
      <w:r w:rsidR="004C052B" w:rsidRPr="00D318C5">
        <w:rPr>
          <w:rFonts w:ascii="Times New Roman" w:hAnsi="Times New Roman"/>
          <w:sz w:val="23"/>
          <w:szCs w:val="23"/>
        </w:rPr>
        <w:t>nure rights, including subsidiary</w:t>
      </w:r>
      <w:r w:rsidR="00126888" w:rsidRPr="00D318C5">
        <w:rPr>
          <w:rFonts w:ascii="Times New Roman" w:hAnsi="Times New Roman"/>
          <w:sz w:val="23"/>
          <w:szCs w:val="23"/>
        </w:rPr>
        <w:t xml:space="preserve"> use and access rights,</w:t>
      </w:r>
      <w:r w:rsidR="00752342" w:rsidRPr="00D318C5">
        <w:rPr>
          <w:rFonts w:ascii="Times New Roman" w:hAnsi="Times New Roman"/>
          <w:sz w:val="23"/>
          <w:szCs w:val="23"/>
        </w:rPr>
        <w:t xml:space="preserve"> of land users</w:t>
      </w:r>
      <w:r w:rsidR="00126888" w:rsidRPr="00D318C5">
        <w:rPr>
          <w:rFonts w:ascii="Times New Roman" w:hAnsi="Times New Roman"/>
          <w:sz w:val="23"/>
          <w:szCs w:val="23"/>
        </w:rPr>
        <w:t xml:space="preserve"> in </w:t>
      </w:r>
      <w:r w:rsidR="00752342" w:rsidRPr="00D318C5">
        <w:rPr>
          <w:rFonts w:ascii="Times New Roman" w:hAnsi="Times New Roman"/>
          <w:sz w:val="23"/>
          <w:szCs w:val="23"/>
        </w:rPr>
        <w:t xml:space="preserve">the vicinity of </w:t>
      </w:r>
      <w:r w:rsidR="00126888" w:rsidRPr="00D318C5">
        <w:rPr>
          <w:rFonts w:ascii="Times New Roman" w:hAnsi="Times New Roman"/>
          <w:sz w:val="23"/>
          <w:szCs w:val="23"/>
        </w:rPr>
        <w:t>the area</w:t>
      </w:r>
      <w:r w:rsidR="006628CA" w:rsidRPr="00D318C5">
        <w:rPr>
          <w:rFonts w:ascii="Times New Roman" w:hAnsi="Times New Roman"/>
          <w:sz w:val="23"/>
          <w:szCs w:val="23"/>
        </w:rPr>
        <w:t>,</w:t>
      </w:r>
      <w:r w:rsidR="00344422" w:rsidRPr="00D318C5">
        <w:rPr>
          <w:rFonts w:ascii="Times New Roman" w:hAnsi="Times New Roman"/>
          <w:sz w:val="23"/>
          <w:szCs w:val="23"/>
        </w:rPr>
        <w:t xml:space="preserve"> as a condition for approval</w:t>
      </w:r>
      <w:r w:rsidR="006628CA" w:rsidRPr="00D318C5">
        <w:rPr>
          <w:rFonts w:ascii="Times New Roman" w:hAnsi="Times New Roman"/>
          <w:sz w:val="23"/>
          <w:szCs w:val="23"/>
        </w:rPr>
        <w:t xml:space="preserve"> of the investment</w:t>
      </w:r>
      <w:r w:rsidR="00126888" w:rsidRPr="00D318C5">
        <w:rPr>
          <w:rFonts w:ascii="Times New Roman" w:hAnsi="Times New Roman"/>
          <w:sz w:val="23"/>
          <w:szCs w:val="23"/>
        </w:rPr>
        <w:t xml:space="preserve">. Regulated processes for </w:t>
      </w:r>
      <w:r w:rsidR="00307640" w:rsidRPr="00D318C5">
        <w:rPr>
          <w:rFonts w:ascii="Times New Roman" w:hAnsi="Times New Roman"/>
          <w:sz w:val="23"/>
          <w:szCs w:val="23"/>
        </w:rPr>
        <w:t>full information disclosure and the transparent</w:t>
      </w:r>
      <w:r w:rsidR="00B85295" w:rsidRPr="00D318C5">
        <w:rPr>
          <w:rFonts w:ascii="Times New Roman" w:hAnsi="Times New Roman"/>
          <w:sz w:val="23"/>
          <w:szCs w:val="23"/>
        </w:rPr>
        <w:t xml:space="preserve"> </w:t>
      </w:r>
      <w:r w:rsidR="00307640" w:rsidRPr="00D318C5">
        <w:rPr>
          <w:rFonts w:ascii="Times New Roman" w:hAnsi="Times New Roman"/>
          <w:sz w:val="23"/>
          <w:szCs w:val="23"/>
        </w:rPr>
        <w:t>negotiation of</w:t>
      </w:r>
      <w:r w:rsidR="00126888" w:rsidRPr="00D318C5">
        <w:rPr>
          <w:rFonts w:ascii="Times New Roman" w:hAnsi="Times New Roman"/>
          <w:sz w:val="23"/>
          <w:szCs w:val="23"/>
        </w:rPr>
        <w:t xml:space="preserve"> agreements regarding any interference with </w:t>
      </w:r>
      <w:r w:rsidR="008704BD" w:rsidRPr="00D318C5">
        <w:rPr>
          <w:rFonts w:ascii="Times New Roman" w:hAnsi="Times New Roman"/>
          <w:sz w:val="23"/>
          <w:szCs w:val="23"/>
        </w:rPr>
        <w:t xml:space="preserve">or transfers of </w:t>
      </w:r>
      <w:r w:rsidR="00126888" w:rsidRPr="00D318C5">
        <w:rPr>
          <w:rFonts w:ascii="Times New Roman" w:hAnsi="Times New Roman"/>
          <w:sz w:val="23"/>
          <w:szCs w:val="23"/>
        </w:rPr>
        <w:t xml:space="preserve">existing rights </w:t>
      </w:r>
      <w:r w:rsidR="00307640" w:rsidRPr="00D318C5">
        <w:rPr>
          <w:rFonts w:ascii="Times New Roman" w:hAnsi="Times New Roman"/>
          <w:sz w:val="23"/>
          <w:szCs w:val="23"/>
        </w:rPr>
        <w:t xml:space="preserve">should be established. The aim of these safeguards should be to create a balanced playing field </w:t>
      </w:r>
      <w:r w:rsidR="00E9742B" w:rsidRPr="00D318C5">
        <w:rPr>
          <w:rFonts w:ascii="Times New Roman" w:hAnsi="Times New Roman"/>
          <w:sz w:val="23"/>
          <w:szCs w:val="23"/>
        </w:rPr>
        <w:t>between</w:t>
      </w:r>
      <w:r w:rsidR="006628CA" w:rsidRPr="00D318C5">
        <w:rPr>
          <w:rFonts w:ascii="Times New Roman" w:hAnsi="Times New Roman"/>
          <w:sz w:val="23"/>
          <w:szCs w:val="23"/>
        </w:rPr>
        <w:t xml:space="preserve"> investors and affected people, with</w:t>
      </w:r>
      <w:r w:rsidR="00307640" w:rsidRPr="00D318C5">
        <w:rPr>
          <w:rFonts w:ascii="Times New Roman" w:hAnsi="Times New Roman"/>
          <w:sz w:val="23"/>
          <w:szCs w:val="23"/>
        </w:rPr>
        <w:t xml:space="preserve"> fair conditions for</w:t>
      </w:r>
      <w:r w:rsidR="006628CA" w:rsidRPr="00D318C5">
        <w:rPr>
          <w:rFonts w:ascii="Times New Roman" w:hAnsi="Times New Roman"/>
          <w:sz w:val="23"/>
          <w:szCs w:val="23"/>
        </w:rPr>
        <w:t xml:space="preserve"> free and informed negotiations, </w:t>
      </w:r>
      <w:r w:rsidR="00A86F54" w:rsidRPr="00D318C5">
        <w:rPr>
          <w:rFonts w:ascii="Times New Roman" w:hAnsi="Times New Roman"/>
          <w:sz w:val="23"/>
          <w:szCs w:val="23"/>
        </w:rPr>
        <w:t>including</w:t>
      </w:r>
      <w:r w:rsidR="006325FF" w:rsidRPr="00D318C5">
        <w:rPr>
          <w:rFonts w:ascii="Times New Roman" w:hAnsi="Times New Roman"/>
          <w:sz w:val="23"/>
          <w:szCs w:val="23"/>
        </w:rPr>
        <w:t xml:space="preserve"> the right</w:t>
      </w:r>
      <w:r w:rsidR="00E9742B" w:rsidRPr="00D318C5">
        <w:rPr>
          <w:rFonts w:ascii="Times New Roman" w:hAnsi="Times New Roman"/>
          <w:sz w:val="23"/>
          <w:szCs w:val="23"/>
        </w:rPr>
        <w:t xml:space="preserve"> of affected people </w:t>
      </w:r>
      <w:r w:rsidR="006628CA" w:rsidRPr="00D318C5">
        <w:rPr>
          <w:rFonts w:ascii="Times New Roman" w:hAnsi="Times New Roman"/>
          <w:sz w:val="23"/>
          <w:szCs w:val="23"/>
        </w:rPr>
        <w:t>to give or withhold consent to any transfer or interference with their tenure rights</w:t>
      </w:r>
      <w:r w:rsidR="00126888" w:rsidRPr="00D318C5">
        <w:rPr>
          <w:rFonts w:ascii="Times New Roman" w:hAnsi="Times New Roman"/>
          <w:sz w:val="23"/>
          <w:szCs w:val="23"/>
        </w:rPr>
        <w:t>.</w:t>
      </w:r>
      <w:r w:rsidR="00A03FB1" w:rsidRPr="00D318C5">
        <w:rPr>
          <w:rStyle w:val="FootnoteReference"/>
          <w:rFonts w:ascii="Times New Roman" w:hAnsi="Times New Roman"/>
          <w:sz w:val="23"/>
          <w:szCs w:val="23"/>
        </w:rPr>
        <w:footnoteReference w:id="28"/>
      </w:r>
      <w:r w:rsidR="008704BD" w:rsidRPr="00D318C5">
        <w:rPr>
          <w:rFonts w:ascii="Times New Roman" w:hAnsi="Times New Roman"/>
          <w:sz w:val="23"/>
          <w:szCs w:val="23"/>
        </w:rPr>
        <w:t xml:space="preserve"> </w:t>
      </w:r>
    </w:p>
    <w:p w14:paraId="7B94B09C" w14:textId="0441DA44" w:rsidR="0025091F" w:rsidRPr="00D318C5" w:rsidRDefault="008749E1" w:rsidP="0011568D">
      <w:pPr>
        <w:pStyle w:val="ListParagraph"/>
        <w:numPr>
          <w:ilvl w:val="0"/>
          <w:numId w:val="21"/>
        </w:numPr>
        <w:spacing w:after="360" w:line="276" w:lineRule="auto"/>
        <w:contextualSpacing w:val="0"/>
        <w:jc w:val="both"/>
        <w:rPr>
          <w:rFonts w:ascii="Times New Roman" w:hAnsi="Times New Roman"/>
          <w:sz w:val="23"/>
          <w:szCs w:val="23"/>
        </w:rPr>
      </w:pPr>
      <w:r w:rsidRPr="00D318C5">
        <w:rPr>
          <w:rFonts w:ascii="Times New Roman" w:hAnsi="Times New Roman"/>
          <w:sz w:val="23"/>
          <w:szCs w:val="23"/>
        </w:rPr>
        <w:t>For p</w:t>
      </w:r>
      <w:r w:rsidR="008704BD" w:rsidRPr="00D318C5">
        <w:rPr>
          <w:rFonts w:ascii="Times New Roman" w:hAnsi="Times New Roman"/>
          <w:sz w:val="23"/>
          <w:szCs w:val="23"/>
        </w:rPr>
        <w:t xml:space="preserve">rojects that </w:t>
      </w:r>
      <w:r w:rsidRPr="00D318C5">
        <w:rPr>
          <w:rFonts w:ascii="Times New Roman" w:hAnsi="Times New Roman"/>
          <w:sz w:val="23"/>
          <w:szCs w:val="23"/>
        </w:rPr>
        <w:t>incentivize cash crop farming</w:t>
      </w:r>
      <w:r w:rsidR="009560A8" w:rsidRPr="00D318C5">
        <w:rPr>
          <w:rFonts w:ascii="Times New Roman" w:hAnsi="Times New Roman"/>
          <w:sz w:val="23"/>
          <w:szCs w:val="23"/>
        </w:rPr>
        <w:t>, including contract farming</w:t>
      </w:r>
      <w:r w:rsidR="004B3A57" w:rsidRPr="00D318C5">
        <w:rPr>
          <w:rFonts w:ascii="Times New Roman" w:hAnsi="Times New Roman"/>
          <w:sz w:val="23"/>
          <w:szCs w:val="23"/>
        </w:rPr>
        <w:t xml:space="preserve"> or out-grower schemes</w:t>
      </w:r>
      <w:r w:rsidR="009560A8" w:rsidRPr="00D318C5">
        <w:rPr>
          <w:rFonts w:ascii="Times New Roman" w:hAnsi="Times New Roman"/>
          <w:sz w:val="23"/>
          <w:szCs w:val="23"/>
        </w:rPr>
        <w:t>,</w:t>
      </w:r>
      <w:r w:rsidRPr="00D318C5">
        <w:rPr>
          <w:rFonts w:ascii="Times New Roman" w:hAnsi="Times New Roman"/>
          <w:sz w:val="23"/>
          <w:szCs w:val="23"/>
        </w:rPr>
        <w:t xml:space="preserve"> safeguard measures should include </w:t>
      </w:r>
      <w:r w:rsidR="00470B65" w:rsidRPr="00D318C5">
        <w:rPr>
          <w:rFonts w:ascii="Times New Roman" w:hAnsi="Times New Roman"/>
          <w:sz w:val="23"/>
          <w:szCs w:val="23"/>
        </w:rPr>
        <w:t xml:space="preserve">a requirement for full disclosure </w:t>
      </w:r>
      <w:r w:rsidR="004D6444" w:rsidRPr="00D318C5">
        <w:rPr>
          <w:rFonts w:ascii="Times New Roman" w:hAnsi="Times New Roman"/>
          <w:sz w:val="23"/>
          <w:szCs w:val="23"/>
        </w:rPr>
        <w:t xml:space="preserve">in accessible language(s) </w:t>
      </w:r>
      <w:r w:rsidR="00470B65" w:rsidRPr="00D318C5">
        <w:rPr>
          <w:rFonts w:ascii="Times New Roman" w:hAnsi="Times New Roman"/>
          <w:sz w:val="23"/>
          <w:szCs w:val="23"/>
        </w:rPr>
        <w:t xml:space="preserve">of information and explanations about the process, benefits and possible </w:t>
      </w:r>
      <w:r w:rsidR="007A0A3E" w:rsidRPr="00D318C5">
        <w:rPr>
          <w:rFonts w:ascii="Times New Roman" w:hAnsi="Times New Roman"/>
          <w:sz w:val="23"/>
          <w:szCs w:val="23"/>
        </w:rPr>
        <w:t xml:space="preserve">short and long term </w:t>
      </w:r>
      <w:r w:rsidR="009A33EA" w:rsidRPr="00D318C5">
        <w:rPr>
          <w:rFonts w:ascii="Times New Roman" w:hAnsi="Times New Roman"/>
          <w:sz w:val="23"/>
          <w:szCs w:val="23"/>
        </w:rPr>
        <w:t xml:space="preserve">risks </w:t>
      </w:r>
      <w:r w:rsidR="0025091F" w:rsidRPr="00D318C5">
        <w:rPr>
          <w:rFonts w:ascii="Times New Roman" w:hAnsi="Times New Roman"/>
          <w:sz w:val="23"/>
          <w:szCs w:val="23"/>
        </w:rPr>
        <w:t>involved in farming the crop</w:t>
      </w:r>
      <w:r w:rsidR="00470B65" w:rsidRPr="00D318C5">
        <w:rPr>
          <w:rFonts w:ascii="Times New Roman" w:hAnsi="Times New Roman"/>
          <w:sz w:val="23"/>
          <w:szCs w:val="23"/>
        </w:rPr>
        <w:t xml:space="preserve"> </w:t>
      </w:r>
      <w:r w:rsidR="004D6444" w:rsidRPr="00D318C5">
        <w:rPr>
          <w:rFonts w:ascii="Times New Roman" w:hAnsi="Times New Roman"/>
          <w:sz w:val="23"/>
          <w:szCs w:val="23"/>
        </w:rPr>
        <w:t xml:space="preserve">and </w:t>
      </w:r>
      <w:r w:rsidR="00470B65" w:rsidRPr="00D318C5">
        <w:rPr>
          <w:rFonts w:ascii="Times New Roman" w:hAnsi="Times New Roman"/>
          <w:sz w:val="23"/>
          <w:szCs w:val="23"/>
        </w:rPr>
        <w:t xml:space="preserve">the terms of any contracts that smallholders would be </w:t>
      </w:r>
      <w:r w:rsidR="0025091F" w:rsidRPr="00D318C5">
        <w:rPr>
          <w:rFonts w:ascii="Times New Roman" w:hAnsi="Times New Roman"/>
          <w:sz w:val="23"/>
          <w:szCs w:val="23"/>
        </w:rPr>
        <w:t>required to sign with companies. The contract terms should</w:t>
      </w:r>
      <w:r w:rsidR="00470B65" w:rsidRPr="00D318C5">
        <w:rPr>
          <w:rFonts w:ascii="Times New Roman" w:hAnsi="Times New Roman"/>
          <w:sz w:val="23"/>
          <w:szCs w:val="23"/>
        </w:rPr>
        <w:t xml:space="preserve"> be clear and equitable, especially in relation to</w:t>
      </w:r>
      <w:r w:rsidR="00CA1F67" w:rsidRPr="00D318C5">
        <w:rPr>
          <w:rFonts w:ascii="Times New Roman" w:hAnsi="Times New Roman"/>
          <w:sz w:val="23"/>
          <w:szCs w:val="23"/>
        </w:rPr>
        <w:t xml:space="preserve"> land transfers and debt terms. </w:t>
      </w:r>
      <w:r w:rsidR="004E0FAC" w:rsidRPr="00D318C5">
        <w:rPr>
          <w:rFonts w:ascii="Times New Roman" w:hAnsi="Times New Roman"/>
          <w:sz w:val="23"/>
          <w:szCs w:val="23"/>
        </w:rPr>
        <w:t xml:space="preserve">Safeguard measures should </w:t>
      </w:r>
      <w:r w:rsidR="00032898" w:rsidRPr="00D318C5">
        <w:rPr>
          <w:rFonts w:ascii="Times New Roman" w:hAnsi="Times New Roman"/>
          <w:sz w:val="23"/>
          <w:szCs w:val="23"/>
        </w:rPr>
        <w:t xml:space="preserve">also </w:t>
      </w:r>
      <w:r w:rsidR="004E0FAC" w:rsidRPr="00D318C5">
        <w:rPr>
          <w:rFonts w:ascii="Times New Roman" w:hAnsi="Times New Roman"/>
          <w:sz w:val="23"/>
          <w:szCs w:val="23"/>
        </w:rPr>
        <w:t>include</w:t>
      </w:r>
      <w:r w:rsidR="00032898" w:rsidRPr="00D318C5">
        <w:rPr>
          <w:rFonts w:ascii="Times New Roman" w:hAnsi="Times New Roman"/>
          <w:sz w:val="23"/>
          <w:szCs w:val="23"/>
        </w:rPr>
        <w:t xml:space="preserve"> support to smallholder farmers in negotiating the terms of the contracts and processes for monitoring compliance by companies with contract terms.</w:t>
      </w:r>
      <w:r w:rsidR="004E0FAC" w:rsidRPr="00D318C5">
        <w:rPr>
          <w:rFonts w:ascii="Times New Roman" w:hAnsi="Times New Roman"/>
          <w:sz w:val="23"/>
          <w:szCs w:val="23"/>
        </w:rPr>
        <w:t xml:space="preserve"> </w:t>
      </w:r>
      <w:r w:rsidR="004D6444" w:rsidRPr="00D318C5">
        <w:rPr>
          <w:rFonts w:ascii="Times New Roman" w:hAnsi="Times New Roman"/>
          <w:sz w:val="23"/>
          <w:szCs w:val="23"/>
        </w:rPr>
        <w:t>T</w:t>
      </w:r>
      <w:r w:rsidR="00470B65" w:rsidRPr="00D318C5">
        <w:rPr>
          <w:rFonts w:ascii="Times New Roman" w:hAnsi="Times New Roman"/>
          <w:sz w:val="23"/>
          <w:szCs w:val="23"/>
        </w:rPr>
        <w:t xml:space="preserve">here should also be </w:t>
      </w:r>
      <w:r w:rsidR="007B072D" w:rsidRPr="00D318C5">
        <w:rPr>
          <w:rFonts w:ascii="Times New Roman" w:hAnsi="Times New Roman"/>
          <w:sz w:val="23"/>
          <w:szCs w:val="23"/>
        </w:rPr>
        <w:t>complementary incentives</w:t>
      </w:r>
      <w:r w:rsidR="009120B1" w:rsidRPr="00D318C5">
        <w:rPr>
          <w:rFonts w:ascii="Times New Roman" w:hAnsi="Times New Roman"/>
          <w:sz w:val="23"/>
          <w:szCs w:val="23"/>
        </w:rPr>
        <w:t xml:space="preserve"> </w:t>
      </w:r>
      <w:r w:rsidR="00E86881" w:rsidRPr="00D318C5">
        <w:rPr>
          <w:rFonts w:ascii="Times New Roman" w:hAnsi="Times New Roman"/>
          <w:sz w:val="23"/>
          <w:szCs w:val="23"/>
        </w:rPr>
        <w:t xml:space="preserve">and support to diversify </w:t>
      </w:r>
      <w:r w:rsidR="00AE549B" w:rsidRPr="00D318C5">
        <w:rPr>
          <w:rFonts w:ascii="Times New Roman" w:hAnsi="Times New Roman"/>
          <w:sz w:val="23"/>
          <w:szCs w:val="23"/>
        </w:rPr>
        <w:t xml:space="preserve">crops and </w:t>
      </w:r>
      <w:r w:rsidR="00E86881" w:rsidRPr="00D318C5">
        <w:rPr>
          <w:rFonts w:ascii="Times New Roman" w:hAnsi="Times New Roman"/>
          <w:sz w:val="23"/>
          <w:szCs w:val="23"/>
        </w:rPr>
        <w:t>livelihoods, including</w:t>
      </w:r>
      <w:r w:rsidR="00603816" w:rsidRPr="00D318C5">
        <w:rPr>
          <w:rFonts w:ascii="Times New Roman" w:hAnsi="Times New Roman"/>
          <w:sz w:val="23"/>
          <w:szCs w:val="23"/>
        </w:rPr>
        <w:t>,</w:t>
      </w:r>
      <w:r w:rsidR="00E86881" w:rsidRPr="00D318C5">
        <w:rPr>
          <w:rFonts w:ascii="Times New Roman" w:hAnsi="Times New Roman"/>
          <w:sz w:val="23"/>
          <w:szCs w:val="23"/>
        </w:rPr>
        <w:t xml:space="preserve"> </w:t>
      </w:r>
      <w:r w:rsidR="00603816" w:rsidRPr="00D318C5">
        <w:rPr>
          <w:rFonts w:ascii="Times New Roman" w:hAnsi="Times New Roman"/>
          <w:sz w:val="23"/>
          <w:szCs w:val="23"/>
        </w:rPr>
        <w:t xml:space="preserve">for example, </w:t>
      </w:r>
      <w:r w:rsidR="00E86881" w:rsidRPr="00D318C5">
        <w:rPr>
          <w:rFonts w:ascii="Times New Roman" w:hAnsi="Times New Roman"/>
          <w:sz w:val="23"/>
          <w:szCs w:val="23"/>
        </w:rPr>
        <w:t xml:space="preserve">by </w:t>
      </w:r>
      <w:r w:rsidR="007B072D" w:rsidRPr="00D318C5">
        <w:rPr>
          <w:rFonts w:ascii="Times New Roman" w:hAnsi="Times New Roman"/>
          <w:sz w:val="23"/>
          <w:szCs w:val="23"/>
        </w:rPr>
        <w:t>maintain</w:t>
      </w:r>
      <w:r w:rsidR="00E86881" w:rsidRPr="00D318C5">
        <w:rPr>
          <w:rFonts w:ascii="Times New Roman" w:hAnsi="Times New Roman"/>
          <w:sz w:val="23"/>
          <w:szCs w:val="23"/>
        </w:rPr>
        <w:t>ing</w:t>
      </w:r>
      <w:r w:rsidR="007B072D" w:rsidRPr="00D318C5">
        <w:rPr>
          <w:rFonts w:ascii="Times New Roman" w:hAnsi="Times New Roman"/>
          <w:sz w:val="23"/>
          <w:szCs w:val="23"/>
        </w:rPr>
        <w:t xml:space="preserve"> </w:t>
      </w:r>
      <w:r w:rsidR="00BD45DD" w:rsidRPr="00D318C5">
        <w:rPr>
          <w:rFonts w:ascii="Times New Roman" w:hAnsi="Times New Roman"/>
          <w:sz w:val="23"/>
          <w:szCs w:val="23"/>
        </w:rPr>
        <w:t xml:space="preserve">a proportion of land sufficient for </w:t>
      </w:r>
      <w:r w:rsidR="00A107EA" w:rsidRPr="00D318C5">
        <w:rPr>
          <w:rFonts w:ascii="Times New Roman" w:hAnsi="Times New Roman"/>
          <w:sz w:val="23"/>
          <w:szCs w:val="23"/>
        </w:rPr>
        <w:t xml:space="preserve">a </w:t>
      </w:r>
      <w:r w:rsidR="00BD45DD" w:rsidRPr="00D318C5">
        <w:rPr>
          <w:rFonts w:ascii="Times New Roman" w:hAnsi="Times New Roman"/>
          <w:sz w:val="23"/>
          <w:szCs w:val="23"/>
        </w:rPr>
        <w:t xml:space="preserve">subsistence </w:t>
      </w:r>
      <w:r w:rsidR="009D169A" w:rsidRPr="00D318C5">
        <w:rPr>
          <w:rFonts w:ascii="Times New Roman" w:hAnsi="Times New Roman"/>
          <w:sz w:val="23"/>
          <w:szCs w:val="23"/>
        </w:rPr>
        <w:t xml:space="preserve">food </w:t>
      </w:r>
      <w:r w:rsidR="00A107EA" w:rsidRPr="00D318C5">
        <w:rPr>
          <w:rFonts w:ascii="Times New Roman" w:hAnsi="Times New Roman"/>
          <w:sz w:val="23"/>
          <w:szCs w:val="23"/>
        </w:rPr>
        <w:t>garden</w:t>
      </w:r>
      <w:r w:rsidR="00BD45DD" w:rsidRPr="00D318C5">
        <w:rPr>
          <w:rFonts w:ascii="Times New Roman" w:hAnsi="Times New Roman"/>
          <w:sz w:val="23"/>
          <w:szCs w:val="23"/>
        </w:rPr>
        <w:t>.</w:t>
      </w:r>
      <w:r w:rsidR="007B072D" w:rsidRPr="00D318C5">
        <w:rPr>
          <w:rFonts w:ascii="Times New Roman" w:hAnsi="Times New Roman"/>
          <w:sz w:val="23"/>
          <w:szCs w:val="23"/>
        </w:rPr>
        <w:t xml:space="preserve"> </w:t>
      </w:r>
      <w:r w:rsidR="00D23F66" w:rsidRPr="00D318C5">
        <w:rPr>
          <w:rFonts w:ascii="Times New Roman" w:hAnsi="Times New Roman"/>
          <w:sz w:val="23"/>
          <w:szCs w:val="23"/>
        </w:rPr>
        <w:t>M</w:t>
      </w:r>
      <w:r w:rsidR="007B072D" w:rsidRPr="00D318C5">
        <w:rPr>
          <w:rFonts w:ascii="Times New Roman" w:hAnsi="Times New Roman"/>
          <w:sz w:val="23"/>
          <w:szCs w:val="23"/>
        </w:rPr>
        <w:t xml:space="preserve">easures must </w:t>
      </w:r>
      <w:r w:rsidR="00D23F66" w:rsidRPr="00D318C5">
        <w:rPr>
          <w:rFonts w:ascii="Times New Roman" w:hAnsi="Times New Roman"/>
          <w:sz w:val="23"/>
          <w:szCs w:val="23"/>
        </w:rPr>
        <w:t xml:space="preserve">also </w:t>
      </w:r>
      <w:r w:rsidR="007B072D" w:rsidRPr="00D318C5">
        <w:rPr>
          <w:rFonts w:ascii="Times New Roman" w:hAnsi="Times New Roman"/>
          <w:sz w:val="23"/>
          <w:szCs w:val="23"/>
        </w:rPr>
        <w:t xml:space="preserve">be taken to safeguard against the loss of land </w:t>
      </w:r>
      <w:r w:rsidR="00C35EDF" w:rsidRPr="00D318C5">
        <w:rPr>
          <w:rFonts w:ascii="Times New Roman" w:hAnsi="Times New Roman"/>
          <w:sz w:val="23"/>
          <w:szCs w:val="23"/>
        </w:rPr>
        <w:t>used as collateral for loans</w:t>
      </w:r>
      <w:r w:rsidR="00D23F66" w:rsidRPr="00D318C5">
        <w:rPr>
          <w:rFonts w:ascii="Times New Roman" w:hAnsi="Times New Roman"/>
          <w:sz w:val="23"/>
          <w:szCs w:val="23"/>
        </w:rPr>
        <w:t xml:space="preserve"> or the upfront supply of seeds, fertilizers and other inputs on credit</w:t>
      </w:r>
      <w:r w:rsidR="00C35EDF" w:rsidRPr="00D318C5">
        <w:rPr>
          <w:rFonts w:ascii="Times New Roman" w:hAnsi="Times New Roman"/>
          <w:sz w:val="23"/>
          <w:szCs w:val="23"/>
        </w:rPr>
        <w:t xml:space="preserve"> </w:t>
      </w:r>
      <w:r w:rsidR="007B072D" w:rsidRPr="00D318C5">
        <w:rPr>
          <w:rFonts w:ascii="Times New Roman" w:hAnsi="Times New Roman"/>
          <w:sz w:val="23"/>
          <w:szCs w:val="23"/>
        </w:rPr>
        <w:t xml:space="preserve">in connection with contract farming or other incentivized agricultural practices. </w:t>
      </w:r>
      <w:r w:rsidR="00B96632" w:rsidRPr="00D318C5">
        <w:rPr>
          <w:rFonts w:ascii="Times New Roman" w:hAnsi="Times New Roman"/>
          <w:sz w:val="23"/>
          <w:szCs w:val="23"/>
        </w:rPr>
        <w:t xml:space="preserve"> </w:t>
      </w:r>
    </w:p>
    <w:sectPr w:rsidR="0025091F" w:rsidRPr="00D318C5" w:rsidSect="0043005F">
      <w:footerReference w:type="default" r:id="rId11"/>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BA60" w14:textId="77777777" w:rsidR="00FB0537" w:rsidRDefault="00FB0537" w:rsidP="009F6163">
      <w:pPr>
        <w:spacing w:after="0" w:line="240" w:lineRule="auto"/>
      </w:pPr>
      <w:r>
        <w:separator/>
      </w:r>
    </w:p>
  </w:endnote>
  <w:endnote w:type="continuationSeparator" w:id="0">
    <w:p w14:paraId="281C5987" w14:textId="77777777" w:rsidR="00FB0537" w:rsidRDefault="00FB0537" w:rsidP="009F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DA25" w14:textId="33482DA8" w:rsidR="00FB0537" w:rsidRPr="00471609" w:rsidRDefault="00FB0537" w:rsidP="00471609">
    <w:pPr>
      <w:pStyle w:val="Footer"/>
      <w:jc w:val="center"/>
      <w:rPr>
        <w:rFonts w:ascii="Arial" w:hAnsi="Arial"/>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CBBAF" w14:textId="77777777" w:rsidR="00FB0537" w:rsidRDefault="00FB0537" w:rsidP="009F6163">
      <w:pPr>
        <w:spacing w:after="0" w:line="240" w:lineRule="auto"/>
      </w:pPr>
      <w:r>
        <w:separator/>
      </w:r>
    </w:p>
  </w:footnote>
  <w:footnote w:type="continuationSeparator" w:id="0">
    <w:p w14:paraId="5A99759C" w14:textId="77777777" w:rsidR="00FB0537" w:rsidRDefault="00FB0537" w:rsidP="009F6163">
      <w:pPr>
        <w:spacing w:after="0" w:line="240" w:lineRule="auto"/>
      </w:pPr>
      <w:r>
        <w:continuationSeparator/>
      </w:r>
    </w:p>
  </w:footnote>
  <w:footnote w:id="1">
    <w:p w14:paraId="0DF09D71" w14:textId="3A00A742" w:rsidR="00FB0537" w:rsidRPr="00944CBB" w:rsidRDefault="00FB0537" w:rsidP="003C4221">
      <w:pPr>
        <w:pStyle w:val="FootnoteText"/>
        <w:rPr>
          <w:szCs w:val="20"/>
        </w:rPr>
      </w:pPr>
      <w:r w:rsidRPr="00944CBB">
        <w:rPr>
          <w:rStyle w:val="FootnoteReference"/>
          <w:szCs w:val="20"/>
        </w:rPr>
        <w:footnoteRef/>
      </w:r>
      <w:r w:rsidRPr="00944CBB">
        <w:rPr>
          <w:szCs w:val="20"/>
        </w:rPr>
        <w:t xml:space="preserve"> See</w:t>
      </w:r>
      <w:r>
        <w:rPr>
          <w:szCs w:val="20"/>
        </w:rPr>
        <w:t>,</w:t>
      </w:r>
      <w:r w:rsidRPr="00944CBB">
        <w:rPr>
          <w:szCs w:val="20"/>
        </w:rPr>
        <w:t xml:space="preserve"> Committee on Economic, Social and Cultural</w:t>
      </w:r>
      <w:r>
        <w:rPr>
          <w:szCs w:val="20"/>
        </w:rPr>
        <w:t xml:space="preserve"> Rights, General Comments</w:t>
      </w:r>
      <w:r w:rsidRPr="00944CBB">
        <w:rPr>
          <w:szCs w:val="20"/>
        </w:rPr>
        <w:t xml:space="preserve"> 4 (1991) and 12 (1999); and “Access to Land and the Right to Food”, Report presented to the 65</w:t>
      </w:r>
      <w:r w:rsidRPr="00944CBB">
        <w:rPr>
          <w:szCs w:val="20"/>
          <w:vertAlign w:val="superscript"/>
        </w:rPr>
        <w:t>th</w:t>
      </w:r>
      <w:r w:rsidRPr="00944CBB">
        <w:rPr>
          <w:szCs w:val="20"/>
        </w:rPr>
        <w:t xml:space="preserve"> General Assembly</w:t>
      </w:r>
      <w:r>
        <w:rPr>
          <w:szCs w:val="20"/>
        </w:rPr>
        <w:t xml:space="preserve"> of the United Nations by the Special Rapporteur on the Right to F</w:t>
      </w:r>
      <w:r w:rsidRPr="00944CBB">
        <w:rPr>
          <w:szCs w:val="20"/>
        </w:rPr>
        <w:t>ood (A/65/281), 21 October 2010.</w:t>
      </w:r>
    </w:p>
  </w:footnote>
  <w:footnote w:id="2">
    <w:p w14:paraId="3A36DAB6" w14:textId="2AD96012" w:rsidR="00FB0537" w:rsidRPr="005537B1" w:rsidRDefault="00FB0537" w:rsidP="003C4221">
      <w:pPr>
        <w:spacing w:after="120" w:line="240" w:lineRule="auto"/>
        <w:rPr>
          <w:rFonts w:ascii="Garamond" w:hAnsi="Garamond"/>
          <w:sz w:val="20"/>
          <w:szCs w:val="20"/>
        </w:rPr>
      </w:pPr>
      <w:r w:rsidRPr="005537B1">
        <w:rPr>
          <w:rStyle w:val="FootnoteReference"/>
          <w:rFonts w:ascii="Garamond" w:hAnsi="Garamond"/>
          <w:sz w:val="20"/>
          <w:szCs w:val="20"/>
        </w:rPr>
        <w:footnoteRef/>
      </w:r>
      <w:r>
        <w:rPr>
          <w:rFonts w:ascii="Garamond" w:hAnsi="Garamond"/>
          <w:sz w:val="20"/>
          <w:szCs w:val="20"/>
        </w:rPr>
        <w:t xml:space="preserve"> </w:t>
      </w:r>
      <w:r w:rsidRPr="007F4940">
        <w:rPr>
          <w:rFonts w:ascii="Garamond" w:hAnsi="Garamond"/>
          <w:sz w:val="20"/>
          <w:szCs w:val="20"/>
        </w:rPr>
        <w:t xml:space="preserve">Report of the Special Rapporteur on adequate housing as a component of the right to an adequate standard of living, and on the right to non-discrimination in this context, Raquel </w:t>
      </w:r>
      <w:proofErr w:type="spellStart"/>
      <w:r w:rsidRPr="007F4940">
        <w:rPr>
          <w:rFonts w:ascii="Garamond" w:hAnsi="Garamond"/>
          <w:sz w:val="20"/>
          <w:szCs w:val="20"/>
        </w:rPr>
        <w:t>Rolnick</w:t>
      </w:r>
      <w:proofErr w:type="spellEnd"/>
      <w:r>
        <w:rPr>
          <w:rFonts w:ascii="Garamond" w:hAnsi="Garamond"/>
          <w:sz w:val="20"/>
          <w:szCs w:val="20"/>
        </w:rPr>
        <w:t>,</w:t>
      </w:r>
      <w:r w:rsidRPr="005537B1">
        <w:rPr>
          <w:rFonts w:ascii="Garamond" w:hAnsi="Garamond"/>
          <w:sz w:val="20"/>
          <w:szCs w:val="20"/>
        </w:rPr>
        <w:t xml:space="preserve"> </w:t>
      </w:r>
      <w:r>
        <w:rPr>
          <w:rFonts w:ascii="Garamond" w:hAnsi="Garamond"/>
          <w:sz w:val="20"/>
          <w:szCs w:val="20"/>
        </w:rPr>
        <w:t>A/HRC/22/46</w:t>
      </w:r>
      <w:r w:rsidRPr="005537B1">
        <w:rPr>
          <w:rFonts w:ascii="Garamond" w:hAnsi="Garamond"/>
          <w:sz w:val="20"/>
          <w:szCs w:val="20"/>
        </w:rPr>
        <w:t>,</w:t>
      </w:r>
      <w:r>
        <w:rPr>
          <w:rFonts w:ascii="Garamond" w:hAnsi="Garamond"/>
          <w:sz w:val="20"/>
          <w:szCs w:val="20"/>
        </w:rPr>
        <w:t xml:space="preserve"> </w:t>
      </w:r>
      <w:r w:rsidRPr="005537B1">
        <w:rPr>
          <w:rFonts w:ascii="Garamond" w:hAnsi="Garamond"/>
          <w:sz w:val="20"/>
          <w:szCs w:val="20"/>
        </w:rPr>
        <w:t>December 2012, page 1.</w:t>
      </w:r>
    </w:p>
  </w:footnote>
  <w:footnote w:id="3">
    <w:p w14:paraId="62D4C094" w14:textId="7F346621" w:rsidR="00FB0537" w:rsidRPr="005537B1" w:rsidRDefault="00FB0537" w:rsidP="00B72311">
      <w:pPr>
        <w:pStyle w:val="FootnoteText"/>
      </w:pPr>
      <w:r w:rsidRPr="005537B1">
        <w:rPr>
          <w:rStyle w:val="FootnoteReference"/>
          <w:szCs w:val="20"/>
        </w:rPr>
        <w:footnoteRef/>
      </w:r>
      <w:r w:rsidRPr="005537B1">
        <w:t xml:space="preserve"> Remy </w:t>
      </w:r>
      <w:proofErr w:type="spellStart"/>
      <w:r w:rsidRPr="005537B1">
        <w:t>Sietchiping</w:t>
      </w:r>
      <w:proofErr w:type="spellEnd"/>
      <w:r w:rsidRPr="005537B1">
        <w:t>, et al. Monitoring tenure security within the continuum of land rights: Methods and practices, (UN-Habitat), paper prepared for presentation at the Annual World Bank conference on land and poverty, April 2012, page 1.</w:t>
      </w:r>
    </w:p>
  </w:footnote>
  <w:footnote w:id="4">
    <w:p w14:paraId="436B972F" w14:textId="6AFD4863" w:rsidR="00FB0537" w:rsidRPr="00E56203" w:rsidRDefault="00FB0537" w:rsidP="003C4221">
      <w:pPr>
        <w:pStyle w:val="FootnoteText"/>
        <w:rPr>
          <w:szCs w:val="20"/>
        </w:rPr>
      </w:pPr>
      <w:r w:rsidRPr="00E56203">
        <w:rPr>
          <w:rStyle w:val="FootnoteReference"/>
          <w:szCs w:val="20"/>
        </w:rPr>
        <w:footnoteRef/>
      </w:r>
      <w:r w:rsidRPr="00E56203">
        <w:rPr>
          <w:szCs w:val="20"/>
        </w:rPr>
        <w:t xml:space="preserve"> </w:t>
      </w:r>
      <w:proofErr w:type="gramStart"/>
      <w:r w:rsidRPr="00E56203">
        <w:rPr>
          <w:szCs w:val="20"/>
        </w:rPr>
        <w:t>The Voluntary Guidelines on the Responsible Governance of Tenure of Land, Fisheries and Forests in the Context of National Food Security, FAO, 2012, 3.1 and 4.4.</w:t>
      </w:r>
      <w:proofErr w:type="gramEnd"/>
    </w:p>
  </w:footnote>
  <w:footnote w:id="5">
    <w:p w14:paraId="0B7BDFE5" w14:textId="77777777" w:rsidR="00FB0537" w:rsidRPr="005537B1" w:rsidRDefault="00FB0537" w:rsidP="00D4342E">
      <w:pPr>
        <w:pStyle w:val="FootnoteText"/>
        <w:rPr>
          <w:szCs w:val="20"/>
        </w:rPr>
      </w:pPr>
      <w:r w:rsidRPr="005537B1">
        <w:rPr>
          <w:rStyle w:val="FootnoteReference"/>
          <w:szCs w:val="20"/>
        </w:rPr>
        <w:footnoteRef/>
      </w:r>
      <w:r w:rsidRPr="005537B1">
        <w:rPr>
          <w:szCs w:val="20"/>
        </w:rPr>
        <w:t xml:space="preserve"> CESCR, </w:t>
      </w:r>
      <w:r>
        <w:rPr>
          <w:szCs w:val="20"/>
        </w:rPr>
        <w:t>General Comment 4, op. cit.</w:t>
      </w:r>
      <w:r w:rsidRPr="005537B1">
        <w:rPr>
          <w:szCs w:val="20"/>
        </w:rPr>
        <w:t xml:space="preserve">, </w:t>
      </w:r>
      <w:proofErr w:type="spellStart"/>
      <w:r w:rsidRPr="005537B1">
        <w:rPr>
          <w:szCs w:val="20"/>
        </w:rPr>
        <w:t>para</w:t>
      </w:r>
      <w:proofErr w:type="spellEnd"/>
      <w:r w:rsidRPr="005537B1">
        <w:rPr>
          <w:szCs w:val="20"/>
        </w:rPr>
        <w:t xml:space="preserve"> 8</w:t>
      </w:r>
      <w:r>
        <w:rPr>
          <w:szCs w:val="20"/>
        </w:rPr>
        <w:t>.</w:t>
      </w:r>
    </w:p>
  </w:footnote>
  <w:footnote w:id="6">
    <w:p w14:paraId="3D5F1637" w14:textId="183EEAFD" w:rsidR="00FB0537" w:rsidRPr="00B657D7" w:rsidRDefault="00FB0537" w:rsidP="003C4221">
      <w:pPr>
        <w:pStyle w:val="FootnoteText"/>
        <w:rPr>
          <w:szCs w:val="20"/>
        </w:rPr>
      </w:pPr>
      <w:r w:rsidRPr="005537B1">
        <w:rPr>
          <w:rStyle w:val="FootnoteReference"/>
          <w:szCs w:val="20"/>
        </w:rPr>
        <w:footnoteRef/>
      </w:r>
      <w:r w:rsidRPr="005537B1">
        <w:rPr>
          <w:szCs w:val="20"/>
        </w:rPr>
        <w:t xml:space="preserve"> Coined by UN Habitat to refer to the range of possible forms of tenure, including formal, religious, customary and</w:t>
      </w:r>
      <w:r w:rsidRPr="00B364EE">
        <w:rPr>
          <w:szCs w:val="20"/>
        </w:rPr>
        <w:t xml:space="preserve"> non-</w:t>
      </w:r>
      <w:r w:rsidRPr="00B657D7">
        <w:rPr>
          <w:szCs w:val="20"/>
        </w:rPr>
        <w:t xml:space="preserve">formal tenure categories. (See </w:t>
      </w:r>
      <w:r w:rsidRPr="00B657D7">
        <w:rPr>
          <w:rFonts w:cs="Times"/>
          <w:color w:val="111110"/>
          <w:szCs w:val="20"/>
        </w:rPr>
        <w:t>UN Habitat, Secure Land Rights for All, 2008, page</w:t>
      </w:r>
      <w:r>
        <w:rPr>
          <w:rFonts w:cs="Times"/>
          <w:color w:val="111110"/>
          <w:szCs w:val="20"/>
        </w:rPr>
        <w:t>s</w:t>
      </w:r>
      <w:r w:rsidRPr="00B657D7">
        <w:rPr>
          <w:rFonts w:cs="Times"/>
          <w:color w:val="111110"/>
          <w:szCs w:val="20"/>
        </w:rPr>
        <w:t xml:space="preserve"> 7 and 8</w:t>
      </w:r>
      <w:r>
        <w:rPr>
          <w:rFonts w:cs="Times"/>
          <w:color w:val="111110"/>
          <w:szCs w:val="20"/>
        </w:rPr>
        <w:t>)</w:t>
      </w:r>
      <w:r w:rsidRPr="00B657D7">
        <w:rPr>
          <w:rFonts w:cs="Times"/>
          <w:color w:val="111110"/>
          <w:szCs w:val="20"/>
        </w:rPr>
        <w:t>.</w:t>
      </w:r>
    </w:p>
  </w:footnote>
  <w:footnote w:id="7">
    <w:p w14:paraId="0EB881A1" w14:textId="546AD9C1" w:rsidR="00FB0537" w:rsidRDefault="00FB0537" w:rsidP="003C4221">
      <w:pPr>
        <w:pStyle w:val="FootnoteText"/>
      </w:pPr>
      <w:r w:rsidRPr="00AB2828">
        <w:rPr>
          <w:rStyle w:val="FootnoteReference"/>
          <w:szCs w:val="20"/>
        </w:rPr>
        <w:footnoteRef/>
      </w:r>
      <w:r w:rsidRPr="00AB2828">
        <w:rPr>
          <w:szCs w:val="20"/>
        </w:rPr>
        <w:t xml:space="preserve"> The World Bank Land &amp; Food Security website, </w:t>
      </w:r>
      <w:hyperlink r:id="rId1" w:history="1">
        <w:r w:rsidRPr="00AB2828">
          <w:rPr>
            <w:rStyle w:val="Hyperlink"/>
            <w:szCs w:val="20"/>
          </w:rPr>
          <w:t>http://go.worldbank.org/S0D96SZZT0</w:t>
        </w:r>
      </w:hyperlink>
      <w:r w:rsidRPr="00AB2828">
        <w:rPr>
          <w:szCs w:val="20"/>
        </w:rPr>
        <w:t>, accessed November 2012.</w:t>
      </w:r>
    </w:p>
  </w:footnote>
  <w:footnote w:id="8">
    <w:p w14:paraId="4FD9F712" w14:textId="11ABDDE0" w:rsidR="00FB0537" w:rsidRPr="0093501C" w:rsidRDefault="00FB0537" w:rsidP="003C4221">
      <w:pPr>
        <w:pStyle w:val="FootnoteText"/>
        <w:rPr>
          <w:szCs w:val="20"/>
        </w:rPr>
      </w:pPr>
      <w:r w:rsidRPr="0093501C">
        <w:rPr>
          <w:rStyle w:val="FootnoteReference"/>
          <w:szCs w:val="20"/>
        </w:rPr>
        <w:footnoteRef/>
      </w:r>
      <w:r w:rsidRPr="0093501C">
        <w:rPr>
          <w:szCs w:val="20"/>
        </w:rPr>
        <w:t xml:space="preserve"> </w:t>
      </w:r>
      <w:r>
        <w:rPr>
          <w:szCs w:val="20"/>
        </w:rPr>
        <w:t xml:space="preserve">We refer here to </w:t>
      </w:r>
      <w:r w:rsidRPr="0093501C">
        <w:rPr>
          <w:szCs w:val="20"/>
        </w:rPr>
        <w:t>rights deriving from customary, formal, informal, and extra-legal systems.</w:t>
      </w:r>
    </w:p>
  </w:footnote>
  <w:footnote w:id="9">
    <w:p w14:paraId="4D136B66" w14:textId="129EEF3A" w:rsidR="00FB0537" w:rsidRPr="00B364EE" w:rsidRDefault="00FB0537" w:rsidP="00336E3D">
      <w:pPr>
        <w:pStyle w:val="FootnoteText"/>
        <w:rPr>
          <w:szCs w:val="20"/>
        </w:rPr>
      </w:pPr>
      <w:r w:rsidRPr="00B364EE">
        <w:rPr>
          <w:rStyle w:val="FootnoteReference"/>
          <w:szCs w:val="20"/>
        </w:rPr>
        <w:footnoteRef/>
      </w:r>
      <w:r w:rsidRPr="00B364EE">
        <w:rPr>
          <w:szCs w:val="20"/>
        </w:rPr>
        <w:t xml:space="preserve"> Noting that if the affected persons are indigenous peoples, OP 4.10 applies.</w:t>
      </w:r>
    </w:p>
  </w:footnote>
  <w:footnote w:id="10">
    <w:p w14:paraId="147420D3" w14:textId="396F2670" w:rsidR="00FB0537" w:rsidRPr="009E23A4" w:rsidRDefault="00FB0537" w:rsidP="003C4221">
      <w:pPr>
        <w:pStyle w:val="FootnoteText"/>
        <w:rPr>
          <w:szCs w:val="20"/>
        </w:rPr>
      </w:pPr>
      <w:r w:rsidRPr="00B364EE">
        <w:rPr>
          <w:rStyle w:val="FootnoteReference"/>
          <w:szCs w:val="20"/>
        </w:rPr>
        <w:footnoteRef/>
      </w:r>
      <w:r w:rsidRPr="00B364EE">
        <w:rPr>
          <w:szCs w:val="20"/>
        </w:rPr>
        <w:t xml:space="preserve"> </w:t>
      </w:r>
      <w:proofErr w:type="gramStart"/>
      <w:r>
        <w:rPr>
          <w:szCs w:val="20"/>
        </w:rPr>
        <w:t>T</w:t>
      </w:r>
      <w:r w:rsidRPr="00B364EE">
        <w:rPr>
          <w:szCs w:val="20"/>
        </w:rPr>
        <w:t>he Voluntary Guidelines</w:t>
      </w:r>
      <w:r>
        <w:rPr>
          <w:szCs w:val="20"/>
        </w:rPr>
        <w:t>, op. cit.</w:t>
      </w:r>
      <w:r w:rsidRPr="009E23A4">
        <w:rPr>
          <w:szCs w:val="20"/>
        </w:rPr>
        <w:t>, 5.</w:t>
      </w:r>
      <w:proofErr w:type="gramEnd"/>
      <w:r w:rsidRPr="009E23A4">
        <w:rPr>
          <w:szCs w:val="20"/>
        </w:rPr>
        <w:t xml:space="preserve"> </w:t>
      </w:r>
    </w:p>
  </w:footnote>
  <w:footnote w:id="11">
    <w:p w14:paraId="2D797FAC" w14:textId="5B762DE3" w:rsidR="00FB0537" w:rsidRPr="00F60AA5" w:rsidRDefault="00FB0537" w:rsidP="003C4221">
      <w:pPr>
        <w:spacing w:after="120" w:line="240" w:lineRule="auto"/>
        <w:rPr>
          <w:rFonts w:ascii="Garamond" w:eastAsia="Times New Roman" w:hAnsi="Garamond" w:cs="Times New Roman"/>
          <w:sz w:val="20"/>
          <w:szCs w:val="20"/>
        </w:rPr>
      </w:pPr>
      <w:r w:rsidRPr="00F60AA5">
        <w:rPr>
          <w:rStyle w:val="FootnoteReference"/>
          <w:rFonts w:ascii="Garamond" w:hAnsi="Garamond"/>
          <w:sz w:val="20"/>
          <w:szCs w:val="20"/>
        </w:rPr>
        <w:footnoteRef/>
      </w:r>
      <w:r w:rsidRPr="00F60AA5">
        <w:rPr>
          <w:rFonts w:ascii="Garamond" w:hAnsi="Garamond"/>
          <w:sz w:val="20"/>
          <w:szCs w:val="20"/>
        </w:rPr>
        <w:t xml:space="preserve"> The identification of indigenous peoples should reflect OP 4.10, which states: “</w:t>
      </w:r>
      <w:r w:rsidRPr="00F60AA5">
        <w:rPr>
          <w:rFonts w:ascii="Garamond" w:eastAsia="Times New Roman" w:hAnsi="Garamond" w:cs="Arial"/>
          <w:color w:val="000000"/>
          <w:sz w:val="20"/>
          <w:szCs w:val="20"/>
          <w:shd w:val="clear" w:color="auto" w:fill="FFFFFF"/>
        </w:rPr>
        <w:t>Because of the varied and changing contexts in which Indigenous Peoples live and because there is no universally accepted definition of “Indigenous Peoples,” this policy does not define the term. Indigenous Peoples may be referred to in different countries by such terms as "indigenous ethnic minorities," "aboriginals," "hill tribes," "minority nationalities," "scheduled tribes," or "tribal groups. For purposes of this policy, the term “Indigenous Peoples” is used in a generic sense to refer to a distinct, vulnerable, social and cultural group possessing” a number of “characteristics in varying degrees.” On</w:t>
      </w:r>
      <w:r w:rsidR="009C7963">
        <w:rPr>
          <w:rFonts w:ascii="Garamond" w:eastAsia="Times New Roman" w:hAnsi="Garamond" w:cs="Arial"/>
          <w:color w:val="000000"/>
          <w:sz w:val="20"/>
          <w:szCs w:val="20"/>
          <w:shd w:val="clear" w:color="auto" w:fill="FFFFFF"/>
        </w:rPr>
        <w:t>e</w:t>
      </w:r>
      <w:r w:rsidRPr="00F60AA5">
        <w:rPr>
          <w:rFonts w:ascii="Garamond" w:eastAsia="Times New Roman" w:hAnsi="Garamond" w:cs="Arial"/>
          <w:color w:val="000000"/>
          <w:sz w:val="20"/>
          <w:szCs w:val="20"/>
          <w:shd w:val="clear" w:color="auto" w:fill="FFFFFF"/>
        </w:rPr>
        <w:t xml:space="preserve"> of these characteristics is a “collective attachment to geographically distinct habitats or ancestral territories in the project area and to the natural resources in these habitats and territories” (</w:t>
      </w:r>
      <w:proofErr w:type="spellStart"/>
      <w:r w:rsidRPr="00F60AA5">
        <w:rPr>
          <w:rFonts w:ascii="Garamond" w:eastAsia="Times New Roman" w:hAnsi="Garamond" w:cs="Arial"/>
          <w:color w:val="000000"/>
          <w:sz w:val="20"/>
          <w:szCs w:val="20"/>
          <w:shd w:val="clear" w:color="auto" w:fill="FFFFFF"/>
        </w:rPr>
        <w:t>paras</w:t>
      </w:r>
      <w:proofErr w:type="spellEnd"/>
      <w:r w:rsidRPr="00F60AA5">
        <w:rPr>
          <w:rFonts w:ascii="Garamond" w:eastAsia="Times New Roman" w:hAnsi="Garamond" w:cs="Arial"/>
          <w:color w:val="000000"/>
          <w:sz w:val="20"/>
          <w:szCs w:val="20"/>
          <w:shd w:val="clear" w:color="auto" w:fill="FFFFFF"/>
        </w:rPr>
        <w:t>. 3 and 4).</w:t>
      </w:r>
    </w:p>
  </w:footnote>
  <w:footnote w:id="12">
    <w:p w14:paraId="145F355E" w14:textId="6883E53A" w:rsidR="00FB0537" w:rsidRPr="00B364EE" w:rsidRDefault="00FB0537" w:rsidP="003C4221">
      <w:pPr>
        <w:pStyle w:val="FootnoteText"/>
        <w:rPr>
          <w:szCs w:val="20"/>
        </w:rPr>
      </w:pPr>
      <w:r w:rsidRPr="00F60AA5">
        <w:rPr>
          <w:rStyle w:val="FootnoteReference"/>
          <w:szCs w:val="20"/>
        </w:rPr>
        <w:footnoteRef/>
      </w:r>
      <w:r w:rsidRPr="00F60AA5">
        <w:rPr>
          <w:szCs w:val="20"/>
        </w:rPr>
        <w:t xml:space="preserve"> United Nations Declaration on the Rights of Indigenous Peoples (UNDRIP), article 32. The Indigenous Peoples Policy also applies but should be strengthened to reflect rights recognized under UNDRIP. (On FPIC, see Report of the Speci</w:t>
      </w:r>
      <w:r>
        <w:rPr>
          <w:szCs w:val="20"/>
        </w:rPr>
        <w:t>al Rapporteur on the Rights of Indigenous P</w:t>
      </w:r>
      <w:r w:rsidRPr="00F60AA5">
        <w:rPr>
          <w:szCs w:val="20"/>
        </w:rPr>
        <w:t xml:space="preserve">eoples, James Anaya, A/HRC/21/47, </w:t>
      </w:r>
      <w:proofErr w:type="gramStart"/>
      <w:r w:rsidRPr="00F60AA5">
        <w:rPr>
          <w:szCs w:val="20"/>
        </w:rPr>
        <w:t>July</w:t>
      </w:r>
      <w:proofErr w:type="gramEnd"/>
      <w:r w:rsidRPr="00F60AA5">
        <w:rPr>
          <w:szCs w:val="20"/>
        </w:rPr>
        <w:t xml:space="preserve"> 2012.)</w:t>
      </w:r>
    </w:p>
  </w:footnote>
  <w:footnote w:id="13">
    <w:p w14:paraId="50E28C4B" w14:textId="5E51EDBF" w:rsidR="00FB0537" w:rsidRPr="00627994" w:rsidRDefault="00FB0537" w:rsidP="003C4221">
      <w:pPr>
        <w:pStyle w:val="FootnoteText"/>
        <w:rPr>
          <w:szCs w:val="20"/>
        </w:rPr>
      </w:pPr>
      <w:r w:rsidRPr="00627994">
        <w:rPr>
          <w:rStyle w:val="FootnoteReference"/>
          <w:szCs w:val="20"/>
        </w:rPr>
        <w:footnoteRef/>
      </w:r>
      <w:r w:rsidRPr="00627994">
        <w:rPr>
          <w:szCs w:val="20"/>
        </w:rPr>
        <w:t xml:space="preserve"> Note that OP 4.10 </w:t>
      </w:r>
      <w:r>
        <w:rPr>
          <w:szCs w:val="20"/>
        </w:rPr>
        <w:t xml:space="preserve">similarly </w:t>
      </w:r>
      <w:r w:rsidRPr="00627994">
        <w:rPr>
          <w:szCs w:val="20"/>
        </w:rPr>
        <w:t xml:space="preserve">requires the Indigenous Peoples Plan to set forth an action plan for the legal recognition of ownership, occupation and usage of </w:t>
      </w:r>
      <w:r>
        <w:rPr>
          <w:szCs w:val="20"/>
        </w:rPr>
        <w:t xml:space="preserve">their traditional </w:t>
      </w:r>
      <w:r w:rsidRPr="00627994">
        <w:rPr>
          <w:szCs w:val="20"/>
        </w:rPr>
        <w:t>lands and territories for certain projects.</w:t>
      </w:r>
    </w:p>
  </w:footnote>
  <w:footnote w:id="14">
    <w:p w14:paraId="41605552" w14:textId="332A2F97" w:rsidR="00FB0537" w:rsidRPr="00013A10" w:rsidRDefault="00FB0537" w:rsidP="00013A10">
      <w:pPr>
        <w:pStyle w:val="FootnoteText"/>
        <w:rPr>
          <w:szCs w:val="20"/>
        </w:rPr>
      </w:pPr>
      <w:r w:rsidRPr="00013A10">
        <w:rPr>
          <w:rStyle w:val="FootnoteReference"/>
          <w:sz w:val="18"/>
          <w:szCs w:val="18"/>
        </w:rPr>
        <w:footnoteRef/>
      </w:r>
      <w:r w:rsidRPr="00013A10">
        <w:rPr>
          <w:sz w:val="18"/>
          <w:szCs w:val="18"/>
        </w:rPr>
        <w:t xml:space="preserve"> </w:t>
      </w:r>
      <w:r w:rsidRPr="00013A10">
        <w:rPr>
          <w:szCs w:val="20"/>
        </w:rPr>
        <w:t xml:space="preserve">See </w:t>
      </w:r>
      <w:r>
        <w:rPr>
          <w:szCs w:val="20"/>
        </w:rPr>
        <w:t xml:space="preserve">International Covenant on Civil and Political Rights (1966), Article 17(1); </w:t>
      </w:r>
      <w:r w:rsidRPr="005537B1">
        <w:rPr>
          <w:szCs w:val="20"/>
        </w:rPr>
        <w:t xml:space="preserve">CESCR, </w:t>
      </w:r>
      <w:r>
        <w:rPr>
          <w:szCs w:val="20"/>
        </w:rPr>
        <w:t>General Comment 4, op. cit.</w:t>
      </w:r>
      <w:r w:rsidRPr="005537B1">
        <w:rPr>
          <w:szCs w:val="20"/>
        </w:rPr>
        <w:t xml:space="preserve">, </w:t>
      </w:r>
      <w:proofErr w:type="spellStart"/>
      <w:r>
        <w:rPr>
          <w:szCs w:val="20"/>
        </w:rPr>
        <w:t>para</w:t>
      </w:r>
      <w:proofErr w:type="spellEnd"/>
      <w:r>
        <w:rPr>
          <w:szCs w:val="20"/>
        </w:rPr>
        <w:t xml:space="preserve"> 9; and </w:t>
      </w:r>
      <w:r w:rsidRPr="00013A10">
        <w:rPr>
          <w:rFonts w:eastAsia="Arial Unicode MS" w:cs="Times New Roman"/>
          <w:color w:val="000000"/>
          <w:szCs w:val="20"/>
          <w:u w:color="000000"/>
        </w:rPr>
        <w:t xml:space="preserve">Report of the Special Rapporteur on adequate housing, </w:t>
      </w:r>
      <w:proofErr w:type="spellStart"/>
      <w:r w:rsidRPr="00013A10">
        <w:rPr>
          <w:rFonts w:eastAsia="Arial Unicode MS" w:cs="Times New Roman"/>
          <w:color w:val="000000"/>
          <w:szCs w:val="20"/>
          <w:u w:color="000000"/>
        </w:rPr>
        <w:t>Miloon</w:t>
      </w:r>
      <w:proofErr w:type="spellEnd"/>
      <w:r w:rsidRPr="00013A10">
        <w:rPr>
          <w:rFonts w:eastAsia="Arial Unicode MS" w:cs="Times New Roman"/>
          <w:color w:val="000000"/>
          <w:szCs w:val="20"/>
          <w:u w:color="000000"/>
        </w:rPr>
        <w:t xml:space="preserve"> Kothari, A/HRC/4/18, February 2007, Annex 1: UN Basic Principles and Guidelines on Development-based Evictions and Displacement, </w:t>
      </w:r>
      <w:proofErr w:type="spellStart"/>
      <w:r w:rsidRPr="00013A10">
        <w:rPr>
          <w:rFonts w:eastAsia="Arial Unicode MS" w:cs="Times New Roman"/>
          <w:color w:val="000000"/>
          <w:szCs w:val="20"/>
          <w:u w:color="000000"/>
        </w:rPr>
        <w:t>para</w:t>
      </w:r>
      <w:proofErr w:type="spellEnd"/>
      <w:r w:rsidRPr="00013A10">
        <w:rPr>
          <w:rFonts w:eastAsia="Arial Unicode MS" w:cs="Times New Roman"/>
          <w:color w:val="000000"/>
          <w:szCs w:val="20"/>
          <w:u w:color="000000"/>
        </w:rPr>
        <w:t xml:space="preserve"> 13.</w:t>
      </w:r>
    </w:p>
  </w:footnote>
  <w:footnote w:id="15">
    <w:p w14:paraId="74A07BAB" w14:textId="7DD9CE2C" w:rsidR="00FB0537" w:rsidRDefault="00FB0537" w:rsidP="003C4221">
      <w:pPr>
        <w:pStyle w:val="FootnoteText"/>
      </w:pPr>
      <w:r w:rsidRPr="003E1670">
        <w:rPr>
          <w:rStyle w:val="FootnoteReference"/>
          <w:szCs w:val="20"/>
        </w:rPr>
        <w:footnoteRef/>
      </w:r>
      <w:r w:rsidRPr="003E1670">
        <w:rPr>
          <w:szCs w:val="20"/>
        </w:rPr>
        <w:t xml:space="preserve"> Noting that the land administration project would be designed to provide security of tenure across the continuum of tenure rights and arrangements</w:t>
      </w:r>
      <w:r>
        <w:rPr>
          <w:szCs w:val="20"/>
        </w:rPr>
        <w:t>, prioritizing vulnerable persons, households and communities, as required by the policy objectives and safeguard 1</w:t>
      </w:r>
      <w:r w:rsidRPr="003E1670">
        <w:rPr>
          <w:szCs w:val="20"/>
        </w:rPr>
        <w:t>.</w:t>
      </w:r>
      <w:r>
        <w:rPr>
          <w:szCs w:val="20"/>
        </w:rPr>
        <w:t xml:space="preserve"> A human rights-compliant resettlement policy also needs to be in place and triggered whenever tenure rights are denied, revoked or restricted through the adjudication process (see safeguard 8).    </w:t>
      </w:r>
    </w:p>
  </w:footnote>
  <w:footnote w:id="16">
    <w:p w14:paraId="378D5FFD" w14:textId="21C5F655" w:rsidR="00FB0537" w:rsidRPr="003C44B8" w:rsidRDefault="00FB0537" w:rsidP="003C4221">
      <w:pPr>
        <w:pStyle w:val="FootnoteText"/>
        <w:rPr>
          <w:szCs w:val="20"/>
        </w:rPr>
      </w:pPr>
      <w:r w:rsidRPr="003C44B8">
        <w:rPr>
          <w:rStyle w:val="FootnoteReference"/>
          <w:szCs w:val="20"/>
        </w:rPr>
        <w:footnoteRef/>
      </w:r>
      <w:r w:rsidRPr="003C44B8">
        <w:rPr>
          <w:szCs w:val="20"/>
        </w:rPr>
        <w:t xml:space="preserve"> The Bank should be mindful however that titling on a small scale can be open to abuse by power-holders and can distort land and housing markets through sudden hikes in land values, indirectly resulting in displacement and landlessness.</w:t>
      </w:r>
    </w:p>
  </w:footnote>
  <w:footnote w:id="17">
    <w:p w14:paraId="0DA11778" w14:textId="2AD9C8D5" w:rsidR="00FB0537" w:rsidRPr="003C44B8" w:rsidRDefault="00FB0537" w:rsidP="007E1417">
      <w:pPr>
        <w:pStyle w:val="FootnoteText"/>
        <w:rPr>
          <w:szCs w:val="20"/>
          <w:highlight w:val="yellow"/>
        </w:rPr>
      </w:pPr>
      <w:r w:rsidRPr="003C44B8">
        <w:rPr>
          <w:rStyle w:val="FootnoteReference"/>
          <w:szCs w:val="20"/>
        </w:rPr>
        <w:footnoteRef/>
      </w:r>
      <w:r w:rsidRPr="003C44B8">
        <w:rPr>
          <w:szCs w:val="20"/>
        </w:rPr>
        <w:t xml:space="preserve"> </w:t>
      </w:r>
      <w:proofErr w:type="gramStart"/>
      <w:r w:rsidRPr="003C44B8">
        <w:rPr>
          <w:szCs w:val="20"/>
        </w:rPr>
        <w:t>International Covenant on Economic, Social and Cultural Rights (1966), Article 4.</w:t>
      </w:r>
      <w:proofErr w:type="gramEnd"/>
      <w:r w:rsidRPr="003C44B8">
        <w:rPr>
          <w:szCs w:val="20"/>
        </w:rPr>
        <w:t xml:space="preserve">  See also </w:t>
      </w:r>
      <w:r w:rsidRPr="003C44B8">
        <w:rPr>
          <w:rFonts w:eastAsia="Arial Unicode MS" w:cs="Times New Roman"/>
          <w:color w:val="000000"/>
          <w:szCs w:val="20"/>
          <w:u w:color="000000"/>
        </w:rPr>
        <w:t>Repor</w:t>
      </w:r>
      <w:r>
        <w:rPr>
          <w:rFonts w:eastAsia="Arial Unicode MS" w:cs="Times New Roman"/>
          <w:color w:val="000000"/>
          <w:szCs w:val="20"/>
          <w:u w:color="000000"/>
        </w:rPr>
        <w:t>t of the Special Rapporteur on Adequate H</w:t>
      </w:r>
      <w:r w:rsidRPr="003C44B8">
        <w:rPr>
          <w:rFonts w:eastAsia="Arial Unicode MS" w:cs="Times New Roman"/>
          <w:color w:val="000000"/>
          <w:szCs w:val="20"/>
          <w:u w:color="000000"/>
        </w:rPr>
        <w:t xml:space="preserve">ousing, </w:t>
      </w:r>
      <w:proofErr w:type="spellStart"/>
      <w:r w:rsidRPr="003C44B8">
        <w:rPr>
          <w:rFonts w:eastAsia="Arial Unicode MS" w:cs="Times New Roman"/>
          <w:color w:val="000000"/>
          <w:szCs w:val="20"/>
          <w:u w:color="000000"/>
        </w:rPr>
        <w:t>Miloon</w:t>
      </w:r>
      <w:proofErr w:type="spellEnd"/>
      <w:r w:rsidRPr="003C44B8">
        <w:rPr>
          <w:rFonts w:eastAsia="Arial Unicode MS" w:cs="Times New Roman"/>
          <w:color w:val="000000"/>
          <w:szCs w:val="20"/>
          <w:u w:color="000000"/>
        </w:rPr>
        <w:t xml:space="preserve"> Kothari, op. </w:t>
      </w:r>
      <w:proofErr w:type="spellStart"/>
      <w:r w:rsidRPr="003C44B8">
        <w:rPr>
          <w:rFonts w:eastAsia="Arial Unicode MS" w:cs="Times New Roman"/>
          <w:color w:val="000000"/>
          <w:szCs w:val="20"/>
          <w:u w:color="000000"/>
        </w:rPr>
        <w:t>cit</w:t>
      </w:r>
      <w:proofErr w:type="spellEnd"/>
      <w:r w:rsidRPr="003C44B8">
        <w:rPr>
          <w:rFonts w:eastAsia="Arial Unicode MS" w:cs="Times New Roman"/>
          <w:color w:val="000000"/>
          <w:szCs w:val="20"/>
          <w:u w:color="000000"/>
        </w:rPr>
        <w:t xml:space="preserve">, </w:t>
      </w:r>
      <w:proofErr w:type="spellStart"/>
      <w:r w:rsidRPr="003C44B8">
        <w:rPr>
          <w:rFonts w:eastAsia="Arial Unicode MS" w:cs="Times New Roman"/>
          <w:color w:val="000000"/>
          <w:szCs w:val="20"/>
          <w:u w:color="000000"/>
        </w:rPr>
        <w:t>para</w:t>
      </w:r>
      <w:proofErr w:type="spellEnd"/>
      <w:r w:rsidRPr="003C44B8">
        <w:rPr>
          <w:rFonts w:eastAsia="Arial Unicode MS" w:cs="Times New Roman"/>
          <w:color w:val="000000"/>
          <w:szCs w:val="20"/>
          <w:u w:color="000000"/>
        </w:rPr>
        <w:t xml:space="preserve"> 21(c).</w:t>
      </w:r>
    </w:p>
  </w:footnote>
  <w:footnote w:id="18">
    <w:p w14:paraId="46C90131" w14:textId="0899D6B8" w:rsidR="00FB0537" w:rsidRPr="00F116C6" w:rsidRDefault="00FB0537" w:rsidP="003C4221">
      <w:pPr>
        <w:pStyle w:val="FootnoteText"/>
        <w:rPr>
          <w:szCs w:val="20"/>
        </w:rPr>
      </w:pPr>
      <w:r w:rsidRPr="003C44B8">
        <w:rPr>
          <w:rStyle w:val="FootnoteReference"/>
          <w:szCs w:val="20"/>
        </w:rPr>
        <w:footnoteRef/>
      </w:r>
      <w:r w:rsidRPr="003C44B8">
        <w:rPr>
          <w:szCs w:val="20"/>
        </w:rPr>
        <w:t xml:space="preserve"> UNDRIP, op. cit., article 26(3)</w:t>
      </w:r>
      <w:r>
        <w:rPr>
          <w:szCs w:val="20"/>
        </w:rPr>
        <w:t xml:space="preserve"> and 32</w:t>
      </w:r>
      <w:r w:rsidRPr="003C44B8">
        <w:rPr>
          <w:szCs w:val="20"/>
        </w:rPr>
        <w:t xml:space="preserve">. The Indigenous Peoples Policy paragraphs 16 and 17 also apply but should be </w:t>
      </w:r>
      <w:r w:rsidRPr="00F116C6">
        <w:rPr>
          <w:szCs w:val="20"/>
        </w:rPr>
        <w:t>strengthened to reflect rights recognized under UNDRIP.</w:t>
      </w:r>
    </w:p>
  </w:footnote>
  <w:footnote w:id="19">
    <w:p w14:paraId="0FF06068" w14:textId="34230E85" w:rsidR="00FB0537" w:rsidRDefault="00FB0537">
      <w:pPr>
        <w:pStyle w:val="FootnoteText"/>
      </w:pPr>
      <w:r w:rsidRPr="00F116C6">
        <w:rPr>
          <w:rStyle w:val="FootnoteReference"/>
        </w:rPr>
        <w:footnoteRef/>
      </w:r>
      <w:r w:rsidRPr="00F116C6">
        <w:t xml:space="preserve"> For example, the right to opt-out of a individualized titling system without other measures in place to protect the tenure security of people and communities living under other types of tenure arrangements may have the unintended affect of weakening their tenure security, and may indirectly compel them to adapt their tenure systems to confor</w:t>
      </w:r>
      <w:r>
        <w:t>m with the dominant imposed one</w:t>
      </w:r>
      <w:r w:rsidRPr="00F116C6">
        <w:t>.</w:t>
      </w:r>
      <w:r>
        <w:t xml:space="preserve"> </w:t>
      </w:r>
    </w:p>
  </w:footnote>
  <w:footnote w:id="20">
    <w:p w14:paraId="1D21DE12" w14:textId="77777777" w:rsidR="00FB0537" w:rsidRPr="0016789C" w:rsidRDefault="00FB0537" w:rsidP="0058142F">
      <w:pPr>
        <w:pStyle w:val="FootnoteText"/>
        <w:rPr>
          <w:szCs w:val="20"/>
        </w:rPr>
      </w:pPr>
      <w:r w:rsidRPr="006A540F">
        <w:rPr>
          <w:rStyle w:val="FootnoteReference"/>
          <w:szCs w:val="20"/>
        </w:rPr>
        <w:footnoteRef/>
      </w:r>
      <w:r w:rsidRPr="006A540F">
        <w:rPr>
          <w:szCs w:val="20"/>
        </w:rPr>
        <w:t xml:space="preserve"> Noting that OP 4.12, footnote 8 states that the Involuntary Resettlement Policy does not apply to disputes between private parties in land titling projects.</w:t>
      </w:r>
    </w:p>
  </w:footnote>
  <w:footnote w:id="21">
    <w:p w14:paraId="73B00F62" w14:textId="77777777" w:rsidR="00FB0537" w:rsidRPr="00B364EE" w:rsidRDefault="00FB0537" w:rsidP="003C4221">
      <w:pPr>
        <w:pStyle w:val="FootnoteText"/>
        <w:rPr>
          <w:szCs w:val="20"/>
        </w:rPr>
      </w:pPr>
      <w:r w:rsidRPr="00B364EE">
        <w:rPr>
          <w:rStyle w:val="FootnoteReference"/>
          <w:szCs w:val="20"/>
        </w:rPr>
        <w:footnoteRef/>
      </w:r>
      <w:r w:rsidRPr="00B364EE">
        <w:rPr>
          <w:szCs w:val="20"/>
        </w:rPr>
        <w:t xml:space="preserve"> OP 4.12, paragraphs 3 (b); 7; 17(c); and 31.</w:t>
      </w:r>
    </w:p>
  </w:footnote>
  <w:footnote w:id="22">
    <w:p w14:paraId="660D3ADF" w14:textId="25A3C87A" w:rsidR="00FB0537" w:rsidRPr="000052AB" w:rsidRDefault="00FB0537" w:rsidP="00307330">
      <w:pPr>
        <w:pStyle w:val="FootnoteText"/>
        <w:rPr>
          <w:szCs w:val="20"/>
        </w:rPr>
      </w:pPr>
      <w:r w:rsidRPr="000052AB">
        <w:rPr>
          <w:rStyle w:val="FootnoteReference"/>
          <w:szCs w:val="20"/>
        </w:rPr>
        <w:footnoteRef/>
      </w:r>
      <w:r w:rsidRPr="000052AB">
        <w:rPr>
          <w:szCs w:val="20"/>
        </w:rPr>
        <w:t xml:space="preserve"> </w:t>
      </w:r>
      <w:r>
        <w:rPr>
          <w:szCs w:val="20"/>
        </w:rPr>
        <w:t>Inclusive Development International (IDI) and other groups are submitting a separate set of comments and recommendations to bring OP/BP 4.12 into line with international human rights standards and best practice.</w:t>
      </w:r>
    </w:p>
  </w:footnote>
  <w:footnote w:id="23">
    <w:p w14:paraId="12A1F5F9" w14:textId="77777777" w:rsidR="00FB0537" w:rsidRPr="00B364EE" w:rsidRDefault="00FB0537" w:rsidP="00E05BA6">
      <w:pPr>
        <w:pStyle w:val="FootnoteText"/>
        <w:rPr>
          <w:szCs w:val="20"/>
        </w:rPr>
      </w:pPr>
      <w:r w:rsidRPr="00B364EE">
        <w:rPr>
          <w:rStyle w:val="FootnoteReference"/>
          <w:szCs w:val="20"/>
        </w:rPr>
        <w:footnoteRef/>
      </w:r>
      <w:r w:rsidRPr="00B364EE">
        <w:rPr>
          <w:szCs w:val="20"/>
        </w:rPr>
        <w:t xml:space="preserve"> For example, customary el</w:t>
      </w:r>
      <w:r>
        <w:rPr>
          <w:szCs w:val="20"/>
        </w:rPr>
        <w:t>ders and traditional or locally recogniz</w:t>
      </w:r>
      <w:r w:rsidRPr="00B364EE">
        <w:rPr>
          <w:szCs w:val="20"/>
        </w:rPr>
        <w:t>ed dispute mediators should be called upon to give local legitimacy to the dispute resolution process.</w:t>
      </w:r>
    </w:p>
  </w:footnote>
  <w:footnote w:id="24">
    <w:p w14:paraId="030F918F" w14:textId="1E47350D" w:rsidR="00FB0537" w:rsidRPr="007F4940" w:rsidRDefault="00FB0537" w:rsidP="003B7788">
      <w:pPr>
        <w:widowControl w:val="0"/>
        <w:autoSpaceDE w:val="0"/>
        <w:autoSpaceDN w:val="0"/>
        <w:adjustRightInd w:val="0"/>
        <w:spacing w:after="120" w:line="240" w:lineRule="auto"/>
        <w:rPr>
          <w:rFonts w:ascii="Garamond" w:hAnsi="Garamond" w:cs="Times New Roman"/>
          <w:sz w:val="20"/>
          <w:szCs w:val="20"/>
        </w:rPr>
      </w:pPr>
      <w:r w:rsidRPr="007F4940">
        <w:rPr>
          <w:rStyle w:val="FootnoteReference"/>
          <w:rFonts w:ascii="Garamond" w:hAnsi="Garamond"/>
          <w:sz w:val="20"/>
          <w:szCs w:val="20"/>
        </w:rPr>
        <w:footnoteRef/>
      </w:r>
      <w:r w:rsidRPr="007F4940">
        <w:rPr>
          <w:rFonts w:ascii="Garamond" w:hAnsi="Garamond"/>
          <w:sz w:val="20"/>
          <w:szCs w:val="20"/>
        </w:rPr>
        <w:t xml:space="preserve"> </w:t>
      </w:r>
      <w:r w:rsidRPr="007F4940">
        <w:rPr>
          <w:rFonts w:ascii="Garamond" w:hAnsi="Garamond" w:cs="Times New Roman"/>
          <w:sz w:val="20"/>
          <w:szCs w:val="20"/>
        </w:rPr>
        <w:t>Report of the Special Representative of the Secretary-General on the issue of human rights and transnational</w:t>
      </w:r>
      <w:r>
        <w:rPr>
          <w:rFonts w:ascii="Garamond" w:hAnsi="Garamond" w:cs="Times New Roman"/>
          <w:sz w:val="20"/>
          <w:szCs w:val="20"/>
        </w:rPr>
        <w:t xml:space="preserve"> </w:t>
      </w:r>
      <w:r w:rsidRPr="007F4940">
        <w:rPr>
          <w:rFonts w:ascii="Garamond" w:hAnsi="Garamond" w:cs="Times New Roman"/>
          <w:sz w:val="20"/>
          <w:szCs w:val="20"/>
        </w:rPr>
        <w:t xml:space="preserve">corporations and other business enterprises, John </w:t>
      </w:r>
      <w:proofErr w:type="spellStart"/>
      <w:r w:rsidRPr="007F4940">
        <w:rPr>
          <w:rFonts w:ascii="Garamond" w:hAnsi="Garamond" w:cs="Times New Roman"/>
          <w:sz w:val="20"/>
          <w:szCs w:val="20"/>
        </w:rPr>
        <w:t>Ruggie</w:t>
      </w:r>
      <w:proofErr w:type="spellEnd"/>
      <w:r w:rsidRPr="007F4940">
        <w:rPr>
          <w:rFonts w:ascii="Garamond" w:hAnsi="Garamond" w:cs="Times New Roman"/>
          <w:sz w:val="20"/>
          <w:szCs w:val="20"/>
        </w:rPr>
        <w:t xml:space="preserve">, </w:t>
      </w:r>
      <w:r>
        <w:rPr>
          <w:rFonts w:ascii="Garamond" w:hAnsi="Garamond"/>
          <w:sz w:val="20"/>
          <w:szCs w:val="20"/>
        </w:rPr>
        <w:t>A/HRC/17/31,</w:t>
      </w:r>
      <w:r w:rsidRPr="007F4940">
        <w:rPr>
          <w:rFonts w:ascii="Garamond" w:hAnsi="Garamond"/>
          <w:sz w:val="20"/>
          <w:szCs w:val="20"/>
        </w:rPr>
        <w:t xml:space="preserve"> March 2011</w:t>
      </w:r>
      <w:r>
        <w:rPr>
          <w:rFonts w:ascii="Garamond" w:hAnsi="Garamond"/>
          <w:sz w:val="20"/>
          <w:szCs w:val="20"/>
        </w:rPr>
        <w:t xml:space="preserve">, </w:t>
      </w:r>
      <w:r w:rsidRPr="007F4940">
        <w:rPr>
          <w:rFonts w:ascii="Garamond" w:hAnsi="Garamond"/>
          <w:sz w:val="20"/>
          <w:szCs w:val="20"/>
        </w:rPr>
        <w:t xml:space="preserve">Annex: Guiding Principles on Business and Human Rights: Implementing the United Nations “Protect, Respect and Remedy” </w:t>
      </w:r>
      <w:r>
        <w:rPr>
          <w:rFonts w:ascii="Garamond" w:hAnsi="Garamond"/>
          <w:sz w:val="20"/>
          <w:szCs w:val="20"/>
        </w:rPr>
        <w:t>Framework,</w:t>
      </w:r>
      <w:r w:rsidRPr="007F4940">
        <w:rPr>
          <w:rFonts w:ascii="Garamond" w:hAnsi="Garamond"/>
          <w:sz w:val="20"/>
          <w:szCs w:val="20"/>
        </w:rPr>
        <w:t xml:space="preserve"> </w:t>
      </w:r>
      <w:proofErr w:type="spellStart"/>
      <w:r w:rsidRPr="007F4940">
        <w:rPr>
          <w:rFonts w:ascii="Garamond" w:hAnsi="Garamond"/>
          <w:sz w:val="20"/>
          <w:szCs w:val="20"/>
        </w:rPr>
        <w:t>para</w:t>
      </w:r>
      <w:proofErr w:type="spellEnd"/>
      <w:r w:rsidRPr="007F4940">
        <w:rPr>
          <w:rFonts w:ascii="Garamond" w:hAnsi="Garamond"/>
          <w:sz w:val="20"/>
          <w:szCs w:val="20"/>
        </w:rPr>
        <w:t xml:space="preserve"> 31.</w:t>
      </w:r>
    </w:p>
  </w:footnote>
  <w:footnote w:id="25">
    <w:p w14:paraId="2923AF90" w14:textId="64DD48CE" w:rsidR="00FB0537" w:rsidRPr="00445557" w:rsidRDefault="00FB0537" w:rsidP="003C4221">
      <w:pPr>
        <w:pStyle w:val="FootnoteText"/>
      </w:pPr>
      <w:r w:rsidRPr="000B06ED">
        <w:rPr>
          <w:rStyle w:val="FootnoteReference"/>
          <w:szCs w:val="20"/>
        </w:rPr>
        <w:footnoteRef/>
      </w:r>
      <w:r>
        <w:t xml:space="preserve"> </w:t>
      </w:r>
      <w:r>
        <w:rPr>
          <w:rFonts w:cs="Times New Roman"/>
          <w:szCs w:val="20"/>
        </w:rPr>
        <w:t>The Bank has made a commitment</w:t>
      </w:r>
      <w:r w:rsidRPr="00A75DD1">
        <w:rPr>
          <w:rFonts w:cs="Times New Roman"/>
          <w:szCs w:val="20"/>
        </w:rPr>
        <w:t xml:space="preserve"> to refrain from </w:t>
      </w:r>
      <w:r w:rsidRPr="00A75DD1">
        <w:rPr>
          <w:rFonts w:eastAsia="Times New Roman" w:cs="Arial"/>
          <w:color w:val="000000"/>
          <w:szCs w:val="20"/>
          <w:shd w:val="clear" w:color="auto" w:fill="FFFFFF"/>
        </w:rPr>
        <w:t>supporting “speculative land investments or acquisitions which take advantage of weak institutions in developing countries or which disregard principles of responsible agricultural investment”</w:t>
      </w:r>
      <w:r w:rsidRPr="00A75DD1">
        <w:rPr>
          <w:rStyle w:val="FootnoteReference"/>
          <w:rFonts w:eastAsia="Times New Roman" w:cs="Arial"/>
          <w:color w:val="000000"/>
          <w:szCs w:val="20"/>
          <w:shd w:val="clear" w:color="auto" w:fill="FFFFFF"/>
        </w:rPr>
        <w:t xml:space="preserve"> </w:t>
      </w:r>
      <w:r w:rsidRPr="00A75DD1">
        <w:rPr>
          <w:szCs w:val="20"/>
        </w:rPr>
        <w:t>and recognizes the need for “</w:t>
      </w:r>
      <w:r w:rsidRPr="00A75DD1">
        <w:rPr>
          <w:rFonts w:eastAsia="Times New Roman" w:cs="Arial"/>
          <w:color w:val="000000"/>
          <w:szCs w:val="20"/>
          <w:shd w:val="clear" w:color="auto" w:fill="FFFFFF"/>
        </w:rPr>
        <w:t>appropriate safeguards and inclusion of small holders and communities as beneficiaries</w:t>
      </w:r>
      <w:r>
        <w:rPr>
          <w:rFonts w:eastAsia="Times New Roman" w:cs="Arial"/>
          <w:color w:val="000000"/>
          <w:szCs w:val="20"/>
          <w:shd w:val="clear" w:color="auto" w:fill="FFFFFF"/>
        </w:rPr>
        <w:t>.</w:t>
      </w:r>
      <w:r w:rsidRPr="00A75DD1">
        <w:rPr>
          <w:rFonts w:eastAsia="Times New Roman" w:cs="Arial"/>
          <w:color w:val="000000"/>
          <w:szCs w:val="20"/>
          <w:shd w:val="clear" w:color="auto" w:fill="FFFFFF"/>
        </w:rPr>
        <w:t>”</w:t>
      </w:r>
      <w:r w:rsidRPr="00A75DD1">
        <w:rPr>
          <w:rStyle w:val="FootnoteReference"/>
          <w:rFonts w:eastAsia="Times New Roman" w:cs="Arial"/>
          <w:color w:val="000000"/>
          <w:szCs w:val="20"/>
          <w:shd w:val="clear" w:color="auto" w:fill="FFFFFF"/>
        </w:rPr>
        <w:t xml:space="preserve"> </w:t>
      </w:r>
      <w:proofErr w:type="gramStart"/>
      <w:r w:rsidRPr="00A75DD1">
        <w:rPr>
          <w:rFonts w:eastAsia="Times New Roman" w:cs="Arial"/>
          <w:color w:val="000000"/>
          <w:szCs w:val="20"/>
          <w:shd w:val="clear" w:color="auto" w:fill="FFFFFF"/>
        </w:rPr>
        <w:t>(</w:t>
      </w:r>
      <w:r w:rsidRPr="00A75DD1">
        <w:rPr>
          <w:szCs w:val="20"/>
        </w:rPr>
        <w:t>The World Bank, Land &amp; Food Security, available at</w:t>
      </w:r>
      <w:r w:rsidRPr="00A75DD1">
        <w:rPr>
          <w:rFonts w:eastAsia="Times New Roman" w:cs="Arial"/>
          <w:color w:val="000000"/>
          <w:szCs w:val="20"/>
          <w:shd w:val="clear" w:color="auto" w:fill="FFFFFF"/>
        </w:rPr>
        <w:t> &lt;</w:t>
      </w:r>
      <w:hyperlink r:id="rId2" w:history="1">
        <w:r w:rsidRPr="00A75DD1">
          <w:rPr>
            <w:rFonts w:eastAsia="Times New Roman" w:cs="Arial"/>
            <w:color w:val="204E84"/>
            <w:szCs w:val="20"/>
            <w:u w:val="single"/>
            <w:shd w:val="clear" w:color="auto" w:fill="FFFFFF"/>
          </w:rPr>
          <w:t>http://go.worldbank.org/S0D96SZZT0</w:t>
        </w:r>
      </w:hyperlink>
      <w:r w:rsidRPr="00A75DD1">
        <w:rPr>
          <w:rFonts w:eastAsia="Times New Roman" w:cs="Times New Roman"/>
          <w:szCs w:val="20"/>
        </w:rPr>
        <w:t>&gt;)</w:t>
      </w:r>
      <w:r>
        <w:rPr>
          <w:rFonts w:eastAsia="Times New Roman" w:cs="Times New Roman"/>
          <w:szCs w:val="20"/>
        </w:rPr>
        <w:t>.</w:t>
      </w:r>
      <w:proofErr w:type="gramEnd"/>
      <w:r w:rsidRPr="00E26CEF">
        <w:rPr>
          <w:rFonts w:eastAsia="Times New Roman" w:cs="Arial"/>
          <w:color w:val="000000"/>
          <w:szCs w:val="20"/>
          <w:shd w:val="clear" w:color="auto" w:fill="FFFFFF"/>
        </w:rPr>
        <w:t xml:space="preserve"> </w:t>
      </w:r>
      <w:r w:rsidRPr="00A75DD1">
        <w:rPr>
          <w:rFonts w:eastAsia="Times New Roman" w:cs="Arial"/>
          <w:color w:val="000000"/>
          <w:szCs w:val="20"/>
          <w:shd w:val="clear" w:color="auto" w:fill="FFFFFF"/>
        </w:rPr>
        <w:t xml:space="preserve">This </w:t>
      </w:r>
      <w:r w:rsidRPr="00445557">
        <w:rPr>
          <w:rFonts w:eastAsia="Times New Roman" w:cs="Arial"/>
          <w:color w:val="000000"/>
          <w:szCs w:val="20"/>
          <w:shd w:val="clear" w:color="auto" w:fill="FFFFFF"/>
        </w:rPr>
        <w:t>commitment and recognition needs to be reflected in binding operational policy.</w:t>
      </w:r>
    </w:p>
  </w:footnote>
  <w:footnote w:id="26">
    <w:p w14:paraId="7E6BD1E7" w14:textId="15880956" w:rsidR="00FB0537" w:rsidRPr="00445557" w:rsidRDefault="00FB0537" w:rsidP="000D460F">
      <w:pPr>
        <w:pStyle w:val="FootnoteText"/>
        <w:rPr>
          <w:szCs w:val="20"/>
        </w:rPr>
      </w:pPr>
      <w:r w:rsidRPr="00445557">
        <w:rPr>
          <w:rStyle w:val="FootnoteReference"/>
          <w:szCs w:val="20"/>
        </w:rPr>
        <w:footnoteRef/>
      </w:r>
      <w:r w:rsidRPr="00445557">
        <w:rPr>
          <w:szCs w:val="20"/>
        </w:rPr>
        <w:t xml:space="preserve"> For any project provisionally determined to have a public purpose, its public value should be affirmed through a democratic process, including through consultations with expected beneficiaries, expected affected persons and other stakeholders about the development priorities, with an emphasis on poor and marginalized groups. </w:t>
      </w:r>
    </w:p>
  </w:footnote>
  <w:footnote w:id="27">
    <w:p w14:paraId="6C002DE8" w14:textId="27534B1B" w:rsidR="00FB0537" w:rsidRPr="005F299E" w:rsidRDefault="00FB0537" w:rsidP="00E9742B">
      <w:pPr>
        <w:spacing w:after="120" w:line="240" w:lineRule="auto"/>
        <w:rPr>
          <w:rFonts w:ascii="Garamond" w:hAnsi="Garamond"/>
          <w:sz w:val="20"/>
          <w:szCs w:val="20"/>
        </w:rPr>
      </w:pPr>
      <w:r w:rsidRPr="00445557">
        <w:rPr>
          <w:rStyle w:val="FootnoteReference"/>
          <w:rFonts w:ascii="Garamond" w:hAnsi="Garamond"/>
          <w:sz w:val="20"/>
          <w:szCs w:val="20"/>
        </w:rPr>
        <w:footnoteRef/>
      </w:r>
      <w:r w:rsidRPr="00445557">
        <w:rPr>
          <w:rFonts w:ascii="Garamond" w:hAnsi="Garamond"/>
          <w:sz w:val="20"/>
          <w:szCs w:val="20"/>
        </w:rPr>
        <w:t xml:space="preserve"> For an explanation of human rights due diligence obligations of businesses, see,</w:t>
      </w:r>
      <w:r>
        <w:rPr>
          <w:rFonts w:ascii="Garamond" w:hAnsi="Garamond"/>
          <w:sz w:val="20"/>
          <w:szCs w:val="20"/>
        </w:rPr>
        <w:t xml:space="preserve"> UN</w:t>
      </w:r>
      <w:r w:rsidRPr="00445557">
        <w:rPr>
          <w:rFonts w:ascii="Garamond" w:hAnsi="Garamond"/>
          <w:sz w:val="20"/>
          <w:szCs w:val="20"/>
        </w:rPr>
        <w:t xml:space="preserve"> Guiding Principles on Business and</w:t>
      </w:r>
      <w:r w:rsidRPr="005F299E">
        <w:rPr>
          <w:rFonts w:ascii="Garamond" w:hAnsi="Garamond"/>
          <w:sz w:val="20"/>
          <w:szCs w:val="20"/>
        </w:rPr>
        <w:t xml:space="preserve"> Human Rights, op. cit., paragraph 17. </w:t>
      </w:r>
    </w:p>
  </w:footnote>
  <w:footnote w:id="28">
    <w:p w14:paraId="73A21071" w14:textId="1D175043" w:rsidR="00FB0537" w:rsidRPr="005F299E" w:rsidRDefault="00FB0537" w:rsidP="003C4221">
      <w:pPr>
        <w:pStyle w:val="FootnoteText"/>
        <w:rPr>
          <w:szCs w:val="20"/>
        </w:rPr>
      </w:pPr>
      <w:r w:rsidRPr="005F299E">
        <w:rPr>
          <w:rStyle w:val="FootnoteReference"/>
          <w:szCs w:val="20"/>
        </w:rPr>
        <w:footnoteRef/>
      </w:r>
      <w:r w:rsidRPr="005F299E">
        <w:rPr>
          <w:szCs w:val="20"/>
        </w:rPr>
        <w:t xml:space="preserve"> Any development project, whether or not it has a public purpose, that affects the tenure of indigenous</w:t>
      </w:r>
      <w:r>
        <w:rPr>
          <w:szCs w:val="20"/>
        </w:rPr>
        <w:t xml:space="preserve"> </w:t>
      </w:r>
      <w:r w:rsidRPr="005F299E">
        <w:rPr>
          <w:szCs w:val="20"/>
        </w:rPr>
        <w:t xml:space="preserve">peoples must respect their right to give or withhold their free, prior and informed consent (as stated in safeguard </w:t>
      </w:r>
      <w:r>
        <w:rPr>
          <w:szCs w:val="20"/>
        </w:rPr>
        <w:t>2</w:t>
      </w:r>
      <w:r w:rsidRPr="005F299E">
        <w:rPr>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D9D"/>
    <w:multiLevelType w:val="hybridMultilevel"/>
    <w:tmpl w:val="E296130C"/>
    <w:lvl w:ilvl="0" w:tplc="5D0628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3AC1"/>
    <w:multiLevelType w:val="hybridMultilevel"/>
    <w:tmpl w:val="47A0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1D6D"/>
    <w:multiLevelType w:val="hybridMultilevel"/>
    <w:tmpl w:val="70A4D63E"/>
    <w:lvl w:ilvl="0" w:tplc="A82E84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32916"/>
    <w:multiLevelType w:val="hybridMultilevel"/>
    <w:tmpl w:val="EAAA3E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D4D41"/>
    <w:multiLevelType w:val="hybridMultilevel"/>
    <w:tmpl w:val="5DBEC2B8"/>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516CF"/>
    <w:multiLevelType w:val="hybridMultilevel"/>
    <w:tmpl w:val="6C6623F0"/>
    <w:lvl w:ilvl="0" w:tplc="D7126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752C4"/>
    <w:multiLevelType w:val="hybridMultilevel"/>
    <w:tmpl w:val="C2E20A1E"/>
    <w:lvl w:ilvl="0" w:tplc="04090017">
      <w:start w:val="1"/>
      <w:numFmt w:val="lowerLetter"/>
      <w:lvlText w:val="%1)"/>
      <w:lvlJc w:val="left"/>
      <w:pPr>
        <w:ind w:left="108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D194C"/>
    <w:multiLevelType w:val="hybridMultilevel"/>
    <w:tmpl w:val="B67A0064"/>
    <w:lvl w:ilvl="0" w:tplc="D7126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E5841"/>
    <w:multiLevelType w:val="hybridMultilevel"/>
    <w:tmpl w:val="5DBEC2B8"/>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CD21D8"/>
    <w:multiLevelType w:val="hybridMultilevel"/>
    <w:tmpl w:val="E9286530"/>
    <w:lvl w:ilvl="0" w:tplc="4FFE48E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976445"/>
    <w:multiLevelType w:val="multilevel"/>
    <w:tmpl w:val="2F009B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9022D2"/>
    <w:multiLevelType w:val="hybridMultilevel"/>
    <w:tmpl w:val="A9689E06"/>
    <w:lvl w:ilvl="0" w:tplc="F620AA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40007"/>
    <w:multiLevelType w:val="hybridMultilevel"/>
    <w:tmpl w:val="5DBEC2B8"/>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A61E32"/>
    <w:multiLevelType w:val="hybridMultilevel"/>
    <w:tmpl w:val="4830C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965386"/>
    <w:multiLevelType w:val="hybridMultilevel"/>
    <w:tmpl w:val="286AD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3861F4"/>
    <w:multiLevelType w:val="hybridMultilevel"/>
    <w:tmpl w:val="3F7E49E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3FA2BEE"/>
    <w:multiLevelType w:val="hybridMultilevel"/>
    <w:tmpl w:val="048CC184"/>
    <w:lvl w:ilvl="0" w:tplc="4B8CA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C502A"/>
    <w:multiLevelType w:val="hybridMultilevel"/>
    <w:tmpl w:val="3B30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53593"/>
    <w:multiLevelType w:val="multilevel"/>
    <w:tmpl w:val="8F2E79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CA41D4"/>
    <w:multiLevelType w:val="hybridMultilevel"/>
    <w:tmpl w:val="2F009BB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15D81"/>
    <w:multiLevelType w:val="hybridMultilevel"/>
    <w:tmpl w:val="67826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3"/>
  </w:num>
  <w:num w:numId="4">
    <w:abstractNumId w:val="15"/>
  </w:num>
  <w:num w:numId="5">
    <w:abstractNumId w:val="7"/>
  </w:num>
  <w:num w:numId="6">
    <w:abstractNumId w:val="5"/>
  </w:num>
  <w:num w:numId="7">
    <w:abstractNumId w:val="11"/>
  </w:num>
  <w:num w:numId="8">
    <w:abstractNumId w:val="3"/>
  </w:num>
  <w:num w:numId="9">
    <w:abstractNumId w:val="18"/>
  </w:num>
  <w:num w:numId="10">
    <w:abstractNumId w:val="19"/>
  </w:num>
  <w:num w:numId="11">
    <w:abstractNumId w:val="10"/>
  </w:num>
  <w:num w:numId="12">
    <w:abstractNumId w:val="17"/>
  </w:num>
  <w:num w:numId="13">
    <w:abstractNumId w:val="16"/>
  </w:num>
  <w:num w:numId="14">
    <w:abstractNumId w:val="9"/>
  </w:num>
  <w:num w:numId="15">
    <w:abstractNumId w:val="12"/>
  </w:num>
  <w:num w:numId="16">
    <w:abstractNumId w:val="20"/>
  </w:num>
  <w:num w:numId="17">
    <w:abstractNumId w:val="8"/>
  </w:num>
  <w:num w:numId="18">
    <w:abstractNumId w:val="4"/>
  </w:num>
  <w:num w:numId="19">
    <w:abstractNumId w:val="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4D"/>
    <w:rsid w:val="000005FF"/>
    <w:rsid w:val="000009E6"/>
    <w:rsid w:val="00003E44"/>
    <w:rsid w:val="0000410C"/>
    <w:rsid w:val="000052AB"/>
    <w:rsid w:val="00012CFB"/>
    <w:rsid w:val="00013A10"/>
    <w:rsid w:val="00014380"/>
    <w:rsid w:val="00015AEB"/>
    <w:rsid w:val="00015E43"/>
    <w:rsid w:val="00016EA7"/>
    <w:rsid w:val="000170E7"/>
    <w:rsid w:val="000205DC"/>
    <w:rsid w:val="00022838"/>
    <w:rsid w:val="00024180"/>
    <w:rsid w:val="0003053F"/>
    <w:rsid w:val="00032898"/>
    <w:rsid w:val="00032C97"/>
    <w:rsid w:val="00034CAA"/>
    <w:rsid w:val="00036179"/>
    <w:rsid w:val="00041D73"/>
    <w:rsid w:val="00046318"/>
    <w:rsid w:val="00046578"/>
    <w:rsid w:val="000502C4"/>
    <w:rsid w:val="00050DD9"/>
    <w:rsid w:val="00053F6E"/>
    <w:rsid w:val="00060BDD"/>
    <w:rsid w:val="00060CA6"/>
    <w:rsid w:val="000611D3"/>
    <w:rsid w:val="0006278D"/>
    <w:rsid w:val="000629BF"/>
    <w:rsid w:val="000629DD"/>
    <w:rsid w:val="00065543"/>
    <w:rsid w:val="00065587"/>
    <w:rsid w:val="00077C90"/>
    <w:rsid w:val="00080F0F"/>
    <w:rsid w:val="00081F79"/>
    <w:rsid w:val="00082462"/>
    <w:rsid w:val="00084097"/>
    <w:rsid w:val="0008622A"/>
    <w:rsid w:val="000865A9"/>
    <w:rsid w:val="000867D5"/>
    <w:rsid w:val="00087CCE"/>
    <w:rsid w:val="000921B0"/>
    <w:rsid w:val="00092952"/>
    <w:rsid w:val="000947F0"/>
    <w:rsid w:val="00097256"/>
    <w:rsid w:val="000A2710"/>
    <w:rsid w:val="000A39DD"/>
    <w:rsid w:val="000A5C2B"/>
    <w:rsid w:val="000B06ED"/>
    <w:rsid w:val="000B0D09"/>
    <w:rsid w:val="000B4304"/>
    <w:rsid w:val="000C114F"/>
    <w:rsid w:val="000C3398"/>
    <w:rsid w:val="000C3BFA"/>
    <w:rsid w:val="000C5B7E"/>
    <w:rsid w:val="000C6FFD"/>
    <w:rsid w:val="000C73B6"/>
    <w:rsid w:val="000D02C4"/>
    <w:rsid w:val="000D224C"/>
    <w:rsid w:val="000D3A0E"/>
    <w:rsid w:val="000D460F"/>
    <w:rsid w:val="000D4D80"/>
    <w:rsid w:val="000D57F8"/>
    <w:rsid w:val="000D73DA"/>
    <w:rsid w:val="000E1510"/>
    <w:rsid w:val="000E3680"/>
    <w:rsid w:val="000E4C87"/>
    <w:rsid w:val="000E5A74"/>
    <w:rsid w:val="000E7387"/>
    <w:rsid w:val="000F0DF2"/>
    <w:rsid w:val="000F65BF"/>
    <w:rsid w:val="001009EB"/>
    <w:rsid w:val="0010126C"/>
    <w:rsid w:val="00102105"/>
    <w:rsid w:val="00103D01"/>
    <w:rsid w:val="001075CA"/>
    <w:rsid w:val="00111A7E"/>
    <w:rsid w:val="0011256C"/>
    <w:rsid w:val="00114235"/>
    <w:rsid w:val="00114DC5"/>
    <w:rsid w:val="0011568D"/>
    <w:rsid w:val="00117755"/>
    <w:rsid w:val="00117FB9"/>
    <w:rsid w:val="0012228E"/>
    <w:rsid w:val="00124A97"/>
    <w:rsid w:val="00124FE5"/>
    <w:rsid w:val="00126888"/>
    <w:rsid w:val="00130EDE"/>
    <w:rsid w:val="001324F5"/>
    <w:rsid w:val="00140A7A"/>
    <w:rsid w:val="001444C6"/>
    <w:rsid w:val="00146DA6"/>
    <w:rsid w:val="00146DBC"/>
    <w:rsid w:val="00150FB4"/>
    <w:rsid w:val="00152C30"/>
    <w:rsid w:val="001533C9"/>
    <w:rsid w:val="00153D4E"/>
    <w:rsid w:val="00155A40"/>
    <w:rsid w:val="00161C39"/>
    <w:rsid w:val="00162AD4"/>
    <w:rsid w:val="00164092"/>
    <w:rsid w:val="00165793"/>
    <w:rsid w:val="00165B4C"/>
    <w:rsid w:val="00165BD2"/>
    <w:rsid w:val="001667E4"/>
    <w:rsid w:val="0016789C"/>
    <w:rsid w:val="0017067C"/>
    <w:rsid w:val="0017111F"/>
    <w:rsid w:val="0017314D"/>
    <w:rsid w:val="00174E9F"/>
    <w:rsid w:val="00175007"/>
    <w:rsid w:val="00175C51"/>
    <w:rsid w:val="0018034E"/>
    <w:rsid w:val="00180F43"/>
    <w:rsid w:val="00181434"/>
    <w:rsid w:val="0018523D"/>
    <w:rsid w:val="001853CA"/>
    <w:rsid w:val="001865C5"/>
    <w:rsid w:val="00187E4F"/>
    <w:rsid w:val="00192816"/>
    <w:rsid w:val="001A03BF"/>
    <w:rsid w:val="001A6906"/>
    <w:rsid w:val="001A698F"/>
    <w:rsid w:val="001A6C3C"/>
    <w:rsid w:val="001B47E7"/>
    <w:rsid w:val="001B58D3"/>
    <w:rsid w:val="001B620B"/>
    <w:rsid w:val="001B6368"/>
    <w:rsid w:val="001B71FA"/>
    <w:rsid w:val="001C0AE9"/>
    <w:rsid w:val="001C1447"/>
    <w:rsid w:val="001C1EC7"/>
    <w:rsid w:val="001C1F3F"/>
    <w:rsid w:val="001C3189"/>
    <w:rsid w:val="001C50FC"/>
    <w:rsid w:val="001C70C0"/>
    <w:rsid w:val="001D02C3"/>
    <w:rsid w:val="001D02CA"/>
    <w:rsid w:val="001D209B"/>
    <w:rsid w:val="001D286A"/>
    <w:rsid w:val="001D62A6"/>
    <w:rsid w:val="001D729A"/>
    <w:rsid w:val="001E069B"/>
    <w:rsid w:val="001E14C0"/>
    <w:rsid w:val="001E4582"/>
    <w:rsid w:val="001E5D36"/>
    <w:rsid w:val="001E5D7F"/>
    <w:rsid w:val="001E6EE0"/>
    <w:rsid w:val="001F0FFC"/>
    <w:rsid w:val="001F59CA"/>
    <w:rsid w:val="002023B9"/>
    <w:rsid w:val="00202DCA"/>
    <w:rsid w:val="0020574F"/>
    <w:rsid w:val="00206746"/>
    <w:rsid w:val="00207A08"/>
    <w:rsid w:val="00211C4C"/>
    <w:rsid w:val="00211F71"/>
    <w:rsid w:val="00212B36"/>
    <w:rsid w:val="002138BD"/>
    <w:rsid w:val="00216AFE"/>
    <w:rsid w:val="0021741C"/>
    <w:rsid w:val="0021772A"/>
    <w:rsid w:val="00220F73"/>
    <w:rsid w:val="0022260A"/>
    <w:rsid w:val="00222F3E"/>
    <w:rsid w:val="002244E5"/>
    <w:rsid w:val="002268E7"/>
    <w:rsid w:val="00226C8A"/>
    <w:rsid w:val="002324B8"/>
    <w:rsid w:val="00232F0E"/>
    <w:rsid w:val="00234F2E"/>
    <w:rsid w:val="002403F5"/>
    <w:rsid w:val="00240A85"/>
    <w:rsid w:val="00241583"/>
    <w:rsid w:val="00241A35"/>
    <w:rsid w:val="00243E01"/>
    <w:rsid w:val="0025091F"/>
    <w:rsid w:val="00251AD1"/>
    <w:rsid w:val="00253E4F"/>
    <w:rsid w:val="002564C7"/>
    <w:rsid w:val="00256C0B"/>
    <w:rsid w:val="00260D1D"/>
    <w:rsid w:val="00263BD7"/>
    <w:rsid w:val="00265A70"/>
    <w:rsid w:val="00266043"/>
    <w:rsid w:val="00267600"/>
    <w:rsid w:val="002724D3"/>
    <w:rsid w:val="00272799"/>
    <w:rsid w:val="00272C8F"/>
    <w:rsid w:val="00275F72"/>
    <w:rsid w:val="00277AF9"/>
    <w:rsid w:val="00280971"/>
    <w:rsid w:val="00281359"/>
    <w:rsid w:val="00281441"/>
    <w:rsid w:val="002836C0"/>
    <w:rsid w:val="00283E5A"/>
    <w:rsid w:val="002903FF"/>
    <w:rsid w:val="002906A6"/>
    <w:rsid w:val="00295867"/>
    <w:rsid w:val="002958DD"/>
    <w:rsid w:val="002A1EAB"/>
    <w:rsid w:val="002A3B99"/>
    <w:rsid w:val="002A45D9"/>
    <w:rsid w:val="002A5830"/>
    <w:rsid w:val="002A5B20"/>
    <w:rsid w:val="002A7F59"/>
    <w:rsid w:val="002B271E"/>
    <w:rsid w:val="002B2926"/>
    <w:rsid w:val="002B380D"/>
    <w:rsid w:val="002C38DF"/>
    <w:rsid w:val="002C49FF"/>
    <w:rsid w:val="002C5EC3"/>
    <w:rsid w:val="002C6284"/>
    <w:rsid w:val="002C6F57"/>
    <w:rsid w:val="002D040D"/>
    <w:rsid w:val="002D1BF6"/>
    <w:rsid w:val="002D321E"/>
    <w:rsid w:val="002D731F"/>
    <w:rsid w:val="002E14FD"/>
    <w:rsid w:val="002E7BC6"/>
    <w:rsid w:val="00300B09"/>
    <w:rsid w:val="0030369C"/>
    <w:rsid w:val="00307330"/>
    <w:rsid w:val="00307640"/>
    <w:rsid w:val="003102E2"/>
    <w:rsid w:val="003136F0"/>
    <w:rsid w:val="00316D1C"/>
    <w:rsid w:val="00317650"/>
    <w:rsid w:val="00320C22"/>
    <w:rsid w:val="00320FD8"/>
    <w:rsid w:val="0032154F"/>
    <w:rsid w:val="00321B16"/>
    <w:rsid w:val="00323A92"/>
    <w:rsid w:val="003313C7"/>
    <w:rsid w:val="00336E3D"/>
    <w:rsid w:val="0034098D"/>
    <w:rsid w:val="00342554"/>
    <w:rsid w:val="00344422"/>
    <w:rsid w:val="00344D6C"/>
    <w:rsid w:val="0034606C"/>
    <w:rsid w:val="00350147"/>
    <w:rsid w:val="00350EED"/>
    <w:rsid w:val="00352E70"/>
    <w:rsid w:val="0035520B"/>
    <w:rsid w:val="00355690"/>
    <w:rsid w:val="0035580A"/>
    <w:rsid w:val="00356BE6"/>
    <w:rsid w:val="003605E2"/>
    <w:rsid w:val="003615F4"/>
    <w:rsid w:val="00365AA5"/>
    <w:rsid w:val="003661BB"/>
    <w:rsid w:val="00374077"/>
    <w:rsid w:val="00374807"/>
    <w:rsid w:val="00380EAE"/>
    <w:rsid w:val="00380FF8"/>
    <w:rsid w:val="0038236F"/>
    <w:rsid w:val="00385688"/>
    <w:rsid w:val="003870D6"/>
    <w:rsid w:val="003918A9"/>
    <w:rsid w:val="00393779"/>
    <w:rsid w:val="00394E64"/>
    <w:rsid w:val="0039778B"/>
    <w:rsid w:val="003A0898"/>
    <w:rsid w:val="003A191E"/>
    <w:rsid w:val="003A1D6D"/>
    <w:rsid w:val="003A2198"/>
    <w:rsid w:val="003A41F0"/>
    <w:rsid w:val="003B048D"/>
    <w:rsid w:val="003B1670"/>
    <w:rsid w:val="003B2C71"/>
    <w:rsid w:val="003B475D"/>
    <w:rsid w:val="003B726B"/>
    <w:rsid w:val="003B7788"/>
    <w:rsid w:val="003C0238"/>
    <w:rsid w:val="003C3086"/>
    <w:rsid w:val="003C4221"/>
    <w:rsid w:val="003C44B8"/>
    <w:rsid w:val="003C4B4C"/>
    <w:rsid w:val="003C5E03"/>
    <w:rsid w:val="003D1A40"/>
    <w:rsid w:val="003D1BB0"/>
    <w:rsid w:val="003D3E82"/>
    <w:rsid w:val="003D47B7"/>
    <w:rsid w:val="003E1670"/>
    <w:rsid w:val="003E29C2"/>
    <w:rsid w:val="003E2DD2"/>
    <w:rsid w:val="003E33C6"/>
    <w:rsid w:val="003E6F9C"/>
    <w:rsid w:val="003F47EB"/>
    <w:rsid w:val="003F482A"/>
    <w:rsid w:val="003F7E24"/>
    <w:rsid w:val="004011E9"/>
    <w:rsid w:val="00402C71"/>
    <w:rsid w:val="00405E81"/>
    <w:rsid w:val="0041041B"/>
    <w:rsid w:val="00410AC5"/>
    <w:rsid w:val="004139D5"/>
    <w:rsid w:val="00417794"/>
    <w:rsid w:val="00417A05"/>
    <w:rsid w:val="00423515"/>
    <w:rsid w:val="00424488"/>
    <w:rsid w:val="0043005F"/>
    <w:rsid w:val="00430E02"/>
    <w:rsid w:val="00431D8F"/>
    <w:rsid w:val="00433A43"/>
    <w:rsid w:val="00435B0C"/>
    <w:rsid w:val="004366C4"/>
    <w:rsid w:val="00437F75"/>
    <w:rsid w:val="0044246D"/>
    <w:rsid w:val="00442A62"/>
    <w:rsid w:val="00442D26"/>
    <w:rsid w:val="004451D2"/>
    <w:rsid w:val="00445557"/>
    <w:rsid w:val="00447815"/>
    <w:rsid w:val="004508BD"/>
    <w:rsid w:val="00453CCC"/>
    <w:rsid w:val="00453E84"/>
    <w:rsid w:val="00461AAD"/>
    <w:rsid w:val="00461ABF"/>
    <w:rsid w:val="00463520"/>
    <w:rsid w:val="00467EEB"/>
    <w:rsid w:val="00470B65"/>
    <w:rsid w:val="00471609"/>
    <w:rsid w:val="00473736"/>
    <w:rsid w:val="00474462"/>
    <w:rsid w:val="00474BAC"/>
    <w:rsid w:val="00476758"/>
    <w:rsid w:val="00477936"/>
    <w:rsid w:val="00477E89"/>
    <w:rsid w:val="00480E61"/>
    <w:rsid w:val="00482B29"/>
    <w:rsid w:val="00484D7A"/>
    <w:rsid w:val="00490A2B"/>
    <w:rsid w:val="004948C8"/>
    <w:rsid w:val="00495B56"/>
    <w:rsid w:val="0049684E"/>
    <w:rsid w:val="004A3EE0"/>
    <w:rsid w:val="004A539E"/>
    <w:rsid w:val="004A6B37"/>
    <w:rsid w:val="004B1C13"/>
    <w:rsid w:val="004B1DF7"/>
    <w:rsid w:val="004B2962"/>
    <w:rsid w:val="004B3A57"/>
    <w:rsid w:val="004B5E14"/>
    <w:rsid w:val="004B7032"/>
    <w:rsid w:val="004C052B"/>
    <w:rsid w:val="004C2D3F"/>
    <w:rsid w:val="004C4203"/>
    <w:rsid w:val="004D5D3B"/>
    <w:rsid w:val="004D6444"/>
    <w:rsid w:val="004D6FED"/>
    <w:rsid w:val="004D7324"/>
    <w:rsid w:val="004D7FE7"/>
    <w:rsid w:val="004E0FAC"/>
    <w:rsid w:val="004E11AD"/>
    <w:rsid w:val="004E15D5"/>
    <w:rsid w:val="004E1AC4"/>
    <w:rsid w:val="004E4D2A"/>
    <w:rsid w:val="004E4F70"/>
    <w:rsid w:val="004E545F"/>
    <w:rsid w:val="004E7333"/>
    <w:rsid w:val="004F435F"/>
    <w:rsid w:val="004F461F"/>
    <w:rsid w:val="004F6F7B"/>
    <w:rsid w:val="004F6FED"/>
    <w:rsid w:val="004F70C8"/>
    <w:rsid w:val="004F7282"/>
    <w:rsid w:val="00500216"/>
    <w:rsid w:val="005002D9"/>
    <w:rsid w:val="005041B2"/>
    <w:rsid w:val="005053ED"/>
    <w:rsid w:val="00506713"/>
    <w:rsid w:val="005076CE"/>
    <w:rsid w:val="00510928"/>
    <w:rsid w:val="005115AE"/>
    <w:rsid w:val="00511751"/>
    <w:rsid w:val="00511888"/>
    <w:rsid w:val="00511F3A"/>
    <w:rsid w:val="005131BD"/>
    <w:rsid w:val="00515CA1"/>
    <w:rsid w:val="00516842"/>
    <w:rsid w:val="00520BAD"/>
    <w:rsid w:val="00521F27"/>
    <w:rsid w:val="00523596"/>
    <w:rsid w:val="00523E3E"/>
    <w:rsid w:val="00527AA0"/>
    <w:rsid w:val="005360C4"/>
    <w:rsid w:val="00536DEF"/>
    <w:rsid w:val="00537933"/>
    <w:rsid w:val="00540C12"/>
    <w:rsid w:val="00544633"/>
    <w:rsid w:val="00550ACC"/>
    <w:rsid w:val="005537B1"/>
    <w:rsid w:val="00557A82"/>
    <w:rsid w:val="005618A8"/>
    <w:rsid w:val="0056407F"/>
    <w:rsid w:val="005647E6"/>
    <w:rsid w:val="005653BE"/>
    <w:rsid w:val="00566515"/>
    <w:rsid w:val="00567E8F"/>
    <w:rsid w:val="005740CA"/>
    <w:rsid w:val="0057516D"/>
    <w:rsid w:val="0057679B"/>
    <w:rsid w:val="00576E21"/>
    <w:rsid w:val="00577C06"/>
    <w:rsid w:val="00580EB4"/>
    <w:rsid w:val="0058142F"/>
    <w:rsid w:val="005856FE"/>
    <w:rsid w:val="00591EEC"/>
    <w:rsid w:val="00593630"/>
    <w:rsid w:val="0059396B"/>
    <w:rsid w:val="0059671B"/>
    <w:rsid w:val="005A0CCF"/>
    <w:rsid w:val="005A6913"/>
    <w:rsid w:val="005A703D"/>
    <w:rsid w:val="005B1403"/>
    <w:rsid w:val="005B2F0B"/>
    <w:rsid w:val="005B4CCE"/>
    <w:rsid w:val="005B5829"/>
    <w:rsid w:val="005B6935"/>
    <w:rsid w:val="005C2662"/>
    <w:rsid w:val="005C598B"/>
    <w:rsid w:val="005D028A"/>
    <w:rsid w:val="005D2A86"/>
    <w:rsid w:val="005E01EC"/>
    <w:rsid w:val="005E0B21"/>
    <w:rsid w:val="005E0F9E"/>
    <w:rsid w:val="005E234D"/>
    <w:rsid w:val="005E2B4F"/>
    <w:rsid w:val="005E3BC3"/>
    <w:rsid w:val="005E65C0"/>
    <w:rsid w:val="005E6750"/>
    <w:rsid w:val="005E6E86"/>
    <w:rsid w:val="005E76E1"/>
    <w:rsid w:val="005F0F22"/>
    <w:rsid w:val="005F2943"/>
    <w:rsid w:val="005F299E"/>
    <w:rsid w:val="005F2D0C"/>
    <w:rsid w:val="005F5026"/>
    <w:rsid w:val="00603006"/>
    <w:rsid w:val="00603816"/>
    <w:rsid w:val="00603F97"/>
    <w:rsid w:val="006043A1"/>
    <w:rsid w:val="00605CC6"/>
    <w:rsid w:val="0061117B"/>
    <w:rsid w:val="0061511B"/>
    <w:rsid w:val="0061790A"/>
    <w:rsid w:val="0062278C"/>
    <w:rsid w:val="0062496C"/>
    <w:rsid w:val="00625C94"/>
    <w:rsid w:val="006264F9"/>
    <w:rsid w:val="00627994"/>
    <w:rsid w:val="006311ED"/>
    <w:rsid w:val="006325FF"/>
    <w:rsid w:val="006376AD"/>
    <w:rsid w:val="006378C6"/>
    <w:rsid w:val="00642D75"/>
    <w:rsid w:val="006452DE"/>
    <w:rsid w:val="00651FBF"/>
    <w:rsid w:val="00652790"/>
    <w:rsid w:val="00654138"/>
    <w:rsid w:val="006541F6"/>
    <w:rsid w:val="006556BE"/>
    <w:rsid w:val="00655C4D"/>
    <w:rsid w:val="00656DDC"/>
    <w:rsid w:val="00656E70"/>
    <w:rsid w:val="0065778F"/>
    <w:rsid w:val="006628CA"/>
    <w:rsid w:val="00662F0C"/>
    <w:rsid w:val="00663FD8"/>
    <w:rsid w:val="00666B9F"/>
    <w:rsid w:val="00667DCC"/>
    <w:rsid w:val="00670AB1"/>
    <w:rsid w:val="0067208A"/>
    <w:rsid w:val="00681F7E"/>
    <w:rsid w:val="00683661"/>
    <w:rsid w:val="00685DC2"/>
    <w:rsid w:val="006955BE"/>
    <w:rsid w:val="00696337"/>
    <w:rsid w:val="00696410"/>
    <w:rsid w:val="006A0372"/>
    <w:rsid w:val="006A0791"/>
    <w:rsid w:val="006A2EE1"/>
    <w:rsid w:val="006A36B8"/>
    <w:rsid w:val="006A4BA5"/>
    <w:rsid w:val="006A540F"/>
    <w:rsid w:val="006C7BB5"/>
    <w:rsid w:val="006D030C"/>
    <w:rsid w:val="006D1314"/>
    <w:rsid w:val="006D211A"/>
    <w:rsid w:val="006D2234"/>
    <w:rsid w:val="006D2BA9"/>
    <w:rsid w:val="006D57F9"/>
    <w:rsid w:val="006D7A0F"/>
    <w:rsid w:val="006E1F6D"/>
    <w:rsid w:val="006E2851"/>
    <w:rsid w:val="006E3588"/>
    <w:rsid w:val="006E73B3"/>
    <w:rsid w:val="006E74BB"/>
    <w:rsid w:val="006F0361"/>
    <w:rsid w:val="006F0AEA"/>
    <w:rsid w:val="006F0BBB"/>
    <w:rsid w:val="006F2C13"/>
    <w:rsid w:val="006F5A18"/>
    <w:rsid w:val="00701D09"/>
    <w:rsid w:val="00702E19"/>
    <w:rsid w:val="00704510"/>
    <w:rsid w:val="00706778"/>
    <w:rsid w:val="00714AE2"/>
    <w:rsid w:val="00720FB8"/>
    <w:rsid w:val="00722189"/>
    <w:rsid w:val="00724026"/>
    <w:rsid w:val="00724B52"/>
    <w:rsid w:val="00725498"/>
    <w:rsid w:val="007273C0"/>
    <w:rsid w:val="00733D52"/>
    <w:rsid w:val="00735807"/>
    <w:rsid w:val="00737588"/>
    <w:rsid w:val="00740D70"/>
    <w:rsid w:val="00740DEC"/>
    <w:rsid w:val="0074570B"/>
    <w:rsid w:val="007520A0"/>
    <w:rsid w:val="00752342"/>
    <w:rsid w:val="00756C50"/>
    <w:rsid w:val="0076078B"/>
    <w:rsid w:val="00761216"/>
    <w:rsid w:val="00763666"/>
    <w:rsid w:val="00764514"/>
    <w:rsid w:val="00770873"/>
    <w:rsid w:val="00771218"/>
    <w:rsid w:val="007727F0"/>
    <w:rsid w:val="007763F6"/>
    <w:rsid w:val="0078152E"/>
    <w:rsid w:val="00781557"/>
    <w:rsid w:val="00784494"/>
    <w:rsid w:val="00785335"/>
    <w:rsid w:val="0079367C"/>
    <w:rsid w:val="00795182"/>
    <w:rsid w:val="00795923"/>
    <w:rsid w:val="0079742A"/>
    <w:rsid w:val="007A000D"/>
    <w:rsid w:val="007A0A3E"/>
    <w:rsid w:val="007A1EAE"/>
    <w:rsid w:val="007A2533"/>
    <w:rsid w:val="007A3997"/>
    <w:rsid w:val="007A3F8B"/>
    <w:rsid w:val="007A4940"/>
    <w:rsid w:val="007A5906"/>
    <w:rsid w:val="007B072D"/>
    <w:rsid w:val="007B2119"/>
    <w:rsid w:val="007B28CA"/>
    <w:rsid w:val="007B437D"/>
    <w:rsid w:val="007B5029"/>
    <w:rsid w:val="007B5C06"/>
    <w:rsid w:val="007B6A52"/>
    <w:rsid w:val="007B70BF"/>
    <w:rsid w:val="007C5C8B"/>
    <w:rsid w:val="007D31DF"/>
    <w:rsid w:val="007D774F"/>
    <w:rsid w:val="007E0A5F"/>
    <w:rsid w:val="007E13AB"/>
    <w:rsid w:val="007E1417"/>
    <w:rsid w:val="007E5FDD"/>
    <w:rsid w:val="007E647D"/>
    <w:rsid w:val="007F3162"/>
    <w:rsid w:val="007F33AD"/>
    <w:rsid w:val="007F4940"/>
    <w:rsid w:val="007F5494"/>
    <w:rsid w:val="007F6043"/>
    <w:rsid w:val="007F6858"/>
    <w:rsid w:val="007F7794"/>
    <w:rsid w:val="0080019A"/>
    <w:rsid w:val="008036BB"/>
    <w:rsid w:val="008052C8"/>
    <w:rsid w:val="00807B7E"/>
    <w:rsid w:val="00811895"/>
    <w:rsid w:val="008139BD"/>
    <w:rsid w:val="00814E6A"/>
    <w:rsid w:val="00814F58"/>
    <w:rsid w:val="00816ABB"/>
    <w:rsid w:val="0082033F"/>
    <w:rsid w:val="00821530"/>
    <w:rsid w:val="008238B8"/>
    <w:rsid w:val="008240AB"/>
    <w:rsid w:val="00824C83"/>
    <w:rsid w:val="00825BC3"/>
    <w:rsid w:val="00827E74"/>
    <w:rsid w:val="00831ABE"/>
    <w:rsid w:val="00831BFC"/>
    <w:rsid w:val="00831ED1"/>
    <w:rsid w:val="00833387"/>
    <w:rsid w:val="00835C37"/>
    <w:rsid w:val="00835D4D"/>
    <w:rsid w:val="008372BA"/>
    <w:rsid w:val="00837737"/>
    <w:rsid w:val="008441AF"/>
    <w:rsid w:val="008469ED"/>
    <w:rsid w:val="00847701"/>
    <w:rsid w:val="00850A2B"/>
    <w:rsid w:val="008534C2"/>
    <w:rsid w:val="00853923"/>
    <w:rsid w:val="00856159"/>
    <w:rsid w:val="00856590"/>
    <w:rsid w:val="00860C52"/>
    <w:rsid w:val="00864F17"/>
    <w:rsid w:val="008651D3"/>
    <w:rsid w:val="0086641B"/>
    <w:rsid w:val="008673D6"/>
    <w:rsid w:val="00867454"/>
    <w:rsid w:val="00867A03"/>
    <w:rsid w:val="008704BD"/>
    <w:rsid w:val="008749E1"/>
    <w:rsid w:val="00876B5C"/>
    <w:rsid w:val="00876E76"/>
    <w:rsid w:val="00877248"/>
    <w:rsid w:val="008915A3"/>
    <w:rsid w:val="00893DFA"/>
    <w:rsid w:val="0089533F"/>
    <w:rsid w:val="00895914"/>
    <w:rsid w:val="008A4002"/>
    <w:rsid w:val="008A59FA"/>
    <w:rsid w:val="008A5FC7"/>
    <w:rsid w:val="008B362A"/>
    <w:rsid w:val="008B4E45"/>
    <w:rsid w:val="008B5BA1"/>
    <w:rsid w:val="008B5C00"/>
    <w:rsid w:val="008B64E9"/>
    <w:rsid w:val="008C1229"/>
    <w:rsid w:val="008C12E2"/>
    <w:rsid w:val="008C3931"/>
    <w:rsid w:val="008C482B"/>
    <w:rsid w:val="008C4B10"/>
    <w:rsid w:val="008D25A3"/>
    <w:rsid w:val="008D41C8"/>
    <w:rsid w:val="008D5D31"/>
    <w:rsid w:val="008D61E5"/>
    <w:rsid w:val="008D7907"/>
    <w:rsid w:val="008D7E5D"/>
    <w:rsid w:val="008E2867"/>
    <w:rsid w:val="008E3DDC"/>
    <w:rsid w:val="008E5589"/>
    <w:rsid w:val="008E65AD"/>
    <w:rsid w:val="008E7B21"/>
    <w:rsid w:val="008E7DB0"/>
    <w:rsid w:val="008F220E"/>
    <w:rsid w:val="008F557E"/>
    <w:rsid w:val="00900ACD"/>
    <w:rsid w:val="00901944"/>
    <w:rsid w:val="00902F55"/>
    <w:rsid w:val="009041C9"/>
    <w:rsid w:val="00911BA8"/>
    <w:rsid w:val="009120B1"/>
    <w:rsid w:val="009124AB"/>
    <w:rsid w:val="00914A24"/>
    <w:rsid w:val="00916FA1"/>
    <w:rsid w:val="009211A4"/>
    <w:rsid w:val="00922604"/>
    <w:rsid w:val="0092443C"/>
    <w:rsid w:val="00925A4E"/>
    <w:rsid w:val="0092754A"/>
    <w:rsid w:val="00932C05"/>
    <w:rsid w:val="00933F07"/>
    <w:rsid w:val="00936876"/>
    <w:rsid w:val="00940CF2"/>
    <w:rsid w:val="009427A8"/>
    <w:rsid w:val="0094293D"/>
    <w:rsid w:val="00943123"/>
    <w:rsid w:val="00943FA6"/>
    <w:rsid w:val="0094518B"/>
    <w:rsid w:val="0094721A"/>
    <w:rsid w:val="00951DFD"/>
    <w:rsid w:val="00952B59"/>
    <w:rsid w:val="00953966"/>
    <w:rsid w:val="00954655"/>
    <w:rsid w:val="0095595A"/>
    <w:rsid w:val="009560A8"/>
    <w:rsid w:val="0095611D"/>
    <w:rsid w:val="0095615D"/>
    <w:rsid w:val="00956DBD"/>
    <w:rsid w:val="0096042E"/>
    <w:rsid w:val="009604A2"/>
    <w:rsid w:val="0096404C"/>
    <w:rsid w:val="00970F02"/>
    <w:rsid w:val="0097407E"/>
    <w:rsid w:val="00977956"/>
    <w:rsid w:val="00977EF3"/>
    <w:rsid w:val="00980A06"/>
    <w:rsid w:val="00981CE5"/>
    <w:rsid w:val="00985789"/>
    <w:rsid w:val="009913F4"/>
    <w:rsid w:val="00992B01"/>
    <w:rsid w:val="00994604"/>
    <w:rsid w:val="0099527A"/>
    <w:rsid w:val="009A1C1E"/>
    <w:rsid w:val="009A33EA"/>
    <w:rsid w:val="009A3D92"/>
    <w:rsid w:val="009A3DE4"/>
    <w:rsid w:val="009A4FA8"/>
    <w:rsid w:val="009B6700"/>
    <w:rsid w:val="009C00A8"/>
    <w:rsid w:val="009C2C83"/>
    <w:rsid w:val="009C7158"/>
    <w:rsid w:val="009C7963"/>
    <w:rsid w:val="009D169A"/>
    <w:rsid w:val="009D5527"/>
    <w:rsid w:val="009D56C9"/>
    <w:rsid w:val="009D77DA"/>
    <w:rsid w:val="009E23A4"/>
    <w:rsid w:val="009E4357"/>
    <w:rsid w:val="009E5DA2"/>
    <w:rsid w:val="009E70D8"/>
    <w:rsid w:val="009E7A84"/>
    <w:rsid w:val="009F08CD"/>
    <w:rsid w:val="009F0B12"/>
    <w:rsid w:val="009F3500"/>
    <w:rsid w:val="009F6163"/>
    <w:rsid w:val="009F6ACA"/>
    <w:rsid w:val="009F7232"/>
    <w:rsid w:val="00A0006E"/>
    <w:rsid w:val="00A00262"/>
    <w:rsid w:val="00A03FB1"/>
    <w:rsid w:val="00A04DDE"/>
    <w:rsid w:val="00A07A74"/>
    <w:rsid w:val="00A107EA"/>
    <w:rsid w:val="00A14750"/>
    <w:rsid w:val="00A148AF"/>
    <w:rsid w:val="00A14D06"/>
    <w:rsid w:val="00A15ED1"/>
    <w:rsid w:val="00A21AF8"/>
    <w:rsid w:val="00A2424E"/>
    <w:rsid w:val="00A24545"/>
    <w:rsid w:val="00A25B11"/>
    <w:rsid w:val="00A25F79"/>
    <w:rsid w:val="00A26216"/>
    <w:rsid w:val="00A302B5"/>
    <w:rsid w:val="00A318BC"/>
    <w:rsid w:val="00A31FDF"/>
    <w:rsid w:val="00A33D3C"/>
    <w:rsid w:val="00A34D78"/>
    <w:rsid w:val="00A35397"/>
    <w:rsid w:val="00A37420"/>
    <w:rsid w:val="00A376D2"/>
    <w:rsid w:val="00A40169"/>
    <w:rsid w:val="00A42E1C"/>
    <w:rsid w:val="00A456D5"/>
    <w:rsid w:val="00A53355"/>
    <w:rsid w:val="00A547E0"/>
    <w:rsid w:val="00A54CEF"/>
    <w:rsid w:val="00A552E0"/>
    <w:rsid w:val="00A6317D"/>
    <w:rsid w:val="00A64D91"/>
    <w:rsid w:val="00A663A8"/>
    <w:rsid w:val="00A70D80"/>
    <w:rsid w:val="00A71C07"/>
    <w:rsid w:val="00A73210"/>
    <w:rsid w:val="00A82999"/>
    <w:rsid w:val="00A82CF0"/>
    <w:rsid w:val="00A830DE"/>
    <w:rsid w:val="00A83AF8"/>
    <w:rsid w:val="00A83D0B"/>
    <w:rsid w:val="00A855AD"/>
    <w:rsid w:val="00A86674"/>
    <w:rsid w:val="00A86F54"/>
    <w:rsid w:val="00A86F8E"/>
    <w:rsid w:val="00A9026F"/>
    <w:rsid w:val="00A923EF"/>
    <w:rsid w:val="00A96F1B"/>
    <w:rsid w:val="00AA113D"/>
    <w:rsid w:val="00AA3EB6"/>
    <w:rsid w:val="00AA484F"/>
    <w:rsid w:val="00AA6216"/>
    <w:rsid w:val="00AB2828"/>
    <w:rsid w:val="00AB3731"/>
    <w:rsid w:val="00AB54A9"/>
    <w:rsid w:val="00AB687E"/>
    <w:rsid w:val="00AC7A07"/>
    <w:rsid w:val="00AD042C"/>
    <w:rsid w:val="00AD7B5A"/>
    <w:rsid w:val="00AE185A"/>
    <w:rsid w:val="00AE3E7E"/>
    <w:rsid w:val="00AE544D"/>
    <w:rsid w:val="00AE549B"/>
    <w:rsid w:val="00AE6E4B"/>
    <w:rsid w:val="00AF174D"/>
    <w:rsid w:val="00AF7C2C"/>
    <w:rsid w:val="00B02B73"/>
    <w:rsid w:val="00B04197"/>
    <w:rsid w:val="00B0556E"/>
    <w:rsid w:val="00B066EB"/>
    <w:rsid w:val="00B21906"/>
    <w:rsid w:val="00B2190B"/>
    <w:rsid w:val="00B21BAB"/>
    <w:rsid w:val="00B21CCF"/>
    <w:rsid w:val="00B23461"/>
    <w:rsid w:val="00B309C7"/>
    <w:rsid w:val="00B311A8"/>
    <w:rsid w:val="00B311E2"/>
    <w:rsid w:val="00B3125C"/>
    <w:rsid w:val="00B319EF"/>
    <w:rsid w:val="00B34081"/>
    <w:rsid w:val="00B34E5D"/>
    <w:rsid w:val="00B35578"/>
    <w:rsid w:val="00B364EE"/>
    <w:rsid w:val="00B37770"/>
    <w:rsid w:val="00B44F4A"/>
    <w:rsid w:val="00B51CFF"/>
    <w:rsid w:val="00B63043"/>
    <w:rsid w:val="00B649EC"/>
    <w:rsid w:val="00B65AF3"/>
    <w:rsid w:val="00B675CB"/>
    <w:rsid w:val="00B70015"/>
    <w:rsid w:val="00B7136D"/>
    <w:rsid w:val="00B72311"/>
    <w:rsid w:val="00B728E6"/>
    <w:rsid w:val="00B737B3"/>
    <w:rsid w:val="00B752B1"/>
    <w:rsid w:val="00B777D9"/>
    <w:rsid w:val="00B8077C"/>
    <w:rsid w:val="00B8146D"/>
    <w:rsid w:val="00B81B2D"/>
    <w:rsid w:val="00B825DC"/>
    <w:rsid w:val="00B840F2"/>
    <w:rsid w:val="00B85295"/>
    <w:rsid w:val="00B85A3D"/>
    <w:rsid w:val="00B85AC6"/>
    <w:rsid w:val="00B9033C"/>
    <w:rsid w:val="00B9384E"/>
    <w:rsid w:val="00B96632"/>
    <w:rsid w:val="00B978B1"/>
    <w:rsid w:val="00BA0568"/>
    <w:rsid w:val="00BA07F5"/>
    <w:rsid w:val="00BA1362"/>
    <w:rsid w:val="00BA5BF1"/>
    <w:rsid w:val="00BA7CF9"/>
    <w:rsid w:val="00BB2207"/>
    <w:rsid w:val="00BB55E0"/>
    <w:rsid w:val="00BC0BFD"/>
    <w:rsid w:val="00BC1BEA"/>
    <w:rsid w:val="00BC2474"/>
    <w:rsid w:val="00BD1A1C"/>
    <w:rsid w:val="00BD2960"/>
    <w:rsid w:val="00BD2E4B"/>
    <w:rsid w:val="00BD339D"/>
    <w:rsid w:val="00BD45DD"/>
    <w:rsid w:val="00BD6EDF"/>
    <w:rsid w:val="00BE0165"/>
    <w:rsid w:val="00BE4597"/>
    <w:rsid w:val="00BE51C5"/>
    <w:rsid w:val="00BF0A9C"/>
    <w:rsid w:val="00BF0BB4"/>
    <w:rsid w:val="00BF3402"/>
    <w:rsid w:val="00BF4DCE"/>
    <w:rsid w:val="00BF65EE"/>
    <w:rsid w:val="00C0321A"/>
    <w:rsid w:val="00C128C0"/>
    <w:rsid w:val="00C15793"/>
    <w:rsid w:val="00C15B62"/>
    <w:rsid w:val="00C21D46"/>
    <w:rsid w:val="00C225DB"/>
    <w:rsid w:val="00C22A63"/>
    <w:rsid w:val="00C22B93"/>
    <w:rsid w:val="00C30710"/>
    <w:rsid w:val="00C32BC0"/>
    <w:rsid w:val="00C35591"/>
    <w:rsid w:val="00C35EDF"/>
    <w:rsid w:val="00C37A02"/>
    <w:rsid w:val="00C41201"/>
    <w:rsid w:val="00C42AAD"/>
    <w:rsid w:val="00C43C0D"/>
    <w:rsid w:val="00C468EC"/>
    <w:rsid w:val="00C52966"/>
    <w:rsid w:val="00C537AA"/>
    <w:rsid w:val="00C541F3"/>
    <w:rsid w:val="00C54E9E"/>
    <w:rsid w:val="00C55143"/>
    <w:rsid w:val="00C55A49"/>
    <w:rsid w:val="00C5660D"/>
    <w:rsid w:val="00C70198"/>
    <w:rsid w:val="00C736C2"/>
    <w:rsid w:val="00C803C4"/>
    <w:rsid w:val="00C816A5"/>
    <w:rsid w:val="00C82392"/>
    <w:rsid w:val="00C870BD"/>
    <w:rsid w:val="00C87419"/>
    <w:rsid w:val="00C8777B"/>
    <w:rsid w:val="00C87BAE"/>
    <w:rsid w:val="00C9196E"/>
    <w:rsid w:val="00C9283D"/>
    <w:rsid w:val="00C93704"/>
    <w:rsid w:val="00C9649F"/>
    <w:rsid w:val="00CA1F67"/>
    <w:rsid w:val="00CA3685"/>
    <w:rsid w:val="00CA445A"/>
    <w:rsid w:val="00CA6EBD"/>
    <w:rsid w:val="00CA7B71"/>
    <w:rsid w:val="00CB033E"/>
    <w:rsid w:val="00CB3EFD"/>
    <w:rsid w:val="00CB4011"/>
    <w:rsid w:val="00CB74EE"/>
    <w:rsid w:val="00CC0ED0"/>
    <w:rsid w:val="00CC2BB9"/>
    <w:rsid w:val="00CC6040"/>
    <w:rsid w:val="00CD17EC"/>
    <w:rsid w:val="00CE0F44"/>
    <w:rsid w:val="00CE181D"/>
    <w:rsid w:val="00CE2867"/>
    <w:rsid w:val="00CE338D"/>
    <w:rsid w:val="00CE4C1C"/>
    <w:rsid w:val="00CE69E0"/>
    <w:rsid w:val="00CE755D"/>
    <w:rsid w:val="00CF2533"/>
    <w:rsid w:val="00CF569C"/>
    <w:rsid w:val="00D03043"/>
    <w:rsid w:val="00D0356A"/>
    <w:rsid w:val="00D04412"/>
    <w:rsid w:val="00D04D31"/>
    <w:rsid w:val="00D0625E"/>
    <w:rsid w:val="00D11132"/>
    <w:rsid w:val="00D13827"/>
    <w:rsid w:val="00D14001"/>
    <w:rsid w:val="00D15BEF"/>
    <w:rsid w:val="00D17D8C"/>
    <w:rsid w:val="00D20153"/>
    <w:rsid w:val="00D21E2A"/>
    <w:rsid w:val="00D23F66"/>
    <w:rsid w:val="00D268E4"/>
    <w:rsid w:val="00D31437"/>
    <w:rsid w:val="00D318C5"/>
    <w:rsid w:val="00D3269D"/>
    <w:rsid w:val="00D327F8"/>
    <w:rsid w:val="00D37E99"/>
    <w:rsid w:val="00D415F5"/>
    <w:rsid w:val="00D431FF"/>
    <w:rsid w:val="00D4342E"/>
    <w:rsid w:val="00D449E3"/>
    <w:rsid w:val="00D47DA1"/>
    <w:rsid w:val="00D50E07"/>
    <w:rsid w:val="00D5393E"/>
    <w:rsid w:val="00D578AD"/>
    <w:rsid w:val="00D60AFB"/>
    <w:rsid w:val="00D61EE4"/>
    <w:rsid w:val="00D62301"/>
    <w:rsid w:val="00D63AB1"/>
    <w:rsid w:val="00D647D7"/>
    <w:rsid w:val="00D65163"/>
    <w:rsid w:val="00D657D4"/>
    <w:rsid w:val="00D6593E"/>
    <w:rsid w:val="00D65A37"/>
    <w:rsid w:val="00D65AE8"/>
    <w:rsid w:val="00D65C7C"/>
    <w:rsid w:val="00D70ADA"/>
    <w:rsid w:val="00D714CD"/>
    <w:rsid w:val="00D73EAA"/>
    <w:rsid w:val="00D73FDB"/>
    <w:rsid w:val="00D75F25"/>
    <w:rsid w:val="00D75FBE"/>
    <w:rsid w:val="00D842FF"/>
    <w:rsid w:val="00D84D16"/>
    <w:rsid w:val="00D86A72"/>
    <w:rsid w:val="00D8768F"/>
    <w:rsid w:val="00D90ABC"/>
    <w:rsid w:val="00D91AF6"/>
    <w:rsid w:val="00D91C03"/>
    <w:rsid w:val="00D940E4"/>
    <w:rsid w:val="00D9443A"/>
    <w:rsid w:val="00D95E6D"/>
    <w:rsid w:val="00D96689"/>
    <w:rsid w:val="00DA0253"/>
    <w:rsid w:val="00DA4064"/>
    <w:rsid w:val="00DA50BE"/>
    <w:rsid w:val="00DA596A"/>
    <w:rsid w:val="00DA6108"/>
    <w:rsid w:val="00DA7880"/>
    <w:rsid w:val="00DB3236"/>
    <w:rsid w:val="00DB3543"/>
    <w:rsid w:val="00DB3685"/>
    <w:rsid w:val="00DB6CAD"/>
    <w:rsid w:val="00DB716F"/>
    <w:rsid w:val="00DB723D"/>
    <w:rsid w:val="00DC0CFA"/>
    <w:rsid w:val="00DC3708"/>
    <w:rsid w:val="00DC3D52"/>
    <w:rsid w:val="00DC7D17"/>
    <w:rsid w:val="00DC7E1D"/>
    <w:rsid w:val="00DD179D"/>
    <w:rsid w:val="00DD31F2"/>
    <w:rsid w:val="00DD350A"/>
    <w:rsid w:val="00DD6636"/>
    <w:rsid w:val="00DE0A30"/>
    <w:rsid w:val="00DE2031"/>
    <w:rsid w:val="00DE2953"/>
    <w:rsid w:val="00DE536B"/>
    <w:rsid w:val="00DE5FA3"/>
    <w:rsid w:val="00DF082C"/>
    <w:rsid w:val="00DF1DDB"/>
    <w:rsid w:val="00DF24D6"/>
    <w:rsid w:val="00DF2677"/>
    <w:rsid w:val="00DF2FEF"/>
    <w:rsid w:val="00DF4596"/>
    <w:rsid w:val="00DF6ABB"/>
    <w:rsid w:val="00E000E9"/>
    <w:rsid w:val="00E04002"/>
    <w:rsid w:val="00E05BA6"/>
    <w:rsid w:val="00E06E80"/>
    <w:rsid w:val="00E073D3"/>
    <w:rsid w:val="00E1012C"/>
    <w:rsid w:val="00E115F3"/>
    <w:rsid w:val="00E1385E"/>
    <w:rsid w:val="00E17897"/>
    <w:rsid w:val="00E20B74"/>
    <w:rsid w:val="00E20D98"/>
    <w:rsid w:val="00E215FB"/>
    <w:rsid w:val="00E21994"/>
    <w:rsid w:val="00E23D2F"/>
    <w:rsid w:val="00E26CEF"/>
    <w:rsid w:val="00E27EB0"/>
    <w:rsid w:val="00E3096C"/>
    <w:rsid w:val="00E30FB5"/>
    <w:rsid w:val="00E36B15"/>
    <w:rsid w:val="00E378FC"/>
    <w:rsid w:val="00E37AF8"/>
    <w:rsid w:val="00E4147B"/>
    <w:rsid w:val="00E41D0E"/>
    <w:rsid w:val="00E4462D"/>
    <w:rsid w:val="00E45AEC"/>
    <w:rsid w:val="00E45E45"/>
    <w:rsid w:val="00E4609C"/>
    <w:rsid w:val="00E52E68"/>
    <w:rsid w:val="00E5569F"/>
    <w:rsid w:val="00E56203"/>
    <w:rsid w:val="00E569AE"/>
    <w:rsid w:val="00E63B96"/>
    <w:rsid w:val="00E6459A"/>
    <w:rsid w:val="00E661BA"/>
    <w:rsid w:val="00E66958"/>
    <w:rsid w:val="00E762D9"/>
    <w:rsid w:val="00E82F16"/>
    <w:rsid w:val="00E85999"/>
    <w:rsid w:val="00E85C99"/>
    <w:rsid w:val="00E86357"/>
    <w:rsid w:val="00E86881"/>
    <w:rsid w:val="00E86C78"/>
    <w:rsid w:val="00E86E06"/>
    <w:rsid w:val="00E91556"/>
    <w:rsid w:val="00E922C3"/>
    <w:rsid w:val="00E94446"/>
    <w:rsid w:val="00E949D2"/>
    <w:rsid w:val="00E95574"/>
    <w:rsid w:val="00E97340"/>
    <w:rsid w:val="00E9742B"/>
    <w:rsid w:val="00EA28C5"/>
    <w:rsid w:val="00EA3249"/>
    <w:rsid w:val="00EA36BC"/>
    <w:rsid w:val="00EA40B7"/>
    <w:rsid w:val="00EB3CBB"/>
    <w:rsid w:val="00EB4D1F"/>
    <w:rsid w:val="00EB5135"/>
    <w:rsid w:val="00EB6CD8"/>
    <w:rsid w:val="00EB796A"/>
    <w:rsid w:val="00EC075D"/>
    <w:rsid w:val="00EC31F5"/>
    <w:rsid w:val="00EC64AE"/>
    <w:rsid w:val="00EC78D0"/>
    <w:rsid w:val="00EC79D6"/>
    <w:rsid w:val="00ED1D6F"/>
    <w:rsid w:val="00ED29BE"/>
    <w:rsid w:val="00ED39CE"/>
    <w:rsid w:val="00ED41B2"/>
    <w:rsid w:val="00ED48AA"/>
    <w:rsid w:val="00ED5B3C"/>
    <w:rsid w:val="00EE386B"/>
    <w:rsid w:val="00EE4496"/>
    <w:rsid w:val="00EE5CED"/>
    <w:rsid w:val="00EE709D"/>
    <w:rsid w:val="00EF0810"/>
    <w:rsid w:val="00EF114C"/>
    <w:rsid w:val="00EF4F88"/>
    <w:rsid w:val="00F004DD"/>
    <w:rsid w:val="00F034C1"/>
    <w:rsid w:val="00F05C7A"/>
    <w:rsid w:val="00F070FB"/>
    <w:rsid w:val="00F116C6"/>
    <w:rsid w:val="00F11925"/>
    <w:rsid w:val="00F14298"/>
    <w:rsid w:val="00F16F00"/>
    <w:rsid w:val="00F233E3"/>
    <w:rsid w:val="00F247AA"/>
    <w:rsid w:val="00F250FF"/>
    <w:rsid w:val="00F26002"/>
    <w:rsid w:val="00F26BDD"/>
    <w:rsid w:val="00F26ECA"/>
    <w:rsid w:val="00F31879"/>
    <w:rsid w:val="00F326F1"/>
    <w:rsid w:val="00F34E08"/>
    <w:rsid w:val="00F3564C"/>
    <w:rsid w:val="00F41FF7"/>
    <w:rsid w:val="00F4283D"/>
    <w:rsid w:val="00F47172"/>
    <w:rsid w:val="00F51E31"/>
    <w:rsid w:val="00F60AA5"/>
    <w:rsid w:val="00F628AD"/>
    <w:rsid w:val="00F64028"/>
    <w:rsid w:val="00F64FD4"/>
    <w:rsid w:val="00F66FE2"/>
    <w:rsid w:val="00F72889"/>
    <w:rsid w:val="00F74092"/>
    <w:rsid w:val="00F769D1"/>
    <w:rsid w:val="00F77A03"/>
    <w:rsid w:val="00F77C92"/>
    <w:rsid w:val="00F82893"/>
    <w:rsid w:val="00F83EC8"/>
    <w:rsid w:val="00F84FE7"/>
    <w:rsid w:val="00F877CD"/>
    <w:rsid w:val="00F950B9"/>
    <w:rsid w:val="00F9656D"/>
    <w:rsid w:val="00F966E9"/>
    <w:rsid w:val="00FA0D9E"/>
    <w:rsid w:val="00FA3D3F"/>
    <w:rsid w:val="00FA5EF5"/>
    <w:rsid w:val="00FA790C"/>
    <w:rsid w:val="00FA7C1F"/>
    <w:rsid w:val="00FA7F20"/>
    <w:rsid w:val="00FB0537"/>
    <w:rsid w:val="00FB0673"/>
    <w:rsid w:val="00FB1F8B"/>
    <w:rsid w:val="00FB200A"/>
    <w:rsid w:val="00FB2026"/>
    <w:rsid w:val="00FB3678"/>
    <w:rsid w:val="00FB3A51"/>
    <w:rsid w:val="00FB595B"/>
    <w:rsid w:val="00FB61CD"/>
    <w:rsid w:val="00FC007C"/>
    <w:rsid w:val="00FC11C9"/>
    <w:rsid w:val="00FC2DC9"/>
    <w:rsid w:val="00FC3EAE"/>
    <w:rsid w:val="00FC3F8A"/>
    <w:rsid w:val="00FC440F"/>
    <w:rsid w:val="00FC4426"/>
    <w:rsid w:val="00FC480F"/>
    <w:rsid w:val="00FC4E75"/>
    <w:rsid w:val="00FC602C"/>
    <w:rsid w:val="00FC6E77"/>
    <w:rsid w:val="00FC7A06"/>
    <w:rsid w:val="00FD2A54"/>
    <w:rsid w:val="00FD5463"/>
    <w:rsid w:val="00FD7878"/>
    <w:rsid w:val="00FE28CC"/>
    <w:rsid w:val="00FE3929"/>
    <w:rsid w:val="00FE4BF2"/>
    <w:rsid w:val="00FE6B0C"/>
    <w:rsid w:val="00FF0D89"/>
    <w:rsid w:val="00FF497E"/>
    <w:rsid w:val="00FF6EDE"/>
    <w:rsid w:val="00FF7520"/>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3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88"/>
    <w:pPr>
      <w:spacing w:after="0" w:line="240" w:lineRule="auto"/>
      <w:ind w:left="720"/>
      <w:contextualSpacing/>
    </w:pPr>
    <w:rPr>
      <w:rFonts w:ascii="Cambria" w:eastAsia="ＭＳ 明朝" w:hAnsi="Cambria" w:cs="Times New Roman"/>
      <w:sz w:val="24"/>
      <w:szCs w:val="24"/>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 Char Char,single space,ft"/>
    <w:basedOn w:val="Normal"/>
    <w:link w:val="FootnoteTextChar"/>
    <w:unhideWhenUsed/>
    <w:qFormat/>
    <w:rsid w:val="00B72311"/>
    <w:pPr>
      <w:spacing w:before="120" w:after="120" w:line="240" w:lineRule="auto"/>
    </w:pPr>
    <w:rPr>
      <w:rFonts w:ascii="Garamond" w:hAnsi="Garamond"/>
      <w:sz w:val="20"/>
      <w:szCs w:val="24"/>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single space Char,ft Char"/>
    <w:basedOn w:val="DefaultParagraphFont"/>
    <w:link w:val="FootnoteText"/>
    <w:rsid w:val="00B72311"/>
    <w:rPr>
      <w:rFonts w:ascii="Garamond" w:hAnsi="Garamond"/>
      <w:sz w:val="20"/>
      <w:szCs w:val="24"/>
    </w:rPr>
  </w:style>
  <w:style w:type="character" w:styleId="FootnoteReference">
    <w:name w:val="footnote reference"/>
    <w:aliases w:val="4_G,Footnotes refss,Texto de nota al pie,referencia nota al pie,ftref,16 Point,Superscript 6 Point"/>
    <w:basedOn w:val="DefaultParagraphFont"/>
    <w:unhideWhenUsed/>
    <w:rsid w:val="009F6163"/>
    <w:rPr>
      <w:vertAlign w:val="superscript"/>
    </w:rPr>
  </w:style>
  <w:style w:type="character" w:styleId="CommentReference">
    <w:name w:val="annotation reference"/>
    <w:basedOn w:val="DefaultParagraphFont"/>
    <w:uiPriority w:val="99"/>
    <w:semiHidden/>
    <w:unhideWhenUsed/>
    <w:rsid w:val="00AB3731"/>
    <w:rPr>
      <w:sz w:val="18"/>
      <w:szCs w:val="18"/>
    </w:rPr>
  </w:style>
  <w:style w:type="paragraph" w:styleId="CommentText">
    <w:name w:val="annotation text"/>
    <w:basedOn w:val="Normal"/>
    <w:link w:val="CommentTextChar"/>
    <w:uiPriority w:val="99"/>
    <w:semiHidden/>
    <w:unhideWhenUsed/>
    <w:rsid w:val="00AB3731"/>
    <w:pPr>
      <w:spacing w:line="240" w:lineRule="auto"/>
    </w:pPr>
    <w:rPr>
      <w:sz w:val="24"/>
      <w:szCs w:val="24"/>
    </w:rPr>
  </w:style>
  <w:style w:type="character" w:customStyle="1" w:styleId="CommentTextChar">
    <w:name w:val="Comment Text Char"/>
    <w:basedOn w:val="DefaultParagraphFont"/>
    <w:link w:val="CommentText"/>
    <w:uiPriority w:val="99"/>
    <w:semiHidden/>
    <w:rsid w:val="00AB3731"/>
    <w:rPr>
      <w:sz w:val="24"/>
      <w:szCs w:val="24"/>
    </w:rPr>
  </w:style>
  <w:style w:type="paragraph" w:styleId="CommentSubject">
    <w:name w:val="annotation subject"/>
    <w:basedOn w:val="CommentText"/>
    <w:next w:val="CommentText"/>
    <w:link w:val="CommentSubjectChar"/>
    <w:uiPriority w:val="99"/>
    <w:semiHidden/>
    <w:unhideWhenUsed/>
    <w:rsid w:val="00AB3731"/>
    <w:rPr>
      <w:b/>
      <w:bCs/>
      <w:sz w:val="20"/>
      <w:szCs w:val="20"/>
    </w:rPr>
  </w:style>
  <w:style w:type="character" w:customStyle="1" w:styleId="CommentSubjectChar">
    <w:name w:val="Comment Subject Char"/>
    <w:basedOn w:val="CommentTextChar"/>
    <w:link w:val="CommentSubject"/>
    <w:uiPriority w:val="99"/>
    <w:semiHidden/>
    <w:rsid w:val="00AB3731"/>
    <w:rPr>
      <w:b/>
      <w:bCs/>
      <w:sz w:val="20"/>
      <w:szCs w:val="20"/>
    </w:rPr>
  </w:style>
  <w:style w:type="paragraph" w:styleId="BalloonText">
    <w:name w:val="Balloon Text"/>
    <w:basedOn w:val="Normal"/>
    <w:link w:val="BalloonTextChar"/>
    <w:uiPriority w:val="99"/>
    <w:semiHidden/>
    <w:unhideWhenUsed/>
    <w:rsid w:val="00AB37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731"/>
    <w:rPr>
      <w:rFonts w:ascii="Lucida Grande" w:hAnsi="Lucida Grande" w:cs="Lucida Grande"/>
      <w:sz w:val="18"/>
      <w:szCs w:val="18"/>
    </w:rPr>
  </w:style>
  <w:style w:type="character" w:customStyle="1" w:styleId="apple-converted-space">
    <w:name w:val="apple-converted-space"/>
    <w:basedOn w:val="DefaultParagraphFont"/>
    <w:rsid w:val="00A663A8"/>
  </w:style>
  <w:style w:type="character" w:styleId="Hyperlink">
    <w:name w:val="Hyperlink"/>
    <w:basedOn w:val="DefaultParagraphFont"/>
    <w:uiPriority w:val="99"/>
    <w:unhideWhenUsed/>
    <w:rsid w:val="00253E4F"/>
    <w:rPr>
      <w:color w:val="0000FF"/>
      <w:u w:val="single"/>
    </w:rPr>
  </w:style>
  <w:style w:type="paragraph" w:styleId="Revision">
    <w:name w:val="Revision"/>
    <w:hidden/>
    <w:uiPriority w:val="99"/>
    <w:semiHidden/>
    <w:rsid w:val="005002D9"/>
    <w:pPr>
      <w:spacing w:after="0" w:line="240" w:lineRule="auto"/>
    </w:pPr>
  </w:style>
  <w:style w:type="paragraph" w:styleId="Header">
    <w:name w:val="header"/>
    <w:basedOn w:val="Normal"/>
    <w:link w:val="HeaderChar"/>
    <w:uiPriority w:val="99"/>
    <w:unhideWhenUsed/>
    <w:rsid w:val="004716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609"/>
  </w:style>
  <w:style w:type="paragraph" w:styleId="Footer">
    <w:name w:val="footer"/>
    <w:basedOn w:val="Normal"/>
    <w:link w:val="FooterChar"/>
    <w:uiPriority w:val="99"/>
    <w:unhideWhenUsed/>
    <w:rsid w:val="004716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6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88"/>
    <w:pPr>
      <w:spacing w:after="0" w:line="240" w:lineRule="auto"/>
      <w:ind w:left="720"/>
      <w:contextualSpacing/>
    </w:pPr>
    <w:rPr>
      <w:rFonts w:ascii="Cambria" w:eastAsia="ＭＳ 明朝" w:hAnsi="Cambria" w:cs="Times New Roman"/>
      <w:sz w:val="24"/>
      <w:szCs w:val="24"/>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 Char Char,single space,ft"/>
    <w:basedOn w:val="Normal"/>
    <w:link w:val="FootnoteTextChar"/>
    <w:unhideWhenUsed/>
    <w:qFormat/>
    <w:rsid w:val="00B72311"/>
    <w:pPr>
      <w:spacing w:before="120" w:after="120" w:line="240" w:lineRule="auto"/>
    </w:pPr>
    <w:rPr>
      <w:rFonts w:ascii="Garamond" w:hAnsi="Garamond"/>
      <w:sz w:val="20"/>
      <w:szCs w:val="24"/>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single space Char,ft Char"/>
    <w:basedOn w:val="DefaultParagraphFont"/>
    <w:link w:val="FootnoteText"/>
    <w:rsid w:val="00B72311"/>
    <w:rPr>
      <w:rFonts w:ascii="Garamond" w:hAnsi="Garamond"/>
      <w:sz w:val="20"/>
      <w:szCs w:val="24"/>
    </w:rPr>
  </w:style>
  <w:style w:type="character" w:styleId="FootnoteReference">
    <w:name w:val="footnote reference"/>
    <w:aliases w:val="4_G,Footnotes refss,Texto de nota al pie,referencia nota al pie,ftref,16 Point,Superscript 6 Point"/>
    <w:basedOn w:val="DefaultParagraphFont"/>
    <w:unhideWhenUsed/>
    <w:rsid w:val="009F6163"/>
    <w:rPr>
      <w:vertAlign w:val="superscript"/>
    </w:rPr>
  </w:style>
  <w:style w:type="character" w:styleId="CommentReference">
    <w:name w:val="annotation reference"/>
    <w:basedOn w:val="DefaultParagraphFont"/>
    <w:uiPriority w:val="99"/>
    <w:semiHidden/>
    <w:unhideWhenUsed/>
    <w:rsid w:val="00AB3731"/>
    <w:rPr>
      <w:sz w:val="18"/>
      <w:szCs w:val="18"/>
    </w:rPr>
  </w:style>
  <w:style w:type="paragraph" w:styleId="CommentText">
    <w:name w:val="annotation text"/>
    <w:basedOn w:val="Normal"/>
    <w:link w:val="CommentTextChar"/>
    <w:uiPriority w:val="99"/>
    <w:semiHidden/>
    <w:unhideWhenUsed/>
    <w:rsid w:val="00AB3731"/>
    <w:pPr>
      <w:spacing w:line="240" w:lineRule="auto"/>
    </w:pPr>
    <w:rPr>
      <w:sz w:val="24"/>
      <w:szCs w:val="24"/>
    </w:rPr>
  </w:style>
  <w:style w:type="character" w:customStyle="1" w:styleId="CommentTextChar">
    <w:name w:val="Comment Text Char"/>
    <w:basedOn w:val="DefaultParagraphFont"/>
    <w:link w:val="CommentText"/>
    <w:uiPriority w:val="99"/>
    <w:semiHidden/>
    <w:rsid w:val="00AB3731"/>
    <w:rPr>
      <w:sz w:val="24"/>
      <w:szCs w:val="24"/>
    </w:rPr>
  </w:style>
  <w:style w:type="paragraph" w:styleId="CommentSubject">
    <w:name w:val="annotation subject"/>
    <w:basedOn w:val="CommentText"/>
    <w:next w:val="CommentText"/>
    <w:link w:val="CommentSubjectChar"/>
    <w:uiPriority w:val="99"/>
    <w:semiHidden/>
    <w:unhideWhenUsed/>
    <w:rsid w:val="00AB3731"/>
    <w:rPr>
      <w:b/>
      <w:bCs/>
      <w:sz w:val="20"/>
      <w:szCs w:val="20"/>
    </w:rPr>
  </w:style>
  <w:style w:type="character" w:customStyle="1" w:styleId="CommentSubjectChar">
    <w:name w:val="Comment Subject Char"/>
    <w:basedOn w:val="CommentTextChar"/>
    <w:link w:val="CommentSubject"/>
    <w:uiPriority w:val="99"/>
    <w:semiHidden/>
    <w:rsid w:val="00AB3731"/>
    <w:rPr>
      <w:b/>
      <w:bCs/>
      <w:sz w:val="20"/>
      <w:szCs w:val="20"/>
    </w:rPr>
  </w:style>
  <w:style w:type="paragraph" w:styleId="BalloonText">
    <w:name w:val="Balloon Text"/>
    <w:basedOn w:val="Normal"/>
    <w:link w:val="BalloonTextChar"/>
    <w:uiPriority w:val="99"/>
    <w:semiHidden/>
    <w:unhideWhenUsed/>
    <w:rsid w:val="00AB37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731"/>
    <w:rPr>
      <w:rFonts w:ascii="Lucida Grande" w:hAnsi="Lucida Grande" w:cs="Lucida Grande"/>
      <w:sz w:val="18"/>
      <w:szCs w:val="18"/>
    </w:rPr>
  </w:style>
  <w:style w:type="character" w:customStyle="1" w:styleId="apple-converted-space">
    <w:name w:val="apple-converted-space"/>
    <w:basedOn w:val="DefaultParagraphFont"/>
    <w:rsid w:val="00A663A8"/>
  </w:style>
  <w:style w:type="character" w:styleId="Hyperlink">
    <w:name w:val="Hyperlink"/>
    <w:basedOn w:val="DefaultParagraphFont"/>
    <w:uiPriority w:val="99"/>
    <w:unhideWhenUsed/>
    <w:rsid w:val="00253E4F"/>
    <w:rPr>
      <w:color w:val="0000FF"/>
      <w:u w:val="single"/>
    </w:rPr>
  </w:style>
  <w:style w:type="paragraph" w:styleId="Revision">
    <w:name w:val="Revision"/>
    <w:hidden/>
    <w:uiPriority w:val="99"/>
    <w:semiHidden/>
    <w:rsid w:val="005002D9"/>
    <w:pPr>
      <w:spacing w:after="0" w:line="240" w:lineRule="auto"/>
    </w:pPr>
  </w:style>
  <w:style w:type="paragraph" w:styleId="Header">
    <w:name w:val="header"/>
    <w:basedOn w:val="Normal"/>
    <w:link w:val="HeaderChar"/>
    <w:uiPriority w:val="99"/>
    <w:unhideWhenUsed/>
    <w:rsid w:val="004716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609"/>
  </w:style>
  <w:style w:type="paragraph" w:styleId="Footer">
    <w:name w:val="footer"/>
    <w:basedOn w:val="Normal"/>
    <w:link w:val="FooterChar"/>
    <w:uiPriority w:val="99"/>
    <w:unhideWhenUsed/>
    <w:rsid w:val="004716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5259">
      <w:bodyDiv w:val="1"/>
      <w:marLeft w:val="0"/>
      <w:marRight w:val="0"/>
      <w:marTop w:val="0"/>
      <w:marBottom w:val="0"/>
      <w:divBdr>
        <w:top w:val="none" w:sz="0" w:space="0" w:color="auto"/>
        <w:left w:val="none" w:sz="0" w:space="0" w:color="auto"/>
        <w:bottom w:val="none" w:sz="0" w:space="0" w:color="auto"/>
        <w:right w:val="none" w:sz="0" w:space="0" w:color="auto"/>
      </w:divBdr>
    </w:div>
    <w:div w:id="81296784">
      <w:bodyDiv w:val="1"/>
      <w:marLeft w:val="0"/>
      <w:marRight w:val="0"/>
      <w:marTop w:val="0"/>
      <w:marBottom w:val="0"/>
      <w:divBdr>
        <w:top w:val="none" w:sz="0" w:space="0" w:color="auto"/>
        <w:left w:val="none" w:sz="0" w:space="0" w:color="auto"/>
        <w:bottom w:val="none" w:sz="0" w:space="0" w:color="auto"/>
        <w:right w:val="none" w:sz="0" w:space="0" w:color="auto"/>
      </w:divBdr>
    </w:div>
    <w:div w:id="392654694">
      <w:bodyDiv w:val="1"/>
      <w:marLeft w:val="0"/>
      <w:marRight w:val="0"/>
      <w:marTop w:val="0"/>
      <w:marBottom w:val="0"/>
      <w:divBdr>
        <w:top w:val="none" w:sz="0" w:space="0" w:color="auto"/>
        <w:left w:val="none" w:sz="0" w:space="0" w:color="auto"/>
        <w:bottom w:val="none" w:sz="0" w:space="0" w:color="auto"/>
        <w:right w:val="none" w:sz="0" w:space="0" w:color="auto"/>
      </w:divBdr>
    </w:div>
    <w:div w:id="531462831">
      <w:bodyDiv w:val="1"/>
      <w:marLeft w:val="0"/>
      <w:marRight w:val="0"/>
      <w:marTop w:val="0"/>
      <w:marBottom w:val="0"/>
      <w:divBdr>
        <w:top w:val="none" w:sz="0" w:space="0" w:color="auto"/>
        <w:left w:val="none" w:sz="0" w:space="0" w:color="auto"/>
        <w:bottom w:val="none" w:sz="0" w:space="0" w:color="auto"/>
        <w:right w:val="none" w:sz="0" w:space="0" w:color="auto"/>
      </w:divBdr>
    </w:div>
    <w:div w:id="595788213">
      <w:bodyDiv w:val="1"/>
      <w:marLeft w:val="0"/>
      <w:marRight w:val="0"/>
      <w:marTop w:val="0"/>
      <w:marBottom w:val="0"/>
      <w:divBdr>
        <w:top w:val="none" w:sz="0" w:space="0" w:color="auto"/>
        <w:left w:val="none" w:sz="0" w:space="0" w:color="auto"/>
        <w:bottom w:val="none" w:sz="0" w:space="0" w:color="auto"/>
        <w:right w:val="none" w:sz="0" w:space="0" w:color="auto"/>
      </w:divBdr>
    </w:div>
    <w:div w:id="18600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go.worldbank.org/S0D96SZZT0" TargetMode="External"/><Relationship Id="rId2" Type="http://schemas.openxmlformats.org/officeDocument/2006/relationships/hyperlink" Target="http://go.worldbank.org/S0D96SZZ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580-8BFF-2D47-B375-987CB6B7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4330</Words>
  <Characters>24684</Characters>
  <Application>Microsoft Macintosh Word</Application>
  <DocSecurity>0</DocSecurity>
  <Lines>205</Lines>
  <Paragraphs>57</Paragraphs>
  <ScaleCrop>false</ScaleCrop>
  <Company>Toshiba</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David Pred</cp:lastModifiedBy>
  <cp:revision>2</cp:revision>
  <cp:lastPrinted>2013-02-11T02:47:00Z</cp:lastPrinted>
  <dcterms:created xsi:type="dcterms:W3CDTF">2013-04-09T04:16:00Z</dcterms:created>
  <dcterms:modified xsi:type="dcterms:W3CDTF">2013-04-09T04:16:00Z</dcterms:modified>
</cp:coreProperties>
</file>