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D2" w:rsidRPr="00DD144A" w:rsidRDefault="00653FD2" w:rsidP="00DD144A">
      <w:pPr>
        <w:pStyle w:val="PargrafodaLista"/>
        <w:numPr>
          <w:ilvl w:val="0"/>
          <w:numId w:val="8"/>
        </w:numPr>
        <w:spacing w:after="120"/>
        <w:ind w:left="0" w:firstLine="0"/>
        <w:rPr>
          <w:rFonts w:cs="Times New Roman"/>
          <w:b/>
          <w:bCs/>
          <w:szCs w:val="24"/>
        </w:rPr>
      </w:pPr>
      <w:r>
        <w:rPr>
          <w:rFonts w:cs="Times New Roman"/>
          <w:b/>
          <w:bCs/>
          <w:szCs w:val="24"/>
          <w:lang/>
        </w:rPr>
        <w:t xml:space="preserve">Histórico </w:t>
      </w:r>
    </w:p>
    <w:p w:rsidR="00674693" w:rsidRPr="00E028EB" w:rsidRDefault="00F50C52" w:rsidP="00674693">
      <w:pPr>
        <w:pStyle w:val="Default"/>
        <w:spacing w:after="120"/>
        <w:jc w:val="both"/>
        <w:rPr>
          <w:lang w:val="pt-BR"/>
        </w:rPr>
      </w:pPr>
      <w:r>
        <w:rPr>
          <w:color w:val="auto"/>
          <w:lang/>
        </w:rPr>
        <w:t xml:space="preserve">O Banco Mundial está revisando e atualizando suas políticas de salvaguarda ambiental e social em três fases de revisão distintas de 2012 a 2016. </w:t>
      </w:r>
      <w:r>
        <w:rPr>
          <w:lang/>
        </w:rPr>
        <w:t xml:space="preserve">O enfoque da revisão é descrito em um documento de enfoque intitulado “Políticas de Salvaguarda do Banco Mundial: </w:t>
      </w:r>
      <w:r w:rsidR="0020665D">
        <w:rPr>
          <w:lang/>
        </w:rPr>
        <w:t>R</w:t>
      </w:r>
      <w:r>
        <w:rPr>
          <w:lang/>
        </w:rPr>
        <w:t xml:space="preserve">evisão e </w:t>
      </w:r>
      <w:r w:rsidR="0020665D">
        <w:rPr>
          <w:lang/>
        </w:rPr>
        <w:t>A</w:t>
      </w:r>
      <w:r>
        <w:rPr>
          <w:lang/>
        </w:rPr>
        <w:t xml:space="preserve">tualização </w:t>
      </w:r>
      <w:r w:rsidR="0020665D">
        <w:rPr>
          <w:lang/>
        </w:rPr>
        <w:t>P</w:t>
      </w:r>
      <w:r>
        <w:rPr>
          <w:lang/>
        </w:rPr>
        <w:t>ropostas</w:t>
      </w:r>
      <w:r>
        <w:rPr>
          <w:rStyle w:val="Refdenotaderodap"/>
          <w:lang/>
        </w:rPr>
        <w:footnoteReference w:id="1"/>
      </w:r>
      <w:r>
        <w:rPr>
          <w:lang/>
        </w:rPr>
        <w:t xml:space="preserve">", que foi endossado pelo Comitê sobre Eficácia no Desenvolvimento (CODE) da Diretoria Executiva do Banco Mundial, em 10 de outubro de 2012. </w:t>
      </w:r>
    </w:p>
    <w:p w:rsidR="00F50C52" w:rsidRPr="00E028EB" w:rsidRDefault="00F50C52" w:rsidP="00A96D9E">
      <w:pPr>
        <w:pStyle w:val="Default"/>
        <w:spacing w:after="120"/>
        <w:jc w:val="both"/>
        <w:rPr>
          <w:lang w:val="pt-BR"/>
        </w:rPr>
      </w:pPr>
      <w:r>
        <w:rPr>
          <w:color w:val="auto"/>
          <w:lang/>
        </w:rPr>
        <w:t xml:space="preserve">Como parte desta revisão, o Banco Mundial está consultando acionistas e partes interessadas para obter informações e </w:t>
      </w:r>
      <w:proofErr w:type="gramStart"/>
      <w:r>
        <w:rPr>
          <w:color w:val="auto"/>
          <w:lang/>
        </w:rPr>
        <w:t>feedback</w:t>
      </w:r>
      <w:proofErr w:type="gramEnd"/>
      <w:r>
        <w:rPr>
          <w:color w:val="auto"/>
          <w:lang/>
        </w:rPr>
        <w:t xml:space="preserve"> sobre o desenvolvimento de um conjunto atualizado de políticas que marcam </w:t>
      </w:r>
      <w:r>
        <w:rPr>
          <w:lang/>
        </w:rPr>
        <w:t xml:space="preserve">a pedra angular dos esforços da instituição para proteger as pessoas e o ambiente e alcançar seus objetivos para </w:t>
      </w:r>
      <w:r w:rsidR="0020665D">
        <w:rPr>
          <w:lang/>
        </w:rPr>
        <w:t xml:space="preserve">erradicar a </w:t>
      </w:r>
      <w:r>
        <w:rPr>
          <w:lang/>
        </w:rPr>
        <w:t xml:space="preserve">pobreza extrema e promover a prosperidade compartilhada de forma sustentável em todos os países parceiros. Na 3ª Fase da avaliação, o Banco Mundial buscará o </w:t>
      </w:r>
      <w:proofErr w:type="gramStart"/>
      <w:r>
        <w:rPr>
          <w:lang/>
        </w:rPr>
        <w:t>feedback</w:t>
      </w:r>
      <w:proofErr w:type="gramEnd"/>
      <w:r>
        <w:rPr>
          <w:lang/>
        </w:rPr>
        <w:t xml:space="preserve"> dos países mutuários e outras partes interessadas sobre uma lista de problemas identificados pela Diretoria Executiva a serem discutidos sobre os recursos necessários e a viabilidade de aplicação da Estrutura Ambiental e Social proposta (EAS) nos países mutuários. A lista indicativa de questões para as consultas da 3ª Fase pode ser acessada on-line</w:t>
      </w:r>
      <w:r>
        <w:rPr>
          <w:rStyle w:val="Refdenotaderodap"/>
          <w:lang/>
        </w:rPr>
        <w:footnoteReference w:id="2"/>
      </w:r>
      <w:r>
        <w:rPr>
          <w:lang/>
        </w:rPr>
        <w:t xml:space="preserve">. </w:t>
      </w:r>
    </w:p>
    <w:p w:rsidR="00653FD2" w:rsidRPr="00E028EB" w:rsidRDefault="00653FD2" w:rsidP="00DD144A">
      <w:pPr>
        <w:spacing w:after="120" w:line="240" w:lineRule="auto"/>
        <w:rPr>
          <w:rFonts w:cs="Times New Roman"/>
          <w:bCs/>
          <w:szCs w:val="24"/>
          <w:lang w:val="pt-BR"/>
        </w:rPr>
      </w:pPr>
    </w:p>
    <w:p w:rsidR="00F31AA0" w:rsidRPr="00A27556" w:rsidRDefault="00FE2D41" w:rsidP="00DD144A">
      <w:pPr>
        <w:pStyle w:val="PargrafodaLista"/>
        <w:numPr>
          <w:ilvl w:val="0"/>
          <w:numId w:val="8"/>
        </w:numPr>
        <w:spacing w:after="120"/>
        <w:ind w:left="0" w:firstLine="0"/>
        <w:rPr>
          <w:rFonts w:cs="Times New Roman"/>
          <w:b/>
          <w:bCs/>
          <w:szCs w:val="24"/>
        </w:rPr>
      </w:pPr>
      <w:r>
        <w:rPr>
          <w:rFonts w:cs="Times New Roman"/>
          <w:b/>
          <w:bCs/>
          <w:szCs w:val="24"/>
          <w:lang/>
        </w:rPr>
        <w:t>Objetivos da consulta</w:t>
      </w:r>
    </w:p>
    <w:p w:rsidR="00F31AA0" w:rsidRPr="00E028EB" w:rsidRDefault="00F31AA0" w:rsidP="00A81ADE">
      <w:pPr>
        <w:pStyle w:val="ippara2"/>
        <w:numPr>
          <w:ilvl w:val="0"/>
          <w:numId w:val="0"/>
        </w:numPr>
        <w:spacing w:after="120" w:line="240" w:lineRule="auto"/>
        <w:rPr>
          <w:rFonts w:cs="Times New Roman"/>
          <w:szCs w:val="24"/>
          <w:lang w:val="pt-BR"/>
        </w:rPr>
      </w:pPr>
      <w:r>
        <w:rPr>
          <w:rFonts w:cs="Times New Roman"/>
          <w:szCs w:val="24"/>
          <w:lang/>
        </w:rPr>
        <w:t>O principal objetivo da revisão é reforçar a eficácia das políticas de salvaguarda, a fim de ampliar o impacto do desenvolvimento de projetos e programas apoiados pelo Banco Mundial. A Direção do Banco Mundial prevê que o processo de revisão resultará em uma estrutura coerente que irá distinguir princípios, políticas e procedimentos; reforçar a clareza e coerência da política; esclarecer os objetivos e resultados desejados; aumentar a sinergia entre as políticas; consolidar políticas fragmentadas o</w:t>
      </w:r>
      <w:r w:rsidR="0020665D">
        <w:rPr>
          <w:rFonts w:cs="Times New Roman"/>
          <w:szCs w:val="24"/>
          <w:lang/>
        </w:rPr>
        <w:t>u</w:t>
      </w:r>
      <w:r>
        <w:rPr>
          <w:rFonts w:cs="Times New Roman"/>
          <w:szCs w:val="24"/>
          <w:lang/>
        </w:rPr>
        <w:t xml:space="preserve"> repetitivas; agilizar a orientação; e delinear melhor as funções e responsabilidades do Banco Mundial e dos governos Mutuários. </w:t>
      </w:r>
    </w:p>
    <w:p w:rsidR="0020665D" w:rsidRDefault="002F7295" w:rsidP="00D2512A">
      <w:pPr>
        <w:pStyle w:val="Default"/>
        <w:spacing w:after="120"/>
        <w:jc w:val="both"/>
        <w:rPr>
          <w:lang/>
        </w:rPr>
      </w:pPr>
      <w:r>
        <w:rPr>
          <w:lang/>
        </w:rPr>
        <w:t>A revisão em vários estágios das políticas de salvaguarda ambiental e social do Banco Mundial abrange três fases de consultas a partes interessadas para obter informações e feedback de forma ampla, inclusiva e transparente.</w:t>
      </w:r>
    </w:p>
    <w:p w:rsidR="002F7295" w:rsidRPr="00A27556" w:rsidRDefault="002F7295" w:rsidP="00D2512A">
      <w:pPr>
        <w:pStyle w:val="Default"/>
        <w:spacing w:after="120"/>
        <w:jc w:val="both"/>
      </w:pPr>
      <w:r>
        <w:rPr>
          <w:lang/>
        </w:rPr>
        <w:br/>
        <w:t>Os objetivos do processo de consulta são:</w:t>
      </w:r>
    </w:p>
    <w:p w:rsidR="002F7295" w:rsidRPr="00E028EB" w:rsidRDefault="002F7295" w:rsidP="00A81ADE">
      <w:pPr>
        <w:pStyle w:val="Default"/>
        <w:numPr>
          <w:ilvl w:val="1"/>
          <w:numId w:val="9"/>
        </w:numPr>
        <w:spacing w:after="120"/>
        <w:ind w:left="360"/>
        <w:jc w:val="both"/>
        <w:rPr>
          <w:lang w:val="pt-BR"/>
        </w:rPr>
      </w:pPr>
      <w:r>
        <w:rPr>
          <w:lang/>
        </w:rPr>
        <w:t>Formular e informar o desenvolvimento de uma estrutura para a próxima geração de políticas de salvaguarda que beneficiará múltiplas partes interessadas.</w:t>
      </w:r>
    </w:p>
    <w:p w:rsidR="002F7295" w:rsidRPr="00E028EB" w:rsidRDefault="002F7295" w:rsidP="00A81ADE">
      <w:pPr>
        <w:pStyle w:val="Default"/>
        <w:numPr>
          <w:ilvl w:val="1"/>
          <w:numId w:val="11"/>
        </w:numPr>
        <w:spacing w:after="120"/>
        <w:ind w:left="360"/>
        <w:jc w:val="both"/>
        <w:rPr>
          <w:lang w:val="pt-BR"/>
        </w:rPr>
      </w:pPr>
      <w:r>
        <w:rPr>
          <w:lang/>
        </w:rPr>
        <w:lastRenderedPageBreak/>
        <w:t xml:space="preserve">Criar um espaço para o diálogo e a participação das partes interessadas, para que as revisões da políticas propostas e sua futura implementação possam beneficiar-se de diferentes perspectivas. </w:t>
      </w:r>
    </w:p>
    <w:p w:rsidR="002F7295" w:rsidRPr="00E028EB" w:rsidRDefault="002F7295" w:rsidP="00A81ADE">
      <w:pPr>
        <w:pStyle w:val="Default"/>
        <w:numPr>
          <w:ilvl w:val="1"/>
          <w:numId w:val="9"/>
        </w:numPr>
        <w:spacing w:after="120"/>
        <w:ind w:left="360"/>
        <w:jc w:val="both"/>
        <w:rPr>
          <w:lang w:val="pt-BR"/>
        </w:rPr>
      </w:pPr>
      <w:r>
        <w:rPr>
          <w:lang/>
        </w:rPr>
        <w:t xml:space="preserve">Ajudar a criar uma estrutura que guie a formulação de revisões específicas, tendo em conta as implicações para implementação e operacionalização. </w:t>
      </w:r>
    </w:p>
    <w:p w:rsidR="00D2512A" w:rsidRPr="00E028EB" w:rsidRDefault="00D2512A" w:rsidP="00A81ADE">
      <w:pPr>
        <w:pStyle w:val="Default"/>
        <w:numPr>
          <w:ilvl w:val="1"/>
          <w:numId w:val="9"/>
        </w:numPr>
        <w:spacing w:after="120"/>
        <w:ind w:left="360"/>
        <w:jc w:val="both"/>
        <w:rPr>
          <w:lang w:val="pt-BR"/>
        </w:rPr>
      </w:pPr>
      <w:r>
        <w:rPr>
          <w:lang/>
        </w:rPr>
        <w:t>Moldar a abordagem do Banco Mundial para implementar a estrutura recém</w:t>
      </w:r>
      <w:r w:rsidR="00E028EB">
        <w:rPr>
          <w:lang/>
        </w:rPr>
        <w:t xml:space="preserve"> </w:t>
      </w:r>
      <w:r>
        <w:rPr>
          <w:lang/>
        </w:rPr>
        <w:t xml:space="preserve">desenvolvida. </w:t>
      </w:r>
    </w:p>
    <w:p w:rsidR="002F7295" w:rsidRPr="00E028EB" w:rsidRDefault="002F7295" w:rsidP="00A81ADE">
      <w:pPr>
        <w:pStyle w:val="Default"/>
        <w:spacing w:after="120"/>
        <w:ind w:left="360" w:hanging="360"/>
        <w:jc w:val="both"/>
        <w:rPr>
          <w:lang w:val="pt-BR"/>
        </w:rPr>
      </w:pPr>
      <w:r>
        <w:rPr>
          <w:lang/>
        </w:rPr>
        <w:t>Os resultados previstos da consulta incluem:</w:t>
      </w:r>
    </w:p>
    <w:p w:rsidR="002F7295" w:rsidRPr="00E028EB" w:rsidRDefault="002F7295" w:rsidP="00A81ADE">
      <w:pPr>
        <w:pStyle w:val="Default"/>
        <w:numPr>
          <w:ilvl w:val="3"/>
          <w:numId w:val="10"/>
        </w:numPr>
        <w:spacing w:after="120"/>
        <w:ind w:left="360"/>
        <w:jc w:val="both"/>
        <w:rPr>
          <w:lang w:val="pt-BR"/>
        </w:rPr>
      </w:pPr>
      <w:r>
        <w:rPr>
          <w:lang/>
        </w:rPr>
        <w:t>Uma terceira proposta da Estrutura Ambiental e Social para consideração dos Diretores Executivos do Banco, Mundial, que considerará e refletirá as opiniões das partes interessadas, conforme o caso.</w:t>
      </w:r>
    </w:p>
    <w:p w:rsidR="00A81ADE" w:rsidRPr="00E028EB" w:rsidRDefault="002F7295" w:rsidP="002F7295">
      <w:pPr>
        <w:pStyle w:val="Default"/>
        <w:numPr>
          <w:ilvl w:val="3"/>
          <w:numId w:val="10"/>
        </w:numPr>
        <w:spacing w:after="120"/>
        <w:ind w:left="360"/>
        <w:jc w:val="both"/>
        <w:rPr>
          <w:lang w:val="pt-BR"/>
        </w:rPr>
      </w:pPr>
      <w:r>
        <w:rPr>
          <w:lang/>
        </w:rPr>
        <w:t xml:space="preserve">Um relatório da consulta, que incluirá um resumo dos feedbacks das partes interessadas para cada uma das três fases de consulta. </w:t>
      </w:r>
    </w:p>
    <w:p w:rsidR="002F7295" w:rsidRPr="00E028EB" w:rsidRDefault="002F7295" w:rsidP="002F7295">
      <w:pPr>
        <w:pStyle w:val="Default"/>
        <w:numPr>
          <w:ilvl w:val="3"/>
          <w:numId w:val="10"/>
        </w:numPr>
        <w:spacing w:after="120"/>
        <w:ind w:left="360"/>
        <w:jc w:val="both"/>
        <w:rPr>
          <w:lang w:val="pt-BR"/>
        </w:rPr>
      </w:pPr>
      <w:r>
        <w:rPr>
          <w:lang/>
        </w:rPr>
        <w:t>Uma resposta do Banco sobre como os feedbacks das partes interessadas serão utilizados na terceira minuta da estrutura das políticas.</w:t>
      </w:r>
    </w:p>
    <w:p w:rsidR="002F7295" w:rsidRPr="00E028EB" w:rsidRDefault="002F7295" w:rsidP="00DD144A">
      <w:pPr>
        <w:spacing w:after="120" w:line="240" w:lineRule="auto"/>
        <w:rPr>
          <w:rFonts w:cs="Times New Roman"/>
          <w:color w:val="000000"/>
          <w:szCs w:val="24"/>
          <w:lang w:val="pt-BR"/>
        </w:rPr>
      </w:pPr>
    </w:p>
    <w:p w:rsidR="007B22C4" w:rsidRPr="00A27556" w:rsidRDefault="00653FD2" w:rsidP="00DD144A">
      <w:pPr>
        <w:pStyle w:val="PargrafodaLista"/>
        <w:numPr>
          <w:ilvl w:val="0"/>
          <w:numId w:val="8"/>
        </w:numPr>
        <w:spacing w:after="120"/>
        <w:ind w:left="0" w:firstLine="0"/>
        <w:rPr>
          <w:rFonts w:cs="Times New Roman"/>
          <w:b/>
          <w:bCs/>
          <w:szCs w:val="24"/>
        </w:rPr>
      </w:pPr>
      <w:r>
        <w:rPr>
          <w:rFonts w:cs="Times New Roman"/>
          <w:b/>
          <w:bCs/>
          <w:szCs w:val="24"/>
          <w:lang/>
        </w:rPr>
        <w:t>Enfoque para consultas</w:t>
      </w:r>
    </w:p>
    <w:p w:rsidR="00F31AA0" w:rsidRPr="00E028EB" w:rsidRDefault="00CA607A" w:rsidP="00CA607A">
      <w:pPr>
        <w:pStyle w:val="Default"/>
        <w:spacing w:after="120"/>
        <w:jc w:val="both"/>
        <w:rPr>
          <w:lang w:val="pt-BR"/>
        </w:rPr>
      </w:pPr>
      <w:bookmarkStart w:id="0" w:name="pxviii"/>
      <w:bookmarkEnd w:id="0"/>
      <w:r>
        <w:rPr>
          <w:lang/>
        </w:rPr>
        <w:t xml:space="preserve">O processo de revisão inclui três fases de consulta para permitir as informações e feedbacks de acionistas e partes interessadas. A primeira fase de consulta foi dedicada a discutir as lições aprendidas com a implementação das atuais políticas de salvaguarda do Banco Mundial, bem como quaisquer princípios nos quais a nova geração de políticas deve se basear. A segunda fase foi dedicada a uma discussão detalhada sobre as dez normas ambientais e sociais propostas, bem como sobre uma Política e Visão Ambiental e Social proposta. A terceira fase abrangerá as abordagens para implementação da segunda minuta da Estrutura Ambiental e Social, bem como as questões pendentes definidas pela Diretoria Executiva do Banco Mundial. Uma visão geral do processo de revisão e atividades correlatas é fornecida na Tabela 1. </w:t>
      </w:r>
    </w:p>
    <w:p w:rsidR="0055524D" w:rsidRPr="00E028EB" w:rsidRDefault="0055524D" w:rsidP="00CA607A">
      <w:pPr>
        <w:pStyle w:val="Default"/>
        <w:spacing w:after="120"/>
        <w:jc w:val="both"/>
        <w:rPr>
          <w:lang w:val="pt-BR"/>
        </w:rPr>
      </w:pPr>
    </w:p>
    <w:p w:rsidR="004F1A04" w:rsidRPr="00E028EB" w:rsidRDefault="0055524D" w:rsidP="004F1A04">
      <w:pPr>
        <w:pStyle w:val="Default"/>
        <w:spacing w:after="120"/>
        <w:rPr>
          <w:lang w:val="pt-BR"/>
        </w:rPr>
      </w:pPr>
      <w:r>
        <w:rPr>
          <w:i/>
          <w:iCs/>
          <w:lang/>
        </w:rPr>
        <w:t>Tabela 1. Calendário indicativo e principais atividades de revisão</w:t>
      </w:r>
    </w:p>
    <w:tbl>
      <w:tblPr>
        <w:tblStyle w:val="TableGrid1"/>
        <w:tblpPr w:leftFromText="180" w:rightFromText="180" w:vertAnchor="text" w:tblpXSpec="right" w:tblpY="1"/>
        <w:tblOverlap w:val="never"/>
        <w:tblW w:w="9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710"/>
        <w:gridCol w:w="1980"/>
        <w:gridCol w:w="6030"/>
      </w:tblGrid>
      <w:tr w:rsidR="004F1A04" w:rsidRPr="00A27556" w:rsidTr="00CC500C">
        <w:tc>
          <w:tcPr>
            <w:tcW w:w="1710" w:type="dxa"/>
            <w:shd w:val="clear" w:color="auto" w:fill="D6E3BC" w:themeFill="accent3" w:themeFillTint="66"/>
          </w:tcPr>
          <w:p w:rsidR="004F1A04" w:rsidRPr="00A27556" w:rsidRDefault="004F1A04" w:rsidP="00CC500C">
            <w:pPr>
              <w:keepNext/>
              <w:keepLines/>
              <w:autoSpaceDE w:val="0"/>
              <w:autoSpaceDN w:val="0"/>
              <w:adjustRightInd w:val="0"/>
              <w:spacing w:after="120"/>
              <w:jc w:val="both"/>
              <w:rPr>
                <w:rFonts w:cs="Times New Roman"/>
                <w:b/>
                <w:iCs/>
                <w:color w:val="000000"/>
                <w:szCs w:val="24"/>
              </w:rPr>
            </w:pPr>
            <w:r>
              <w:rPr>
                <w:rFonts w:cs="Times New Roman"/>
                <w:color w:val="000000"/>
                <w:szCs w:val="24"/>
                <w:lang/>
              </w:rPr>
              <w:br w:type="page"/>
            </w:r>
            <w:r>
              <w:rPr>
                <w:rFonts w:cs="Times New Roman"/>
                <w:b/>
                <w:bCs/>
                <w:color w:val="000000"/>
                <w:szCs w:val="24"/>
                <w:lang/>
              </w:rPr>
              <w:t>Cronograma</w:t>
            </w:r>
          </w:p>
        </w:tc>
        <w:tc>
          <w:tcPr>
            <w:tcW w:w="1980" w:type="dxa"/>
            <w:shd w:val="clear" w:color="auto" w:fill="D6E3BC" w:themeFill="accent3" w:themeFillTint="66"/>
          </w:tcPr>
          <w:p w:rsidR="004F1A04" w:rsidRPr="00A27556" w:rsidRDefault="004F1A04" w:rsidP="00CC500C">
            <w:pPr>
              <w:keepNext/>
              <w:keepLines/>
              <w:autoSpaceDE w:val="0"/>
              <w:autoSpaceDN w:val="0"/>
              <w:adjustRightInd w:val="0"/>
              <w:spacing w:after="120"/>
              <w:rPr>
                <w:rFonts w:cs="Times New Roman"/>
                <w:b/>
                <w:iCs/>
                <w:color w:val="000000"/>
                <w:szCs w:val="24"/>
              </w:rPr>
            </w:pPr>
            <w:r>
              <w:rPr>
                <w:rFonts w:cs="Times New Roman"/>
                <w:b/>
                <w:bCs/>
                <w:color w:val="000000"/>
                <w:szCs w:val="24"/>
                <w:lang/>
              </w:rPr>
              <w:t>Fase</w:t>
            </w:r>
          </w:p>
        </w:tc>
        <w:tc>
          <w:tcPr>
            <w:tcW w:w="6030" w:type="dxa"/>
            <w:shd w:val="clear" w:color="auto" w:fill="D6E3BC" w:themeFill="accent3" w:themeFillTint="66"/>
          </w:tcPr>
          <w:p w:rsidR="004F1A04" w:rsidRPr="00A27556" w:rsidRDefault="004F1A04" w:rsidP="00CC500C">
            <w:pPr>
              <w:keepNext/>
              <w:keepLines/>
              <w:autoSpaceDE w:val="0"/>
              <w:autoSpaceDN w:val="0"/>
              <w:adjustRightInd w:val="0"/>
              <w:spacing w:after="120"/>
              <w:rPr>
                <w:rFonts w:cs="Times New Roman"/>
                <w:b/>
                <w:iCs/>
                <w:color w:val="000000"/>
                <w:szCs w:val="24"/>
              </w:rPr>
            </w:pPr>
            <w:r>
              <w:rPr>
                <w:rFonts w:cs="Times New Roman"/>
                <w:b/>
                <w:bCs/>
                <w:color w:val="000000"/>
                <w:szCs w:val="24"/>
                <w:lang/>
              </w:rPr>
              <w:t>Descrição</w:t>
            </w:r>
          </w:p>
        </w:tc>
      </w:tr>
      <w:tr w:rsidR="0055524D" w:rsidRPr="00E028EB" w:rsidTr="00F52330">
        <w:tblPrEx>
          <w:shd w:val="clear" w:color="auto" w:fill="FFFFFF" w:themeFill="background1"/>
          <w:tblCellMar>
            <w:top w:w="29" w:type="dxa"/>
            <w:left w:w="115" w:type="dxa"/>
            <w:bottom w:w="29" w:type="dxa"/>
            <w:right w:w="115" w:type="dxa"/>
          </w:tblCellMar>
        </w:tblPrEx>
        <w:tc>
          <w:tcPr>
            <w:tcW w:w="1710" w:type="dxa"/>
            <w:shd w:val="clear" w:color="auto" w:fill="BFBFBF" w:themeFill="background1" w:themeFillShade="BF"/>
          </w:tcPr>
          <w:p w:rsidR="0055524D" w:rsidRPr="00A27556" w:rsidRDefault="0055524D" w:rsidP="00F52330">
            <w:pPr>
              <w:keepNext/>
              <w:keepLines/>
              <w:spacing w:after="120"/>
              <w:jc w:val="both"/>
              <w:rPr>
                <w:rFonts w:cs="Times New Roman"/>
                <w:b/>
                <w:bCs/>
                <w:i/>
                <w:color w:val="000000"/>
                <w:szCs w:val="24"/>
              </w:rPr>
            </w:pPr>
            <w:r>
              <w:rPr>
                <w:rFonts w:cs="Times New Roman"/>
                <w:b/>
                <w:bCs/>
                <w:i/>
                <w:iCs/>
                <w:color w:val="000000"/>
                <w:szCs w:val="24"/>
                <w:lang/>
              </w:rPr>
              <w:t>Julho de 2012 –</w:t>
            </w:r>
          </w:p>
          <w:p w:rsidR="0055524D" w:rsidRPr="00A27556" w:rsidRDefault="0055524D" w:rsidP="00F52330">
            <w:pPr>
              <w:keepNext/>
              <w:keepLines/>
              <w:spacing w:after="120"/>
              <w:jc w:val="both"/>
              <w:rPr>
                <w:rFonts w:cs="Times New Roman"/>
                <w:b/>
                <w:bCs/>
                <w:i/>
                <w:color w:val="000000"/>
                <w:szCs w:val="24"/>
              </w:rPr>
            </w:pPr>
            <w:r>
              <w:rPr>
                <w:rFonts w:cs="Times New Roman"/>
                <w:b/>
                <w:bCs/>
                <w:i/>
                <w:iCs/>
                <w:color w:val="000000"/>
                <w:szCs w:val="24"/>
                <w:lang/>
              </w:rPr>
              <w:t>Julho de 2014</w:t>
            </w:r>
          </w:p>
        </w:tc>
        <w:tc>
          <w:tcPr>
            <w:tcW w:w="1980" w:type="dxa"/>
            <w:shd w:val="clear" w:color="auto" w:fill="BFBFBF" w:themeFill="background1" w:themeFillShade="BF"/>
          </w:tcPr>
          <w:p w:rsidR="0055524D" w:rsidRPr="00A27556" w:rsidRDefault="0055524D" w:rsidP="00F52330">
            <w:pPr>
              <w:keepNext/>
              <w:keepLines/>
              <w:spacing w:after="120"/>
              <w:rPr>
                <w:rFonts w:cs="Times New Roman"/>
                <w:b/>
                <w:bCs/>
                <w:i/>
                <w:color w:val="000000"/>
                <w:szCs w:val="24"/>
              </w:rPr>
            </w:pPr>
            <w:r>
              <w:rPr>
                <w:rFonts w:cs="Times New Roman"/>
                <w:b/>
                <w:bCs/>
                <w:i/>
                <w:iCs/>
                <w:color w:val="000000"/>
                <w:szCs w:val="24"/>
                <w:lang/>
              </w:rPr>
              <w:t>1ª Fase</w:t>
            </w:r>
          </w:p>
          <w:p w:rsidR="0055524D" w:rsidRPr="00A27556" w:rsidRDefault="0055524D" w:rsidP="00F52330">
            <w:pPr>
              <w:spacing w:after="120"/>
              <w:rPr>
                <w:rFonts w:cs="Times New Roman"/>
                <w:b/>
                <w:bCs/>
                <w:szCs w:val="24"/>
              </w:rPr>
            </w:pPr>
          </w:p>
          <w:p w:rsidR="0055524D" w:rsidRPr="00A27556" w:rsidRDefault="0055524D" w:rsidP="00F52330">
            <w:pPr>
              <w:spacing w:after="120"/>
              <w:rPr>
                <w:rFonts w:cs="Times New Roman"/>
                <w:b/>
                <w:bCs/>
                <w:szCs w:val="24"/>
              </w:rPr>
            </w:pPr>
          </w:p>
          <w:p w:rsidR="0055524D" w:rsidRPr="00A27556" w:rsidRDefault="0055524D" w:rsidP="00F52330">
            <w:pPr>
              <w:spacing w:after="120"/>
              <w:jc w:val="center"/>
              <w:rPr>
                <w:rFonts w:cs="Times New Roman"/>
                <w:b/>
                <w:bCs/>
                <w:szCs w:val="24"/>
              </w:rPr>
            </w:pPr>
          </w:p>
        </w:tc>
        <w:tc>
          <w:tcPr>
            <w:tcW w:w="6030" w:type="dxa"/>
            <w:shd w:val="clear" w:color="auto" w:fill="BFBFBF" w:themeFill="background1" w:themeFillShade="BF"/>
          </w:tcPr>
          <w:p w:rsidR="0055524D" w:rsidRPr="00E028EB" w:rsidRDefault="0055524D" w:rsidP="00F52330">
            <w:pPr>
              <w:keepNext/>
              <w:keepLines/>
              <w:widowControl w:val="0"/>
              <w:numPr>
                <w:ilvl w:val="0"/>
                <w:numId w:val="13"/>
              </w:numPr>
              <w:spacing w:after="120"/>
              <w:ind w:left="215" w:hanging="215"/>
              <w:jc w:val="both"/>
              <w:rPr>
                <w:rFonts w:cs="Times New Roman"/>
                <w:color w:val="000000"/>
                <w:szCs w:val="24"/>
                <w:lang w:val="pt-BR"/>
              </w:rPr>
            </w:pPr>
            <w:r>
              <w:rPr>
                <w:rFonts w:cs="Times New Roman"/>
                <w:color w:val="000000"/>
                <w:szCs w:val="24"/>
                <w:lang/>
              </w:rPr>
              <w:t>Avaliação global de boas práticas/lições aprendidas</w:t>
            </w:r>
          </w:p>
          <w:p w:rsidR="0055524D" w:rsidRPr="00E028EB" w:rsidRDefault="0055524D" w:rsidP="00F52330">
            <w:pPr>
              <w:keepNext/>
              <w:keepLines/>
              <w:widowControl w:val="0"/>
              <w:numPr>
                <w:ilvl w:val="0"/>
                <w:numId w:val="13"/>
              </w:numPr>
              <w:spacing w:after="120"/>
              <w:ind w:left="215" w:hanging="215"/>
              <w:jc w:val="both"/>
              <w:rPr>
                <w:rFonts w:cs="Times New Roman"/>
                <w:color w:val="000000"/>
                <w:szCs w:val="24"/>
                <w:lang w:val="pt-BR"/>
              </w:rPr>
            </w:pPr>
            <w:r>
              <w:rPr>
                <w:rFonts w:cs="Times New Roman"/>
                <w:color w:val="000000"/>
                <w:szCs w:val="24"/>
                <w:lang/>
              </w:rPr>
              <w:t>Elaboração e apresentação ao CODE do Documento de Enfoque</w:t>
            </w:r>
          </w:p>
          <w:p w:rsidR="0055524D" w:rsidRPr="00E028EB" w:rsidRDefault="0055524D" w:rsidP="00F52330">
            <w:pPr>
              <w:keepNext/>
              <w:keepLines/>
              <w:widowControl w:val="0"/>
              <w:numPr>
                <w:ilvl w:val="0"/>
                <w:numId w:val="13"/>
              </w:numPr>
              <w:spacing w:after="120"/>
              <w:ind w:left="215" w:hanging="215"/>
              <w:jc w:val="both"/>
              <w:rPr>
                <w:rFonts w:cs="Times New Roman"/>
                <w:color w:val="000000"/>
                <w:szCs w:val="24"/>
                <w:lang w:val="pt-BR"/>
              </w:rPr>
            </w:pPr>
            <w:r>
              <w:rPr>
                <w:rFonts w:cs="Times New Roman"/>
                <w:color w:val="000000"/>
                <w:szCs w:val="24"/>
                <w:lang/>
              </w:rPr>
              <w:t>Consultas iniciais com os acionistas e partes interessadas internas</w:t>
            </w:r>
          </w:p>
          <w:p w:rsidR="0055524D" w:rsidRPr="00E028EB" w:rsidRDefault="0055524D" w:rsidP="00F52330">
            <w:pPr>
              <w:keepNext/>
              <w:keepLines/>
              <w:widowControl w:val="0"/>
              <w:numPr>
                <w:ilvl w:val="0"/>
                <w:numId w:val="13"/>
              </w:numPr>
              <w:spacing w:after="120"/>
              <w:ind w:left="215" w:hanging="215"/>
              <w:jc w:val="both"/>
              <w:rPr>
                <w:rFonts w:cs="Times New Roman"/>
                <w:color w:val="000000"/>
                <w:szCs w:val="24"/>
                <w:lang w:val="pt-BR"/>
              </w:rPr>
            </w:pPr>
            <w:r>
              <w:rPr>
                <w:rFonts w:cs="Times New Roman"/>
                <w:color w:val="000000"/>
                <w:szCs w:val="24"/>
                <w:lang/>
              </w:rPr>
              <w:lastRenderedPageBreak/>
              <w:t>Consultas externas buscando opiniões sobre oportunidades, temáticas emergentes e opções para obter informação para a elaboração de uma estrutura</w:t>
            </w:r>
          </w:p>
          <w:p w:rsidR="0055524D" w:rsidRPr="00E028EB" w:rsidRDefault="0055524D" w:rsidP="00F52330">
            <w:pPr>
              <w:keepNext/>
              <w:keepLines/>
              <w:widowControl w:val="0"/>
              <w:numPr>
                <w:ilvl w:val="0"/>
                <w:numId w:val="13"/>
              </w:numPr>
              <w:spacing w:after="120"/>
              <w:ind w:left="215" w:hanging="215"/>
              <w:jc w:val="both"/>
              <w:rPr>
                <w:rFonts w:cs="Times New Roman"/>
                <w:color w:val="000000"/>
                <w:szCs w:val="24"/>
                <w:lang w:val="pt-BR"/>
              </w:rPr>
            </w:pPr>
            <w:r>
              <w:rPr>
                <w:rFonts w:cs="Times New Roman"/>
                <w:color w:val="000000"/>
                <w:szCs w:val="24"/>
                <w:lang/>
              </w:rPr>
              <w:t>Reuniões de especialistas sobre questões emergentes</w:t>
            </w:r>
          </w:p>
          <w:p w:rsidR="0055524D" w:rsidRPr="00E028EB" w:rsidRDefault="0055524D" w:rsidP="00F52330">
            <w:pPr>
              <w:keepNext/>
              <w:keepLines/>
              <w:widowControl w:val="0"/>
              <w:numPr>
                <w:ilvl w:val="0"/>
                <w:numId w:val="13"/>
              </w:numPr>
              <w:spacing w:after="120"/>
              <w:ind w:left="215" w:hanging="215"/>
              <w:jc w:val="both"/>
              <w:rPr>
                <w:rFonts w:cs="Times New Roman"/>
                <w:color w:val="000000"/>
                <w:szCs w:val="24"/>
                <w:lang w:val="pt-BR"/>
              </w:rPr>
            </w:pPr>
            <w:r>
              <w:rPr>
                <w:rFonts w:cs="Times New Roman"/>
                <w:color w:val="000000"/>
                <w:szCs w:val="24"/>
                <w:lang/>
              </w:rPr>
              <w:t>Preparação da versão inicial de uma Estrutura Ambiental e Social, que incorpore os objetivos do processo de revisão e atualização, e tenha em conta os feedback recebidos das partes interessadas</w:t>
            </w:r>
          </w:p>
        </w:tc>
      </w:tr>
      <w:tr w:rsidR="00C26789" w:rsidRPr="00A27556" w:rsidTr="00CC500C">
        <w:tc>
          <w:tcPr>
            <w:tcW w:w="1710" w:type="dxa"/>
            <w:shd w:val="clear" w:color="auto" w:fill="D6E3BC" w:themeFill="accent3" w:themeFillTint="66"/>
          </w:tcPr>
          <w:p w:rsidR="00C26789" w:rsidRPr="00A27556" w:rsidRDefault="00C26789" w:rsidP="00CC500C">
            <w:pPr>
              <w:keepNext/>
              <w:keepLines/>
              <w:autoSpaceDE w:val="0"/>
              <w:autoSpaceDN w:val="0"/>
              <w:adjustRightInd w:val="0"/>
              <w:spacing w:after="120"/>
              <w:jc w:val="both"/>
              <w:rPr>
                <w:rFonts w:cs="Times New Roman"/>
                <w:b/>
                <w:iCs/>
                <w:color w:val="000000"/>
                <w:szCs w:val="24"/>
              </w:rPr>
            </w:pPr>
            <w:r>
              <w:rPr>
                <w:rFonts w:cs="Times New Roman"/>
                <w:color w:val="000000"/>
                <w:szCs w:val="24"/>
                <w:lang/>
              </w:rPr>
              <w:lastRenderedPageBreak/>
              <w:br w:type="page"/>
            </w:r>
            <w:r>
              <w:rPr>
                <w:rFonts w:cs="Times New Roman"/>
                <w:b/>
                <w:bCs/>
                <w:color w:val="000000"/>
                <w:szCs w:val="24"/>
                <w:lang/>
              </w:rPr>
              <w:t>Cronograma</w:t>
            </w:r>
          </w:p>
        </w:tc>
        <w:tc>
          <w:tcPr>
            <w:tcW w:w="1980" w:type="dxa"/>
            <w:shd w:val="clear" w:color="auto" w:fill="D6E3BC" w:themeFill="accent3" w:themeFillTint="66"/>
          </w:tcPr>
          <w:p w:rsidR="00C26789" w:rsidRPr="00A27556" w:rsidRDefault="00C26789" w:rsidP="00CC500C">
            <w:pPr>
              <w:keepNext/>
              <w:keepLines/>
              <w:autoSpaceDE w:val="0"/>
              <w:autoSpaceDN w:val="0"/>
              <w:adjustRightInd w:val="0"/>
              <w:spacing w:after="120"/>
              <w:rPr>
                <w:rFonts w:cs="Times New Roman"/>
                <w:b/>
                <w:iCs/>
                <w:color w:val="000000"/>
                <w:szCs w:val="24"/>
              </w:rPr>
            </w:pPr>
            <w:r>
              <w:rPr>
                <w:rFonts w:cs="Times New Roman"/>
                <w:b/>
                <w:bCs/>
                <w:color w:val="000000"/>
                <w:szCs w:val="24"/>
                <w:lang/>
              </w:rPr>
              <w:t>Fase</w:t>
            </w:r>
          </w:p>
        </w:tc>
        <w:tc>
          <w:tcPr>
            <w:tcW w:w="6030" w:type="dxa"/>
            <w:shd w:val="clear" w:color="auto" w:fill="D6E3BC" w:themeFill="accent3" w:themeFillTint="66"/>
          </w:tcPr>
          <w:p w:rsidR="00C26789" w:rsidRPr="00A27556" w:rsidRDefault="00C26789" w:rsidP="00CC500C">
            <w:pPr>
              <w:keepNext/>
              <w:keepLines/>
              <w:autoSpaceDE w:val="0"/>
              <w:autoSpaceDN w:val="0"/>
              <w:adjustRightInd w:val="0"/>
              <w:spacing w:after="120"/>
              <w:rPr>
                <w:rFonts w:cs="Times New Roman"/>
                <w:b/>
                <w:iCs/>
                <w:color w:val="000000"/>
                <w:szCs w:val="24"/>
              </w:rPr>
            </w:pPr>
            <w:r>
              <w:rPr>
                <w:rFonts w:cs="Times New Roman"/>
                <w:b/>
                <w:bCs/>
                <w:color w:val="000000"/>
                <w:szCs w:val="24"/>
                <w:lang/>
              </w:rPr>
              <w:t>Descrição</w:t>
            </w:r>
          </w:p>
        </w:tc>
      </w:tr>
      <w:tr w:rsidR="0055524D" w:rsidRPr="00E028EB" w:rsidTr="00AC5D91">
        <w:tblPrEx>
          <w:shd w:val="clear" w:color="auto" w:fill="FFFFFF" w:themeFill="background1"/>
          <w:tblCellMar>
            <w:top w:w="29" w:type="dxa"/>
            <w:left w:w="115" w:type="dxa"/>
            <w:bottom w:w="29" w:type="dxa"/>
            <w:right w:w="115" w:type="dxa"/>
          </w:tblCellMar>
        </w:tblPrEx>
        <w:tc>
          <w:tcPr>
            <w:tcW w:w="1710" w:type="dxa"/>
            <w:shd w:val="clear" w:color="auto" w:fill="FFFFFF" w:themeFill="background1"/>
          </w:tcPr>
          <w:p w:rsidR="0055524D" w:rsidRPr="00A27556" w:rsidRDefault="0055524D" w:rsidP="00F52330">
            <w:pPr>
              <w:spacing w:after="120"/>
              <w:jc w:val="both"/>
              <w:rPr>
                <w:rFonts w:cs="Times New Roman"/>
                <w:b/>
                <w:i/>
                <w:color w:val="000000"/>
                <w:szCs w:val="24"/>
              </w:rPr>
            </w:pPr>
            <w:r>
              <w:rPr>
                <w:rFonts w:cs="Times New Roman"/>
                <w:b/>
                <w:bCs/>
                <w:i/>
                <w:iCs/>
                <w:color w:val="000000"/>
                <w:szCs w:val="24"/>
                <w:lang/>
              </w:rPr>
              <w:t xml:space="preserve">Julho de 2014 – </w:t>
            </w:r>
          </w:p>
          <w:p w:rsidR="0055524D" w:rsidRPr="00A27556" w:rsidRDefault="0055524D" w:rsidP="00F52330">
            <w:pPr>
              <w:spacing w:after="120"/>
              <w:jc w:val="both"/>
              <w:rPr>
                <w:rFonts w:cs="Times New Roman"/>
                <w:b/>
                <w:i/>
                <w:color w:val="000000"/>
                <w:szCs w:val="24"/>
              </w:rPr>
            </w:pPr>
            <w:r>
              <w:rPr>
                <w:rFonts w:cs="Times New Roman"/>
                <w:b/>
                <w:bCs/>
                <w:i/>
                <w:iCs/>
                <w:szCs w:val="24"/>
                <w:lang/>
              </w:rPr>
              <w:t xml:space="preserve">Junho de </w:t>
            </w:r>
            <w:r>
              <w:rPr>
                <w:rFonts w:cs="Times New Roman"/>
                <w:b/>
                <w:bCs/>
                <w:i/>
                <w:iCs/>
                <w:color w:val="000000"/>
                <w:szCs w:val="24"/>
                <w:lang/>
              </w:rPr>
              <w:t>2015</w:t>
            </w:r>
          </w:p>
          <w:p w:rsidR="0055524D" w:rsidRPr="00A27556" w:rsidRDefault="0055524D" w:rsidP="00F52330">
            <w:pPr>
              <w:spacing w:after="120"/>
              <w:jc w:val="both"/>
              <w:rPr>
                <w:rFonts w:cs="Times New Roman"/>
                <w:b/>
                <w:i/>
                <w:color w:val="000000"/>
                <w:szCs w:val="24"/>
              </w:rPr>
            </w:pPr>
          </w:p>
        </w:tc>
        <w:tc>
          <w:tcPr>
            <w:tcW w:w="1980" w:type="dxa"/>
            <w:shd w:val="clear" w:color="auto" w:fill="FFFFFF" w:themeFill="background1"/>
          </w:tcPr>
          <w:p w:rsidR="0055524D" w:rsidRPr="00A27556" w:rsidRDefault="0055524D" w:rsidP="00F52330">
            <w:pPr>
              <w:spacing w:after="120"/>
              <w:rPr>
                <w:rFonts w:cs="Times New Roman"/>
                <w:b/>
                <w:i/>
                <w:color w:val="000000"/>
                <w:szCs w:val="24"/>
              </w:rPr>
            </w:pPr>
            <w:r>
              <w:rPr>
                <w:rFonts w:cs="Times New Roman"/>
                <w:b/>
                <w:bCs/>
                <w:i/>
                <w:iCs/>
                <w:color w:val="000000"/>
                <w:szCs w:val="24"/>
                <w:lang/>
              </w:rPr>
              <w:t>2ª Fase</w:t>
            </w:r>
          </w:p>
          <w:p w:rsidR="0055524D" w:rsidRPr="00A27556" w:rsidRDefault="0055524D" w:rsidP="00F52330">
            <w:pPr>
              <w:spacing w:after="120"/>
              <w:rPr>
                <w:rFonts w:cs="Times New Roman"/>
                <w:b/>
                <w:color w:val="000000"/>
                <w:szCs w:val="24"/>
              </w:rPr>
            </w:pPr>
          </w:p>
        </w:tc>
        <w:tc>
          <w:tcPr>
            <w:tcW w:w="6030" w:type="dxa"/>
            <w:shd w:val="clear" w:color="auto" w:fill="FFFFFF" w:themeFill="background1"/>
          </w:tcPr>
          <w:p w:rsidR="0055524D" w:rsidRPr="00E028EB" w:rsidRDefault="0055524D" w:rsidP="00F52330">
            <w:pPr>
              <w:widowControl w:val="0"/>
              <w:numPr>
                <w:ilvl w:val="0"/>
                <w:numId w:val="12"/>
              </w:numPr>
              <w:spacing w:after="120"/>
              <w:ind w:left="240" w:hanging="240"/>
              <w:jc w:val="both"/>
              <w:rPr>
                <w:rFonts w:cs="Times New Roman"/>
                <w:color w:val="000000"/>
                <w:szCs w:val="24"/>
                <w:lang w:val="pt-BR"/>
              </w:rPr>
            </w:pPr>
            <w:r>
              <w:rPr>
                <w:rFonts w:cs="Times New Roman"/>
                <w:color w:val="000000"/>
                <w:szCs w:val="24"/>
                <w:lang/>
              </w:rPr>
              <w:t>Relatório para o CODE sobre o resultado das atividades da 1ª Fase de revisão e apresentação da versão inicial da Estrutura Ambiental e Social</w:t>
            </w:r>
          </w:p>
          <w:p w:rsidR="0055524D" w:rsidRPr="00E028EB" w:rsidRDefault="0055524D" w:rsidP="00F52330">
            <w:pPr>
              <w:widowControl w:val="0"/>
              <w:numPr>
                <w:ilvl w:val="0"/>
                <w:numId w:val="12"/>
              </w:numPr>
              <w:spacing w:after="120"/>
              <w:ind w:left="240" w:hanging="240"/>
              <w:jc w:val="both"/>
              <w:rPr>
                <w:rFonts w:cs="Times New Roman"/>
                <w:color w:val="000000"/>
                <w:szCs w:val="24"/>
                <w:lang w:val="pt-BR"/>
              </w:rPr>
            </w:pPr>
            <w:r>
              <w:rPr>
                <w:rFonts w:cs="Times New Roman"/>
                <w:color w:val="000000"/>
                <w:szCs w:val="24"/>
                <w:lang/>
              </w:rPr>
              <w:t>Período de pré-consulta de cerca de um mês para permitir que as partes interessadas se familiarizem com a estrutura</w:t>
            </w:r>
          </w:p>
          <w:p w:rsidR="0055524D" w:rsidRPr="00E028EB" w:rsidRDefault="0055524D" w:rsidP="00F52330">
            <w:pPr>
              <w:widowControl w:val="0"/>
              <w:numPr>
                <w:ilvl w:val="0"/>
                <w:numId w:val="12"/>
              </w:numPr>
              <w:spacing w:after="120"/>
              <w:ind w:left="240" w:hanging="240"/>
              <w:jc w:val="both"/>
              <w:rPr>
                <w:rFonts w:cs="Times New Roman"/>
                <w:color w:val="000000"/>
                <w:szCs w:val="24"/>
                <w:lang w:val="pt-BR"/>
              </w:rPr>
            </w:pPr>
            <w:r>
              <w:rPr>
                <w:rFonts w:cs="Times New Roman"/>
                <w:color w:val="000000"/>
                <w:szCs w:val="24"/>
                <w:lang/>
              </w:rPr>
              <w:t xml:space="preserve">Consultas externas em busca de feedback sobre a versão inicial da estrutura por um período de sete meses </w:t>
            </w:r>
          </w:p>
          <w:p w:rsidR="0055524D" w:rsidRPr="00E028EB" w:rsidRDefault="0055524D" w:rsidP="00F52330">
            <w:pPr>
              <w:widowControl w:val="0"/>
              <w:numPr>
                <w:ilvl w:val="0"/>
                <w:numId w:val="12"/>
              </w:numPr>
              <w:spacing w:after="120"/>
              <w:ind w:left="240" w:hanging="240"/>
              <w:jc w:val="both"/>
              <w:rPr>
                <w:rFonts w:cs="Times New Roman"/>
                <w:color w:val="000000"/>
                <w:szCs w:val="24"/>
                <w:lang w:val="pt-BR"/>
              </w:rPr>
            </w:pPr>
            <w:r>
              <w:rPr>
                <w:rFonts w:cs="Times New Roman"/>
                <w:color w:val="000000"/>
                <w:szCs w:val="24"/>
                <w:lang/>
              </w:rPr>
              <w:t>Relatório para a Diretoria Executiva sobre os resultados das consultas da 2ª Fase</w:t>
            </w:r>
          </w:p>
          <w:p w:rsidR="0055524D" w:rsidRPr="00E028EB" w:rsidRDefault="0055524D" w:rsidP="00F52330">
            <w:pPr>
              <w:widowControl w:val="0"/>
              <w:numPr>
                <w:ilvl w:val="0"/>
                <w:numId w:val="12"/>
              </w:numPr>
              <w:spacing w:after="120"/>
              <w:ind w:left="240" w:hanging="240"/>
              <w:jc w:val="both"/>
              <w:rPr>
                <w:rFonts w:cs="Times New Roman"/>
                <w:color w:val="000000"/>
                <w:szCs w:val="24"/>
                <w:lang w:val="pt-BR"/>
              </w:rPr>
            </w:pPr>
            <w:r>
              <w:rPr>
                <w:rFonts w:cs="Times New Roman"/>
                <w:color w:val="000000"/>
                <w:szCs w:val="24"/>
                <w:lang/>
              </w:rPr>
              <w:t>Colaboração interna com Práticas Globais, áreas de soluções transetoriais, líderes da Equipe de Tarefas e outros funcionários em todo o Grupo Banco Mundial</w:t>
            </w:r>
          </w:p>
          <w:p w:rsidR="0055524D" w:rsidRPr="00E028EB" w:rsidRDefault="0055524D" w:rsidP="00F52330">
            <w:pPr>
              <w:widowControl w:val="0"/>
              <w:numPr>
                <w:ilvl w:val="0"/>
                <w:numId w:val="12"/>
              </w:numPr>
              <w:spacing w:after="120"/>
              <w:ind w:left="240" w:hanging="240"/>
              <w:jc w:val="both"/>
              <w:rPr>
                <w:rFonts w:cs="Times New Roman"/>
                <w:color w:val="000000"/>
                <w:szCs w:val="24"/>
                <w:lang w:val="pt-BR"/>
              </w:rPr>
            </w:pPr>
            <w:r>
              <w:rPr>
                <w:rFonts w:cs="Times New Roman"/>
                <w:color w:val="000000"/>
                <w:szCs w:val="24"/>
                <w:lang/>
              </w:rPr>
              <w:t>Preparação da segunda versão da estrutura, abrangendo os feedbacks recebidos pelas partes interessadas</w:t>
            </w:r>
          </w:p>
        </w:tc>
      </w:tr>
      <w:tr w:rsidR="0055524D" w:rsidRPr="00E028EB" w:rsidTr="00AC5D91">
        <w:tc>
          <w:tcPr>
            <w:tcW w:w="1710" w:type="dxa"/>
            <w:shd w:val="clear" w:color="auto" w:fill="BFBFBF" w:themeFill="background1" w:themeFillShade="BF"/>
          </w:tcPr>
          <w:p w:rsidR="0055524D" w:rsidRPr="00E028EB" w:rsidRDefault="0055524D" w:rsidP="00F52330">
            <w:pPr>
              <w:keepNext/>
              <w:keepLines/>
              <w:spacing w:after="120"/>
              <w:jc w:val="both"/>
              <w:rPr>
                <w:rFonts w:cs="Times New Roman"/>
                <w:b/>
                <w:bCs/>
                <w:i/>
                <w:color w:val="000000"/>
                <w:szCs w:val="24"/>
                <w:lang w:val="pt-BR"/>
              </w:rPr>
            </w:pPr>
            <w:r>
              <w:rPr>
                <w:rFonts w:cs="Times New Roman"/>
                <w:b/>
                <w:bCs/>
                <w:i/>
                <w:iCs/>
                <w:color w:val="000000"/>
                <w:szCs w:val="24"/>
                <w:lang/>
              </w:rPr>
              <w:t>Julho de 2015 –</w:t>
            </w:r>
          </w:p>
          <w:p w:rsidR="0055524D" w:rsidRPr="00E028EB" w:rsidRDefault="00C71C50" w:rsidP="00C71C50">
            <w:pPr>
              <w:keepNext/>
              <w:keepLines/>
              <w:spacing w:after="120"/>
              <w:rPr>
                <w:rFonts w:cs="Times New Roman"/>
                <w:b/>
                <w:bCs/>
                <w:i/>
                <w:color w:val="000000"/>
                <w:szCs w:val="24"/>
                <w:lang w:val="pt-BR"/>
              </w:rPr>
            </w:pPr>
            <w:r>
              <w:rPr>
                <w:rFonts w:cs="Times New Roman"/>
                <w:b/>
                <w:bCs/>
                <w:i/>
                <w:iCs/>
                <w:color w:val="000000"/>
                <w:szCs w:val="24"/>
                <w:lang/>
              </w:rPr>
              <w:t>Início de 2016 (TBC)</w:t>
            </w:r>
          </w:p>
        </w:tc>
        <w:tc>
          <w:tcPr>
            <w:tcW w:w="1980" w:type="dxa"/>
            <w:shd w:val="clear" w:color="auto" w:fill="BFBFBF" w:themeFill="background1" w:themeFillShade="BF"/>
          </w:tcPr>
          <w:p w:rsidR="0055524D" w:rsidRPr="00A27556" w:rsidRDefault="0055524D" w:rsidP="00F52330">
            <w:pPr>
              <w:keepNext/>
              <w:keepLines/>
              <w:spacing w:after="120"/>
              <w:rPr>
                <w:rFonts w:cs="Times New Roman"/>
                <w:b/>
                <w:bCs/>
                <w:i/>
                <w:color w:val="000000"/>
                <w:szCs w:val="24"/>
              </w:rPr>
            </w:pPr>
            <w:r>
              <w:rPr>
                <w:rFonts w:cs="Times New Roman"/>
                <w:b/>
                <w:bCs/>
                <w:i/>
                <w:iCs/>
                <w:color w:val="000000"/>
                <w:szCs w:val="24"/>
                <w:lang/>
              </w:rPr>
              <w:t>3ª Fase</w:t>
            </w:r>
          </w:p>
          <w:p w:rsidR="0055524D" w:rsidRPr="00A27556" w:rsidRDefault="0055524D" w:rsidP="00F52330">
            <w:pPr>
              <w:spacing w:after="120"/>
              <w:rPr>
                <w:rFonts w:cs="Times New Roman"/>
                <w:b/>
                <w:bCs/>
                <w:szCs w:val="24"/>
              </w:rPr>
            </w:pPr>
          </w:p>
          <w:p w:rsidR="0055524D" w:rsidRPr="00A27556" w:rsidRDefault="0055524D" w:rsidP="00F52330">
            <w:pPr>
              <w:spacing w:after="120"/>
              <w:rPr>
                <w:rFonts w:cs="Times New Roman"/>
                <w:b/>
                <w:bCs/>
                <w:szCs w:val="24"/>
              </w:rPr>
            </w:pPr>
          </w:p>
          <w:p w:rsidR="0055524D" w:rsidRPr="00A27556" w:rsidRDefault="0055524D" w:rsidP="00F52330">
            <w:pPr>
              <w:spacing w:after="120"/>
              <w:jc w:val="center"/>
              <w:rPr>
                <w:rFonts w:cs="Times New Roman"/>
                <w:b/>
                <w:bCs/>
                <w:szCs w:val="24"/>
              </w:rPr>
            </w:pPr>
          </w:p>
        </w:tc>
        <w:tc>
          <w:tcPr>
            <w:tcW w:w="6030" w:type="dxa"/>
            <w:shd w:val="clear" w:color="auto" w:fill="BFBFBF" w:themeFill="background1" w:themeFillShade="BF"/>
          </w:tcPr>
          <w:p w:rsidR="0055524D" w:rsidRPr="00E028EB" w:rsidRDefault="0055524D" w:rsidP="00F52330">
            <w:pPr>
              <w:widowControl w:val="0"/>
              <w:numPr>
                <w:ilvl w:val="0"/>
                <w:numId w:val="13"/>
              </w:numPr>
              <w:spacing w:after="120"/>
              <w:jc w:val="both"/>
              <w:rPr>
                <w:rFonts w:cs="Times New Roman"/>
                <w:color w:val="000000"/>
                <w:szCs w:val="24"/>
                <w:lang w:val="pt-BR"/>
              </w:rPr>
            </w:pPr>
            <w:r>
              <w:rPr>
                <w:rFonts w:cs="Times New Roman"/>
                <w:color w:val="000000"/>
                <w:szCs w:val="24"/>
                <w:lang/>
              </w:rPr>
              <w:t>Relatório para o CODE sobre os resultados das atividades da 2ª fase de revisão e apresentação da segunda versão da Estrutura Ambiental e Social</w:t>
            </w:r>
          </w:p>
          <w:p w:rsidR="0055524D" w:rsidRPr="00E028EB" w:rsidRDefault="0055524D" w:rsidP="00F52330">
            <w:pPr>
              <w:widowControl w:val="0"/>
              <w:numPr>
                <w:ilvl w:val="0"/>
                <w:numId w:val="13"/>
              </w:numPr>
              <w:spacing w:after="120"/>
              <w:jc w:val="both"/>
              <w:rPr>
                <w:rFonts w:cs="Times New Roman"/>
                <w:color w:val="000000"/>
                <w:szCs w:val="24"/>
                <w:lang w:val="pt-BR"/>
              </w:rPr>
            </w:pPr>
            <w:r>
              <w:rPr>
                <w:rFonts w:cs="Times New Roman"/>
                <w:color w:val="000000"/>
                <w:szCs w:val="24"/>
                <w:lang/>
              </w:rPr>
              <w:t>Período de consulta de 4 meses, buscando feedback de acionistas e partes interessadas externas sobre o segundo projeto do EAS</w:t>
            </w:r>
          </w:p>
          <w:p w:rsidR="0055524D" w:rsidRPr="00E028EB" w:rsidRDefault="0055524D" w:rsidP="00F52330">
            <w:pPr>
              <w:widowControl w:val="0"/>
              <w:numPr>
                <w:ilvl w:val="0"/>
                <w:numId w:val="13"/>
              </w:numPr>
              <w:spacing w:after="120"/>
              <w:jc w:val="both"/>
              <w:rPr>
                <w:rFonts w:cs="Times New Roman"/>
                <w:color w:val="000000"/>
                <w:szCs w:val="24"/>
                <w:lang w:val="pt-BR"/>
              </w:rPr>
            </w:pPr>
            <w:r>
              <w:rPr>
                <w:rFonts w:cs="Times New Roman"/>
                <w:color w:val="000000"/>
                <w:szCs w:val="24"/>
                <w:lang/>
              </w:rPr>
              <w:t>Colaboração interna com Práticas Globais, áreas de soluções transetoriais, líderes da Equipe de Tarefas e outros funcionários em todo o Grupo Banco Mundial</w:t>
            </w:r>
          </w:p>
          <w:p w:rsidR="0055524D" w:rsidRPr="00E028EB" w:rsidRDefault="0055524D" w:rsidP="00F52330">
            <w:pPr>
              <w:widowControl w:val="0"/>
              <w:numPr>
                <w:ilvl w:val="0"/>
                <w:numId w:val="13"/>
              </w:numPr>
              <w:spacing w:after="120"/>
              <w:jc w:val="both"/>
              <w:rPr>
                <w:rFonts w:cs="Times New Roman"/>
                <w:color w:val="000000"/>
                <w:szCs w:val="24"/>
                <w:lang w:val="pt-BR"/>
              </w:rPr>
            </w:pPr>
            <w:r>
              <w:rPr>
                <w:rFonts w:cs="Times New Roman"/>
                <w:color w:val="000000"/>
                <w:szCs w:val="24"/>
                <w:lang/>
              </w:rPr>
              <w:t>Versão piloto da EAS proposta usando os projetos atuais apoiados pelo Banco Mundial</w:t>
            </w:r>
          </w:p>
          <w:p w:rsidR="0055524D" w:rsidRPr="00E028EB" w:rsidRDefault="0055524D" w:rsidP="00F52330">
            <w:pPr>
              <w:widowControl w:val="0"/>
              <w:numPr>
                <w:ilvl w:val="0"/>
                <w:numId w:val="13"/>
              </w:numPr>
              <w:spacing w:after="120"/>
              <w:jc w:val="both"/>
              <w:rPr>
                <w:rFonts w:cs="Times New Roman"/>
                <w:color w:val="000000"/>
                <w:szCs w:val="24"/>
                <w:lang w:val="pt-BR"/>
              </w:rPr>
            </w:pPr>
            <w:r>
              <w:rPr>
                <w:rFonts w:cs="Times New Roman"/>
                <w:color w:val="000000"/>
                <w:szCs w:val="24"/>
                <w:lang/>
              </w:rPr>
              <w:t xml:space="preserve">Relatório ao Diretor Executivo sobre os feedbacks recebido e os resultados da terceira fase da revisão </w:t>
            </w:r>
          </w:p>
          <w:p w:rsidR="0055524D" w:rsidRPr="00E028EB" w:rsidRDefault="0055524D" w:rsidP="00387469">
            <w:pPr>
              <w:keepNext/>
              <w:keepLines/>
              <w:widowControl w:val="0"/>
              <w:numPr>
                <w:ilvl w:val="0"/>
                <w:numId w:val="13"/>
              </w:numPr>
              <w:spacing w:after="120"/>
              <w:jc w:val="both"/>
              <w:rPr>
                <w:rFonts w:cs="Times New Roman"/>
                <w:color w:val="000000"/>
                <w:szCs w:val="24"/>
                <w:lang w:val="pt-BR"/>
              </w:rPr>
            </w:pPr>
            <w:r>
              <w:rPr>
                <w:rFonts w:cs="Times New Roman"/>
                <w:color w:val="000000"/>
                <w:szCs w:val="24"/>
                <w:lang/>
              </w:rPr>
              <w:t>Preparação da terceira versão da EAS e do plano de execução, tendo em conta os feedbacks recebidos das partes interessadas, a serem apresentados ao Conselho de Diretores Executivos para aprovação no início de 2016</w:t>
            </w:r>
          </w:p>
        </w:tc>
      </w:tr>
    </w:tbl>
    <w:p w:rsidR="00FE2805" w:rsidRPr="00E028EB" w:rsidRDefault="00FE2805" w:rsidP="0055524D">
      <w:pPr>
        <w:spacing w:after="120" w:line="240" w:lineRule="auto"/>
        <w:jc w:val="both"/>
        <w:rPr>
          <w:lang w:val="pt-BR"/>
        </w:rPr>
      </w:pPr>
      <w:r>
        <w:rPr>
          <w:lang/>
        </w:rPr>
        <w:t>O Banco Mundial está</w:t>
      </w:r>
      <w:r w:rsidR="00F31B4B">
        <w:rPr>
          <w:lang/>
        </w:rPr>
        <w:t xml:space="preserve"> disponibilizando</w:t>
      </w:r>
      <w:r>
        <w:rPr>
          <w:lang/>
        </w:rPr>
        <w:t xml:space="preserve"> um site exclusivo de consulta</w:t>
      </w:r>
      <w:r>
        <w:rPr>
          <w:rStyle w:val="Refdenotaderodap"/>
          <w:lang/>
        </w:rPr>
        <w:footnoteReference w:id="3"/>
      </w:r>
      <w:r>
        <w:rPr>
          <w:lang/>
        </w:rPr>
        <w:t xml:space="preserve"> que fornece acesso a materiais, calendários e resumos da consulta. As consultas são realizadas seguindo a boa prática internacional e as diretrizes de consulta do Banco Mundial</w:t>
      </w:r>
      <w:r>
        <w:rPr>
          <w:rStyle w:val="Refdenotaderodap"/>
          <w:lang/>
        </w:rPr>
        <w:footnoteReference w:id="4"/>
      </w:r>
      <w:r>
        <w:rPr>
          <w:lang/>
        </w:rPr>
        <w:t xml:space="preserve">. </w:t>
      </w:r>
    </w:p>
    <w:p w:rsidR="00897D93" w:rsidRPr="00E028EB" w:rsidRDefault="00897D93" w:rsidP="00CA607A">
      <w:pPr>
        <w:pStyle w:val="Default"/>
        <w:spacing w:after="120"/>
        <w:jc w:val="both"/>
        <w:rPr>
          <w:lang w:val="pt-BR"/>
        </w:rPr>
      </w:pPr>
    </w:p>
    <w:p w:rsidR="004126C9" w:rsidRPr="00E028EB" w:rsidRDefault="00F50C52" w:rsidP="00DD144A">
      <w:pPr>
        <w:keepNext/>
        <w:keepLines/>
        <w:spacing w:after="120" w:line="240" w:lineRule="auto"/>
        <w:jc w:val="both"/>
        <w:outlineLvl w:val="0"/>
        <w:rPr>
          <w:rFonts w:cs="Times New Roman"/>
          <w:i/>
          <w:color w:val="000000"/>
          <w:szCs w:val="24"/>
          <w:lang w:val="pt-BR"/>
        </w:rPr>
      </w:pPr>
      <w:r>
        <w:rPr>
          <w:rFonts w:cs="Times New Roman"/>
          <w:i/>
          <w:iCs/>
          <w:color w:val="000000"/>
          <w:szCs w:val="24"/>
          <w:lang/>
        </w:rPr>
        <w:t>1ª Fase: Lições aprendidas, princípios</w:t>
      </w:r>
    </w:p>
    <w:p w:rsidR="002F7295" w:rsidRPr="00E028EB" w:rsidRDefault="00F50C52" w:rsidP="002F7295">
      <w:pPr>
        <w:pStyle w:val="Default"/>
        <w:spacing w:after="120"/>
        <w:jc w:val="both"/>
        <w:rPr>
          <w:lang w:val="pt-BR"/>
        </w:rPr>
      </w:pPr>
      <w:r>
        <w:rPr>
          <w:lang/>
        </w:rPr>
        <w:t xml:space="preserve">Na sequência do debate do Documento de Enfoque pelo CODE, em outubro de 2012, o Banco Mundial iniciou a primeira fase de consultas com os acionistas, partes interessadas internas e uma ampla variedade de participantes externos para buscar informações sobre oportunidades, direções emergentes e opções que informaram a versão de uma nova estrutura da política proposta. A consulta foi exploratória, reunindo as informações das partes interessadas, para ajudar a moldar um conjunto revisto de políticas de salvaguardas. O Banco Mundial realizou uma primeira fase de consulta de outubro de 2012 a abril de 2013, atingindo mais de 2.000 participantes de mais de 40 países de todas as regiões do mundo. O processo de consulta incluiu reuniões exclusivas com povos indígenas e pessoas afetadas pelo projeto, bem como reuniões de especialistas sobre </w:t>
      </w:r>
      <w:r w:rsidR="00F31B4B">
        <w:rPr>
          <w:lang/>
        </w:rPr>
        <w:t>“</w:t>
      </w:r>
      <w:r>
        <w:rPr>
          <w:lang/>
        </w:rPr>
        <w:t>áreas emergentes</w:t>
      </w:r>
      <w:r w:rsidR="00F31B4B">
        <w:rPr>
          <w:lang/>
        </w:rPr>
        <w:t>”</w:t>
      </w:r>
      <w:r>
        <w:rPr>
          <w:lang/>
        </w:rPr>
        <w:t>, como a mudança climática, os direitos humanos, a mão de obra e a posse da terra. Em paralelo, foi realizada uma revisão geral de boas práticas e lições aprendidas, incluindo outros bancos de desenvolvimento multilateral. O Banco Mundial também iniciou um diálogo a nível mundial com líderes e organizações de povos</w:t>
      </w:r>
      <w:r>
        <w:rPr>
          <w:rStyle w:val="Refdenotaderodap"/>
          <w:lang/>
        </w:rPr>
        <w:footnoteReference w:id="5"/>
      </w:r>
      <w:r>
        <w:rPr>
          <w:lang/>
        </w:rPr>
        <w:t xml:space="preserve"> indígenas. Este diálogo está em curso. Um resumo das informações recebidas</w:t>
      </w:r>
      <w:r>
        <w:rPr>
          <w:rStyle w:val="Refdenotaderodap"/>
          <w:lang/>
        </w:rPr>
        <w:footnoteReference w:id="6"/>
      </w:r>
      <w:r>
        <w:rPr>
          <w:lang/>
        </w:rPr>
        <w:t xml:space="preserve"> resultantes das consultas da Fase 1 da revisão, bem como as informações sobre o processo geral de consulta podem ser encontrados no site exclusivo para consultas. </w:t>
      </w:r>
    </w:p>
    <w:p w:rsidR="002F7295" w:rsidRPr="00E028EB" w:rsidRDefault="002F7295" w:rsidP="00DD144A">
      <w:pPr>
        <w:keepNext/>
        <w:keepLines/>
        <w:spacing w:after="120" w:line="240" w:lineRule="auto"/>
        <w:jc w:val="both"/>
        <w:outlineLvl w:val="0"/>
        <w:rPr>
          <w:rFonts w:cs="Times New Roman"/>
          <w:i/>
          <w:color w:val="000000"/>
          <w:szCs w:val="24"/>
          <w:lang w:val="pt-BR"/>
        </w:rPr>
      </w:pPr>
    </w:p>
    <w:p w:rsidR="00F50C52" w:rsidRPr="00E028EB" w:rsidRDefault="00F50C52" w:rsidP="00DD144A">
      <w:pPr>
        <w:keepNext/>
        <w:keepLines/>
        <w:spacing w:after="120" w:line="240" w:lineRule="auto"/>
        <w:jc w:val="both"/>
        <w:outlineLvl w:val="0"/>
        <w:rPr>
          <w:rFonts w:cs="Times New Roman"/>
          <w:i/>
          <w:color w:val="000000"/>
          <w:szCs w:val="24"/>
          <w:lang w:val="pt-BR"/>
        </w:rPr>
      </w:pPr>
      <w:r>
        <w:rPr>
          <w:rFonts w:cs="Times New Roman"/>
          <w:i/>
          <w:iCs/>
          <w:color w:val="000000"/>
          <w:szCs w:val="24"/>
          <w:lang/>
        </w:rPr>
        <w:t>2ª Fase: Normas Ambientais e Sociais (NASs)</w:t>
      </w:r>
    </w:p>
    <w:p w:rsidR="002F7295" w:rsidRPr="00E028EB" w:rsidRDefault="002F7295" w:rsidP="002F7295">
      <w:pPr>
        <w:spacing w:after="120" w:line="240" w:lineRule="auto"/>
        <w:jc w:val="both"/>
        <w:rPr>
          <w:lang w:val="pt-BR"/>
        </w:rPr>
      </w:pPr>
      <w:r>
        <w:rPr>
          <w:szCs w:val="24"/>
          <w:lang/>
        </w:rPr>
        <w:t xml:space="preserve">Em 30 de julho de 2014, o CODE discutiu um primeiro projeto da Estrutura Ambiental e Social, que incluiu dez versões das Normas Ambientais e Sociais, uma versão da Política Ambiental e Social, e uma proposta da Declaração de Visão. Os membros do Comitê autorizaram a liberação do documento da proposta para efeitos de consulta com as partes interessadas sobre as propostas específicas. </w:t>
      </w:r>
      <w:r>
        <w:rPr>
          <w:lang/>
        </w:rPr>
        <w:t xml:space="preserve">O Banco Mundial realizou a segunda fase de consultas a partir de 31 de julho de 2014, até 01 de março de 2015. Esta consulta consistiu no maior esforço de engajamento em uma reforma política empreendida pelo Banco Mundial ou outros parceiros de desenvolvimento até o momento. As consultas incluíram participantes de 65 países de todas as regiões, incluindo 54 países mutuários. Mais de 130 documentos de posicionamento foram recebidos de governos, líderes indígenas e comunidades afetadas pelo projeto. As partes interessadas consultadas incluíram representantes dos governos mutuários, organizações da sociedade civil, </w:t>
      </w:r>
      <w:r>
        <w:rPr>
          <w:color w:val="000000"/>
          <w:lang/>
        </w:rPr>
        <w:t>Agências da ONU; titulares de mandatos multilaterais; parceiros multilaterais e bilaterais de desenvolvimento; representantes do setor privado; organizações e fundações voltadas para o desenvolvimento; instituições acadêmicas e de pesquisa aplicada; organizações e sociedades profissionais; Sindicatos; líderes e representantes dos povos indígenas; e organizações da sociedade civil em nível internacional, nacional e local voltadas para políticas públicas ou prestação de serviços</w:t>
      </w:r>
      <w:r>
        <w:rPr>
          <w:rFonts w:asciiTheme="minorHAnsi" w:hAnsiTheme="minorHAnsi"/>
          <w:sz w:val="22"/>
          <w:lang/>
        </w:rPr>
        <w:t xml:space="preserve">. </w:t>
      </w:r>
      <w:r>
        <w:rPr>
          <w:lang/>
        </w:rPr>
        <w:t>Eles forneceram seus feedbacks durante debates presenciais, em conferências de áudio e vídeo, grupos de discussão de especialistas, e através de apresentações on-line para um site exclusivo. O processo de consulta abrangeu a busca de informações para a primeira versão da estrutura e, em particular, sobre as principais modificações que fortaleceriam a sua eficácia. Um resumo dos feedbacks recebidos durante as consultas, bem como as respostas do Banco Mundial estão disponíveis online</w:t>
      </w:r>
      <w:r>
        <w:rPr>
          <w:rStyle w:val="Refdenotaderodap"/>
          <w:lang/>
        </w:rPr>
        <w:footnoteReference w:id="7"/>
      </w:r>
      <w:r>
        <w:rPr>
          <w:lang/>
        </w:rPr>
        <w:t xml:space="preserve">. </w:t>
      </w:r>
    </w:p>
    <w:p w:rsidR="00907CE4" w:rsidRPr="00E028EB" w:rsidRDefault="00907CE4" w:rsidP="002F7295">
      <w:pPr>
        <w:spacing w:after="120" w:line="240" w:lineRule="auto"/>
        <w:jc w:val="both"/>
        <w:rPr>
          <w:rFonts w:eastAsiaTheme="minorEastAsia" w:cs="Times New Roman"/>
          <w:szCs w:val="24"/>
          <w:lang w:val="pt-BR"/>
        </w:rPr>
      </w:pPr>
    </w:p>
    <w:p w:rsidR="00F50C52" w:rsidRPr="00E028EB" w:rsidRDefault="00F50C52" w:rsidP="00DD144A">
      <w:pPr>
        <w:keepNext/>
        <w:keepLines/>
        <w:spacing w:after="120" w:line="240" w:lineRule="auto"/>
        <w:jc w:val="both"/>
        <w:outlineLvl w:val="0"/>
        <w:rPr>
          <w:rFonts w:cs="Times New Roman"/>
          <w:i/>
          <w:color w:val="000000"/>
          <w:szCs w:val="24"/>
          <w:lang w:val="pt-BR"/>
        </w:rPr>
      </w:pPr>
      <w:r>
        <w:rPr>
          <w:rFonts w:cs="Times New Roman"/>
          <w:i/>
          <w:iCs/>
          <w:color w:val="000000"/>
          <w:szCs w:val="24"/>
          <w:lang/>
        </w:rPr>
        <w:t>3ª Fase: Viabilidade da implementação e questões importantes</w:t>
      </w:r>
    </w:p>
    <w:p w:rsidR="008E55DF" w:rsidRPr="00E028EB" w:rsidRDefault="0095579A" w:rsidP="00C74A92">
      <w:pPr>
        <w:pStyle w:val="Default"/>
        <w:spacing w:after="120"/>
        <w:jc w:val="both"/>
        <w:rPr>
          <w:lang w:val="pt-BR"/>
        </w:rPr>
      </w:pPr>
      <w:r>
        <w:rPr>
          <w:lang/>
        </w:rPr>
        <w:t>Após consulta sobre as normas específicas propostas, o Banco Mundial revisou a primeira versão da EAS, abrangendo o feedback da sobre a consulta. Uma segunda versão da estrutura foi apresentada ao CODE em 24 de junho de 2015 e discutida em 1º de julho de 2015. Os Diretores Executivos autorizaram uma terceira fase de consulta, reconhecendo que ficou evidente a necessidade de se organizar uma discussão mais aprofundada sobre vários aspectos, especificamente sobre a declaração de visão, algumas normas, e suscetibilidades/ambição de linguagem. Igualmente, os Diretores Executivos observaram a necessidade de uma maior clareza sobre a exequibilidade da EAS e do impacto potencial sobre os mutuários. Assim, o CODE encarregou a Equipe de Gestão a concentrar as consultas sobre a coleta de feedbacks sobre a exequibilidade da EAS</w:t>
      </w:r>
      <w:r>
        <w:rPr>
          <w:color w:val="000000" w:themeColor="text1"/>
          <w:lang/>
        </w:rPr>
        <w:t xml:space="preserve"> nos países mutuários e solicitou que o pacote de consulta incluísse</w:t>
      </w:r>
      <w:r>
        <w:rPr>
          <w:lang/>
        </w:rPr>
        <w:t xml:space="preserve"> uma lista de questões indicativas a serem exploradas durante as consultas</w:t>
      </w:r>
      <w:r>
        <w:rPr>
          <w:rStyle w:val="Refdenotaderodap"/>
          <w:lang/>
        </w:rPr>
        <w:footnoteReference w:id="8"/>
      </w:r>
      <w:r>
        <w:rPr>
          <w:lang/>
        </w:rPr>
        <w:t xml:space="preserve">. </w:t>
      </w:r>
    </w:p>
    <w:p w:rsidR="00127B15" w:rsidRPr="00E028EB" w:rsidRDefault="008F0969" w:rsidP="00DD144A">
      <w:pPr>
        <w:pStyle w:val="Default"/>
        <w:spacing w:after="120"/>
        <w:jc w:val="both"/>
        <w:rPr>
          <w:lang w:val="pt-BR"/>
        </w:rPr>
      </w:pPr>
      <w:r>
        <w:rPr>
          <w:lang/>
        </w:rPr>
        <w:t xml:space="preserve">O Documento do CODE (intitulado "Documento de Consulta), a segunda versão da EAS, a versão do Procedimento Ambiental e Social, a lista de questões indicativas para as consultas da 3ª Fase, o resumo das consultas da 2ª Fase e as respostas do Banco, bem como este plano de consulta, foram publicamente divulgados no site exclusivo de consulta. A previsão de duração da terceira fase é de 4 meses. </w:t>
      </w:r>
    </w:p>
    <w:p w:rsidR="00B56769" w:rsidRPr="00E028EB" w:rsidRDefault="00B56769" w:rsidP="00B56769">
      <w:pPr>
        <w:pStyle w:val="Default"/>
        <w:spacing w:before="120" w:after="120"/>
        <w:jc w:val="both"/>
        <w:rPr>
          <w:color w:val="000000" w:themeColor="text1"/>
          <w:lang w:val="pt-BR"/>
        </w:rPr>
      </w:pPr>
      <w:r>
        <w:rPr>
          <w:color w:val="000000" w:themeColor="text1"/>
          <w:lang/>
        </w:rPr>
        <w:t xml:space="preserve">As consultas preveem a inclusão de discussões técnicas e </w:t>
      </w:r>
      <w:r w:rsidR="00F31B4B">
        <w:rPr>
          <w:color w:val="000000" w:themeColor="text1"/>
          <w:lang/>
        </w:rPr>
        <w:t>workshops</w:t>
      </w:r>
      <w:r>
        <w:rPr>
          <w:color w:val="000000" w:themeColor="text1"/>
          <w:lang/>
        </w:rPr>
        <w:t xml:space="preserve"> de execução para considerar estudos de caso do projeto com o governo, especialmente com as agências de execução; oficinas de execução para considerar estudos de caso com especialistas e profissionais de organizações internacionais, sociedade civil, setor privado e academia; bem como consultas gerais com a sociedade civil e outras partes interessadas. </w:t>
      </w:r>
      <w:r>
        <w:rPr>
          <w:lang/>
        </w:rPr>
        <w:t>Grupos de enfoque especializados podem ser hospedados pelo Banco Mundial ou por um parceiro externo da comunidade acadêmica, sociedade civil ou do setor privado.</w:t>
      </w:r>
    </w:p>
    <w:p w:rsidR="001649D9" w:rsidRPr="00E028EB" w:rsidRDefault="001649D9" w:rsidP="00DD144A">
      <w:pPr>
        <w:pStyle w:val="Default"/>
        <w:spacing w:after="120"/>
        <w:jc w:val="both"/>
        <w:rPr>
          <w:lang w:val="pt-BR"/>
        </w:rPr>
      </w:pPr>
      <w:r>
        <w:rPr>
          <w:lang/>
        </w:rPr>
        <w:t xml:space="preserve">Além de workshops e outros encontros presenciais, o Banco Mundial irá utilizar canais on-line para engajar as partes interessadas e sediará consultas on-line globalmente acessíveis. </w:t>
      </w:r>
    </w:p>
    <w:p w:rsidR="00404568" w:rsidRPr="00E028EB" w:rsidRDefault="00404568" w:rsidP="00404568">
      <w:pPr>
        <w:pStyle w:val="Default"/>
        <w:spacing w:after="120"/>
        <w:rPr>
          <w:lang w:val="pt-BR"/>
        </w:rPr>
      </w:pPr>
    </w:p>
    <w:p w:rsidR="00F31AA0" w:rsidRPr="00C528FB" w:rsidRDefault="00C528FB" w:rsidP="00C528FB">
      <w:pPr>
        <w:pStyle w:val="PargrafodaLista"/>
        <w:numPr>
          <w:ilvl w:val="0"/>
          <w:numId w:val="8"/>
        </w:numPr>
        <w:spacing w:after="120"/>
        <w:ind w:left="0" w:firstLine="0"/>
        <w:rPr>
          <w:rFonts w:cs="Times New Roman"/>
          <w:b/>
          <w:bCs/>
          <w:szCs w:val="24"/>
        </w:rPr>
      </w:pPr>
      <w:r>
        <w:rPr>
          <w:rFonts w:cs="Times New Roman"/>
          <w:b/>
          <w:bCs/>
          <w:szCs w:val="24"/>
          <w:lang/>
        </w:rPr>
        <w:t xml:space="preserve">Processo de consulta </w:t>
      </w:r>
    </w:p>
    <w:p w:rsidR="00F31AA0" w:rsidRPr="00E028EB" w:rsidRDefault="00E028EB" w:rsidP="00DD144A">
      <w:pPr>
        <w:pStyle w:val="Default"/>
        <w:spacing w:after="120"/>
        <w:jc w:val="both"/>
        <w:rPr>
          <w:lang w:val="pt-BR"/>
        </w:rPr>
      </w:pPr>
      <w:r>
        <w:rPr>
          <w:lang/>
        </w:rPr>
        <w:t>Uma página para consulta de uso exclusivo (</w:t>
      </w:r>
      <w:hyperlink r:id="rId14" w:history="1">
        <w:r>
          <w:rPr>
            <w:rStyle w:val="Hyperlink"/>
            <w:lang/>
          </w:rPr>
          <w:t>www.worldbank.org / safeguardsconsultations</w:t>
        </w:r>
      </w:hyperlink>
      <w:r>
        <w:rPr>
          <w:lang/>
        </w:rPr>
        <w:t>) fornecerá a plataforma para que os acionistas e outras partes interessadas apresent</w:t>
      </w:r>
      <w:r w:rsidR="00986E14">
        <w:rPr>
          <w:lang/>
        </w:rPr>
        <w:t>e</w:t>
      </w:r>
      <w:r>
        <w:rPr>
          <w:lang/>
        </w:rPr>
        <w:t>m suas sugestões, participem das discussões e contribuam para a revisão.</w:t>
      </w:r>
      <w:r w:rsidR="00F31AA0">
        <w:rPr>
          <w:lang/>
        </w:rPr>
        <w:t xml:space="preserve"> Os indivíduos e as partes interessadas podem apresentar comentários por escrito através deste site ou por e-mail para </w:t>
      </w:r>
      <w:hyperlink r:id="rId15" w:history="1">
        <w:r w:rsidR="00F31AA0">
          <w:rPr>
            <w:rStyle w:val="Hyperlink"/>
            <w:u w:val="none"/>
            <w:lang/>
          </w:rPr>
          <w:t>safeguardconsult@worldbank.org</w:t>
        </w:r>
      </w:hyperlink>
      <w:r w:rsidR="00F31AA0">
        <w:rPr>
          <w:lang/>
        </w:rPr>
        <w:t xml:space="preserve">. </w:t>
      </w:r>
    </w:p>
    <w:p w:rsidR="00F31AA0" w:rsidRPr="00E028EB" w:rsidRDefault="00F31AA0" w:rsidP="00DD144A">
      <w:pPr>
        <w:pStyle w:val="Default"/>
        <w:spacing w:after="120"/>
        <w:jc w:val="both"/>
        <w:rPr>
          <w:lang w:val="pt-BR"/>
        </w:rPr>
      </w:pPr>
      <w:r>
        <w:rPr>
          <w:lang/>
        </w:rPr>
        <w:t xml:space="preserve">A página na internet contém informações relacionadas com a revisão e agenda, processo de consulta, informações importantes sobre os antecedentes, recursos relacionados, cronogramas (assim que forem confirmados) e outras informações relevantes. </w:t>
      </w:r>
    </w:p>
    <w:p w:rsidR="00F31AA0" w:rsidRPr="00E028EB" w:rsidRDefault="00F31AA0" w:rsidP="00DD144A">
      <w:pPr>
        <w:pStyle w:val="Corpodetexto"/>
        <w:spacing w:before="0" w:line="240" w:lineRule="auto"/>
        <w:rPr>
          <w:rFonts w:cs="Times New Roman"/>
          <w:b/>
          <w:color w:val="000000"/>
          <w:szCs w:val="24"/>
          <w:lang w:val="pt-BR"/>
        </w:rPr>
      </w:pPr>
      <w:r>
        <w:rPr>
          <w:color w:val="000000"/>
          <w:szCs w:val="24"/>
          <w:lang/>
        </w:rPr>
        <w:t xml:space="preserve">Os documentos de consulta principais (a segunda versão da EAS, a versão da estrutura Ambiental e Social, o Documento do CODE ("documento de consulta") e a lista indicativa de problemas para consultas) serão disponibilizados em Árabe, Chinês, Inglês, Francês, Português, Russo e Espanhol. </w:t>
      </w:r>
      <w:r>
        <w:rPr>
          <w:lang/>
        </w:rPr>
        <w:t>A tradução para idiomas adicionais, incluindo Braille, pode ser fornecida ao longo do processo de consulta.</w:t>
      </w:r>
    </w:p>
    <w:p w:rsidR="00335311" w:rsidRPr="00E028EB" w:rsidRDefault="00600A3E" w:rsidP="00600A3E">
      <w:pPr>
        <w:pStyle w:val="Default"/>
        <w:spacing w:after="120"/>
        <w:jc w:val="both"/>
        <w:rPr>
          <w:lang w:val="pt-BR"/>
        </w:rPr>
      </w:pPr>
      <w:r>
        <w:rPr>
          <w:lang/>
        </w:rPr>
        <w:t xml:space="preserve">Os participantes serão identificados pelo Banco Mundial em colaboração com parceiros de governos, agências de implementação, organismos internacionais, sociedade civil, setor privado e comunidade acadêmica. </w:t>
      </w:r>
    </w:p>
    <w:p w:rsidR="00F40B35" w:rsidRPr="00E028EB" w:rsidRDefault="0089596C" w:rsidP="00600A3E">
      <w:pPr>
        <w:pStyle w:val="Default"/>
        <w:spacing w:after="120"/>
        <w:jc w:val="both"/>
        <w:rPr>
          <w:lang w:val="pt-BR"/>
        </w:rPr>
      </w:pPr>
      <w:r>
        <w:rPr>
          <w:lang/>
        </w:rPr>
        <w:t>O Banco Mundial fará esforços especiais para obter a diversidade entre os participantes no que diz respeito a interesse, região, formação profissional e setor. Será dada atenção especial para garantir o acesso a membros de grupos vulneráveis ou marginalizad</w:t>
      </w:r>
      <w:r w:rsidR="0020665D">
        <w:rPr>
          <w:lang/>
        </w:rPr>
        <w:t>o</w:t>
      </w:r>
      <w:r>
        <w:rPr>
          <w:lang/>
        </w:rPr>
        <w:t>s, incluindo as partes interessadas que vivem em áreas de difícil acesso. Todas as partes interessadas são convidadas a apresentar as suas observações por escrito.</w:t>
      </w:r>
    </w:p>
    <w:p w:rsidR="007F7FCD" w:rsidRPr="00E028EB" w:rsidRDefault="00925EB1" w:rsidP="00600A3E">
      <w:pPr>
        <w:pStyle w:val="Default"/>
        <w:spacing w:after="120"/>
        <w:jc w:val="both"/>
        <w:rPr>
          <w:lang w:val="pt-BR"/>
        </w:rPr>
      </w:pPr>
      <w:r>
        <w:rPr>
          <w:lang/>
        </w:rPr>
        <w:t xml:space="preserve">Participantes para consultas com especialistas serão selecionados com base em sua experiência prática na execução de aspectos da EAS proposta (tais como avaliação de impacto, mitigação de riscos, elaboração do projeto, concepção e aplicação de instrumentos de mitigação de riscos, monitoramento do projeto, trabalho com grupos vulneráveis e outros trabalhos relevantes à EAS proposta). </w:t>
      </w:r>
    </w:p>
    <w:p w:rsidR="00882E9C" w:rsidRPr="00E028EB" w:rsidRDefault="00600A3E" w:rsidP="00600A3E">
      <w:pPr>
        <w:pStyle w:val="Default"/>
        <w:spacing w:after="120"/>
        <w:jc w:val="both"/>
        <w:rPr>
          <w:lang w:val="pt-BR"/>
        </w:rPr>
      </w:pPr>
      <w:r>
        <w:rPr>
          <w:lang/>
        </w:rPr>
        <w:t xml:space="preserve">Os convites para reuniões de consulta gerais serão emitidos pelo menos duas semanas antes da reunião. As partes interessadas que estejam interessadas em assistir a uma reunião de consulta da sociedade civil, mas não receberam um convite podem registrar-se junto ao Banco Mundial. Será assegurada a acessibilidade das pessoas com deficiência e as proteções adequadas de grupos vulneráveis. </w:t>
      </w:r>
    </w:p>
    <w:p w:rsidR="00600A3E" w:rsidRPr="00E028EB" w:rsidRDefault="00600A3E" w:rsidP="00600A3E">
      <w:pPr>
        <w:pStyle w:val="Default"/>
        <w:spacing w:after="120"/>
        <w:jc w:val="both"/>
        <w:rPr>
          <w:lang w:val="pt-BR"/>
        </w:rPr>
      </w:pPr>
      <w:r>
        <w:rPr>
          <w:lang/>
        </w:rPr>
        <w:t xml:space="preserve">As reuniões de consulta seguem as regras de Chatham House. O Banco Mundial fornecerá um resumo escrito de cada reunião de consulta e solicitará que os participantes a revisem e, se necessário, editará os resumos antes de publicá-los no site da consulta. Ao apresentar o terceiro projeto da EAS à Diretoria Executiva, o Banco Mundial fornecerá um resumo de alto nível dos resultados da </w:t>
      </w:r>
      <w:r w:rsidR="00986E14">
        <w:rPr>
          <w:lang/>
        </w:rPr>
        <w:t xml:space="preserve">3ª </w:t>
      </w:r>
      <w:r>
        <w:rPr>
          <w:lang/>
        </w:rPr>
        <w:t xml:space="preserve">Fase da consulta em conjunto com as respostas sobre como o </w:t>
      </w:r>
      <w:proofErr w:type="gramStart"/>
      <w:r>
        <w:rPr>
          <w:lang/>
        </w:rPr>
        <w:t>feedback</w:t>
      </w:r>
      <w:proofErr w:type="gramEnd"/>
      <w:r>
        <w:rPr>
          <w:lang/>
        </w:rPr>
        <w:t xml:space="preserve"> foi utilizado. </w:t>
      </w:r>
    </w:p>
    <w:p w:rsidR="00600A3E" w:rsidRPr="00E028EB" w:rsidRDefault="00600A3E" w:rsidP="00DD144A">
      <w:pPr>
        <w:pStyle w:val="Corpodetexto"/>
        <w:spacing w:before="0" w:line="240" w:lineRule="auto"/>
        <w:rPr>
          <w:rFonts w:cs="Times New Roman"/>
          <w:szCs w:val="24"/>
          <w:lang w:val="pt-BR"/>
        </w:rPr>
      </w:pPr>
    </w:p>
    <w:p w:rsidR="00882E9C" w:rsidRPr="00C528FB" w:rsidRDefault="00882E9C" w:rsidP="00882E9C">
      <w:pPr>
        <w:pStyle w:val="PargrafodaLista"/>
        <w:numPr>
          <w:ilvl w:val="0"/>
          <w:numId w:val="8"/>
        </w:numPr>
        <w:spacing w:after="120"/>
        <w:ind w:left="0" w:firstLine="0"/>
        <w:rPr>
          <w:rFonts w:cs="Times New Roman"/>
          <w:b/>
          <w:bCs/>
          <w:szCs w:val="24"/>
        </w:rPr>
      </w:pPr>
      <w:r>
        <w:rPr>
          <w:rFonts w:cs="Times New Roman"/>
          <w:b/>
          <w:bCs/>
          <w:szCs w:val="24"/>
          <w:lang/>
        </w:rPr>
        <w:t>Contato</w:t>
      </w:r>
    </w:p>
    <w:p w:rsidR="00F50C52" w:rsidRPr="00E028EB" w:rsidRDefault="00F31AA0" w:rsidP="008B2864">
      <w:pPr>
        <w:pStyle w:val="Default"/>
        <w:spacing w:after="120"/>
        <w:jc w:val="both"/>
        <w:rPr>
          <w:lang w:val="pt-BR"/>
        </w:rPr>
      </w:pPr>
      <w:r>
        <w:rPr>
          <w:lang/>
        </w:rPr>
        <w:t xml:space="preserve">Perguntas sobre o processo de revisão e consultas deverão ser encaminhadas via e-mail para as equipe de Consultas de Salvaguarda em </w:t>
      </w:r>
      <w:hyperlink r:id="rId16" w:history="1">
        <w:r>
          <w:rPr>
            <w:rStyle w:val="Hyperlink"/>
            <w:lang/>
          </w:rPr>
          <w:t>safeguardconsult@worldbank.org</w:t>
        </w:r>
      </w:hyperlink>
      <w:r>
        <w:rPr>
          <w:lang/>
        </w:rPr>
        <w:t xml:space="preserve">.  </w:t>
      </w:r>
    </w:p>
    <w:sectPr w:rsidR="00F50C52" w:rsidRPr="00E028EB" w:rsidSect="004A60FE">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DC1" w:rsidRDefault="00C60DC1" w:rsidP="00C1064D">
      <w:r>
        <w:separator/>
      </w:r>
    </w:p>
  </w:endnote>
  <w:endnote w:type="continuationSeparator" w:id="0">
    <w:p w:rsidR="00C60DC1" w:rsidRDefault="00C60DC1" w:rsidP="00C10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463585"/>
      <w:docPartObj>
        <w:docPartGallery w:val="Page Numbers (Bottom of Page)"/>
        <w:docPartUnique/>
      </w:docPartObj>
    </w:sdtPr>
    <w:sdtEndPr>
      <w:rPr>
        <w:noProof/>
      </w:rPr>
    </w:sdtEndPr>
    <w:sdtContent>
      <w:p w:rsidR="001F4516" w:rsidRDefault="00CA42F7" w:rsidP="009206DC">
        <w:pPr>
          <w:pStyle w:val="Rodap"/>
          <w:spacing w:after="0"/>
          <w:jc w:val="right"/>
        </w:pPr>
        <w:r>
          <w:rPr>
            <w:lang/>
          </w:rPr>
          <w:fldChar w:fldCharType="begin"/>
        </w:r>
        <w:r w:rsidR="001F4516">
          <w:rPr>
            <w:lang/>
          </w:rPr>
          <w:instrText xml:space="preserve"> PAGE   \* MERGEFORMAT </w:instrText>
        </w:r>
        <w:r>
          <w:rPr>
            <w:lang/>
          </w:rPr>
          <w:fldChar w:fldCharType="separate"/>
        </w:r>
        <w:r w:rsidR="00986E14">
          <w:rPr>
            <w:noProof/>
            <w:lang/>
          </w:rPr>
          <w:t>7</w:t>
        </w:r>
        <w:r>
          <w:rPr>
            <w:noProof/>
            <w:lang/>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DC1" w:rsidRDefault="00C60DC1" w:rsidP="002D7D3D">
      <w:pPr>
        <w:spacing w:after="120" w:line="240" w:lineRule="auto"/>
      </w:pPr>
      <w:r>
        <w:separator/>
      </w:r>
    </w:p>
  </w:footnote>
  <w:footnote w:type="continuationSeparator" w:id="0">
    <w:p w:rsidR="00C60DC1" w:rsidRDefault="00C60DC1" w:rsidP="002D7D3D">
      <w:pPr>
        <w:spacing w:after="0" w:line="240" w:lineRule="auto"/>
      </w:pPr>
      <w:r>
        <w:continuationSeparator/>
      </w:r>
    </w:p>
  </w:footnote>
  <w:footnote w:id="1">
    <w:p w:rsidR="004D40C2" w:rsidRDefault="004D40C2">
      <w:pPr>
        <w:pStyle w:val="Textodenotaderodap"/>
      </w:pPr>
      <w:r>
        <w:rPr>
          <w:rStyle w:val="Refdenotaderodap"/>
          <w:lang/>
        </w:rPr>
        <w:footnoteRef/>
      </w:r>
      <w:r>
        <w:rPr>
          <w:lang/>
        </w:rPr>
        <w:t xml:space="preserve"> </w:t>
      </w:r>
      <w:hyperlink r:id="rId1" w:history="1">
        <w:r>
          <w:rPr>
            <w:rStyle w:val="Hyperlink"/>
            <w:lang/>
          </w:rPr>
          <w:t>http://siteresources.worldbank.org/EXTSAFEPOL/Resources/584434-1306431390058/SafeguardsReviewApproachPaper.pdf</w:t>
        </w:r>
      </w:hyperlink>
      <w:r>
        <w:rPr>
          <w:lang/>
        </w:rPr>
        <w:t xml:space="preserve"> </w:t>
      </w:r>
    </w:p>
  </w:footnote>
  <w:footnote w:id="2">
    <w:p w:rsidR="00A96D9E" w:rsidRDefault="00A96D9E">
      <w:pPr>
        <w:pStyle w:val="Textodenotaderodap"/>
      </w:pPr>
      <w:r>
        <w:rPr>
          <w:rStyle w:val="Refdenotaderodap"/>
          <w:lang/>
        </w:rPr>
        <w:footnoteRef/>
      </w:r>
      <w:r w:rsidRPr="00E028EB">
        <w:t xml:space="preserve"> </w:t>
      </w:r>
      <w:hyperlink r:id="rId2" w:history="1">
        <w:r w:rsidRPr="00E028EB">
          <w:rPr>
            <w:rStyle w:val="Hyperlink"/>
          </w:rPr>
          <w:t>https://consultations.worldbank.org/Data/hub/files/consultation-template/review-and-update-world-bank-safeguard-policies/en/materials/list_of_issues_for_consultations.pdf</w:t>
        </w:r>
      </w:hyperlink>
      <w:r w:rsidRPr="00E028EB">
        <w:t xml:space="preserve"> </w:t>
      </w:r>
    </w:p>
  </w:footnote>
  <w:footnote w:id="3">
    <w:p w:rsidR="00FE2805" w:rsidRDefault="00FE2805">
      <w:pPr>
        <w:pStyle w:val="Textodenotaderodap"/>
      </w:pPr>
      <w:r>
        <w:rPr>
          <w:rStyle w:val="Refdenotaderodap"/>
          <w:rFonts w:eastAsiaTheme="minorEastAsia" w:cs="Times New Roman"/>
          <w:lang/>
        </w:rPr>
        <w:footnoteRef/>
      </w:r>
      <w:r w:rsidRPr="00E028EB">
        <w:rPr>
          <w:rFonts w:eastAsiaTheme="minorEastAsia" w:cs="Times New Roman"/>
        </w:rPr>
        <w:t xml:space="preserve"> </w:t>
      </w:r>
      <w:hyperlink r:id="rId3" w:history="1">
        <w:r w:rsidRPr="00E028EB">
          <w:rPr>
            <w:rStyle w:val="Hyperlink"/>
            <w:rFonts w:eastAsiaTheme="minorEastAsia" w:cs="Times New Roman"/>
          </w:rPr>
          <w:t>www.worldbank.org/safeguardsconsultations</w:t>
        </w:r>
      </w:hyperlink>
    </w:p>
  </w:footnote>
  <w:footnote w:id="4">
    <w:p w:rsidR="00346660" w:rsidRDefault="00346660">
      <w:pPr>
        <w:pStyle w:val="Textodenotaderodap"/>
      </w:pPr>
      <w:r>
        <w:rPr>
          <w:rStyle w:val="Refdenotaderodap"/>
          <w:lang/>
        </w:rPr>
        <w:footnoteRef/>
      </w:r>
      <w:r w:rsidRPr="00E028EB">
        <w:t xml:space="preserve"> </w:t>
      </w:r>
      <w:hyperlink r:id="rId4" w:history="1">
        <w:r w:rsidRPr="00E028EB">
          <w:rPr>
            <w:rStyle w:val="Hyperlink"/>
          </w:rPr>
          <w:t>http://consultations.worldbank.org/Data/hub/files/documents/world_bank_consultation_guidelines_oct_2013_0.pdf</w:t>
        </w:r>
      </w:hyperlink>
      <w:r w:rsidRPr="00E028EB">
        <w:t xml:space="preserve"> </w:t>
      </w:r>
    </w:p>
  </w:footnote>
  <w:footnote w:id="5">
    <w:p w:rsidR="00D4470F" w:rsidRDefault="00D4470F" w:rsidP="00D4470F">
      <w:pPr>
        <w:pStyle w:val="Textodenotaderodap"/>
        <w:spacing w:after="0" w:line="240" w:lineRule="auto"/>
      </w:pPr>
      <w:r>
        <w:rPr>
          <w:rStyle w:val="Refdenotaderodap"/>
          <w:lang/>
        </w:rPr>
        <w:footnoteRef/>
      </w:r>
      <w:r w:rsidRPr="00E028EB">
        <w:t xml:space="preserve"> </w:t>
      </w:r>
      <w:hyperlink r:id="rId5" w:history="1">
        <w:r w:rsidRPr="00E028EB">
          <w:rPr>
            <w:rStyle w:val="Hyperlink"/>
          </w:rPr>
          <w:t>http://consultations.worldbank.org/Data/hub/files/safeguards_review_terms_of_reference_for_ip_regional_dialogue_2013.pdf</w:t>
        </w:r>
      </w:hyperlink>
      <w:r w:rsidRPr="00E028EB">
        <w:t xml:space="preserve"> </w:t>
      </w:r>
    </w:p>
  </w:footnote>
  <w:footnote w:id="6">
    <w:p w:rsidR="00D4470F" w:rsidRDefault="00D4470F" w:rsidP="00D4470F">
      <w:pPr>
        <w:pStyle w:val="Textodenotaderodap"/>
        <w:spacing w:after="0" w:line="240" w:lineRule="auto"/>
      </w:pPr>
      <w:r>
        <w:rPr>
          <w:rStyle w:val="Refdenotaderodap"/>
          <w:rFonts w:cs="Times New Roman"/>
          <w:lang/>
        </w:rPr>
        <w:footnoteRef/>
      </w:r>
      <w:r w:rsidRPr="00E028EB">
        <w:rPr>
          <w:rFonts w:cs="Times New Roman"/>
        </w:rPr>
        <w:t xml:space="preserve"> </w:t>
      </w:r>
      <w:hyperlink r:id="rId6" w:history="1">
        <w:r w:rsidRPr="00E028EB">
          <w:rPr>
            <w:rStyle w:val="Hyperlink"/>
            <w:rFonts w:cs="Times New Roman"/>
          </w:rPr>
          <w:t>http://consultations.worldbank.org/Data/hub/files/consultation-template/review-and-update-world-bank-safeguard-policies/en/phases/safeguards_consultations_phase1_feedback_summary_0.pdf</w:t>
        </w:r>
      </w:hyperlink>
      <w:r w:rsidRPr="00E028EB">
        <w:rPr>
          <w:rFonts w:cs="Times New Roman"/>
          <w:sz w:val="24"/>
          <w:szCs w:val="24"/>
        </w:rPr>
        <w:t xml:space="preserve"> </w:t>
      </w:r>
    </w:p>
  </w:footnote>
  <w:footnote w:id="7">
    <w:p w:rsidR="00222F45" w:rsidRDefault="00222F45">
      <w:pPr>
        <w:pStyle w:val="Textodenotaderodap"/>
      </w:pPr>
      <w:r>
        <w:rPr>
          <w:rStyle w:val="Refdenotaderodap"/>
          <w:lang/>
        </w:rPr>
        <w:footnoteRef/>
      </w:r>
      <w:r w:rsidRPr="00E028EB">
        <w:t xml:space="preserve"> </w:t>
      </w:r>
      <w:hyperlink r:id="rId7" w:history="1">
        <w:r w:rsidRPr="00E028EB">
          <w:rPr>
            <w:rStyle w:val="Hyperlink"/>
          </w:rPr>
          <w:t>https://consultations.worldbank.org/Data/hub/files/consultation-template/review-and-update-world-bank-safeguard-policies/en/materials/clean_summary_of_phase_2_consultations_and_bank_management_reponses_final_draft_for_consultation_july_1_2015.pdf</w:t>
        </w:r>
      </w:hyperlink>
      <w:r w:rsidRPr="00E028EB">
        <w:t xml:space="preserve"> </w:t>
      </w:r>
    </w:p>
  </w:footnote>
  <w:footnote w:id="8">
    <w:p w:rsidR="00027BF0" w:rsidRDefault="00027BF0">
      <w:pPr>
        <w:pStyle w:val="Textodenotaderodap"/>
      </w:pPr>
      <w:r>
        <w:rPr>
          <w:rStyle w:val="Refdenotaderodap"/>
          <w:lang/>
        </w:rPr>
        <w:footnoteRef/>
      </w:r>
      <w:r w:rsidRPr="00E028EB">
        <w:t xml:space="preserve"> </w:t>
      </w:r>
      <w:hyperlink r:id="rId8" w:history="1">
        <w:r w:rsidRPr="00E028EB">
          <w:rPr>
            <w:rStyle w:val="Hyperlink"/>
          </w:rPr>
          <w:t>https://consultations.worldbank.org/Data/hub/files/consultation-template/review-and-update-world-bank-safeguard-policies/en/materials/list_of_issues_for_consultations.pdf</w:t>
        </w:r>
      </w:hyperlink>
      <w:r w:rsidRPr="00E028EB">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0B" w:rsidRPr="00341829" w:rsidRDefault="005E470B" w:rsidP="005C6E41">
    <w:pPr>
      <w:spacing w:after="0"/>
      <w:jc w:val="right"/>
      <w:rPr>
        <w:rFonts w:asciiTheme="majorBidi" w:hAnsiTheme="majorBidi" w:cstheme="majorBidi"/>
        <w:b/>
        <w:bCs/>
        <w:sz w:val="36"/>
        <w:szCs w:val="36"/>
        <w:u w:val="single"/>
      </w:rPr>
    </w:pPr>
  </w:p>
  <w:p w:rsidR="005E470B" w:rsidRPr="00E028EB" w:rsidRDefault="005E470B" w:rsidP="005E470B">
    <w:pPr>
      <w:tabs>
        <w:tab w:val="center" w:pos="6480"/>
        <w:tab w:val="right" w:pos="12960"/>
      </w:tabs>
      <w:spacing w:after="0"/>
      <w:jc w:val="center"/>
      <w:rPr>
        <w:rFonts w:asciiTheme="majorBidi" w:hAnsiTheme="majorBidi" w:cstheme="majorBidi"/>
        <w:b/>
        <w:sz w:val="28"/>
        <w:szCs w:val="28"/>
        <w:u w:val="single"/>
        <w:lang w:val="pt-BR"/>
      </w:rPr>
    </w:pPr>
    <w:r>
      <w:rPr>
        <w:rFonts w:asciiTheme="majorBidi" w:hAnsiTheme="majorBidi" w:cstheme="majorBidi"/>
        <w:b/>
        <w:bCs/>
        <w:sz w:val="32"/>
        <w:szCs w:val="32"/>
        <w:lang/>
      </w:rPr>
      <w:t xml:space="preserve">Revisão e </w:t>
    </w:r>
    <w:r w:rsidR="0020665D">
      <w:rPr>
        <w:rFonts w:asciiTheme="majorBidi" w:hAnsiTheme="majorBidi" w:cstheme="majorBidi"/>
        <w:b/>
        <w:bCs/>
        <w:sz w:val="32"/>
        <w:szCs w:val="32"/>
        <w:lang/>
      </w:rPr>
      <w:t>A</w:t>
    </w:r>
    <w:r>
      <w:rPr>
        <w:rFonts w:asciiTheme="majorBidi" w:hAnsiTheme="majorBidi" w:cstheme="majorBidi"/>
        <w:b/>
        <w:bCs/>
        <w:sz w:val="32"/>
        <w:szCs w:val="32"/>
        <w:lang/>
      </w:rPr>
      <w:t xml:space="preserve">tualização das </w:t>
    </w:r>
    <w:r w:rsidR="0020665D">
      <w:rPr>
        <w:rFonts w:asciiTheme="majorBidi" w:hAnsiTheme="majorBidi" w:cstheme="majorBidi"/>
        <w:b/>
        <w:bCs/>
        <w:sz w:val="32"/>
        <w:szCs w:val="32"/>
        <w:lang/>
      </w:rPr>
      <w:t>P</w:t>
    </w:r>
    <w:r>
      <w:rPr>
        <w:rFonts w:asciiTheme="majorBidi" w:hAnsiTheme="majorBidi" w:cstheme="majorBidi"/>
        <w:b/>
        <w:bCs/>
        <w:sz w:val="32"/>
        <w:szCs w:val="32"/>
        <w:lang/>
      </w:rPr>
      <w:t xml:space="preserve">olíticas de </w:t>
    </w:r>
    <w:r w:rsidR="0020665D">
      <w:rPr>
        <w:rFonts w:asciiTheme="majorBidi" w:hAnsiTheme="majorBidi" w:cstheme="majorBidi"/>
        <w:b/>
        <w:bCs/>
        <w:sz w:val="32"/>
        <w:szCs w:val="32"/>
        <w:lang/>
      </w:rPr>
      <w:t>S</w:t>
    </w:r>
    <w:r>
      <w:rPr>
        <w:rFonts w:asciiTheme="majorBidi" w:hAnsiTheme="majorBidi" w:cstheme="majorBidi"/>
        <w:b/>
        <w:bCs/>
        <w:sz w:val="32"/>
        <w:szCs w:val="32"/>
        <w:lang/>
      </w:rPr>
      <w:t>alvaguarda do Banco Mundial</w:t>
    </w:r>
  </w:p>
  <w:p w:rsidR="001F4516" w:rsidRPr="00E028EB" w:rsidRDefault="003C609F" w:rsidP="003C609F">
    <w:pPr>
      <w:pStyle w:val="Cabealho"/>
      <w:jc w:val="center"/>
      <w:rPr>
        <w:rFonts w:eastAsiaTheme="majorEastAsia" w:cstheme="majorBidi"/>
        <w:i/>
        <w:iCs/>
        <w:sz w:val="32"/>
        <w:szCs w:val="32"/>
        <w:u w:val="single"/>
        <w:lang w:val="pt-BR"/>
      </w:rPr>
    </w:pPr>
    <w:r w:rsidRPr="003C609F">
      <w:rPr>
        <w:b/>
        <w:bCs/>
        <w:sz w:val="32"/>
        <w:szCs w:val="32"/>
        <w:u w:val="single"/>
        <w:lang/>
      </w:rPr>
      <w:t>Plano de consulta com as partes interessadas: Fase 3 da revisão e atualização das Políticas de salvaguarda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2DCEAD2"/>
    <w:lvl w:ilvl="0">
      <w:start w:val="1"/>
      <w:numFmt w:val="decimal"/>
      <w:pStyle w:val="Numerada"/>
      <w:lvlText w:val="%1."/>
      <w:lvlJc w:val="right"/>
      <w:pPr>
        <w:tabs>
          <w:tab w:val="num" w:pos="360"/>
        </w:tabs>
        <w:ind w:left="360" w:hanging="72"/>
      </w:pPr>
      <w:rPr>
        <w:rFonts w:hint="default"/>
      </w:rPr>
    </w:lvl>
  </w:abstractNum>
  <w:abstractNum w:abstractNumId="1">
    <w:nsid w:val="FFFFFF89"/>
    <w:multiLevelType w:val="singleLevel"/>
    <w:tmpl w:val="E514DDF6"/>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7C608AD"/>
    <w:multiLevelType w:val="hybridMultilevel"/>
    <w:tmpl w:val="27880CA4"/>
    <w:lvl w:ilvl="0" w:tplc="6584F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20BD8"/>
    <w:multiLevelType w:val="hybridMultilevel"/>
    <w:tmpl w:val="31A00FA4"/>
    <w:lvl w:ilvl="0" w:tplc="41CA3190">
      <w:start w:val="1"/>
      <w:numFmt w:val="lowerRoman"/>
      <w:pStyle w:val="essroman"/>
      <w:lvlText w:val="%1)"/>
      <w:lvlJc w:val="left"/>
      <w:pPr>
        <w:ind w:left="720" w:hanging="360"/>
      </w:pPr>
      <w:rPr>
        <w:rFonts w:ascii="Times New Roman" w:eastAsiaTheme="minorHAnsi" w:hAnsi="Times New Roman" w:cstheme="minorBidi"/>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8EC6B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A145C"/>
    <w:multiLevelType w:val="hybridMultilevel"/>
    <w:tmpl w:val="E69EC99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AC43AAC">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D64B1"/>
    <w:multiLevelType w:val="hybridMultilevel"/>
    <w:tmpl w:val="5E4AA1DA"/>
    <w:lvl w:ilvl="0" w:tplc="828A4D64">
      <w:start w:val="1"/>
      <w:numFmt w:val="decimal"/>
      <w:pStyle w:val="ESSpara"/>
      <w:lvlText w:val="%1."/>
      <w:lvlJc w:val="left"/>
      <w:pPr>
        <w:ind w:left="720" w:hanging="360"/>
      </w:pPr>
      <w:rPr>
        <w:rFonts w:asciiTheme="majorBidi" w:eastAsiaTheme="minorHAnsi" w:hAnsiTheme="majorBidi" w:cstheme="majorBidi" w:hint="default"/>
        <w:b w:val="0"/>
        <w:bCs/>
        <w:i w:val="0"/>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62778D"/>
    <w:multiLevelType w:val="hybridMultilevel"/>
    <w:tmpl w:val="2AE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F4240"/>
    <w:multiLevelType w:val="hybridMultilevel"/>
    <w:tmpl w:val="D2E887F8"/>
    <w:lvl w:ilvl="0" w:tplc="AD5084FA">
      <w:start w:val="1"/>
      <w:numFmt w:val="upperLetter"/>
      <w:lvlText w:val="%1."/>
      <w:lvlJc w:val="left"/>
      <w:pPr>
        <w:ind w:left="720" w:hanging="360"/>
      </w:pPr>
      <w:rPr>
        <w:rFonts w:hint="default"/>
        <w:b/>
        <w:color w:val="auto"/>
      </w:rPr>
    </w:lvl>
    <w:lvl w:ilvl="1" w:tplc="B0C643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B3C3E"/>
    <w:multiLevelType w:val="hybridMultilevel"/>
    <w:tmpl w:val="D2E887F8"/>
    <w:lvl w:ilvl="0" w:tplc="AD5084FA">
      <w:start w:val="1"/>
      <w:numFmt w:val="upperLetter"/>
      <w:lvlText w:val="%1."/>
      <w:lvlJc w:val="left"/>
      <w:pPr>
        <w:ind w:left="720" w:hanging="360"/>
      </w:pPr>
      <w:rPr>
        <w:rFonts w:hint="default"/>
        <w:b/>
        <w:color w:val="auto"/>
      </w:rPr>
    </w:lvl>
    <w:lvl w:ilvl="1" w:tplc="B0C643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41B0C"/>
    <w:multiLevelType w:val="hybridMultilevel"/>
    <w:tmpl w:val="A09AB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4E460D"/>
    <w:multiLevelType w:val="hybridMultilevel"/>
    <w:tmpl w:val="09F09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8D20D7"/>
    <w:multiLevelType w:val="hybridMultilevel"/>
    <w:tmpl w:val="6FD4B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C17B9E"/>
    <w:multiLevelType w:val="hybridMultilevel"/>
    <w:tmpl w:val="2AF8B3F8"/>
    <w:lvl w:ilvl="0" w:tplc="BAF858E8">
      <w:start w:val="1"/>
      <w:numFmt w:val="decimal"/>
      <w:lvlText w:val="%1)"/>
      <w:lvlJc w:val="left"/>
      <w:pPr>
        <w:ind w:left="2880" w:hanging="360"/>
      </w:pPr>
      <w:rPr>
        <w:b/>
        <w:bCs/>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50B00D9"/>
    <w:multiLevelType w:val="hybridMultilevel"/>
    <w:tmpl w:val="84BE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97AFD"/>
    <w:multiLevelType w:val="hybridMultilevel"/>
    <w:tmpl w:val="0CC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7"/>
  </w:num>
  <w:num w:numId="8">
    <w:abstractNumId w:val="13"/>
  </w:num>
  <w:num w:numId="9">
    <w:abstractNumId w:val="10"/>
  </w:num>
  <w:num w:numId="10">
    <w:abstractNumId w:val="8"/>
  </w:num>
  <w:num w:numId="11">
    <w:abstractNumId w:val="9"/>
  </w:num>
  <w:num w:numId="12">
    <w:abstractNumId w:val="16"/>
  </w:num>
  <w:num w:numId="13">
    <w:abstractNumId w:val="11"/>
  </w:num>
  <w:num w:numId="14">
    <w:abstractNumId w:val="12"/>
  </w:num>
  <w:num w:numId="15">
    <w:abstractNumId w:val="14"/>
  </w:num>
  <w:num w:numId="16">
    <w:abstractNumId w:val="15"/>
  </w:num>
  <w:num w:numId="17">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efaultTabStop w:val="720"/>
  <w:hyphenationZone w:val="425"/>
  <w:drawingGridHorizontalSpacing w:val="120"/>
  <w:displayHorizontalDrawingGridEvery w:val="2"/>
  <w:characterSpacingControl w:val="doNotCompress"/>
  <w:savePreviewPicture/>
  <w:hdrShapeDefaults>
    <o:shapedefaults v:ext="edit" spidmax="14337"/>
  </w:hdrShapeDefaults>
  <w:footnotePr>
    <w:footnote w:id="-1"/>
    <w:footnote w:id="0"/>
  </w:footnotePr>
  <w:endnotePr>
    <w:endnote w:id="-1"/>
    <w:endnote w:id="0"/>
  </w:endnotePr>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8D3"/>
    <w:rsid w:val="0000798D"/>
    <w:rsid w:val="00007F77"/>
    <w:rsid w:val="00010D0C"/>
    <w:rsid w:val="00011A20"/>
    <w:rsid w:val="00011D52"/>
    <w:rsid w:val="00011F90"/>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27BF0"/>
    <w:rsid w:val="0003032E"/>
    <w:rsid w:val="000304B8"/>
    <w:rsid w:val="00030B3E"/>
    <w:rsid w:val="00031C2B"/>
    <w:rsid w:val="00032883"/>
    <w:rsid w:val="00032E01"/>
    <w:rsid w:val="00034174"/>
    <w:rsid w:val="00035046"/>
    <w:rsid w:val="00035186"/>
    <w:rsid w:val="00035372"/>
    <w:rsid w:val="00035718"/>
    <w:rsid w:val="00036330"/>
    <w:rsid w:val="00036C8C"/>
    <w:rsid w:val="00036FAE"/>
    <w:rsid w:val="00036FEB"/>
    <w:rsid w:val="0003749E"/>
    <w:rsid w:val="00037CF5"/>
    <w:rsid w:val="00040C54"/>
    <w:rsid w:val="0004148B"/>
    <w:rsid w:val="000423CB"/>
    <w:rsid w:val="00042CA4"/>
    <w:rsid w:val="00043097"/>
    <w:rsid w:val="00043261"/>
    <w:rsid w:val="00043622"/>
    <w:rsid w:val="00043DC4"/>
    <w:rsid w:val="000441DA"/>
    <w:rsid w:val="000449CD"/>
    <w:rsid w:val="00045572"/>
    <w:rsid w:val="00045E43"/>
    <w:rsid w:val="000464BA"/>
    <w:rsid w:val="0004691A"/>
    <w:rsid w:val="00046978"/>
    <w:rsid w:val="000469D2"/>
    <w:rsid w:val="000475A3"/>
    <w:rsid w:val="00047E07"/>
    <w:rsid w:val="00047ECB"/>
    <w:rsid w:val="00047F57"/>
    <w:rsid w:val="000501B0"/>
    <w:rsid w:val="000501E9"/>
    <w:rsid w:val="00050520"/>
    <w:rsid w:val="0005062E"/>
    <w:rsid w:val="000507A7"/>
    <w:rsid w:val="00050DB9"/>
    <w:rsid w:val="00051A6E"/>
    <w:rsid w:val="00051D88"/>
    <w:rsid w:val="000521A6"/>
    <w:rsid w:val="00052F03"/>
    <w:rsid w:val="00052F42"/>
    <w:rsid w:val="00052F90"/>
    <w:rsid w:val="0005337C"/>
    <w:rsid w:val="00053580"/>
    <w:rsid w:val="00053E2F"/>
    <w:rsid w:val="00054480"/>
    <w:rsid w:val="000544E7"/>
    <w:rsid w:val="00054828"/>
    <w:rsid w:val="00055555"/>
    <w:rsid w:val="0005570E"/>
    <w:rsid w:val="000557AC"/>
    <w:rsid w:val="000558C3"/>
    <w:rsid w:val="00056366"/>
    <w:rsid w:val="0005647B"/>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D8"/>
    <w:rsid w:val="00072188"/>
    <w:rsid w:val="0007221C"/>
    <w:rsid w:val="000725D5"/>
    <w:rsid w:val="00072C9F"/>
    <w:rsid w:val="00072D45"/>
    <w:rsid w:val="00073883"/>
    <w:rsid w:val="000747AA"/>
    <w:rsid w:val="00074F1E"/>
    <w:rsid w:val="00075545"/>
    <w:rsid w:val="000758E8"/>
    <w:rsid w:val="000761C6"/>
    <w:rsid w:val="00080BA3"/>
    <w:rsid w:val="00081383"/>
    <w:rsid w:val="00081B80"/>
    <w:rsid w:val="00081BC8"/>
    <w:rsid w:val="000822A1"/>
    <w:rsid w:val="00082982"/>
    <w:rsid w:val="00082B1E"/>
    <w:rsid w:val="00082DB8"/>
    <w:rsid w:val="000832B1"/>
    <w:rsid w:val="0008401C"/>
    <w:rsid w:val="00084407"/>
    <w:rsid w:val="0008462F"/>
    <w:rsid w:val="000848D6"/>
    <w:rsid w:val="0008499A"/>
    <w:rsid w:val="00084B60"/>
    <w:rsid w:val="000850D2"/>
    <w:rsid w:val="00085377"/>
    <w:rsid w:val="00085692"/>
    <w:rsid w:val="00085F40"/>
    <w:rsid w:val="00085FCF"/>
    <w:rsid w:val="00086983"/>
    <w:rsid w:val="00086AF6"/>
    <w:rsid w:val="00086C60"/>
    <w:rsid w:val="00086C9A"/>
    <w:rsid w:val="0008724D"/>
    <w:rsid w:val="00091817"/>
    <w:rsid w:val="00091AC3"/>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C6F"/>
    <w:rsid w:val="000A6191"/>
    <w:rsid w:val="000A62D0"/>
    <w:rsid w:val="000A6646"/>
    <w:rsid w:val="000A681C"/>
    <w:rsid w:val="000A6F6B"/>
    <w:rsid w:val="000A7236"/>
    <w:rsid w:val="000A7DAB"/>
    <w:rsid w:val="000A7DE7"/>
    <w:rsid w:val="000B08DD"/>
    <w:rsid w:val="000B0E3C"/>
    <w:rsid w:val="000B1C16"/>
    <w:rsid w:val="000B24B8"/>
    <w:rsid w:val="000B31FB"/>
    <w:rsid w:val="000B3504"/>
    <w:rsid w:val="000B3522"/>
    <w:rsid w:val="000B3960"/>
    <w:rsid w:val="000B4227"/>
    <w:rsid w:val="000B4C95"/>
    <w:rsid w:val="000B518E"/>
    <w:rsid w:val="000B52F0"/>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EC8"/>
    <w:rsid w:val="000D3FCA"/>
    <w:rsid w:val="000D447A"/>
    <w:rsid w:val="000D4520"/>
    <w:rsid w:val="000D48F0"/>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265A"/>
    <w:rsid w:val="000E28F8"/>
    <w:rsid w:val="000E2D3C"/>
    <w:rsid w:val="000E2DA6"/>
    <w:rsid w:val="000E30EC"/>
    <w:rsid w:val="000E32D4"/>
    <w:rsid w:val="000E3B7B"/>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25E"/>
    <w:rsid w:val="000F211B"/>
    <w:rsid w:val="000F262B"/>
    <w:rsid w:val="000F290C"/>
    <w:rsid w:val="000F3CE7"/>
    <w:rsid w:val="000F3DF5"/>
    <w:rsid w:val="000F4707"/>
    <w:rsid w:val="000F52CE"/>
    <w:rsid w:val="000F5BF3"/>
    <w:rsid w:val="000F6A05"/>
    <w:rsid w:val="000F6A2C"/>
    <w:rsid w:val="000F6E63"/>
    <w:rsid w:val="000F7785"/>
    <w:rsid w:val="000F781F"/>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07B7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B9B"/>
    <w:rsid w:val="00121D9B"/>
    <w:rsid w:val="00121FAF"/>
    <w:rsid w:val="00122357"/>
    <w:rsid w:val="001231E1"/>
    <w:rsid w:val="001232AC"/>
    <w:rsid w:val="00123980"/>
    <w:rsid w:val="00123ABC"/>
    <w:rsid w:val="00123E14"/>
    <w:rsid w:val="0012420A"/>
    <w:rsid w:val="00124319"/>
    <w:rsid w:val="00124A58"/>
    <w:rsid w:val="00125816"/>
    <w:rsid w:val="00125970"/>
    <w:rsid w:val="00125A02"/>
    <w:rsid w:val="00125BC2"/>
    <w:rsid w:val="00125C2C"/>
    <w:rsid w:val="001263D4"/>
    <w:rsid w:val="0012663D"/>
    <w:rsid w:val="00126879"/>
    <w:rsid w:val="001272E9"/>
    <w:rsid w:val="0012748C"/>
    <w:rsid w:val="00127B15"/>
    <w:rsid w:val="00130EE6"/>
    <w:rsid w:val="001311E5"/>
    <w:rsid w:val="00131B6C"/>
    <w:rsid w:val="00131C76"/>
    <w:rsid w:val="001320EC"/>
    <w:rsid w:val="001330DB"/>
    <w:rsid w:val="001331FF"/>
    <w:rsid w:val="001335F5"/>
    <w:rsid w:val="001338B5"/>
    <w:rsid w:val="0013410B"/>
    <w:rsid w:val="001348C0"/>
    <w:rsid w:val="00134D90"/>
    <w:rsid w:val="00135095"/>
    <w:rsid w:val="00135270"/>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2169"/>
    <w:rsid w:val="00142980"/>
    <w:rsid w:val="00142E38"/>
    <w:rsid w:val="00143089"/>
    <w:rsid w:val="00143143"/>
    <w:rsid w:val="0014325C"/>
    <w:rsid w:val="001432F2"/>
    <w:rsid w:val="00143443"/>
    <w:rsid w:val="001436AE"/>
    <w:rsid w:val="00143BAD"/>
    <w:rsid w:val="00143D1D"/>
    <w:rsid w:val="00143F5A"/>
    <w:rsid w:val="00144C60"/>
    <w:rsid w:val="0014528C"/>
    <w:rsid w:val="001453EE"/>
    <w:rsid w:val="0014592A"/>
    <w:rsid w:val="001462E5"/>
    <w:rsid w:val="00146472"/>
    <w:rsid w:val="00146B25"/>
    <w:rsid w:val="00146B4E"/>
    <w:rsid w:val="001472C1"/>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C3F"/>
    <w:rsid w:val="00161165"/>
    <w:rsid w:val="001615DD"/>
    <w:rsid w:val="00161FA2"/>
    <w:rsid w:val="001623EA"/>
    <w:rsid w:val="00162B0B"/>
    <w:rsid w:val="00162B95"/>
    <w:rsid w:val="001634FF"/>
    <w:rsid w:val="001638CD"/>
    <w:rsid w:val="00163B04"/>
    <w:rsid w:val="00163CD4"/>
    <w:rsid w:val="00163EB4"/>
    <w:rsid w:val="00163EDB"/>
    <w:rsid w:val="00164679"/>
    <w:rsid w:val="00164914"/>
    <w:rsid w:val="001649D9"/>
    <w:rsid w:val="001655A9"/>
    <w:rsid w:val="00165778"/>
    <w:rsid w:val="00165ABF"/>
    <w:rsid w:val="00165C2D"/>
    <w:rsid w:val="00166B1B"/>
    <w:rsid w:val="00167273"/>
    <w:rsid w:val="001674D1"/>
    <w:rsid w:val="00170847"/>
    <w:rsid w:val="00170D76"/>
    <w:rsid w:val="00171C30"/>
    <w:rsid w:val="001720BA"/>
    <w:rsid w:val="001738E3"/>
    <w:rsid w:val="00173B1D"/>
    <w:rsid w:val="00173B7A"/>
    <w:rsid w:val="00173CA4"/>
    <w:rsid w:val="001740AC"/>
    <w:rsid w:val="00174326"/>
    <w:rsid w:val="0017469A"/>
    <w:rsid w:val="00174A32"/>
    <w:rsid w:val="00174F8D"/>
    <w:rsid w:val="00175642"/>
    <w:rsid w:val="00175A34"/>
    <w:rsid w:val="00175B9C"/>
    <w:rsid w:val="001760DA"/>
    <w:rsid w:val="00176261"/>
    <w:rsid w:val="00176AA7"/>
    <w:rsid w:val="001770C1"/>
    <w:rsid w:val="00177886"/>
    <w:rsid w:val="0018046B"/>
    <w:rsid w:val="001809C9"/>
    <w:rsid w:val="00181485"/>
    <w:rsid w:val="0018162F"/>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590E"/>
    <w:rsid w:val="00186162"/>
    <w:rsid w:val="0018648E"/>
    <w:rsid w:val="0018658D"/>
    <w:rsid w:val="0018661A"/>
    <w:rsid w:val="00186A3F"/>
    <w:rsid w:val="001872C5"/>
    <w:rsid w:val="001879BB"/>
    <w:rsid w:val="00187BF5"/>
    <w:rsid w:val="001902C7"/>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323"/>
    <w:rsid w:val="001A140C"/>
    <w:rsid w:val="001A15B2"/>
    <w:rsid w:val="001A21FE"/>
    <w:rsid w:val="001A2203"/>
    <w:rsid w:val="001A23D8"/>
    <w:rsid w:val="001A2637"/>
    <w:rsid w:val="001A28AE"/>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B87"/>
    <w:rsid w:val="001B4C1F"/>
    <w:rsid w:val="001B4E1A"/>
    <w:rsid w:val="001B5187"/>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4B43"/>
    <w:rsid w:val="001C4EFA"/>
    <w:rsid w:val="001C5D81"/>
    <w:rsid w:val="001C5DC9"/>
    <w:rsid w:val="001C6CA0"/>
    <w:rsid w:val="001C73B3"/>
    <w:rsid w:val="001C75F7"/>
    <w:rsid w:val="001C7DCD"/>
    <w:rsid w:val="001D0240"/>
    <w:rsid w:val="001D0A74"/>
    <w:rsid w:val="001D15F0"/>
    <w:rsid w:val="001D162E"/>
    <w:rsid w:val="001D1CAF"/>
    <w:rsid w:val="001D2791"/>
    <w:rsid w:val="001D282C"/>
    <w:rsid w:val="001D3176"/>
    <w:rsid w:val="001D35CD"/>
    <w:rsid w:val="001D3736"/>
    <w:rsid w:val="001D3D4C"/>
    <w:rsid w:val="001D4309"/>
    <w:rsid w:val="001D4863"/>
    <w:rsid w:val="001D4C78"/>
    <w:rsid w:val="001D4FAA"/>
    <w:rsid w:val="001D578C"/>
    <w:rsid w:val="001D58FA"/>
    <w:rsid w:val="001D5B3B"/>
    <w:rsid w:val="001D63B7"/>
    <w:rsid w:val="001D6CFE"/>
    <w:rsid w:val="001D6DEB"/>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72F"/>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179C"/>
    <w:rsid w:val="00202D15"/>
    <w:rsid w:val="00202FE2"/>
    <w:rsid w:val="002039B1"/>
    <w:rsid w:val="0020458F"/>
    <w:rsid w:val="002046EB"/>
    <w:rsid w:val="00204C2B"/>
    <w:rsid w:val="00205BD1"/>
    <w:rsid w:val="0020665D"/>
    <w:rsid w:val="00206A4D"/>
    <w:rsid w:val="00206AE1"/>
    <w:rsid w:val="00207F68"/>
    <w:rsid w:val="00210712"/>
    <w:rsid w:val="002109DA"/>
    <w:rsid w:val="00211797"/>
    <w:rsid w:val="002120A2"/>
    <w:rsid w:val="00212BF5"/>
    <w:rsid w:val="00212E85"/>
    <w:rsid w:val="0021330E"/>
    <w:rsid w:val="00213396"/>
    <w:rsid w:val="002134C5"/>
    <w:rsid w:val="00213D7F"/>
    <w:rsid w:val="00214008"/>
    <w:rsid w:val="002147C9"/>
    <w:rsid w:val="002147F4"/>
    <w:rsid w:val="00214E60"/>
    <w:rsid w:val="002150D7"/>
    <w:rsid w:val="00215109"/>
    <w:rsid w:val="00215D56"/>
    <w:rsid w:val="00215FDD"/>
    <w:rsid w:val="00217215"/>
    <w:rsid w:val="00217629"/>
    <w:rsid w:val="00217EEC"/>
    <w:rsid w:val="00217FED"/>
    <w:rsid w:val="0022026C"/>
    <w:rsid w:val="002203DA"/>
    <w:rsid w:val="0022043A"/>
    <w:rsid w:val="00220A49"/>
    <w:rsid w:val="0022228D"/>
    <w:rsid w:val="002222DE"/>
    <w:rsid w:val="002224FE"/>
    <w:rsid w:val="00222A5A"/>
    <w:rsid w:val="00222DD1"/>
    <w:rsid w:val="00222F45"/>
    <w:rsid w:val="00223C02"/>
    <w:rsid w:val="00224564"/>
    <w:rsid w:val="00224D82"/>
    <w:rsid w:val="0022536B"/>
    <w:rsid w:val="00225935"/>
    <w:rsid w:val="00225E50"/>
    <w:rsid w:val="00225EEA"/>
    <w:rsid w:val="00225FBE"/>
    <w:rsid w:val="002261BB"/>
    <w:rsid w:val="002270F6"/>
    <w:rsid w:val="002270FA"/>
    <w:rsid w:val="0022735A"/>
    <w:rsid w:val="00227DDA"/>
    <w:rsid w:val="002301CB"/>
    <w:rsid w:val="002303EF"/>
    <w:rsid w:val="002308C8"/>
    <w:rsid w:val="00230B03"/>
    <w:rsid w:val="002313C2"/>
    <w:rsid w:val="00231488"/>
    <w:rsid w:val="00231544"/>
    <w:rsid w:val="002319CD"/>
    <w:rsid w:val="00232894"/>
    <w:rsid w:val="0023295E"/>
    <w:rsid w:val="0023370C"/>
    <w:rsid w:val="0023498E"/>
    <w:rsid w:val="00234B4E"/>
    <w:rsid w:val="00234C96"/>
    <w:rsid w:val="00235311"/>
    <w:rsid w:val="002353CB"/>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4B2E"/>
    <w:rsid w:val="00244CCC"/>
    <w:rsid w:val="00244D92"/>
    <w:rsid w:val="00244DE3"/>
    <w:rsid w:val="00245957"/>
    <w:rsid w:val="002462EF"/>
    <w:rsid w:val="00246942"/>
    <w:rsid w:val="00247B6C"/>
    <w:rsid w:val="002504C2"/>
    <w:rsid w:val="00250622"/>
    <w:rsid w:val="0025081B"/>
    <w:rsid w:val="002508ED"/>
    <w:rsid w:val="00250E5E"/>
    <w:rsid w:val="00251162"/>
    <w:rsid w:val="00251719"/>
    <w:rsid w:val="00251B26"/>
    <w:rsid w:val="00251F77"/>
    <w:rsid w:val="002521F8"/>
    <w:rsid w:val="00252231"/>
    <w:rsid w:val="002522B1"/>
    <w:rsid w:val="00252DFC"/>
    <w:rsid w:val="00253F37"/>
    <w:rsid w:val="002541CA"/>
    <w:rsid w:val="00254D8A"/>
    <w:rsid w:val="0025584B"/>
    <w:rsid w:val="00255951"/>
    <w:rsid w:val="00255C52"/>
    <w:rsid w:val="0025623A"/>
    <w:rsid w:val="0025649E"/>
    <w:rsid w:val="002569F6"/>
    <w:rsid w:val="0025716E"/>
    <w:rsid w:val="00257FF9"/>
    <w:rsid w:val="0026002B"/>
    <w:rsid w:val="00261D2A"/>
    <w:rsid w:val="002621BB"/>
    <w:rsid w:val="00262362"/>
    <w:rsid w:val="002629F0"/>
    <w:rsid w:val="002629FD"/>
    <w:rsid w:val="00262B86"/>
    <w:rsid w:val="00262C42"/>
    <w:rsid w:val="00263159"/>
    <w:rsid w:val="0026332D"/>
    <w:rsid w:val="002637BD"/>
    <w:rsid w:val="00263BBA"/>
    <w:rsid w:val="00263C55"/>
    <w:rsid w:val="00264B01"/>
    <w:rsid w:val="00264F92"/>
    <w:rsid w:val="002660F3"/>
    <w:rsid w:val="0026651D"/>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49"/>
    <w:rsid w:val="00292D40"/>
    <w:rsid w:val="00292D4A"/>
    <w:rsid w:val="00292D97"/>
    <w:rsid w:val="002939B5"/>
    <w:rsid w:val="00293C71"/>
    <w:rsid w:val="00294C06"/>
    <w:rsid w:val="002954B3"/>
    <w:rsid w:val="002956BC"/>
    <w:rsid w:val="002963A4"/>
    <w:rsid w:val="00296DEF"/>
    <w:rsid w:val="00297024"/>
    <w:rsid w:val="00297D08"/>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2295"/>
    <w:rsid w:val="002B24C8"/>
    <w:rsid w:val="002B27A4"/>
    <w:rsid w:val="002B2A74"/>
    <w:rsid w:val="002B2D38"/>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12B2"/>
    <w:rsid w:val="002C208D"/>
    <w:rsid w:val="002C24CB"/>
    <w:rsid w:val="002C28B6"/>
    <w:rsid w:val="002C392C"/>
    <w:rsid w:val="002C4477"/>
    <w:rsid w:val="002C4AEE"/>
    <w:rsid w:val="002C4B41"/>
    <w:rsid w:val="002C4D98"/>
    <w:rsid w:val="002C54B1"/>
    <w:rsid w:val="002C56BF"/>
    <w:rsid w:val="002C5736"/>
    <w:rsid w:val="002C5B86"/>
    <w:rsid w:val="002C5C21"/>
    <w:rsid w:val="002C5ECE"/>
    <w:rsid w:val="002C79DC"/>
    <w:rsid w:val="002C79F4"/>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BDD"/>
    <w:rsid w:val="002D5E33"/>
    <w:rsid w:val="002D67A8"/>
    <w:rsid w:val="002D6885"/>
    <w:rsid w:val="002D68A2"/>
    <w:rsid w:val="002D6A5E"/>
    <w:rsid w:val="002D6F85"/>
    <w:rsid w:val="002D757E"/>
    <w:rsid w:val="002D7D3D"/>
    <w:rsid w:val="002D7F48"/>
    <w:rsid w:val="002E019E"/>
    <w:rsid w:val="002E1690"/>
    <w:rsid w:val="002E18E1"/>
    <w:rsid w:val="002E19CB"/>
    <w:rsid w:val="002E1FBC"/>
    <w:rsid w:val="002E23D3"/>
    <w:rsid w:val="002E2737"/>
    <w:rsid w:val="002E2ED4"/>
    <w:rsid w:val="002E4078"/>
    <w:rsid w:val="002E4864"/>
    <w:rsid w:val="002E5026"/>
    <w:rsid w:val="002E5FA1"/>
    <w:rsid w:val="002E6919"/>
    <w:rsid w:val="002E69C3"/>
    <w:rsid w:val="002E76B5"/>
    <w:rsid w:val="002F08C9"/>
    <w:rsid w:val="002F0B5F"/>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295"/>
    <w:rsid w:val="002F7AC6"/>
    <w:rsid w:val="002F7AEB"/>
    <w:rsid w:val="002F7C10"/>
    <w:rsid w:val="002F7F87"/>
    <w:rsid w:val="003002BB"/>
    <w:rsid w:val="00300A10"/>
    <w:rsid w:val="00300A60"/>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381F"/>
    <w:rsid w:val="00313968"/>
    <w:rsid w:val="00313AF8"/>
    <w:rsid w:val="00314622"/>
    <w:rsid w:val="003146EA"/>
    <w:rsid w:val="0031476B"/>
    <w:rsid w:val="00314BEC"/>
    <w:rsid w:val="003156F0"/>
    <w:rsid w:val="00315AB7"/>
    <w:rsid w:val="00315E97"/>
    <w:rsid w:val="00316422"/>
    <w:rsid w:val="003169F0"/>
    <w:rsid w:val="00316A98"/>
    <w:rsid w:val="00316EA8"/>
    <w:rsid w:val="00316F8B"/>
    <w:rsid w:val="0031727A"/>
    <w:rsid w:val="00317A5F"/>
    <w:rsid w:val="00320EA0"/>
    <w:rsid w:val="00320F8B"/>
    <w:rsid w:val="003216A8"/>
    <w:rsid w:val="00321B98"/>
    <w:rsid w:val="00321E84"/>
    <w:rsid w:val="00321ED5"/>
    <w:rsid w:val="0032202A"/>
    <w:rsid w:val="0032205D"/>
    <w:rsid w:val="00322585"/>
    <w:rsid w:val="00323192"/>
    <w:rsid w:val="003232F1"/>
    <w:rsid w:val="00323867"/>
    <w:rsid w:val="00324868"/>
    <w:rsid w:val="00324B84"/>
    <w:rsid w:val="00324E84"/>
    <w:rsid w:val="00325490"/>
    <w:rsid w:val="003258F0"/>
    <w:rsid w:val="00325A78"/>
    <w:rsid w:val="00325EA8"/>
    <w:rsid w:val="00326837"/>
    <w:rsid w:val="00326B4A"/>
    <w:rsid w:val="00326EB5"/>
    <w:rsid w:val="00326F4B"/>
    <w:rsid w:val="0032705D"/>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311"/>
    <w:rsid w:val="003354F3"/>
    <w:rsid w:val="003357CD"/>
    <w:rsid w:val="00335A0E"/>
    <w:rsid w:val="00335CF3"/>
    <w:rsid w:val="003363FD"/>
    <w:rsid w:val="00336B5E"/>
    <w:rsid w:val="003370B5"/>
    <w:rsid w:val="00337818"/>
    <w:rsid w:val="00340055"/>
    <w:rsid w:val="0034051C"/>
    <w:rsid w:val="00340C9A"/>
    <w:rsid w:val="00340E20"/>
    <w:rsid w:val="00340E22"/>
    <w:rsid w:val="00341875"/>
    <w:rsid w:val="003419C4"/>
    <w:rsid w:val="00341F74"/>
    <w:rsid w:val="0034206A"/>
    <w:rsid w:val="0034242C"/>
    <w:rsid w:val="00342C18"/>
    <w:rsid w:val="003438DA"/>
    <w:rsid w:val="00343933"/>
    <w:rsid w:val="0034423D"/>
    <w:rsid w:val="00344A2D"/>
    <w:rsid w:val="00344EB3"/>
    <w:rsid w:val="00344F8F"/>
    <w:rsid w:val="003453A4"/>
    <w:rsid w:val="00345496"/>
    <w:rsid w:val="00345CF8"/>
    <w:rsid w:val="00345E60"/>
    <w:rsid w:val="003464DB"/>
    <w:rsid w:val="00346660"/>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25A9"/>
    <w:rsid w:val="00382794"/>
    <w:rsid w:val="00382ADB"/>
    <w:rsid w:val="00382EFF"/>
    <w:rsid w:val="003834D0"/>
    <w:rsid w:val="00385493"/>
    <w:rsid w:val="00385819"/>
    <w:rsid w:val="003859AE"/>
    <w:rsid w:val="00385C2A"/>
    <w:rsid w:val="00385D8A"/>
    <w:rsid w:val="00386221"/>
    <w:rsid w:val="00386FA0"/>
    <w:rsid w:val="00387469"/>
    <w:rsid w:val="00387F89"/>
    <w:rsid w:val="00390AE3"/>
    <w:rsid w:val="00390C3A"/>
    <w:rsid w:val="00390C3D"/>
    <w:rsid w:val="003910C1"/>
    <w:rsid w:val="003910C5"/>
    <w:rsid w:val="003923EA"/>
    <w:rsid w:val="0039361D"/>
    <w:rsid w:val="00393BD1"/>
    <w:rsid w:val="00393F03"/>
    <w:rsid w:val="00394801"/>
    <w:rsid w:val="0039539D"/>
    <w:rsid w:val="003956E3"/>
    <w:rsid w:val="003958F1"/>
    <w:rsid w:val="00395965"/>
    <w:rsid w:val="00395B3C"/>
    <w:rsid w:val="00395DA0"/>
    <w:rsid w:val="00396204"/>
    <w:rsid w:val="00396D8A"/>
    <w:rsid w:val="003975A4"/>
    <w:rsid w:val="003976D8"/>
    <w:rsid w:val="003976FD"/>
    <w:rsid w:val="00397872"/>
    <w:rsid w:val="00397941"/>
    <w:rsid w:val="00397AA2"/>
    <w:rsid w:val="00397E24"/>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592D"/>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A29"/>
    <w:rsid w:val="003C2DD1"/>
    <w:rsid w:val="003C2EF0"/>
    <w:rsid w:val="003C3918"/>
    <w:rsid w:val="003C41F3"/>
    <w:rsid w:val="003C484D"/>
    <w:rsid w:val="003C609F"/>
    <w:rsid w:val="003C62B8"/>
    <w:rsid w:val="003C66EC"/>
    <w:rsid w:val="003C6AD6"/>
    <w:rsid w:val="003C6CE2"/>
    <w:rsid w:val="003C6DA3"/>
    <w:rsid w:val="003C7130"/>
    <w:rsid w:val="003C72EA"/>
    <w:rsid w:val="003C7480"/>
    <w:rsid w:val="003C7865"/>
    <w:rsid w:val="003C7C47"/>
    <w:rsid w:val="003D0619"/>
    <w:rsid w:val="003D11BA"/>
    <w:rsid w:val="003D1243"/>
    <w:rsid w:val="003D1401"/>
    <w:rsid w:val="003D1546"/>
    <w:rsid w:val="003D2642"/>
    <w:rsid w:val="003D2AF2"/>
    <w:rsid w:val="003D33D9"/>
    <w:rsid w:val="003D33F4"/>
    <w:rsid w:val="003D3DC0"/>
    <w:rsid w:val="003D4B52"/>
    <w:rsid w:val="003D5413"/>
    <w:rsid w:val="003D6008"/>
    <w:rsid w:val="003D771B"/>
    <w:rsid w:val="003D781E"/>
    <w:rsid w:val="003D7991"/>
    <w:rsid w:val="003D7D95"/>
    <w:rsid w:val="003E0A03"/>
    <w:rsid w:val="003E0B02"/>
    <w:rsid w:val="003E0B6C"/>
    <w:rsid w:val="003E1336"/>
    <w:rsid w:val="003E1504"/>
    <w:rsid w:val="003E171A"/>
    <w:rsid w:val="003E1917"/>
    <w:rsid w:val="003E255B"/>
    <w:rsid w:val="003E2628"/>
    <w:rsid w:val="003E2711"/>
    <w:rsid w:val="003E3251"/>
    <w:rsid w:val="003E3398"/>
    <w:rsid w:val="003E3679"/>
    <w:rsid w:val="003E489F"/>
    <w:rsid w:val="003E4D62"/>
    <w:rsid w:val="003E52E6"/>
    <w:rsid w:val="003E5FD6"/>
    <w:rsid w:val="003E62A2"/>
    <w:rsid w:val="003E6E4D"/>
    <w:rsid w:val="003E6E5B"/>
    <w:rsid w:val="003E7401"/>
    <w:rsid w:val="003E7447"/>
    <w:rsid w:val="003E7994"/>
    <w:rsid w:val="003E7A2F"/>
    <w:rsid w:val="003F001E"/>
    <w:rsid w:val="003F07B5"/>
    <w:rsid w:val="003F13F0"/>
    <w:rsid w:val="003F2149"/>
    <w:rsid w:val="003F2BBB"/>
    <w:rsid w:val="003F33A9"/>
    <w:rsid w:val="003F3705"/>
    <w:rsid w:val="003F37E4"/>
    <w:rsid w:val="003F3C87"/>
    <w:rsid w:val="003F41C2"/>
    <w:rsid w:val="003F4BC4"/>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568"/>
    <w:rsid w:val="00405132"/>
    <w:rsid w:val="00405651"/>
    <w:rsid w:val="00405BFC"/>
    <w:rsid w:val="00406183"/>
    <w:rsid w:val="00407ADC"/>
    <w:rsid w:val="00407B57"/>
    <w:rsid w:val="00407B79"/>
    <w:rsid w:val="00410308"/>
    <w:rsid w:val="0041078A"/>
    <w:rsid w:val="00410EC2"/>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B4D"/>
    <w:rsid w:val="00420CD6"/>
    <w:rsid w:val="00421C4F"/>
    <w:rsid w:val="00422001"/>
    <w:rsid w:val="00422CC2"/>
    <w:rsid w:val="00423021"/>
    <w:rsid w:val="004232AB"/>
    <w:rsid w:val="00423836"/>
    <w:rsid w:val="00423A6B"/>
    <w:rsid w:val="00423E62"/>
    <w:rsid w:val="00424160"/>
    <w:rsid w:val="0042458B"/>
    <w:rsid w:val="00424A67"/>
    <w:rsid w:val="00424C05"/>
    <w:rsid w:val="00425975"/>
    <w:rsid w:val="00425999"/>
    <w:rsid w:val="00425ADF"/>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40D15"/>
    <w:rsid w:val="00440FF9"/>
    <w:rsid w:val="004410D1"/>
    <w:rsid w:val="004417F1"/>
    <w:rsid w:val="00441D02"/>
    <w:rsid w:val="004427E8"/>
    <w:rsid w:val="0044297A"/>
    <w:rsid w:val="00443111"/>
    <w:rsid w:val="004432B3"/>
    <w:rsid w:val="00443586"/>
    <w:rsid w:val="0044364C"/>
    <w:rsid w:val="00443903"/>
    <w:rsid w:val="0044392B"/>
    <w:rsid w:val="00443A72"/>
    <w:rsid w:val="00443BBC"/>
    <w:rsid w:val="00444620"/>
    <w:rsid w:val="00444B7B"/>
    <w:rsid w:val="00445105"/>
    <w:rsid w:val="0044580E"/>
    <w:rsid w:val="00445B1F"/>
    <w:rsid w:val="00445C1F"/>
    <w:rsid w:val="00445F3E"/>
    <w:rsid w:val="00446431"/>
    <w:rsid w:val="00446A6D"/>
    <w:rsid w:val="00446EE1"/>
    <w:rsid w:val="00446EE2"/>
    <w:rsid w:val="0044712C"/>
    <w:rsid w:val="0044746E"/>
    <w:rsid w:val="0044781C"/>
    <w:rsid w:val="00447981"/>
    <w:rsid w:val="004479B4"/>
    <w:rsid w:val="00447CA2"/>
    <w:rsid w:val="00450679"/>
    <w:rsid w:val="004507A5"/>
    <w:rsid w:val="00450BF7"/>
    <w:rsid w:val="0045101C"/>
    <w:rsid w:val="00451091"/>
    <w:rsid w:val="00451373"/>
    <w:rsid w:val="00451EDB"/>
    <w:rsid w:val="00453C48"/>
    <w:rsid w:val="00453FE9"/>
    <w:rsid w:val="0045405C"/>
    <w:rsid w:val="004540BF"/>
    <w:rsid w:val="00454412"/>
    <w:rsid w:val="00454879"/>
    <w:rsid w:val="00454DFA"/>
    <w:rsid w:val="00455ECB"/>
    <w:rsid w:val="00456009"/>
    <w:rsid w:val="0045764B"/>
    <w:rsid w:val="00457859"/>
    <w:rsid w:val="00457FA5"/>
    <w:rsid w:val="00460014"/>
    <w:rsid w:val="004607B8"/>
    <w:rsid w:val="004617AD"/>
    <w:rsid w:val="00462851"/>
    <w:rsid w:val="004633D6"/>
    <w:rsid w:val="00463616"/>
    <w:rsid w:val="00463E7A"/>
    <w:rsid w:val="00464066"/>
    <w:rsid w:val="00464149"/>
    <w:rsid w:val="004642A4"/>
    <w:rsid w:val="004642F1"/>
    <w:rsid w:val="004645B3"/>
    <w:rsid w:val="00464AD9"/>
    <w:rsid w:val="00464AE5"/>
    <w:rsid w:val="00465760"/>
    <w:rsid w:val="00465983"/>
    <w:rsid w:val="00466989"/>
    <w:rsid w:val="00467744"/>
    <w:rsid w:val="00467749"/>
    <w:rsid w:val="00467881"/>
    <w:rsid w:val="004678A8"/>
    <w:rsid w:val="00467DFC"/>
    <w:rsid w:val="004706CB"/>
    <w:rsid w:val="004707C5"/>
    <w:rsid w:val="00470C16"/>
    <w:rsid w:val="00470F3A"/>
    <w:rsid w:val="004716FB"/>
    <w:rsid w:val="0047170C"/>
    <w:rsid w:val="00471859"/>
    <w:rsid w:val="0047260D"/>
    <w:rsid w:val="00472D24"/>
    <w:rsid w:val="004739E2"/>
    <w:rsid w:val="00473D66"/>
    <w:rsid w:val="00474138"/>
    <w:rsid w:val="004746BC"/>
    <w:rsid w:val="00474983"/>
    <w:rsid w:val="00474CCA"/>
    <w:rsid w:val="004752B3"/>
    <w:rsid w:val="0047548D"/>
    <w:rsid w:val="004763CE"/>
    <w:rsid w:val="00476964"/>
    <w:rsid w:val="00476BEA"/>
    <w:rsid w:val="00476F7F"/>
    <w:rsid w:val="00477FA2"/>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1BB"/>
    <w:rsid w:val="00491420"/>
    <w:rsid w:val="004915AC"/>
    <w:rsid w:val="00492797"/>
    <w:rsid w:val="00493005"/>
    <w:rsid w:val="00494183"/>
    <w:rsid w:val="004943DE"/>
    <w:rsid w:val="004944D0"/>
    <w:rsid w:val="00494627"/>
    <w:rsid w:val="00494A36"/>
    <w:rsid w:val="00494F08"/>
    <w:rsid w:val="0049504A"/>
    <w:rsid w:val="0049505C"/>
    <w:rsid w:val="0049516C"/>
    <w:rsid w:val="004959E5"/>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23B"/>
    <w:rsid w:val="004A456A"/>
    <w:rsid w:val="004A4793"/>
    <w:rsid w:val="004A47B8"/>
    <w:rsid w:val="004A487A"/>
    <w:rsid w:val="004A498E"/>
    <w:rsid w:val="004A5752"/>
    <w:rsid w:val="004A5DC4"/>
    <w:rsid w:val="004A5E4A"/>
    <w:rsid w:val="004A60FE"/>
    <w:rsid w:val="004A6161"/>
    <w:rsid w:val="004A619E"/>
    <w:rsid w:val="004A647B"/>
    <w:rsid w:val="004A6AE3"/>
    <w:rsid w:val="004A7E49"/>
    <w:rsid w:val="004B1829"/>
    <w:rsid w:val="004B1961"/>
    <w:rsid w:val="004B19A1"/>
    <w:rsid w:val="004B1C81"/>
    <w:rsid w:val="004B216C"/>
    <w:rsid w:val="004B2221"/>
    <w:rsid w:val="004B31E1"/>
    <w:rsid w:val="004B35B5"/>
    <w:rsid w:val="004B3B89"/>
    <w:rsid w:val="004B433E"/>
    <w:rsid w:val="004B43F9"/>
    <w:rsid w:val="004B43FC"/>
    <w:rsid w:val="004B54E7"/>
    <w:rsid w:val="004B5EE8"/>
    <w:rsid w:val="004B5F96"/>
    <w:rsid w:val="004B6509"/>
    <w:rsid w:val="004B69CC"/>
    <w:rsid w:val="004B6CAE"/>
    <w:rsid w:val="004C0144"/>
    <w:rsid w:val="004C1324"/>
    <w:rsid w:val="004C1B4E"/>
    <w:rsid w:val="004C2BE4"/>
    <w:rsid w:val="004C2BFE"/>
    <w:rsid w:val="004C35C1"/>
    <w:rsid w:val="004C37DF"/>
    <w:rsid w:val="004C3B49"/>
    <w:rsid w:val="004C405A"/>
    <w:rsid w:val="004C45DD"/>
    <w:rsid w:val="004C4BDF"/>
    <w:rsid w:val="004C535E"/>
    <w:rsid w:val="004C53AF"/>
    <w:rsid w:val="004C5A5E"/>
    <w:rsid w:val="004C5F09"/>
    <w:rsid w:val="004C6427"/>
    <w:rsid w:val="004C671D"/>
    <w:rsid w:val="004C6D7F"/>
    <w:rsid w:val="004C6F70"/>
    <w:rsid w:val="004C7041"/>
    <w:rsid w:val="004C778F"/>
    <w:rsid w:val="004D0207"/>
    <w:rsid w:val="004D0349"/>
    <w:rsid w:val="004D0949"/>
    <w:rsid w:val="004D1248"/>
    <w:rsid w:val="004D1384"/>
    <w:rsid w:val="004D1A6F"/>
    <w:rsid w:val="004D1D60"/>
    <w:rsid w:val="004D1E6E"/>
    <w:rsid w:val="004D1ED6"/>
    <w:rsid w:val="004D2A57"/>
    <w:rsid w:val="004D2FD3"/>
    <w:rsid w:val="004D323B"/>
    <w:rsid w:val="004D355E"/>
    <w:rsid w:val="004D3B99"/>
    <w:rsid w:val="004D3EEF"/>
    <w:rsid w:val="004D40C2"/>
    <w:rsid w:val="004D41EE"/>
    <w:rsid w:val="004D43F7"/>
    <w:rsid w:val="004D4470"/>
    <w:rsid w:val="004D4C50"/>
    <w:rsid w:val="004D4CF2"/>
    <w:rsid w:val="004D4D4A"/>
    <w:rsid w:val="004D4F0C"/>
    <w:rsid w:val="004D5D03"/>
    <w:rsid w:val="004D7410"/>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E98"/>
    <w:rsid w:val="004E5892"/>
    <w:rsid w:val="004E5CB9"/>
    <w:rsid w:val="004E6199"/>
    <w:rsid w:val="004E61CB"/>
    <w:rsid w:val="004E664F"/>
    <w:rsid w:val="004E66A1"/>
    <w:rsid w:val="004E680E"/>
    <w:rsid w:val="004E6B6F"/>
    <w:rsid w:val="004E700A"/>
    <w:rsid w:val="004E70FC"/>
    <w:rsid w:val="004E71F5"/>
    <w:rsid w:val="004E7A77"/>
    <w:rsid w:val="004E7D41"/>
    <w:rsid w:val="004F02AB"/>
    <w:rsid w:val="004F061A"/>
    <w:rsid w:val="004F0DF1"/>
    <w:rsid w:val="004F18AF"/>
    <w:rsid w:val="004F1A04"/>
    <w:rsid w:val="004F1D2C"/>
    <w:rsid w:val="004F24FC"/>
    <w:rsid w:val="004F41AF"/>
    <w:rsid w:val="004F530F"/>
    <w:rsid w:val="004F552D"/>
    <w:rsid w:val="004F5886"/>
    <w:rsid w:val="004F6AC8"/>
    <w:rsid w:val="004F6BEE"/>
    <w:rsid w:val="004F6E61"/>
    <w:rsid w:val="004F70D6"/>
    <w:rsid w:val="004F7411"/>
    <w:rsid w:val="004F7B3A"/>
    <w:rsid w:val="004F7BE2"/>
    <w:rsid w:val="004F7E0C"/>
    <w:rsid w:val="00500573"/>
    <w:rsid w:val="00500F6A"/>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601B"/>
    <w:rsid w:val="005076F7"/>
    <w:rsid w:val="005100A3"/>
    <w:rsid w:val="00510A7C"/>
    <w:rsid w:val="00510DB2"/>
    <w:rsid w:val="00510EDE"/>
    <w:rsid w:val="005115D8"/>
    <w:rsid w:val="00512352"/>
    <w:rsid w:val="00512867"/>
    <w:rsid w:val="00512CD8"/>
    <w:rsid w:val="0051312B"/>
    <w:rsid w:val="0051367A"/>
    <w:rsid w:val="0051409B"/>
    <w:rsid w:val="00514A0B"/>
    <w:rsid w:val="00514BEA"/>
    <w:rsid w:val="0051503A"/>
    <w:rsid w:val="0051505D"/>
    <w:rsid w:val="00515093"/>
    <w:rsid w:val="005151E7"/>
    <w:rsid w:val="005152AE"/>
    <w:rsid w:val="0051564B"/>
    <w:rsid w:val="005156AB"/>
    <w:rsid w:val="00516B45"/>
    <w:rsid w:val="00516BE3"/>
    <w:rsid w:val="00517524"/>
    <w:rsid w:val="00517F59"/>
    <w:rsid w:val="00520181"/>
    <w:rsid w:val="00520661"/>
    <w:rsid w:val="00521380"/>
    <w:rsid w:val="00521386"/>
    <w:rsid w:val="00521E89"/>
    <w:rsid w:val="00522003"/>
    <w:rsid w:val="005223BE"/>
    <w:rsid w:val="00522B61"/>
    <w:rsid w:val="00522C7E"/>
    <w:rsid w:val="00522C9E"/>
    <w:rsid w:val="00524252"/>
    <w:rsid w:val="00524C8B"/>
    <w:rsid w:val="00525564"/>
    <w:rsid w:val="005263A9"/>
    <w:rsid w:val="0052756C"/>
    <w:rsid w:val="005277FB"/>
    <w:rsid w:val="00527C71"/>
    <w:rsid w:val="00527D50"/>
    <w:rsid w:val="0053178E"/>
    <w:rsid w:val="005349A5"/>
    <w:rsid w:val="00534E51"/>
    <w:rsid w:val="00535246"/>
    <w:rsid w:val="005352E7"/>
    <w:rsid w:val="00536A84"/>
    <w:rsid w:val="00536BE8"/>
    <w:rsid w:val="00537205"/>
    <w:rsid w:val="00537950"/>
    <w:rsid w:val="00537DC5"/>
    <w:rsid w:val="00537FB0"/>
    <w:rsid w:val="005400CB"/>
    <w:rsid w:val="00540285"/>
    <w:rsid w:val="005407CD"/>
    <w:rsid w:val="00540A89"/>
    <w:rsid w:val="005422A2"/>
    <w:rsid w:val="00542339"/>
    <w:rsid w:val="005423A9"/>
    <w:rsid w:val="00542685"/>
    <w:rsid w:val="0054316B"/>
    <w:rsid w:val="005438AE"/>
    <w:rsid w:val="00543A1D"/>
    <w:rsid w:val="00543ABD"/>
    <w:rsid w:val="00544443"/>
    <w:rsid w:val="005455D1"/>
    <w:rsid w:val="00545B3A"/>
    <w:rsid w:val="00546835"/>
    <w:rsid w:val="005469C5"/>
    <w:rsid w:val="00546B63"/>
    <w:rsid w:val="00546BA4"/>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24D"/>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491"/>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8BA"/>
    <w:rsid w:val="0059615D"/>
    <w:rsid w:val="00596170"/>
    <w:rsid w:val="00597482"/>
    <w:rsid w:val="00597A5C"/>
    <w:rsid w:val="00597BC0"/>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D11"/>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D26"/>
    <w:rsid w:val="005B3B28"/>
    <w:rsid w:val="005B3C92"/>
    <w:rsid w:val="005B409D"/>
    <w:rsid w:val="005B4587"/>
    <w:rsid w:val="005B4617"/>
    <w:rsid w:val="005B48A3"/>
    <w:rsid w:val="005B4A15"/>
    <w:rsid w:val="005B4BFF"/>
    <w:rsid w:val="005B4D03"/>
    <w:rsid w:val="005B5D6F"/>
    <w:rsid w:val="005B6322"/>
    <w:rsid w:val="005B662B"/>
    <w:rsid w:val="005B6719"/>
    <w:rsid w:val="005B6B9D"/>
    <w:rsid w:val="005B6FB3"/>
    <w:rsid w:val="005B6FE8"/>
    <w:rsid w:val="005B7E97"/>
    <w:rsid w:val="005B7F8D"/>
    <w:rsid w:val="005C0003"/>
    <w:rsid w:val="005C0C0B"/>
    <w:rsid w:val="005C1125"/>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6E41"/>
    <w:rsid w:val="005C75B0"/>
    <w:rsid w:val="005C7A25"/>
    <w:rsid w:val="005C7AA8"/>
    <w:rsid w:val="005C7F5C"/>
    <w:rsid w:val="005D0493"/>
    <w:rsid w:val="005D08B2"/>
    <w:rsid w:val="005D13B5"/>
    <w:rsid w:val="005D206B"/>
    <w:rsid w:val="005D2246"/>
    <w:rsid w:val="005D28CF"/>
    <w:rsid w:val="005D2BAF"/>
    <w:rsid w:val="005D302B"/>
    <w:rsid w:val="005D3557"/>
    <w:rsid w:val="005D359A"/>
    <w:rsid w:val="005D37C3"/>
    <w:rsid w:val="005D39DC"/>
    <w:rsid w:val="005D3DD0"/>
    <w:rsid w:val="005D41C1"/>
    <w:rsid w:val="005D4310"/>
    <w:rsid w:val="005D48D2"/>
    <w:rsid w:val="005D4B21"/>
    <w:rsid w:val="005D5023"/>
    <w:rsid w:val="005D546B"/>
    <w:rsid w:val="005D5612"/>
    <w:rsid w:val="005D5671"/>
    <w:rsid w:val="005D5823"/>
    <w:rsid w:val="005D5868"/>
    <w:rsid w:val="005D5C8B"/>
    <w:rsid w:val="005D6430"/>
    <w:rsid w:val="005D703B"/>
    <w:rsid w:val="005D74B1"/>
    <w:rsid w:val="005D7777"/>
    <w:rsid w:val="005E0666"/>
    <w:rsid w:val="005E1135"/>
    <w:rsid w:val="005E1749"/>
    <w:rsid w:val="005E17BB"/>
    <w:rsid w:val="005E1CD0"/>
    <w:rsid w:val="005E2743"/>
    <w:rsid w:val="005E2A9D"/>
    <w:rsid w:val="005E2E9B"/>
    <w:rsid w:val="005E41B0"/>
    <w:rsid w:val="005E42B3"/>
    <w:rsid w:val="005E43AD"/>
    <w:rsid w:val="005E4540"/>
    <w:rsid w:val="005E470B"/>
    <w:rsid w:val="005E54EC"/>
    <w:rsid w:val="005E54F1"/>
    <w:rsid w:val="005E5817"/>
    <w:rsid w:val="005E6166"/>
    <w:rsid w:val="005E61F6"/>
    <w:rsid w:val="005E7098"/>
    <w:rsid w:val="005E730F"/>
    <w:rsid w:val="005E7404"/>
    <w:rsid w:val="005F13A9"/>
    <w:rsid w:val="005F20BD"/>
    <w:rsid w:val="005F2A7F"/>
    <w:rsid w:val="005F2CE0"/>
    <w:rsid w:val="005F3975"/>
    <w:rsid w:val="005F42B4"/>
    <w:rsid w:val="005F56F1"/>
    <w:rsid w:val="005F5718"/>
    <w:rsid w:val="005F6404"/>
    <w:rsid w:val="005F678C"/>
    <w:rsid w:val="005F6C8A"/>
    <w:rsid w:val="00600A3E"/>
    <w:rsid w:val="00600AA6"/>
    <w:rsid w:val="00600FE1"/>
    <w:rsid w:val="00601AA9"/>
    <w:rsid w:val="00601F62"/>
    <w:rsid w:val="00601F8D"/>
    <w:rsid w:val="00602019"/>
    <w:rsid w:val="006024D5"/>
    <w:rsid w:val="00602D0C"/>
    <w:rsid w:val="006030E8"/>
    <w:rsid w:val="006038D5"/>
    <w:rsid w:val="00603BD3"/>
    <w:rsid w:val="00603C7C"/>
    <w:rsid w:val="00603C91"/>
    <w:rsid w:val="00603C93"/>
    <w:rsid w:val="0060471E"/>
    <w:rsid w:val="0060582A"/>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7AC"/>
    <w:rsid w:val="00613F82"/>
    <w:rsid w:val="00614044"/>
    <w:rsid w:val="006142A2"/>
    <w:rsid w:val="006148C9"/>
    <w:rsid w:val="00615015"/>
    <w:rsid w:val="0061531E"/>
    <w:rsid w:val="006153A3"/>
    <w:rsid w:val="006153EF"/>
    <w:rsid w:val="006154D7"/>
    <w:rsid w:val="006159E6"/>
    <w:rsid w:val="0061653B"/>
    <w:rsid w:val="006166B2"/>
    <w:rsid w:val="00616A97"/>
    <w:rsid w:val="00616FFB"/>
    <w:rsid w:val="006171A3"/>
    <w:rsid w:val="006173E8"/>
    <w:rsid w:val="0061761A"/>
    <w:rsid w:val="0061762D"/>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BFA"/>
    <w:rsid w:val="006270C6"/>
    <w:rsid w:val="006271BE"/>
    <w:rsid w:val="0062731D"/>
    <w:rsid w:val="00627464"/>
    <w:rsid w:val="006304EB"/>
    <w:rsid w:val="0063134C"/>
    <w:rsid w:val="0063159A"/>
    <w:rsid w:val="00631B63"/>
    <w:rsid w:val="00631E33"/>
    <w:rsid w:val="00632E73"/>
    <w:rsid w:val="00632E94"/>
    <w:rsid w:val="006334EA"/>
    <w:rsid w:val="006336C5"/>
    <w:rsid w:val="00633783"/>
    <w:rsid w:val="006345A8"/>
    <w:rsid w:val="006346D4"/>
    <w:rsid w:val="00634714"/>
    <w:rsid w:val="006349DB"/>
    <w:rsid w:val="0063538A"/>
    <w:rsid w:val="006356B0"/>
    <w:rsid w:val="00636A1F"/>
    <w:rsid w:val="00637AE1"/>
    <w:rsid w:val="00640351"/>
    <w:rsid w:val="0064108B"/>
    <w:rsid w:val="00641122"/>
    <w:rsid w:val="0064128B"/>
    <w:rsid w:val="006417FC"/>
    <w:rsid w:val="00642E51"/>
    <w:rsid w:val="0064317F"/>
    <w:rsid w:val="006437BC"/>
    <w:rsid w:val="00643913"/>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3FD2"/>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890"/>
    <w:rsid w:val="00662BF7"/>
    <w:rsid w:val="00662E3C"/>
    <w:rsid w:val="006633DF"/>
    <w:rsid w:val="00663A01"/>
    <w:rsid w:val="006641B3"/>
    <w:rsid w:val="006644AC"/>
    <w:rsid w:val="00664EF2"/>
    <w:rsid w:val="0066577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3188"/>
    <w:rsid w:val="0067319B"/>
    <w:rsid w:val="00673C5D"/>
    <w:rsid w:val="00674693"/>
    <w:rsid w:val="00674FAD"/>
    <w:rsid w:val="006756FD"/>
    <w:rsid w:val="00675D92"/>
    <w:rsid w:val="0067636F"/>
    <w:rsid w:val="0067677C"/>
    <w:rsid w:val="0067699B"/>
    <w:rsid w:val="00676A88"/>
    <w:rsid w:val="00677C9E"/>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F17"/>
    <w:rsid w:val="0068645B"/>
    <w:rsid w:val="006867EB"/>
    <w:rsid w:val="00686AC4"/>
    <w:rsid w:val="006872C9"/>
    <w:rsid w:val="0068766E"/>
    <w:rsid w:val="0069080E"/>
    <w:rsid w:val="00690BD4"/>
    <w:rsid w:val="006912CC"/>
    <w:rsid w:val="00691621"/>
    <w:rsid w:val="00691871"/>
    <w:rsid w:val="006918B2"/>
    <w:rsid w:val="006921D7"/>
    <w:rsid w:val="00692AA6"/>
    <w:rsid w:val="00693374"/>
    <w:rsid w:val="006933A6"/>
    <w:rsid w:val="00693559"/>
    <w:rsid w:val="006939F6"/>
    <w:rsid w:val="006942CC"/>
    <w:rsid w:val="006942D4"/>
    <w:rsid w:val="00694C9B"/>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82"/>
    <w:rsid w:val="006A3076"/>
    <w:rsid w:val="006A3B08"/>
    <w:rsid w:val="006A48A2"/>
    <w:rsid w:val="006A492C"/>
    <w:rsid w:val="006A4AA9"/>
    <w:rsid w:val="006A4B90"/>
    <w:rsid w:val="006A4E21"/>
    <w:rsid w:val="006A6682"/>
    <w:rsid w:val="006A66A5"/>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48E0"/>
    <w:rsid w:val="006B4D2B"/>
    <w:rsid w:val="006B510C"/>
    <w:rsid w:val="006B54D2"/>
    <w:rsid w:val="006B56D8"/>
    <w:rsid w:val="006B571B"/>
    <w:rsid w:val="006B59C7"/>
    <w:rsid w:val="006B5CBE"/>
    <w:rsid w:val="006B5EAB"/>
    <w:rsid w:val="006B644E"/>
    <w:rsid w:val="006C0177"/>
    <w:rsid w:val="006C09EF"/>
    <w:rsid w:val="006C0B36"/>
    <w:rsid w:val="006C0E4F"/>
    <w:rsid w:val="006C13F9"/>
    <w:rsid w:val="006C2E53"/>
    <w:rsid w:val="006C3032"/>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D06BA"/>
    <w:rsid w:val="006D0D69"/>
    <w:rsid w:val="006D0F69"/>
    <w:rsid w:val="006D13F8"/>
    <w:rsid w:val="006D2021"/>
    <w:rsid w:val="006D2549"/>
    <w:rsid w:val="006D2598"/>
    <w:rsid w:val="006D2BED"/>
    <w:rsid w:val="006D2EC8"/>
    <w:rsid w:val="006D2FC7"/>
    <w:rsid w:val="006D3175"/>
    <w:rsid w:val="006D39C7"/>
    <w:rsid w:val="006D4215"/>
    <w:rsid w:val="006D4680"/>
    <w:rsid w:val="006D4BA3"/>
    <w:rsid w:val="006D519A"/>
    <w:rsid w:val="006D5440"/>
    <w:rsid w:val="006D57C9"/>
    <w:rsid w:val="006D5AF9"/>
    <w:rsid w:val="006D5B0E"/>
    <w:rsid w:val="006D5BAF"/>
    <w:rsid w:val="006D5D86"/>
    <w:rsid w:val="006D5E8F"/>
    <w:rsid w:val="006D5F51"/>
    <w:rsid w:val="006D60F6"/>
    <w:rsid w:val="006D63CD"/>
    <w:rsid w:val="006D741A"/>
    <w:rsid w:val="006D7446"/>
    <w:rsid w:val="006D7875"/>
    <w:rsid w:val="006E11F3"/>
    <w:rsid w:val="006E125A"/>
    <w:rsid w:val="006E145F"/>
    <w:rsid w:val="006E1AB6"/>
    <w:rsid w:val="006E2C13"/>
    <w:rsid w:val="006E34F3"/>
    <w:rsid w:val="006E4160"/>
    <w:rsid w:val="006E5A01"/>
    <w:rsid w:val="006E608A"/>
    <w:rsid w:val="006E635F"/>
    <w:rsid w:val="006E66EF"/>
    <w:rsid w:val="006E69B7"/>
    <w:rsid w:val="006F0177"/>
    <w:rsid w:val="006F07AF"/>
    <w:rsid w:val="006F1701"/>
    <w:rsid w:val="006F198F"/>
    <w:rsid w:val="006F1CB4"/>
    <w:rsid w:val="006F1D9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A88"/>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B8D"/>
    <w:rsid w:val="007179DC"/>
    <w:rsid w:val="00717B6D"/>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6E0"/>
    <w:rsid w:val="00725FB0"/>
    <w:rsid w:val="00726700"/>
    <w:rsid w:val="00726B16"/>
    <w:rsid w:val="00727029"/>
    <w:rsid w:val="0072777A"/>
    <w:rsid w:val="0073150C"/>
    <w:rsid w:val="00732228"/>
    <w:rsid w:val="00732C3E"/>
    <w:rsid w:val="00733071"/>
    <w:rsid w:val="00733C33"/>
    <w:rsid w:val="00734171"/>
    <w:rsid w:val="00734B67"/>
    <w:rsid w:val="00734BA7"/>
    <w:rsid w:val="00735C35"/>
    <w:rsid w:val="00735EA5"/>
    <w:rsid w:val="00736446"/>
    <w:rsid w:val="00736631"/>
    <w:rsid w:val="00736B9B"/>
    <w:rsid w:val="00737053"/>
    <w:rsid w:val="007373C2"/>
    <w:rsid w:val="007375D5"/>
    <w:rsid w:val="00737790"/>
    <w:rsid w:val="00737B0D"/>
    <w:rsid w:val="0074044A"/>
    <w:rsid w:val="00740655"/>
    <w:rsid w:val="0074075B"/>
    <w:rsid w:val="007407AF"/>
    <w:rsid w:val="00740A6E"/>
    <w:rsid w:val="00740B24"/>
    <w:rsid w:val="00740DD3"/>
    <w:rsid w:val="0074112A"/>
    <w:rsid w:val="00741811"/>
    <w:rsid w:val="00741B11"/>
    <w:rsid w:val="00741CE8"/>
    <w:rsid w:val="00742C12"/>
    <w:rsid w:val="00742CC3"/>
    <w:rsid w:val="00742E55"/>
    <w:rsid w:val="00742FDC"/>
    <w:rsid w:val="00743338"/>
    <w:rsid w:val="00743EBE"/>
    <w:rsid w:val="00744278"/>
    <w:rsid w:val="00744DEE"/>
    <w:rsid w:val="0074511E"/>
    <w:rsid w:val="007455A2"/>
    <w:rsid w:val="00745C35"/>
    <w:rsid w:val="007471A8"/>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DF"/>
    <w:rsid w:val="0077219E"/>
    <w:rsid w:val="007725E6"/>
    <w:rsid w:val="00772641"/>
    <w:rsid w:val="0077296B"/>
    <w:rsid w:val="00772E5E"/>
    <w:rsid w:val="00772F7C"/>
    <w:rsid w:val="00773207"/>
    <w:rsid w:val="0077336B"/>
    <w:rsid w:val="007737C3"/>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57"/>
    <w:rsid w:val="007824D6"/>
    <w:rsid w:val="007825EE"/>
    <w:rsid w:val="0078260C"/>
    <w:rsid w:val="00782B30"/>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6AB"/>
    <w:rsid w:val="0078779B"/>
    <w:rsid w:val="007902AF"/>
    <w:rsid w:val="00790AFD"/>
    <w:rsid w:val="00790DCE"/>
    <w:rsid w:val="0079180E"/>
    <w:rsid w:val="007918F8"/>
    <w:rsid w:val="00791D75"/>
    <w:rsid w:val="00792100"/>
    <w:rsid w:val="007921B5"/>
    <w:rsid w:val="0079285F"/>
    <w:rsid w:val="00792B88"/>
    <w:rsid w:val="00792CAE"/>
    <w:rsid w:val="00793140"/>
    <w:rsid w:val="0079341E"/>
    <w:rsid w:val="00793928"/>
    <w:rsid w:val="00793F4B"/>
    <w:rsid w:val="007942C0"/>
    <w:rsid w:val="00795DE7"/>
    <w:rsid w:val="00796002"/>
    <w:rsid w:val="0079697D"/>
    <w:rsid w:val="0079708F"/>
    <w:rsid w:val="00797853"/>
    <w:rsid w:val="007978C7"/>
    <w:rsid w:val="007978E3"/>
    <w:rsid w:val="00797E67"/>
    <w:rsid w:val="007A02FC"/>
    <w:rsid w:val="007A043F"/>
    <w:rsid w:val="007A04A4"/>
    <w:rsid w:val="007A12FB"/>
    <w:rsid w:val="007A2370"/>
    <w:rsid w:val="007A2C26"/>
    <w:rsid w:val="007A33CB"/>
    <w:rsid w:val="007A38A5"/>
    <w:rsid w:val="007A3C80"/>
    <w:rsid w:val="007A3CB7"/>
    <w:rsid w:val="007A4646"/>
    <w:rsid w:val="007A464B"/>
    <w:rsid w:val="007A4AB5"/>
    <w:rsid w:val="007A50FE"/>
    <w:rsid w:val="007A5A6C"/>
    <w:rsid w:val="007A5F37"/>
    <w:rsid w:val="007A703B"/>
    <w:rsid w:val="007A73E1"/>
    <w:rsid w:val="007B04D9"/>
    <w:rsid w:val="007B099B"/>
    <w:rsid w:val="007B0CD0"/>
    <w:rsid w:val="007B1224"/>
    <w:rsid w:val="007B1304"/>
    <w:rsid w:val="007B19EA"/>
    <w:rsid w:val="007B1D47"/>
    <w:rsid w:val="007B208F"/>
    <w:rsid w:val="007B22C4"/>
    <w:rsid w:val="007B31EA"/>
    <w:rsid w:val="007B332A"/>
    <w:rsid w:val="007B3A2B"/>
    <w:rsid w:val="007B3B25"/>
    <w:rsid w:val="007B44E8"/>
    <w:rsid w:val="007B461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24C"/>
    <w:rsid w:val="007C435F"/>
    <w:rsid w:val="007C4C88"/>
    <w:rsid w:val="007C4ECC"/>
    <w:rsid w:val="007C50F4"/>
    <w:rsid w:val="007C5F19"/>
    <w:rsid w:val="007C75CB"/>
    <w:rsid w:val="007C75FB"/>
    <w:rsid w:val="007C7905"/>
    <w:rsid w:val="007C7F29"/>
    <w:rsid w:val="007D07B6"/>
    <w:rsid w:val="007D0BF2"/>
    <w:rsid w:val="007D198A"/>
    <w:rsid w:val="007D2A70"/>
    <w:rsid w:val="007D336D"/>
    <w:rsid w:val="007D39E1"/>
    <w:rsid w:val="007D3BC6"/>
    <w:rsid w:val="007D3E72"/>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D4E"/>
    <w:rsid w:val="007E3D98"/>
    <w:rsid w:val="007E484A"/>
    <w:rsid w:val="007E4C6D"/>
    <w:rsid w:val="007E533E"/>
    <w:rsid w:val="007E552F"/>
    <w:rsid w:val="007E55F5"/>
    <w:rsid w:val="007E5CB8"/>
    <w:rsid w:val="007E5EC7"/>
    <w:rsid w:val="007E6218"/>
    <w:rsid w:val="007E6525"/>
    <w:rsid w:val="007E69FA"/>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7F7F0F"/>
    <w:rsid w:val="007F7FCD"/>
    <w:rsid w:val="00800930"/>
    <w:rsid w:val="00800963"/>
    <w:rsid w:val="00800C55"/>
    <w:rsid w:val="00800E44"/>
    <w:rsid w:val="00800E71"/>
    <w:rsid w:val="0080146E"/>
    <w:rsid w:val="008016EF"/>
    <w:rsid w:val="00801833"/>
    <w:rsid w:val="0080208D"/>
    <w:rsid w:val="00802AE7"/>
    <w:rsid w:val="0080394D"/>
    <w:rsid w:val="008039A9"/>
    <w:rsid w:val="00803CB8"/>
    <w:rsid w:val="00803F4E"/>
    <w:rsid w:val="0080466D"/>
    <w:rsid w:val="00804CF5"/>
    <w:rsid w:val="0080507A"/>
    <w:rsid w:val="00805153"/>
    <w:rsid w:val="0080534E"/>
    <w:rsid w:val="00805A8C"/>
    <w:rsid w:val="00805BEE"/>
    <w:rsid w:val="00806B26"/>
    <w:rsid w:val="00806BE0"/>
    <w:rsid w:val="00806C3B"/>
    <w:rsid w:val="00807225"/>
    <w:rsid w:val="0080743E"/>
    <w:rsid w:val="00807C54"/>
    <w:rsid w:val="00810773"/>
    <w:rsid w:val="00810906"/>
    <w:rsid w:val="00810D3D"/>
    <w:rsid w:val="008118BF"/>
    <w:rsid w:val="00811C1C"/>
    <w:rsid w:val="00811F35"/>
    <w:rsid w:val="00812840"/>
    <w:rsid w:val="00812CC3"/>
    <w:rsid w:val="00813215"/>
    <w:rsid w:val="00813525"/>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E0F"/>
    <w:rsid w:val="00822674"/>
    <w:rsid w:val="0082273B"/>
    <w:rsid w:val="008227CC"/>
    <w:rsid w:val="008229D3"/>
    <w:rsid w:val="00823200"/>
    <w:rsid w:val="008233F6"/>
    <w:rsid w:val="00823EF7"/>
    <w:rsid w:val="0082430E"/>
    <w:rsid w:val="00824AC1"/>
    <w:rsid w:val="00824F86"/>
    <w:rsid w:val="00825347"/>
    <w:rsid w:val="00826C76"/>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401"/>
    <w:rsid w:val="00847AE1"/>
    <w:rsid w:val="00850095"/>
    <w:rsid w:val="0085037E"/>
    <w:rsid w:val="0085044D"/>
    <w:rsid w:val="00850AC4"/>
    <w:rsid w:val="00850CBB"/>
    <w:rsid w:val="00850FBF"/>
    <w:rsid w:val="00851089"/>
    <w:rsid w:val="00851932"/>
    <w:rsid w:val="008522D8"/>
    <w:rsid w:val="00852524"/>
    <w:rsid w:val="008527D8"/>
    <w:rsid w:val="00853030"/>
    <w:rsid w:val="00853598"/>
    <w:rsid w:val="00853626"/>
    <w:rsid w:val="008547C7"/>
    <w:rsid w:val="00856AD7"/>
    <w:rsid w:val="00857679"/>
    <w:rsid w:val="008578AA"/>
    <w:rsid w:val="00857B8D"/>
    <w:rsid w:val="00857E0A"/>
    <w:rsid w:val="00860257"/>
    <w:rsid w:val="00860BCF"/>
    <w:rsid w:val="00860D5B"/>
    <w:rsid w:val="0086102C"/>
    <w:rsid w:val="00861225"/>
    <w:rsid w:val="008617A0"/>
    <w:rsid w:val="0086181C"/>
    <w:rsid w:val="00861C1F"/>
    <w:rsid w:val="00861E86"/>
    <w:rsid w:val="0086265B"/>
    <w:rsid w:val="00862B02"/>
    <w:rsid w:val="00862B80"/>
    <w:rsid w:val="00862C33"/>
    <w:rsid w:val="00862C5D"/>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A17"/>
    <w:rsid w:val="008735A8"/>
    <w:rsid w:val="008735AA"/>
    <w:rsid w:val="00873819"/>
    <w:rsid w:val="008742D7"/>
    <w:rsid w:val="00874643"/>
    <w:rsid w:val="00874CBE"/>
    <w:rsid w:val="008756CD"/>
    <w:rsid w:val="00875744"/>
    <w:rsid w:val="00876A90"/>
    <w:rsid w:val="00876CA0"/>
    <w:rsid w:val="00876F2C"/>
    <w:rsid w:val="00877282"/>
    <w:rsid w:val="0088001F"/>
    <w:rsid w:val="0088067E"/>
    <w:rsid w:val="008807AC"/>
    <w:rsid w:val="00880E86"/>
    <w:rsid w:val="00882209"/>
    <w:rsid w:val="0088224E"/>
    <w:rsid w:val="00882518"/>
    <w:rsid w:val="0088276B"/>
    <w:rsid w:val="00882E9C"/>
    <w:rsid w:val="0088301A"/>
    <w:rsid w:val="00883DEA"/>
    <w:rsid w:val="00883F1F"/>
    <w:rsid w:val="00884C87"/>
    <w:rsid w:val="00884E30"/>
    <w:rsid w:val="008858CB"/>
    <w:rsid w:val="00885B12"/>
    <w:rsid w:val="00885B56"/>
    <w:rsid w:val="00885BA3"/>
    <w:rsid w:val="00885CFA"/>
    <w:rsid w:val="00886712"/>
    <w:rsid w:val="00890601"/>
    <w:rsid w:val="0089095F"/>
    <w:rsid w:val="00890BD6"/>
    <w:rsid w:val="008915AC"/>
    <w:rsid w:val="0089298B"/>
    <w:rsid w:val="00892ACC"/>
    <w:rsid w:val="00892B53"/>
    <w:rsid w:val="0089327F"/>
    <w:rsid w:val="00893D57"/>
    <w:rsid w:val="008949AF"/>
    <w:rsid w:val="00894BBD"/>
    <w:rsid w:val="008957F8"/>
    <w:rsid w:val="00895853"/>
    <w:rsid w:val="0089596C"/>
    <w:rsid w:val="00895E2C"/>
    <w:rsid w:val="0089617A"/>
    <w:rsid w:val="008963E0"/>
    <w:rsid w:val="00896AFF"/>
    <w:rsid w:val="00897449"/>
    <w:rsid w:val="00897715"/>
    <w:rsid w:val="00897879"/>
    <w:rsid w:val="00897D93"/>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7B8E"/>
    <w:rsid w:val="008B0E94"/>
    <w:rsid w:val="008B102B"/>
    <w:rsid w:val="008B161E"/>
    <w:rsid w:val="008B1A49"/>
    <w:rsid w:val="008B1F26"/>
    <w:rsid w:val="008B2864"/>
    <w:rsid w:val="008B29DF"/>
    <w:rsid w:val="008B3A04"/>
    <w:rsid w:val="008B3E34"/>
    <w:rsid w:val="008B3E68"/>
    <w:rsid w:val="008B46D8"/>
    <w:rsid w:val="008B619B"/>
    <w:rsid w:val="008B7D67"/>
    <w:rsid w:val="008B7E3D"/>
    <w:rsid w:val="008B7E6F"/>
    <w:rsid w:val="008C0B69"/>
    <w:rsid w:val="008C141F"/>
    <w:rsid w:val="008C1A5D"/>
    <w:rsid w:val="008C1F2D"/>
    <w:rsid w:val="008C22C3"/>
    <w:rsid w:val="008C24AA"/>
    <w:rsid w:val="008C29F8"/>
    <w:rsid w:val="008C2BC4"/>
    <w:rsid w:val="008C3BBD"/>
    <w:rsid w:val="008C3C82"/>
    <w:rsid w:val="008C4074"/>
    <w:rsid w:val="008C4359"/>
    <w:rsid w:val="008C4716"/>
    <w:rsid w:val="008C4EAF"/>
    <w:rsid w:val="008C5986"/>
    <w:rsid w:val="008C6209"/>
    <w:rsid w:val="008C6500"/>
    <w:rsid w:val="008C7932"/>
    <w:rsid w:val="008C7B11"/>
    <w:rsid w:val="008D0B70"/>
    <w:rsid w:val="008D1964"/>
    <w:rsid w:val="008D1DAB"/>
    <w:rsid w:val="008D2A70"/>
    <w:rsid w:val="008D2EE9"/>
    <w:rsid w:val="008D31CC"/>
    <w:rsid w:val="008D31FE"/>
    <w:rsid w:val="008D3303"/>
    <w:rsid w:val="008D33FD"/>
    <w:rsid w:val="008D36D5"/>
    <w:rsid w:val="008D3761"/>
    <w:rsid w:val="008D3E1B"/>
    <w:rsid w:val="008D460A"/>
    <w:rsid w:val="008D472B"/>
    <w:rsid w:val="008D511E"/>
    <w:rsid w:val="008D5395"/>
    <w:rsid w:val="008D53EA"/>
    <w:rsid w:val="008D5449"/>
    <w:rsid w:val="008D6488"/>
    <w:rsid w:val="008D7A42"/>
    <w:rsid w:val="008D7E67"/>
    <w:rsid w:val="008D7ECF"/>
    <w:rsid w:val="008D7F63"/>
    <w:rsid w:val="008E0743"/>
    <w:rsid w:val="008E0843"/>
    <w:rsid w:val="008E0972"/>
    <w:rsid w:val="008E0B46"/>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55D5"/>
    <w:rsid w:val="008E55DF"/>
    <w:rsid w:val="008E6047"/>
    <w:rsid w:val="008E6DD2"/>
    <w:rsid w:val="008F028F"/>
    <w:rsid w:val="008F0969"/>
    <w:rsid w:val="008F0A36"/>
    <w:rsid w:val="008F0CA0"/>
    <w:rsid w:val="008F0D96"/>
    <w:rsid w:val="008F1994"/>
    <w:rsid w:val="008F25F2"/>
    <w:rsid w:val="008F28C5"/>
    <w:rsid w:val="008F2D90"/>
    <w:rsid w:val="008F326E"/>
    <w:rsid w:val="008F3992"/>
    <w:rsid w:val="008F4879"/>
    <w:rsid w:val="008F49EE"/>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88C"/>
    <w:rsid w:val="0090488E"/>
    <w:rsid w:val="0090522A"/>
    <w:rsid w:val="0090531F"/>
    <w:rsid w:val="00905B32"/>
    <w:rsid w:val="00905CC7"/>
    <w:rsid w:val="00906E70"/>
    <w:rsid w:val="00906F9D"/>
    <w:rsid w:val="00907CE4"/>
    <w:rsid w:val="00907D17"/>
    <w:rsid w:val="00910100"/>
    <w:rsid w:val="00910320"/>
    <w:rsid w:val="00910425"/>
    <w:rsid w:val="00910793"/>
    <w:rsid w:val="009108C1"/>
    <w:rsid w:val="009109DD"/>
    <w:rsid w:val="00910C1A"/>
    <w:rsid w:val="00910D5A"/>
    <w:rsid w:val="009111BD"/>
    <w:rsid w:val="00912F84"/>
    <w:rsid w:val="00913268"/>
    <w:rsid w:val="0091364E"/>
    <w:rsid w:val="00913DD1"/>
    <w:rsid w:val="00914111"/>
    <w:rsid w:val="00914227"/>
    <w:rsid w:val="0091474E"/>
    <w:rsid w:val="0091537D"/>
    <w:rsid w:val="009157D1"/>
    <w:rsid w:val="009164A3"/>
    <w:rsid w:val="00916691"/>
    <w:rsid w:val="00916A9A"/>
    <w:rsid w:val="009171E1"/>
    <w:rsid w:val="009203F6"/>
    <w:rsid w:val="009206DC"/>
    <w:rsid w:val="00920B10"/>
    <w:rsid w:val="009212AB"/>
    <w:rsid w:val="0092147D"/>
    <w:rsid w:val="009220AC"/>
    <w:rsid w:val="009233F0"/>
    <w:rsid w:val="009234F2"/>
    <w:rsid w:val="00923FCB"/>
    <w:rsid w:val="009247A4"/>
    <w:rsid w:val="00924EF1"/>
    <w:rsid w:val="0092520D"/>
    <w:rsid w:val="0092582E"/>
    <w:rsid w:val="00925EB1"/>
    <w:rsid w:val="00925EDA"/>
    <w:rsid w:val="00925F56"/>
    <w:rsid w:val="0092611D"/>
    <w:rsid w:val="009265BA"/>
    <w:rsid w:val="009270F4"/>
    <w:rsid w:val="0092753E"/>
    <w:rsid w:val="00930583"/>
    <w:rsid w:val="00930810"/>
    <w:rsid w:val="0093098E"/>
    <w:rsid w:val="009310B4"/>
    <w:rsid w:val="00931482"/>
    <w:rsid w:val="00931528"/>
    <w:rsid w:val="00931CB3"/>
    <w:rsid w:val="00931FE5"/>
    <w:rsid w:val="00932330"/>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203E"/>
    <w:rsid w:val="00942B79"/>
    <w:rsid w:val="00942EF6"/>
    <w:rsid w:val="009431BA"/>
    <w:rsid w:val="00943B63"/>
    <w:rsid w:val="009449C7"/>
    <w:rsid w:val="00944F4E"/>
    <w:rsid w:val="0094503B"/>
    <w:rsid w:val="00945064"/>
    <w:rsid w:val="009453F0"/>
    <w:rsid w:val="0094594B"/>
    <w:rsid w:val="00945D9F"/>
    <w:rsid w:val="009461C3"/>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3F1A"/>
    <w:rsid w:val="00954456"/>
    <w:rsid w:val="009547B0"/>
    <w:rsid w:val="009548F2"/>
    <w:rsid w:val="00954B26"/>
    <w:rsid w:val="00955221"/>
    <w:rsid w:val="0095579A"/>
    <w:rsid w:val="009564E8"/>
    <w:rsid w:val="00956701"/>
    <w:rsid w:val="00956C29"/>
    <w:rsid w:val="009604FD"/>
    <w:rsid w:val="00960983"/>
    <w:rsid w:val="009609A4"/>
    <w:rsid w:val="00960A77"/>
    <w:rsid w:val="009610AB"/>
    <w:rsid w:val="00961153"/>
    <w:rsid w:val="00961279"/>
    <w:rsid w:val="00961B15"/>
    <w:rsid w:val="0096203C"/>
    <w:rsid w:val="009621E0"/>
    <w:rsid w:val="00962418"/>
    <w:rsid w:val="00962DFB"/>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E5C"/>
    <w:rsid w:val="00967F66"/>
    <w:rsid w:val="00970F0A"/>
    <w:rsid w:val="009711E5"/>
    <w:rsid w:val="009719CB"/>
    <w:rsid w:val="00971ABF"/>
    <w:rsid w:val="00971E05"/>
    <w:rsid w:val="009721FC"/>
    <w:rsid w:val="009728F2"/>
    <w:rsid w:val="009734FE"/>
    <w:rsid w:val="00973D52"/>
    <w:rsid w:val="00973D92"/>
    <w:rsid w:val="00974C08"/>
    <w:rsid w:val="0097583E"/>
    <w:rsid w:val="009762B9"/>
    <w:rsid w:val="00976997"/>
    <w:rsid w:val="00976FDF"/>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6E14"/>
    <w:rsid w:val="00987020"/>
    <w:rsid w:val="0098769A"/>
    <w:rsid w:val="0098785B"/>
    <w:rsid w:val="00987AA9"/>
    <w:rsid w:val="00987AFC"/>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482C"/>
    <w:rsid w:val="009A515B"/>
    <w:rsid w:val="009A55AC"/>
    <w:rsid w:val="009A55BC"/>
    <w:rsid w:val="009A5948"/>
    <w:rsid w:val="009A5D15"/>
    <w:rsid w:val="009A5E7E"/>
    <w:rsid w:val="009A5E94"/>
    <w:rsid w:val="009A6693"/>
    <w:rsid w:val="009A7A2F"/>
    <w:rsid w:val="009B00AA"/>
    <w:rsid w:val="009B0377"/>
    <w:rsid w:val="009B04EB"/>
    <w:rsid w:val="009B0734"/>
    <w:rsid w:val="009B0BD7"/>
    <w:rsid w:val="009B0D48"/>
    <w:rsid w:val="009B148E"/>
    <w:rsid w:val="009B2EB7"/>
    <w:rsid w:val="009B3B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078"/>
    <w:rsid w:val="009C1A30"/>
    <w:rsid w:val="009C27AE"/>
    <w:rsid w:val="009C2916"/>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0F7"/>
    <w:rsid w:val="009D25A1"/>
    <w:rsid w:val="009D293E"/>
    <w:rsid w:val="009D2C59"/>
    <w:rsid w:val="009D31D9"/>
    <w:rsid w:val="009D36A3"/>
    <w:rsid w:val="009D37F3"/>
    <w:rsid w:val="009D3A77"/>
    <w:rsid w:val="009D4038"/>
    <w:rsid w:val="009D4371"/>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CD"/>
    <w:rsid w:val="009E5785"/>
    <w:rsid w:val="009E5BBC"/>
    <w:rsid w:val="009E5C91"/>
    <w:rsid w:val="009E5EE4"/>
    <w:rsid w:val="009E62EA"/>
    <w:rsid w:val="009E68BA"/>
    <w:rsid w:val="009E6903"/>
    <w:rsid w:val="009E7067"/>
    <w:rsid w:val="009E7FA3"/>
    <w:rsid w:val="009F01D9"/>
    <w:rsid w:val="009F0437"/>
    <w:rsid w:val="009F12BA"/>
    <w:rsid w:val="009F1938"/>
    <w:rsid w:val="009F2B8A"/>
    <w:rsid w:val="009F2E84"/>
    <w:rsid w:val="009F2E86"/>
    <w:rsid w:val="009F2F94"/>
    <w:rsid w:val="009F2FD0"/>
    <w:rsid w:val="009F32AC"/>
    <w:rsid w:val="009F374A"/>
    <w:rsid w:val="009F3A58"/>
    <w:rsid w:val="009F3AE8"/>
    <w:rsid w:val="009F3C55"/>
    <w:rsid w:val="009F3D36"/>
    <w:rsid w:val="009F453D"/>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4537"/>
    <w:rsid w:val="00A054AD"/>
    <w:rsid w:val="00A05ABE"/>
    <w:rsid w:val="00A05D5F"/>
    <w:rsid w:val="00A06710"/>
    <w:rsid w:val="00A06D8B"/>
    <w:rsid w:val="00A072B6"/>
    <w:rsid w:val="00A074CC"/>
    <w:rsid w:val="00A07939"/>
    <w:rsid w:val="00A118A7"/>
    <w:rsid w:val="00A118B8"/>
    <w:rsid w:val="00A11C62"/>
    <w:rsid w:val="00A12E78"/>
    <w:rsid w:val="00A13479"/>
    <w:rsid w:val="00A13991"/>
    <w:rsid w:val="00A13BCB"/>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28B3"/>
    <w:rsid w:val="00A234FB"/>
    <w:rsid w:val="00A23C56"/>
    <w:rsid w:val="00A23FDA"/>
    <w:rsid w:val="00A241F9"/>
    <w:rsid w:val="00A24875"/>
    <w:rsid w:val="00A24A6D"/>
    <w:rsid w:val="00A24FB2"/>
    <w:rsid w:val="00A250A1"/>
    <w:rsid w:val="00A25149"/>
    <w:rsid w:val="00A257A7"/>
    <w:rsid w:val="00A26251"/>
    <w:rsid w:val="00A2664B"/>
    <w:rsid w:val="00A26E20"/>
    <w:rsid w:val="00A27556"/>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164"/>
    <w:rsid w:val="00A5030F"/>
    <w:rsid w:val="00A51332"/>
    <w:rsid w:val="00A51DB7"/>
    <w:rsid w:val="00A51F02"/>
    <w:rsid w:val="00A533C2"/>
    <w:rsid w:val="00A53FB2"/>
    <w:rsid w:val="00A54563"/>
    <w:rsid w:val="00A549D4"/>
    <w:rsid w:val="00A5510A"/>
    <w:rsid w:val="00A553C3"/>
    <w:rsid w:val="00A55815"/>
    <w:rsid w:val="00A55890"/>
    <w:rsid w:val="00A558F7"/>
    <w:rsid w:val="00A5592E"/>
    <w:rsid w:val="00A56D1D"/>
    <w:rsid w:val="00A570C4"/>
    <w:rsid w:val="00A57BF8"/>
    <w:rsid w:val="00A57E83"/>
    <w:rsid w:val="00A57F41"/>
    <w:rsid w:val="00A60042"/>
    <w:rsid w:val="00A6005B"/>
    <w:rsid w:val="00A6059A"/>
    <w:rsid w:val="00A61D9A"/>
    <w:rsid w:val="00A6210E"/>
    <w:rsid w:val="00A62458"/>
    <w:rsid w:val="00A62CC0"/>
    <w:rsid w:val="00A63779"/>
    <w:rsid w:val="00A64155"/>
    <w:rsid w:val="00A64992"/>
    <w:rsid w:val="00A64B17"/>
    <w:rsid w:val="00A652BF"/>
    <w:rsid w:val="00A655AE"/>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78DA"/>
    <w:rsid w:val="00A80358"/>
    <w:rsid w:val="00A8037A"/>
    <w:rsid w:val="00A806F8"/>
    <w:rsid w:val="00A80795"/>
    <w:rsid w:val="00A80DA7"/>
    <w:rsid w:val="00A8130C"/>
    <w:rsid w:val="00A81536"/>
    <w:rsid w:val="00A815DC"/>
    <w:rsid w:val="00A8183B"/>
    <w:rsid w:val="00A81ADE"/>
    <w:rsid w:val="00A823F8"/>
    <w:rsid w:val="00A829D6"/>
    <w:rsid w:val="00A832F8"/>
    <w:rsid w:val="00A85443"/>
    <w:rsid w:val="00A85CC9"/>
    <w:rsid w:val="00A85D2B"/>
    <w:rsid w:val="00A85E6D"/>
    <w:rsid w:val="00A8609C"/>
    <w:rsid w:val="00A86202"/>
    <w:rsid w:val="00A863B8"/>
    <w:rsid w:val="00A8677E"/>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6D9E"/>
    <w:rsid w:val="00A97DE8"/>
    <w:rsid w:val="00AA00F0"/>
    <w:rsid w:val="00AA05BF"/>
    <w:rsid w:val="00AA134F"/>
    <w:rsid w:val="00AA1636"/>
    <w:rsid w:val="00AA21C5"/>
    <w:rsid w:val="00AA3ADB"/>
    <w:rsid w:val="00AA3BE0"/>
    <w:rsid w:val="00AA3D8C"/>
    <w:rsid w:val="00AA3E7A"/>
    <w:rsid w:val="00AA4554"/>
    <w:rsid w:val="00AA4740"/>
    <w:rsid w:val="00AA4D22"/>
    <w:rsid w:val="00AA50E7"/>
    <w:rsid w:val="00AA52D3"/>
    <w:rsid w:val="00AA5385"/>
    <w:rsid w:val="00AA569B"/>
    <w:rsid w:val="00AA5798"/>
    <w:rsid w:val="00AA59A0"/>
    <w:rsid w:val="00AA59A4"/>
    <w:rsid w:val="00AA6CAD"/>
    <w:rsid w:val="00AA6FC5"/>
    <w:rsid w:val="00AA72F9"/>
    <w:rsid w:val="00AA753E"/>
    <w:rsid w:val="00AA7E81"/>
    <w:rsid w:val="00AA7F29"/>
    <w:rsid w:val="00AB011D"/>
    <w:rsid w:val="00AB0EDF"/>
    <w:rsid w:val="00AB1283"/>
    <w:rsid w:val="00AB1460"/>
    <w:rsid w:val="00AB20EB"/>
    <w:rsid w:val="00AB215D"/>
    <w:rsid w:val="00AB21D4"/>
    <w:rsid w:val="00AB2404"/>
    <w:rsid w:val="00AB2ADB"/>
    <w:rsid w:val="00AB3168"/>
    <w:rsid w:val="00AB39C3"/>
    <w:rsid w:val="00AB46BB"/>
    <w:rsid w:val="00AB48ED"/>
    <w:rsid w:val="00AB5004"/>
    <w:rsid w:val="00AB5D0E"/>
    <w:rsid w:val="00AB689D"/>
    <w:rsid w:val="00AB74CD"/>
    <w:rsid w:val="00AB7A0E"/>
    <w:rsid w:val="00AB7BFD"/>
    <w:rsid w:val="00AC0005"/>
    <w:rsid w:val="00AC018B"/>
    <w:rsid w:val="00AC01F1"/>
    <w:rsid w:val="00AC02EC"/>
    <w:rsid w:val="00AC118E"/>
    <w:rsid w:val="00AC19D9"/>
    <w:rsid w:val="00AC1BC8"/>
    <w:rsid w:val="00AC1D90"/>
    <w:rsid w:val="00AC2761"/>
    <w:rsid w:val="00AC2783"/>
    <w:rsid w:val="00AC278D"/>
    <w:rsid w:val="00AC31EA"/>
    <w:rsid w:val="00AC389B"/>
    <w:rsid w:val="00AC4707"/>
    <w:rsid w:val="00AC4D21"/>
    <w:rsid w:val="00AC5D91"/>
    <w:rsid w:val="00AC66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310A"/>
    <w:rsid w:val="00AD326C"/>
    <w:rsid w:val="00AD38D0"/>
    <w:rsid w:val="00AD3CE8"/>
    <w:rsid w:val="00AD415B"/>
    <w:rsid w:val="00AD46EF"/>
    <w:rsid w:val="00AD50EB"/>
    <w:rsid w:val="00AD5861"/>
    <w:rsid w:val="00AD5C00"/>
    <w:rsid w:val="00AD5EE1"/>
    <w:rsid w:val="00AD6670"/>
    <w:rsid w:val="00AD6BB1"/>
    <w:rsid w:val="00AE0392"/>
    <w:rsid w:val="00AE04DF"/>
    <w:rsid w:val="00AE0A91"/>
    <w:rsid w:val="00AE0B55"/>
    <w:rsid w:val="00AE0BF3"/>
    <w:rsid w:val="00AE152A"/>
    <w:rsid w:val="00AE21AF"/>
    <w:rsid w:val="00AE224B"/>
    <w:rsid w:val="00AE2290"/>
    <w:rsid w:val="00AE29E9"/>
    <w:rsid w:val="00AE3174"/>
    <w:rsid w:val="00AE338A"/>
    <w:rsid w:val="00AE3DE3"/>
    <w:rsid w:val="00AE4E6F"/>
    <w:rsid w:val="00AE4EB0"/>
    <w:rsid w:val="00AE501C"/>
    <w:rsid w:val="00AE5253"/>
    <w:rsid w:val="00AE57A7"/>
    <w:rsid w:val="00AE64BB"/>
    <w:rsid w:val="00AE7885"/>
    <w:rsid w:val="00AE7D5C"/>
    <w:rsid w:val="00AF092A"/>
    <w:rsid w:val="00AF1355"/>
    <w:rsid w:val="00AF1605"/>
    <w:rsid w:val="00AF1DBD"/>
    <w:rsid w:val="00AF1EED"/>
    <w:rsid w:val="00AF2086"/>
    <w:rsid w:val="00AF2291"/>
    <w:rsid w:val="00AF22F1"/>
    <w:rsid w:val="00AF2674"/>
    <w:rsid w:val="00AF2A07"/>
    <w:rsid w:val="00AF33E6"/>
    <w:rsid w:val="00AF376E"/>
    <w:rsid w:val="00AF3B50"/>
    <w:rsid w:val="00AF3E46"/>
    <w:rsid w:val="00AF3F9F"/>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2443"/>
    <w:rsid w:val="00B12B3C"/>
    <w:rsid w:val="00B12BA7"/>
    <w:rsid w:val="00B12DBE"/>
    <w:rsid w:val="00B12FAC"/>
    <w:rsid w:val="00B13734"/>
    <w:rsid w:val="00B13911"/>
    <w:rsid w:val="00B1436E"/>
    <w:rsid w:val="00B151FA"/>
    <w:rsid w:val="00B153D3"/>
    <w:rsid w:val="00B16616"/>
    <w:rsid w:val="00B169F2"/>
    <w:rsid w:val="00B16E4A"/>
    <w:rsid w:val="00B1719D"/>
    <w:rsid w:val="00B17441"/>
    <w:rsid w:val="00B2033F"/>
    <w:rsid w:val="00B2039A"/>
    <w:rsid w:val="00B206C8"/>
    <w:rsid w:val="00B21551"/>
    <w:rsid w:val="00B22187"/>
    <w:rsid w:val="00B22326"/>
    <w:rsid w:val="00B2258C"/>
    <w:rsid w:val="00B228CD"/>
    <w:rsid w:val="00B22987"/>
    <w:rsid w:val="00B241C2"/>
    <w:rsid w:val="00B2426B"/>
    <w:rsid w:val="00B24D9C"/>
    <w:rsid w:val="00B24E95"/>
    <w:rsid w:val="00B251EA"/>
    <w:rsid w:val="00B258BD"/>
    <w:rsid w:val="00B263C7"/>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4D61"/>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53B9"/>
    <w:rsid w:val="00B455A1"/>
    <w:rsid w:val="00B45A97"/>
    <w:rsid w:val="00B4677F"/>
    <w:rsid w:val="00B46E12"/>
    <w:rsid w:val="00B472E3"/>
    <w:rsid w:val="00B479B7"/>
    <w:rsid w:val="00B50546"/>
    <w:rsid w:val="00B507F5"/>
    <w:rsid w:val="00B50D0A"/>
    <w:rsid w:val="00B527C1"/>
    <w:rsid w:val="00B52F4A"/>
    <w:rsid w:val="00B52F92"/>
    <w:rsid w:val="00B531C8"/>
    <w:rsid w:val="00B539C7"/>
    <w:rsid w:val="00B555C5"/>
    <w:rsid w:val="00B56769"/>
    <w:rsid w:val="00B57B64"/>
    <w:rsid w:val="00B57BA0"/>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D6E"/>
    <w:rsid w:val="00B92063"/>
    <w:rsid w:val="00B9292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13D0"/>
    <w:rsid w:val="00BA1A2C"/>
    <w:rsid w:val="00BA1D20"/>
    <w:rsid w:val="00BA1F0E"/>
    <w:rsid w:val="00BA2255"/>
    <w:rsid w:val="00BA246D"/>
    <w:rsid w:val="00BA29D1"/>
    <w:rsid w:val="00BA3467"/>
    <w:rsid w:val="00BA4463"/>
    <w:rsid w:val="00BA5051"/>
    <w:rsid w:val="00BA56DD"/>
    <w:rsid w:val="00BA56FD"/>
    <w:rsid w:val="00BA5B97"/>
    <w:rsid w:val="00BA5DE9"/>
    <w:rsid w:val="00BA7146"/>
    <w:rsid w:val="00BA71CB"/>
    <w:rsid w:val="00BA740D"/>
    <w:rsid w:val="00BB0005"/>
    <w:rsid w:val="00BB1DFF"/>
    <w:rsid w:val="00BB3664"/>
    <w:rsid w:val="00BB38A9"/>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735"/>
    <w:rsid w:val="00BC6FA6"/>
    <w:rsid w:val="00BC7208"/>
    <w:rsid w:val="00BC7494"/>
    <w:rsid w:val="00BC786B"/>
    <w:rsid w:val="00BC788C"/>
    <w:rsid w:val="00BC7ECA"/>
    <w:rsid w:val="00BD039E"/>
    <w:rsid w:val="00BD0478"/>
    <w:rsid w:val="00BD0573"/>
    <w:rsid w:val="00BD086C"/>
    <w:rsid w:val="00BD0A7A"/>
    <w:rsid w:val="00BD0AAB"/>
    <w:rsid w:val="00BD0D96"/>
    <w:rsid w:val="00BD1398"/>
    <w:rsid w:val="00BD1B66"/>
    <w:rsid w:val="00BD2899"/>
    <w:rsid w:val="00BD307A"/>
    <w:rsid w:val="00BD30F8"/>
    <w:rsid w:val="00BD3243"/>
    <w:rsid w:val="00BD4C3F"/>
    <w:rsid w:val="00BD4FD7"/>
    <w:rsid w:val="00BD5006"/>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11AB"/>
    <w:rsid w:val="00BE146B"/>
    <w:rsid w:val="00BE17F6"/>
    <w:rsid w:val="00BE215F"/>
    <w:rsid w:val="00BE220B"/>
    <w:rsid w:val="00BE2775"/>
    <w:rsid w:val="00BE2DE4"/>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EC3"/>
    <w:rsid w:val="00BF2FB0"/>
    <w:rsid w:val="00BF3C86"/>
    <w:rsid w:val="00BF3F75"/>
    <w:rsid w:val="00BF4ED9"/>
    <w:rsid w:val="00BF5937"/>
    <w:rsid w:val="00BF5D01"/>
    <w:rsid w:val="00BF66A4"/>
    <w:rsid w:val="00BF6E78"/>
    <w:rsid w:val="00BF74E7"/>
    <w:rsid w:val="00BF78DD"/>
    <w:rsid w:val="00BF7BD4"/>
    <w:rsid w:val="00C000DD"/>
    <w:rsid w:val="00C002D9"/>
    <w:rsid w:val="00C004E6"/>
    <w:rsid w:val="00C0097B"/>
    <w:rsid w:val="00C01A98"/>
    <w:rsid w:val="00C02605"/>
    <w:rsid w:val="00C031BC"/>
    <w:rsid w:val="00C034F3"/>
    <w:rsid w:val="00C039E8"/>
    <w:rsid w:val="00C03C0D"/>
    <w:rsid w:val="00C0419C"/>
    <w:rsid w:val="00C046D8"/>
    <w:rsid w:val="00C05446"/>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B5"/>
    <w:rsid w:val="00C12ACE"/>
    <w:rsid w:val="00C12BD2"/>
    <w:rsid w:val="00C1303A"/>
    <w:rsid w:val="00C132F3"/>
    <w:rsid w:val="00C13D28"/>
    <w:rsid w:val="00C13E1F"/>
    <w:rsid w:val="00C1489A"/>
    <w:rsid w:val="00C148FB"/>
    <w:rsid w:val="00C14ADF"/>
    <w:rsid w:val="00C1616D"/>
    <w:rsid w:val="00C164A2"/>
    <w:rsid w:val="00C16633"/>
    <w:rsid w:val="00C16C22"/>
    <w:rsid w:val="00C16D7A"/>
    <w:rsid w:val="00C16D80"/>
    <w:rsid w:val="00C17C83"/>
    <w:rsid w:val="00C20307"/>
    <w:rsid w:val="00C20361"/>
    <w:rsid w:val="00C204B5"/>
    <w:rsid w:val="00C205F9"/>
    <w:rsid w:val="00C20D6A"/>
    <w:rsid w:val="00C20F2B"/>
    <w:rsid w:val="00C21B96"/>
    <w:rsid w:val="00C21F28"/>
    <w:rsid w:val="00C21FC0"/>
    <w:rsid w:val="00C22B7B"/>
    <w:rsid w:val="00C243EE"/>
    <w:rsid w:val="00C24FDA"/>
    <w:rsid w:val="00C251B5"/>
    <w:rsid w:val="00C26789"/>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9D"/>
    <w:rsid w:val="00C345C5"/>
    <w:rsid w:val="00C34C50"/>
    <w:rsid w:val="00C357D7"/>
    <w:rsid w:val="00C35F1A"/>
    <w:rsid w:val="00C360FB"/>
    <w:rsid w:val="00C3662B"/>
    <w:rsid w:val="00C36BAA"/>
    <w:rsid w:val="00C36E99"/>
    <w:rsid w:val="00C37BD1"/>
    <w:rsid w:val="00C37BDF"/>
    <w:rsid w:val="00C37F27"/>
    <w:rsid w:val="00C40289"/>
    <w:rsid w:val="00C40AAB"/>
    <w:rsid w:val="00C4117F"/>
    <w:rsid w:val="00C41AAE"/>
    <w:rsid w:val="00C41D8B"/>
    <w:rsid w:val="00C41DB5"/>
    <w:rsid w:val="00C42466"/>
    <w:rsid w:val="00C43455"/>
    <w:rsid w:val="00C43A5B"/>
    <w:rsid w:val="00C43B3D"/>
    <w:rsid w:val="00C44A94"/>
    <w:rsid w:val="00C44BEB"/>
    <w:rsid w:val="00C44F98"/>
    <w:rsid w:val="00C45033"/>
    <w:rsid w:val="00C46B5A"/>
    <w:rsid w:val="00C46D3C"/>
    <w:rsid w:val="00C46F5C"/>
    <w:rsid w:val="00C471AB"/>
    <w:rsid w:val="00C4744E"/>
    <w:rsid w:val="00C50C1E"/>
    <w:rsid w:val="00C519F6"/>
    <w:rsid w:val="00C51E99"/>
    <w:rsid w:val="00C51F1F"/>
    <w:rsid w:val="00C51F9D"/>
    <w:rsid w:val="00C52352"/>
    <w:rsid w:val="00C528FB"/>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0DC1"/>
    <w:rsid w:val="00C613D6"/>
    <w:rsid w:val="00C61589"/>
    <w:rsid w:val="00C61F91"/>
    <w:rsid w:val="00C61FE0"/>
    <w:rsid w:val="00C62165"/>
    <w:rsid w:val="00C62492"/>
    <w:rsid w:val="00C62A11"/>
    <w:rsid w:val="00C62A59"/>
    <w:rsid w:val="00C62C2E"/>
    <w:rsid w:val="00C62E91"/>
    <w:rsid w:val="00C63CED"/>
    <w:rsid w:val="00C64830"/>
    <w:rsid w:val="00C64D67"/>
    <w:rsid w:val="00C650DD"/>
    <w:rsid w:val="00C655C3"/>
    <w:rsid w:val="00C658F8"/>
    <w:rsid w:val="00C668F3"/>
    <w:rsid w:val="00C66B70"/>
    <w:rsid w:val="00C66D3B"/>
    <w:rsid w:val="00C670D5"/>
    <w:rsid w:val="00C67C74"/>
    <w:rsid w:val="00C70816"/>
    <w:rsid w:val="00C70ABB"/>
    <w:rsid w:val="00C714C2"/>
    <w:rsid w:val="00C71612"/>
    <w:rsid w:val="00C71AB1"/>
    <w:rsid w:val="00C71C50"/>
    <w:rsid w:val="00C7218D"/>
    <w:rsid w:val="00C72767"/>
    <w:rsid w:val="00C72BF6"/>
    <w:rsid w:val="00C72E8B"/>
    <w:rsid w:val="00C72EA7"/>
    <w:rsid w:val="00C72EF8"/>
    <w:rsid w:val="00C73BF5"/>
    <w:rsid w:val="00C73CB0"/>
    <w:rsid w:val="00C73DA8"/>
    <w:rsid w:val="00C74A92"/>
    <w:rsid w:val="00C74F93"/>
    <w:rsid w:val="00C759C3"/>
    <w:rsid w:val="00C75BD8"/>
    <w:rsid w:val="00C75F23"/>
    <w:rsid w:val="00C7675F"/>
    <w:rsid w:val="00C76916"/>
    <w:rsid w:val="00C76A81"/>
    <w:rsid w:val="00C77140"/>
    <w:rsid w:val="00C7717A"/>
    <w:rsid w:val="00C778BE"/>
    <w:rsid w:val="00C77FF1"/>
    <w:rsid w:val="00C80307"/>
    <w:rsid w:val="00C80D23"/>
    <w:rsid w:val="00C80EC8"/>
    <w:rsid w:val="00C8143F"/>
    <w:rsid w:val="00C81998"/>
    <w:rsid w:val="00C81A51"/>
    <w:rsid w:val="00C81F71"/>
    <w:rsid w:val="00C82820"/>
    <w:rsid w:val="00C82B18"/>
    <w:rsid w:val="00C83F12"/>
    <w:rsid w:val="00C84396"/>
    <w:rsid w:val="00C8450A"/>
    <w:rsid w:val="00C84849"/>
    <w:rsid w:val="00C848A4"/>
    <w:rsid w:val="00C84F9D"/>
    <w:rsid w:val="00C85565"/>
    <w:rsid w:val="00C86993"/>
    <w:rsid w:val="00C87059"/>
    <w:rsid w:val="00C87581"/>
    <w:rsid w:val="00C879C3"/>
    <w:rsid w:val="00C87D6B"/>
    <w:rsid w:val="00C87FA1"/>
    <w:rsid w:val="00C90D02"/>
    <w:rsid w:val="00C91243"/>
    <w:rsid w:val="00C91269"/>
    <w:rsid w:val="00C91C34"/>
    <w:rsid w:val="00C91C58"/>
    <w:rsid w:val="00C921FB"/>
    <w:rsid w:val="00C92E65"/>
    <w:rsid w:val="00C941A0"/>
    <w:rsid w:val="00C94AD6"/>
    <w:rsid w:val="00C95876"/>
    <w:rsid w:val="00C95E54"/>
    <w:rsid w:val="00C95FD3"/>
    <w:rsid w:val="00C96B39"/>
    <w:rsid w:val="00C97CF6"/>
    <w:rsid w:val="00C97E4A"/>
    <w:rsid w:val="00CA0063"/>
    <w:rsid w:val="00CA0866"/>
    <w:rsid w:val="00CA0C4E"/>
    <w:rsid w:val="00CA161A"/>
    <w:rsid w:val="00CA17B0"/>
    <w:rsid w:val="00CA2C45"/>
    <w:rsid w:val="00CA2E48"/>
    <w:rsid w:val="00CA3252"/>
    <w:rsid w:val="00CA349F"/>
    <w:rsid w:val="00CA3C13"/>
    <w:rsid w:val="00CA42F7"/>
    <w:rsid w:val="00CA4A25"/>
    <w:rsid w:val="00CA5171"/>
    <w:rsid w:val="00CA58CD"/>
    <w:rsid w:val="00CA607A"/>
    <w:rsid w:val="00CA60F3"/>
    <w:rsid w:val="00CA706F"/>
    <w:rsid w:val="00CA76C9"/>
    <w:rsid w:val="00CA7ED4"/>
    <w:rsid w:val="00CB0757"/>
    <w:rsid w:val="00CB1C45"/>
    <w:rsid w:val="00CB2351"/>
    <w:rsid w:val="00CB2410"/>
    <w:rsid w:val="00CB26C8"/>
    <w:rsid w:val="00CB2C3F"/>
    <w:rsid w:val="00CB3E77"/>
    <w:rsid w:val="00CB3FA5"/>
    <w:rsid w:val="00CB41C9"/>
    <w:rsid w:val="00CB4568"/>
    <w:rsid w:val="00CB500C"/>
    <w:rsid w:val="00CB5234"/>
    <w:rsid w:val="00CB6C3E"/>
    <w:rsid w:val="00CB7513"/>
    <w:rsid w:val="00CB7601"/>
    <w:rsid w:val="00CB7F04"/>
    <w:rsid w:val="00CB7F28"/>
    <w:rsid w:val="00CC0000"/>
    <w:rsid w:val="00CC1276"/>
    <w:rsid w:val="00CC14B7"/>
    <w:rsid w:val="00CC152D"/>
    <w:rsid w:val="00CC1FF9"/>
    <w:rsid w:val="00CC2A7F"/>
    <w:rsid w:val="00CC2F54"/>
    <w:rsid w:val="00CC341F"/>
    <w:rsid w:val="00CC3478"/>
    <w:rsid w:val="00CC3537"/>
    <w:rsid w:val="00CC3624"/>
    <w:rsid w:val="00CC39D0"/>
    <w:rsid w:val="00CC3C59"/>
    <w:rsid w:val="00CC4B72"/>
    <w:rsid w:val="00CC4EED"/>
    <w:rsid w:val="00CC50BA"/>
    <w:rsid w:val="00CC51D1"/>
    <w:rsid w:val="00CC55B6"/>
    <w:rsid w:val="00CC623A"/>
    <w:rsid w:val="00CC7A98"/>
    <w:rsid w:val="00CD0785"/>
    <w:rsid w:val="00CD1531"/>
    <w:rsid w:val="00CD17CB"/>
    <w:rsid w:val="00CD17FA"/>
    <w:rsid w:val="00CD1A4C"/>
    <w:rsid w:val="00CD1C91"/>
    <w:rsid w:val="00CD1D7C"/>
    <w:rsid w:val="00CD3369"/>
    <w:rsid w:val="00CD373E"/>
    <w:rsid w:val="00CD37C9"/>
    <w:rsid w:val="00CD3FF5"/>
    <w:rsid w:val="00CD45DF"/>
    <w:rsid w:val="00CD5489"/>
    <w:rsid w:val="00CD5B5B"/>
    <w:rsid w:val="00CD60DA"/>
    <w:rsid w:val="00CD72BE"/>
    <w:rsid w:val="00CD72E2"/>
    <w:rsid w:val="00CD7EA6"/>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BB2"/>
    <w:rsid w:val="00CF3FF3"/>
    <w:rsid w:val="00CF45E5"/>
    <w:rsid w:val="00CF4C7D"/>
    <w:rsid w:val="00CF7933"/>
    <w:rsid w:val="00CF7B58"/>
    <w:rsid w:val="00D002B5"/>
    <w:rsid w:val="00D003DB"/>
    <w:rsid w:val="00D00604"/>
    <w:rsid w:val="00D006F6"/>
    <w:rsid w:val="00D0145C"/>
    <w:rsid w:val="00D01644"/>
    <w:rsid w:val="00D01921"/>
    <w:rsid w:val="00D01CD4"/>
    <w:rsid w:val="00D022DB"/>
    <w:rsid w:val="00D02506"/>
    <w:rsid w:val="00D02F6B"/>
    <w:rsid w:val="00D05465"/>
    <w:rsid w:val="00D05F0D"/>
    <w:rsid w:val="00D0601D"/>
    <w:rsid w:val="00D0650C"/>
    <w:rsid w:val="00D07EFB"/>
    <w:rsid w:val="00D11012"/>
    <w:rsid w:val="00D11581"/>
    <w:rsid w:val="00D11BCC"/>
    <w:rsid w:val="00D1220F"/>
    <w:rsid w:val="00D1233F"/>
    <w:rsid w:val="00D125A4"/>
    <w:rsid w:val="00D131B1"/>
    <w:rsid w:val="00D13739"/>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8E4"/>
    <w:rsid w:val="00D24A63"/>
    <w:rsid w:val="00D2512A"/>
    <w:rsid w:val="00D2551D"/>
    <w:rsid w:val="00D26A94"/>
    <w:rsid w:val="00D27012"/>
    <w:rsid w:val="00D2713F"/>
    <w:rsid w:val="00D27B4D"/>
    <w:rsid w:val="00D27D65"/>
    <w:rsid w:val="00D30591"/>
    <w:rsid w:val="00D306FC"/>
    <w:rsid w:val="00D313FD"/>
    <w:rsid w:val="00D31481"/>
    <w:rsid w:val="00D32CB3"/>
    <w:rsid w:val="00D34A7C"/>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70F"/>
    <w:rsid w:val="00D44A9E"/>
    <w:rsid w:val="00D4558F"/>
    <w:rsid w:val="00D45C55"/>
    <w:rsid w:val="00D45FC2"/>
    <w:rsid w:val="00D46BBF"/>
    <w:rsid w:val="00D46C1A"/>
    <w:rsid w:val="00D4726D"/>
    <w:rsid w:val="00D47BCC"/>
    <w:rsid w:val="00D501C5"/>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23E"/>
    <w:rsid w:val="00D8568B"/>
    <w:rsid w:val="00D8582C"/>
    <w:rsid w:val="00D85AFB"/>
    <w:rsid w:val="00D85B27"/>
    <w:rsid w:val="00D86BD8"/>
    <w:rsid w:val="00D90460"/>
    <w:rsid w:val="00D907B7"/>
    <w:rsid w:val="00D907BF"/>
    <w:rsid w:val="00D90D1C"/>
    <w:rsid w:val="00D90F3D"/>
    <w:rsid w:val="00D9117B"/>
    <w:rsid w:val="00D91300"/>
    <w:rsid w:val="00D91621"/>
    <w:rsid w:val="00D916B2"/>
    <w:rsid w:val="00D92301"/>
    <w:rsid w:val="00D927C8"/>
    <w:rsid w:val="00D936F8"/>
    <w:rsid w:val="00D93C7C"/>
    <w:rsid w:val="00D93F99"/>
    <w:rsid w:val="00D9425A"/>
    <w:rsid w:val="00D951F2"/>
    <w:rsid w:val="00D9548A"/>
    <w:rsid w:val="00D956E1"/>
    <w:rsid w:val="00D958DD"/>
    <w:rsid w:val="00D95FBC"/>
    <w:rsid w:val="00D9601E"/>
    <w:rsid w:val="00D9619E"/>
    <w:rsid w:val="00D970B6"/>
    <w:rsid w:val="00D97CA5"/>
    <w:rsid w:val="00DA028A"/>
    <w:rsid w:val="00DA02B4"/>
    <w:rsid w:val="00DA1C74"/>
    <w:rsid w:val="00DA1C9A"/>
    <w:rsid w:val="00DA2247"/>
    <w:rsid w:val="00DA2443"/>
    <w:rsid w:val="00DA287D"/>
    <w:rsid w:val="00DA2A14"/>
    <w:rsid w:val="00DA3125"/>
    <w:rsid w:val="00DA3381"/>
    <w:rsid w:val="00DA39B9"/>
    <w:rsid w:val="00DA3F6B"/>
    <w:rsid w:val="00DA433B"/>
    <w:rsid w:val="00DA47A3"/>
    <w:rsid w:val="00DA47AB"/>
    <w:rsid w:val="00DA4F40"/>
    <w:rsid w:val="00DA526D"/>
    <w:rsid w:val="00DA5630"/>
    <w:rsid w:val="00DA6102"/>
    <w:rsid w:val="00DA70EF"/>
    <w:rsid w:val="00DA7AA4"/>
    <w:rsid w:val="00DB0AF1"/>
    <w:rsid w:val="00DB0FF5"/>
    <w:rsid w:val="00DB1024"/>
    <w:rsid w:val="00DB17F7"/>
    <w:rsid w:val="00DB1B85"/>
    <w:rsid w:val="00DB206C"/>
    <w:rsid w:val="00DB2B34"/>
    <w:rsid w:val="00DB2FB7"/>
    <w:rsid w:val="00DB31E5"/>
    <w:rsid w:val="00DB3323"/>
    <w:rsid w:val="00DB386D"/>
    <w:rsid w:val="00DB396E"/>
    <w:rsid w:val="00DB39C7"/>
    <w:rsid w:val="00DB3B5D"/>
    <w:rsid w:val="00DB3FEB"/>
    <w:rsid w:val="00DB4421"/>
    <w:rsid w:val="00DB4805"/>
    <w:rsid w:val="00DB5252"/>
    <w:rsid w:val="00DB5FAD"/>
    <w:rsid w:val="00DB60FE"/>
    <w:rsid w:val="00DB6360"/>
    <w:rsid w:val="00DB671E"/>
    <w:rsid w:val="00DB6B76"/>
    <w:rsid w:val="00DB6EEE"/>
    <w:rsid w:val="00DB6FB6"/>
    <w:rsid w:val="00DC0081"/>
    <w:rsid w:val="00DC089C"/>
    <w:rsid w:val="00DC0E62"/>
    <w:rsid w:val="00DC0FA8"/>
    <w:rsid w:val="00DC1266"/>
    <w:rsid w:val="00DC2280"/>
    <w:rsid w:val="00DC2785"/>
    <w:rsid w:val="00DC27A8"/>
    <w:rsid w:val="00DC311C"/>
    <w:rsid w:val="00DC3479"/>
    <w:rsid w:val="00DC3AE6"/>
    <w:rsid w:val="00DC45E1"/>
    <w:rsid w:val="00DC4E78"/>
    <w:rsid w:val="00DC57EF"/>
    <w:rsid w:val="00DC5D76"/>
    <w:rsid w:val="00DC6045"/>
    <w:rsid w:val="00DC6255"/>
    <w:rsid w:val="00DC74A8"/>
    <w:rsid w:val="00DC7F5E"/>
    <w:rsid w:val="00DC7F65"/>
    <w:rsid w:val="00DC7FB3"/>
    <w:rsid w:val="00DD01DF"/>
    <w:rsid w:val="00DD0323"/>
    <w:rsid w:val="00DD06C6"/>
    <w:rsid w:val="00DD0E46"/>
    <w:rsid w:val="00DD144A"/>
    <w:rsid w:val="00DD199D"/>
    <w:rsid w:val="00DD1AD8"/>
    <w:rsid w:val="00DD1B68"/>
    <w:rsid w:val="00DD1D35"/>
    <w:rsid w:val="00DD28FC"/>
    <w:rsid w:val="00DD2C88"/>
    <w:rsid w:val="00DD3394"/>
    <w:rsid w:val="00DD3DE7"/>
    <w:rsid w:val="00DD4380"/>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FE7"/>
    <w:rsid w:val="00DE30A5"/>
    <w:rsid w:val="00DE36D5"/>
    <w:rsid w:val="00DE4202"/>
    <w:rsid w:val="00DE4551"/>
    <w:rsid w:val="00DE4606"/>
    <w:rsid w:val="00DE4DD3"/>
    <w:rsid w:val="00DE5955"/>
    <w:rsid w:val="00DE5991"/>
    <w:rsid w:val="00DE5C1A"/>
    <w:rsid w:val="00DE69A1"/>
    <w:rsid w:val="00DE6DD1"/>
    <w:rsid w:val="00DE7F6D"/>
    <w:rsid w:val="00DF0AAF"/>
    <w:rsid w:val="00DF0B63"/>
    <w:rsid w:val="00DF0CA6"/>
    <w:rsid w:val="00DF18A6"/>
    <w:rsid w:val="00DF1BE4"/>
    <w:rsid w:val="00DF1D10"/>
    <w:rsid w:val="00DF2936"/>
    <w:rsid w:val="00DF2F93"/>
    <w:rsid w:val="00DF3101"/>
    <w:rsid w:val="00DF34BF"/>
    <w:rsid w:val="00DF3922"/>
    <w:rsid w:val="00DF40AE"/>
    <w:rsid w:val="00DF4728"/>
    <w:rsid w:val="00DF6148"/>
    <w:rsid w:val="00DF6161"/>
    <w:rsid w:val="00DF7258"/>
    <w:rsid w:val="00DF72E9"/>
    <w:rsid w:val="00DF7CE2"/>
    <w:rsid w:val="00E00057"/>
    <w:rsid w:val="00E011EC"/>
    <w:rsid w:val="00E01AE6"/>
    <w:rsid w:val="00E02169"/>
    <w:rsid w:val="00E021B5"/>
    <w:rsid w:val="00E028EB"/>
    <w:rsid w:val="00E0361F"/>
    <w:rsid w:val="00E03D88"/>
    <w:rsid w:val="00E03ED2"/>
    <w:rsid w:val="00E048C2"/>
    <w:rsid w:val="00E0536F"/>
    <w:rsid w:val="00E05FD8"/>
    <w:rsid w:val="00E060B3"/>
    <w:rsid w:val="00E07B2A"/>
    <w:rsid w:val="00E07D5B"/>
    <w:rsid w:val="00E07E71"/>
    <w:rsid w:val="00E102C1"/>
    <w:rsid w:val="00E102DC"/>
    <w:rsid w:val="00E1067E"/>
    <w:rsid w:val="00E11B6D"/>
    <w:rsid w:val="00E12243"/>
    <w:rsid w:val="00E12654"/>
    <w:rsid w:val="00E12F0E"/>
    <w:rsid w:val="00E131D3"/>
    <w:rsid w:val="00E13858"/>
    <w:rsid w:val="00E13A84"/>
    <w:rsid w:val="00E1488F"/>
    <w:rsid w:val="00E15611"/>
    <w:rsid w:val="00E16460"/>
    <w:rsid w:val="00E16BCE"/>
    <w:rsid w:val="00E16FC6"/>
    <w:rsid w:val="00E17520"/>
    <w:rsid w:val="00E17942"/>
    <w:rsid w:val="00E17B8F"/>
    <w:rsid w:val="00E17E38"/>
    <w:rsid w:val="00E20158"/>
    <w:rsid w:val="00E2079F"/>
    <w:rsid w:val="00E22633"/>
    <w:rsid w:val="00E229FB"/>
    <w:rsid w:val="00E22A50"/>
    <w:rsid w:val="00E22BEB"/>
    <w:rsid w:val="00E22D6E"/>
    <w:rsid w:val="00E22EEB"/>
    <w:rsid w:val="00E23521"/>
    <w:rsid w:val="00E23C15"/>
    <w:rsid w:val="00E23F85"/>
    <w:rsid w:val="00E25520"/>
    <w:rsid w:val="00E259B8"/>
    <w:rsid w:val="00E26437"/>
    <w:rsid w:val="00E2702A"/>
    <w:rsid w:val="00E27129"/>
    <w:rsid w:val="00E27350"/>
    <w:rsid w:val="00E274B9"/>
    <w:rsid w:val="00E2769F"/>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A47"/>
    <w:rsid w:val="00E34D92"/>
    <w:rsid w:val="00E354A5"/>
    <w:rsid w:val="00E35F06"/>
    <w:rsid w:val="00E364ED"/>
    <w:rsid w:val="00E365CD"/>
    <w:rsid w:val="00E37137"/>
    <w:rsid w:val="00E371C0"/>
    <w:rsid w:val="00E374F7"/>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268"/>
    <w:rsid w:val="00E56666"/>
    <w:rsid w:val="00E56689"/>
    <w:rsid w:val="00E56881"/>
    <w:rsid w:val="00E569EF"/>
    <w:rsid w:val="00E57187"/>
    <w:rsid w:val="00E575C5"/>
    <w:rsid w:val="00E5793D"/>
    <w:rsid w:val="00E60044"/>
    <w:rsid w:val="00E600EB"/>
    <w:rsid w:val="00E602F4"/>
    <w:rsid w:val="00E6030F"/>
    <w:rsid w:val="00E60337"/>
    <w:rsid w:val="00E60571"/>
    <w:rsid w:val="00E60AE2"/>
    <w:rsid w:val="00E60D67"/>
    <w:rsid w:val="00E613F4"/>
    <w:rsid w:val="00E62846"/>
    <w:rsid w:val="00E62FB2"/>
    <w:rsid w:val="00E63056"/>
    <w:rsid w:val="00E630F3"/>
    <w:rsid w:val="00E637C4"/>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903FD"/>
    <w:rsid w:val="00E90842"/>
    <w:rsid w:val="00E90C35"/>
    <w:rsid w:val="00E93165"/>
    <w:rsid w:val="00E945D5"/>
    <w:rsid w:val="00E94F57"/>
    <w:rsid w:val="00E952A7"/>
    <w:rsid w:val="00E959C2"/>
    <w:rsid w:val="00E9619B"/>
    <w:rsid w:val="00E96732"/>
    <w:rsid w:val="00E96BD2"/>
    <w:rsid w:val="00E97889"/>
    <w:rsid w:val="00E97A5D"/>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F9"/>
    <w:rsid w:val="00EA7453"/>
    <w:rsid w:val="00EA74EB"/>
    <w:rsid w:val="00EA7608"/>
    <w:rsid w:val="00EA7D9A"/>
    <w:rsid w:val="00EB0147"/>
    <w:rsid w:val="00EB0423"/>
    <w:rsid w:val="00EB0588"/>
    <w:rsid w:val="00EB156E"/>
    <w:rsid w:val="00EB239E"/>
    <w:rsid w:val="00EB2A46"/>
    <w:rsid w:val="00EB2B8B"/>
    <w:rsid w:val="00EB34F9"/>
    <w:rsid w:val="00EB4127"/>
    <w:rsid w:val="00EB423F"/>
    <w:rsid w:val="00EB43E5"/>
    <w:rsid w:val="00EB4DFA"/>
    <w:rsid w:val="00EB4E45"/>
    <w:rsid w:val="00EB50D6"/>
    <w:rsid w:val="00EB590F"/>
    <w:rsid w:val="00EB64E8"/>
    <w:rsid w:val="00EB68A7"/>
    <w:rsid w:val="00EB72F3"/>
    <w:rsid w:val="00EB75AC"/>
    <w:rsid w:val="00EB7BC1"/>
    <w:rsid w:val="00EB7C34"/>
    <w:rsid w:val="00EB7F24"/>
    <w:rsid w:val="00EC04CE"/>
    <w:rsid w:val="00EC09A2"/>
    <w:rsid w:val="00EC0E54"/>
    <w:rsid w:val="00EC12CC"/>
    <w:rsid w:val="00EC1F8A"/>
    <w:rsid w:val="00EC28B5"/>
    <w:rsid w:val="00EC2A21"/>
    <w:rsid w:val="00EC3155"/>
    <w:rsid w:val="00EC3804"/>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412A"/>
    <w:rsid w:val="00ED4685"/>
    <w:rsid w:val="00ED5E4A"/>
    <w:rsid w:val="00ED67B6"/>
    <w:rsid w:val="00ED6BD0"/>
    <w:rsid w:val="00ED6CA4"/>
    <w:rsid w:val="00ED6FEC"/>
    <w:rsid w:val="00ED7007"/>
    <w:rsid w:val="00ED7E5C"/>
    <w:rsid w:val="00ED7F90"/>
    <w:rsid w:val="00EE095F"/>
    <w:rsid w:val="00EE15A6"/>
    <w:rsid w:val="00EE21AA"/>
    <w:rsid w:val="00EE232F"/>
    <w:rsid w:val="00EE2370"/>
    <w:rsid w:val="00EE26B3"/>
    <w:rsid w:val="00EE2801"/>
    <w:rsid w:val="00EE4530"/>
    <w:rsid w:val="00EE45BF"/>
    <w:rsid w:val="00EE4719"/>
    <w:rsid w:val="00EE5331"/>
    <w:rsid w:val="00EE54FD"/>
    <w:rsid w:val="00EE5750"/>
    <w:rsid w:val="00EE5E54"/>
    <w:rsid w:val="00EE6A67"/>
    <w:rsid w:val="00EE6AB1"/>
    <w:rsid w:val="00EE6B0C"/>
    <w:rsid w:val="00EE797A"/>
    <w:rsid w:val="00EE7A35"/>
    <w:rsid w:val="00EF0491"/>
    <w:rsid w:val="00EF0BBA"/>
    <w:rsid w:val="00EF118F"/>
    <w:rsid w:val="00EF1522"/>
    <w:rsid w:val="00EF183A"/>
    <w:rsid w:val="00EF19AF"/>
    <w:rsid w:val="00EF1BDD"/>
    <w:rsid w:val="00EF1C94"/>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1C"/>
    <w:rsid w:val="00F11F2A"/>
    <w:rsid w:val="00F12193"/>
    <w:rsid w:val="00F126DC"/>
    <w:rsid w:val="00F1283C"/>
    <w:rsid w:val="00F128D7"/>
    <w:rsid w:val="00F12DC7"/>
    <w:rsid w:val="00F13084"/>
    <w:rsid w:val="00F137F1"/>
    <w:rsid w:val="00F147A3"/>
    <w:rsid w:val="00F14800"/>
    <w:rsid w:val="00F1486C"/>
    <w:rsid w:val="00F148E2"/>
    <w:rsid w:val="00F14F27"/>
    <w:rsid w:val="00F153B6"/>
    <w:rsid w:val="00F16147"/>
    <w:rsid w:val="00F16339"/>
    <w:rsid w:val="00F166E6"/>
    <w:rsid w:val="00F16A6D"/>
    <w:rsid w:val="00F16FDC"/>
    <w:rsid w:val="00F17F71"/>
    <w:rsid w:val="00F20C8C"/>
    <w:rsid w:val="00F20D97"/>
    <w:rsid w:val="00F21B2F"/>
    <w:rsid w:val="00F21C0B"/>
    <w:rsid w:val="00F21F69"/>
    <w:rsid w:val="00F22164"/>
    <w:rsid w:val="00F223E8"/>
    <w:rsid w:val="00F24833"/>
    <w:rsid w:val="00F251DF"/>
    <w:rsid w:val="00F2622A"/>
    <w:rsid w:val="00F264BD"/>
    <w:rsid w:val="00F26C68"/>
    <w:rsid w:val="00F27694"/>
    <w:rsid w:val="00F2789D"/>
    <w:rsid w:val="00F3066F"/>
    <w:rsid w:val="00F30CA6"/>
    <w:rsid w:val="00F310BE"/>
    <w:rsid w:val="00F31AA0"/>
    <w:rsid w:val="00F31B4B"/>
    <w:rsid w:val="00F323DA"/>
    <w:rsid w:val="00F32AAB"/>
    <w:rsid w:val="00F32F87"/>
    <w:rsid w:val="00F33065"/>
    <w:rsid w:val="00F33445"/>
    <w:rsid w:val="00F33D62"/>
    <w:rsid w:val="00F33DF9"/>
    <w:rsid w:val="00F342FD"/>
    <w:rsid w:val="00F3440B"/>
    <w:rsid w:val="00F345C8"/>
    <w:rsid w:val="00F34677"/>
    <w:rsid w:val="00F3497F"/>
    <w:rsid w:val="00F34D72"/>
    <w:rsid w:val="00F35239"/>
    <w:rsid w:val="00F361D3"/>
    <w:rsid w:val="00F37AF6"/>
    <w:rsid w:val="00F40798"/>
    <w:rsid w:val="00F408B3"/>
    <w:rsid w:val="00F40B35"/>
    <w:rsid w:val="00F40DBD"/>
    <w:rsid w:val="00F417CA"/>
    <w:rsid w:val="00F41AE0"/>
    <w:rsid w:val="00F41BCB"/>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60A3"/>
    <w:rsid w:val="00F47C4E"/>
    <w:rsid w:val="00F503F4"/>
    <w:rsid w:val="00F5056E"/>
    <w:rsid w:val="00F50711"/>
    <w:rsid w:val="00F50C52"/>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B3E"/>
    <w:rsid w:val="00F54DCF"/>
    <w:rsid w:val="00F54FA5"/>
    <w:rsid w:val="00F55439"/>
    <w:rsid w:val="00F55B27"/>
    <w:rsid w:val="00F55EBD"/>
    <w:rsid w:val="00F5665E"/>
    <w:rsid w:val="00F56891"/>
    <w:rsid w:val="00F571D6"/>
    <w:rsid w:val="00F5773F"/>
    <w:rsid w:val="00F612A3"/>
    <w:rsid w:val="00F61352"/>
    <w:rsid w:val="00F617A7"/>
    <w:rsid w:val="00F626A0"/>
    <w:rsid w:val="00F62C9D"/>
    <w:rsid w:val="00F62EC7"/>
    <w:rsid w:val="00F63546"/>
    <w:rsid w:val="00F643FF"/>
    <w:rsid w:val="00F6495B"/>
    <w:rsid w:val="00F65E85"/>
    <w:rsid w:val="00F65EF9"/>
    <w:rsid w:val="00F6625F"/>
    <w:rsid w:val="00F664F0"/>
    <w:rsid w:val="00F66828"/>
    <w:rsid w:val="00F668DA"/>
    <w:rsid w:val="00F66ABB"/>
    <w:rsid w:val="00F67AD3"/>
    <w:rsid w:val="00F67C48"/>
    <w:rsid w:val="00F67CEB"/>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C6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22DF"/>
    <w:rsid w:val="00F92A55"/>
    <w:rsid w:val="00F935E9"/>
    <w:rsid w:val="00F93E40"/>
    <w:rsid w:val="00F94494"/>
    <w:rsid w:val="00F947C0"/>
    <w:rsid w:val="00F9486A"/>
    <w:rsid w:val="00F95553"/>
    <w:rsid w:val="00F95640"/>
    <w:rsid w:val="00F96136"/>
    <w:rsid w:val="00F9652A"/>
    <w:rsid w:val="00F9673B"/>
    <w:rsid w:val="00F974CB"/>
    <w:rsid w:val="00F97923"/>
    <w:rsid w:val="00F97DD9"/>
    <w:rsid w:val="00FA02A5"/>
    <w:rsid w:val="00FA02E1"/>
    <w:rsid w:val="00FA0326"/>
    <w:rsid w:val="00FA06F4"/>
    <w:rsid w:val="00FA08F9"/>
    <w:rsid w:val="00FA09CD"/>
    <w:rsid w:val="00FA10F3"/>
    <w:rsid w:val="00FA1FF4"/>
    <w:rsid w:val="00FA2022"/>
    <w:rsid w:val="00FA20EA"/>
    <w:rsid w:val="00FA225D"/>
    <w:rsid w:val="00FA2BAA"/>
    <w:rsid w:val="00FA2C6A"/>
    <w:rsid w:val="00FA31C6"/>
    <w:rsid w:val="00FA3C80"/>
    <w:rsid w:val="00FA40E1"/>
    <w:rsid w:val="00FA47CE"/>
    <w:rsid w:val="00FA4847"/>
    <w:rsid w:val="00FA4A73"/>
    <w:rsid w:val="00FA4C33"/>
    <w:rsid w:val="00FA5F49"/>
    <w:rsid w:val="00FA60F2"/>
    <w:rsid w:val="00FA61C3"/>
    <w:rsid w:val="00FA682D"/>
    <w:rsid w:val="00FA69C1"/>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66D"/>
    <w:rsid w:val="00FC0D7F"/>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805"/>
    <w:rsid w:val="00FE2B8A"/>
    <w:rsid w:val="00FE2D41"/>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85E"/>
    <w:rsid w:val="00FF1B78"/>
    <w:rsid w:val="00FF1EF1"/>
    <w:rsid w:val="00FF25FC"/>
    <w:rsid w:val="00FF30A1"/>
    <w:rsid w:val="00FF37AD"/>
    <w:rsid w:val="00FF4420"/>
    <w:rsid w:val="00FF54F2"/>
    <w:rsid w:val="00FF5A81"/>
    <w:rsid w:val="00FF5F61"/>
    <w:rsid w:val="00FF6FE9"/>
    <w:rsid w:val="00FF708E"/>
    <w:rsid w:val="00FF7A90"/>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8F"/>
    <w:rPr>
      <w:rFonts w:ascii="Times New Roman" w:hAnsi="Times New Roman"/>
      <w:sz w:val="24"/>
    </w:rPr>
  </w:style>
  <w:style w:type="paragraph" w:styleId="Ttulo1">
    <w:name w:val="heading 1"/>
    <w:basedOn w:val="Ttulo2"/>
    <w:next w:val="Normal"/>
    <w:link w:val="Ttulo1Char"/>
    <w:uiPriority w:val="9"/>
    <w:qFormat/>
    <w:rsid w:val="00F66ABB"/>
    <w:pPr>
      <w:spacing w:before="120" w:after="0"/>
      <w:outlineLvl w:val="0"/>
    </w:pPr>
    <w:rPr>
      <w:sz w:val="28"/>
    </w:rPr>
  </w:style>
  <w:style w:type="paragraph" w:styleId="Ttulo2">
    <w:name w:val="heading 2"/>
    <w:basedOn w:val="Normal"/>
    <w:next w:val="Normal"/>
    <w:link w:val="Ttulo2Char"/>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Ttulo3">
    <w:name w:val="heading 3"/>
    <w:basedOn w:val="Normal"/>
    <w:next w:val="Normal"/>
    <w:link w:val="Ttulo3Char"/>
    <w:uiPriority w:val="9"/>
    <w:unhideWhenUsed/>
    <w:qFormat/>
    <w:rsid w:val="004D1ED6"/>
    <w:pPr>
      <w:spacing w:before="360" w:after="120"/>
      <w:jc w:val="center"/>
      <w:outlineLvl w:val="2"/>
    </w:pPr>
    <w:rPr>
      <w:rFonts w:ascii="Times New Roman Bold" w:hAnsi="Times New Roman Bold"/>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Citation List,본문(내용),List Paragraph (numbered (a)),123 List Paragraph,Numbered Paragraph,Main numbered paragraph,References,Numbered List Paragraph,List Paragraph nowy,Liste 1,List_Paragraph,Multilevel para_II,List Paragraph1"/>
    <w:basedOn w:val="Normal"/>
    <w:link w:val="PargrafodaListaChar"/>
    <w:uiPriority w:val="34"/>
    <w:qFormat/>
    <w:rsid w:val="00072D45"/>
    <w:pPr>
      <w:spacing w:after="240" w:line="240" w:lineRule="auto"/>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elacomgrade">
    <w:name w:val="Table Grid"/>
    <w:basedOn w:val="Tabelanormal"/>
    <w:uiPriority w:val="59"/>
    <w:rsid w:val="008C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C1064D"/>
    <w:pPr>
      <w:tabs>
        <w:tab w:val="center" w:pos="4680"/>
        <w:tab w:val="right" w:pos="9360"/>
      </w:tabs>
    </w:pPr>
  </w:style>
  <w:style w:type="character" w:customStyle="1" w:styleId="CabealhoChar">
    <w:name w:val="Cabeçalho Char"/>
    <w:basedOn w:val="Fontepargpadro"/>
    <w:link w:val="Cabealho"/>
    <w:uiPriority w:val="99"/>
    <w:rsid w:val="00C1064D"/>
  </w:style>
  <w:style w:type="paragraph" w:styleId="Rodap">
    <w:name w:val="footer"/>
    <w:basedOn w:val="Normal"/>
    <w:link w:val="RodapChar"/>
    <w:uiPriority w:val="99"/>
    <w:unhideWhenUsed/>
    <w:rsid w:val="00C1064D"/>
    <w:pPr>
      <w:tabs>
        <w:tab w:val="center" w:pos="4680"/>
        <w:tab w:val="right" w:pos="9360"/>
      </w:tabs>
    </w:pPr>
  </w:style>
  <w:style w:type="character" w:customStyle="1" w:styleId="RodapChar">
    <w:name w:val="Rodapé Char"/>
    <w:basedOn w:val="Fontepargpadro"/>
    <w:link w:val="Rodap"/>
    <w:uiPriority w:val="99"/>
    <w:rsid w:val="00C1064D"/>
  </w:style>
  <w:style w:type="character" w:styleId="Hyperlink">
    <w:name w:val="Hyperlink"/>
    <w:basedOn w:val="Fontepargpadro"/>
    <w:uiPriority w:val="99"/>
    <w:unhideWhenUsed/>
    <w:rsid w:val="002C4AEE"/>
    <w:rPr>
      <w:color w:val="0000FF" w:themeColor="hyperlink"/>
      <w:u w:val="single"/>
    </w:rPr>
  </w:style>
  <w:style w:type="paragraph" w:styleId="Textodebalo">
    <w:name w:val="Balloon Text"/>
    <w:basedOn w:val="Normal"/>
    <w:link w:val="TextodebaloChar"/>
    <w:uiPriority w:val="99"/>
    <w:semiHidden/>
    <w:unhideWhenUsed/>
    <w:rsid w:val="00115A27"/>
    <w:rPr>
      <w:rFonts w:ascii="Tahoma" w:hAnsi="Tahoma" w:cs="Tahoma"/>
      <w:sz w:val="16"/>
      <w:szCs w:val="16"/>
    </w:rPr>
  </w:style>
  <w:style w:type="character" w:customStyle="1" w:styleId="TextodebaloChar">
    <w:name w:val="Texto de balão Char"/>
    <w:basedOn w:val="Fontepargpadro"/>
    <w:link w:val="Textodebalo"/>
    <w:uiPriority w:val="99"/>
    <w:semiHidden/>
    <w:rsid w:val="00115A27"/>
    <w:rPr>
      <w:rFonts w:ascii="Tahoma" w:hAnsi="Tahoma" w:cs="Tahoma"/>
      <w:sz w:val="16"/>
      <w:szCs w:val="16"/>
    </w:rPr>
  </w:style>
  <w:style w:type="character" w:styleId="Refdecomentrio">
    <w:name w:val="annotation reference"/>
    <w:basedOn w:val="Fontepargpadro"/>
    <w:uiPriority w:val="99"/>
    <w:semiHidden/>
    <w:unhideWhenUsed/>
    <w:rsid w:val="00115A27"/>
    <w:rPr>
      <w:sz w:val="16"/>
      <w:szCs w:val="16"/>
    </w:rPr>
  </w:style>
  <w:style w:type="paragraph" w:styleId="Textodecomentrio">
    <w:name w:val="annotation text"/>
    <w:basedOn w:val="Normal"/>
    <w:link w:val="TextodecomentrioChar"/>
    <w:uiPriority w:val="99"/>
    <w:unhideWhenUsed/>
    <w:rsid w:val="00115A27"/>
    <w:rPr>
      <w:sz w:val="20"/>
      <w:szCs w:val="20"/>
    </w:rPr>
  </w:style>
  <w:style w:type="character" w:customStyle="1" w:styleId="TextodecomentrioChar">
    <w:name w:val="Texto de comentário Char"/>
    <w:basedOn w:val="Fontepargpadro"/>
    <w:link w:val="Textodecomentrio"/>
    <w:uiPriority w:val="99"/>
    <w:rsid w:val="00115A27"/>
    <w:rPr>
      <w:sz w:val="20"/>
      <w:szCs w:val="20"/>
    </w:rPr>
  </w:style>
  <w:style w:type="paragraph" w:styleId="Assuntodocomentrio">
    <w:name w:val="annotation subject"/>
    <w:basedOn w:val="Textodecomentrio"/>
    <w:next w:val="Textodecomentrio"/>
    <w:link w:val="AssuntodocomentrioChar"/>
    <w:uiPriority w:val="99"/>
    <w:semiHidden/>
    <w:unhideWhenUsed/>
    <w:rsid w:val="00115A27"/>
    <w:rPr>
      <w:b/>
      <w:bCs/>
    </w:rPr>
  </w:style>
  <w:style w:type="character" w:customStyle="1" w:styleId="AssuntodocomentrioChar">
    <w:name w:val="Assunto do comentário Char"/>
    <w:basedOn w:val="TextodecomentrioChar"/>
    <w:link w:val="Assuntodocomentrio"/>
    <w:uiPriority w:val="99"/>
    <w:semiHidden/>
    <w:rsid w:val="00115A27"/>
    <w:rPr>
      <w:b/>
      <w:bCs/>
      <w:sz w:val="20"/>
      <w:szCs w:val="20"/>
    </w:rPr>
  </w:style>
  <w:style w:type="paragraph" w:styleId="Reviso">
    <w:name w:val="Revision"/>
    <w:hidden/>
    <w:uiPriority w:val="99"/>
    <w:semiHidden/>
    <w:rsid w:val="00115A27"/>
    <w:pPr>
      <w:spacing w:after="0" w:line="240" w:lineRule="auto"/>
    </w:pPr>
  </w:style>
  <w:style w:type="paragraph" w:styleId="Textodenotaderodap">
    <w:name w:val="footnote text"/>
    <w:aliases w:val="fn,single space,footnote text,FOOTNOTES, Char2,Char2"/>
    <w:basedOn w:val="Normal"/>
    <w:link w:val="TextodenotaderodapChar"/>
    <w:uiPriority w:val="99"/>
    <w:unhideWhenUsed/>
    <w:qFormat/>
    <w:rsid w:val="00034174"/>
    <w:rPr>
      <w:sz w:val="20"/>
      <w:szCs w:val="20"/>
    </w:rPr>
  </w:style>
  <w:style w:type="character" w:customStyle="1" w:styleId="TextodenotaderodapChar">
    <w:name w:val="Texto de nota de rodapé Char"/>
    <w:aliases w:val="fn Char,single space Char,footnote text Char,FOOTNOTES Char, Char2 Char,Char2 Char"/>
    <w:basedOn w:val="Fontepargpadro"/>
    <w:link w:val="Textodenotaderodap"/>
    <w:uiPriority w:val="99"/>
    <w:rsid w:val="00034174"/>
    <w:rPr>
      <w:sz w:val="20"/>
      <w:szCs w:val="20"/>
    </w:rPr>
  </w:style>
  <w:style w:type="character" w:styleId="Refdenotaderodap">
    <w:name w:val="footnote reference"/>
    <w:basedOn w:val="Fontepargpadro"/>
    <w:uiPriority w:val="99"/>
    <w:unhideWhenUsed/>
    <w:rsid w:val="00034174"/>
    <w:rPr>
      <w:vertAlign w:val="superscript"/>
    </w:rPr>
  </w:style>
  <w:style w:type="character" w:styleId="Forte">
    <w:name w:val="Strong"/>
    <w:basedOn w:val="Fontepargpadro"/>
    <w:uiPriority w:val="22"/>
    <w:qFormat/>
    <w:rsid w:val="007D530A"/>
    <w:rPr>
      <w:b/>
      <w:bCs/>
    </w:rPr>
  </w:style>
  <w:style w:type="character" w:customStyle="1" w:styleId="Heading3Char">
    <w:name w:val="Heading 3 Char"/>
    <w:basedOn w:val="Fontepargpadro"/>
    <w:uiPriority w:val="9"/>
    <w:rsid w:val="0020458F"/>
    <w:rPr>
      <w:rFonts w:ascii="Times New Roman" w:eastAsia="Times New Roman" w:hAnsi="Times New Roman" w:cs="Times New Roman"/>
      <w:b/>
      <w:color w:val="000000"/>
      <w:sz w:val="24"/>
      <w:szCs w:val="24"/>
    </w:rPr>
  </w:style>
  <w:style w:type="paragraph" w:styleId="Corpodetexto">
    <w:name w:val="Body Text"/>
    <w:basedOn w:val="Normal"/>
    <w:link w:val="CorpodetextoChar"/>
    <w:uiPriority w:val="99"/>
    <w:unhideWhenUsed/>
    <w:rsid w:val="00F66ABB"/>
    <w:pPr>
      <w:spacing w:before="120" w:after="120"/>
      <w:jc w:val="both"/>
    </w:pPr>
  </w:style>
  <w:style w:type="character" w:customStyle="1" w:styleId="CorpodetextoChar">
    <w:name w:val="Corpo de texto Char"/>
    <w:basedOn w:val="Fontepargpadro"/>
    <w:link w:val="Corpodetexto"/>
    <w:uiPriority w:val="99"/>
    <w:rsid w:val="00F66ABB"/>
    <w:rPr>
      <w:rFonts w:ascii="Times New Roman" w:hAnsi="Times New Roman"/>
      <w:sz w:val="24"/>
    </w:rPr>
  </w:style>
  <w:style w:type="paragraph" w:styleId="Commarcadores">
    <w:name w:val="List Bullet"/>
    <w:basedOn w:val="Normal"/>
    <w:unhideWhenUsed/>
    <w:rsid w:val="0090488C"/>
    <w:pPr>
      <w:numPr>
        <w:numId w:val="1"/>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RefernciaSutil">
    <w:name w:val="Subtle Reference"/>
    <w:basedOn w:val="Fontepargpadro"/>
    <w:uiPriority w:val="31"/>
    <w:qFormat/>
    <w:rsid w:val="001348C0"/>
    <w:rPr>
      <w:smallCaps/>
      <w:color w:val="C0504D" w:themeColor="accent2"/>
      <w:u w:val="single"/>
    </w:rPr>
  </w:style>
  <w:style w:type="character" w:styleId="RefernciaIntensa">
    <w:name w:val="Intense Reference"/>
    <w:basedOn w:val="Fontepargpadro"/>
    <w:uiPriority w:val="32"/>
    <w:qFormat/>
    <w:rsid w:val="001348C0"/>
    <w:rPr>
      <w:b/>
      <w:bCs/>
      <w:smallCaps/>
      <w:color w:val="C0504D" w:themeColor="accent2"/>
      <w:spacing w:val="5"/>
      <w:u w:val="single"/>
    </w:rPr>
  </w:style>
  <w:style w:type="character" w:styleId="TtulodoLivro">
    <w:name w:val="Book Title"/>
    <w:basedOn w:val="Fontepargpadro"/>
    <w:uiPriority w:val="33"/>
    <w:qFormat/>
    <w:rsid w:val="001348C0"/>
    <w:rPr>
      <w:b/>
      <w:bCs/>
      <w:smallCaps/>
      <w:spacing w:val="5"/>
    </w:rPr>
  </w:style>
  <w:style w:type="paragraph" w:styleId="Numerada">
    <w:name w:val="List Number"/>
    <w:basedOn w:val="Normal"/>
    <w:link w:val="NumeradaChar"/>
    <w:uiPriority w:val="99"/>
    <w:unhideWhenUsed/>
    <w:rsid w:val="0090488C"/>
    <w:pPr>
      <w:numPr>
        <w:numId w:val="2"/>
      </w:numPr>
      <w:contextualSpacing/>
    </w:pPr>
  </w:style>
  <w:style w:type="character" w:customStyle="1" w:styleId="NumeradaChar">
    <w:name w:val="Numerada Char"/>
    <w:basedOn w:val="Fontepargpadro"/>
    <w:link w:val="Numerada"/>
    <w:uiPriority w:val="99"/>
    <w:rsid w:val="00512867"/>
    <w:rPr>
      <w:rFonts w:ascii="Times New Roman" w:hAnsi="Times New Roman"/>
      <w:sz w:val="24"/>
    </w:rPr>
  </w:style>
  <w:style w:type="character" w:customStyle="1" w:styleId="Heading2Char">
    <w:name w:val="Heading 2 Char"/>
    <w:basedOn w:val="Fontepargpadro"/>
    <w:uiPriority w:val="9"/>
    <w:rsid w:val="0020458F"/>
    <w:rPr>
      <w:rFonts w:ascii="Times New Roman Bold" w:hAnsi="Times New Roman Bold" w:cs="Times New Roman"/>
      <w:b/>
      <w:smallCaps/>
      <w:sz w:val="24"/>
      <w:szCs w:val="24"/>
    </w:rPr>
  </w:style>
  <w:style w:type="paragraph" w:styleId="Textodenotadefim">
    <w:name w:val="endnote text"/>
    <w:basedOn w:val="Normal"/>
    <w:link w:val="TextodenotadefimChar"/>
    <w:uiPriority w:val="99"/>
    <w:unhideWhenUsed/>
    <w:rsid w:val="00464AE5"/>
    <w:rPr>
      <w:sz w:val="20"/>
      <w:szCs w:val="20"/>
    </w:rPr>
  </w:style>
  <w:style w:type="character" w:customStyle="1" w:styleId="TextodenotadefimChar">
    <w:name w:val="Texto de nota de fim Char"/>
    <w:basedOn w:val="Fontepargpadro"/>
    <w:link w:val="Textodenotadefim"/>
    <w:uiPriority w:val="99"/>
    <w:rsid w:val="00464AE5"/>
    <w:rPr>
      <w:rFonts w:ascii="Times New Roman" w:hAnsi="Times New Roman"/>
      <w:sz w:val="20"/>
      <w:szCs w:val="20"/>
    </w:rPr>
  </w:style>
  <w:style w:type="character" w:styleId="Refdenotadefim">
    <w:name w:val="endnote reference"/>
    <w:basedOn w:val="Fontepargpadro"/>
    <w:uiPriority w:val="99"/>
    <w:semiHidden/>
    <w:unhideWhenUsed/>
    <w:rsid w:val="00464AE5"/>
    <w:rPr>
      <w:vertAlign w:val="superscript"/>
    </w:rPr>
  </w:style>
  <w:style w:type="paragraph" w:styleId="Subttulo">
    <w:name w:val="Subtitle"/>
    <w:basedOn w:val="Normal"/>
    <w:link w:val="SubttuloChar"/>
    <w:qFormat/>
    <w:rsid w:val="009A1544"/>
    <w:pPr>
      <w:jc w:val="center"/>
    </w:pPr>
    <w:rPr>
      <w:rFonts w:ascii="Tahoma" w:eastAsia="Times New Roman" w:hAnsi="Tahoma" w:cs="Courier New"/>
      <w:b/>
      <w:sz w:val="28"/>
      <w:szCs w:val="20"/>
    </w:rPr>
  </w:style>
  <w:style w:type="character" w:customStyle="1" w:styleId="SubttuloChar">
    <w:name w:val="Subtítulo Char"/>
    <w:basedOn w:val="Fontepargpadro"/>
    <w:link w:val="Subttulo"/>
    <w:rsid w:val="009A1544"/>
    <w:rPr>
      <w:rFonts w:ascii="Tahoma" w:eastAsia="Times New Roman" w:hAnsi="Tahoma" w:cs="Courier New"/>
      <w:b/>
      <w:sz w:val="28"/>
      <w:szCs w:val="20"/>
    </w:rPr>
  </w:style>
  <w:style w:type="character" w:customStyle="1" w:styleId="Ttulo2Char">
    <w:name w:val="Título 2 Char"/>
    <w:basedOn w:val="Fontepargpadro"/>
    <w:link w:val="Ttulo2"/>
    <w:uiPriority w:val="9"/>
    <w:rsid w:val="00F66ABB"/>
    <w:rPr>
      <w:rFonts w:ascii="Times New Roman Bold" w:eastAsiaTheme="majorEastAsia" w:hAnsi="Times New Roman Bold" w:cs="Times New Roman"/>
      <w:b/>
      <w:bCs/>
      <w:smallCaps/>
      <w:sz w:val="24"/>
      <w:szCs w:val="26"/>
    </w:rPr>
  </w:style>
  <w:style w:type="character" w:customStyle="1" w:styleId="Ttulo3Char">
    <w:name w:val="Título 3 Char"/>
    <w:basedOn w:val="Fontepargpadro"/>
    <w:link w:val="Ttulo3"/>
    <w:uiPriority w:val="9"/>
    <w:rsid w:val="004D1ED6"/>
    <w:rPr>
      <w:rFonts w:ascii="Times New Roman Bold" w:hAnsi="Times New Roman Bold"/>
      <w:b/>
      <w:smallCaps/>
      <w:sz w:val="24"/>
    </w:rPr>
  </w:style>
  <w:style w:type="character" w:customStyle="1" w:styleId="Ttulo1Char">
    <w:name w:val="Título 1 Char"/>
    <w:basedOn w:val="Fontepargpadro"/>
    <w:link w:val="Ttulo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F668DA"/>
    <w:pPr>
      <w:numPr>
        <w:numId w:val="3"/>
      </w:numPr>
      <w:jc w:val="both"/>
    </w:pPr>
    <w:rPr>
      <w:color w:val="000000"/>
    </w:rPr>
  </w:style>
  <w:style w:type="paragraph" w:customStyle="1" w:styleId="Heading2notoc">
    <w:name w:val="Heading 2 no toc"/>
    <w:basedOn w:val="Ttulo2"/>
    <w:uiPriority w:val="99"/>
    <w:rsid w:val="003B754F"/>
    <w:pPr>
      <w:keepNext/>
      <w:keepLines/>
      <w:spacing w:before="120"/>
      <w:ind w:left="720" w:hanging="360"/>
    </w:pPr>
    <w:rPr>
      <w:rFonts w:ascii="Lucida Calligraphy" w:eastAsiaTheme="minorEastAsia" w:hAnsi="Lucida Calligraphy" w:cs="Lucida Calligraphy"/>
      <w:smallCaps w:val="0"/>
      <w:szCs w:val="24"/>
    </w:rPr>
  </w:style>
  <w:style w:type="paragraph" w:styleId="Sumrio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Fontepargpadro"/>
    <w:rsid w:val="00D556DB"/>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1">
    <w:name w:val="A11"/>
    <w:uiPriority w:val="99"/>
    <w:rsid w:val="006346D4"/>
    <w:rPr>
      <w:rFonts w:cs="ITC Franklin Gothic Std Book"/>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0">
    <w:name w:val="A10"/>
    <w:uiPriority w:val="99"/>
    <w:rsid w:val="006346D4"/>
    <w:rPr>
      <w:rFonts w:cs="ITC Franklin Gothic Std Book"/>
      <w:color w:val="000000"/>
      <w:sz w:val="10"/>
      <w:szCs w:val="10"/>
    </w:rPr>
  </w:style>
  <w:style w:type="character" w:styleId="nfase">
    <w:name w:val="Emphasis"/>
    <w:basedOn w:val="Fontepargpadro"/>
    <w:uiPriority w:val="20"/>
    <w:qFormat/>
    <w:rsid w:val="006346D4"/>
    <w:rPr>
      <w:i/>
      <w:iCs/>
    </w:rPr>
  </w:style>
  <w:style w:type="paragraph" w:customStyle="1" w:styleId="Pa6">
    <w:name w:val="Pa6"/>
    <w:basedOn w:val="Default"/>
    <w:next w:val="Default"/>
    <w:uiPriority w:val="99"/>
    <w:rsid w:val="006346D4"/>
    <w:pPr>
      <w:spacing w:line="201" w:lineRule="atLeast"/>
    </w:pPr>
    <w:rPr>
      <w:rFonts w:ascii="Minion Bold" w:eastAsiaTheme="minorEastAsia" w:hAnsi="Minion Bold" w:cstheme="minorBidi"/>
      <w:color w:val="auto"/>
      <w:lang w:eastAsia="ja-JP"/>
    </w:rPr>
  </w:style>
  <w:style w:type="character" w:styleId="HiperlinkVisitado">
    <w:name w:val="FollowedHyperlink"/>
    <w:basedOn w:val="Fontepargpadro"/>
    <w:uiPriority w:val="99"/>
    <w:semiHidden/>
    <w:unhideWhenUsed/>
    <w:rsid w:val="006346D4"/>
    <w:rPr>
      <w:color w:val="800080" w:themeColor="followedHyperlink"/>
      <w:u w:val="single"/>
    </w:rPr>
  </w:style>
  <w:style w:type="paragraph" w:customStyle="1" w:styleId="bullet">
    <w:name w:val="bullet"/>
    <w:basedOn w:val="Normal"/>
    <w:qFormat/>
    <w:rsid w:val="006346D4"/>
    <w:pPr>
      <w:numPr>
        <w:ilvl w:val="1"/>
        <w:numId w:val="4"/>
      </w:numPr>
      <w:spacing w:after="240"/>
      <w:jc w:val="both"/>
    </w:pPr>
    <w:rPr>
      <w:rFonts w:eastAsia="Times New Roman" w:cs="Times New Roman"/>
      <w:szCs w:val="24"/>
    </w:rPr>
  </w:style>
  <w:style w:type="table" w:customStyle="1" w:styleId="TableGrid1">
    <w:name w:val="Table Grid1"/>
    <w:basedOn w:val="Tabelanormal"/>
    <w:next w:val="Tabelacomgrade"/>
    <w:uiPriority w:val="59"/>
    <w:rsid w:val="00547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sroman">
    <w:name w:val="ess roman"/>
    <w:basedOn w:val="Normal"/>
    <w:rsid w:val="00072D45"/>
    <w:pPr>
      <w:numPr>
        <w:numId w:val="5"/>
      </w:numPr>
    </w:pPr>
  </w:style>
  <w:style w:type="character" w:customStyle="1" w:styleId="ESSparaChar">
    <w:name w:val="ESS para Char"/>
    <w:basedOn w:val="Fontepargpadro"/>
    <w:link w:val="ESSpara"/>
    <w:locked/>
    <w:rsid w:val="000B4227"/>
    <w:rPr>
      <w:rFonts w:asciiTheme="majorBidi" w:hAnsiTheme="majorBidi" w:cstheme="majorBidi"/>
      <w:sz w:val="24"/>
      <w:szCs w:val="24"/>
    </w:rPr>
  </w:style>
  <w:style w:type="paragraph" w:customStyle="1" w:styleId="ESSpara">
    <w:name w:val="ESS para"/>
    <w:basedOn w:val="Normal"/>
    <w:link w:val="ESSparaChar"/>
    <w:qFormat/>
    <w:rsid w:val="000B4227"/>
    <w:pPr>
      <w:numPr>
        <w:numId w:val="7"/>
      </w:numPr>
      <w:spacing w:after="240" w:line="240" w:lineRule="auto"/>
      <w:jc w:val="both"/>
    </w:pPr>
    <w:rPr>
      <w:rFonts w:asciiTheme="majorBidi" w:hAnsiTheme="majorBidi" w:cstheme="majorBidi"/>
      <w:szCs w:val="24"/>
    </w:rPr>
  </w:style>
  <w:style w:type="character" w:customStyle="1" w:styleId="PargrafodaListaChar">
    <w:name w:val="Parágrafo da Lista Char"/>
    <w:aliases w:val="Citation List Char,본문(내용) Char,List Paragraph (numbered (a)) Char,123 List Paragraph Char,Numbered Paragraph Char,Main numbered paragraph Char,References Char,Numbered List Paragraph Char,List Paragraph nowy Char,Liste 1 Char"/>
    <w:basedOn w:val="Fontepargpadro"/>
    <w:link w:val="PargrafodaLista"/>
    <w:uiPriority w:val="34"/>
    <w:qFormat/>
    <w:rsid w:val="00A94B27"/>
    <w:rPr>
      <w:rFonts w:ascii="Times New Roman" w:hAnsi="Times New Roman"/>
      <w:sz w:val="24"/>
    </w:rPr>
  </w:style>
  <w:style w:type="table" w:customStyle="1" w:styleId="TableGrid2">
    <w:name w:val="Table Grid2"/>
    <w:basedOn w:val="Tabelanormal"/>
    <w:next w:val="Tabelacomgrade"/>
    <w:uiPriority w:val="59"/>
    <w:rsid w:val="00E43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Reference1">
    <w:name w:val="Footnote Reference1"/>
    <w:autoRedefine/>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Theme="minorEastAsia" w:hAnsi="ITC Franklin Gothic Std Book"/>
      <w:szCs w:val="24"/>
      <w:lang w:eastAsia="ja-JP"/>
    </w:rPr>
  </w:style>
  <w:style w:type="paragraph" w:customStyle="1" w:styleId="essbullet">
    <w:name w:val="ess bullet"/>
    <w:basedOn w:val="Normal"/>
    <w:link w:val="essbulletChar"/>
    <w:qFormat/>
    <w:rsid w:val="00641122"/>
    <w:pPr>
      <w:numPr>
        <w:ilvl w:val="1"/>
        <w:numId w:val="6"/>
      </w:numPr>
      <w:tabs>
        <w:tab w:val="left" w:pos="1080"/>
      </w:tabs>
      <w:spacing w:after="240" w:line="240" w:lineRule="auto"/>
      <w:jc w:val="both"/>
    </w:pPr>
    <w:rPr>
      <w:rFonts w:asciiTheme="minorHAnsi" w:eastAsiaTheme="minorEastAsia" w:hAnsiTheme="minorHAnsi" w:cs="Times New Roman"/>
      <w:sz w:val="22"/>
    </w:rPr>
  </w:style>
  <w:style w:type="character" w:customStyle="1" w:styleId="essbulletChar">
    <w:name w:val="ess bullet Char"/>
    <w:basedOn w:val="Fontepargpadro"/>
    <w:link w:val="essbullet"/>
    <w:rsid w:val="00641122"/>
    <w:rPr>
      <w:rFonts w:eastAsiaTheme="minorEastAsia" w:cs="Times New Roman"/>
    </w:rPr>
  </w:style>
  <w:style w:type="paragraph" w:styleId="TextosemFormatao">
    <w:name w:val="Plain Text"/>
    <w:basedOn w:val="Normal"/>
    <w:link w:val="TextosemFormataoChar"/>
    <w:uiPriority w:val="99"/>
    <w:semiHidden/>
    <w:unhideWhenUsed/>
    <w:rsid w:val="00E819F8"/>
    <w:pPr>
      <w:spacing w:after="0" w:line="240" w:lineRule="auto"/>
    </w:pPr>
    <w:rPr>
      <w:rFonts w:ascii="Calibri" w:hAnsi="Calibri"/>
      <w:sz w:val="22"/>
      <w:szCs w:val="21"/>
    </w:rPr>
  </w:style>
  <w:style w:type="character" w:customStyle="1" w:styleId="TextosemFormataoChar">
    <w:name w:val="Texto sem Formatação Char"/>
    <w:basedOn w:val="Fontepargpadro"/>
    <w:link w:val="TextosemFormatao"/>
    <w:uiPriority w:val="99"/>
    <w:semiHidden/>
    <w:rsid w:val="00E819F8"/>
    <w:rPr>
      <w:rFonts w:ascii="Calibri" w:hAnsi="Calibri"/>
      <w:szCs w:val="21"/>
    </w:rPr>
  </w:style>
  <w:style w:type="paragraph" w:styleId="Legenda">
    <w:name w:val="caption"/>
    <w:basedOn w:val="Normal"/>
    <w:next w:val="Normal"/>
    <w:uiPriority w:val="35"/>
    <w:unhideWhenUsed/>
    <w:qFormat/>
    <w:rsid w:val="00EA7453"/>
    <w:pPr>
      <w:spacing w:line="240" w:lineRule="auto"/>
    </w:pPr>
    <w:rPr>
      <w:i/>
      <w:iCs/>
      <w:color w:val="1F497D" w:themeColor="text2"/>
      <w:sz w:val="18"/>
      <w:szCs w:val="18"/>
    </w:rPr>
  </w:style>
  <w:style w:type="character" w:customStyle="1" w:styleId="bibitemspan">
    <w:name w:val="bibitemspan"/>
    <w:basedOn w:val="Fontepargpadro"/>
    <w:rsid w:val="00CA42F7"/>
  </w:style>
</w:styles>
</file>

<file path=word/webSettings.xml><?xml version="1.0" encoding="utf-8"?>
<w:webSettings xmlns:r="http://schemas.openxmlformats.org/officeDocument/2006/relationships" xmlns:w="http://schemas.openxmlformats.org/wordprocessingml/2006/main">
  <w:divs>
    <w:div w:id="3024351">
      <w:bodyDiv w:val="1"/>
      <w:marLeft w:val="0"/>
      <w:marRight w:val="0"/>
      <w:marTop w:val="0"/>
      <w:marBottom w:val="0"/>
      <w:divBdr>
        <w:top w:val="none" w:sz="0" w:space="0" w:color="auto"/>
        <w:left w:val="none" w:sz="0" w:space="0" w:color="auto"/>
        <w:bottom w:val="none" w:sz="0" w:space="0" w:color="auto"/>
        <w:right w:val="none" w:sz="0" w:space="0" w:color="auto"/>
      </w:divBdr>
    </w:div>
    <w:div w:id="164707840">
      <w:bodyDiv w:val="1"/>
      <w:marLeft w:val="0"/>
      <w:marRight w:val="0"/>
      <w:marTop w:val="0"/>
      <w:marBottom w:val="0"/>
      <w:divBdr>
        <w:top w:val="none" w:sz="0" w:space="0" w:color="auto"/>
        <w:left w:val="none" w:sz="0" w:space="0" w:color="auto"/>
        <w:bottom w:val="none" w:sz="0" w:space="0" w:color="auto"/>
        <w:right w:val="none" w:sz="0" w:space="0" w:color="auto"/>
      </w:divBdr>
    </w:div>
    <w:div w:id="232934378">
      <w:bodyDiv w:val="1"/>
      <w:marLeft w:val="0"/>
      <w:marRight w:val="0"/>
      <w:marTop w:val="0"/>
      <w:marBottom w:val="0"/>
      <w:divBdr>
        <w:top w:val="none" w:sz="0" w:space="0" w:color="auto"/>
        <w:left w:val="none" w:sz="0" w:space="0" w:color="auto"/>
        <w:bottom w:val="none" w:sz="0" w:space="0" w:color="auto"/>
        <w:right w:val="none" w:sz="0" w:space="0" w:color="auto"/>
      </w:divBdr>
    </w:div>
    <w:div w:id="357589648">
      <w:bodyDiv w:val="1"/>
      <w:marLeft w:val="0"/>
      <w:marRight w:val="0"/>
      <w:marTop w:val="0"/>
      <w:marBottom w:val="0"/>
      <w:divBdr>
        <w:top w:val="none" w:sz="0" w:space="0" w:color="auto"/>
        <w:left w:val="none" w:sz="0" w:space="0" w:color="auto"/>
        <w:bottom w:val="none" w:sz="0" w:space="0" w:color="auto"/>
        <w:right w:val="none" w:sz="0" w:space="0" w:color="auto"/>
      </w:divBdr>
    </w:div>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464085118">
      <w:bodyDiv w:val="1"/>
      <w:marLeft w:val="0"/>
      <w:marRight w:val="0"/>
      <w:marTop w:val="0"/>
      <w:marBottom w:val="0"/>
      <w:divBdr>
        <w:top w:val="none" w:sz="0" w:space="0" w:color="auto"/>
        <w:left w:val="none" w:sz="0" w:space="0" w:color="auto"/>
        <w:bottom w:val="none" w:sz="0" w:space="0" w:color="auto"/>
        <w:right w:val="none" w:sz="0" w:space="0" w:color="auto"/>
      </w:divBdr>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682629213">
      <w:bodyDiv w:val="1"/>
      <w:marLeft w:val="0"/>
      <w:marRight w:val="0"/>
      <w:marTop w:val="0"/>
      <w:marBottom w:val="0"/>
      <w:divBdr>
        <w:top w:val="none" w:sz="0" w:space="0" w:color="auto"/>
        <w:left w:val="none" w:sz="0" w:space="0" w:color="auto"/>
        <w:bottom w:val="none" w:sz="0" w:space="0" w:color="auto"/>
        <w:right w:val="none" w:sz="0" w:space="0" w:color="auto"/>
      </w:divBdr>
      <w:divsChild>
        <w:div w:id="294260582">
          <w:marLeft w:val="0"/>
          <w:marRight w:val="0"/>
          <w:marTop w:val="0"/>
          <w:marBottom w:val="0"/>
          <w:divBdr>
            <w:top w:val="none" w:sz="0" w:space="0" w:color="auto"/>
            <w:left w:val="none" w:sz="0" w:space="0" w:color="auto"/>
            <w:bottom w:val="none" w:sz="0" w:space="0" w:color="auto"/>
            <w:right w:val="none" w:sz="0" w:space="0" w:color="auto"/>
          </w:divBdr>
        </w:div>
        <w:div w:id="1134788221">
          <w:marLeft w:val="0"/>
          <w:marRight w:val="0"/>
          <w:marTop w:val="0"/>
          <w:marBottom w:val="0"/>
          <w:divBdr>
            <w:top w:val="none" w:sz="0" w:space="0" w:color="auto"/>
            <w:left w:val="none" w:sz="0" w:space="0" w:color="auto"/>
            <w:bottom w:val="none" w:sz="0" w:space="0" w:color="auto"/>
            <w:right w:val="none" w:sz="0" w:space="0" w:color="auto"/>
          </w:divBdr>
        </w:div>
      </w:divsChild>
    </w:div>
    <w:div w:id="711610523">
      <w:bodyDiv w:val="1"/>
      <w:marLeft w:val="0"/>
      <w:marRight w:val="0"/>
      <w:marTop w:val="0"/>
      <w:marBottom w:val="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 w:id="862060780">
          <w:marLeft w:val="0"/>
          <w:marRight w:val="0"/>
          <w:marTop w:val="0"/>
          <w:marBottom w:val="0"/>
          <w:divBdr>
            <w:top w:val="none" w:sz="0" w:space="0" w:color="auto"/>
            <w:left w:val="none" w:sz="0" w:space="0" w:color="auto"/>
            <w:bottom w:val="none" w:sz="0" w:space="0" w:color="auto"/>
            <w:right w:val="none" w:sz="0" w:space="0" w:color="auto"/>
          </w:divBdr>
        </w:div>
        <w:div w:id="1486050721">
          <w:marLeft w:val="0"/>
          <w:marRight w:val="0"/>
          <w:marTop w:val="0"/>
          <w:marBottom w:val="0"/>
          <w:divBdr>
            <w:top w:val="none" w:sz="0" w:space="0" w:color="auto"/>
            <w:left w:val="none" w:sz="0" w:space="0" w:color="auto"/>
            <w:bottom w:val="none" w:sz="0" w:space="0" w:color="auto"/>
            <w:right w:val="none" w:sz="0" w:space="0" w:color="auto"/>
          </w:divBdr>
        </w:div>
        <w:div w:id="403450178">
          <w:marLeft w:val="0"/>
          <w:marRight w:val="0"/>
          <w:marTop w:val="0"/>
          <w:marBottom w:val="0"/>
          <w:divBdr>
            <w:top w:val="none" w:sz="0" w:space="0" w:color="auto"/>
            <w:left w:val="none" w:sz="0" w:space="0" w:color="auto"/>
            <w:bottom w:val="none" w:sz="0" w:space="0" w:color="auto"/>
            <w:right w:val="none" w:sz="0" w:space="0" w:color="auto"/>
          </w:divBdr>
        </w:div>
        <w:div w:id="1719620461">
          <w:marLeft w:val="0"/>
          <w:marRight w:val="0"/>
          <w:marTop w:val="0"/>
          <w:marBottom w:val="0"/>
          <w:divBdr>
            <w:top w:val="none" w:sz="0" w:space="0" w:color="auto"/>
            <w:left w:val="none" w:sz="0" w:space="0" w:color="auto"/>
            <w:bottom w:val="none" w:sz="0" w:space="0" w:color="auto"/>
            <w:right w:val="none" w:sz="0" w:space="0" w:color="auto"/>
          </w:divBdr>
        </w:div>
        <w:div w:id="392507824">
          <w:marLeft w:val="0"/>
          <w:marRight w:val="0"/>
          <w:marTop w:val="0"/>
          <w:marBottom w:val="0"/>
          <w:divBdr>
            <w:top w:val="none" w:sz="0" w:space="0" w:color="auto"/>
            <w:left w:val="none" w:sz="0" w:space="0" w:color="auto"/>
            <w:bottom w:val="none" w:sz="0" w:space="0" w:color="auto"/>
            <w:right w:val="none" w:sz="0" w:space="0" w:color="auto"/>
          </w:divBdr>
        </w:div>
        <w:div w:id="1323702128">
          <w:marLeft w:val="0"/>
          <w:marRight w:val="0"/>
          <w:marTop w:val="0"/>
          <w:marBottom w:val="0"/>
          <w:divBdr>
            <w:top w:val="none" w:sz="0" w:space="0" w:color="auto"/>
            <w:left w:val="none" w:sz="0" w:space="0" w:color="auto"/>
            <w:bottom w:val="none" w:sz="0" w:space="0" w:color="auto"/>
            <w:right w:val="none" w:sz="0" w:space="0" w:color="auto"/>
          </w:divBdr>
        </w:div>
      </w:divsChild>
    </w:div>
    <w:div w:id="753479773">
      <w:bodyDiv w:val="1"/>
      <w:marLeft w:val="0"/>
      <w:marRight w:val="0"/>
      <w:marTop w:val="0"/>
      <w:marBottom w:val="0"/>
      <w:divBdr>
        <w:top w:val="none" w:sz="0" w:space="0" w:color="auto"/>
        <w:left w:val="none" w:sz="0" w:space="0" w:color="auto"/>
        <w:bottom w:val="none" w:sz="0" w:space="0" w:color="auto"/>
        <w:right w:val="none" w:sz="0" w:space="0" w:color="auto"/>
      </w:divBdr>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947346840">
      <w:bodyDiv w:val="1"/>
      <w:marLeft w:val="0"/>
      <w:marRight w:val="0"/>
      <w:marTop w:val="0"/>
      <w:marBottom w:val="0"/>
      <w:divBdr>
        <w:top w:val="none" w:sz="0" w:space="0" w:color="auto"/>
        <w:left w:val="none" w:sz="0" w:space="0" w:color="auto"/>
        <w:bottom w:val="none" w:sz="0" w:space="0" w:color="auto"/>
        <w:right w:val="none" w:sz="0" w:space="0" w:color="auto"/>
      </w:divBdr>
    </w:div>
    <w:div w:id="954753492">
      <w:bodyDiv w:val="1"/>
      <w:marLeft w:val="0"/>
      <w:marRight w:val="0"/>
      <w:marTop w:val="0"/>
      <w:marBottom w:val="0"/>
      <w:divBdr>
        <w:top w:val="none" w:sz="0" w:space="0" w:color="auto"/>
        <w:left w:val="none" w:sz="0" w:space="0" w:color="auto"/>
        <w:bottom w:val="none" w:sz="0" w:space="0" w:color="auto"/>
        <w:right w:val="none" w:sz="0" w:space="0" w:color="auto"/>
      </w:divBdr>
    </w:div>
    <w:div w:id="1123579707">
      <w:bodyDiv w:val="1"/>
      <w:marLeft w:val="0"/>
      <w:marRight w:val="0"/>
      <w:marTop w:val="0"/>
      <w:marBottom w:val="0"/>
      <w:divBdr>
        <w:top w:val="none" w:sz="0" w:space="0" w:color="auto"/>
        <w:left w:val="none" w:sz="0" w:space="0" w:color="auto"/>
        <w:bottom w:val="none" w:sz="0" w:space="0" w:color="auto"/>
        <w:right w:val="none" w:sz="0" w:space="0" w:color="auto"/>
      </w:divBdr>
      <w:divsChild>
        <w:div w:id="119669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298412596">
      <w:bodyDiv w:val="1"/>
      <w:marLeft w:val="0"/>
      <w:marRight w:val="0"/>
      <w:marTop w:val="0"/>
      <w:marBottom w:val="0"/>
      <w:divBdr>
        <w:top w:val="none" w:sz="0" w:space="0" w:color="auto"/>
        <w:left w:val="none" w:sz="0" w:space="0" w:color="auto"/>
        <w:bottom w:val="none" w:sz="0" w:space="0" w:color="auto"/>
        <w:right w:val="none" w:sz="0" w:space="0" w:color="auto"/>
      </w:divBdr>
    </w:div>
    <w:div w:id="1391348308">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420633456">
      <w:bodyDiv w:val="1"/>
      <w:marLeft w:val="0"/>
      <w:marRight w:val="0"/>
      <w:marTop w:val="0"/>
      <w:marBottom w:val="0"/>
      <w:divBdr>
        <w:top w:val="none" w:sz="0" w:space="0" w:color="auto"/>
        <w:left w:val="none" w:sz="0" w:space="0" w:color="auto"/>
        <w:bottom w:val="none" w:sz="0" w:space="0" w:color="auto"/>
        <w:right w:val="none" w:sz="0" w:space="0" w:color="auto"/>
      </w:divBdr>
    </w:div>
    <w:div w:id="1505704003">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1703168322">
      <w:bodyDiv w:val="1"/>
      <w:marLeft w:val="0"/>
      <w:marRight w:val="0"/>
      <w:marTop w:val="0"/>
      <w:marBottom w:val="0"/>
      <w:divBdr>
        <w:top w:val="none" w:sz="0" w:space="0" w:color="auto"/>
        <w:left w:val="none" w:sz="0" w:space="0" w:color="auto"/>
        <w:bottom w:val="none" w:sz="0" w:space="0" w:color="auto"/>
        <w:right w:val="none" w:sz="0" w:space="0" w:color="auto"/>
      </w:divBdr>
    </w:div>
    <w:div w:id="1925333799">
      <w:bodyDiv w:val="1"/>
      <w:marLeft w:val="0"/>
      <w:marRight w:val="0"/>
      <w:marTop w:val="0"/>
      <w:marBottom w:val="0"/>
      <w:divBdr>
        <w:top w:val="none" w:sz="0" w:space="0" w:color="auto"/>
        <w:left w:val="none" w:sz="0" w:space="0" w:color="auto"/>
        <w:bottom w:val="none" w:sz="0" w:space="0" w:color="auto"/>
        <w:right w:val="none" w:sz="0" w:space="0" w:color="auto"/>
      </w:divBdr>
    </w:div>
    <w:div w:id="2114784643">
      <w:bodyDiv w:val="1"/>
      <w:marLeft w:val="0"/>
      <w:marRight w:val="0"/>
      <w:marTop w:val="0"/>
      <w:marBottom w:val="0"/>
      <w:divBdr>
        <w:top w:val="none" w:sz="0" w:space="0" w:color="auto"/>
        <w:left w:val="none" w:sz="0" w:space="0" w:color="auto"/>
        <w:bottom w:val="none" w:sz="0" w:space="0" w:color="auto"/>
        <w:right w:val="none" w:sz="0" w:space="0" w:color="auto"/>
      </w:divBdr>
      <w:divsChild>
        <w:div w:id="696928768">
          <w:marLeft w:val="0"/>
          <w:marRight w:val="0"/>
          <w:marTop w:val="0"/>
          <w:marBottom w:val="0"/>
          <w:divBdr>
            <w:top w:val="none" w:sz="0" w:space="0" w:color="auto"/>
            <w:left w:val="none" w:sz="0" w:space="0" w:color="auto"/>
            <w:bottom w:val="none" w:sz="0" w:space="0" w:color="auto"/>
            <w:right w:val="none" w:sz="0" w:space="0" w:color="auto"/>
          </w:divBdr>
        </w:div>
      </w:divsChild>
    </w:div>
    <w:div w:id="2117824692">
      <w:bodyDiv w:val="1"/>
      <w:marLeft w:val="0"/>
      <w:marRight w:val="0"/>
      <w:marTop w:val="0"/>
      <w:marBottom w:val="0"/>
      <w:divBdr>
        <w:top w:val="none" w:sz="0" w:space="0" w:color="auto"/>
        <w:left w:val="none" w:sz="0" w:space="0" w:color="auto"/>
        <w:bottom w:val="none" w:sz="0" w:space="0" w:color="auto"/>
        <w:right w:val="none" w:sz="0" w:space="0" w:color="auto"/>
      </w:divBdr>
    </w:div>
    <w:div w:id="2133287401">
      <w:bodyDiv w:val="1"/>
      <w:marLeft w:val="0"/>
      <w:marRight w:val="0"/>
      <w:marTop w:val="0"/>
      <w:marBottom w:val="0"/>
      <w:divBdr>
        <w:top w:val="none" w:sz="0" w:space="0" w:color="auto"/>
        <w:left w:val="none" w:sz="0" w:space="0" w:color="auto"/>
        <w:bottom w:val="none" w:sz="0" w:space="0" w:color="auto"/>
        <w:right w:val="none" w:sz="0" w:space="0" w:color="auto"/>
      </w:divBdr>
      <w:divsChild>
        <w:div w:id="33831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feguardconsult@worldban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afeguardconsult@worldbank.or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orldbank.org/safeguardsconsult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nsultations.worldbank.org/Data/hub/files/consultation-template/review-and-update-world-bank-safeguard-policies/en/materials/list_of_issues_for_consultations.pdf" TargetMode="External"/><Relationship Id="rId3" Type="http://schemas.openxmlformats.org/officeDocument/2006/relationships/hyperlink" Target="http://www.worldbank.org/safeguardsconsultations" TargetMode="External"/><Relationship Id="rId7" Type="http://schemas.openxmlformats.org/officeDocument/2006/relationships/hyperlink" Target="https://consultations.worldbank.org/Data/hub/files/consultation-template/review-and-update-world-bank-safeguard-policies/en/materials/clean_summary_of_phase_2_consultations_and_bank_management_reponses_final_draft_for_consultation_july_1_2015.pdf" TargetMode="External"/><Relationship Id="rId2" Type="http://schemas.openxmlformats.org/officeDocument/2006/relationships/hyperlink" Target="https://consultations.worldbank.org/Data/hub/files/consultation-template/review-and-update-world-bank-safeguard-policies/en/materials/list_of_issues_for_consultations.pdf" TargetMode="External"/><Relationship Id="rId1" Type="http://schemas.openxmlformats.org/officeDocument/2006/relationships/hyperlink" Target="http://siteresources.worldbank.org/EXTSAFEPOL/Resources/584434-1306431390058/SafeguardsReviewApproachPaper.pdf" TargetMode="External"/><Relationship Id="rId6" Type="http://schemas.openxmlformats.org/officeDocument/2006/relationships/hyperlink" Target="http://consultations.worldbank.org/Data/hub/files/consultation-template/review-and-update-world-bank-safeguard-policies/en/phases/safeguards_consultations_phase1_feedback_summary_0.pdf" TargetMode="External"/><Relationship Id="rId5" Type="http://schemas.openxmlformats.org/officeDocument/2006/relationships/hyperlink" Target="http://consultations.worldbank.org/Data/hub/files/safeguards_review_terms_of_reference_for_ip_regional_dialogue_2013.pdf" TargetMode="External"/><Relationship Id="rId4" Type="http://schemas.openxmlformats.org/officeDocument/2006/relationships/hyperlink" Target="http://consultations.worldbank.org/Data/hub/files/documents/world_bank_consultation_guidelines_oct_201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EF4E-28F3-45DF-9337-089907BD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1B84AE-3770-4920-B050-2DE17F0DAACA}">
  <ds:schemaRefs>
    <ds:schemaRef ds:uri="http://schemas.microsoft.com/sharepoint/v3/contenttype/forms"/>
  </ds:schemaRefs>
</ds:datastoreItem>
</file>

<file path=customXml/itemProps3.xml><?xml version="1.0" encoding="utf-8"?>
<ds:datastoreItem xmlns:ds="http://schemas.openxmlformats.org/officeDocument/2006/customXml" ds:itemID="{2BAFCC77-FCF7-4B1C-A182-34FF1A8540BE}">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D07632A-A1E3-4A9C-AFA3-9A2A9AADFC57}">
  <ds:schemaRefs>
    <ds:schemaRef ds:uri="http://schemas.openxmlformats.org/officeDocument/2006/bibliography"/>
  </ds:schemaRefs>
</ds:datastoreItem>
</file>

<file path=customXml/itemProps5.xml><?xml version="1.0" encoding="utf-8"?>
<ds:datastoreItem xmlns:ds="http://schemas.openxmlformats.org/officeDocument/2006/customXml" ds:itemID="{3D662790-9120-4B61-BA2A-65CBD75419C3}">
  <ds:schemaRefs>
    <ds:schemaRef ds:uri="http://schemas.openxmlformats.org/officeDocument/2006/bibliography"/>
  </ds:schemaRefs>
</ds:datastoreItem>
</file>

<file path=customXml/itemProps6.xml><?xml version="1.0" encoding="utf-8"?>
<ds:datastoreItem xmlns:ds="http://schemas.openxmlformats.org/officeDocument/2006/customXml" ds:itemID="{29749E68-B74F-4B4A-9AAB-28948AEF8162}">
  <ds:schemaRefs>
    <ds:schemaRef ds:uri="http://schemas.openxmlformats.org/officeDocument/2006/bibliography"/>
  </ds:schemaRefs>
</ds:datastoreItem>
</file>

<file path=customXml/itemProps7.xml><?xml version="1.0" encoding="utf-8"?>
<ds:datastoreItem xmlns:ds="http://schemas.openxmlformats.org/officeDocument/2006/customXml" ds:itemID="{E09D5F1C-48D6-41CE-B3D1-70F0FBF9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2454</Words>
  <Characters>13255</Characters>
  <Application>Microsoft Office Word</Application>
  <DocSecurity>0</DocSecurity>
  <Lines>110</Lines>
  <Paragraphs>31</Paragraphs>
  <ScaleCrop>false</ScaleCrop>
  <HeadingPairs>
    <vt:vector size="6" baseType="variant">
      <vt:variant>
        <vt:lpstr>Título</vt:lpstr>
      </vt:variant>
      <vt:variant>
        <vt:i4>1</vt:i4>
      </vt:variant>
      <vt:variant>
        <vt:lpstr>Títulos</vt:lpstr>
      </vt:variant>
      <vt:variant>
        <vt:i4>4</vt:i4>
      </vt:variant>
      <vt:variant>
        <vt:lpstr>Title</vt:lpstr>
      </vt:variant>
      <vt:variant>
        <vt:i4>1</vt:i4>
      </vt:variant>
    </vt:vector>
  </HeadingPairs>
  <TitlesOfParts>
    <vt:vector size="6" baseType="lpstr">
      <vt:lpstr/>
      <vt:lpstr>1ª Fase: Lições aprendidas, princípios</vt:lpstr>
      <vt:lpstr/>
      <vt:lpstr>2ª Fase: Normas Ambientais e Sociais (NASs)</vt:lpstr>
      <vt:lpstr>3ª Fase: Viabilidade da implementação e questões importantes</vt:lpstr>
      <vt:lpstr/>
    </vt:vector>
  </TitlesOfParts>
  <Company>The World Bank Group</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Qays Hamad (OPCQC)</dc:creator>
  <cp:lastModifiedBy>Edna</cp:lastModifiedBy>
  <cp:revision>65</cp:revision>
  <cp:lastPrinted>2015-06-09T21:27:00Z</cp:lastPrinted>
  <dcterms:created xsi:type="dcterms:W3CDTF">2015-08-06T01:18:00Z</dcterms:created>
  <dcterms:modified xsi:type="dcterms:W3CDTF">2015-08-16T18:47:00Z</dcterms:modified>
</cp:coreProperties>
</file>