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C0" w:rsidRPr="00783FBF" w:rsidRDefault="00E4256B" w:rsidP="00A706C9">
      <w:pPr>
        <w:spacing w:line="240" w:lineRule="auto"/>
        <w:jc w:val="center"/>
        <w:rPr>
          <w:rFonts w:ascii="Times New Roman" w:hAnsi="Times New Roman"/>
          <w:sz w:val="24"/>
          <w:szCs w:val="24"/>
        </w:rPr>
      </w:pPr>
      <w:bookmarkStart w:id="0" w:name="_GoBack"/>
      <w:bookmarkEnd w:id="0"/>
      <w:r w:rsidRPr="00783FBF">
        <w:rPr>
          <w:rFonts w:ascii="Times New Roman" w:hAnsi="Times New Roman"/>
          <w:noProof/>
          <w:sz w:val="24"/>
          <w:szCs w:val="24"/>
        </w:rPr>
        <w:drawing>
          <wp:inline distT="0" distB="0" distL="0" distR="0">
            <wp:extent cx="4581525" cy="1038225"/>
            <wp:effectExtent l="0" t="0" r="9525" b="952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1038225"/>
                    </a:xfrm>
                    <a:prstGeom prst="rect">
                      <a:avLst/>
                    </a:prstGeom>
                    <a:noFill/>
                    <a:ln>
                      <a:noFill/>
                    </a:ln>
                  </pic:spPr>
                </pic:pic>
              </a:graphicData>
            </a:graphic>
          </wp:inline>
        </w:drawing>
      </w:r>
    </w:p>
    <w:p w:rsidR="00BF53B7" w:rsidRPr="00AD123B" w:rsidRDefault="00BF53B7" w:rsidP="00E35427">
      <w:pPr>
        <w:suppressAutoHyphens/>
        <w:spacing w:after="0" w:line="100" w:lineRule="atLeast"/>
        <w:jc w:val="center"/>
        <w:rPr>
          <w:rFonts w:ascii="Times New Roman" w:eastAsia="Times New Roman" w:hAnsi="Times New Roman"/>
          <w:b/>
          <w:color w:val="365F91" w:themeColor="accent1" w:themeShade="BF"/>
          <w:spacing w:val="5"/>
          <w:kern w:val="28"/>
          <w:sz w:val="24"/>
          <w:szCs w:val="24"/>
        </w:rPr>
      </w:pPr>
      <w:r w:rsidRPr="00AD123B">
        <w:rPr>
          <w:rFonts w:ascii="Times New Roman" w:eastAsia="Times New Roman" w:hAnsi="Times New Roman"/>
          <w:b/>
          <w:color w:val="365F91" w:themeColor="accent1" w:themeShade="BF"/>
          <w:spacing w:val="5"/>
          <w:kern w:val="28"/>
          <w:sz w:val="24"/>
          <w:szCs w:val="24"/>
        </w:rPr>
        <w:t xml:space="preserve">The World Bank </w:t>
      </w:r>
    </w:p>
    <w:p w:rsidR="00BF53B7" w:rsidRPr="00AD123B" w:rsidRDefault="00580D60" w:rsidP="00E35427">
      <w:pPr>
        <w:suppressAutoHyphens/>
        <w:spacing w:after="0" w:line="100" w:lineRule="atLeast"/>
        <w:jc w:val="center"/>
        <w:rPr>
          <w:rFonts w:ascii="Times New Roman" w:eastAsia="Times New Roman" w:hAnsi="Times New Roman"/>
          <w:b/>
          <w:color w:val="365F91" w:themeColor="accent1" w:themeShade="BF"/>
          <w:kern w:val="1"/>
          <w:sz w:val="24"/>
          <w:szCs w:val="24"/>
          <w:lang w:eastAsia="hi-IN" w:bidi="hi-IN"/>
        </w:rPr>
      </w:pPr>
      <w:r w:rsidRPr="00580D60">
        <w:rPr>
          <w:rFonts w:ascii="Times New Roman" w:eastAsia="Times New Roman" w:hAnsi="Times New Roman"/>
          <w:b/>
          <w:color w:val="365F91" w:themeColor="accent1" w:themeShade="BF"/>
          <w:kern w:val="1"/>
          <w:sz w:val="24"/>
          <w:szCs w:val="24"/>
          <w:lang w:eastAsia="hi-IN" w:bidi="hi-IN"/>
        </w:rPr>
        <w:t>Review and Update of the World Bank’s Environmental and Social Safeguard Policies</w:t>
      </w:r>
    </w:p>
    <w:p w:rsidR="00AE13C4" w:rsidRPr="00AD123B" w:rsidRDefault="00AE13C4" w:rsidP="00E35427">
      <w:pPr>
        <w:suppressAutoHyphens/>
        <w:spacing w:after="0" w:line="100" w:lineRule="atLeast"/>
        <w:jc w:val="center"/>
        <w:rPr>
          <w:rFonts w:ascii="Times New Roman" w:eastAsia="Times New Roman" w:hAnsi="Times New Roman"/>
          <w:b/>
          <w:color w:val="365F91" w:themeColor="accent1" w:themeShade="BF"/>
          <w:kern w:val="1"/>
          <w:sz w:val="24"/>
          <w:szCs w:val="24"/>
          <w:lang w:eastAsia="hi-IN" w:bidi="hi-IN"/>
        </w:rPr>
      </w:pPr>
    </w:p>
    <w:p w:rsidR="0027061F" w:rsidRPr="00AD123B" w:rsidRDefault="00580D60" w:rsidP="00E35427">
      <w:pPr>
        <w:suppressAutoHyphens/>
        <w:spacing w:after="0" w:line="240" w:lineRule="auto"/>
        <w:jc w:val="center"/>
        <w:rPr>
          <w:rFonts w:ascii="Times New Roman" w:eastAsia="Times New Roman" w:hAnsi="Times New Roman"/>
          <w:b/>
          <w:color w:val="365F91" w:themeColor="accent1" w:themeShade="BF"/>
          <w:kern w:val="1"/>
          <w:sz w:val="24"/>
          <w:szCs w:val="24"/>
          <w:lang w:eastAsia="hi-IN" w:bidi="hi-IN"/>
        </w:rPr>
      </w:pPr>
      <w:r w:rsidRPr="00580D60">
        <w:rPr>
          <w:rFonts w:ascii="Times New Roman" w:eastAsia="Times New Roman" w:hAnsi="Times New Roman"/>
          <w:b/>
          <w:color w:val="365F91" w:themeColor="accent1" w:themeShade="BF"/>
          <w:kern w:val="1"/>
          <w:sz w:val="24"/>
          <w:szCs w:val="24"/>
          <w:lang w:eastAsia="hi-IN" w:bidi="hi-IN"/>
        </w:rPr>
        <w:t>Safeguards Consultation Meeting with Government Stakeholders</w:t>
      </w:r>
    </w:p>
    <w:p w:rsidR="002B6717" w:rsidRPr="00AD123B" w:rsidRDefault="00580D60" w:rsidP="00E35427">
      <w:pPr>
        <w:suppressAutoHyphens/>
        <w:spacing w:after="0" w:line="240" w:lineRule="auto"/>
        <w:jc w:val="center"/>
        <w:rPr>
          <w:rFonts w:ascii="Times New Roman" w:eastAsia="Times New Roman" w:hAnsi="Times New Roman"/>
          <w:b/>
          <w:color w:val="365F91" w:themeColor="accent1" w:themeShade="BF"/>
          <w:kern w:val="1"/>
          <w:sz w:val="24"/>
          <w:szCs w:val="24"/>
          <w:lang w:eastAsia="hi-IN" w:bidi="hi-IN"/>
        </w:rPr>
      </w:pPr>
      <w:r w:rsidRPr="00580D60">
        <w:rPr>
          <w:rFonts w:ascii="Times New Roman" w:eastAsia="Times New Roman" w:hAnsi="Times New Roman"/>
          <w:b/>
          <w:color w:val="365F91" w:themeColor="accent1" w:themeShade="BF"/>
          <w:kern w:val="1"/>
          <w:sz w:val="24"/>
          <w:szCs w:val="24"/>
          <w:lang w:eastAsia="hi-IN" w:bidi="hi-IN"/>
        </w:rPr>
        <w:t>at the World Bank Paris Office</w:t>
      </w:r>
      <w:r w:rsidRPr="00580D60">
        <w:rPr>
          <w:rFonts w:ascii="Times New Roman" w:eastAsia="Times New Roman" w:hAnsi="Times New Roman"/>
          <w:b/>
          <w:color w:val="365F91" w:themeColor="accent1" w:themeShade="BF"/>
          <w:kern w:val="1"/>
          <w:sz w:val="24"/>
          <w:szCs w:val="24"/>
          <w:lang w:eastAsia="hi-IN" w:bidi="hi-IN"/>
        </w:rPr>
        <w:br/>
      </w:r>
    </w:p>
    <w:p w:rsidR="005E2FC0" w:rsidRPr="00AD123B" w:rsidRDefault="00ED02C5" w:rsidP="00511743">
      <w:pPr>
        <w:spacing w:line="240" w:lineRule="auto"/>
        <w:rPr>
          <w:rFonts w:ascii="Times New Roman" w:hAnsi="Times New Roman"/>
          <w:sz w:val="24"/>
          <w:szCs w:val="24"/>
        </w:rPr>
      </w:pPr>
      <w:r>
        <w:rPr>
          <w:rFonts w:ascii="Times New Roman" w:hAnsi="Times New Roman"/>
          <w:sz w:val="24"/>
          <w:szCs w:val="24"/>
        </w:rPr>
        <w:t xml:space="preserve">The consultation meeting held on December 3, 2012 was chaired by Julia Nielson, World Bank Acting Director for Europe. Participants were primarily from our main counterpart Ministries and Agencies in France (see Annex). </w:t>
      </w:r>
    </w:p>
    <w:p w:rsidR="00546FB4" w:rsidRPr="00AD123B" w:rsidRDefault="00580D60" w:rsidP="00511743">
      <w:pPr>
        <w:pStyle w:val="NormalWeb"/>
        <w:spacing w:before="0" w:beforeAutospacing="0" w:after="0" w:afterAutospacing="0"/>
        <w:jc w:val="both"/>
        <w:rPr>
          <w:rStyle w:val="st"/>
          <w:lang w:val="en-US"/>
        </w:rPr>
      </w:pPr>
      <w:r w:rsidRPr="00580D60">
        <w:rPr>
          <w:rStyle w:val="st"/>
          <w:lang w:val="en-US"/>
        </w:rPr>
        <w:t xml:space="preserve">Comments and questions from the participants included the following: </w:t>
      </w:r>
    </w:p>
    <w:p w:rsidR="00511743" w:rsidRPr="00AD123B" w:rsidRDefault="00511743" w:rsidP="00511743">
      <w:pPr>
        <w:pStyle w:val="NormalWeb"/>
        <w:spacing w:before="0" w:beforeAutospacing="0" w:after="0" w:afterAutospacing="0"/>
        <w:jc w:val="both"/>
        <w:rPr>
          <w:lang w:val="en-US"/>
        </w:rPr>
      </w:pPr>
    </w:p>
    <w:p w:rsidR="00580D60" w:rsidRDefault="00ED02C5" w:rsidP="00580D60">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The Bank’s effort to review and update its Safeguard Policies is to be welcomed. The goals would seem uncontroversial—but linking up clearly with other reforms within the Bank and elsewhere will be critical, to ensure that the process actually delivers the stated objectives.</w:t>
      </w:r>
    </w:p>
    <w:p w:rsidR="00580D60" w:rsidRDefault="00580D60" w:rsidP="00580D60">
      <w:pPr>
        <w:spacing w:after="0" w:line="240" w:lineRule="auto"/>
        <w:ind w:left="720"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While the link to </w:t>
      </w:r>
      <w:r w:rsidR="0092355D">
        <w:rPr>
          <w:rFonts w:ascii="Times New Roman" w:hAnsi="Times New Roman"/>
          <w:sz w:val="24"/>
          <w:szCs w:val="24"/>
        </w:rPr>
        <w:t>i</w:t>
      </w:r>
      <w:r>
        <w:rPr>
          <w:rFonts w:ascii="Times New Roman" w:hAnsi="Times New Roman"/>
          <w:sz w:val="24"/>
          <w:szCs w:val="24"/>
        </w:rPr>
        <w:t xml:space="preserve">nvestment </w:t>
      </w:r>
      <w:r w:rsidR="0092355D">
        <w:rPr>
          <w:rFonts w:ascii="Times New Roman" w:hAnsi="Times New Roman"/>
          <w:sz w:val="24"/>
          <w:szCs w:val="24"/>
        </w:rPr>
        <w:t>l</w:t>
      </w:r>
      <w:r>
        <w:rPr>
          <w:rFonts w:ascii="Times New Roman" w:hAnsi="Times New Roman"/>
          <w:sz w:val="24"/>
          <w:szCs w:val="24"/>
        </w:rPr>
        <w:t>ending (IL) reform is evident, the link to the Bank’s procurement reform needs to be more strongly articulated. The three reform processes (IL, Procurement, Safeguards) should be integrated if possible, since the main challenges (as the IEG pointed out) were in implementation—and implementation challenges are generally related to all three.</w:t>
      </w:r>
    </w:p>
    <w:p w:rsidR="00580D60" w:rsidRDefault="00580D60" w:rsidP="00580D60">
      <w:pPr>
        <w:spacing w:after="0" w:line="240" w:lineRule="auto"/>
        <w:ind w:left="720" w:hanging="360"/>
        <w:rPr>
          <w:rFonts w:ascii="Times New Roman" w:hAnsi="Times New Roman"/>
          <w:sz w:val="24"/>
          <w:szCs w:val="24"/>
        </w:rPr>
      </w:pPr>
    </w:p>
    <w:p w:rsidR="00580D60" w:rsidRDefault="00ED02C5" w:rsidP="00580D60">
      <w:pPr>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France welcomes the interest in looking at human rights and free, prior and informed consent (FPIC) of Indigenous Peoples, which seem to go in the same positive direction taken by countries in recent years to promote social rights through the ILO, the G20, and even the AFD (which was the first to address these issues) and the IFC (with its labor standards).</w:t>
      </w:r>
    </w:p>
    <w:p w:rsidR="00580D60" w:rsidRDefault="00580D60" w:rsidP="00580D60">
      <w:pPr>
        <w:spacing w:after="0" w:line="240" w:lineRule="auto"/>
        <w:ind w:left="720"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How is the Safeguards review and update process related to the IFC Performance Standards? The IFC Performance Standards are part of the “context” of this process, and should be explicitly addressed.</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Will the Safeguards review and update cover Development Policy Lending (DPL) or only IL? Are there not environmental and social issues in programmatic/budget support and other non-IL lending?</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While social and environmental legislation has improved in many developing countries, the quality of these laws varies, as do countries’ capacity to implement them. How will </w:t>
      </w:r>
      <w:r>
        <w:rPr>
          <w:rFonts w:ascii="Times New Roman" w:hAnsi="Times New Roman"/>
          <w:sz w:val="24"/>
          <w:szCs w:val="24"/>
        </w:rPr>
        <w:lastRenderedPageBreak/>
        <w:t>the Bank take these variations into consideration? What is the real scope for expanding the use of country systems?</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Is the thrust or ambition of the Safeguards review and update to move from a “do no harm” approach towards “doing good”? Presumably, the eventual framework should be neither overly prescriptive nor purely risk-management in approach; differentiated approaches could be necessary depending on the sector or area. There should be strong “high-level principles” that would need to be respected, as well as scope for prescription when in-depth analyses indicate that this is necessary. </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The operational case for updating the Safeguard Policies is evident to bilateral agencies working, with the Bank or independently, to deliver complex investments in developing countries. Some agencies are reviewing their own policies internally, and a common or joint upgrading of agencies’ safeguard policies might have been envisaged to ensure that policies were coordinated and/or consistent among partners.</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Does the Bank envisage having a separate Safeguard Policy or some specialized guidance for dams?</w:t>
      </w:r>
    </w:p>
    <w:p w:rsidR="00580D60" w:rsidRDefault="00580D60" w:rsidP="00580D60">
      <w:pPr>
        <w:pStyle w:val="ListParagraph"/>
        <w:ind w:hanging="360"/>
        <w:rPr>
          <w:rFonts w:ascii="Times New Roman" w:hAnsi="Times New Roman"/>
          <w:sz w:val="24"/>
          <w:szCs w:val="24"/>
        </w:rPr>
      </w:pPr>
    </w:p>
    <w:p w:rsidR="00580D60" w:rsidRDefault="00ED02C5" w:rsidP="00580D60">
      <w:pPr>
        <w:pStyle w:val="ListParagraph"/>
        <w:numPr>
          <w:ilvl w:val="0"/>
          <w:numId w:val="8"/>
        </w:numPr>
        <w:tabs>
          <w:tab w:val="clear" w:pos="360"/>
          <w:tab w:val="num" w:pos="720"/>
        </w:tabs>
        <w:spacing w:after="0" w:line="240" w:lineRule="auto"/>
        <w:ind w:left="720"/>
        <w:rPr>
          <w:rFonts w:ascii="Times New Roman" w:hAnsi="Times New Roman"/>
          <w:sz w:val="24"/>
          <w:szCs w:val="24"/>
        </w:rPr>
      </w:pPr>
      <w:r>
        <w:rPr>
          <w:rFonts w:ascii="Times New Roman" w:hAnsi="Times New Roman"/>
          <w:sz w:val="24"/>
          <w:szCs w:val="24"/>
        </w:rPr>
        <w:t xml:space="preserve">It is hoped that French interest and experience in public private partnerships and large infrastructure projects will inform the Safeguards review and update process. </w:t>
      </w:r>
    </w:p>
    <w:p w:rsidR="00553989" w:rsidRPr="00AD123B" w:rsidRDefault="00553989" w:rsidP="00553989">
      <w:pPr>
        <w:pStyle w:val="ListParagraph"/>
        <w:rPr>
          <w:rFonts w:ascii="Times New Roman" w:hAnsi="Times New Roman"/>
          <w:sz w:val="24"/>
          <w:szCs w:val="24"/>
        </w:rPr>
      </w:pPr>
    </w:p>
    <w:p w:rsidR="00BF53B7" w:rsidRPr="00AD123B" w:rsidRDefault="00ED02C5" w:rsidP="00511743">
      <w:pPr>
        <w:spacing w:after="0" w:line="240" w:lineRule="auto"/>
        <w:rPr>
          <w:rFonts w:ascii="Times New Roman" w:hAnsi="Times New Roman"/>
          <w:sz w:val="24"/>
          <w:szCs w:val="24"/>
        </w:rPr>
      </w:pPr>
      <w:r>
        <w:rPr>
          <w:rFonts w:ascii="Times New Roman" w:hAnsi="Times New Roman"/>
          <w:sz w:val="24"/>
          <w:szCs w:val="24"/>
        </w:rPr>
        <w:br w:type="page"/>
      </w:r>
    </w:p>
    <w:p w:rsidR="00C83796" w:rsidRPr="00AD123B" w:rsidRDefault="00ED02C5" w:rsidP="00511743">
      <w:pPr>
        <w:jc w:val="center"/>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lastRenderedPageBreak/>
        <w:t>Annex</w:t>
      </w:r>
    </w:p>
    <w:p w:rsidR="004C787E" w:rsidRPr="00AD123B" w:rsidRDefault="0092355D" w:rsidP="00511743">
      <w:pPr>
        <w:jc w:val="center"/>
        <w:rPr>
          <w:rFonts w:ascii="Times New Roman" w:hAnsi="Times New Roman"/>
          <w:b/>
          <w:color w:val="17365D" w:themeColor="text2" w:themeShade="BF"/>
          <w:spacing w:val="5"/>
          <w:kern w:val="28"/>
          <w:sz w:val="24"/>
          <w:szCs w:val="24"/>
        </w:rPr>
      </w:pPr>
      <w:r>
        <w:rPr>
          <w:rFonts w:ascii="Times New Roman" w:hAnsi="Times New Roman"/>
          <w:noProof/>
          <w:color w:val="000000"/>
          <w:sz w:val="24"/>
          <w:szCs w:val="24"/>
        </w:rPr>
        <w:drawing>
          <wp:inline distT="0" distB="0" distL="0" distR="0">
            <wp:extent cx="3448050" cy="102115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rsidR="00580D60" w:rsidRDefault="00ED02C5" w:rsidP="00580D60">
      <w:pPr>
        <w:spacing w:after="240"/>
        <w:jc w:val="center"/>
        <w:rPr>
          <w:rFonts w:ascii="Times New Roman" w:hAnsi="Times New Roman"/>
          <w:b/>
          <w:color w:val="365F91" w:themeColor="accent1" w:themeShade="BF"/>
          <w:spacing w:val="5"/>
          <w:kern w:val="28"/>
          <w:sz w:val="24"/>
          <w:szCs w:val="24"/>
        </w:rPr>
      </w:pPr>
      <w:r>
        <w:rPr>
          <w:rFonts w:ascii="Times New Roman" w:hAnsi="Times New Roman"/>
          <w:b/>
          <w:color w:val="365F91" w:themeColor="accent1" w:themeShade="BF"/>
          <w:spacing w:val="5"/>
          <w:kern w:val="28"/>
          <w:sz w:val="24"/>
          <w:szCs w:val="24"/>
        </w:rPr>
        <w:t xml:space="preserve">The World Bank </w:t>
      </w:r>
    </w:p>
    <w:p w:rsidR="00580D60" w:rsidRDefault="00ED02C5" w:rsidP="00580D60">
      <w:pPr>
        <w:spacing w:after="240"/>
        <w:jc w:val="center"/>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Review and Update of the World Bank’s Environmental and Social Safeguard Policies</w:t>
      </w:r>
    </w:p>
    <w:p w:rsidR="00580D60" w:rsidRDefault="00ED02C5" w:rsidP="00580D60">
      <w:pPr>
        <w:pStyle w:val="Title"/>
        <w:spacing w:after="240"/>
        <w:contextualSpacing w:val="0"/>
        <w:jc w:val="center"/>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Consultation Meeting – Participant List</w:t>
      </w:r>
    </w:p>
    <w:p w:rsidR="00AE13C4" w:rsidRPr="00AD123B" w:rsidRDefault="00AE13C4"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p>
    <w:p w:rsidR="004C787E" w:rsidRPr="00AD123B" w:rsidRDefault="00ED02C5"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szCs w:val="24"/>
          <w:lang w:val="en-US"/>
        </w:rPr>
      </w:pPr>
      <w:r>
        <w:rPr>
          <w:rFonts w:ascii="Times New Roman" w:hAnsi="Times New Roman" w:cs="Times New Roman"/>
          <w:b/>
          <w:bCs/>
          <w:szCs w:val="24"/>
          <w:lang w:val="en-US"/>
        </w:rPr>
        <w:t xml:space="preserve">Date: </w:t>
      </w:r>
      <w:r>
        <w:rPr>
          <w:rFonts w:ascii="Times New Roman" w:hAnsi="Times New Roman" w:cs="Times New Roman"/>
          <w:bCs/>
          <w:szCs w:val="24"/>
          <w:lang w:val="en-US"/>
        </w:rPr>
        <w:t>December 3, 2012</w:t>
      </w:r>
    </w:p>
    <w:p w:rsidR="004C787E" w:rsidRPr="00AD123B" w:rsidRDefault="00ED02C5"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imes New Roman" w:hAnsi="Times New Roman" w:cs="Times New Roman"/>
          <w:b/>
          <w:bCs/>
          <w:szCs w:val="24"/>
          <w:lang w:val="en-US"/>
        </w:rPr>
      </w:pPr>
      <w:r>
        <w:rPr>
          <w:rFonts w:ascii="Times New Roman" w:hAnsi="Times New Roman" w:cs="Times New Roman"/>
          <w:b/>
          <w:bCs/>
          <w:szCs w:val="24"/>
          <w:lang w:val="en-US"/>
        </w:rPr>
        <w:t xml:space="preserve">Venue: </w:t>
      </w:r>
      <w:r>
        <w:rPr>
          <w:rFonts w:ascii="Times New Roman" w:hAnsi="Times New Roman" w:cs="Times New Roman"/>
          <w:bCs/>
          <w:szCs w:val="24"/>
          <w:lang w:val="en-US"/>
        </w:rPr>
        <w:t>World Bank Paris Office (French government stakeholder meeting)</w:t>
      </w:r>
    </w:p>
    <w:p w:rsidR="004C787E" w:rsidRPr="00AD123B" w:rsidRDefault="00ED02C5"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Cs w:val="24"/>
          <w:lang w:val="en-US"/>
        </w:rPr>
      </w:pPr>
      <w:r>
        <w:rPr>
          <w:rFonts w:ascii="Times New Roman" w:hAnsi="Times New Roman" w:cs="Times New Roman"/>
          <w:b/>
          <w:bCs/>
          <w:szCs w:val="24"/>
          <w:lang w:val="en-US"/>
        </w:rPr>
        <w:t>Total Number of Participants</w:t>
      </w:r>
      <w:r>
        <w:rPr>
          <w:rFonts w:ascii="Times New Roman" w:hAnsi="Times New Roman" w:cs="Times New Roman"/>
          <w:b/>
          <w:szCs w:val="24"/>
          <w:lang w:val="en-US"/>
        </w:rPr>
        <w:t>: 8</w:t>
      </w:r>
    </w:p>
    <w:p w:rsidR="004C787E" w:rsidRPr="00AD123B" w:rsidRDefault="004C787E"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Cs w:val="24"/>
          <w:lang w:val="en-US"/>
        </w:rPr>
      </w:pPr>
    </w:p>
    <w:tbl>
      <w:tblPr>
        <w:tblStyle w:val="TableGrid"/>
        <w:tblW w:w="9411" w:type="dxa"/>
        <w:tblInd w:w="108" w:type="dxa"/>
        <w:tblLook w:val="04A0" w:firstRow="1" w:lastRow="0" w:firstColumn="1" w:lastColumn="0" w:noHBand="0" w:noVBand="1"/>
      </w:tblPr>
      <w:tblGrid>
        <w:gridCol w:w="622"/>
        <w:gridCol w:w="2528"/>
        <w:gridCol w:w="3561"/>
        <w:gridCol w:w="2700"/>
      </w:tblGrid>
      <w:tr w:rsidR="0027061F" w:rsidRPr="00AD123B" w:rsidTr="00AE13C4">
        <w:trPr>
          <w:tblHeader/>
        </w:trPr>
        <w:tc>
          <w:tcPr>
            <w:tcW w:w="622" w:type="dxa"/>
            <w:shd w:val="clear" w:color="auto" w:fill="DBE5F1" w:themeFill="accent1" w:themeFillTint="33"/>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lang w:val="en-US"/>
              </w:rPr>
            </w:pPr>
            <w:r w:rsidRPr="00580D60">
              <w:rPr>
                <w:rFonts w:ascii="Times New Roman" w:hAnsi="Times New Roman" w:cs="Times New Roman"/>
                <w:b/>
                <w:sz w:val="22"/>
                <w:szCs w:val="22"/>
                <w:lang w:val="en-US"/>
              </w:rPr>
              <w:t>No.</w:t>
            </w:r>
          </w:p>
        </w:tc>
        <w:tc>
          <w:tcPr>
            <w:tcW w:w="2528" w:type="dxa"/>
            <w:shd w:val="clear" w:color="auto" w:fill="DBE5F1" w:themeFill="accent1" w:themeFillTint="33"/>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lang w:val="en-US"/>
              </w:rPr>
            </w:pPr>
            <w:r w:rsidRPr="00580D60">
              <w:rPr>
                <w:rFonts w:ascii="Times New Roman" w:hAnsi="Times New Roman" w:cs="Times New Roman"/>
                <w:b/>
                <w:sz w:val="22"/>
                <w:szCs w:val="22"/>
                <w:lang w:val="en-US"/>
              </w:rPr>
              <w:t>Participant Name</w:t>
            </w:r>
          </w:p>
        </w:tc>
        <w:tc>
          <w:tcPr>
            <w:tcW w:w="3561" w:type="dxa"/>
            <w:shd w:val="clear" w:color="auto" w:fill="DBE5F1" w:themeFill="accent1" w:themeFillTint="33"/>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lang w:val="en-US"/>
              </w:rPr>
            </w:pPr>
            <w:r w:rsidRPr="00580D60">
              <w:rPr>
                <w:rFonts w:ascii="Times New Roman" w:hAnsi="Times New Roman" w:cs="Times New Roman"/>
                <w:b/>
                <w:sz w:val="22"/>
                <w:szCs w:val="22"/>
                <w:lang w:val="en-US"/>
              </w:rPr>
              <w:t xml:space="preserve">Department/Division </w:t>
            </w:r>
          </w:p>
        </w:tc>
        <w:tc>
          <w:tcPr>
            <w:tcW w:w="2700" w:type="dxa"/>
            <w:shd w:val="clear" w:color="auto" w:fill="DBE5F1" w:themeFill="accent1" w:themeFillTint="33"/>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b/>
                <w:sz w:val="22"/>
                <w:szCs w:val="22"/>
                <w:lang w:val="en-US"/>
              </w:rPr>
            </w:pPr>
            <w:r w:rsidRPr="00580D60">
              <w:rPr>
                <w:rFonts w:ascii="Times New Roman" w:hAnsi="Times New Roman" w:cs="Times New Roman"/>
                <w:b/>
                <w:sz w:val="22"/>
                <w:szCs w:val="22"/>
                <w:lang w:val="en-US"/>
              </w:rPr>
              <w:t>Ministry/Agency Represented</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1</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Frédéric Glanois, Head of Office</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 xml:space="preserve">ODA and Multilateral Development Institutions, Treasury Directorate-General </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Economy and Finance</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2</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Aurélien Billot, Deputy Head of Office</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 xml:space="preserve">ODA and Multilateral Development Institutions, Treasury Directorate-General </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Economy and Finance</w:t>
            </w:r>
          </w:p>
        </w:tc>
      </w:tr>
      <w:tr w:rsidR="0027061F" w:rsidRPr="00AB2430"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3</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Catherine Garetta, Director</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Cross-Operational Issues and Support</w:t>
            </w:r>
          </w:p>
        </w:tc>
        <w:tc>
          <w:tcPr>
            <w:tcW w:w="2700" w:type="dxa"/>
          </w:tcPr>
          <w:p w:rsidR="0027061F" w:rsidRPr="0092355D"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fr-CH"/>
              </w:rPr>
            </w:pPr>
            <w:r w:rsidRPr="00580D60">
              <w:rPr>
                <w:rFonts w:ascii="Times New Roman" w:hAnsi="Times New Roman" w:cs="Times New Roman"/>
                <w:sz w:val="22"/>
                <w:szCs w:val="22"/>
                <w:lang w:val="fr-CH"/>
              </w:rPr>
              <w:t>Agence Française de Développement (AFD)</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4</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Jean-Noël Roulleau, Manager</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Operational Support for Social and Environmental Issues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AFD</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5</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Myriam Hammami, Officer for Bilateral and Multilateral Banks</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External Relations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AFD</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6</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Raphaël Martinez, Head of Office for Multilateral Development Institutions</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International Economic Affairs, Directorate-General for Global Affairs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Foreign and European Affairs</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7</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Alison Laclau, Officer for World Bank and IMF</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International Economic Affairs, Directorate-General for Global Affairs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Foreign and European Affairs</w:t>
            </w:r>
          </w:p>
        </w:tc>
      </w:tr>
      <w:tr w:rsidR="0027061F" w:rsidRPr="00AD123B" w:rsidTr="00AE13C4">
        <w:tc>
          <w:tcPr>
            <w:tcW w:w="622"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8</w:t>
            </w:r>
          </w:p>
        </w:tc>
        <w:tc>
          <w:tcPr>
            <w:tcW w:w="2528"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Diane Beaulieu-Milisavljevic, Officer for Multilateral Development Banks</w:t>
            </w:r>
          </w:p>
        </w:tc>
        <w:tc>
          <w:tcPr>
            <w:tcW w:w="3561"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International Affairs</w:t>
            </w:r>
          </w:p>
        </w:tc>
        <w:tc>
          <w:tcPr>
            <w:tcW w:w="2700" w:type="dxa"/>
          </w:tcPr>
          <w:p w:rsidR="0027061F" w:rsidRPr="00AD123B" w:rsidRDefault="00580D60" w:rsidP="0051174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imes New Roman" w:hAnsi="Times New Roman" w:cs="Times New Roman"/>
                <w:sz w:val="22"/>
                <w:szCs w:val="22"/>
                <w:lang w:val="en-US"/>
              </w:rPr>
            </w:pPr>
            <w:r w:rsidRPr="00580D60">
              <w:rPr>
                <w:rFonts w:ascii="Times New Roman" w:hAnsi="Times New Roman" w:cs="Times New Roman"/>
                <w:sz w:val="22"/>
                <w:szCs w:val="22"/>
                <w:lang w:val="en-US"/>
              </w:rPr>
              <w:t>Ministry of Ecology, Sustainable Development, and Energy</w:t>
            </w:r>
          </w:p>
        </w:tc>
      </w:tr>
    </w:tbl>
    <w:p w:rsidR="00C83796" w:rsidRPr="00AD123B" w:rsidRDefault="00C83796" w:rsidP="00511743">
      <w:pPr>
        <w:spacing w:line="240" w:lineRule="auto"/>
        <w:rPr>
          <w:rFonts w:ascii="Times New Roman" w:hAnsi="Times New Roman"/>
          <w:sz w:val="24"/>
          <w:szCs w:val="24"/>
        </w:rPr>
      </w:pPr>
    </w:p>
    <w:sectPr w:rsidR="00C83796" w:rsidRPr="00AD123B" w:rsidSect="00E74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37"/>
    <w:rsid w:val="0000610E"/>
    <w:rsid w:val="00006338"/>
    <w:rsid w:val="0001197D"/>
    <w:rsid w:val="00011B11"/>
    <w:rsid w:val="00012C12"/>
    <w:rsid w:val="00013235"/>
    <w:rsid w:val="00014CF3"/>
    <w:rsid w:val="00021E12"/>
    <w:rsid w:val="00024177"/>
    <w:rsid w:val="00024D10"/>
    <w:rsid w:val="00024F58"/>
    <w:rsid w:val="0002501A"/>
    <w:rsid w:val="000256A2"/>
    <w:rsid w:val="0003035D"/>
    <w:rsid w:val="0003080E"/>
    <w:rsid w:val="00032F3F"/>
    <w:rsid w:val="000331A0"/>
    <w:rsid w:val="000358E1"/>
    <w:rsid w:val="00035C69"/>
    <w:rsid w:val="0003691B"/>
    <w:rsid w:val="00037D2A"/>
    <w:rsid w:val="000402D5"/>
    <w:rsid w:val="00041D60"/>
    <w:rsid w:val="000431CD"/>
    <w:rsid w:val="00044779"/>
    <w:rsid w:val="000449A9"/>
    <w:rsid w:val="0004646C"/>
    <w:rsid w:val="0005441A"/>
    <w:rsid w:val="000548B0"/>
    <w:rsid w:val="000552B2"/>
    <w:rsid w:val="00060E78"/>
    <w:rsid w:val="0006368C"/>
    <w:rsid w:val="00063962"/>
    <w:rsid w:val="00070120"/>
    <w:rsid w:val="00072285"/>
    <w:rsid w:val="00073410"/>
    <w:rsid w:val="00074B18"/>
    <w:rsid w:val="00075206"/>
    <w:rsid w:val="00076EBA"/>
    <w:rsid w:val="000804BC"/>
    <w:rsid w:val="0008247F"/>
    <w:rsid w:val="000846D8"/>
    <w:rsid w:val="00084786"/>
    <w:rsid w:val="00084F23"/>
    <w:rsid w:val="00087EFD"/>
    <w:rsid w:val="00090ABD"/>
    <w:rsid w:val="000911A4"/>
    <w:rsid w:val="000949E3"/>
    <w:rsid w:val="0009653F"/>
    <w:rsid w:val="000A0706"/>
    <w:rsid w:val="000A1025"/>
    <w:rsid w:val="000A1D09"/>
    <w:rsid w:val="000A2E47"/>
    <w:rsid w:val="000A41B4"/>
    <w:rsid w:val="000A4BB5"/>
    <w:rsid w:val="000A5001"/>
    <w:rsid w:val="000A5E20"/>
    <w:rsid w:val="000A7D13"/>
    <w:rsid w:val="000B2B11"/>
    <w:rsid w:val="000B4925"/>
    <w:rsid w:val="000B5BF6"/>
    <w:rsid w:val="000B5ECF"/>
    <w:rsid w:val="000B609A"/>
    <w:rsid w:val="000B7B95"/>
    <w:rsid w:val="000C0A02"/>
    <w:rsid w:val="000C0A60"/>
    <w:rsid w:val="000C1725"/>
    <w:rsid w:val="000C31E2"/>
    <w:rsid w:val="000C68A0"/>
    <w:rsid w:val="000C7246"/>
    <w:rsid w:val="000D0B4A"/>
    <w:rsid w:val="000D25D0"/>
    <w:rsid w:val="000D349D"/>
    <w:rsid w:val="000D402D"/>
    <w:rsid w:val="000E1C12"/>
    <w:rsid w:val="000E2225"/>
    <w:rsid w:val="000E2A39"/>
    <w:rsid w:val="000E41CA"/>
    <w:rsid w:val="000E5FE9"/>
    <w:rsid w:val="000E70B8"/>
    <w:rsid w:val="000F0C1F"/>
    <w:rsid w:val="000F171D"/>
    <w:rsid w:val="000F3828"/>
    <w:rsid w:val="000F6121"/>
    <w:rsid w:val="0010310B"/>
    <w:rsid w:val="00103FF9"/>
    <w:rsid w:val="001056CB"/>
    <w:rsid w:val="001058A7"/>
    <w:rsid w:val="00105AF0"/>
    <w:rsid w:val="0010749B"/>
    <w:rsid w:val="00107676"/>
    <w:rsid w:val="00107975"/>
    <w:rsid w:val="0011261D"/>
    <w:rsid w:val="00114364"/>
    <w:rsid w:val="00115DD9"/>
    <w:rsid w:val="001171EE"/>
    <w:rsid w:val="00117363"/>
    <w:rsid w:val="00117C44"/>
    <w:rsid w:val="00120AEF"/>
    <w:rsid w:val="0012194D"/>
    <w:rsid w:val="001246A2"/>
    <w:rsid w:val="001249D7"/>
    <w:rsid w:val="0012649F"/>
    <w:rsid w:val="001301A2"/>
    <w:rsid w:val="00130DFC"/>
    <w:rsid w:val="001311D6"/>
    <w:rsid w:val="001316E8"/>
    <w:rsid w:val="00131B76"/>
    <w:rsid w:val="00131F1F"/>
    <w:rsid w:val="001325D4"/>
    <w:rsid w:val="00134488"/>
    <w:rsid w:val="00136B41"/>
    <w:rsid w:val="001425F1"/>
    <w:rsid w:val="001446A4"/>
    <w:rsid w:val="001473D8"/>
    <w:rsid w:val="00150FF5"/>
    <w:rsid w:val="00151385"/>
    <w:rsid w:val="00152A4F"/>
    <w:rsid w:val="00152A50"/>
    <w:rsid w:val="00154946"/>
    <w:rsid w:val="00157C22"/>
    <w:rsid w:val="00160866"/>
    <w:rsid w:val="0016095E"/>
    <w:rsid w:val="00164796"/>
    <w:rsid w:val="00164D86"/>
    <w:rsid w:val="001659F5"/>
    <w:rsid w:val="00167922"/>
    <w:rsid w:val="001732E5"/>
    <w:rsid w:val="00173DB1"/>
    <w:rsid w:val="0017514C"/>
    <w:rsid w:val="00176E03"/>
    <w:rsid w:val="00181C7B"/>
    <w:rsid w:val="00185F1D"/>
    <w:rsid w:val="00191FEC"/>
    <w:rsid w:val="00193F74"/>
    <w:rsid w:val="00194B41"/>
    <w:rsid w:val="001979C1"/>
    <w:rsid w:val="001A63A6"/>
    <w:rsid w:val="001A6A70"/>
    <w:rsid w:val="001A6D22"/>
    <w:rsid w:val="001B047F"/>
    <w:rsid w:val="001B0AF8"/>
    <w:rsid w:val="001B1372"/>
    <w:rsid w:val="001B3768"/>
    <w:rsid w:val="001B4F10"/>
    <w:rsid w:val="001C0CA6"/>
    <w:rsid w:val="001C214B"/>
    <w:rsid w:val="001C3DEF"/>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7DC5"/>
    <w:rsid w:val="00201370"/>
    <w:rsid w:val="00202E95"/>
    <w:rsid w:val="00203BC2"/>
    <w:rsid w:val="0020635B"/>
    <w:rsid w:val="0021152F"/>
    <w:rsid w:val="00211E57"/>
    <w:rsid w:val="002176E5"/>
    <w:rsid w:val="002206B2"/>
    <w:rsid w:val="00220A3F"/>
    <w:rsid w:val="00221A7F"/>
    <w:rsid w:val="00222471"/>
    <w:rsid w:val="00222553"/>
    <w:rsid w:val="00222FDB"/>
    <w:rsid w:val="002231C3"/>
    <w:rsid w:val="00223502"/>
    <w:rsid w:val="0022367F"/>
    <w:rsid w:val="0022399A"/>
    <w:rsid w:val="00224D40"/>
    <w:rsid w:val="002264B7"/>
    <w:rsid w:val="00226A2F"/>
    <w:rsid w:val="00234DC8"/>
    <w:rsid w:val="00235E30"/>
    <w:rsid w:val="00236B1E"/>
    <w:rsid w:val="00236BBB"/>
    <w:rsid w:val="0024071F"/>
    <w:rsid w:val="00241392"/>
    <w:rsid w:val="00242481"/>
    <w:rsid w:val="00243325"/>
    <w:rsid w:val="00247024"/>
    <w:rsid w:val="00247D4B"/>
    <w:rsid w:val="002504DB"/>
    <w:rsid w:val="00251053"/>
    <w:rsid w:val="002530C3"/>
    <w:rsid w:val="0025726F"/>
    <w:rsid w:val="00257CBD"/>
    <w:rsid w:val="00260B02"/>
    <w:rsid w:val="00260CAF"/>
    <w:rsid w:val="00262E45"/>
    <w:rsid w:val="00263C9B"/>
    <w:rsid w:val="00266E73"/>
    <w:rsid w:val="00267E4F"/>
    <w:rsid w:val="0027061F"/>
    <w:rsid w:val="00271E83"/>
    <w:rsid w:val="002741B0"/>
    <w:rsid w:val="00275EEC"/>
    <w:rsid w:val="002769A5"/>
    <w:rsid w:val="00276E87"/>
    <w:rsid w:val="00277242"/>
    <w:rsid w:val="00277B2B"/>
    <w:rsid w:val="0028364D"/>
    <w:rsid w:val="002847BC"/>
    <w:rsid w:val="0028482B"/>
    <w:rsid w:val="00290851"/>
    <w:rsid w:val="002916F7"/>
    <w:rsid w:val="0029293A"/>
    <w:rsid w:val="002A084F"/>
    <w:rsid w:val="002A3523"/>
    <w:rsid w:val="002A6937"/>
    <w:rsid w:val="002A6E57"/>
    <w:rsid w:val="002A720E"/>
    <w:rsid w:val="002B1198"/>
    <w:rsid w:val="002B41F2"/>
    <w:rsid w:val="002B5756"/>
    <w:rsid w:val="002B5E51"/>
    <w:rsid w:val="002B6717"/>
    <w:rsid w:val="002C14F2"/>
    <w:rsid w:val="002C433F"/>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F06E6"/>
    <w:rsid w:val="002F2BD2"/>
    <w:rsid w:val="002F4B81"/>
    <w:rsid w:val="002F5D37"/>
    <w:rsid w:val="003010D3"/>
    <w:rsid w:val="00302CE0"/>
    <w:rsid w:val="00304730"/>
    <w:rsid w:val="003058CC"/>
    <w:rsid w:val="0030616D"/>
    <w:rsid w:val="00306764"/>
    <w:rsid w:val="00306B64"/>
    <w:rsid w:val="0030793A"/>
    <w:rsid w:val="00310853"/>
    <w:rsid w:val="00311744"/>
    <w:rsid w:val="00313250"/>
    <w:rsid w:val="00313498"/>
    <w:rsid w:val="003151CC"/>
    <w:rsid w:val="0031640C"/>
    <w:rsid w:val="0032009A"/>
    <w:rsid w:val="003203AD"/>
    <w:rsid w:val="00320974"/>
    <w:rsid w:val="00322EDB"/>
    <w:rsid w:val="00324876"/>
    <w:rsid w:val="00331652"/>
    <w:rsid w:val="00331D54"/>
    <w:rsid w:val="00333511"/>
    <w:rsid w:val="00336DE4"/>
    <w:rsid w:val="00340C18"/>
    <w:rsid w:val="00341953"/>
    <w:rsid w:val="00342CE1"/>
    <w:rsid w:val="003432D3"/>
    <w:rsid w:val="0034600E"/>
    <w:rsid w:val="00347D65"/>
    <w:rsid w:val="003526E0"/>
    <w:rsid w:val="003533A9"/>
    <w:rsid w:val="00354450"/>
    <w:rsid w:val="003544F6"/>
    <w:rsid w:val="00356042"/>
    <w:rsid w:val="00356425"/>
    <w:rsid w:val="0035760B"/>
    <w:rsid w:val="00360390"/>
    <w:rsid w:val="0036551B"/>
    <w:rsid w:val="00366FC0"/>
    <w:rsid w:val="0037059C"/>
    <w:rsid w:val="00371949"/>
    <w:rsid w:val="00372ECE"/>
    <w:rsid w:val="00374DF9"/>
    <w:rsid w:val="00375426"/>
    <w:rsid w:val="0037648C"/>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6AC9"/>
    <w:rsid w:val="003B6F24"/>
    <w:rsid w:val="003B7836"/>
    <w:rsid w:val="003B7ABF"/>
    <w:rsid w:val="003C0DEA"/>
    <w:rsid w:val="003C0E98"/>
    <w:rsid w:val="003C3039"/>
    <w:rsid w:val="003C506E"/>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A45"/>
    <w:rsid w:val="003E4FB1"/>
    <w:rsid w:val="003E53C9"/>
    <w:rsid w:val="003E5C5D"/>
    <w:rsid w:val="003E6383"/>
    <w:rsid w:val="003E6B94"/>
    <w:rsid w:val="003F1277"/>
    <w:rsid w:val="003F1E56"/>
    <w:rsid w:val="003F51A0"/>
    <w:rsid w:val="003F5300"/>
    <w:rsid w:val="003F534D"/>
    <w:rsid w:val="003F7514"/>
    <w:rsid w:val="003F77BE"/>
    <w:rsid w:val="0040036D"/>
    <w:rsid w:val="00400EBD"/>
    <w:rsid w:val="0040324C"/>
    <w:rsid w:val="00404271"/>
    <w:rsid w:val="004055EE"/>
    <w:rsid w:val="00405E63"/>
    <w:rsid w:val="00406D76"/>
    <w:rsid w:val="004117EB"/>
    <w:rsid w:val="00420CB8"/>
    <w:rsid w:val="00421E83"/>
    <w:rsid w:val="00423539"/>
    <w:rsid w:val="00423A4F"/>
    <w:rsid w:val="004241B5"/>
    <w:rsid w:val="0042532D"/>
    <w:rsid w:val="0042551F"/>
    <w:rsid w:val="00425CDE"/>
    <w:rsid w:val="00426F0A"/>
    <w:rsid w:val="00427200"/>
    <w:rsid w:val="00427654"/>
    <w:rsid w:val="004313FD"/>
    <w:rsid w:val="004330FC"/>
    <w:rsid w:val="00444083"/>
    <w:rsid w:val="0044445D"/>
    <w:rsid w:val="00444545"/>
    <w:rsid w:val="00444A9C"/>
    <w:rsid w:val="00444C5E"/>
    <w:rsid w:val="0044682C"/>
    <w:rsid w:val="00452283"/>
    <w:rsid w:val="004527CF"/>
    <w:rsid w:val="004535FF"/>
    <w:rsid w:val="00454948"/>
    <w:rsid w:val="0045629C"/>
    <w:rsid w:val="00461322"/>
    <w:rsid w:val="0046332B"/>
    <w:rsid w:val="00463429"/>
    <w:rsid w:val="00465B74"/>
    <w:rsid w:val="0046743E"/>
    <w:rsid w:val="00467BE2"/>
    <w:rsid w:val="00471F6F"/>
    <w:rsid w:val="00474448"/>
    <w:rsid w:val="004747CC"/>
    <w:rsid w:val="00476F7C"/>
    <w:rsid w:val="00480749"/>
    <w:rsid w:val="00480B90"/>
    <w:rsid w:val="0048208C"/>
    <w:rsid w:val="004827DA"/>
    <w:rsid w:val="004842F6"/>
    <w:rsid w:val="00484C3A"/>
    <w:rsid w:val="004915C9"/>
    <w:rsid w:val="0049197D"/>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3FD1"/>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C787E"/>
    <w:rsid w:val="004D3E24"/>
    <w:rsid w:val="004D3F53"/>
    <w:rsid w:val="004D43A3"/>
    <w:rsid w:val="004D4CF0"/>
    <w:rsid w:val="004E0DE6"/>
    <w:rsid w:val="004E2902"/>
    <w:rsid w:val="004E4F9E"/>
    <w:rsid w:val="004E740B"/>
    <w:rsid w:val="004F285D"/>
    <w:rsid w:val="004F344D"/>
    <w:rsid w:val="004F3883"/>
    <w:rsid w:val="004F42C2"/>
    <w:rsid w:val="004F6C98"/>
    <w:rsid w:val="0050097E"/>
    <w:rsid w:val="00503048"/>
    <w:rsid w:val="00504D63"/>
    <w:rsid w:val="005056F0"/>
    <w:rsid w:val="005078BE"/>
    <w:rsid w:val="00511743"/>
    <w:rsid w:val="00512372"/>
    <w:rsid w:val="0051263E"/>
    <w:rsid w:val="00513230"/>
    <w:rsid w:val="00513BF7"/>
    <w:rsid w:val="005170EF"/>
    <w:rsid w:val="00526722"/>
    <w:rsid w:val="00527B8E"/>
    <w:rsid w:val="005302B7"/>
    <w:rsid w:val="00530496"/>
    <w:rsid w:val="00530C5F"/>
    <w:rsid w:val="00535201"/>
    <w:rsid w:val="00542C8E"/>
    <w:rsid w:val="005452F5"/>
    <w:rsid w:val="0054605B"/>
    <w:rsid w:val="00546FB4"/>
    <w:rsid w:val="0054705D"/>
    <w:rsid w:val="005506FD"/>
    <w:rsid w:val="0055301B"/>
    <w:rsid w:val="00553989"/>
    <w:rsid w:val="0055506D"/>
    <w:rsid w:val="00555582"/>
    <w:rsid w:val="00555B05"/>
    <w:rsid w:val="00557307"/>
    <w:rsid w:val="00560118"/>
    <w:rsid w:val="0056052F"/>
    <w:rsid w:val="00560A2C"/>
    <w:rsid w:val="005627C4"/>
    <w:rsid w:val="0056415B"/>
    <w:rsid w:val="00565247"/>
    <w:rsid w:val="00565477"/>
    <w:rsid w:val="00565FCF"/>
    <w:rsid w:val="00567B85"/>
    <w:rsid w:val="005709A1"/>
    <w:rsid w:val="005730D4"/>
    <w:rsid w:val="005737B3"/>
    <w:rsid w:val="00580D60"/>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626E"/>
    <w:rsid w:val="005962A6"/>
    <w:rsid w:val="00596F4B"/>
    <w:rsid w:val="00597496"/>
    <w:rsid w:val="00597C67"/>
    <w:rsid w:val="005A33F8"/>
    <w:rsid w:val="005A3464"/>
    <w:rsid w:val="005A3F16"/>
    <w:rsid w:val="005A4ACF"/>
    <w:rsid w:val="005A4D0E"/>
    <w:rsid w:val="005A5AA5"/>
    <w:rsid w:val="005A654B"/>
    <w:rsid w:val="005B07B1"/>
    <w:rsid w:val="005B37A4"/>
    <w:rsid w:val="005B3BE5"/>
    <w:rsid w:val="005B4C2D"/>
    <w:rsid w:val="005B5271"/>
    <w:rsid w:val="005B5853"/>
    <w:rsid w:val="005B5AA5"/>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32A4"/>
    <w:rsid w:val="005F34E8"/>
    <w:rsid w:val="005F3B14"/>
    <w:rsid w:val="005F4FF1"/>
    <w:rsid w:val="005F66F6"/>
    <w:rsid w:val="00600577"/>
    <w:rsid w:val="0060374B"/>
    <w:rsid w:val="006043D9"/>
    <w:rsid w:val="00604D46"/>
    <w:rsid w:val="00606561"/>
    <w:rsid w:val="006065C2"/>
    <w:rsid w:val="00611CF0"/>
    <w:rsid w:val="00616E72"/>
    <w:rsid w:val="0061745B"/>
    <w:rsid w:val="0061791E"/>
    <w:rsid w:val="00621FB6"/>
    <w:rsid w:val="006222AE"/>
    <w:rsid w:val="00623F5B"/>
    <w:rsid w:val="00624CB6"/>
    <w:rsid w:val="00626712"/>
    <w:rsid w:val="006302F8"/>
    <w:rsid w:val="00634596"/>
    <w:rsid w:val="0064451F"/>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E3D"/>
    <w:rsid w:val="006703B1"/>
    <w:rsid w:val="006715BD"/>
    <w:rsid w:val="00672F95"/>
    <w:rsid w:val="0067478E"/>
    <w:rsid w:val="006759CE"/>
    <w:rsid w:val="00676E88"/>
    <w:rsid w:val="00677536"/>
    <w:rsid w:val="0068029D"/>
    <w:rsid w:val="00680A3F"/>
    <w:rsid w:val="00684853"/>
    <w:rsid w:val="00687D11"/>
    <w:rsid w:val="00691723"/>
    <w:rsid w:val="0069336D"/>
    <w:rsid w:val="0069454A"/>
    <w:rsid w:val="0069560C"/>
    <w:rsid w:val="00695CAD"/>
    <w:rsid w:val="00695D8B"/>
    <w:rsid w:val="006960FE"/>
    <w:rsid w:val="00696869"/>
    <w:rsid w:val="0069702E"/>
    <w:rsid w:val="00697828"/>
    <w:rsid w:val="006A1B3B"/>
    <w:rsid w:val="006A2534"/>
    <w:rsid w:val="006A5B08"/>
    <w:rsid w:val="006A6927"/>
    <w:rsid w:val="006A6EB7"/>
    <w:rsid w:val="006B2E6C"/>
    <w:rsid w:val="006B42AE"/>
    <w:rsid w:val="006B59E4"/>
    <w:rsid w:val="006C08D2"/>
    <w:rsid w:val="006C0FE9"/>
    <w:rsid w:val="006C103B"/>
    <w:rsid w:val="006C3366"/>
    <w:rsid w:val="006C5D05"/>
    <w:rsid w:val="006D1D4B"/>
    <w:rsid w:val="006D283D"/>
    <w:rsid w:val="006D2ADC"/>
    <w:rsid w:val="006D352F"/>
    <w:rsid w:val="006D4863"/>
    <w:rsid w:val="006D76E9"/>
    <w:rsid w:val="006E1D7C"/>
    <w:rsid w:val="006E1FFE"/>
    <w:rsid w:val="006E3053"/>
    <w:rsid w:val="006E372D"/>
    <w:rsid w:val="006E392D"/>
    <w:rsid w:val="006E6151"/>
    <w:rsid w:val="006E7A9B"/>
    <w:rsid w:val="006F3692"/>
    <w:rsid w:val="006F69CB"/>
    <w:rsid w:val="006F783B"/>
    <w:rsid w:val="007013BF"/>
    <w:rsid w:val="00703D47"/>
    <w:rsid w:val="0070428B"/>
    <w:rsid w:val="00706892"/>
    <w:rsid w:val="0071179F"/>
    <w:rsid w:val="00713445"/>
    <w:rsid w:val="0071361F"/>
    <w:rsid w:val="00716842"/>
    <w:rsid w:val="00716EA3"/>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36B6"/>
    <w:rsid w:val="00756992"/>
    <w:rsid w:val="00756A93"/>
    <w:rsid w:val="007574A5"/>
    <w:rsid w:val="00757C02"/>
    <w:rsid w:val="00762552"/>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74E0"/>
    <w:rsid w:val="007B0CEA"/>
    <w:rsid w:val="007B19EE"/>
    <w:rsid w:val="007B1C26"/>
    <w:rsid w:val="007B2DFA"/>
    <w:rsid w:val="007B555E"/>
    <w:rsid w:val="007B5710"/>
    <w:rsid w:val="007C0FDE"/>
    <w:rsid w:val="007C2013"/>
    <w:rsid w:val="007C2748"/>
    <w:rsid w:val="007C31CC"/>
    <w:rsid w:val="007C507D"/>
    <w:rsid w:val="007C680B"/>
    <w:rsid w:val="007D2EEC"/>
    <w:rsid w:val="007D3BA1"/>
    <w:rsid w:val="007D3D7B"/>
    <w:rsid w:val="007D5822"/>
    <w:rsid w:val="007D6966"/>
    <w:rsid w:val="007E190B"/>
    <w:rsid w:val="007E31A6"/>
    <w:rsid w:val="007E41A0"/>
    <w:rsid w:val="007E50EC"/>
    <w:rsid w:val="007E6244"/>
    <w:rsid w:val="007E7603"/>
    <w:rsid w:val="007E7BA4"/>
    <w:rsid w:val="007F0684"/>
    <w:rsid w:val="007F2303"/>
    <w:rsid w:val="007F25F3"/>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36"/>
    <w:rsid w:val="0084333F"/>
    <w:rsid w:val="00844D61"/>
    <w:rsid w:val="00844E67"/>
    <w:rsid w:val="00847170"/>
    <w:rsid w:val="0085096C"/>
    <w:rsid w:val="0085249D"/>
    <w:rsid w:val="008528A5"/>
    <w:rsid w:val="00865232"/>
    <w:rsid w:val="00865C75"/>
    <w:rsid w:val="00866C0B"/>
    <w:rsid w:val="00866D90"/>
    <w:rsid w:val="00870606"/>
    <w:rsid w:val="00873A93"/>
    <w:rsid w:val="00876E51"/>
    <w:rsid w:val="00884F89"/>
    <w:rsid w:val="00885CF3"/>
    <w:rsid w:val="008910A9"/>
    <w:rsid w:val="00891BF3"/>
    <w:rsid w:val="00896564"/>
    <w:rsid w:val="008A0A78"/>
    <w:rsid w:val="008A15C6"/>
    <w:rsid w:val="008A308C"/>
    <w:rsid w:val="008A35A6"/>
    <w:rsid w:val="008A3B5C"/>
    <w:rsid w:val="008A3F0A"/>
    <w:rsid w:val="008A446E"/>
    <w:rsid w:val="008B529F"/>
    <w:rsid w:val="008B619D"/>
    <w:rsid w:val="008B6FA4"/>
    <w:rsid w:val="008C038A"/>
    <w:rsid w:val="008C0E97"/>
    <w:rsid w:val="008C1073"/>
    <w:rsid w:val="008D02E7"/>
    <w:rsid w:val="008D048E"/>
    <w:rsid w:val="008D068D"/>
    <w:rsid w:val="008D0E11"/>
    <w:rsid w:val="008D1824"/>
    <w:rsid w:val="008D2F6F"/>
    <w:rsid w:val="008D30C5"/>
    <w:rsid w:val="008D46B2"/>
    <w:rsid w:val="008D5010"/>
    <w:rsid w:val="008D558F"/>
    <w:rsid w:val="008D6D95"/>
    <w:rsid w:val="008E0D7F"/>
    <w:rsid w:val="008E27D3"/>
    <w:rsid w:val="008E76B3"/>
    <w:rsid w:val="008F05B7"/>
    <w:rsid w:val="008F084A"/>
    <w:rsid w:val="008F088A"/>
    <w:rsid w:val="008F1A41"/>
    <w:rsid w:val="008F2F9D"/>
    <w:rsid w:val="008F37D5"/>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2763"/>
    <w:rsid w:val="00923537"/>
    <w:rsid w:val="0092355D"/>
    <w:rsid w:val="00923CF8"/>
    <w:rsid w:val="00925A99"/>
    <w:rsid w:val="00925FB8"/>
    <w:rsid w:val="00927BF7"/>
    <w:rsid w:val="00927DA4"/>
    <w:rsid w:val="00933126"/>
    <w:rsid w:val="009332E9"/>
    <w:rsid w:val="00937127"/>
    <w:rsid w:val="00941BAF"/>
    <w:rsid w:val="00942BF3"/>
    <w:rsid w:val="00943C12"/>
    <w:rsid w:val="00947657"/>
    <w:rsid w:val="009528FD"/>
    <w:rsid w:val="00954741"/>
    <w:rsid w:val="00954766"/>
    <w:rsid w:val="00957281"/>
    <w:rsid w:val="00957F0A"/>
    <w:rsid w:val="009648B0"/>
    <w:rsid w:val="00964D69"/>
    <w:rsid w:val="009653A4"/>
    <w:rsid w:val="00970E77"/>
    <w:rsid w:val="0097215E"/>
    <w:rsid w:val="009726CA"/>
    <w:rsid w:val="00973B8D"/>
    <w:rsid w:val="009748F9"/>
    <w:rsid w:val="00976CF9"/>
    <w:rsid w:val="00976E43"/>
    <w:rsid w:val="009776B0"/>
    <w:rsid w:val="0098157A"/>
    <w:rsid w:val="00982EB6"/>
    <w:rsid w:val="00984E9C"/>
    <w:rsid w:val="00986495"/>
    <w:rsid w:val="00987052"/>
    <w:rsid w:val="009908F0"/>
    <w:rsid w:val="00991D61"/>
    <w:rsid w:val="00991F4F"/>
    <w:rsid w:val="00995765"/>
    <w:rsid w:val="0099712C"/>
    <w:rsid w:val="0099741A"/>
    <w:rsid w:val="00997FB9"/>
    <w:rsid w:val="009A26E0"/>
    <w:rsid w:val="009A54B7"/>
    <w:rsid w:val="009A7971"/>
    <w:rsid w:val="009B28D3"/>
    <w:rsid w:val="009B3AA8"/>
    <w:rsid w:val="009B3FA7"/>
    <w:rsid w:val="009B43FC"/>
    <w:rsid w:val="009B4C84"/>
    <w:rsid w:val="009B50A1"/>
    <w:rsid w:val="009C0632"/>
    <w:rsid w:val="009C19B8"/>
    <w:rsid w:val="009C35B6"/>
    <w:rsid w:val="009C3DFB"/>
    <w:rsid w:val="009C75CB"/>
    <w:rsid w:val="009D10C4"/>
    <w:rsid w:val="009D13FD"/>
    <w:rsid w:val="009D4567"/>
    <w:rsid w:val="009E0086"/>
    <w:rsid w:val="009E0A1F"/>
    <w:rsid w:val="009E4152"/>
    <w:rsid w:val="009F003E"/>
    <w:rsid w:val="009F117A"/>
    <w:rsid w:val="009F2351"/>
    <w:rsid w:val="009F496F"/>
    <w:rsid w:val="009F4CAC"/>
    <w:rsid w:val="009F6728"/>
    <w:rsid w:val="009F6912"/>
    <w:rsid w:val="009F6ED7"/>
    <w:rsid w:val="009F7174"/>
    <w:rsid w:val="009F747E"/>
    <w:rsid w:val="00A022A1"/>
    <w:rsid w:val="00A0251D"/>
    <w:rsid w:val="00A12A5E"/>
    <w:rsid w:val="00A14370"/>
    <w:rsid w:val="00A160A1"/>
    <w:rsid w:val="00A24AA3"/>
    <w:rsid w:val="00A25ACF"/>
    <w:rsid w:val="00A30512"/>
    <w:rsid w:val="00A330AF"/>
    <w:rsid w:val="00A33200"/>
    <w:rsid w:val="00A343B8"/>
    <w:rsid w:val="00A3495F"/>
    <w:rsid w:val="00A34E71"/>
    <w:rsid w:val="00A41E66"/>
    <w:rsid w:val="00A4284A"/>
    <w:rsid w:val="00A42D21"/>
    <w:rsid w:val="00A45115"/>
    <w:rsid w:val="00A45D23"/>
    <w:rsid w:val="00A45DD6"/>
    <w:rsid w:val="00A46F88"/>
    <w:rsid w:val="00A51147"/>
    <w:rsid w:val="00A53791"/>
    <w:rsid w:val="00A5542C"/>
    <w:rsid w:val="00A557E5"/>
    <w:rsid w:val="00A569BC"/>
    <w:rsid w:val="00A60231"/>
    <w:rsid w:val="00A630B5"/>
    <w:rsid w:val="00A65885"/>
    <w:rsid w:val="00A669F7"/>
    <w:rsid w:val="00A67995"/>
    <w:rsid w:val="00A706C9"/>
    <w:rsid w:val="00A73153"/>
    <w:rsid w:val="00A741DA"/>
    <w:rsid w:val="00A75E9F"/>
    <w:rsid w:val="00A77D70"/>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519C"/>
    <w:rsid w:val="00A966D5"/>
    <w:rsid w:val="00AA1CEA"/>
    <w:rsid w:val="00AA2388"/>
    <w:rsid w:val="00AA2C6B"/>
    <w:rsid w:val="00AA3548"/>
    <w:rsid w:val="00AA3C0D"/>
    <w:rsid w:val="00AA4EE0"/>
    <w:rsid w:val="00AA54C6"/>
    <w:rsid w:val="00AA652C"/>
    <w:rsid w:val="00AA6ADA"/>
    <w:rsid w:val="00AA7A98"/>
    <w:rsid w:val="00AB0810"/>
    <w:rsid w:val="00AB0BA5"/>
    <w:rsid w:val="00AB1A5D"/>
    <w:rsid w:val="00AB2176"/>
    <w:rsid w:val="00AB2430"/>
    <w:rsid w:val="00AB521D"/>
    <w:rsid w:val="00AB6C34"/>
    <w:rsid w:val="00AB711F"/>
    <w:rsid w:val="00AC0CC4"/>
    <w:rsid w:val="00AC1A67"/>
    <w:rsid w:val="00AC4ACC"/>
    <w:rsid w:val="00AC664A"/>
    <w:rsid w:val="00AD123B"/>
    <w:rsid w:val="00AD12F9"/>
    <w:rsid w:val="00AD3CF0"/>
    <w:rsid w:val="00AD4A1E"/>
    <w:rsid w:val="00AE13C4"/>
    <w:rsid w:val="00AE21AF"/>
    <w:rsid w:val="00AE3D6A"/>
    <w:rsid w:val="00AE5364"/>
    <w:rsid w:val="00AE6845"/>
    <w:rsid w:val="00AF0442"/>
    <w:rsid w:val="00AF2436"/>
    <w:rsid w:val="00AF3052"/>
    <w:rsid w:val="00AF58CA"/>
    <w:rsid w:val="00AF729E"/>
    <w:rsid w:val="00B0151E"/>
    <w:rsid w:val="00B0356F"/>
    <w:rsid w:val="00B03855"/>
    <w:rsid w:val="00B0537F"/>
    <w:rsid w:val="00B072E5"/>
    <w:rsid w:val="00B10527"/>
    <w:rsid w:val="00B120FE"/>
    <w:rsid w:val="00B13F8F"/>
    <w:rsid w:val="00B1416B"/>
    <w:rsid w:val="00B20691"/>
    <w:rsid w:val="00B2071A"/>
    <w:rsid w:val="00B217CF"/>
    <w:rsid w:val="00B21CCC"/>
    <w:rsid w:val="00B2312E"/>
    <w:rsid w:val="00B2773D"/>
    <w:rsid w:val="00B31A7A"/>
    <w:rsid w:val="00B31F91"/>
    <w:rsid w:val="00B33462"/>
    <w:rsid w:val="00B35C8F"/>
    <w:rsid w:val="00B360E9"/>
    <w:rsid w:val="00B374E6"/>
    <w:rsid w:val="00B37627"/>
    <w:rsid w:val="00B403F4"/>
    <w:rsid w:val="00B437CA"/>
    <w:rsid w:val="00B44629"/>
    <w:rsid w:val="00B464FA"/>
    <w:rsid w:val="00B530B9"/>
    <w:rsid w:val="00B557DE"/>
    <w:rsid w:val="00B55C84"/>
    <w:rsid w:val="00B567A4"/>
    <w:rsid w:val="00B571EF"/>
    <w:rsid w:val="00B6262A"/>
    <w:rsid w:val="00B634C4"/>
    <w:rsid w:val="00B63ACD"/>
    <w:rsid w:val="00B65D75"/>
    <w:rsid w:val="00B72777"/>
    <w:rsid w:val="00B747B9"/>
    <w:rsid w:val="00B76258"/>
    <w:rsid w:val="00B80875"/>
    <w:rsid w:val="00B80C97"/>
    <w:rsid w:val="00B81A2A"/>
    <w:rsid w:val="00B8245D"/>
    <w:rsid w:val="00B82B15"/>
    <w:rsid w:val="00B84AC4"/>
    <w:rsid w:val="00B87C13"/>
    <w:rsid w:val="00B87E2A"/>
    <w:rsid w:val="00B90E05"/>
    <w:rsid w:val="00BA46E5"/>
    <w:rsid w:val="00BB0856"/>
    <w:rsid w:val="00BB22D7"/>
    <w:rsid w:val="00BB3F43"/>
    <w:rsid w:val="00BB52EA"/>
    <w:rsid w:val="00BB7592"/>
    <w:rsid w:val="00BB772B"/>
    <w:rsid w:val="00BC0336"/>
    <w:rsid w:val="00BC0944"/>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E60"/>
    <w:rsid w:val="00BF4CBC"/>
    <w:rsid w:val="00BF53B7"/>
    <w:rsid w:val="00BF57CF"/>
    <w:rsid w:val="00BF5857"/>
    <w:rsid w:val="00BF7098"/>
    <w:rsid w:val="00C0019D"/>
    <w:rsid w:val="00C00BD1"/>
    <w:rsid w:val="00C0307D"/>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32B0"/>
    <w:rsid w:val="00C43537"/>
    <w:rsid w:val="00C436F7"/>
    <w:rsid w:val="00C46257"/>
    <w:rsid w:val="00C5156B"/>
    <w:rsid w:val="00C530D3"/>
    <w:rsid w:val="00C56417"/>
    <w:rsid w:val="00C6112B"/>
    <w:rsid w:val="00C61EC7"/>
    <w:rsid w:val="00C63EBB"/>
    <w:rsid w:val="00C64B32"/>
    <w:rsid w:val="00C659AB"/>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720F"/>
    <w:rsid w:val="00CA7537"/>
    <w:rsid w:val="00CB2D74"/>
    <w:rsid w:val="00CB469E"/>
    <w:rsid w:val="00CB4AB1"/>
    <w:rsid w:val="00CB55FA"/>
    <w:rsid w:val="00CB6ACD"/>
    <w:rsid w:val="00CB7945"/>
    <w:rsid w:val="00CC24A3"/>
    <w:rsid w:val="00CC3CDC"/>
    <w:rsid w:val="00CC401B"/>
    <w:rsid w:val="00CC7479"/>
    <w:rsid w:val="00CD1311"/>
    <w:rsid w:val="00CD3F11"/>
    <w:rsid w:val="00CD65EC"/>
    <w:rsid w:val="00CE5665"/>
    <w:rsid w:val="00CF5107"/>
    <w:rsid w:val="00CF618B"/>
    <w:rsid w:val="00D01EB3"/>
    <w:rsid w:val="00D026AE"/>
    <w:rsid w:val="00D02A3A"/>
    <w:rsid w:val="00D0382F"/>
    <w:rsid w:val="00D052B3"/>
    <w:rsid w:val="00D062D9"/>
    <w:rsid w:val="00D10C3C"/>
    <w:rsid w:val="00D115A0"/>
    <w:rsid w:val="00D12195"/>
    <w:rsid w:val="00D1430F"/>
    <w:rsid w:val="00D15BFF"/>
    <w:rsid w:val="00D16B34"/>
    <w:rsid w:val="00D2011E"/>
    <w:rsid w:val="00D22FDF"/>
    <w:rsid w:val="00D23A94"/>
    <w:rsid w:val="00D23F7E"/>
    <w:rsid w:val="00D24FC1"/>
    <w:rsid w:val="00D30663"/>
    <w:rsid w:val="00D30C0C"/>
    <w:rsid w:val="00D31FE7"/>
    <w:rsid w:val="00D41E92"/>
    <w:rsid w:val="00D431F4"/>
    <w:rsid w:val="00D443DD"/>
    <w:rsid w:val="00D451D5"/>
    <w:rsid w:val="00D52999"/>
    <w:rsid w:val="00D54FB1"/>
    <w:rsid w:val="00D5556E"/>
    <w:rsid w:val="00D57C00"/>
    <w:rsid w:val="00D60071"/>
    <w:rsid w:val="00D60E65"/>
    <w:rsid w:val="00D615BF"/>
    <w:rsid w:val="00D61E0B"/>
    <w:rsid w:val="00D6210A"/>
    <w:rsid w:val="00D63264"/>
    <w:rsid w:val="00D67A3E"/>
    <w:rsid w:val="00D7147F"/>
    <w:rsid w:val="00D72A7D"/>
    <w:rsid w:val="00D75DAB"/>
    <w:rsid w:val="00D8006A"/>
    <w:rsid w:val="00D82AD6"/>
    <w:rsid w:val="00D84E02"/>
    <w:rsid w:val="00D856B8"/>
    <w:rsid w:val="00D8578C"/>
    <w:rsid w:val="00D85BCA"/>
    <w:rsid w:val="00D9048B"/>
    <w:rsid w:val="00D90F1A"/>
    <w:rsid w:val="00D914B5"/>
    <w:rsid w:val="00D93569"/>
    <w:rsid w:val="00DA193F"/>
    <w:rsid w:val="00DA3632"/>
    <w:rsid w:val="00DA3F0A"/>
    <w:rsid w:val="00DA66C0"/>
    <w:rsid w:val="00DB119B"/>
    <w:rsid w:val="00DB31BF"/>
    <w:rsid w:val="00DB3F55"/>
    <w:rsid w:val="00DC3DAF"/>
    <w:rsid w:val="00DC7802"/>
    <w:rsid w:val="00DD2D92"/>
    <w:rsid w:val="00DD3019"/>
    <w:rsid w:val="00DD3969"/>
    <w:rsid w:val="00DD4188"/>
    <w:rsid w:val="00DD5FE6"/>
    <w:rsid w:val="00DE4758"/>
    <w:rsid w:val="00DE7FDB"/>
    <w:rsid w:val="00DF0216"/>
    <w:rsid w:val="00DF1C2A"/>
    <w:rsid w:val="00DF2221"/>
    <w:rsid w:val="00DF2D2D"/>
    <w:rsid w:val="00E01986"/>
    <w:rsid w:val="00E01AF8"/>
    <w:rsid w:val="00E02350"/>
    <w:rsid w:val="00E02ACE"/>
    <w:rsid w:val="00E04046"/>
    <w:rsid w:val="00E05D9A"/>
    <w:rsid w:val="00E13F74"/>
    <w:rsid w:val="00E14491"/>
    <w:rsid w:val="00E21702"/>
    <w:rsid w:val="00E252A1"/>
    <w:rsid w:val="00E27794"/>
    <w:rsid w:val="00E3364C"/>
    <w:rsid w:val="00E35427"/>
    <w:rsid w:val="00E3680D"/>
    <w:rsid w:val="00E418B2"/>
    <w:rsid w:val="00E41CE5"/>
    <w:rsid w:val="00E4256B"/>
    <w:rsid w:val="00E42AEF"/>
    <w:rsid w:val="00E44AEA"/>
    <w:rsid w:val="00E45327"/>
    <w:rsid w:val="00E46264"/>
    <w:rsid w:val="00E50636"/>
    <w:rsid w:val="00E52735"/>
    <w:rsid w:val="00E57ACD"/>
    <w:rsid w:val="00E650A2"/>
    <w:rsid w:val="00E659C1"/>
    <w:rsid w:val="00E65C0E"/>
    <w:rsid w:val="00E66BD4"/>
    <w:rsid w:val="00E6796A"/>
    <w:rsid w:val="00E70CFE"/>
    <w:rsid w:val="00E71336"/>
    <w:rsid w:val="00E71522"/>
    <w:rsid w:val="00E742E0"/>
    <w:rsid w:val="00E74FAB"/>
    <w:rsid w:val="00E74FFD"/>
    <w:rsid w:val="00E76194"/>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3F2A"/>
    <w:rsid w:val="00EA4216"/>
    <w:rsid w:val="00EA541A"/>
    <w:rsid w:val="00EB3596"/>
    <w:rsid w:val="00EB35E2"/>
    <w:rsid w:val="00EB3C3B"/>
    <w:rsid w:val="00EB3E5B"/>
    <w:rsid w:val="00EB4C6F"/>
    <w:rsid w:val="00EB54A8"/>
    <w:rsid w:val="00EB6570"/>
    <w:rsid w:val="00EB7C7C"/>
    <w:rsid w:val="00EB7F52"/>
    <w:rsid w:val="00EC6759"/>
    <w:rsid w:val="00EC71FB"/>
    <w:rsid w:val="00ED02C5"/>
    <w:rsid w:val="00ED1445"/>
    <w:rsid w:val="00ED3F10"/>
    <w:rsid w:val="00ED4856"/>
    <w:rsid w:val="00ED53B3"/>
    <w:rsid w:val="00ED65C9"/>
    <w:rsid w:val="00EE24A9"/>
    <w:rsid w:val="00EE33DF"/>
    <w:rsid w:val="00EE37B8"/>
    <w:rsid w:val="00EE4B48"/>
    <w:rsid w:val="00EE4C46"/>
    <w:rsid w:val="00EE5836"/>
    <w:rsid w:val="00EE6CA8"/>
    <w:rsid w:val="00EF0327"/>
    <w:rsid w:val="00EF13BB"/>
    <w:rsid w:val="00EF4196"/>
    <w:rsid w:val="00F04DE2"/>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40221"/>
    <w:rsid w:val="00F43D24"/>
    <w:rsid w:val="00F44987"/>
    <w:rsid w:val="00F459FD"/>
    <w:rsid w:val="00F51BD1"/>
    <w:rsid w:val="00F5631F"/>
    <w:rsid w:val="00F57402"/>
    <w:rsid w:val="00F63030"/>
    <w:rsid w:val="00F6402C"/>
    <w:rsid w:val="00F656F6"/>
    <w:rsid w:val="00F66578"/>
    <w:rsid w:val="00F74688"/>
    <w:rsid w:val="00F77676"/>
    <w:rsid w:val="00F807A0"/>
    <w:rsid w:val="00F80DC2"/>
    <w:rsid w:val="00F8138A"/>
    <w:rsid w:val="00F81906"/>
    <w:rsid w:val="00F82EBB"/>
    <w:rsid w:val="00F83396"/>
    <w:rsid w:val="00F839D5"/>
    <w:rsid w:val="00F83ABA"/>
    <w:rsid w:val="00F8621A"/>
    <w:rsid w:val="00F9157A"/>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7D4382-01CB-4B09-8EE8-A448E22EE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3322D6-7AA5-4BBA-A601-D6D7A6FE67C6}">
  <ds:schemaRefs>
    <ds:schemaRef ds:uri="http://schemas.microsoft.com/sharepoint/v3/contenttype/forms"/>
  </ds:schemaRefs>
</ds:datastoreItem>
</file>

<file path=customXml/itemProps3.xml><?xml version="1.0" encoding="utf-8"?>
<ds:datastoreItem xmlns:ds="http://schemas.openxmlformats.org/officeDocument/2006/customXml" ds:itemID="{9EA11EA4-B2E8-429F-BD69-9256A79A2F35}">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Jennifer Chato</cp:lastModifiedBy>
  <cp:revision>2</cp:revision>
  <cp:lastPrinted>2013-02-01T02:52:00Z</cp:lastPrinted>
  <dcterms:created xsi:type="dcterms:W3CDTF">2013-10-30T20:42:00Z</dcterms:created>
  <dcterms:modified xsi:type="dcterms:W3CDTF">2013-10-30T20:42:00Z</dcterms:modified>
</cp:coreProperties>
</file>