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E9" w:rsidRPr="00BF54BC" w:rsidRDefault="00FB0DE9" w:rsidP="00FB0DE9">
      <w:pPr>
        <w:pStyle w:val="Title"/>
        <w:jc w:val="center"/>
        <w:rPr>
          <w:rFonts w:asciiTheme="majorHAnsi" w:hAnsiTheme="majorHAnsi"/>
          <w:color w:val="323E4F" w:themeColor="text2" w:themeShade="BF"/>
          <w:sz w:val="32"/>
          <w:szCs w:val="32"/>
        </w:rPr>
      </w:pPr>
      <w:bookmarkStart w:id="0" w:name="_GoBack"/>
      <w:bookmarkEnd w:id="0"/>
      <w:r w:rsidRPr="00BF54BC">
        <w:rPr>
          <w:rFonts w:ascii="Arial" w:hAnsi="Arial" w:cs="Arial"/>
          <w:noProof/>
          <w:color w:val="000000"/>
          <w:sz w:val="18"/>
          <w:szCs w:val="18"/>
        </w:rPr>
        <w:drawing>
          <wp:inline distT="0" distB="0" distL="0" distR="0" wp14:anchorId="065EAFF7" wp14:editId="79913A65">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FB0DE9" w:rsidRPr="00BF54BC" w:rsidRDefault="00FB0DE9" w:rsidP="00FB0DE9">
      <w:pPr>
        <w:spacing w:after="0"/>
        <w:jc w:val="center"/>
        <w:rPr>
          <w:rFonts w:cstheme="minorHAnsi"/>
          <w:b/>
          <w:color w:val="2E74B5" w:themeColor="accent1" w:themeShade="BF"/>
          <w:sz w:val="28"/>
          <w:szCs w:val="28"/>
        </w:rPr>
      </w:pPr>
      <w:r w:rsidRPr="00BF54BC">
        <w:rPr>
          <w:rFonts w:cstheme="minorHAnsi"/>
          <w:b/>
          <w:color w:val="2E74B5" w:themeColor="accent1" w:themeShade="BF"/>
          <w:sz w:val="28"/>
          <w:szCs w:val="28"/>
        </w:rPr>
        <w:t>Review and Update of the World Bank’s Environmental and Social Safeguard Policies</w:t>
      </w:r>
    </w:p>
    <w:p w:rsidR="00FB0DE9" w:rsidRPr="00BF54BC" w:rsidRDefault="00FB0DE9" w:rsidP="00FB0DE9">
      <w:pPr>
        <w:pStyle w:val="Title"/>
        <w:spacing w:after="0"/>
        <w:jc w:val="center"/>
        <w:rPr>
          <w:rFonts w:asciiTheme="minorHAnsi" w:hAnsiTheme="minorHAnsi" w:cstheme="minorBidi"/>
          <w:b/>
          <w:color w:val="2E74B5" w:themeColor="accent1" w:themeShade="BF"/>
          <w:sz w:val="28"/>
          <w:szCs w:val="28"/>
          <w:lang w:bidi="ar-LB"/>
        </w:rPr>
      </w:pPr>
      <w:r w:rsidRPr="00BF54BC">
        <w:rPr>
          <w:rFonts w:asciiTheme="minorHAnsi" w:hAnsiTheme="minorHAnsi" w:cstheme="minorHAnsi"/>
          <w:b/>
          <w:color w:val="2E74B5" w:themeColor="accent1" w:themeShade="BF"/>
          <w:sz w:val="28"/>
          <w:szCs w:val="28"/>
        </w:rPr>
        <w:t xml:space="preserve">Phase </w:t>
      </w:r>
      <w:r w:rsidRPr="00BF54BC">
        <w:rPr>
          <w:rFonts w:asciiTheme="minorHAnsi" w:hAnsiTheme="minorHAnsi" w:cstheme="minorHAnsi"/>
          <w:bCs/>
          <w:color w:val="2E74B5" w:themeColor="accent1" w:themeShade="BF"/>
          <w:sz w:val="28"/>
          <w:szCs w:val="28"/>
          <w:rtl/>
        </w:rPr>
        <w:t>3</w:t>
      </w:r>
    </w:p>
    <w:p w:rsidR="00FB0DE9" w:rsidRPr="00BF54BC" w:rsidRDefault="00FB0DE9" w:rsidP="00FB0DE9">
      <w:pPr>
        <w:pStyle w:val="Title"/>
        <w:spacing w:after="0"/>
        <w:jc w:val="center"/>
        <w:rPr>
          <w:rFonts w:asciiTheme="minorHAnsi" w:hAnsiTheme="minorHAnsi" w:cstheme="minorHAnsi"/>
          <w:b/>
          <w:color w:val="2E74B5" w:themeColor="accent1" w:themeShade="BF"/>
          <w:sz w:val="28"/>
          <w:szCs w:val="28"/>
        </w:rPr>
      </w:pPr>
      <w:r w:rsidRPr="00BF54BC">
        <w:rPr>
          <w:rFonts w:asciiTheme="minorHAnsi" w:hAnsiTheme="minorHAnsi" w:cstheme="minorHAnsi"/>
          <w:b/>
          <w:color w:val="2E74B5" w:themeColor="accent1" w:themeShade="BF"/>
          <w:sz w:val="28"/>
          <w:szCs w:val="28"/>
        </w:rPr>
        <w:t>Feedback Summary</w:t>
      </w:r>
    </w:p>
    <w:p w:rsidR="00FB0DE9" w:rsidRPr="00BF54BC"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p w:rsidR="00944F46" w:rsidRPr="00BF54BC"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sz w:val="22"/>
          <w:szCs w:val="22"/>
          <w:lang w:val="en-US"/>
        </w:rPr>
      </w:pPr>
      <w:r w:rsidRPr="00BF54BC">
        <w:rPr>
          <w:rFonts w:asciiTheme="majorBidi" w:hAnsiTheme="majorBidi" w:cstheme="majorBidi"/>
          <w:b/>
          <w:bCs/>
          <w:sz w:val="22"/>
          <w:szCs w:val="22"/>
          <w:lang w:val="en-US"/>
        </w:rPr>
        <w:t>Date:</w:t>
      </w:r>
      <w:r w:rsidR="00AD691F" w:rsidRPr="00BF54BC">
        <w:rPr>
          <w:rFonts w:asciiTheme="majorBidi" w:hAnsiTheme="majorBidi" w:cstheme="majorBidi"/>
          <w:bCs/>
          <w:sz w:val="22"/>
          <w:szCs w:val="22"/>
          <w:lang w:val="en-US"/>
        </w:rPr>
        <w:t xml:space="preserve"> </w:t>
      </w:r>
      <w:r w:rsidR="006C2AE3">
        <w:rPr>
          <w:rFonts w:asciiTheme="majorBidi" w:hAnsiTheme="majorBidi" w:cstheme="majorBidi"/>
          <w:bCs/>
          <w:sz w:val="22"/>
          <w:szCs w:val="22"/>
          <w:lang w:val="en-US"/>
        </w:rPr>
        <w:t>January</w:t>
      </w:r>
      <w:r w:rsidR="00AD691F" w:rsidRPr="00BF54BC">
        <w:rPr>
          <w:rFonts w:asciiTheme="majorBidi" w:hAnsiTheme="majorBidi" w:cstheme="majorBidi"/>
          <w:bCs/>
          <w:sz w:val="22"/>
          <w:szCs w:val="22"/>
          <w:lang w:val="en-US"/>
        </w:rPr>
        <w:t xml:space="preserve"> </w:t>
      </w:r>
      <w:r w:rsidR="006C2AE3">
        <w:rPr>
          <w:rFonts w:asciiTheme="majorBidi" w:hAnsiTheme="majorBidi" w:cstheme="majorBidi"/>
          <w:bCs/>
          <w:sz w:val="22"/>
          <w:szCs w:val="22"/>
          <w:lang w:val="en-US"/>
        </w:rPr>
        <w:t>1</w:t>
      </w:r>
      <w:r w:rsidR="00AD691F" w:rsidRPr="00BF54BC">
        <w:rPr>
          <w:rFonts w:asciiTheme="majorBidi" w:hAnsiTheme="majorBidi" w:cstheme="majorBidi"/>
          <w:bCs/>
          <w:sz w:val="22"/>
          <w:szCs w:val="22"/>
          <w:lang w:val="en-US"/>
        </w:rPr>
        <w:t>3, 201</w:t>
      </w:r>
      <w:r w:rsidR="006C2AE3">
        <w:rPr>
          <w:rFonts w:asciiTheme="majorBidi" w:hAnsiTheme="majorBidi" w:cstheme="majorBidi"/>
          <w:bCs/>
          <w:sz w:val="22"/>
          <w:szCs w:val="22"/>
          <w:lang w:val="en-US"/>
        </w:rPr>
        <w:t>6</w:t>
      </w:r>
      <w:r w:rsidRPr="00BF54BC">
        <w:rPr>
          <w:rFonts w:asciiTheme="majorBidi" w:hAnsiTheme="majorBidi" w:cstheme="majorBidi"/>
          <w:b/>
          <w:bCs/>
          <w:sz w:val="22"/>
          <w:szCs w:val="22"/>
          <w:lang w:val="en-US"/>
        </w:rPr>
        <w:t xml:space="preserve"> </w:t>
      </w:r>
    </w:p>
    <w:p w:rsidR="00944F46" w:rsidRPr="00BF54BC"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sidRPr="00BF54BC">
        <w:rPr>
          <w:rFonts w:asciiTheme="majorBidi" w:hAnsiTheme="majorBidi" w:cstheme="majorBidi"/>
          <w:b/>
          <w:bCs/>
          <w:sz w:val="22"/>
          <w:szCs w:val="22"/>
          <w:lang w:val="en-US"/>
        </w:rPr>
        <w:t>Location (City, Country):</w:t>
      </w:r>
      <w:r w:rsidR="00AD691F" w:rsidRPr="00BF54BC">
        <w:rPr>
          <w:rFonts w:asciiTheme="majorBidi" w:hAnsiTheme="majorBidi" w:cstheme="majorBidi"/>
          <w:bCs/>
          <w:sz w:val="22"/>
          <w:szCs w:val="22"/>
          <w:lang w:val="en-US"/>
        </w:rPr>
        <w:t xml:space="preserve"> </w:t>
      </w:r>
      <w:r w:rsidR="006C2AE3">
        <w:rPr>
          <w:rFonts w:asciiTheme="majorBidi" w:hAnsiTheme="majorBidi" w:cstheme="majorBidi"/>
          <w:bCs/>
          <w:sz w:val="22"/>
          <w:szCs w:val="22"/>
          <w:lang w:val="en-US"/>
        </w:rPr>
        <w:t>Ankara</w:t>
      </w:r>
      <w:r w:rsidR="00AD691F" w:rsidRPr="00BF54BC">
        <w:rPr>
          <w:rFonts w:asciiTheme="majorBidi" w:hAnsiTheme="majorBidi" w:cstheme="majorBidi"/>
          <w:bCs/>
          <w:sz w:val="22"/>
          <w:szCs w:val="22"/>
          <w:lang w:val="en-US"/>
        </w:rPr>
        <w:t xml:space="preserve">, </w:t>
      </w:r>
      <w:r w:rsidR="006C2AE3">
        <w:rPr>
          <w:rFonts w:asciiTheme="majorBidi" w:hAnsiTheme="majorBidi" w:cstheme="majorBidi"/>
          <w:bCs/>
          <w:sz w:val="22"/>
          <w:szCs w:val="22"/>
          <w:lang w:val="en-US"/>
        </w:rPr>
        <w:t>Turkey</w:t>
      </w:r>
      <w:r w:rsidRPr="00BF54BC">
        <w:rPr>
          <w:rFonts w:asciiTheme="majorBidi" w:hAnsiTheme="majorBidi" w:cstheme="majorBidi"/>
          <w:b/>
          <w:bCs/>
          <w:sz w:val="22"/>
          <w:szCs w:val="22"/>
          <w:lang w:val="en-US"/>
        </w:rPr>
        <w:t xml:space="preserve"> </w:t>
      </w:r>
    </w:p>
    <w:p w:rsidR="00944F46" w:rsidRPr="00BF54BC" w:rsidRDefault="002B4214"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 w:val="22"/>
          <w:szCs w:val="22"/>
          <w:lang w:val="en-US"/>
        </w:rPr>
      </w:pPr>
      <w:r w:rsidRPr="00BF54BC">
        <w:rPr>
          <w:rFonts w:asciiTheme="majorBidi" w:hAnsiTheme="majorBidi" w:cstheme="majorBidi"/>
          <w:b/>
          <w:bCs/>
          <w:sz w:val="22"/>
          <w:szCs w:val="22"/>
          <w:lang w:val="en-US"/>
        </w:rPr>
        <w:t>Audience (Government, Implementing agencies, Multi-stakeholder</w:t>
      </w:r>
      <w:r w:rsidR="00944F46" w:rsidRPr="00BF54BC">
        <w:rPr>
          <w:rFonts w:asciiTheme="majorBidi" w:hAnsiTheme="majorBidi" w:cstheme="majorBidi"/>
          <w:b/>
          <w:bCs/>
          <w:sz w:val="22"/>
          <w:szCs w:val="22"/>
          <w:lang w:val="en-US"/>
        </w:rPr>
        <w:t>, etc.):</w:t>
      </w:r>
      <w:r w:rsidR="00AD691F" w:rsidRPr="00BF54BC">
        <w:rPr>
          <w:rFonts w:asciiTheme="majorBidi" w:hAnsiTheme="majorBidi" w:cstheme="majorBidi"/>
          <w:bCs/>
          <w:sz w:val="22"/>
          <w:szCs w:val="22"/>
          <w:lang w:val="en-US"/>
        </w:rPr>
        <w:t xml:space="preserve"> Government</w:t>
      </w:r>
    </w:p>
    <w:p w:rsidR="00944F46" w:rsidRPr="00BF54BC"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tbl>
      <w:tblPr>
        <w:tblStyle w:val="TableGrid"/>
        <w:tblW w:w="14305" w:type="dxa"/>
        <w:tblLayout w:type="fixed"/>
        <w:tblLook w:val="04A0" w:firstRow="1" w:lastRow="0" w:firstColumn="1" w:lastColumn="0" w:noHBand="0" w:noVBand="1"/>
      </w:tblPr>
      <w:tblGrid>
        <w:gridCol w:w="985"/>
        <w:gridCol w:w="2430"/>
        <w:gridCol w:w="4860"/>
        <w:gridCol w:w="6030"/>
      </w:tblGrid>
      <w:tr w:rsidR="00944F46" w:rsidRPr="00BF54BC" w:rsidTr="00D26526">
        <w:tc>
          <w:tcPr>
            <w:tcW w:w="985" w:type="dxa"/>
            <w:shd w:val="clear" w:color="auto" w:fill="D9D9D9" w:themeFill="background1" w:themeFillShade="D9"/>
          </w:tcPr>
          <w:p w:rsidR="00944F46" w:rsidRPr="00BF54BC" w:rsidRDefault="00944F46" w:rsidP="00944F46">
            <w:pPr>
              <w:jc w:val="center"/>
              <w:rPr>
                <w:rFonts w:ascii="Times New Roman" w:hAnsi="Times New Roman" w:cs="Times New Roman"/>
                <w:b/>
                <w:sz w:val="24"/>
                <w:szCs w:val="24"/>
              </w:rPr>
            </w:pPr>
            <w:r w:rsidRPr="00BF54BC">
              <w:rPr>
                <w:rFonts w:ascii="Times New Roman" w:hAnsi="Times New Roman" w:cs="Times New Roman"/>
                <w:b/>
                <w:sz w:val="24"/>
                <w:szCs w:val="24"/>
              </w:rPr>
              <w:t>ESF</w:t>
            </w:r>
          </w:p>
        </w:tc>
        <w:tc>
          <w:tcPr>
            <w:tcW w:w="2430" w:type="dxa"/>
            <w:shd w:val="clear" w:color="auto" w:fill="D9D9D9" w:themeFill="background1" w:themeFillShade="D9"/>
          </w:tcPr>
          <w:p w:rsidR="00944F46" w:rsidRPr="00BF54BC" w:rsidRDefault="00944F46" w:rsidP="00944F46">
            <w:pPr>
              <w:jc w:val="center"/>
              <w:rPr>
                <w:rFonts w:ascii="Times New Roman" w:hAnsi="Times New Roman" w:cs="Times New Roman"/>
                <w:b/>
                <w:sz w:val="24"/>
                <w:szCs w:val="24"/>
              </w:rPr>
            </w:pPr>
            <w:r w:rsidRPr="00BF54BC">
              <w:rPr>
                <w:rFonts w:ascii="Times New Roman" w:hAnsi="Times New Roman" w:cs="Times New Roman"/>
                <w:b/>
                <w:sz w:val="24"/>
                <w:szCs w:val="24"/>
              </w:rPr>
              <w:t>Issue</w:t>
            </w:r>
          </w:p>
        </w:tc>
        <w:tc>
          <w:tcPr>
            <w:tcW w:w="4860" w:type="dxa"/>
            <w:shd w:val="clear" w:color="auto" w:fill="D9D9D9" w:themeFill="background1" w:themeFillShade="D9"/>
          </w:tcPr>
          <w:p w:rsidR="00944F46" w:rsidRPr="00BF54BC" w:rsidRDefault="00944F46" w:rsidP="00944F46">
            <w:pPr>
              <w:jc w:val="center"/>
              <w:rPr>
                <w:rFonts w:ascii="Times New Roman" w:hAnsi="Times New Roman" w:cs="Times New Roman"/>
                <w:b/>
                <w:sz w:val="24"/>
                <w:szCs w:val="24"/>
              </w:rPr>
            </w:pPr>
            <w:r w:rsidRPr="00BF54BC">
              <w:rPr>
                <w:rFonts w:ascii="Times New Roman" w:hAnsi="Times New Roman" w:cs="Times New Roman"/>
                <w:b/>
                <w:sz w:val="24"/>
                <w:szCs w:val="24"/>
              </w:rPr>
              <w:t>Items</w:t>
            </w:r>
          </w:p>
        </w:tc>
        <w:tc>
          <w:tcPr>
            <w:tcW w:w="6030" w:type="dxa"/>
            <w:shd w:val="clear" w:color="auto" w:fill="D9D9D9" w:themeFill="background1" w:themeFillShade="D9"/>
          </w:tcPr>
          <w:p w:rsidR="00944F46" w:rsidRPr="00BF54BC" w:rsidRDefault="00944F46" w:rsidP="00944F46">
            <w:pPr>
              <w:jc w:val="center"/>
              <w:rPr>
                <w:rFonts w:ascii="Times New Roman" w:hAnsi="Times New Roman" w:cs="Times New Roman"/>
                <w:b/>
                <w:sz w:val="24"/>
                <w:szCs w:val="24"/>
              </w:rPr>
            </w:pPr>
            <w:r w:rsidRPr="00BF54BC">
              <w:rPr>
                <w:rFonts w:ascii="Times New Roman" w:hAnsi="Times New Roman" w:cs="Times New Roman"/>
                <w:b/>
                <w:sz w:val="24"/>
                <w:szCs w:val="24"/>
              </w:rPr>
              <w:t>Feedback</w:t>
            </w:r>
          </w:p>
        </w:tc>
      </w:tr>
      <w:tr w:rsidR="00944F46" w:rsidRPr="00BF54BC" w:rsidTr="00D26526">
        <w:tc>
          <w:tcPr>
            <w:tcW w:w="985" w:type="dxa"/>
            <w:shd w:val="clear" w:color="auto" w:fill="E7E6E6" w:themeFill="background2"/>
          </w:tcPr>
          <w:p w:rsidR="00944F46" w:rsidRPr="00BF54BC" w:rsidRDefault="00944F46" w:rsidP="00F248C2">
            <w:pPr>
              <w:rPr>
                <w:rFonts w:ascii="Times New Roman" w:hAnsi="Times New Roman" w:cs="Times New Roman"/>
                <w:color w:val="000000"/>
                <w:sz w:val="24"/>
                <w:szCs w:val="24"/>
              </w:rPr>
            </w:pPr>
            <w:r w:rsidRPr="00BF54BC">
              <w:rPr>
                <w:rFonts w:ascii="Times New Roman" w:hAnsi="Times New Roman" w:cs="Times New Roman"/>
                <w:color w:val="000000"/>
                <w:sz w:val="24"/>
                <w:szCs w:val="24"/>
              </w:rPr>
              <w:t>Vision</w:t>
            </w:r>
          </w:p>
        </w:tc>
        <w:tc>
          <w:tcPr>
            <w:tcW w:w="2430" w:type="dxa"/>
            <w:shd w:val="clear" w:color="auto" w:fill="E7E6E6" w:themeFill="background2"/>
          </w:tcPr>
          <w:p w:rsidR="00944F46" w:rsidRPr="00BF54BC" w:rsidRDefault="00944F46" w:rsidP="00F248C2">
            <w:pPr>
              <w:rPr>
                <w:rFonts w:ascii="Times New Roman" w:hAnsi="Times New Roman" w:cs="Times New Roman"/>
                <w:color w:val="000000"/>
                <w:sz w:val="24"/>
                <w:szCs w:val="24"/>
              </w:rPr>
            </w:pPr>
            <w:r w:rsidRPr="00BF54BC">
              <w:rPr>
                <w:rFonts w:ascii="Times New Roman" w:hAnsi="Times New Roman" w:cs="Times New Roman"/>
                <w:color w:val="000000"/>
                <w:sz w:val="24"/>
                <w:szCs w:val="24"/>
              </w:rPr>
              <w:t xml:space="preserve">Human Rights </w:t>
            </w:r>
          </w:p>
        </w:tc>
        <w:tc>
          <w:tcPr>
            <w:tcW w:w="4860" w:type="dxa"/>
            <w:shd w:val="clear" w:color="auto" w:fill="E7E6E6" w:themeFill="background2"/>
          </w:tcPr>
          <w:p w:rsidR="00944F46" w:rsidRPr="00BF54BC" w:rsidRDefault="00944F46" w:rsidP="001C5B10">
            <w:pPr>
              <w:pStyle w:val="ListParagraph"/>
              <w:numPr>
                <w:ilvl w:val="0"/>
                <w:numId w:val="11"/>
              </w:numPr>
              <w:ind w:left="342"/>
              <w:rPr>
                <w:rFonts w:ascii="Times New Roman" w:hAnsi="Times New Roman"/>
                <w:color w:val="000000"/>
                <w:sz w:val="24"/>
                <w:szCs w:val="24"/>
              </w:rPr>
            </w:pPr>
            <w:r w:rsidRPr="00BF54BC">
              <w:rPr>
                <w:rFonts w:ascii="Times New Roman" w:hAnsi="Times New Roman"/>
                <w:color w:val="000000"/>
                <w:sz w:val="24"/>
                <w:szCs w:val="24"/>
              </w:rPr>
              <w:t xml:space="preserve">Approach to  human rights  in the ESF </w:t>
            </w:r>
          </w:p>
        </w:tc>
        <w:tc>
          <w:tcPr>
            <w:tcW w:w="6030" w:type="dxa"/>
          </w:tcPr>
          <w:p w:rsidR="00944F46" w:rsidRPr="00BF54BC" w:rsidRDefault="00944F46" w:rsidP="004C0A67">
            <w:pPr>
              <w:pStyle w:val="ListParagraph"/>
              <w:ind w:left="342"/>
              <w:jc w:val="both"/>
              <w:rPr>
                <w:rFonts w:ascii="Times New Roman" w:hAnsi="Times New Roman"/>
                <w:sz w:val="24"/>
                <w:szCs w:val="24"/>
              </w:rPr>
            </w:pPr>
          </w:p>
        </w:tc>
      </w:tr>
      <w:tr w:rsidR="00DC6CEE" w:rsidRPr="00BF54BC" w:rsidTr="00D26526">
        <w:tc>
          <w:tcPr>
            <w:tcW w:w="985" w:type="dxa"/>
            <w:vMerge w:val="restart"/>
            <w:shd w:val="clear" w:color="auto" w:fill="E7E6E6" w:themeFill="background2"/>
          </w:tcPr>
          <w:p w:rsidR="00DC6CEE" w:rsidRPr="00BF54BC" w:rsidRDefault="00DC6CEE" w:rsidP="00DC6CEE">
            <w:pPr>
              <w:rPr>
                <w:rFonts w:ascii="Times New Roman" w:hAnsi="Times New Roman" w:cs="Times New Roman"/>
                <w:sz w:val="24"/>
                <w:szCs w:val="24"/>
              </w:rPr>
            </w:pPr>
            <w:r w:rsidRPr="00BF54BC">
              <w:rPr>
                <w:rFonts w:ascii="Times New Roman" w:hAnsi="Times New Roman" w:cs="Times New Roman"/>
                <w:sz w:val="24"/>
                <w:szCs w:val="24"/>
              </w:rPr>
              <w:t>ESP/</w:t>
            </w:r>
          </w:p>
          <w:p w:rsidR="00DC6CEE" w:rsidRPr="00BF54BC" w:rsidRDefault="00DC6CEE" w:rsidP="00DC6CEE">
            <w:pPr>
              <w:rPr>
                <w:rFonts w:ascii="Times New Roman" w:hAnsi="Times New Roman" w:cs="Times New Roman"/>
                <w:sz w:val="24"/>
                <w:szCs w:val="24"/>
              </w:rPr>
            </w:pPr>
            <w:r w:rsidRPr="00BF54BC">
              <w:rPr>
                <w:rFonts w:ascii="Times New Roman" w:hAnsi="Times New Roman" w:cs="Times New Roman"/>
                <w:sz w:val="24"/>
                <w:szCs w:val="24"/>
              </w:rPr>
              <w:t>ESS1</w:t>
            </w:r>
          </w:p>
          <w:p w:rsidR="00DC6CEE" w:rsidRPr="00BF54BC" w:rsidRDefault="00DC6CEE" w:rsidP="00DC6CEE">
            <w:pPr>
              <w:rPr>
                <w:rFonts w:ascii="Times New Roman" w:hAnsi="Times New Roman" w:cs="Times New Roman"/>
                <w:sz w:val="24"/>
                <w:szCs w:val="24"/>
              </w:rPr>
            </w:pPr>
          </w:p>
        </w:tc>
        <w:tc>
          <w:tcPr>
            <w:tcW w:w="2430" w:type="dxa"/>
            <w:shd w:val="clear" w:color="auto" w:fill="E7E6E6" w:themeFill="background2"/>
          </w:tcPr>
          <w:p w:rsidR="00DC6CEE" w:rsidRPr="00BF54BC" w:rsidRDefault="00DC6CEE" w:rsidP="00DC6CEE">
            <w:pPr>
              <w:rPr>
                <w:rFonts w:ascii="Times New Roman" w:hAnsi="Times New Roman" w:cs="Times New Roman"/>
                <w:sz w:val="24"/>
                <w:szCs w:val="24"/>
              </w:rPr>
            </w:pPr>
            <w:r w:rsidRPr="00BF54BC">
              <w:rPr>
                <w:rFonts w:ascii="Times New Roman" w:hAnsi="Times New Roman" w:cs="Times New Roman"/>
                <w:sz w:val="24"/>
                <w:szCs w:val="24"/>
              </w:rPr>
              <w:t>Non-discrimination and vulnerable groups</w:t>
            </w:r>
          </w:p>
        </w:tc>
        <w:tc>
          <w:tcPr>
            <w:tcW w:w="4860" w:type="dxa"/>
            <w:shd w:val="clear" w:color="auto" w:fill="E7E6E6" w:themeFill="background2"/>
          </w:tcPr>
          <w:p w:rsidR="00DC6CEE" w:rsidRPr="00BF54BC" w:rsidRDefault="00DC6CEE" w:rsidP="00DC6CEE">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rsidR="00DC6CEE" w:rsidRPr="00BF54BC" w:rsidRDefault="00DC6CEE" w:rsidP="00DC6CEE">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Specific aspects of the non-discrimination principle in complex social and political contexts, including where recognition of certain groups is not in accordance with national law</w:t>
            </w:r>
          </w:p>
        </w:tc>
        <w:tc>
          <w:tcPr>
            <w:tcW w:w="6030" w:type="dxa"/>
          </w:tcPr>
          <w:p w:rsidR="00DC6CEE" w:rsidRPr="00DC6CEE" w:rsidRDefault="00B9243D" w:rsidP="000E6436">
            <w:pPr>
              <w:pStyle w:val="ListParagraph"/>
              <w:numPr>
                <w:ilvl w:val="0"/>
                <w:numId w:val="14"/>
              </w:numPr>
              <w:ind w:left="342"/>
              <w:jc w:val="both"/>
              <w:rPr>
                <w:rFonts w:ascii="Times New Roman" w:hAnsi="Times New Roman"/>
                <w:sz w:val="24"/>
                <w:szCs w:val="24"/>
              </w:rPr>
            </w:pPr>
            <w:r>
              <w:rPr>
                <w:rFonts w:ascii="Times New Roman" w:hAnsi="Times New Roman"/>
                <w:sz w:val="24"/>
                <w:szCs w:val="24"/>
              </w:rPr>
              <w:t>T</w:t>
            </w:r>
            <w:r w:rsidR="00DC6CEE" w:rsidRPr="00DC6CEE">
              <w:rPr>
                <w:rFonts w:ascii="Times New Roman" w:hAnsi="Times New Roman"/>
                <w:sz w:val="24"/>
                <w:szCs w:val="24"/>
              </w:rPr>
              <w:t>he</w:t>
            </w:r>
            <w:r w:rsidR="00946992">
              <w:rPr>
                <w:rFonts w:ascii="Times New Roman" w:hAnsi="Times New Roman"/>
                <w:sz w:val="24"/>
                <w:szCs w:val="24"/>
              </w:rPr>
              <w:t xml:space="preserve"> </w:t>
            </w:r>
            <w:r w:rsidR="00DC6CEE" w:rsidRPr="00DC6CEE">
              <w:rPr>
                <w:rFonts w:ascii="Times New Roman" w:hAnsi="Times New Roman"/>
                <w:sz w:val="24"/>
                <w:szCs w:val="24"/>
              </w:rPr>
              <w:t>definition of vulnerable people</w:t>
            </w:r>
            <w:r w:rsidR="00946992">
              <w:rPr>
                <w:rFonts w:ascii="Times New Roman" w:hAnsi="Times New Roman"/>
                <w:sz w:val="24"/>
                <w:szCs w:val="24"/>
              </w:rPr>
              <w:t xml:space="preserve"> is problematic</w:t>
            </w:r>
            <w:r w:rsidR="00DC6CEE" w:rsidRPr="00DC6CEE">
              <w:rPr>
                <w:rFonts w:ascii="Times New Roman" w:hAnsi="Times New Roman"/>
                <w:sz w:val="24"/>
                <w:szCs w:val="24"/>
              </w:rPr>
              <w:t>. Th</w:t>
            </w:r>
            <w:r w:rsidR="00946992">
              <w:rPr>
                <w:rFonts w:ascii="Times New Roman" w:hAnsi="Times New Roman"/>
                <w:sz w:val="24"/>
                <w:szCs w:val="24"/>
              </w:rPr>
              <w:t>e definition is condition-based</w:t>
            </w:r>
            <w:r w:rsidR="00DC6CEE" w:rsidRPr="00DC6CEE">
              <w:rPr>
                <w:rFonts w:ascii="Times New Roman" w:hAnsi="Times New Roman"/>
                <w:sz w:val="24"/>
                <w:szCs w:val="24"/>
              </w:rPr>
              <w:t xml:space="preserve"> </w:t>
            </w:r>
            <w:r w:rsidR="00946992">
              <w:rPr>
                <w:rFonts w:ascii="Times New Roman" w:hAnsi="Times New Roman"/>
                <w:sz w:val="24"/>
                <w:szCs w:val="24"/>
              </w:rPr>
              <w:t xml:space="preserve">(e.g. </w:t>
            </w:r>
            <w:r w:rsidR="00DC6CEE" w:rsidRPr="00DC6CEE">
              <w:rPr>
                <w:rFonts w:ascii="Times New Roman" w:hAnsi="Times New Roman"/>
                <w:sz w:val="24"/>
                <w:szCs w:val="24"/>
              </w:rPr>
              <w:t>woman, old</w:t>
            </w:r>
            <w:r w:rsidR="008112D2">
              <w:rPr>
                <w:rFonts w:ascii="Times New Roman" w:hAnsi="Times New Roman"/>
                <w:sz w:val="24"/>
                <w:szCs w:val="24"/>
              </w:rPr>
              <w:t>,</w:t>
            </w:r>
            <w:r w:rsidR="00DC6CEE" w:rsidRPr="00DC6CEE">
              <w:rPr>
                <w:rFonts w:ascii="Times New Roman" w:hAnsi="Times New Roman"/>
                <w:sz w:val="24"/>
                <w:szCs w:val="24"/>
              </w:rPr>
              <w:t xml:space="preserve"> etc.</w:t>
            </w:r>
            <w:r w:rsidR="00946992">
              <w:rPr>
                <w:rFonts w:ascii="Times New Roman" w:hAnsi="Times New Roman"/>
                <w:sz w:val="24"/>
                <w:szCs w:val="24"/>
              </w:rPr>
              <w:t>)</w:t>
            </w:r>
            <w:r w:rsidR="00DC6CEE" w:rsidRPr="00DC6CEE">
              <w:rPr>
                <w:rFonts w:ascii="Times New Roman" w:hAnsi="Times New Roman"/>
                <w:sz w:val="24"/>
                <w:szCs w:val="24"/>
              </w:rPr>
              <w:t xml:space="preserve">, </w:t>
            </w:r>
            <w:r w:rsidR="00EE5BBA">
              <w:rPr>
                <w:rFonts w:ascii="Times New Roman" w:hAnsi="Times New Roman"/>
                <w:sz w:val="24"/>
                <w:szCs w:val="24"/>
              </w:rPr>
              <w:t>yet</w:t>
            </w:r>
            <w:r w:rsidR="00DC6CEE" w:rsidRPr="00DC6CEE">
              <w:rPr>
                <w:rFonts w:ascii="Times New Roman" w:hAnsi="Times New Roman"/>
                <w:sz w:val="24"/>
                <w:szCs w:val="24"/>
              </w:rPr>
              <w:t xml:space="preserve"> during project implementation</w:t>
            </w:r>
            <w:r w:rsidR="00946992">
              <w:rPr>
                <w:rFonts w:ascii="Times New Roman" w:hAnsi="Times New Roman"/>
                <w:sz w:val="24"/>
                <w:szCs w:val="24"/>
              </w:rPr>
              <w:t xml:space="preserve"> </w:t>
            </w:r>
            <w:r w:rsidR="00DC6CEE" w:rsidRPr="00DC6CEE">
              <w:rPr>
                <w:rFonts w:ascii="Times New Roman" w:hAnsi="Times New Roman"/>
                <w:sz w:val="24"/>
                <w:szCs w:val="24"/>
              </w:rPr>
              <w:t xml:space="preserve">different vulnerabilities </w:t>
            </w:r>
            <w:r w:rsidR="00946992">
              <w:rPr>
                <w:rFonts w:ascii="Times New Roman" w:hAnsi="Times New Roman"/>
                <w:sz w:val="24"/>
                <w:szCs w:val="24"/>
              </w:rPr>
              <w:t xml:space="preserve">may </w:t>
            </w:r>
            <w:r w:rsidR="00DC6CEE" w:rsidRPr="00DC6CEE">
              <w:rPr>
                <w:rFonts w:ascii="Times New Roman" w:hAnsi="Times New Roman"/>
                <w:sz w:val="24"/>
                <w:szCs w:val="24"/>
              </w:rPr>
              <w:t xml:space="preserve">arise. </w:t>
            </w:r>
            <w:r w:rsidR="00FC0599">
              <w:rPr>
                <w:rFonts w:ascii="Times New Roman" w:hAnsi="Times New Roman"/>
                <w:sz w:val="24"/>
                <w:szCs w:val="24"/>
              </w:rPr>
              <w:t>I</w:t>
            </w:r>
            <w:r w:rsidR="00946992">
              <w:rPr>
                <w:rFonts w:ascii="Times New Roman" w:hAnsi="Times New Roman"/>
                <w:sz w:val="24"/>
                <w:szCs w:val="24"/>
              </w:rPr>
              <w:t>f</w:t>
            </w:r>
            <w:r w:rsidR="00DC6CEE" w:rsidRPr="00DC6CEE">
              <w:rPr>
                <w:rFonts w:ascii="Times New Roman" w:hAnsi="Times New Roman"/>
                <w:sz w:val="24"/>
                <w:szCs w:val="24"/>
              </w:rPr>
              <w:t xml:space="preserve"> </w:t>
            </w:r>
            <w:r w:rsidR="00946992">
              <w:rPr>
                <w:rFonts w:ascii="Times New Roman" w:hAnsi="Times New Roman"/>
                <w:sz w:val="24"/>
                <w:szCs w:val="24"/>
              </w:rPr>
              <w:t>such vulnerabilities</w:t>
            </w:r>
            <w:r w:rsidR="00DC6CEE" w:rsidRPr="00DC6CEE">
              <w:rPr>
                <w:rFonts w:ascii="Times New Roman" w:hAnsi="Times New Roman"/>
                <w:sz w:val="24"/>
                <w:szCs w:val="24"/>
              </w:rPr>
              <w:t xml:space="preserve"> are not enumerated in the standards,</w:t>
            </w:r>
            <w:r w:rsidR="00946992">
              <w:rPr>
                <w:rFonts w:ascii="Times New Roman" w:hAnsi="Times New Roman"/>
                <w:sz w:val="24"/>
                <w:szCs w:val="24"/>
              </w:rPr>
              <w:t xml:space="preserve"> </w:t>
            </w:r>
            <w:r w:rsidR="00DC6CEE" w:rsidRPr="00DC6CEE">
              <w:rPr>
                <w:rFonts w:ascii="Times New Roman" w:hAnsi="Times New Roman"/>
                <w:sz w:val="24"/>
                <w:szCs w:val="24"/>
              </w:rPr>
              <w:t xml:space="preserve">the </w:t>
            </w:r>
            <w:r w:rsidR="008112D2">
              <w:rPr>
                <w:rFonts w:ascii="Times New Roman" w:hAnsi="Times New Roman"/>
                <w:sz w:val="24"/>
                <w:szCs w:val="24"/>
              </w:rPr>
              <w:t>B</w:t>
            </w:r>
            <w:r w:rsidR="00DC6CEE" w:rsidRPr="00DC6CEE">
              <w:rPr>
                <w:rFonts w:ascii="Times New Roman" w:hAnsi="Times New Roman"/>
                <w:sz w:val="24"/>
                <w:szCs w:val="24"/>
              </w:rPr>
              <w:t>orrower may not include the</w:t>
            </w:r>
            <w:r w:rsidR="00946992">
              <w:rPr>
                <w:rFonts w:ascii="Times New Roman" w:hAnsi="Times New Roman"/>
                <w:sz w:val="24"/>
                <w:szCs w:val="24"/>
              </w:rPr>
              <w:t>m</w:t>
            </w:r>
            <w:r w:rsidR="00DC6CEE" w:rsidRPr="00DC6CEE">
              <w:rPr>
                <w:rFonts w:ascii="Times New Roman" w:hAnsi="Times New Roman"/>
                <w:sz w:val="24"/>
                <w:szCs w:val="24"/>
              </w:rPr>
              <w:t xml:space="preserve"> </w:t>
            </w:r>
            <w:r w:rsidR="000E6436">
              <w:rPr>
                <w:rFonts w:ascii="Times New Roman" w:hAnsi="Times New Roman"/>
                <w:sz w:val="24"/>
                <w:szCs w:val="24"/>
              </w:rPr>
              <w:t>among</w:t>
            </w:r>
            <w:r w:rsidR="00DC6CEE" w:rsidRPr="00DC6CEE">
              <w:rPr>
                <w:rFonts w:ascii="Times New Roman" w:hAnsi="Times New Roman"/>
                <w:sz w:val="24"/>
                <w:szCs w:val="24"/>
              </w:rPr>
              <w:t xml:space="preserve"> the vulnerable categories. In addition, for the groups that are enumerated, </w:t>
            </w:r>
            <w:r w:rsidR="00344F26">
              <w:rPr>
                <w:rFonts w:ascii="Times New Roman" w:hAnsi="Times New Roman"/>
                <w:sz w:val="24"/>
                <w:szCs w:val="24"/>
              </w:rPr>
              <w:t xml:space="preserve">how to handle them </w:t>
            </w:r>
            <w:r w:rsidR="00DC6CEE" w:rsidRPr="00DC6CEE">
              <w:rPr>
                <w:rFonts w:ascii="Times New Roman" w:hAnsi="Times New Roman"/>
                <w:sz w:val="24"/>
                <w:szCs w:val="24"/>
              </w:rPr>
              <w:t>remains open.</w:t>
            </w:r>
          </w:p>
        </w:tc>
      </w:tr>
      <w:tr w:rsidR="0028393F" w:rsidRPr="00BF54BC" w:rsidTr="00D26526">
        <w:tc>
          <w:tcPr>
            <w:tcW w:w="985" w:type="dxa"/>
            <w:vMerge/>
            <w:shd w:val="clear" w:color="auto" w:fill="E7E6E6" w:themeFill="background2"/>
          </w:tcPr>
          <w:p w:rsidR="0028393F" w:rsidRPr="00BF54BC" w:rsidRDefault="0028393F" w:rsidP="0028393F">
            <w:pPr>
              <w:rPr>
                <w:rFonts w:ascii="Times New Roman" w:hAnsi="Times New Roman" w:cs="Times New Roman"/>
                <w:color w:val="000000"/>
                <w:sz w:val="24"/>
                <w:szCs w:val="24"/>
              </w:rPr>
            </w:pPr>
          </w:p>
        </w:tc>
        <w:tc>
          <w:tcPr>
            <w:tcW w:w="2430" w:type="dxa"/>
            <w:shd w:val="clear" w:color="auto" w:fill="E7E6E6" w:themeFill="background2"/>
          </w:tcPr>
          <w:p w:rsidR="0028393F" w:rsidRPr="00BF54BC" w:rsidRDefault="0028393F" w:rsidP="0028393F">
            <w:pPr>
              <w:rPr>
                <w:rFonts w:ascii="Times New Roman" w:hAnsi="Times New Roman" w:cs="Times New Roman"/>
                <w:sz w:val="24"/>
                <w:szCs w:val="24"/>
              </w:rPr>
            </w:pPr>
            <w:r w:rsidRPr="00BF54BC">
              <w:rPr>
                <w:rFonts w:ascii="Times New Roman" w:hAnsi="Times New Roman" w:cs="Times New Roman"/>
                <w:color w:val="000000"/>
                <w:sz w:val="24"/>
                <w:szCs w:val="24"/>
              </w:rPr>
              <w:t>Use of Borrower’s Environmental and Social Framework</w:t>
            </w:r>
          </w:p>
        </w:tc>
        <w:tc>
          <w:tcPr>
            <w:tcW w:w="4860" w:type="dxa"/>
            <w:shd w:val="clear" w:color="auto" w:fill="E7E6E6" w:themeFill="background2"/>
          </w:tcPr>
          <w:p w:rsidR="0028393F" w:rsidRPr="00BF54BC" w:rsidRDefault="0028393F" w:rsidP="0028393F">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t>
            </w:r>
            <w:r w:rsidRPr="00BF54BC">
              <w:rPr>
                <w:rFonts w:ascii="Times New Roman" w:hAnsi="Times New Roman"/>
                <w:sz w:val="24"/>
                <w:szCs w:val="24"/>
              </w:rPr>
              <w:lastRenderedPageBreak/>
              <w:t xml:space="preserve">with Environmental and Social Standards (ESSs) </w:t>
            </w:r>
          </w:p>
          <w:p w:rsidR="0028393F" w:rsidRPr="00BF54BC" w:rsidRDefault="0028393F" w:rsidP="0028393F">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Approach for making decision on the use of Borrower frameworks, including the methodology for assessing where frameworks will allow projects to achieve objectives materially consistent with the ESSs, and the exercise of Bank discretion</w:t>
            </w:r>
          </w:p>
          <w:p w:rsidR="0028393F" w:rsidRPr="00BF54BC" w:rsidRDefault="0028393F" w:rsidP="0028393F">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Role of Borrower frameworks in high and substantial risk projects</w:t>
            </w:r>
          </w:p>
        </w:tc>
        <w:tc>
          <w:tcPr>
            <w:tcW w:w="6030" w:type="dxa"/>
          </w:tcPr>
          <w:p w:rsidR="00EB6E42" w:rsidRPr="00EB6E42" w:rsidRDefault="0028393F" w:rsidP="002F5AA7">
            <w:pPr>
              <w:pStyle w:val="ListParagraph"/>
              <w:numPr>
                <w:ilvl w:val="0"/>
                <w:numId w:val="14"/>
              </w:numPr>
              <w:ind w:left="342"/>
              <w:jc w:val="both"/>
              <w:rPr>
                <w:rFonts w:ascii="Times New Roman" w:hAnsi="Times New Roman"/>
                <w:sz w:val="24"/>
                <w:szCs w:val="24"/>
              </w:rPr>
            </w:pPr>
            <w:r w:rsidRPr="0028393F">
              <w:rPr>
                <w:rFonts w:ascii="Times New Roman" w:hAnsi="Times New Roman"/>
                <w:sz w:val="24"/>
                <w:szCs w:val="24"/>
              </w:rPr>
              <w:lastRenderedPageBreak/>
              <w:t>There are always gaps between national law and W</w:t>
            </w:r>
            <w:r w:rsidR="007F6C1B">
              <w:rPr>
                <w:rFonts w:ascii="Times New Roman" w:hAnsi="Times New Roman"/>
                <w:sz w:val="24"/>
                <w:szCs w:val="24"/>
              </w:rPr>
              <w:t xml:space="preserve">orld </w:t>
            </w:r>
            <w:r w:rsidRPr="0028393F">
              <w:rPr>
                <w:rFonts w:ascii="Times New Roman" w:hAnsi="Times New Roman"/>
                <w:sz w:val="24"/>
                <w:szCs w:val="24"/>
              </w:rPr>
              <w:t>B</w:t>
            </w:r>
            <w:r w:rsidR="007F6C1B">
              <w:rPr>
                <w:rFonts w:ascii="Times New Roman" w:hAnsi="Times New Roman"/>
                <w:sz w:val="24"/>
                <w:szCs w:val="24"/>
              </w:rPr>
              <w:t>ank</w:t>
            </w:r>
            <w:r w:rsidRPr="0028393F">
              <w:rPr>
                <w:rFonts w:ascii="Times New Roman" w:hAnsi="Times New Roman"/>
                <w:sz w:val="24"/>
                <w:szCs w:val="24"/>
              </w:rPr>
              <w:t xml:space="preserve"> standards. </w:t>
            </w:r>
            <w:r w:rsidR="00403156">
              <w:rPr>
                <w:rFonts w:ascii="Times New Roman" w:hAnsi="Times New Roman"/>
                <w:sz w:val="24"/>
                <w:szCs w:val="24"/>
              </w:rPr>
              <w:t>Thus</w:t>
            </w:r>
            <w:r w:rsidRPr="0028393F">
              <w:rPr>
                <w:rFonts w:ascii="Times New Roman" w:hAnsi="Times New Roman"/>
                <w:sz w:val="24"/>
                <w:szCs w:val="24"/>
              </w:rPr>
              <w:t xml:space="preserve">, how will application work? Will </w:t>
            </w:r>
            <w:r w:rsidR="002F5AA7">
              <w:rPr>
                <w:rFonts w:ascii="Times New Roman" w:hAnsi="Times New Roman"/>
                <w:sz w:val="24"/>
                <w:szCs w:val="24"/>
              </w:rPr>
              <w:t xml:space="preserve">the government have to close </w:t>
            </w:r>
            <w:r w:rsidRPr="0028393F">
              <w:rPr>
                <w:rFonts w:ascii="Times New Roman" w:hAnsi="Times New Roman"/>
                <w:sz w:val="24"/>
                <w:szCs w:val="24"/>
              </w:rPr>
              <w:t>gaps</w:t>
            </w:r>
            <w:r w:rsidR="00012C6F">
              <w:rPr>
                <w:rFonts w:ascii="Times New Roman" w:hAnsi="Times New Roman"/>
                <w:sz w:val="24"/>
                <w:szCs w:val="24"/>
              </w:rPr>
              <w:t xml:space="preserve"> </w:t>
            </w:r>
            <w:r w:rsidRPr="0028393F">
              <w:rPr>
                <w:rFonts w:ascii="Times New Roman" w:hAnsi="Times New Roman"/>
                <w:sz w:val="24"/>
                <w:szCs w:val="24"/>
              </w:rPr>
              <w:t>in all cases?</w:t>
            </w:r>
          </w:p>
        </w:tc>
      </w:tr>
      <w:tr w:rsidR="00F91580" w:rsidRPr="00BF54BC" w:rsidTr="00D26526">
        <w:tc>
          <w:tcPr>
            <w:tcW w:w="985" w:type="dxa"/>
            <w:vMerge/>
            <w:shd w:val="clear" w:color="auto" w:fill="E7E6E6" w:themeFill="background2"/>
          </w:tcPr>
          <w:p w:rsidR="00F91580" w:rsidRPr="00BF54BC" w:rsidRDefault="00F91580" w:rsidP="00F91580">
            <w:pPr>
              <w:rPr>
                <w:rFonts w:ascii="Times New Roman" w:hAnsi="Times New Roman" w:cs="Times New Roman"/>
                <w:sz w:val="24"/>
                <w:szCs w:val="24"/>
              </w:rPr>
            </w:pPr>
          </w:p>
        </w:tc>
        <w:tc>
          <w:tcPr>
            <w:tcW w:w="2430" w:type="dxa"/>
            <w:shd w:val="clear" w:color="auto" w:fill="E7E6E6" w:themeFill="background2"/>
          </w:tcPr>
          <w:p w:rsidR="00F91580" w:rsidRPr="00BF54BC" w:rsidRDefault="00F91580" w:rsidP="00F91580">
            <w:pPr>
              <w:rPr>
                <w:rFonts w:ascii="Times New Roman" w:hAnsi="Times New Roman" w:cs="Times New Roman"/>
                <w:sz w:val="24"/>
                <w:szCs w:val="24"/>
              </w:rPr>
            </w:pPr>
            <w:r w:rsidRPr="00BF54BC">
              <w:rPr>
                <w:rFonts w:ascii="Times New Roman" w:hAnsi="Times New Roman" w:cs="Times New Roman"/>
                <w:sz w:val="24"/>
                <w:szCs w:val="24"/>
              </w:rPr>
              <w:t>Co-financing/ common approach</w:t>
            </w:r>
          </w:p>
        </w:tc>
        <w:tc>
          <w:tcPr>
            <w:tcW w:w="4860" w:type="dxa"/>
            <w:shd w:val="clear" w:color="auto" w:fill="E7E6E6" w:themeFill="background2"/>
          </w:tcPr>
          <w:p w:rsidR="00F91580" w:rsidRPr="00BF54BC" w:rsidRDefault="00F91580" w:rsidP="00F91580">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Arrangements on E&amp;S standards in co-financing situations where the co-financier’s standards are different from those of the Bank</w:t>
            </w:r>
          </w:p>
        </w:tc>
        <w:tc>
          <w:tcPr>
            <w:tcW w:w="6030" w:type="dxa"/>
          </w:tcPr>
          <w:p w:rsidR="00F91580" w:rsidRPr="00074D64" w:rsidRDefault="00F91580" w:rsidP="008D106B">
            <w:pPr>
              <w:pStyle w:val="ListParagraph"/>
              <w:ind w:left="342"/>
              <w:jc w:val="both"/>
              <w:rPr>
                <w:rFonts w:ascii="Times New Roman" w:hAnsi="Times New Roman"/>
                <w:sz w:val="24"/>
                <w:szCs w:val="24"/>
              </w:rPr>
            </w:pPr>
          </w:p>
        </w:tc>
      </w:tr>
      <w:tr w:rsidR="00944F46" w:rsidRPr="00BF54BC" w:rsidTr="00D26526">
        <w:tc>
          <w:tcPr>
            <w:tcW w:w="985" w:type="dxa"/>
            <w:vMerge/>
            <w:shd w:val="clear" w:color="auto" w:fill="E7E6E6" w:themeFill="background2"/>
          </w:tcPr>
          <w:p w:rsidR="00944F46" w:rsidRPr="00BF54BC" w:rsidRDefault="00944F46" w:rsidP="00444D49">
            <w:pPr>
              <w:rPr>
                <w:rFonts w:ascii="Times New Roman" w:hAnsi="Times New Roman" w:cs="Times New Roman"/>
                <w:sz w:val="24"/>
                <w:szCs w:val="24"/>
              </w:rPr>
            </w:pPr>
          </w:p>
        </w:tc>
        <w:tc>
          <w:tcPr>
            <w:tcW w:w="2430" w:type="dxa"/>
            <w:shd w:val="clear" w:color="auto" w:fill="E7E6E6" w:themeFill="background2"/>
          </w:tcPr>
          <w:p w:rsidR="00944F46" w:rsidRPr="00BF54BC" w:rsidRDefault="00944F46" w:rsidP="00F17728">
            <w:pPr>
              <w:rPr>
                <w:rFonts w:ascii="Times New Roman" w:hAnsi="Times New Roman" w:cs="Times New Roman"/>
                <w:sz w:val="24"/>
                <w:szCs w:val="24"/>
              </w:rPr>
            </w:pPr>
            <w:r w:rsidRPr="00BF54BC">
              <w:rPr>
                <w:rFonts w:ascii="Times New Roman" w:hAnsi="Times New Roman" w:cs="Times New Roman"/>
                <w:sz w:val="24"/>
                <w:szCs w:val="24"/>
              </w:rPr>
              <w:t>Adaptive risk management</w:t>
            </w:r>
          </w:p>
        </w:tc>
        <w:tc>
          <w:tcPr>
            <w:tcW w:w="4860" w:type="dxa"/>
            <w:shd w:val="clear" w:color="auto" w:fill="E7E6E6" w:themeFill="background2"/>
          </w:tcPr>
          <w:p w:rsidR="00944F46" w:rsidRPr="00BF54BC" w:rsidRDefault="00944F46" w:rsidP="001C5B10">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Approach to monitoring E&amp;S compliance and changes to the project during implementation</w:t>
            </w:r>
          </w:p>
        </w:tc>
        <w:tc>
          <w:tcPr>
            <w:tcW w:w="6030" w:type="dxa"/>
          </w:tcPr>
          <w:p w:rsidR="00944F46" w:rsidRPr="00BF54BC" w:rsidRDefault="00944F46" w:rsidP="004D1AE5">
            <w:pPr>
              <w:pStyle w:val="ListParagraph"/>
              <w:ind w:left="342"/>
              <w:jc w:val="both"/>
              <w:rPr>
                <w:rFonts w:ascii="Times New Roman" w:hAnsi="Times New Roman"/>
                <w:sz w:val="24"/>
                <w:szCs w:val="24"/>
              </w:rPr>
            </w:pPr>
          </w:p>
        </w:tc>
      </w:tr>
      <w:tr w:rsidR="00C17C54" w:rsidRPr="00BF54BC" w:rsidTr="00D26526">
        <w:tc>
          <w:tcPr>
            <w:tcW w:w="985" w:type="dxa"/>
            <w:vMerge/>
            <w:shd w:val="clear" w:color="auto" w:fill="E7E6E6" w:themeFill="background2"/>
          </w:tcPr>
          <w:p w:rsidR="00C17C54" w:rsidRPr="00BF54BC" w:rsidRDefault="00C17C54" w:rsidP="00C17C54">
            <w:pPr>
              <w:rPr>
                <w:rFonts w:ascii="Times New Roman" w:hAnsi="Times New Roman" w:cs="Times New Roman"/>
                <w:sz w:val="24"/>
                <w:szCs w:val="24"/>
              </w:rPr>
            </w:pPr>
          </w:p>
        </w:tc>
        <w:tc>
          <w:tcPr>
            <w:tcW w:w="2430" w:type="dxa"/>
            <w:shd w:val="clear" w:color="auto" w:fill="E7E6E6" w:themeFill="background2"/>
          </w:tcPr>
          <w:p w:rsidR="00C17C54" w:rsidRPr="00BF54BC" w:rsidRDefault="00C17C54" w:rsidP="00C17C54">
            <w:pPr>
              <w:rPr>
                <w:rFonts w:ascii="Times New Roman" w:hAnsi="Times New Roman" w:cs="Times New Roman"/>
                <w:sz w:val="24"/>
                <w:szCs w:val="24"/>
              </w:rPr>
            </w:pPr>
            <w:r w:rsidRPr="00BF54BC">
              <w:rPr>
                <w:rFonts w:ascii="Times New Roman" w:hAnsi="Times New Roman" w:cs="Times New Roman"/>
                <w:sz w:val="24"/>
                <w:szCs w:val="24"/>
              </w:rPr>
              <w:t>Risk classification</w:t>
            </w:r>
          </w:p>
        </w:tc>
        <w:tc>
          <w:tcPr>
            <w:tcW w:w="4860" w:type="dxa"/>
            <w:shd w:val="clear" w:color="auto" w:fill="E7E6E6" w:themeFill="background2"/>
          </w:tcPr>
          <w:p w:rsidR="00C17C54" w:rsidRPr="00BF54BC" w:rsidDel="00EF3E5D" w:rsidRDefault="00C17C54" w:rsidP="00C17C54">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Approach to determining and reviewing the risk level of a project</w:t>
            </w:r>
          </w:p>
        </w:tc>
        <w:tc>
          <w:tcPr>
            <w:tcW w:w="6030" w:type="dxa"/>
          </w:tcPr>
          <w:p w:rsidR="00963778" w:rsidRDefault="00C56F7D" w:rsidP="00963778">
            <w:pPr>
              <w:pStyle w:val="ListParagraph"/>
              <w:numPr>
                <w:ilvl w:val="0"/>
                <w:numId w:val="14"/>
              </w:numPr>
              <w:ind w:left="342"/>
              <w:jc w:val="both"/>
              <w:rPr>
                <w:rFonts w:ascii="Times New Roman" w:hAnsi="Times New Roman"/>
                <w:sz w:val="24"/>
                <w:szCs w:val="24"/>
              </w:rPr>
            </w:pPr>
            <w:r>
              <w:rPr>
                <w:rFonts w:ascii="Times New Roman" w:hAnsi="Times New Roman"/>
                <w:sz w:val="24"/>
                <w:szCs w:val="24"/>
              </w:rPr>
              <w:t>The Bank should describe</w:t>
            </w:r>
            <w:r w:rsidR="000167ED">
              <w:rPr>
                <w:rFonts w:ascii="Times New Roman" w:hAnsi="Times New Roman"/>
                <w:sz w:val="24"/>
                <w:szCs w:val="24"/>
              </w:rPr>
              <w:t xml:space="preserve"> </w:t>
            </w:r>
            <w:r w:rsidR="00074D64" w:rsidRPr="00074D64">
              <w:rPr>
                <w:rFonts w:ascii="Times New Roman" w:hAnsi="Times New Roman"/>
                <w:sz w:val="24"/>
                <w:szCs w:val="24"/>
              </w:rPr>
              <w:t>the relationship</w:t>
            </w:r>
            <w:r w:rsidR="007E17D4">
              <w:rPr>
                <w:rFonts w:ascii="Times New Roman" w:hAnsi="Times New Roman"/>
                <w:sz w:val="24"/>
                <w:szCs w:val="24"/>
              </w:rPr>
              <w:t xml:space="preserve"> between risk categorization</w:t>
            </w:r>
            <w:r w:rsidR="00EA085A">
              <w:rPr>
                <w:rFonts w:ascii="Times New Roman" w:hAnsi="Times New Roman"/>
                <w:sz w:val="24"/>
                <w:szCs w:val="24"/>
              </w:rPr>
              <w:t xml:space="preserve"> </w:t>
            </w:r>
            <w:r w:rsidR="00074D64" w:rsidRPr="00074D64">
              <w:rPr>
                <w:rFonts w:ascii="Times New Roman" w:hAnsi="Times New Roman"/>
                <w:sz w:val="24"/>
                <w:szCs w:val="24"/>
              </w:rPr>
              <w:t xml:space="preserve">and </w:t>
            </w:r>
            <w:r w:rsidR="007E17D4">
              <w:rPr>
                <w:rFonts w:ascii="Times New Roman" w:hAnsi="Times New Roman"/>
                <w:sz w:val="24"/>
                <w:szCs w:val="24"/>
              </w:rPr>
              <w:t>its</w:t>
            </w:r>
            <w:r w:rsidR="00EA085A">
              <w:rPr>
                <w:rFonts w:ascii="Times New Roman" w:hAnsi="Times New Roman"/>
                <w:sz w:val="24"/>
                <w:szCs w:val="24"/>
              </w:rPr>
              <w:t xml:space="preserve"> </w:t>
            </w:r>
            <w:r w:rsidR="00074D64" w:rsidRPr="00074D64">
              <w:rPr>
                <w:rFonts w:ascii="Times New Roman" w:hAnsi="Times New Roman"/>
                <w:sz w:val="24"/>
                <w:szCs w:val="24"/>
              </w:rPr>
              <w:t>application</w:t>
            </w:r>
            <w:r w:rsidR="007E17D4">
              <w:rPr>
                <w:rFonts w:ascii="Times New Roman" w:hAnsi="Times New Roman"/>
                <w:sz w:val="24"/>
                <w:szCs w:val="24"/>
              </w:rPr>
              <w:t xml:space="preserve"> </w:t>
            </w:r>
            <w:r w:rsidR="003E3D39">
              <w:rPr>
                <w:rFonts w:ascii="Times New Roman" w:hAnsi="Times New Roman"/>
                <w:sz w:val="24"/>
                <w:szCs w:val="24"/>
              </w:rPr>
              <w:t>under</w:t>
            </w:r>
            <w:r w:rsidR="007E17D4">
              <w:rPr>
                <w:rFonts w:ascii="Times New Roman" w:hAnsi="Times New Roman"/>
                <w:sz w:val="24"/>
                <w:szCs w:val="24"/>
              </w:rPr>
              <w:t xml:space="preserve"> Borrower frameworks</w:t>
            </w:r>
            <w:r w:rsidR="00074D64" w:rsidRPr="00074D64">
              <w:rPr>
                <w:rFonts w:ascii="Times New Roman" w:hAnsi="Times New Roman"/>
                <w:sz w:val="24"/>
                <w:szCs w:val="24"/>
              </w:rPr>
              <w:t xml:space="preserve"> </w:t>
            </w:r>
            <w:r w:rsidR="00F24D66">
              <w:rPr>
                <w:rFonts w:ascii="Times New Roman" w:hAnsi="Times New Roman"/>
                <w:sz w:val="24"/>
                <w:szCs w:val="24"/>
              </w:rPr>
              <w:t>(</w:t>
            </w:r>
            <w:r w:rsidR="00074D64" w:rsidRPr="00074D64">
              <w:rPr>
                <w:rFonts w:ascii="Times New Roman" w:hAnsi="Times New Roman"/>
                <w:sz w:val="24"/>
                <w:szCs w:val="24"/>
              </w:rPr>
              <w:t>e.g. will only high risk subprojects be subject to ESS?</w:t>
            </w:r>
            <w:r w:rsidR="00F24D66">
              <w:rPr>
                <w:rFonts w:ascii="Times New Roman" w:hAnsi="Times New Roman"/>
                <w:sz w:val="24"/>
                <w:szCs w:val="24"/>
              </w:rPr>
              <w:t>).</w:t>
            </w:r>
          </w:p>
          <w:p w:rsidR="00963778" w:rsidRDefault="00963778" w:rsidP="00F95120">
            <w:pPr>
              <w:pStyle w:val="ListParagraph"/>
              <w:numPr>
                <w:ilvl w:val="0"/>
                <w:numId w:val="14"/>
              </w:numPr>
              <w:ind w:left="342"/>
              <w:jc w:val="both"/>
              <w:rPr>
                <w:rFonts w:ascii="Times New Roman" w:hAnsi="Times New Roman"/>
                <w:sz w:val="24"/>
                <w:szCs w:val="24"/>
              </w:rPr>
            </w:pPr>
            <w:r w:rsidRPr="00963778">
              <w:rPr>
                <w:rFonts w:ascii="Times New Roman" w:hAnsi="Times New Roman"/>
                <w:sz w:val="24"/>
                <w:szCs w:val="24"/>
              </w:rPr>
              <w:t>ESF includes identification of risk, vulnerable groups, stakeholder engagement</w:t>
            </w:r>
            <w:r w:rsidR="00B95D64">
              <w:rPr>
                <w:rFonts w:ascii="Times New Roman" w:hAnsi="Times New Roman"/>
                <w:sz w:val="24"/>
                <w:szCs w:val="24"/>
              </w:rPr>
              <w:t>,</w:t>
            </w:r>
            <w:r w:rsidRPr="00963778">
              <w:rPr>
                <w:rFonts w:ascii="Times New Roman" w:hAnsi="Times New Roman"/>
                <w:sz w:val="24"/>
                <w:szCs w:val="24"/>
              </w:rPr>
              <w:t xml:space="preserve"> etc. But for each project or sub-project, risk categorization should be made</w:t>
            </w:r>
            <w:r w:rsidR="00B95D64">
              <w:rPr>
                <w:rFonts w:ascii="Times New Roman" w:hAnsi="Times New Roman"/>
                <w:sz w:val="24"/>
                <w:szCs w:val="24"/>
              </w:rPr>
              <w:t>,</w:t>
            </w:r>
            <w:r w:rsidRPr="00963778">
              <w:rPr>
                <w:rFonts w:ascii="Times New Roman" w:hAnsi="Times New Roman"/>
                <w:sz w:val="24"/>
                <w:szCs w:val="24"/>
              </w:rPr>
              <w:t xml:space="preserve"> and the degree of stakeholder engagement</w:t>
            </w:r>
            <w:r w:rsidR="00B95D64">
              <w:rPr>
                <w:rFonts w:ascii="Times New Roman" w:hAnsi="Times New Roman"/>
                <w:sz w:val="24"/>
                <w:szCs w:val="24"/>
              </w:rPr>
              <w:t>,</w:t>
            </w:r>
            <w:r w:rsidRPr="00963778">
              <w:rPr>
                <w:rFonts w:ascii="Times New Roman" w:hAnsi="Times New Roman"/>
                <w:sz w:val="24"/>
                <w:szCs w:val="24"/>
              </w:rPr>
              <w:t xml:space="preserve"> etc</w:t>
            </w:r>
            <w:r w:rsidR="00E140A7">
              <w:rPr>
                <w:rFonts w:ascii="Times New Roman" w:hAnsi="Times New Roman"/>
                <w:sz w:val="24"/>
                <w:szCs w:val="24"/>
              </w:rPr>
              <w:t>.</w:t>
            </w:r>
            <w:r w:rsidRPr="00963778">
              <w:rPr>
                <w:rFonts w:ascii="Times New Roman" w:hAnsi="Times New Roman"/>
                <w:sz w:val="24"/>
                <w:szCs w:val="24"/>
              </w:rPr>
              <w:t xml:space="preserve"> should depend on this level of risk.</w:t>
            </w:r>
          </w:p>
          <w:p w:rsidR="006F0740" w:rsidRDefault="008B32D9" w:rsidP="006F0740">
            <w:pPr>
              <w:pStyle w:val="ListParagraph"/>
              <w:numPr>
                <w:ilvl w:val="0"/>
                <w:numId w:val="14"/>
              </w:numPr>
              <w:ind w:left="342"/>
              <w:jc w:val="both"/>
              <w:rPr>
                <w:rFonts w:ascii="Times New Roman" w:hAnsi="Times New Roman"/>
                <w:sz w:val="24"/>
                <w:szCs w:val="24"/>
              </w:rPr>
            </w:pPr>
            <w:r>
              <w:rPr>
                <w:rFonts w:ascii="Times New Roman" w:hAnsi="Times New Roman"/>
                <w:sz w:val="24"/>
                <w:szCs w:val="24"/>
              </w:rPr>
              <w:t>A participant asked a</w:t>
            </w:r>
            <w:r w:rsidR="006F0740">
              <w:rPr>
                <w:rFonts w:ascii="Times New Roman" w:hAnsi="Times New Roman"/>
                <w:sz w:val="24"/>
                <w:szCs w:val="24"/>
              </w:rPr>
              <w:t>t which level of the project preparation</w:t>
            </w:r>
            <w:r w:rsidR="003B1B27">
              <w:rPr>
                <w:rFonts w:ascii="Times New Roman" w:hAnsi="Times New Roman"/>
                <w:sz w:val="24"/>
                <w:szCs w:val="24"/>
              </w:rPr>
              <w:t xml:space="preserve"> will</w:t>
            </w:r>
            <w:r w:rsidR="006F0740">
              <w:rPr>
                <w:rFonts w:ascii="Times New Roman" w:hAnsi="Times New Roman"/>
                <w:sz w:val="24"/>
                <w:szCs w:val="24"/>
              </w:rPr>
              <w:t xml:space="preserve"> the risk classification of the Borrower’s project/sub-borrowers’ projects be determined? </w:t>
            </w:r>
          </w:p>
          <w:p w:rsidR="006F0740" w:rsidRPr="006F0740" w:rsidRDefault="006F0740" w:rsidP="006F0740">
            <w:pPr>
              <w:pStyle w:val="ListParagraph"/>
              <w:numPr>
                <w:ilvl w:val="0"/>
                <w:numId w:val="14"/>
              </w:numPr>
              <w:ind w:left="342"/>
              <w:jc w:val="both"/>
              <w:rPr>
                <w:rFonts w:ascii="Times New Roman" w:hAnsi="Times New Roman"/>
                <w:sz w:val="24"/>
                <w:szCs w:val="24"/>
              </w:rPr>
            </w:pPr>
            <w:r w:rsidRPr="006F0740">
              <w:rPr>
                <w:rFonts w:ascii="Times New Roman" w:hAnsi="Times New Roman"/>
                <w:sz w:val="24"/>
                <w:szCs w:val="24"/>
              </w:rPr>
              <w:t>If the laws of the country</w:t>
            </w:r>
            <w:r>
              <w:rPr>
                <w:rFonts w:ascii="Times New Roman" w:hAnsi="Times New Roman"/>
                <w:sz w:val="24"/>
                <w:szCs w:val="24"/>
              </w:rPr>
              <w:t xml:space="preserve"> will be applied for </w:t>
            </w:r>
            <w:r w:rsidR="008B32D9">
              <w:rPr>
                <w:rFonts w:ascii="Times New Roman" w:hAnsi="Times New Roman"/>
                <w:sz w:val="24"/>
                <w:szCs w:val="24"/>
              </w:rPr>
              <w:t>m</w:t>
            </w:r>
            <w:r>
              <w:rPr>
                <w:rFonts w:ascii="Times New Roman" w:hAnsi="Times New Roman"/>
                <w:sz w:val="24"/>
                <w:szCs w:val="24"/>
              </w:rPr>
              <w:t xml:space="preserve">oderate and low risk projects, then the monitoring and evaluation of the Bank should be defined clearly. </w:t>
            </w:r>
          </w:p>
          <w:p w:rsidR="006F0740" w:rsidRPr="00963778" w:rsidRDefault="006F0740" w:rsidP="006F0740">
            <w:pPr>
              <w:pStyle w:val="ListParagraph"/>
              <w:ind w:left="342"/>
              <w:jc w:val="both"/>
              <w:rPr>
                <w:rFonts w:ascii="Times New Roman" w:hAnsi="Times New Roman"/>
                <w:sz w:val="24"/>
                <w:szCs w:val="24"/>
              </w:rPr>
            </w:pPr>
          </w:p>
        </w:tc>
      </w:tr>
      <w:tr w:rsidR="00C17C54" w:rsidRPr="00BF54BC" w:rsidTr="00D26526">
        <w:tc>
          <w:tcPr>
            <w:tcW w:w="985" w:type="dxa"/>
            <w:vMerge w:val="restart"/>
            <w:shd w:val="clear" w:color="auto" w:fill="E7E6E6" w:themeFill="background2"/>
          </w:tcPr>
          <w:p w:rsidR="00C17C54" w:rsidRPr="00BF54BC" w:rsidRDefault="00C17C54" w:rsidP="00C17C54">
            <w:pPr>
              <w:rPr>
                <w:rFonts w:ascii="Times New Roman" w:hAnsi="Times New Roman" w:cs="Times New Roman"/>
                <w:sz w:val="24"/>
                <w:szCs w:val="24"/>
              </w:rPr>
            </w:pPr>
            <w:r w:rsidRPr="00BF54BC">
              <w:rPr>
                <w:rFonts w:ascii="Times New Roman" w:hAnsi="Times New Roman" w:cs="Times New Roman"/>
                <w:sz w:val="24"/>
                <w:szCs w:val="24"/>
              </w:rPr>
              <w:lastRenderedPageBreak/>
              <w:t>ESS1</w:t>
            </w:r>
          </w:p>
          <w:p w:rsidR="00C17C54" w:rsidRPr="00BF54BC" w:rsidRDefault="00C17C54" w:rsidP="00C17C54">
            <w:pPr>
              <w:rPr>
                <w:rFonts w:ascii="Times New Roman" w:hAnsi="Times New Roman" w:cs="Times New Roman"/>
                <w:sz w:val="24"/>
                <w:szCs w:val="24"/>
              </w:rPr>
            </w:pPr>
          </w:p>
        </w:tc>
        <w:tc>
          <w:tcPr>
            <w:tcW w:w="2430" w:type="dxa"/>
            <w:shd w:val="clear" w:color="auto" w:fill="E7E6E6" w:themeFill="background2"/>
          </w:tcPr>
          <w:p w:rsidR="00C17C54" w:rsidRPr="00BF54BC" w:rsidRDefault="00C17C54" w:rsidP="00C17C54">
            <w:pPr>
              <w:rPr>
                <w:rFonts w:ascii="Times New Roman" w:hAnsi="Times New Roman" w:cs="Times New Roman"/>
                <w:sz w:val="24"/>
                <w:szCs w:val="24"/>
              </w:rPr>
            </w:pPr>
            <w:r w:rsidRPr="00BF54BC">
              <w:rPr>
                <w:rFonts w:ascii="Times New Roman" w:hAnsi="Times New Roman" w:cs="Times New Roman"/>
                <w:sz w:val="24"/>
                <w:szCs w:val="24"/>
              </w:rPr>
              <w:t>Assessment and management of environmental and social risks and impacts</w:t>
            </w:r>
          </w:p>
        </w:tc>
        <w:tc>
          <w:tcPr>
            <w:tcW w:w="4860" w:type="dxa"/>
            <w:shd w:val="clear" w:color="auto" w:fill="E7E6E6" w:themeFill="background2"/>
          </w:tcPr>
          <w:p w:rsidR="00C17C54" w:rsidRPr="00BF54BC" w:rsidRDefault="00C17C54" w:rsidP="00C17C54">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Assessment and nature of cumulative and indirect impacts to be taken into account</w:t>
            </w:r>
          </w:p>
          <w:p w:rsidR="00C17C54" w:rsidRPr="00BF54BC" w:rsidRDefault="00C17C54" w:rsidP="00C17C54">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Treatment of cumulative and indirect impacts when identified in the assessment of the project</w:t>
            </w:r>
          </w:p>
          <w:p w:rsidR="00C17C54" w:rsidRPr="00BF54BC" w:rsidRDefault="00C17C54" w:rsidP="00C17C54">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Establishing project boundaries and the applicability of the ESSs to Associated Facilities, contractors, primary suppliers, FI subprojects and directly funded sub-projects</w:t>
            </w:r>
          </w:p>
          <w:p w:rsidR="00C17C54" w:rsidRPr="00BF54BC" w:rsidRDefault="00C17C54" w:rsidP="00C17C54">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Circumstances under which the Bank will determine whether the Borrower will be required to retain independent third party specialists</w:t>
            </w:r>
          </w:p>
        </w:tc>
        <w:tc>
          <w:tcPr>
            <w:tcW w:w="6030" w:type="dxa"/>
          </w:tcPr>
          <w:p w:rsidR="00812A51" w:rsidRDefault="00812A51" w:rsidP="00812A51">
            <w:pPr>
              <w:pStyle w:val="ListParagraph"/>
              <w:ind w:left="342"/>
              <w:jc w:val="both"/>
              <w:rPr>
                <w:rFonts w:ascii="Times New Roman" w:hAnsi="Times New Roman"/>
                <w:sz w:val="24"/>
                <w:szCs w:val="24"/>
              </w:rPr>
            </w:pPr>
          </w:p>
          <w:p w:rsidR="00812A51" w:rsidRDefault="00812A51" w:rsidP="00812A51">
            <w:pPr>
              <w:pStyle w:val="ListParagraph"/>
              <w:ind w:left="342"/>
              <w:jc w:val="both"/>
              <w:rPr>
                <w:rFonts w:ascii="Times New Roman" w:hAnsi="Times New Roman"/>
                <w:sz w:val="24"/>
                <w:szCs w:val="24"/>
              </w:rPr>
            </w:pPr>
          </w:p>
          <w:p w:rsidR="00812A51" w:rsidRDefault="00812A51" w:rsidP="00812A51">
            <w:pPr>
              <w:pStyle w:val="ListParagraph"/>
              <w:ind w:left="342"/>
              <w:jc w:val="both"/>
              <w:rPr>
                <w:rFonts w:ascii="Times New Roman" w:hAnsi="Times New Roman"/>
                <w:sz w:val="24"/>
                <w:szCs w:val="24"/>
              </w:rPr>
            </w:pPr>
          </w:p>
          <w:p w:rsidR="00812A51" w:rsidRDefault="00812A51" w:rsidP="00812A51">
            <w:pPr>
              <w:pStyle w:val="ListParagraph"/>
              <w:ind w:left="342"/>
              <w:jc w:val="both"/>
              <w:rPr>
                <w:rFonts w:ascii="Times New Roman" w:hAnsi="Times New Roman"/>
                <w:sz w:val="24"/>
                <w:szCs w:val="24"/>
              </w:rPr>
            </w:pPr>
          </w:p>
          <w:p w:rsidR="00812A51" w:rsidRPr="00812A51" w:rsidRDefault="00812A51" w:rsidP="00812A51">
            <w:pPr>
              <w:pStyle w:val="ListParagraph"/>
              <w:ind w:left="342"/>
              <w:jc w:val="both"/>
              <w:rPr>
                <w:rFonts w:ascii="Times New Roman" w:hAnsi="Times New Roman"/>
                <w:sz w:val="24"/>
                <w:szCs w:val="24"/>
              </w:rPr>
            </w:pPr>
          </w:p>
          <w:p w:rsidR="00C17C54" w:rsidRPr="00BF54BC" w:rsidRDefault="00344F0E" w:rsidP="0053352F">
            <w:pPr>
              <w:pStyle w:val="ListParagraph"/>
              <w:numPr>
                <w:ilvl w:val="0"/>
                <w:numId w:val="15"/>
              </w:numPr>
              <w:ind w:left="342"/>
              <w:jc w:val="both"/>
              <w:rPr>
                <w:rFonts w:ascii="Times New Roman" w:hAnsi="Times New Roman"/>
                <w:sz w:val="24"/>
                <w:szCs w:val="24"/>
              </w:rPr>
            </w:pPr>
            <w:r w:rsidRPr="009610AA">
              <w:rPr>
                <w:rFonts w:ascii="Times New Roman" w:hAnsi="Times New Roman"/>
                <w:sz w:val="24"/>
                <w:szCs w:val="24"/>
                <w:u w:val="single"/>
              </w:rPr>
              <w:t>Associated/</w:t>
            </w:r>
            <w:r>
              <w:rPr>
                <w:rFonts w:ascii="Times New Roman" w:hAnsi="Times New Roman"/>
                <w:sz w:val="24"/>
                <w:szCs w:val="24"/>
                <w:u w:val="single"/>
              </w:rPr>
              <w:t>a</w:t>
            </w:r>
            <w:r w:rsidRPr="009610AA">
              <w:rPr>
                <w:rFonts w:ascii="Times New Roman" w:hAnsi="Times New Roman"/>
                <w:sz w:val="24"/>
                <w:szCs w:val="24"/>
                <w:u w:val="single"/>
              </w:rPr>
              <w:t xml:space="preserve">ncillary </w:t>
            </w:r>
            <w:r>
              <w:rPr>
                <w:rFonts w:ascii="Times New Roman" w:hAnsi="Times New Roman"/>
                <w:sz w:val="24"/>
                <w:szCs w:val="24"/>
                <w:u w:val="single"/>
              </w:rPr>
              <w:t>a</w:t>
            </w:r>
            <w:r w:rsidRPr="009610AA">
              <w:rPr>
                <w:rFonts w:ascii="Times New Roman" w:hAnsi="Times New Roman"/>
                <w:sz w:val="24"/>
                <w:szCs w:val="24"/>
                <w:u w:val="single"/>
              </w:rPr>
              <w:t>ctivities</w:t>
            </w:r>
            <w:r w:rsidRPr="00201813">
              <w:rPr>
                <w:rFonts w:ascii="Times New Roman" w:hAnsi="Times New Roman"/>
                <w:sz w:val="24"/>
                <w:szCs w:val="24"/>
                <w:u w:val="single"/>
              </w:rPr>
              <w:t>:</w:t>
            </w:r>
            <w:r w:rsidRPr="009610AA">
              <w:rPr>
                <w:rFonts w:ascii="Times New Roman" w:hAnsi="Times New Roman"/>
                <w:sz w:val="24"/>
                <w:szCs w:val="24"/>
              </w:rPr>
              <w:t xml:space="preserve"> </w:t>
            </w:r>
            <w:r>
              <w:rPr>
                <w:rFonts w:ascii="Times New Roman" w:hAnsi="Times New Roman"/>
                <w:sz w:val="24"/>
                <w:szCs w:val="24"/>
              </w:rPr>
              <w:t>The government</w:t>
            </w:r>
            <w:r w:rsidRPr="009610AA">
              <w:rPr>
                <w:rFonts w:ascii="Times New Roman" w:hAnsi="Times New Roman"/>
                <w:sz w:val="24"/>
                <w:szCs w:val="24"/>
              </w:rPr>
              <w:t xml:space="preserve"> ha</w:t>
            </w:r>
            <w:r>
              <w:rPr>
                <w:rFonts w:ascii="Times New Roman" w:hAnsi="Times New Roman"/>
                <w:sz w:val="24"/>
                <w:szCs w:val="24"/>
              </w:rPr>
              <w:t>s</w:t>
            </w:r>
            <w:r w:rsidRPr="009610AA">
              <w:rPr>
                <w:rFonts w:ascii="Times New Roman" w:hAnsi="Times New Roman"/>
                <w:sz w:val="24"/>
                <w:szCs w:val="24"/>
              </w:rPr>
              <w:t xml:space="preserve"> </w:t>
            </w:r>
            <w:r w:rsidR="0053352F">
              <w:rPr>
                <w:rFonts w:ascii="Times New Roman" w:hAnsi="Times New Roman"/>
                <w:sz w:val="24"/>
                <w:szCs w:val="24"/>
              </w:rPr>
              <w:t xml:space="preserve">faced </w:t>
            </w:r>
            <w:r w:rsidRPr="009610AA">
              <w:rPr>
                <w:rFonts w:ascii="Times New Roman" w:hAnsi="Times New Roman"/>
                <w:sz w:val="24"/>
                <w:szCs w:val="24"/>
              </w:rPr>
              <w:t>difficult</w:t>
            </w:r>
            <w:r w:rsidR="0053352F">
              <w:rPr>
                <w:rFonts w:ascii="Times New Roman" w:hAnsi="Times New Roman"/>
                <w:sz w:val="24"/>
                <w:szCs w:val="24"/>
              </w:rPr>
              <w:t>ies</w:t>
            </w:r>
            <w:r w:rsidRPr="009610AA">
              <w:rPr>
                <w:rFonts w:ascii="Times New Roman" w:hAnsi="Times New Roman"/>
                <w:sz w:val="24"/>
                <w:szCs w:val="24"/>
              </w:rPr>
              <w:t xml:space="preserve"> </w:t>
            </w:r>
            <w:r w:rsidR="0053352F">
              <w:rPr>
                <w:rFonts w:ascii="Times New Roman" w:hAnsi="Times New Roman"/>
                <w:sz w:val="24"/>
                <w:szCs w:val="24"/>
              </w:rPr>
              <w:t xml:space="preserve">in </w:t>
            </w:r>
            <w:r w:rsidR="003E3260">
              <w:rPr>
                <w:rFonts w:ascii="Times New Roman" w:hAnsi="Times New Roman"/>
                <w:sz w:val="24"/>
                <w:szCs w:val="24"/>
              </w:rPr>
              <w:t xml:space="preserve">dealing </w:t>
            </w:r>
            <w:r w:rsidRPr="009610AA">
              <w:rPr>
                <w:rFonts w:ascii="Times New Roman" w:hAnsi="Times New Roman"/>
                <w:sz w:val="24"/>
                <w:szCs w:val="24"/>
              </w:rPr>
              <w:t xml:space="preserve">with associated facilities – especially with electricity transmission lines connected to renewable energy projects, </w:t>
            </w:r>
            <w:r>
              <w:rPr>
                <w:rFonts w:ascii="Times New Roman" w:hAnsi="Times New Roman"/>
                <w:sz w:val="24"/>
                <w:szCs w:val="24"/>
              </w:rPr>
              <w:t xml:space="preserve">and </w:t>
            </w:r>
            <w:r w:rsidRPr="009610AA">
              <w:rPr>
                <w:rFonts w:ascii="Times New Roman" w:hAnsi="Times New Roman"/>
                <w:sz w:val="24"/>
                <w:szCs w:val="24"/>
              </w:rPr>
              <w:t xml:space="preserve">specifically when the transmission lines are done by another agency. </w:t>
            </w:r>
            <w:r w:rsidR="00951E21">
              <w:rPr>
                <w:rFonts w:ascii="Times New Roman" w:hAnsi="Times New Roman"/>
                <w:sz w:val="24"/>
                <w:szCs w:val="24"/>
              </w:rPr>
              <w:t>Does</w:t>
            </w:r>
            <w:r w:rsidR="0084611B">
              <w:rPr>
                <w:rFonts w:ascii="Times New Roman" w:hAnsi="Times New Roman"/>
                <w:sz w:val="24"/>
                <w:szCs w:val="24"/>
              </w:rPr>
              <w:t xml:space="preserve"> the ESF </w:t>
            </w:r>
            <w:r w:rsidR="00951E21">
              <w:rPr>
                <w:rFonts w:ascii="Times New Roman" w:hAnsi="Times New Roman"/>
                <w:sz w:val="24"/>
                <w:szCs w:val="24"/>
              </w:rPr>
              <w:t xml:space="preserve">include any </w:t>
            </w:r>
            <w:r w:rsidR="0084611B">
              <w:rPr>
                <w:rFonts w:ascii="Times New Roman" w:hAnsi="Times New Roman"/>
                <w:sz w:val="24"/>
                <w:szCs w:val="24"/>
              </w:rPr>
              <w:t>change</w:t>
            </w:r>
            <w:r w:rsidR="00951E21">
              <w:rPr>
                <w:rFonts w:ascii="Times New Roman" w:hAnsi="Times New Roman"/>
                <w:sz w:val="24"/>
                <w:szCs w:val="24"/>
              </w:rPr>
              <w:t>s</w:t>
            </w:r>
            <w:r w:rsidR="0084611B">
              <w:rPr>
                <w:rFonts w:ascii="Times New Roman" w:hAnsi="Times New Roman"/>
                <w:sz w:val="24"/>
                <w:szCs w:val="24"/>
              </w:rPr>
              <w:t xml:space="preserve"> </w:t>
            </w:r>
            <w:r w:rsidR="00951E21">
              <w:rPr>
                <w:rFonts w:ascii="Times New Roman" w:hAnsi="Times New Roman"/>
                <w:sz w:val="24"/>
                <w:szCs w:val="24"/>
              </w:rPr>
              <w:t xml:space="preserve">with respect to </w:t>
            </w:r>
            <w:r w:rsidR="0084611B">
              <w:rPr>
                <w:rFonts w:ascii="Times New Roman" w:hAnsi="Times New Roman"/>
                <w:sz w:val="24"/>
                <w:szCs w:val="24"/>
              </w:rPr>
              <w:t>how Borrowers address this issue?</w:t>
            </w:r>
          </w:p>
        </w:tc>
      </w:tr>
      <w:tr w:rsidR="00C17C54" w:rsidRPr="00BF54BC" w:rsidTr="00AF0A65">
        <w:trPr>
          <w:trHeight w:val="5802"/>
        </w:trPr>
        <w:tc>
          <w:tcPr>
            <w:tcW w:w="985" w:type="dxa"/>
            <w:vMerge/>
            <w:shd w:val="clear" w:color="auto" w:fill="E7E6E6" w:themeFill="background2"/>
          </w:tcPr>
          <w:p w:rsidR="00C17C54" w:rsidRPr="00BF54BC" w:rsidRDefault="00C17C54" w:rsidP="00C17C54">
            <w:pPr>
              <w:rPr>
                <w:rFonts w:ascii="Times New Roman" w:hAnsi="Times New Roman" w:cs="Times New Roman"/>
                <w:sz w:val="24"/>
                <w:szCs w:val="24"/>
              </w:rPr>
            </w:pPr>
          </w:p>
        </w:tc>
        <w:tc>
          <w:tcPr>
            <w:tcW w:w="2430" w:type="dxa"/>
            <w:shd w:val="clear" w:color="auto" w:fill="E7E6E6" w:themeFill="background2"/>
          </w:tcPr>
          <w:p w:rsidR="00C17C54" w:rsidRPr="00BF54BC" w:rsidRDefault="00C17C54" w:rsidP="00C17C54">
            <w:pPr>
              <w:rPr>
                <w:rFonts w:ascii="Times New Roman" w:hAnsi="Times New Roman" w:cs="Times New Roman"/>
                <w:sz w:val="24"/>
                <w:szCs w:val="24"/>
              </w:rPr>
            </w:pPr>
            <w:r w:rsidRPr="00BF54BC">
              <w:rPr>
                <w:rFonts w:ascii="Times New Roman" w:hAnsi="Times New Roman" w:cs="Times New Roman"/>
                <w:sz w:val="24"/>
                <w:szCs w:val="24"/>
              </w:rPr>
              <w:t>Environmental and Social Commitment Plan (ESCP)</w:t>
            </w:r>
          </w:p>
        </w:tc>
        <w:tc>
          <w:tcPr>
            <w:tcW w:w="4860" w:type="dxa"/>
            <w:shd w:val="clear" w:color="auto" w:fill="E7E6E6" w:themeFill="background2"/>
          </w:tcPr>
          <w:p w:rsidR="00C17C54" w:rsidRPr="00BF54BC" w:rsidRDefault="00C17C54" w:rsidP="00C17C54">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Legal standing of the ESCP and implications of changes to the ESCP as part of the legal agreement</w:t>
            </w:r>
          </w:p>
        </w:tc>
        <w:tc>
          <w:tcPr>
            <w:tcW w:w="6030" w:type="dxa"/>
          </w:tcPr>
          <w:p w:rsidR="00C17C54" w:rsidRDefault="00C17C54" w:rsidP="00C17C54">
            <w:pPr>
              <w:pStyle w:val="ListParagraph"/>
              <w:numPr>
                <w:ilvl w:val="0"/>
                <w:numId w:val="14"/>
              </w:numPr>
              <w:ind w:left="342"/>
              <w:jc w:val="both"/>
              <w:rPr>
                <w:rFonts w:ascii="Times New Roman" w:hAnsi="Times New Roman"/>
                <w:sz w:val="24"/>
                <w:szCs w:val="24"/>
              </w:rPr>
            </w:pPr>
            <w:r w:rsidRPr="00E2524D">
              <w:rPr>
                <w:rFonts w:ascii="Times New Roman" w:hAnsi="Times New Roman"/>
                <w:sz w:val="24"/>
                <w:szCs w:val="24"/>
              </w:rPr>
              <w:t xml:space="preserve">If </w:t>
            </w:r>
            <w:r w:rsidR="00022542">
              <w:rPr>
                <w:rFonts w:ascii="Times New Roman" w:hAnsi="Times New Roman"/>
                <w:sz w:val="24"/>
                <w:szCs w:val="24"/>
              </w:rPr>
              <w:t xml:space="preserve">the </w:t>
            </w:r>
            <w:r w:rsidRPr="00E2524D">
              <w:rPr>
                <w:rFonts w:ascii="Times New Roman" w:hAnsi="Times New Roman"/>
                <w:sz w:val="24"/>
                <w:szCs w:val="24"/>
              </w:rPr>
              <w:t xml:space="preserve">ESCP is part of </w:t>
            </w:r>
            <w:r w:rsidR="008E1671">
              <w:rPr>
                <w:rFonts w:ascii="Times New Roman" w:hAnsi="Times New Roman"/>
                <w:sz w:val="24"/>
                <w:szCs w:val="24"/>
              </w:rPr>
              <w:t xml:space="preserve">the </w:t>
            </w:r>
            <w:r w:rsidRPr="00E2524D">
              <w:rPr>
                <w:rFonts w:ascii="Times New Roman" w:hAnsi="Times New Roman"/>
                <w:sz w:val="24"/>
                <w:szCs w:val="24"/>
              </w:rPr>
              <w:t>legal agreement</w:t>
            </w:r>
            <w:r>
              <w:rPr>
                <w:rFonts w:ascii="Times New Roman" w:hAnsi="Times New Roman"/>
                <w:sz w:val="24"/>
                <w:szCs w:val="24"/>
              </w:rPr>
              <w:t xml:space="preserve">, can it be amended? </w:t>
            </w:r>
            <w:r w:rsidRPr="00E2524D">
              <w:rPr>
                <w:rFonts w:ascii="Times New Roman" w:hAnsi="Times New Roman"/>
                <w:sz w:val="24"/>
                <w:szCs w:val="24"/>
              </w:rPr>
              <w:t xml:space="preserve">Would this </w:t>
            </w:r>
            <w:r>
              <w:rPr>
                <w:rFonts w:ascii="Times New Roman" w:hAnsi="Times New Roman"/>
                <w:sz w:val="24"/>
                <w:szCs w:val="24"/>
              </w:rPr>
              <w:t>require project restructuring?</w:t>
            </w:r>
            <w:r w:rsidRPr="00E2524D">
              <w:rPr>
                <w:rFonts w:ascii="Times New Roman" w:hAnsi="Times New Roman"/>
                <w:sz w:val="24"/>
                <w:szCs w:val="24"/>
              </w:rPr>
              <w:t xml:space="preserve"> Implementers for FIs are often sub-borrowers. If there is </w:t>
            </w:r>
            <w:r w:rsidR="008E1671">
              <w:rPr>
                <w:rFonts w:ascii="Times New Roman" w:hAnsi="Times New Roman"/>
                <w:sz w:val="24"/>
                <w:szCs w:val="24"/>
              </w:rPr>
              <w:t xml:space="preserve">a </w:t>
            </w:r>
            <w:r w:rsidRPr="00E2524D">
              <w:rPr>
                <w:rFonts w:ascii="Times New Roman" w:hAnsi="Times New Roman"/>
                <w:sz w:val="24"/>
                <w:szCs w:val="24"/>
              </w:rPr>
              <w:t>delay in their implementation, then what happens?</w:t>
            </w:r>
            <w:r w:rsidR="007659AA">
              <w:rPr>
                <w:rFonts w:ascii="Times New Roman" w:hAnsi="Times New Roman"/>
                <w:sz w:val="24"/>
                <w:szCs w:val="24"/>
              </w:rPr>
              <w:t xml:space="preserve"> The </w:t>
            </w:r>
            <w:r w:rsidRPr="00E2524D">
              <w:rPr>
                <w:rFonts w:ascii="Times New Roman" w:hAnsi="Times New Roman"/>
                <w:sz w:val="24"/>
                <w:szCs w:val="24"/>
              </w:rPr>
              <w:t>FI may not be in a position to control all sub-borrower behavior</w:t>
            </w:r>
            <w:r w:rsidR="008E1671">
              <w:rPr>
                <w:rFonts w:ascii="Times New Roman" w:hAnsi="Times New Roman"/>
                <w:sz w:val="24"/>
                <w:szCs w:val="24"/>
              </w:rPr>
              <w:t>.</w:t>
            </w:r>
            <w:r w:rsidRPr="00E2524D">
              <w:rPr>
                <w:rFonts w:ascii="Times New Roman" w:hAnsi="Times New Roman"/>
                <w:sz w:val="24"/>
                <w:szCs w:val="24"/>
              </w:rPr>
              <w:t xml:space="preserve"> Would </w:t>
            </w:r>
            <w:r w:rsidR="0013047A" w:rsidRPr="00E2524D">
              <w:rPr>
                <w:rFonts w:ascii="Times New Roman" w:hAnsi="Times New Roman"/>
                <w:sz w:val="24"/>
                <w:szCs w:val="24"/>
              </w:rPr>
              <w:t xml:space="preserve">the legal agreement </w:t>
            </w:r>
            <w:r w:rsidRPr="00E2524D">
              <w:rPr>
                <w:rFonts w:ascii="Times New Roman" w:hAnsi="Times New Roman"/>
                <w:sz w:val="24"/>
                <w:szCs w:val="24"/>
              </w:rPr>
              <w:t>need to</w:t>
            </w:r>
            <w:r w:rsidR="0013047A">
              <w:rPr>
                <w:rFonts w:ascii="Times New Roman" w:hAnsi="Times New Roman"/>
                <w:sz w:val="24"/>
                <w:szCs w:val="24"/>
              </w:rPr>
              <w:t xml:space="preserve"> be</w:t>
            </w:r>
            <w:r w:rsidRPr="00E2524D">
              <w:rPr>
                <w:rFonts w:ascii="Times New Roman" w:hAnsi="Times New Roman"/>
                <w:sz w:val="24"/>
                <w:szCs w:val="24"/>
              </w:rPr>
              <w:t xml:space="preserve"> amend</w:t>
            </w:r>
            <w:r w:rsidR="0013047A">
              <w:rPr>
                <w:rFonts w:ascii="Times New Roman" w:hAnsi="Times New Roman"/>
                <w:sz w:val="24"/>
                <w:szCs w:val="24"/>
              </w:rPr>
              <w:t>ed</w:t>
            </w:r>
            <w:r w:rsidRPr="00E2524D">
              <w:rPr>
                <w:rFonts w:ascii="Times New Roman" w:hAnsi="Times New Roman"/>
                <w:sz w:val="24"/>
                <w:szCs w:val="24"/>
              </w:rPr>
              <w:t>?</w:t>
            </w:r>
          </w:p>
          <w:p w:rsidR="003E3364" w:rsidRDefault="0095477A" w:rsidP="00C17C54">
            <w:pPr>
              <w:pStyle w:val="ListParagraph"/>
              <w:numPr>
                <w:ilvl w:val="0"/>
                <w:numId w:val="14"/>
              </w:numPr>
              <w:ind w:left="342"/>
              <w:jc w:val="both"/>
              <w:rPr>
                <w:rFonts w:ascii="Times New Roman" w:hAnsi="Times New Roman"/>
                <w:sz w:val="24"/>
                <w:szCs w:val="24"/>
              </w:rPr>
            </w:pPr>
            <w:r>
              <w:rPr>
                <w:rFonts w:ascii="Times New Roman" w:hAnsi="Times New Roman"/>
                <w:sz w:val="24"/>
                <w:szCs w:val="24"/>
              </w:rPr>
              <w:t>Will</w:t>
            </w:r>
            <w:r w:rsidR="003E3364">
              <w:rPr>
                <w:rFonts w:ascii="Times New Roman" w:hAnsi="Times New Roman"/>
                <w:sz w:val="24"/>
                <w:szCs w:val="24"/>
              </w:rPr>
              <w:t xml:space="preserve"> </w:t>
            </w:r>
            <w:r w:rsidR="008B32D9">
              <w:rPr>
                <w:rFonts w:ascii="Times New Roman" w:hAnsi="Times New Roman"/>
                <w:sz w:val="24"/>
                <w:szCs w:val="24"/>
              </w:rPr>
              <w:t xml:space="preserve">the </w:t>
            </w:r>
            <w:r w:rsidR="003E3364">
              <w:rPr>
                <w:rFonts w:ascii="Times New Roman" w:hAnsi="Times New Roman"/>
                <w:sz w:val="24"/>
                <w:szCs w:val="24"/>
              </w:rPr>
              <w:t>ESCP</w:t>
            </w:r>
            <w:r>
              <w:rPr>
                <w:rFonts w:ascii="Times New Roman" w:hAnsi="Times New Roman"/>
                <w:sz w:val="24"/>
                <w:szCs w:val="24"/>
              </w:rPr>
              <w:t xml:space="preserve"> </w:t>
            </w:r>
            <w:r w:rsidR="003E3364">
              <w:rPr>
                <w:rFonts w:ascii="Times New Roman" w:hAnsi="Times New Roman"/>
                <w:sz w:val="24"/>
                <w:szCs w:val="24"/>
              </w:rPr>
              <w:t xml:space="preserve">be prepared for every specific project/ subproject or is it a template document that can be used for every project? </w:t>
            </w:r>
          </w:p>
          <w:p w:rsidR="0095477A" w:rsidRDefault="00BC40FE" w:rsidP="00C17C54">
            <w:pPr>
              <w:pStyle w:val="ListParagraph"/>
              <w:numPr>
                <w:ilvl w:val="0"/>
                <w:numId w:val="14"/>
              </w:numPr>
              <w:ind w:left="342"/>
              <w:jc w:val="both"/>
              <w:rPr>
                <w:rFonts w:ascii="Times New Roman" w:hAnsi="Times New Roman"/>
                <w:sz w:val="24"/>
                <w:szCs w:val="24"/>
              </w:rPr>
            </w:pPr>
            <w:r>
              <w:rPr>
                <w:rFonts w:ascii="Times New Roman" w:hAnsi="Times New Roman"/>
                <w:sz w:val="24"/>
                <w:szCs w:val="24"/>
              </w:rPr>
              <w:t>T</w:t>
            </w:r>
            <w:r w:rsidR="0095477A">
              <w:rPr>
                <w:rFonts w:ascii="Times New Roman" w:hAnsi="Times New Roman"/>
                <w:sz w:val="24"/>
                <w:szCs w:val="24"/>
              </w:rPr>
              <w:t xml:space="preserve">he implementation responsibility </w:t>
            </w:r>
            <w:r>
              <w:rPr>
                <w:rFonts w:ascii="Times New Roman" w:hAnsi="Times New Roman"/>
                <w:sz w:val="24"/>
                <w:szCs w:val="24"/>
              </w:rPr>
              <w:t xml:space="preserve">for the </w:t>
            </w:r>
            <w:r w:rsidR="0095477A">
              <w:rPr>
                <w:rFonts w:ascii="Times New Roman" w:hAnsi="Times New Roman"/>
                <w:sz w:val="24"/>
                <w:szCs w:val="24"/>
              </w:rPr>
              <w:t xml:space="preserve">ESCP should belong to the sub-borrower and should not be legally binding for the Borrower. </w:t>
            </w:r>
          </w:p>
          <w:p w:rsidR="00FA4F74" w:rsidRDefault="008559EC" w:rsidP="00C17C54">
            <w:pPr>
              <w:pStyle w:val="ListParagraph"/>
              <w:numPr>
                <w:ilvl w:val="0"/>
                <w:numId w:val="14"/>
              </w:numPr>
              <w:ind w:left="342"/>
              <w:jc w:val="both"/>
              <w:rPr>
                <w:rFonts w:ascii="Times New Roman" w:hAnsi="Times New Roman"/>
                <w:sz w:val="24"/>
                <w:szCs w:val="24"/>
              </w:rPr>
            </w:pPr>
            <w:r>
              <w:rPr>
                <w:rFonts w:ascii="Times New Roman" w:hAnsi="Times New Roman"/>
                <w:sz w:val="24"/>
                <w:szCs w:val="24"/>
              </w:rPr>
              <w:t xml:space="preserve">Can the </w:t>
            </w:r>
            <w:r w:rsidR="00AF0A65">
              <w:rPr>
                <w:rFonts w:ascii="Times New Roman" w:hAnsi="Times New Roman"/>
                <w:sz w:val="24"/>
                <w:szCs w:val="24"/>
              </w:rPr>
              <w:t>ESCP amended</w:t>
            </w:r>
            <w:r w:rsidR="00FA4F74">
              <w:rPr>
                <w:rFonts w:ascii="Times New Roman" w:hAnsi="Times New Roman"/>
                <w:sz w:val="24"/>
                <w:szCs w:val="24"/>
              </w:rPr>
              <w:t xml:space="preserve"> according to the circumstances</w:t>
            </w:r>
            <w:r>
              <w:rPr>
                <w:rFonts w:ascii="Times New Roman" w:hAnsi="Times New Roman"/>
                <w:sz w:val="24"/>
                <w:szCs w:val="24"/>
              </w:rPr>
              <w:t xml:space="preserve"> </w:t>
            </w:r>
            <w:r w:rsidR="00AF0A65">
              <w:rPr>
                <w:rFonts w:ascii="Times New Roman" w:hAnsi="Times New Roman"/>
                <w:sz w:val="24"/>
                <w:szCs w:val="24"/>
              </w:rPr>
              <w:t>e</w:t>
            </w:r>
            <w:r>
              <w:rPr>
                <w:rFonts w:ascii="Times New Roman" w:hAnsi="Times New Roman"/>
                <w:sz w:val="24"/>
                <w:szCs w:val="24"/>
              </w:rPr>
              <w:t>volving th</w:t>
            </w:r>
            <w:r w:rsidR="00CA4F05">
              <w:rPr>
                <w:rFonts w:ascii="Times New Roman" w:hAnsi="Times New Roman"/>
                <w:sz w:val="24"/>
                <w:szCs w:val="24"/>
              </w:rPr>
              <w:t xml:space="preserve">roughout the project lifecycle? </w:t>
            </w:r>
          </w:p>
          <w:p w:rsidR="00007459" w:rsidRPr="00E2524D" w:rsidRDefault="00A61681" w:rsidP="003D5FB5">
            <w:pPr>
              <w:pStyle w:val="ListParagraph"/>
              <w:numPr>
                <w:ilvl w:val="0"/>
                <w:numId w:val="14"/>
              </w:numPr>
              <w:ind w:left="342"/>
              <w:jc w:val="both"/>
              <w:rPr>
                <w:rFonts w:ascii="Times New Roman" w:hAnsi="Times New Roman"/>
                <w:sz w:val="24"/>
                <w:szCs w:val="24"/>
              </w:rPr>
            </w:pPr>
            <w:r>
              <w:rPr>
                <w:rFonts w:ascii="Times New Roman" w:hAnsi="Times New Roman"/>
                <w:sz w:val="24"/>
                <w:szCs w:val="24"/>
              </w:rPr>
              <w:t>A</w:t>
            </w:r>
            <w:r w:rsidR="00007459" w:rsidRPr="00007459">
              <w:rPr>
                <w:rFonts w:ascii="Times New Roman" w:hAnsi="Times New Roman"/>
                <w:sz w:val="24"/>
                <w:szCs w:val="24"/>
              </w:rPr>
              <w:t>n ESMF</w:t>
            </w:r>
            <w:r>
              <w:rPr>
                <w:rFonts w:ascii="Times New Roman" w:hAnsi="Times New Roman"/>
                <w:sz w:val="24"/>
                <w:szCs w:val="24"/>
              </w:rPr>
              <w:t xml:space="preserve"> is already prepared </w:t>
            </w:r>
            <w:r w:rsidR="00007459" w:rsidRPr="00007459">
              <w:rPr>
                <w:rFonts w:ascii="Times New Roman" w:hAnsi="Times New Roman"/>
                <w:sz w:val="24"/>
                <w:szCs w:val="24"/>
              </w:rPr>
              <w:t xml:space="preserve">before </w:t>
            </w:r>
            <w:r w:rsidR="003765A4">
              <w:rPr>
                <w:rFonts w:ascii="Times New Roman" w:hAnsi="Times New Roman"/>
                <w:sz w:val="24"/>
                <w:szCs w:val="24"/>
              </w:rPr>
              <w:t xml:space="preserve">a </w:t>
            </w:r>
            <w:r w:rsidR="00007459" w:rsidRPr="00007459">
              <w:rPr>
                <w:rFonts w:ascii="Times New Roman" w:hAnsi="Times New Roman"/>
                <w:sz w:val="24"/>
                <w:szCs w:val="24"/>
              </w:rPr>
              <w:t>project; is the ESCP different?</w:t>
            </w:r>
          </w:p>
        </w:tc>
      </w:tr>
      <w:tr w:rsidR="00C17C54" w:rsidRPr="00BF54BC" w:rsidTr="00D26526">
        <w:tc>
          <w:tcPr>
            <w:tcW w:w="985" w:type="dxa"/>
            <w:shd w:val="clear" w:color="auto" w:fill="E7E6E6" w:themeFill="background2"/>
          </w:tcPr>
          <w:p w:rsidR="00C17C54" w:rsidRPr="00BF54BC" w:rsidRDefault="00C17C54" w:rsidP="00C17C54">
            <w:pPr>
              <w:rPr>
                <w:rFonts w:ascii="Times New Roman" w:hAnsi="Times New Roman" w:cs="Times New Roman"/>
                <w:sz w:val="24"/>
                <w:szCs w:val="24"/>
              </w:rPr>
            </w:pPr>
            <w:r w:rsidRPr="00BF54BC">
              <w:rPr>
                <w:rFonts w:ascii="Times New Roman" w:hAnsi="Times New Roman" w:cs="Times New Roman"/>
                <w:sz w:val="24"/>
                <w:szCs w:val="24"/>
              </w:rPr>
              <w:lastRenderedPageBreak/>
              <w:t>ESS2</w:t>
            </w:r>
          </w:p>
        </w:tc>
        <w:tc>
          <w:tcPr>
            <w:tcW w:w="2430" w:type="dxa"/>
            <w:shd w:val="clear" w:color="auto" w:fill="E7E6E6" w:themeFill="background2"/>
          </w:tcPr>
          <w:p w:rsidR="00C17C54" w:rsidRPr="00BF54BC" w:rsidRDefault="00C17C54" w:rsidP="00C17C54">
            <w:pPr>
              <w:rPr>
                <w:rFonts w:ascii="Times New Roman" w:hAnsi="Times New Roman" w:cs="Times New Roman"/>
                <w:sz w:val="24"/>
                <w:szCs w:val="24"/>
              </w:rPr>
            </w:pPr>
            <w:r w:rsidRPr="00BF54BC">
              <w:rPr>
                <w:rFonts w:ascii="Times New Roman" w:hAnsi="Times New Roman" w:cs="Times New Roman"/>
                <w:sz w:val="24"/>
                <w:szCs w:val="24"/>
              </w:rPr>
              <w:t>Labor and working conditions</w:t>
            </w:r>
          </w:p>
        </w:tc>
        <w:tc>
          <w:tcPr>
            <w:tcW w:w="4860" w:type="dxa"/>
            <w:shd w:val="clear" w:color="auto" w:fill="E7E6E6" w:themeFill="background2"/>
          </w:tcPr>
          <w:p w:rsidR="00C17C54" w:rsidRPr="00BF54BC" w:rsidRDefault="00C17C54" w:rsidP="00C17C54">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 xml:space="preserve">Definition and necessity of and requirements for managing labor employed by certain third parties (brokers, agents and intermediaries)  </w:t>
            </w:r>
          </w:p>
          <w:p w:rsidR="00C17C54" w:rsidRPr="00BF54BC" w:rsidRDefault="00C17C54" w:rsidP="00C17C54">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 xml:space="preserve">Application and implementation impacts of certain labor requirements to contractors, community and voluntary labor and primary suppliers </w:t>
            </w:r>
          </w:p>
          <w:p w:rsidR="00C17C54" w:rsidRPr="00BF54BC" w:rsidRDefault="00C17C54" w:rsidP="00C17C54">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Constraints in making grievance mechanisms available to all project workers</w:t>
            </w:r>
          </w:p>
          <w:p w:rsidR="00C17C54" w:rsidRPr="00BF54BC" w:rsidRDefault="00C17C54" w:rsidP="00C17C54">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Referencing national law in the objective of supporting freedom of association and collective bargaining</w:t>
            </w:r>
          </w:p>
          <w:p w:rsidR="00C17C54" w:rsidRPr="00BF54BC" w:rsidRDefault="00C17C54" w:rsidP="00C17C54">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Operationalization of an alternative mechanism relating to freedom of association and collective bargaining where national law does not recognize such rights</w:t>
            </w:r>
          </w:p>
          <w:p w:rsidR="00C17C54" w:rsidRPr="00BF54BC" w:rsidRDefault="00C17C54" w:rsidP="00C17C54">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Issues in operationalizing the Occupational Health and Safety (OHS) provisions/standards</w:t>
            </w:r>
          </w:p>
        </w:tc>
        <w:tc>
          <w:tcPr>
            <w:tcW w:w="6030" w:type="dxa"/>
          </w:tcPr>
          <w:p w:rsidR="00C17C54" w:rsidRDefault="00C17C54" w:rsidP="00C17C54">
            <w:pPr>
              <w:pStyle w:val="ListParagraph"/>
              <w:numPr>
                <w:ilvl w:val="0"/>
                <w:numId w:val="14"/>
              </w:numPr>
              <w:ind w:left="342"/>
              <w:jc w:val="both"/>
              <w:rPr>
                <w:rFonts w:ascii="Times New Roman" w:hAnsi="Times New Roman"/>
                <w:sz w:val="24"/>
                <w:szCs w:val="24"/>
              </w:rPr>
            </w:pPr>
            <w:r w:rsidRPr="00FA74EB">
              <w:rPr>
                <w:rFonts w:ascii="Times New Roman" w:hAnsi="Times New Roman"/>
                <w:sz w:val="24"/>
                <w:szCs w:val="24"/>
              </w:rPr>
              <w:t xml:space="preserve">Labor standard coverage </w:t>
            </w:r>
            <w:r w:rsidR="00840769">
              <w:rPr>
                <w:rFonts w:ascii="Times New Roman" w:hAnsi="Times New Roman"/>
                <w:sz w:val="24"/>
                <w:szCs w:val="24"/>
              </w:rPr>
              <w:t xml:space="preserve">is </w:t>
            </w:r>
            <w:r w:rsidRPr="00FA74EB">
              <w:rPr>
                <w:rFonts w:ascii="Times New Roman" w:hAnsi="Times New Roman"/>
                <w:sz w:val="24"/>
                <w:szCs w:val="24"/>
              </w:rPr>
              <w:t xml:space="preserve">quite extensive. Perhaps additional </w:t>
            </w:r>
            <w:r w:rsidR="00840769">
              <w:rPr>
                <w:rFonts w:ascii="Times New Roman" w:hAnsi="Times New Roman"/>
                <w:sz w:val="24"/>
                <w:szCs w:val="24"/>
              </w:rPr>
              <w:t>content</w:t>
            </w:r>
            <w:r w:rsidRPr="00FA74EB">
              <w:rPr>
                <w:rFonts w:ascii="Times New Roman" w:hAnsi="Times New Roman"/>
                <w:sz w:val="24"/>
                <w:szCs w:val="24"/>
              </w:rPr>
              <w:t xml:space="preserve"> can be added for collective bargaining and contractor issues.</w:t>
            </w:r>
          </w:p>
          <w:p w:rsidR="00A56C50" w:rsidRDefault="00A56C50" w:rsidP="00C17C54">
            <w:pPr>
              <w:pStyle w:val="ListParagraph"/>
              <w:numPr>
                <w:ilvl w:val="0"/>
                <w:numId w:val="14"/>
              </w:numPr>
              <w:ind w:left="342"/>
              <w:jc w:val="both"/>
              <w:rPr>
                <w:rFonts w:ascii="Times New Roman" w:hAnsi="Times New Roman"/>
                <w:sz w:val="24"/>
                <w:szCs w:val="24"/>
              </w:rPr>
            </w:pPr>
            <w:r w:rsidRPr="0074450F">
              <w:rPr>
                <w:rFonts w:ascii="Times New Roman" w:hAnsi="Times New Roman"/>
                <w:sz w:val="24"/>
                <w:szCs w:val="24"/>
              </w:rPr>
              <w:t xml:space="preserve">The responsibilities of </w:t>
            </w:r>
            <w:r>
              <w:rPr>
                <w:rFonts w:ascii="Times New Roman" w:hAnsi="Times New Roman"/>
                <w:sz w:val="24"/>
                <w:szCs w:val="24"/>
              </w:rPr>
              <w:t>B</w:t>
            </w:r>
            <w:r w:rsidRPr="0074450F">
              <w:rPr>
                <w:rFonts w:ascii="Times New Roman" w:hAnsi="Times New Roman"/>
                <w:sz w:val="24"/>
                <w:szCs w:val="24"/>
              </w:rPr>
              <w:t>orrowers and FIs should be clarified in terms of sub-contractors. What is the exact responsibility?</w:t>
            </w:r>
          </w:p>
          <w:p w:rsidR="0074450F" w:rsidRDefault="00C17C54" w:rsidP="00A56C50">
            <w:pPr>
              <w:pStyle w:val="ListParagraph"/>
              <w:numPr>
                <w:ilvl w:val="0"/>
                <w:numId w:val="14"/>
              </w:numPr>
              <w:ind w:left="342"/>
              <w:jc w:val="both"/>
              <w:rPr>
                <w:rFonts w:ascii="Times New Roman" w:hAnsi="Times New Roman"/>
                <w:sz w:val="24"/>
                <w:szCs w:val="24"/>
              </w:rPr>
            </w:pPr>
            <w:r w:rsidRPr="00D836E4">
              <w:rPr>
                <w:rFonts w:ascii="Times New Roman" w:hAnsi="Times New Roman"/>
                <w:sz w:val="24"/>
                <w:szCs w:val="24"/>
              </w:rPr>
              <w:t xml:space="preserve">IFC </w:t>
            </w:r>
            <w:r w:rsidR="003F679C">
              <w:rPr>
                <w:rFonts w:ascii="Times New Roman" w:hAnsi="Times New Roman"/>
                <w:sz w:val="24"/>
                <w:szCs w:val="24"/>
              </w:rPr>
              <w:t>P</w:t>
            </w:r>
            <w:r w:rsidRPr="00D836E4">
              <w:rPr>
                <w:rFonts w:ascii="Times New Roman" w:hAnsi="Times New Roman"/>
                <w:sz w:val="24"/>
                <w:szCs w:val="24"/>
              </w:rPr>
              <w:t xml:space="preserve">erformance </w:t>
            </w:r>
            <w:r w:rsidR="003F679C">
              <w:rPr>
                <w:rFonts w:ascii="Times New Roman" w:hAnsi="Times New Roman"/>
                <w:sz w:val="24"/>
                <w:szCs w:val="24"/>
              </w:rPr>
              <w:t>S</w:t>
            </w:r>
            <w:r w:rsidRPr="00D836E4">
              <w:rPr>
                <w:rFonts w:ascii="Times New Roman" w:hAnsi="Times New Roman"/>
                <w:sz w:val="24"/>
                <w:szCs w:val="24"/>
              </w:rPr>
              <w:t>tandard makes reference to ILO conventions. Will there also be references to ILO conventions in the W</w:t>
            </w:r>
            <w:r w:rsidR="003F679C">
              <w:rPr>
                <w:rFonts w:ascii="Times New Roman" w:hAnsi="Times New Roman"/>
                <w:sz w:val="24"/>
                <w:szCs w:val="24"/>
              </w:rPr>
              <w:t xml:space="preserve">orld </w:t>
            </w:r>
            <w:r w:rsidRPr="00D836E4">
              <w:rPr>
                <w:rFonts w:ascii="Times New Roman" w:hAnsi="Times New Roman"/>
                <w:sz w:val="24"/>
                <w:szCs w:val="24"/>
              </w:rPr>
              <w:t>B</w:t>
            </w:r>
            <w:r w:rsidR="003F679C">
              <w:rPr>
                <w:rFonts w:ascii="Times New Roman" w:hAnsi="Times New Roman"/>
                <w:sz w:val="24"/>
                <w:szCs w:val="24"/>
              </w:rPr>
              <w:t>ank’s</w:t>
            </w:r>
            <w:r w:rsidRPr="00D836E4">
              <w:rPr>
                <w:rFonts w:ascii="Times New Roman" w:hAnsi="Times New Roman"/>
                <w:sz w:val="24"/>
                <w:szCs w:val="24"/>
              </w:rPr>
              <w:t xml:space="preserve"> policies?</w:t>
            </w:r>
          </w:p>
          <w:p w:rsidR="00F078B1" w:rsidRPr="00A56C50" w:rsidRDefault="00F35AF1" w:rsidP="00AF0A65">
            <w:pPr>
              <w:pStyle w:val="ListParagraph"/>
              <w:numPr>
                <w:ilvl w:val="0"/>
                <w:numId w:val="14"/>
              </w:numPr>
              <w:ind w:left="342"/>
              <w:jc w:val="both"/>
              <w:rPr>
                <w:rFonts w:ascii="Times New Roman" w:hAnsi="Times New Roman"/>
                <w:sz w:val="24"/>
                <w:szCs w:val="24"/>
              </w:rPr>
            </w:pPr>
            <w:r>
              <w:rPr>
                <w:rFonts w:ascii="Times New Roman" w:hAnsi="Times New Roman"/>
                <w:sz w:val="24"/>
                <w:szCs w:val="24"/>
              </w:rPr>
              <w:t xml:space="preserve">Requirements </w:t>
            </w:r>
            <w:r w:rsidR="00355AB9">
              <w:rPr>
                <w:rFonts w:ascii="Times New Roman" w:hAnsi="Times New Roman"/>
                <w:sz w:val="24"/>
                <w:szCs w:val="24"/>
              </w:rPr>
              <w:t xml:space="preserve">for </w:t>
            </w:r>
            <w:r w:rsidR="00355AB9" w:rsidRPr="00BF54BC">
              <w:rPr>
                <w:rFonts w:ascii="Times New Roman" w:hAnsi="Times New Roman"/>
                <w:sz w:val="24"/>
                <w:szCs w:val="24"/>
              </w:rPr>
              <w:t>Occupational</w:t>
            </w:r>
            <w:r w:rsidR="00F078B1" w:rsidRPr="00BF54BC">
              <w:rPr>
                <w:rFonts w:ascii="Times New Roman" w:hAnsi="Times New Roman"/>
                <w:sz w:val="24"/>
                <w:szCs w:val="24"/>
              </w:rPr>
              <w:t xml:space="preserve"> Health and Safety (OHS) provisions/standards</w:t>
            </w:r>
            <w:r w:rsidR="00F078B1">
              <w:rPr>
                <w:rFonts w:ascii="Times New Roman" w:hAnsi="Times New Roman"/>
                <w:sz w:val="24"/>
                <w:szCs w:val="24"/>
              </w:rPr>
              <w:t xml:space="preserve"> can be </w:t>
            </w:r>
            <w:r>
              <w:rPr>
                <w:rFonts w:ascii="Times New Roman" w:hAnsi="Times New Roman"/>
                <w:sz w:val="24"/>
                <w:szCs w:val="24"/>
              </w:rPr>
              <w:t>included</w:t>
            </w:r>
            <w:r w:rsidR="00F078B1">
              <w:rPr>
                <w:rFonts w:ascii="Times New Roman" w:hAnsi="Times New Roman"/>
                <w:sz w:val="24"/>
                <w:szCs w:val="24"/>
              </w:rPr>
              <w:t xml:space="preserve"> in the </w:t>
            </w:r>
            <w:r>
              <w:rPr>
                <w:rFonts w:ascii="Times New Roman" w:hAnsi="Times New Roman"/>
                <w:sz w:val="24"/>
                <w:szCs w:val="24"/>
              </w:rPr>
              <w:t>Bank’s S</w:t>
            </w:r>
            <w:r w:rsidR="00F078B1">
              <w:rPr>
                <w:rFonts w:ascii="Times New Roman" w:hAnsi="Times New Roman"/>
                <w:sz w:val="24"/>
                <w:szCs w:val="24"/>
              </w:rPr>
              <w:t xml:space="preserve">tandard </w:t>
            </w:r>
            <w:r>
              <w:rPr>
                <w:rFonts w:ascii="Times New Roman" w:hAnsi="Times New Roman"/>
                <w:sz w:val="24"/>
                <w:szCs w:val="24"/>
              </w:rPr>
              <w:t>B</w:t>
            </w:r>
            <w:r w:rsidR="00F078B1">
              <w:rPr>
                <w:rFonts w:ascii="Times New Roman" w:hAnsi="Times New Roman"/>
                <w:sz w:val="24"/>
                <w:szCs w:val="24"/>
              </w:rPr>
              <w:t xml:space="preserve">idding </w:t>
            </w:r>
            <w:r>
              <w:rPr>
                <w:rFonts w:ascii="Times New Roman" w:hAnsi="Times New Roman"/>
                <w:sz w:val="24"/>
                <w:szCs w:val="24"/>
              </w:rPr>
              <w:t>D</w:t>
            </w:r>
            <w:r w:rsidR="00F078B1">
              <w:rPr>
                <w:rFonts w:ascii="Times New Roman" w:hAnsi="Times New Roman"/>
                <w:sz w:val="24"/>
                <w:szCs w:val="24"/>
              </w:rPr>
              <w:t>ocuments</w:t>
            </w:r>
            <w:r>
              <w:rPr>
                <w:rFonts w:ascii="Times New Roman" w:hAnsi="Times New Roman"/>
                <w:sz w:val="24"/>
                <w:szCs w:val="24"/>
              </w:rPr>
              <w:t xml:space="preserve">, which will also make them </w:t>
            </w:r>
            <w:r w:rsidR="00F078B1">
              <w:rPr>
                <w:rFonts w:ascii="Times New Roman" w:hAnsi="Times New Roman"/>
                <w:sz w:val="24"/>
                <w:szCs w:val="24"/>
              </w:rPr>
              <w:t xml:space="preserve">binding for the contractor. This can be </w:t>
            </w:r>
            <w:r>
              <w:rPr>
                <w:rFonts w:ascii="Times New Roman" w:hAnsi="Times New Roman"/>
                <w:sz w:val="24"/>
                <w:szCs w:val="24"/>
              </w:rPr>
              <w:t>monitored</w:t>
            </w:r>
            <w:r w:rsidR="00F078B1">
              <w:rPr>
                <w:rFonts w:ascii="Times New Roman" w:hAnsi="Times New Roman"/>
                <w:sz w:val="24"/>
                <w:szCs w:val="24"/>
              </w:rPr>
              <w:t xml:space="preserve"> </w:t>
            </w:r>
            <w:r>
              <w:rPr>
                <w:rFonts w:ascii="Times New Roman" w:hAnsi="Times New Roman"/>
                <w:sz w:val="24"/>
                <w:szCs w:val="24"/>
              </w:rPr>
              <w:t>by</w:t>
            </w:r>
            <w:r w:rsidR="00F078B1">
              <w:rPr>
                <w:rFonts w:ascii="Times New Roman" w:hAnsi="Times New Roman"/>
                <w:sz w:val="24"/>
                <w:szCs w:val="24"/>
              </w:rPr>
              <w:t xml:space="preserve"> procurement </w:t>
            </w:r>
            <w:r>
              <w:rPr>
                <w:rFonts w:ascii="Times New Roman" w:hAnsi="Times New Roman"/>
                <w:sz w:val="24"/>
                <w:szCs w:val="24"/>
              </w:rPr>
              <w:t>staff</w:t>
            </w:r>
            <w:r w:rsidR="00F078B1">
              <w:rPr>
                <w:rFonts w:ascii="Times New Roman" w:hAnsi="Times New Roman"/>
                <w:sz w:val="24"/>
                <w:szCs w:val="24"/>
              </w:rPr>
              <w:t xml:space="preserve">.  </w:t>
            </w:r>
          </w:p>
        </w:tc>
      </w:tr>
      <w:tr w:rsidR="008621D2" w:rsidRPr="00BF54BC" w:rsidTr="00D26526">
        <w:tc>
          <w:tcPr>
            <w:tcW w:w="985" w:type="dxa"/>
            <w:shd w:val="clear" w:color="auto" w:fill="E7E6E6" w:themeFill="background2"/>
          </w:tcPr>
          <w:p w:rsidR="008621D2" w:rsidRPr="00BF54BC" w:rsidRDefault="008621D2" w:rsidP="008621D2">
            <w:pPr>
              <w:rPr>
                <w:rFonts w:ascii="Times New Roman" w:hAnsi="Times New Roman" w:cs="Times New Roman"/>
                <w:sz w:val="24"/>
                <w:szCs w:val="24"/>
              </w:rPr>
            </w:pPr>
            <w:r w:rsidRPr="00BF54BC">
              <w:rPr>
                <w:rFonts w:ascii="Times New Roman" w:hAnsi="Times New Roman" w:cs="Times New Roman"/>
                <w:sz w:val="24"/>
                <w:szCs w:val="24"/>
              </w:rPr>
              <w:t>ESS3</w:t>
            </w:r>
          </w:p>
        </w:tc>
        <w:tc>
          <w:tcPr>
            <w:tcW w:w="2430" w:type="dxa"/>
            <w:shd w:val="clear" w:color="auto" w:fill="E7E6E6" w:themeFill="background2"/>
          </w:tcPr>
          <w:p w:rsidR="008621D2" w:rsidRPr="00BF54BC" w:rsidRDefault="008621D2" w:rsidP="008621D2">
            <w:pPr>
              <w:rPr>
                <w:rFonts w:ascii="Times New Roman" w:hAnsi="Times New Roman" w:cs="Times New Roman"/>
                <w:sz w:val="24"/>
                <w:szCs w:val="24"/>
              </w:rPr>
            </w:pPr>
            <w:r w:rsidRPr="00BF54BC">
              <w:rPr>
                <w:rFonts w:ascii="Times New Roman" w:hAnsi="Times New Roman" w:cs="Times New Roman"/>
                <w:sz w:val="24"/>
                <w:szCs w:val="24"/>
              </w:rPr>
              <w:t>Climate change and GHG emissions</w:t>
            </w:r>
          </w:p>
        </w:tc>
        <w:tc>
          <w:tcPr>
            <w:tcW w:w="4860" w:type="dxa"/>
            <w:shd w:val="clear" w:color="auto" w:fill="E7E6E6" w:themeFill="background2"/>
          </w:tcPr>
          <w:p w:rsidR="008621D2" w:rsidRPr="00BF54BC" w:rsidRDefault="008621D2" w:rsidP="008621D2">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The relation between provisions on climate change in the ESF and broader climate change commitments, specifically UNFCCC</w:t>
            </w:r>
          </w:p>
          <w:p w:rsidR="008621D2" w:rsidRPr="00BF54BC" w:rsidRDefault="008621D2" w:rsidP="008621D2">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Proposed</w:t>
            </w:r>
            <w:r w:rsidRPr="00BF54BC" w:rsidDel="001341BB">
              <w:rPr>
                <w:rFonts w:ascii="Times New Roman" w:hAnsi="Times New Roman"/>
                <w:sz w:val="24"/>
                <w:szCs w:val="24"/>
              </w:rPr>
              <w:t xml:space="preserve"> </w:t>
            </w:r>
            <w:r w:rsidRPr="00BF54BC">
              <w:rPr>
                <w:rFonts w:ascii="Times New Roman" w:hAnsi="Times New Roman"/>
                <w:sz w:val="24"/>
                <w:szCs w:val="24"/>
              </w:rPr>
              <w:t>approaches to measuring and monitoring greenhouse gas (GHG) emissions in Bank projects and implications thereof, in line with the proposed standard, including determining scope, threshold, duration, frequency and economic and financial feasibility of such estimation and monitoring</w:t>
            </w:r>
          </w:p>
          <w:p w:rsidR="008621D2" w:rsidRPr="00BF54BC" w:rsidRDefault="008621D2" w:rsidP="008621D2">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Implications required for the Borrower of estimating and reducing GHG emissions for Bank projects, in line with the proposed standard</w:t>
            </w:r>
          </w:p>
        </w:tc>
        <w:tc>
          <w:tcPr>
            <w:tcW w:w="6030" w:type="dxa"/>
          </w:tcPr>
          <w:p w:rsidR="003A0E2C" w:rsidRDefault="008621D2" w:rsidP="00A517F7">
            <w:pPr>
              <w:pStyle w:val="ListParagraph"/>
              <w:numPr>
                <w:ilvl w:val="0"/>
                <w:numId w:val="14"/>
              </w:numPr>
              <w:ind w:left="342"/>
              <w:jc w:val="both"/>
              <w:rPr>
                <w:rFonts w:ascii="Times New Roman" w:hAnsi="Times New Roman"/>
                <w:sz w:val="24"/>
                <w:szCs w:val="24"/>
              </w:rPr>
            </w:pPr>
            <w:r w:rsidRPr="008621D2">
              <w:rPr>
                <w:rFonts w:ascii="Times New Roman" w:hAnsi="Times New Roman"/>
                <w:sz w:val="24"/>
                <w:szCs w:val="24"/>
              </w:rPr>
              <w:t xml:space="preserve">The Paris Declaration is binding </w:t>
            </w:r>
            <w:r w:rsidR="00A517F7">
              <w:rPr>
                <w:rFonts w:ascii="Times New Roman" w:hAnsi="Times New Roman"/>
                <w:sz w:val="24"/>
                <w:szCs w:val="24"/>
              </w:rPr>
              <w:t>for</w:t>
            </w:r>
            <w:r w:rsidRPr="008621D2">
              <w:rPr>
                <w:rFonts w:ascii="Times New Roman" w:hAnsi="Times New Roman"/>
                <w:sz w:val="24"/>
                <w:szCs w:val="24"/>
              </w:rPr>
              <w:t xml:space="preserve"> the countries that signed</w:t>
            </w:r>
            <w:r w:rsidR="00A517F7">
              <w:rPr>
                <w:rFonts w:ascii="Times New Roman" w:hAnsi="Times New Roman"/>
                <w:sz w:val="24"/>
                <w:szCs w:val="24"/>
              </w:rPr>
              <w:t xml:space="preserve"> it. </w:t>
            </w:r>
            <w:r w:rsidRPr="008621D2">
              <w:rPr>
                <w:rFonts w:ascii="Times New Roman" w:hAnsi="Times New Roman"/>
                <w:sz w:val="24"/>
                <w:szCs w:val="24"/>
              </w:rPr>
              <w:t xml:space="preserve">How will </w:t>
            </w:r>
            <w:r w:rsidR="00A517F7">
              <w:rPr>
                <w:rFonts w:ascii="Times New Roman" w:hAnsi="Times New Roman"/>
                <w:sz w:val="24"/>
                <w:szCs w:val="24"/>
              </w:rPr>
              <w:t xml:space="preserve">the </w:t>
            </w:r>
            <w:r w:rsidRPr="008621D2">
              <w:rPr>
                <w:rFonts w:ascii="Times New Roman" w:hAnsi="Times New Roman"/>
                <w:sz w:val="24"/>
                <w:szCs w:val="24"/>
              </w:rPr>
              <w:t>W</w:t>
            </w:r>
            <w:r w:rsidR="00A517F7">
              <w:rPr>
                <w:rFonts w:ascii="Times New Roman" w:hAnsi="Times New Roman"/>
                <w:sz w:val="24"/>
                <w:szCs w:val="24"/>
              </w:rPr>
              <w:t xml:space="preserve">orld </w:t>
            </w:r>
            <w:r w:rsidRPr="008621D2">
              <w:rPr>
                <w:rFonts w:ascii="Times New Roman" w:hAnsi="Times New Roman"/>
                <w:sz w:val="24"/>
                <w:szCs w:val="24"/>
              </w:rPr>
              <w:t>B</w:t>
            </w:r>
            <w:r w:rsidR="00A517F7">
              <w:rPr>
                <w:rFonts w:ascii="Times New Roman" w:hAnsi="Times New Roman"/>
                <w:sz w:val="24"/>
                <w:szCs w:val="24"/>
              </w:rPr>
              <w:t>ank</w:t>
            </w:r>
            <w:r w:rsidRPr="008621D2">
              <w:rPr>
                <w:rFonts w:ascii="Times New Roman" w:hAnsi="Times New Roman"/>
                <w:sz w:val="24"/>
                <w:szCs w:val="24"/>
              </w:rPr>
              <w:t xml:space="preserve"> support it, and how will it impact B</w:t>
            </w:r>
            <w:r w:rsidR="00A517F7">
              <w:rPr>
                <w:rFonts w:ascii="Times New Roman" w:hAnsi="Times New Roman"/>
                <w:sz w:val="24"/>
                <w:szCs w:val="24"/>
              </w:rPr>
              <w:t>ank</w:t>
            </w:r>
            <w:r w:rsidR="00D50844">
              <w:rPr>
                <w:rFonts w:ascii="Times New Roman" w:hAnsi="Times New Roman"/>
                <w:sz w:val="24"/>
                <w:szCs w:val="24"/>
              </w:rPr>
              <w:t xml:space="preserve"> projects and approaches? </w:t>
            </w:r>
          </w:p>
          <w:p w:rsidR="008621D2" w:rsidRPr="00A027CA" w:rsidRDefault="008621D2" w:rsidP="00A517F7">
            <w:pPr>
              <w:pStyle w:val="ListParagraph"/>
              <w:numPr>
                <w:ilvl w:val="0"/>
                <w:numId w:val="14"/>
              </w:numPr>
              <w:ind w:left="342"/>
              <w:jc w:val="both"/>
              <w:rPr>
                <w:rFonts w:ascii="Times New Roman" w:hAnsi="Times New Roman"/>
                <w:sz w:val="24"/>
                <w:szCs w:val="24"/>
              </w:rPr>
            </w:pPr>
            <w:r w:rsidRPr="008621D2">
              <w:rPr>
                <w:rFonts w:ascii="Times New Roman" w:hAnsi="Times New Roman"/>
                <w:sz w:val="24"/>
                <w:szCs w:val="24"/>
              </w:rPr>
              <w:t>There is need for systematic monitoring of GHG.</w:t>
            </w:r>
          </w:p>
        </w:tc>
      </w:tr>
      <w:tr w:rsidR="00432F8F" w:rsidRPr="00BF54BC" w:rsidTr="00D26526">
        <w:tc>
          <w:tcPr>
            <w:tcW w:w="985" w:type="dxa"/>
            <w:shd w:val="clear" w:color="auto" w:fill="E7E6E6" w:themeFill="background2"/>
          </w:tcPr>
          <w:p w:rsidR="00432F8F" w:rsidRPr="00BF54BC" w:rsidRDefault="00432F8F" w:rsidP="00432F8F">
            <w:pPr>
              <w:rPr>
                <w:rFonts w:ascii="Times New Roman" w:hAnsi="Times New Roman" w:cs="Times New Roman"/>
                <w:sz w:val="24"/>
                <w:szCs w:val="24"/>
              </w:rPr>
            </w:pPr>
            <w:r w:rsidRPr="00BF54BC">
              <w:rPr>
                <w:rFonts w:ascii="Times New Roman" w:hAnsi="Times New Roman" w:cs="Times New Roman"/>
                <w:sz w:val="24"/>
                <w:szCs w:val="24"/>
              </w:rPr>
              <w:lastRenderedPageBreak/>
              <w:t>ESS5</w:t>
            </w:r>
          </w:p>
        </w:tc>
        <w:tc>
          <w:tcPr>
            <w:tcW w:w="2430" w:type="dxa"/>
            <w:shd w:val="clear" w:color="auto" w:fill="E7E6E6" w:themeFill="background2"/>
          </w:tcPr>
          <w:p w:rsidR="00432F8F" w:rsidRPr="00BF54BC" w:rsidRDefault="00432F8F" w:rsidP="00432F8F">
            <w:pPr>
              <w:rPr>
                <w:rFonts w:ascii="Times New Roman" w:hAnsi="Times New Roman" w:cs="Times New Roman"/>
                <w:sz w:val="24"/>
                <w:szCs w:val="24"/>
              </w:rPr>
            </w:pPr>
            <w:r w:rsidRPr="00BF54BC">
              <w:rPr>
                <w:rFonts w:ascii="Times New Roman" w:hAnsi="Times New Roman" w:cs="Times New Roman"/>
                <w:sz w:val="24"/>
                <w:szCs w:val="24"/>
              </w:rPr>
              <w:t>Land acquisition and involuntary resettlement</w:t>
            </w:r>
          </w:p>
        </w:tc>
        <w:tc>
          <w:tcPr>
            <w:tcW w:w="4860" w:type="dxa"/>
            <w:shd w:val="clear" w:color="auto" w:fill="E7E6E6" w:themeFill="background2"/>
          </w:tcPr>
          <w:p w:rsidR="00432F8F" w:rsidRPr="00BF54BC" w:rsidRDefault="00432F8F" w:rsidP="00432F8F">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 xml:space="preserve">Treatment and rights of informal occupants and approach to forced evictions in situations unrelated to land acquisitions </w:t>
            </w:r>
          </w:p>
          <w:p w:rsidR="00432F8F" w:rsidRPr="00BF54BC" w:rsidRDefault="00432F8F" w:rsidP="00432F8F">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 xml:space="preserve">Interpretation of the concept of resettlement as a “development opportunity” in different project circumstances </w:t>
            </w:r>
          </w:p>
        </w:tc>
        <w:tc>
          <w:tcPr>
            <w:tcW w:w="6030" w:type="dxa"/>
          </w:tcPr>
          <w:p w:rsidR="00432F8F" w:rsidRPr="00722DC1" w:rsidRDefault="00432F8F" w:rsidP="00722DC1">
            <w:pPr>
              <w:jc w:val="both"/>
              <w:rPr>
                <w:rFonts w:ascii="Times New Roman" w:hAnsi="Times New Roman"/>
                <w:sz w:val="24"/>
                <w:szCs w:val="24"/>
              </w:rPr>
            </w:pPr>
          </w:p>
        </w:tc>
      </w:tr>
      <w:tr w:rsidR="00C17C54" w:rsidRPr="00BF54BC" w:rsidTr="00D26526">
        <w:tc>
          <w:tcPr>
            <w:tcW w:w="985" w:type="dxa"/>
            <w:shd w:val="clear" w:color="auto" w:fill="E7E6E6" w:themeFill="background2"/>
          </w:tcPr>
          <w:p w:rsidR="00C17C54" w:rsidRPr="00BF54BC" w:rsidRDefault="00C17C54" w:rsidP="00C17C54">
            <w:pPr>
              <w:rPr>
                <w:rFonts w:ascii="Times New Roman" w:hAnsi="Times New Roman" w:cs="Times New Roman"/>
                <w:sz w:val="24"/>
                <w:szCs w:val="24"/>
              </w:rPr>
            </w:pPr>
            <w:r w:rsidRPr="00BF54BC">
              <w:rPr>
                <w:rFonts w:ascii="Times New Roman" w:hAnsi="Times New Roman" w:cs="Times New Roman"/>
                <w:sz w:val="24"/>
                <w:szCs w:val="24"/>
              </w:rPr>
              <w:t>ESS6</w:t>
            </w:r>
          </w:p>
        </w:tc>
        <w:tc>
          <w:tcPr>
            <w:tcW w:w="2430" w:type="dxa"/>
            <w:shd w:val="clear" w:color="auto" w:fill="E7E6E6" w:themeFill="background2"/>
          </w:tcPr>
          <w:p w:rsidR="00C17C54" w:rsidRPr="00BF54BC" w:rsidRDefault="00C17C54" w:rsidP="00C17C54">
            <w:pPr>
              <w:rPr>
                <w:rFonts w:ascii="Times New Roman" w:hAnsi="Times New Roman" w:cs="Times New Roman"/>
                <w:sz w:val="24"/>
                <w:szCs w:val="24"/>
              </w:rPr>
            </w:pPr>
            <w:r w:rsidRPr="00BF54BC">
              <w:rPr>
                <w:rFonts w:ascii="Times New Roman" w:hAnsi="Times New Roman" w:cs="Times New Roman"/>
                <w:sz w:val="24"/>
                <w:szCs w:val="24"/>
              </w:rPr>
              <w:t>Biodiversity</w:t>
            </w:r>
          </w:p>
        </w:tc>
        <w:tc>
          <w:tcPr>
            <w:tcW w:w="4860" w:type="dxa"/>
            <w:shd w:val="clear" w:color="auto" w:fill="E7E6E6" w:themeFill="background2"/>
          </w:tcPr>
          <w:p w:rsidR="00C17C54" w:rsidRPr="00BF54BC" w:rsidRDefault="00C17C54" w:rsidP="00C17C54">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Operationalization of the provisions on primary suppliers and ecosystem services, especially in situation with low capacity</w:t>
            </w:r>
          </w:p>
          <w:p w:rsidR="00C17C54" w:rsidRPr="00BF54BC" w:rsidRDefault="00C17C54" w:rsidP="00C17C54">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Role of national law with regard to protecting and conserving natural and critical habitats</w:t>
            </w:r>
          </w:p>
          <w:p w:rsidR="00C17C54" w:rsidRPr="00BF54BC" w:rsidRDefault="00C17C54" w:rsidP="00C17C54">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 xml:space="preserve">Criteria for biodiversity offsets, including consideration of project benefits </w:t>
            </w:r>
          </w:p>
          <w:p w:rsidR="00C17C54" w:rsidRPr="00BF54BC" w:rsidRDefault="00C17C54" w:rsidP="00C17C54">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Definition and application of net gains for biodiversity</w:t>
            </w:r>
          </w:p>
        </w:tc>
        <w:tc>
          <w:tcPr>
            <w:tcW w:w="6030" w:type="dxa"/>
          </w:tcPr>
          <w:p w:rsidR="00C17C54" w:rsidRPr="00BF54BC" w:rsidRDefault="00C17C54" w:rsidP="00C17C54">
            <w:pPr>
              <w:pStyle w:val="ListParagraph"/>
              <w:ind w:left="432"/>
              <w:jc w:val="both"/>
              <w:rPr>
                <w:rFonts w:ascii="Times New Roman" w:hAnsi="Times New Roman"/>
                <w:sz w:val="24"/>
                <w:szCs w:val="24"/>
              </w:rPr>
            </w:pPr>
          </w:p>
        </w:tc>
      </w:tr>
      <w:tr w:rsidR="00C17C54" w:rsidRPr="00BF54BC" w:rsidTr="00D26526">
        <w:tc>
          <w:tcPr>
            <w:tcW w:w="985" w:type="dxa"/>
            <w:shd w:val="clear" w:color="auto" w:fill="E7E6E6" w:themeFill="background2"/>
          </w:tcPr>
          <w:p w:rsidR="00C17C54" w:rsidRPr="00BF54BC" w:rsidRDefault="00C17C54" w:rsidP="00C17C54">
            <w:pPr>
              <w:rPr>
                <w:rFonts w:ascii="Times New Roman" w:hAnsi="Times New Roman" w:cs="Times New Roman"/>
                <w:color w:val="000000"/>
                <w:sz w:val="24"/>
                <w:szCs w:val="24"/>
              </w:rPr>
            </w:pPr>
            <w:r w:rsidRPr="00BF54BC">
              <w:rPr>
                <w:rFonts w:ascii="Times New Roman" w:hAnsi="Times New Roman" w:cs="Times New Roman"/>
                <w:color w:val="000000"/>
                <w:sz w:val="24"/>
                <w:szCs w:val="24"/>
              </w:rPr>
              <w:t>ESS7</w:t>
            </w:r>
          </w:p>
        </w:tc>
        <w:tc>
          <w:tcPr>
            <w:tcW w:w="2430" w:type="dxa"/>
            <w:shd w:val="clear" w:color="auto" w:fill="E7E6E6" w:themeFill="background2"/>
          </w:tcPr>
          <w:p w:rsidR="00C17C54" w:rsidRPr="00BF54BC" w:rsidRDefault="00C17C54" w:rsidP="00C17C54">
            <w:pPr>
              <w:rPr>
                <w:rFonts w:ascii="Times New Roman" w:hAnsi="Times New Roman" w:cs="Times New Roman"/>
                <w:sz w:val="24"/>
                <w:szCs w:val="24"/>
              </w:rPr>
            </w:pPr>
            <w:r w:rsidRPr="00BF54BC">
              <w:rPr>
                <w:rFonts w:ascii="Times New Roman" w:hAnsi="Times New Roman" w:cs="Times New Roman"/>
                <w:color w:val="000000"/>
                <w:sz w:val="24"/>
                <w:szCs w:val="24"/>
              </w:rPr>
              <w:t>Indigenous Peoples</w:t>
            </w:r>
          </w:p>
        </w:tc>
        <w:tc>
          <w:tcPr>
            <w:tcW w:w="4860" w:type="dxa"/>
            <w:shd w:val="clear" w:color="auto" w:fill="E7E6E6" w:themeFill="background2"/>
          </w:tcPr>
          <w:p w:rsidR="00C17C54" w:rsidRPr="00BF54BC" w:rsidRDefault="00C17C54" w:rsidP="00C17C54">
            <w:pPr>
              <w:pStyle w:val="ListParagraph"/>
              <w:numPr>
                <w:ilvl w:val="0"/>
                <w:numId w:val="11"/>
              </w:numPr>
              <w:ind w:left="342"/>
              <w:rPr>
                <w:rFonts w:ascii="Times New Roman" w:hAnsi="Times New Roman"/>
                <w:sz w:val="24"/>
                <w:szCs w:val="24"/>
              </w:rPr>
            </w:pPr>
            <w:r w:rsidRPr="00BF54BC">
              <w:rPr>
                <w:rFonts w:ascii="Times New Roman" w:hAnsi="Times New Roman"/>
                <w:color w:val="000000"/>
                <w:sz w:val="24"/>
                <w:szCs w:val="24"/>
              </w:rPr>
              <w:t xml:space="preserve">Implementation of the Indigenous Peoples standard </w:t>
            </w:r>
            <w:r w:rsidRPr="00BF54BC">
              <w:rPr>
                <w:rFonts w:asciiTheme="majorBidi" w:hAnsiTheme="majorBidi" w:cstheme="majorBidi"/>
                <w:color w:val="000000"/>
                <w:sz w:val="24"/>
                <w:szCs w:val="24"/>
              </w:rPr>
              <w:t xml:space="preserve">in complex </w:t>
            </w:r>
            <w:r w:rsidRPr="00BF54BC">
              <w:rPr>
                <w:rFonts w:asciiTheme="majorBidi" w:hAnsiTheme="majorBidi" w:cstheme="majorBidi"/>
                <w:sz w:val="24"/>
                <w:szCs w:val="24"/>
              </w:rPr>
              <w:t>political and cultural contexts</w:t>
            </w:r>
          </w:p>
          <w:p w:rsidR="00C17C54" w:rsidRPr="00BF54BC" w:rsidRDefault="00C17C54" w:rsidP="00C17C54">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 xml:space="preserve">Implementation of ESS7 in countries where the constitution does not acknowledge Indigenous Peoples or only recognizes certain groups as indigenous </w:t>
            </w:r>
          </w:p>
          <w:p w:rsidR="00C17C54" w:rsidRPr="00BF54BC" w:rsidRDefault="00C17C54" w:rsidP="00C17C54">
            <w:pPr>
              <w:pStyle w:val="ListParagraph"/>
              <w:numPr>
                <w:ilvl w:val="0"/>
                <w:numId w:val="11"/>
              </w:numPr>
              <w:ind w:left="342"/>
              <w:rPr>
                <w:rFonts w:ascii="Times New Roman" w:hAnsi="Times New Roman"/>
                <w:sz w:val="24"/>
                <w:szCs w:val="24"/>
              </w:rPr>
            </w:pPr>
            <w:r w:rsidRPr="00BF54BC">
              <w:rPr>
                <w:rFonts w:asciiTheme="majorBidi" w:hAnsiTheme="majorBidi" w:cstheme="majorBidi"/>
                <w:sz w:val="24"/>
                <w:szCs w:val="24"/>
              </w:rPr>
              <w:t>Possible approaches to reflect alternative terminologies used in different countries to describe Indigenous Peoples</w:t>
            </w:r>
          </w:p>
          <w:p w:rsidR="00C17C54" w:rsidRPr="00BF54BC" w:rsidRDefault="00C17C54" w:rsidP="00C17C54">
            <w:pPr>
              <w:pStyle w:val="ListParagraph"/>
              <w:numPr>
                <w:ilvl w:val="0"/>
                <w:numId w:val="11"/>
              </w:numPr>
              <w:ind w:left="342"/>
              <w:rPr>
                <w:rFonts w:ascii="Times New Roman" w:hAnsi="Times New Roman"/>
                <w:sz w:val="24"/>
                <w:szCs w:val="24"/>
              </w:rPr>
            </w:pPr>
            <w:r w:rsidRPr="00BF54BC">
              <w:rPr>
                <w:rFonts w:ascii="Times New Roman" w:hAnsi="Times New Roman"/>
                <w:color w:val="000000"/>
                <w:sz w:val="24"/>
                <w:szCs w:val="24"/>
              </w:rPr>
              <w:t xml:space="preserve">Circumstances (e.g. criteria and timing) in which a waiver may be considered and the information to be provided to the Board to inform its decision </w:t>
            </w:r>
          </w:p>
          <w:p w:rsidR="00C17C54" w:rsidRPr="00BF54BC" w:rsidRDefault="00C17C54" w:rsidP="00C17C54">
            <w:pPr>
              <w:pStyle w:val="ListParagraph"/>
              <w:numPr>
                <w:ilvl w:val="0"/>
                <w:numId w:val="11"/>
              </w:numPr>
              <w:ind w:left="342"/>
              <w:rPr>
                <w:rFonts w:ascii="Times New Roman" w:hAnsi="Times New Roman"/>
                <w:sz w:val="24"/>
                <w:szCs w:val="24"/>
              </w:rPr>
            </w:pPr>
            <w:r w:rsidRPr="00BF54BC">
              <w:rPr>
                <w:rFonts w:ascii="Times New Roman" w:hAnsi="Times New Roman"/>
                <w:color w:val="000000"/>
                <w:sz w:val="24"/>
                <w:szCs w:val="24"/>
              </w:rPr>
              <w:t>Criteria for establishing and implementation of Free, Prior and Informed Consent (FPIC)</w:t>
            </w:r>
          </w:p>
          <w:p w:rsidR="00C17C54" w:rsidRPr="00BF54BC" w:rsidRDefault="00C17C54" w:rsidP="00C17C54">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Comparison of proposed FPIC with existing requirements on consultation</w:t>
            </w:r>
          </w:p>
          <w:p w:rsidR="00C17C54" w:rsidRPr="00BF54BC" w:rsidRDefault="00C17C54" w:rsidP="00C17C54">
            <w:pPr>
              <w:pStyle w:val="ListParagraph"/>
              <w:numPr>
                <w:ilvl w:val="0"/>
                <w:numId w:val="11"/>
              </w:numPr>
              <w:ind w:left="342"/>
              <w:rPr>
                <w:rFonts w:ascii="Times New Roman" w:hAnsi="Times New Roman"/>
                <w:sz w:val="24"/>
                <w:szCs w:val="24"/>
              </w:rPr>
            </w:pPr>
            <w:r w:rsidRPr="00BF54BC">
              <w:rPr>
                <w:rFonts w:ascii="Times New Roman" w:hAnsi="Times New Roman"/>
                <w:color w:val="000000"/>
                <w:sz w:val="24"/>
                <w:szCs w:val="24"/>
              </w:rPr>
              <w:lastRenderedPageBreak/>
              <w:t>Application of FPIC to impacts on Indigenous Peoples’ cultural heritage</w:t>
            </w:r>
          </w:p>
        </w:tc>
        <w:tc>
          <w:tcPr>
            <w:tcW w:w="6030" w:type="dxa"/>
          </w:tcPr>
          <w:p w:rsidR="00C17C54" w:rsidRPr="00BF54BC" w:rsidRDefault="00C17C54" w:rsidP="00C17C54">
            <w:pPr>
              <w:jc w:val="both"/>
              <w:rPr>
                <w:rFonts w:asciiTheme="majorBidi" w:hAnsiTheme="majorBidi" w:cstheme="majorBidi"/>
                <w:sz w:val="24"/>
                <w:szCs w:val="24"/>
              </w:rPr>
            </w:pPr>
          </w:p>
        </w:tc>
      </w:tr>
      <w:tr w:rsidR="00C17C54" w:rsidRPr="00BF54BC" w:rsidTr="00D26526">
        <w:tc>
          <w:tcPr>
            <w:tcW w:w="985" w:type="dxa"/>
            <w:shd w:val="clear" w:color="auto" w:fill="E7E6E6" w:themeFill="background2"/>
          </w:tcPr>
          <w:p w:rsidR="00C17C54" w:rsidRPr="00BF54BC" w:rsidRDefault="00C17C54" w:rsidP="00C17C54">
            <w:pPr>
              <w:rPr>
                <w:rFonts w:ascii="Times New Roman" w:hAnsi="Times New Roman" w:cs="Times New Roman"/>
                <w:sz w:val="24"/>
                <w:szCs w:val="24"/>
              </w:rPr>
            </w:pPr>
            <w:r w:rsidRPr="00BF54BC">
              <w:rPr>
                <w:rFonts w:ascii="Times New Roman" w:hAnsi="Times New Roman" w:cs="Times New Roman"/>
                <w:sz w:val="24"/>
                <w:szCs w:val="24"/>
              </w:rPr>
              <w:lastRenderedPageBreak/>
              <w:t>ESS8</w:t>
            </w:r>
          </w:p>
        </w:tc>
        <w:tc>
          <w:tcPr>
            <w:tcW w:w="2430" w:type="dxa"/>
            <w:shd w:val="clear" w:color="auto" w:fill="E7E6E6" w:themeFill="background2"/>
          </w:tcPr>
          <w:p w:rsidR="00C17C54" w:rsidRPr="00BF54BC" w:rsidRDefault="00C17C54" w:rsidP="00C17C54">
            <w:pPr>
              <w:rPr>
                <w:rFonts w:ascii="Times New Roman" w:hAnsi="Times New Roman" w:cs="Times New Roman"/>
                <w:sz w:val="24"/>
                <w:szCs w:val="24"/>
              </w:rPr>
            </w:pPr>
            <w:r w:rsidRPr="00BF54BC">
              <w:rPr>
                <w:rFonts w:ascii="Times New Roman" w:hAnsi="Times New Roman" w:cs="Times New Roman"/>
                <w:sz w:val="24"/>
                <w:szCs w:val="24"/>
              </w:rPr>
              <w:t>Cultural Heritage</w:t>
            </w:r>
          </w:p>
        </w:tc>
        <w:tc>
          <w:tcPr>
            <w:tcW w:w="4860" w:type="dxa"/>
            <w:shd w:val="clear" w:color="auto" w:fill="E7E6E6" w:themeFill="background2"/>
          </w:tcPr>
          <w:p w:rsidR="00C17C54" w:rsidRPr="00BF54BC" w:rsidRDefault="00C17C54" w:rsidP="00C17C54">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 xml:space="preserve">Treatment of intangible cultural heritage </w:t>
            </w:r>
          </w:p>
          <w:p w:rsidR="00C17C54" w:rsidRPr="00BF54BC" w:rsidRDefault="00C17C54" w:rsidP="00C17C54">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Application of intangible cultural heritage when the project intends to commercialize such heritage</w:t>
            </w:r>
          </w:p>
          <w:p w:rsidR="00C17C54" w:rsidRPr="00BF54BC" w:rsidRDefault="00C17C54" w:rsidP="00C17C54">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Application of cultural heritage requirements when cultural heritage has not been legally protected or previously identified or disturbed</w:t>
            </w:r>
          </w:p>
        </w:tc>
        <w:tc>
          <w:tcPr>
            <w:tcW w:w="6030" w:type="dxa"/>
          </w:tcPr>
          <w:p w:rsidR="00C17C54" w:rsidRPr="00BF54BC" w:rsidRDefault="00C17C54" w:rsidP="00C17C54">
            <w:pPr>
              <w:jc w:val="both"/>
              <w:rPr>
                <w:rFonts w:asciiTheme="majorBidi" w:hAnsiTheme="majorBidi" w:cstheme="majorBidi"/>
                <w:sz w:val="24"/>
                <w:szCs w:val="24"/>
              </w:rPr>
            </w:pPr>
          </w:p>
        </w:tc>
      </w:tr>
      <w:tr w:rsidR="008D106B" w:rsidRPr="00BF54BC" w:rsidTr="00D26526">
        <w:tc>
          <w:tcPr>
            <w:tcW w:w="985" w:type="dxa"/>
            <w:shd w:val="clear" w:color="auto" w:fill="E7E6E6" w:themeFill="background2"/>
          </w:tcPr>
          <w:p w:rsidR="008D106B" w:rsidRPr="00BF54BC" w:rsidRDefault="008D106B" w:rsidP="008D106B">
            <w:pPr>
              <w:rPr>
                <w:rFonts w:ascii="Times New Roman" w:hAnsi="Times New Roman" w:cs="Times New Roman"/>
                <w:sz w:val="24"/>
                <w:szCs w:val="24"/>
              </w:rPr>
            </w:pPr>
            <w:r w:rsidRPr="00BF54BC">
              <w:rPr>
                <w:rFonts w:ascii="Times New Roman" w:hAnsi="Times New Roman" w:cs="Times New Roman"/>
                <w:sz w:val="24"/>
                <w:szCs w:val="24"/>
              </w:rPr>
              <w:t>ESS9</w:t>
            </w:r>
          </w:p>
        </w:tc>
        <w:tc>
          <w:tcPr>
            <w:tcW w:w="2430" w:type="dxa"/>
            <w:shd w:val="clear" w:color="auto" w:fill="E7E6E6" w:themeFill="background2"/>
          </w:tcPr>
          <w:p w:rsidR="008D106B" w:rsidRPr="00BF54BC" w:rsidRDefault="008D106B" w:rsidP="008D106B">
            <w:pPr>
              <w:rPr>
                <w:rFonts w:ascii="Times New Roman" w:hAnsi="Times New Roman" w:cs="Times New Roman"/>
                <w:sz w:val="24"/>
                <w:szCs w:val="24"/>
              </w:rPr>
            </w:pPr>
            <w:r w:rsidRPr="00BF54BC">
              <w:rPr>
                <w:rFonts w:ascii="Times New Roman" w:hAnsi="Times New Roman" w:cs="Times New Roman"/>
                <w:sz w:val="24"/>
                <w:szCs w:val="24"/>
              </w:rPr>
              <w:t>Financial Intermediaries</w:t>
            </w:r>
          </w:p>
        </w:tc>
        <w:tc>
          <w:tcPr>
            <w:tcW w:w="4860" w:type="dxa"/>
            <w:shd w:val="clear" w:color="auto" w:fill="E7E6E6" w:themeFill="background2"/>
          </w:tcPr>
          <w:p w:rsidR="008D106B" w:rsidRPr="00BF54BC" w:rsidRDefault="008D106B" w:rsidP="008D106B">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 xml:space="preserve">Application of standard to FI subprojects and resource implications depending on risk </w:t>
            </w:r>
          </w:p>
          <w:p w:rsidR="008D106B" w:rsidRPr="00BF54BC" w:rsidRDefault="008D106B" w:rsidP="008D106B">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 xml:space="preserve">Harmonization of approach with IFC and Equator Banks </w:t>
            </w:r>
          </w:p>
        </w:tc>
        <w:tc>
          <w:tcPr>
            <w:tcW w:w="6030" w:type="dxa"/>
          </w:tcPr>
          <w:p w:rsidR="00A027CA" w:rsidRPr="00A027CA" w:rsidRDefault="00A027CA" w:rsidP="008D106B">
            <w:pPr>
              <w:pStyle w:val="ListParagraph"/>
              <w:numPr>
                <w:ilvl w:val="0"/>
                <w:numId w:val="14"/>
              </w:numPr>
              <w:ind w:left="342"/>
              <w:jc w:val="both"/>
              <w:rPr>
                <w:rFonts w:ascii="Times New Roman" w:hAnsi="Times New Roman"/>
                <w:sz w:val="24"/>
                <w:szCs w:val="24"/>
              </w:rPr>
            </w:pPr>
            <w:r w:rsidRPr="00A027CA">
              <w:rPr>
                <w:rFonts w:ascii="Times New Roman" w:hAnsi="Times New Roman"/>
                <w:sz w:val="24"/>
                <w:szCs w:val="24"/>
              </w:rPr>
              <w:t>There is a special ESS for FIs, but each ESS should have a paragraph on the application of that ESS as it specifically relates to FIs.</w:t>
            </w:r>
          </w:p>
          <w:p w:rsidR="00A027CA" w:rsidRPr="00A027CA" w:rsidRDefault="008D106B" w:rsidP="00737A67">
            <w:pPr>
              <w:pStyle w:val="ListParagraph"/>
              <w:numPr>
                <w:ilvl w:val="0"/>
                <w:numId w:val="14"/>
              </w:numPr>
              <w:ind w:left="342"/>
              <w:jc w:val="both"/>
              <w:rPr>
                <w:rFonts w:ascii="Times New Roman" w:hAnsi="Times New Roman"/>
                <w:sz w:val="24"/>
                <w:szCs w:val="24"/>
              </w:rPr>
            </w:pPr>
            <w:r w:rsidRPr="00F91580">
              <w:rPr>
                <w:rFonts w:ascii="Times New Roman" w:hAnsi="Times New Roman"/>
                <w:sz w:val="24"/>
                <w:szCs w:val="24"/>
              </w:rPr>
              <w:t>There are some difference</w:t>
            </w:r>
            <w:r w:rsidR="007B208B">
              <w:rPr>
                <w:rFonts w:ascii="Times New Roman" w:hAnsi="Times New Roman"/>
                <w:sz w:val="24"/>
                <w:szCs w:val="24"/>
              </w:rPr>
              <w:t>s</w:t>
            </w:r>
            <w:r w:rsidRPr="00F91580">
              <w:rPr>
                <w:rFonts w:ascii="Times New Roman" w:hAnsi="Times New Roman"/>
                <w:sz w:val="24"/>
                <w:szCs w:val="24"/>
              </w:rPr>
              <w:t xml:space="preserve"> </w:t>
            </w:r>
            <w:r w:rsidR="007B208B">
              <w:rPr>
                <w:rFonts w:ascii="Times New Roman" w:hAnsi="Times New Roman"/>
                <w:sz w:val="24"/>
                <w:szCs w:val="24"/>
              </w:rPr>
              <w:t>among</w:t>
            </w:r>
            <w:r w:rsidRPr="00F91580">
              <w:rPr>
                <w:rFonts w:ascii="Times New Roman" w:hAnsi="Times New Roman"/>
                <w:sz w:val="24"/>
                <w:szCs w:val="24"/>
              </w:rPr>
              <w:t xml:space="preserve"> W</w:t>
            </w:r>
            <w:r w:rsidR="007B208B">
              <w:rPr>
                <w:rFonts w:ascii="Times New Roman" w:hAnsi="Times New Roman"/>
                <w:sz w:val="24"/>
                <w:szCs w:val="24"/>
              </w:rPr>
              <w:t xml:space="preserve">orld </w:t>
            </w:r>
            <w:r w:rsidRPr="00F91580">
              <w:rPr>
                <w:rFonts w:ascii="Times New Roman" w:hAnsi="Times New Roman"/>
                <w:sz w:val="24"/>
                <w:szCs w:val="24"/>
              </w:rPr>
              <w:t>B</w:t>
            </w:r>
            <w:r w:rsidR="007B208B">
              <w:rPr>
                <w:rFonts w:ascii="Times New Roman" w:hAnsi="Times New Roman"/>
                <w:sz w:val="24"/>
                <w:szCs w:val="24"/>
              </w:rPr>
              <w:t>ank</w:t>
            </w:r>
            <w:r w:rsidRPr="00F91580">
              <w:rPr>
                <w:rFonts w:ascii="Times New Roman" w:hAnsi="Times New Roman"/>
                <w:sz w:val="24"/>
                <w:szCs w:val="24"/>
              </w:rPr>
              <w:t xml:space="preserve"> standards, UN regulations, and national law. There are differences between W</w:t>
            </w:r>
            <w:r w:rsidR="007B208B">
              <w:rPr>
                <w:rFonts w:ascii="Times New Roman" w:hAnsi="Times New Roman"/>
                <w:sz w:val="24"/>
                <w:szCs w:val="24"/>
              </w:rPr>
              <w:t xml:space="preserve">orld </w:t>
            </w:r>
            <w:r w:rsidRPr="00F91580">
              <w:rPr>
                <w:rFonts w:ascii="Times New Roman" w:hAnsi="Times New Roman"/>
                <w:sz w:val="24"/>
                <w:szCs w:val="24"/>
              </w:rPr>
              <w:t>B</w:t>
            </w:r>
            <w:r w:rsidR="007B208B">
              <w:rPr>
                <w:rFonts w:ascii="Times New Roman" w:hAnsi="Times New Roman"/>
                <w:sz w:val="24"/>
                <w:szCs w:val="24"/>
              </w:rPr>
              <w:t>ank</w:t>
            </w:r>
            <w:r w:rsidRPr="00F91580">
              <w:rPr>
                <w:rFonts w:ascii="Times New Roman" w:hAnsi="Times New Roman"/>
                <w:sz w:val="24"/>
                <w:szCs w:val="24"/>
              </w:rPr>
              <w:t xml:space="preserve"> standards and standards of other </w:t>
            </w:r>
            <w:r w:rsidR="007B208B">
              <w:rPr>
                <w:rFonts w:ascii="Times New Roman" w:hAnsi="Times New Roman"/>
                <w:sz w:val="24"/>
                <w:szCs w:val="24"/>
              </w:rPr>
              <w:t>B</w:t>
            </w:r>
            <w:r w:rsidRPr="00F91580">
              <w:rPr>
                <w:rFonts w:ascii="Times New Roman" w:hAnsi="Times New Roman"/>
                <w:sz w:val="24"/>
                <w:szCs w:val="24"/>
              </w:rPr>
              <w:t>orrowers. FIs feel the need for donor standard coord</w:t>
            </w:r>
            <w:r w:rsidR="007B208B">
              <w:rPr>
                <w:rFonts w:ascii="Times New Roman" w:hAnsi="Times New Roman"/>
                <w:sz w:val="24"/>
                <w:szCs w:val="24"/>
              </w:rPr>
              <w:t>ination, and clarity is needed on w</w:t>
            </w:r>
            <w:r w:rsidRPr="00F91580">
              <w:rPr>
                <w:rFonts w:ascii="Times New Roman" w:hAnsi="Times New Roman"/>
                <w:sz w:val="24"/>
                <w:szCs w:val="24"/>
              </w:rPr>
              <w:t xml:space="preserve">hat is being done </w:t>
            </w:r>
            <w:r w:rsidR="00737A67">
              <w:rPr>
                <w:rFonts w:ascii="Times New Roman" w:hAnsi="Times New Roman"/>
                <w:sz w:val="24"/>
                <w:szCs w:val="24"/>
              </w:rPr>
              <w:t>about</w:t>
            </w:r>
            <w:r w:rsidRPr="00F91580">
              <w:rPr>
                <w:rFonts w:ascii="Times New Roman" w:hAnsi="Times New Roman"/>
                <w:sz w:val="24"/>
                <w:szCs w:val="24"/>
              </w:rPr>
              <w:t xml:space="preserve"> </w:t>
            </w:r>
            <w:r w:rsidR="007B208B">
              <w:rPr>
                <w:rFonts w:ascii="Times New Roman" w:hAnsi="Times New Roman"/>
                <w:sz w:val="24"/>
                <w:szCs w:val="24"/>
              </w:rPr>
              <w:t>this</w:t>
            </w:r>
            <w:r w:rsidR="004A3F27">
              <w:rPr>
                <w:rFonts w:ascii="Times New Roman" w:hAnsi="Times New Roman"/>
                <w:sz w:val="24"/>
                <w:szCs w:val="24"/>
              </w:rPr>
              <w:t xml:space="preserve"> issue</w:t>
            </w:r>
            <w:r w:rsidR="007B208B">
              <w:rPr>
                <w:rFonts w:ascii="Times New Roman" w:hAnsi="Times New Roman"/>
                <w:sz w:val="24"/>
                <w:szCs w:val="24"/>
              </w:rPr>
              <w:t>.</w:t>
            </w:r>
          </w:p>
        </w:tc>
      </w:tr>
      <w:tr w:rsidR="00ED16D5" w:rsidRPr="00BF54BC" w:rsidTr="00D26526">
        <w:tc>
          <w:tcPr>
            <w:tcW w:w="985" w:type="dxa"/>
            <w:shd w:val="clear" w:color="auto" w:fill="E7E6E6" w:themeFill="background2"/>
          </w:tcPr>
          <w:p w:rsidR="00ED16D5" w:rsidRPr="00BF54BC" w:rsidRDefault="00ED16D5" w:rsidP="00ED16D5">
            <w:pPr>
              <w:rPr>
                <w:rFonts w:ascii="Times New Roman" w:hAnsi="Times New Roman" w:cs="Times New Roman"/>
                <w:sz w:val="24"/>
                <w:szCs w:val="24"/>
              </w:rPr>
            </w:pPr>
            <w:r w:rsidRPr="00BF54BC">
              <w:rPr>
                <w:rFonts w:ascii="Times New Roman" w:hAnsi="Times New Roman" w:cs="Times New Roman"/>
                <w:sz w:val="24"/>
                <w:szCs w:val="24"/>
              </w:rPr>
              <w:t>ESS10</w:t>
            </w:r>
          </w:p>
        </w:tc>
        <w:tc>
          <w:tcPr>
            <w:tcW w:w="2430" w:type="dxa"/>
            <w:shd w:val="clear" w:color="auto" w:fill="E7E6E6" w:themeFill="background2"/>
          </w:tcPr>
          <w:p w:rsidR="00ED16D5" w:rsidRPr="00BF54BC" w:rsidRDefault="00ED16D5" w:rsidP="00ED16D5">
            <w:pPr>
              <w:rPr>
                <w:rFonts w:ascii="Times New Roman" w:hAnsi="Times New Roman" w:cs="Times New Roman"/>
                <w:sz w:val="24"/>
                <w:szCs w:val="24"/>
              </w:rPr>
            </w:pPr>
            <w:r w:rsidRPr="00BF54BC">
              <w:rPr>
                <w:rFonts w:ascii="Times New Roman" w:hAnsi="Times New Roman" w:cs="Times New Roman"/>
                <w:sz w:val="24"/>
                <w:szCs w:val="24"/>
              </w:rPr>
              <w:t>Stakeholder engagement</w:t>
            </w:r>
          </w:p>
        </w:tc>
        <w:tc>
          <w:tcPr>
            <w:tcW w:w="4860" w:type="dxa"/>
            <w:shd w:val="clear" w:color="auto" w:fill="E7E6E6" w:themeFill="background2"/>
          </w:tcPr>
          <w:p w:rsidR="00ED16D5" w:rsidRPr="00BF54BC" w:rsidRDefault="00ED16D5" w:rsidP="00ED16D5">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Definition and identification of project stakeholders and nature of engagement</w:t>
            </w:r>
          </w:p>
          <w:p w:rsidR="00ED16D5" w:rsidRPr="00BF54BC" w:rsidRDefault="00ED16D5" w:rsidP="00ED16D5">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Role of borrowing countries or implementing agencies in identifying project stakeholders</w:t>
            </w:r>
          </w:p>
        </w:tc>
        <w:tc>
          <w:tcPr>
            <w:tcW w:w="6030" w:type="dxa"/>
          </w:tcPr>
          <w:p w:rsidR="00BB58AC" w:rsidRDefault="00941652" w:rsidP="00D356C1">
            <w:pPr>
              <w:pStyle w:val="ListParagraph"/>
              <w:numPr>
                <w:ilvl w:val="0"/>
                <w:numId w:val="14"/>
              </w:numPr>
              <w:ind w:left="342"/>
              <w:jc w:val="both"/>
              <w:rPr>
                <w:rFonts w:ascii="Times New Roman" w:hAnsi="Times New Roman"/>
                <w:sz w:val="24"/>
                <w:szCs w:val="24"/>
              </w:rPr>
            </w:pPr>
            <w:r>
              <w:rPr>
                <w:rFonts w:ascii="Times New Roman" w:hAnsi="Times New Roman"/>
                <w:sz w:val="24"/>
                <w:szCs w:val="24"/>
              </w:rPr>
              <w:t>T</w:t>
            </w:r>
            <w:r w:rsidR="00BB58AC" w:rsidRPr="00BB58AC">
              <w:rPr>
                <w:rFonts w:ascii="Times New Roman" w:hAnsi="Times New Roman"/>
                <w:sz w:val="24"/>
                <w:szCs w:val="24"/>
              </w:rPr>
              <w:t>here are a lot of absentee landlords</w:t>
            </w:r>
            <w:r w:rsidR="00CE4791">
              <w:rPr>
                <w:rFonts w:ascii="Times New Roman" w:hAnsi="Times New Roman"/>
                <w:sz w:val="24"/>
                <w:szCs w:val="24"/>
              </w:rPr>
              <w:t xml:space="preserve"> </w:t>
            </w:r>
            <w:r w:rsidR="00CE4791" w:rsidRPr="00BB58AC">
              <w:rPr>
                <w:rFonts w:ascii="Times New Roman" w:hAnsi="Times New Roman"/>
                <w:sz w:val="24"/>
                <w:szCs w:val="24"/>
              </w:rPr>
              <w:t>in rural areas</w:t>
            </w:r>
            <w:r w:rsidR="00BB58AC" w:rsidRPr="00BB58AC">
              <w:rPr>
                <w:rFonts w:ascii="Times New Roman" w:hAnsi="Times New Roman"/>
                <w:sz w:val="24"/>
                <w:szCs w:val="24"/>
              </w:rPr>
              <w:t>, either due to rural to urban migration, or due to inherited land having been div</w:t>
            </w:r>
            <w:r w:rsidR="004F2734">
              <w:rPr>
                <w:rFonts w:ascii="Times New Roman" w:hAnsi="Times New Roman"/>
                <w:sz w:val="24"/>
                <w:szCs w:val="24"/>
              </w:rPr>
              <w:t>ided</w:t>
            </w:r>
            <w:r w:rsidR="00BB58AC" w:rsidRPr="00BB58AC">
              <w:rPr>
                <w:rFonts w:ascii="Times New Roman" w:hAnsi="Times New Roman"/>
                <w:sz w:val="24"/>
                <w:szCs w:val="24"/>
              </w:rPr>
              <w:t xml:space="preserve"> up among very many people. </w:t>
            </w:r>
            <w:r w:rsidR="00D356C1">
              <w:rPr>
                <w:rFonts w:ascii="Times New Roman" w:hAnsi="Times New Roman"/>
                <w:sz w:val="24"/>
                <w:szCs w:val="24"/>
              </w:rPr>
              <w:t>H</w:t>
            </w:r>
            <w:r w:rsidR="00BB58AC" w:rsidRPr="00BB58AC">
              <w:rPr>
                <w:rFonts w:ascii="Times New Roman" w:hAnsi="Times New Roman"/>
                <w:sz w:val="24"/>
                <w:szCs w:val="24"/>
              </w:rPr>
              <w:t xml:space="preserve">ow </w:t>
            </w:r>
            <w:r w:rsidR="00D30FC3">
              <w:rPr>
                <w:rFonts w:ascii="Times New Roman" w:hAnsi="Times New Roman"/>
                <w:sz w:val="24"/>
                <w:szCs w:val="24"/>
              </w:rPr>
              <w:t>would</w:t>
            </w:r>
            <w:r w:rsidR="00DB235A">
              <w:rPr>
                <w:rFonts w:ascii="Times New Roman" w:hAnsi="Times New Roman"/>
                <w:sz w:val="24"/>
                <w:szCs w:val="24"/>
              </w:rPr>
              <w:t xml:space="preserve"> Borrowers</w:t>
            </w:r>
            <w:r w:rsidR="00BB58AC" w:rsidRPr="00BB58AC">
              <w:rPr>
                <w:rFonts w:ascii="Times New Roman" w:hAnsi="Times New Roman"/>
                <w:sz w:val="24"/>
                <w:szCs w:val="24"/>
              </w:rPr>
              <w:t xml:space="preserve"> conduct consultations required for R</w:t>
            </w:r>
            <w:r w:rsidR="005B752F">
              <w:rPr>
                <w:rFonts w:ascii="Times New Roman" w:hAnsi="Times New Roman"/>
                <w:sz w:val="24"/>
                <w:szCs w:val="24"/>
              </w:rPr>
              <w:t xml:space="preserve">APs under such circumstances? </w:t>
            </w:r>
            <w:r w:rsidR="00B9263B">
              <w:rPr>
                <w:rFonts w:ascii="Times New Roman" w:hAnsi="Times New Roman"/>
                <w:sz w:val="24"/>
                <w:szCs w:val="24"/>
              </w:rPr>
              <w:t>With w</w:t>
            </w:r>
            <w:r w:rsidR="00BB58AC" w:rsidRPr="00BB58AC">
              <w:rPr>
                <w:rFonts w:ascii="Times New Roman" w:hAnsi="Times New Roman"/>
                <w:sz w:val="24"/>
                <w:szCs w:val="24"/>
              </w:rPr>
              <w:t>ho</w:t>
            </w:r>
            <w:r w:rsidR="00B9263B">
              <w:rPr>
                <w:rFonts w:ascii="Times New Roman" w:hAnsi="Times New Roman"/>
                <w:sz w:val="24"/>
                <w:szCs w:val="24"/>
              </w:rPr>
              <w:t>m</w:t>
            </w:r>
            <w:r w:rsidR="00BB58AC" w:rsidRPr="00BB58AC">
              <w:rPr>
                <w:rFonts w:ascii="Times New Roman" w:hAnsi="Times New Roman"/>
                <w:sz w:val="24"/>
                <w:szCs w:val="24"/>
              </w:rPr>
              <w:t xml:space="preserve"> </w:t>
            </w:r>
            <w:r w:rsidR="00D30FC3">
              <w:rPr>
                <w:rFonts w:ascii="Times New Roman" w:hAnsi="Times New Roman"/>
                <w:sz w:val="24"/>
                <w:szCs w:val="24"/>
              </w:rPr>
              <w:t>would</w:t>
            </w:r>
            <w:r w:rsidR="00BB58AC" w:rsidRPr="00BB58AC">
              <w:rPr>
                <w:rFonts w:ascii="Times New Roman" w:hAnsi="Times New Roman"/>
                <w:sz w:val="24"/>
                <w:szCs w:val="24"/>
              </w:rPr>
              <w:t xml:space="preserve"> </w:t>
            </w:r>
            <w:r w:rsidR="00A238DB">
              <w:rPr>
                <w:rFonts w:ascii="Times New Roman" w:hAnsi="Times New Roman"/>
                <w:sz w:val="24"/>
                <w:szCs w:val="24"/>
              </w:rPr>
              <w:t>they</w:t>
            </w:r>
            <w:r w:rsidR="00BB58AC" w:rsidRPr="00BB58AC">
              <w:rPr>
                <w:rFonts w:ascii="Times New Roman" w:hAnsi="Times New Roman"/>
                <w:sz w:val="24"/>
                <w:szCs w:val="24"/>
              </w:rPr>
              <w:t xml:space="preserve"> negotiate?</w:t>
            </w:r>
          </w:p>
          <w:p w:rsidR="004F2734" w:rsidRDefault="007D35BF" w:rsidP="00A825A8">
            <w:pPr>
              <w:pStyle w:val="ListParagraph"/>
              <w:numPr>
                <w:ilvl w:val="0"/>
                <w:numId w:val="14"/>
              </w:numPr>
              <w:ind w:left="372"/>
              <w:jc w:val="both"/>
              <w:rPr>
                <w:rFonts w:ascii="Times New Roman" w:hAnsi="Times New Roman"/>
                <w:sz w:val="24"/>
                <w:szCs w:val="24"/>
              </w:rPr>
            </w:pPr>
            <w:r>
              <w:rPr>
                <w:rFonts w:ascii="Times New Roman" w:hAnsi="Times New Roman"/>
                <w:sz w:val="24"/>
                <w:szCs w:val="24"/>
              </w:rPr>
              <w:t xml:space="preserve">In </w:t>
            </w:r>
            <w:r w:rsidR="004F2734">
              <w:rPr>
                <w:rFonts w:ascii="Times New Roman" w:hAnsi="Times New Roman"/>
                <w:sz w:val="24"/>
                <w:szCs w:val="24"/>
              </w:rPr>
              <w:t xml:space="preserve">some projects it </w:t>
            </w:r>
            <w:r>
              <w:rPr>
                <w:rFonts w:ascii="Times New Roman" w:hAnsi="Times New Roman"/>
                <w:sz w:val="24"/>
                <w:szCs w:val="24"/>
              </w:rPr>
              <w:t>can be difficult</w:t>
            </w:r>
            <w:r w:rsidR="004F2734">
              <w:rPr>
                <w:rFonts w:ascii="Times New Roman" w:hAnsi="Times New Roman"/>
                <w:sz w:val="24"/>
                <w:szCs w:val="24"/>
              </w:rPr>
              <w:t xml:space="preserve"> to reach </w:t>
            </w:r>
            <w:r w:rsidR="00FF3BAB">
              <w:rPr>
                <w:rFonts w:ascii="Times New Roman" w:hAnsi="Times New Roman"/>
                <w:sz w:val="24"/>
                <w:szCs w:val="24"/>
              </w:rPr>
              <w:t>people who are</w:t>
            </w:r>
            <w:r w:rsidR="004F2734">
              <w:rPr>
                <w:rFonts w:ascii="Times New Roman" w:hAnsi="Times New Roman"/>
                <w:sz w:val="24"/>
                <w:szCs w:val="24"/>
              </w:rPr>
              <w:t xml:space="preserve"> directly affected </w:t>
            </w:r>
            <w:r>
              <w:rPr>
                <w:rFonts w:ascii="Times New Roman" w:hAnsi="Times New Roman"/>
                <w:sz w:val="24"/>
                <w:szCs w:val="24"/>
              </w:rPr>
              <w:t>by</w:t>
            </w:r>
            <w:r w:rsidR="004F2734">
              <w:rPr>
                <w:rFonts w:ascii="Times New Roman" w:hAnsi="Times New Roman"/>
                <w:sz w:val="24"/>
                <w:szCs w:val="24"/>
              </w:rPr>
              <w:t xml:space="preserve"> the project</w:t>
            </w:r>
            <w:r w:rsidR="00FF3BAB">
              <w:rPr>
                <w:rFonts w:ascii="Times New Roman" w:hAnsi="Times New Roman"/>
                <w:sz w:val="24"/>
                <w:szCs w:val="24"/>
              </w:rPr>
              <w:t xml:space="preserve"> (i.e. to </w:t>
            </w:r>
            <w:r>
              <w:rPr>
                <w:rFonts w:ascii="Times New Roman" w:hAnsi="Times New Roman"/>
                <w:sz w:val="24"/>
                <w:szCs w:val="24"/>
              </w:rPr>
              <w:t>identify</w:t>
            </w:r>
            <w:r w:rsidR="00FF3BAB">
              <w:rPr>
                <w:rFonts w:ascii="Times New Roman" w:hAnsi="Times New Roman"/>
                <w:sz w:val="24"/>
                <w:szCs w:val="24"/>
              </w:rPr>
              <w:t xml:space="preserve"> project affected people or to determine the effect of the </w:t>
            </w:r>
            <w:r w:rsidR="00416E61">
              <w:rPr>
                <w:rFonts w:ascii="Times New Roman" w:hAnsi="Times New Roman"/>
                <w:sz w:val="24"/>
                <w:szCs w:val="24"/>
              </w:rPr>
              <w:t>Bank</w:t>
            </w:r>
            <w:r>
              <w:rPr>
                <w:rFonts w:ascii="Times New Roman" w:hAnsi="Times New Roman"/>
                <w:sz w:val="24"/>
                <w:szCs w:val="24"/>
              </w:rPr>
              <w:t>-</w:t>
            </w:r>
            <w:r w:rsidR="00416E61">
              <w:rPr>
                <w:rFonts w:ascii="Times New Roman" w:hAnsi="Times New Roman"/>
                <w:sz w:val="24"/>
                <w:szCs w:val="24"/>
              </w:rPr>
              <w:t xml:space="preserve">funded </w:t>
            </w:r>
            <w:r w:rsidR="00FF3BAB">
              <w:rPr>
                <w:rFonts w:ascii="Times New Roman" w:hAnsi="Times New Roman"/>
                <w:sz w:val="24"/>
                <w:szCs w:val="24"/>
              </w:rPr>
              <w:t>project</w:t>
            </w:r>
            <w:r>
              <w:rPr>
                <w:rFonts w:ascii="Times New Roman" w:hAnsi="Times New Roman"/>
                <w:sz w:val="24"/>
                <w:szCs w:val="24"/>
              </w:rPr>
              <w:t>s on</w:t>
            </w:r>
            <w:r w:rsidR="00FF3BAB">
              <w:rPr>
                <w:rFonts w:ascii="Times New Roman" w:hAnsi="Times New Roman"/>
                <w:sz w:val="24"/>
                <w:szCs w:val="24"/>
              </w:rPr>
              <w:t xml:space="preserve"> people)</w:t>
            </w:r>
            <w:r w:rsidR="004F2734">
              <w:rPr>
                <w:rFonts w:ascii="Times New Roman" w:hAnsi="Times New Roman"/>
                <w:sz w:val="24"/>
                <w:szCs w:val="24"/>
              </w:rPr>
              <w:t>.</w:t>
            </w:r>
            <w:r w:rsidR="00A825A8">
              <w:rPr>
                <w:rFonts w:ascii="Times New Roman" w:hAnsi="Times New Roman"/>
                <w:sz w:val="24"/>
                <w:szCs w:val="24"/>
              </w:rPr>
              <w:t xml:space="preserve"> </w:t>
            </w:r>
            <w:r w:rsidR="00FE3930">
              <w:rPr>
                <w:rFonts w:ascii="Times New Roman" w:hAnsi="Times New Roman"/>
                <w:sz w:val="24"/>
                <w:szCs w:val="24"/>
              </w:rPr>
              <w:t>This</w:t>
            </w:r>
            <w:r w:rsidR="00A825A8">
              <w:rPr>
                <w:rFonts w:ascii="Times New Roman" w:hAnsi="Times New Roman"/>
                <w:sz w:val="24"/>
                <w:szCs w:val="24"/>
              </w:rPr>
              <w:t xml:space="preserve"> may not be a </w:t>
            </w:r>
            <w:r w:rsidR="00A825A8" w:rsidRPr="00A825A8">
              <w:rPr>
                <w:rFonts w:ascii="Times New Roman" w:hAnsi="Times New Roman"/>
                <w:sz w:val="24"/>
                <w:szCs w:val="24"/>
              </w:rPr>
              <w:t>realistic</w:t>
            </w:r>
            <w:r w:rsidR="00A825A8">
              <w:rPr>
                <w:rFonts w:ascii="Times New Roman" w:hAnsi="Times New Roman"/>
                <w:sz w:val="24"/>
                <w:szCs w:val="24"/>
              </w:rPr>
              <w:t xml:space="preserve"> indicator/approach</w:t>
            </w:r>
            <w:r w:rsidR="00FF3BAB">
              <w:rPr>
                <w:rFonts w:ascii="Times New Roman" w:hAnsi="Times New Roman"/>
                <w:sz w:val="24"/>
                <w:szCs w:val="24"/>
              </w:rPr>
              <w:t>.</w:t>
            </w:r>
          </w:p>
          <w:p w:rsidR="00441559" w:rsidRPr="00BB58AC" w:rsidRDefault="00441559" w:rsidP="00D356C1">
            <w:pPr>
              <w:pStyle w:val="ListParagraph"/>
              <w:numPr>
                <w:ilvl w:val="0"/>
                <w:numId w:val="14"/>
              </w:numPr>
              <w:ind w:left="342"/>
              <w:jc w:val="both"/>
              <w:rPr>
                <w:rFonts w:ascii="Times New Roman" w:hAnsi="Times New Roman"/>
                <w:sz w:val="24"/>
                <w:szCs w:val="24"/>
              </w:rPr>
            </w:pPr>
            <w:r>
              <w:rPr>
                <w:rFonts w:ascii="Times New Roman" w:hAnsi="Times New Roman"/>
                <w:sz w:val="24"/>
                <w:szCs w:val="24"/>
              </w:rPr>
              <w:t>M</w:t>
            </w:r>
            <w:r w:rsidRPr="00ED16D5">
              <w:rPr>
                <w:rFonts w:ascii="Times New Roman" w:hAnsi="Times New Roman"/>
                <w:sz w:val="24"/>
                <w:szCs w:val="24"/>
              </w:rPr>
              <w:t xml:space="preserve">ost consultations </w:t>
            </w:r>
            <w:r>
              <w:rPr>
                <w:rFonts w:ascii="Times New Roman" w:hAnsi="Times New Roman"/>
                <w:sz w:val="24"/>
                <w:szCs w:val="24"/>
              </w:rPr>
              <w:t xml:space="preserve">do not </w:t>
            </w:r>
            <w:r w:rsidRPr="00ED16D5">
              <w:rPr>
                <w:rFonts w:ascii="Times New Roman" w:hAnsi="Times New Roman"/>
                <w:sz w:val="24"/>
                <w:szCs w:val="24"/>
              </w:rPr>
              <w:t>provide positive feedback</w:t>
            </w:r>
            <w:r>
              <w:rPr>
                <w:rFonts w:ascii="Times New Roman" w:hAnsi="Times New Roman"/>
                <w:sz w:val="24"/>
                <w:szCs w:val="24"/>
              </w:rPr>
              <w:t>. For example, there was a project for which a consultation meeting (that</w:t>
            </w:r>
            <w:r w:rsidRPr="00ED16D5">
              <w:rPr>
                <w:rFonts w:ascii="Times New Roman" w:hAnsi="Times New Roman"/>
                <w:sz w:val="24"/>
                <w:szCs w:val="24"/>
              </w:rPr>
              <w:t xml:space="preserve"> the Bank insisted on having)</w:t>
            </w:r>
            <w:r>
              <w:rPr>
                <w:rFonts w:ascii="Times New Roman" w:hAnsi="Times New Roman"/>
                <w:sz w:val="24"/>
                <w:szCs w:val="24"/>
              </w:rPr>
              <w:t xml:space="preserve"> </w:t>
            </w:r>
            <w:r w:rsidRPr="00ED16D5">
              <w:rPr>
                <w:rFonts w:ascii="Times New Roman" w:hAnsi="Times New Roman"/>
                <w:sz w:val="24"/>
                <w:szCs w:val="24"/>
              </w:rPr>
              <w:t xml:space="preserve">ended in a shouting </w:t>
            </w:r>
            <w:r>
              <w:rPr>
                <w:rFonts w:ascii="Times New Roman" w:hAnsi="Times New Roman"/>
                <w:sz w:val="24"/>
                <w:szCs w:val="24"/>
              </w:rPr>
              <w:t>match</w:t>
            </w:r>
            <w:r w:rsidRPr="00ED16D5">
              <w:rPr>
                <w:rFonts w:ascii="Times New Roman" w:hAnsi="Times New Roman"/>
                <w:sz w:val="24"/>
                <w:szCs w:val="24"/>
              </w:rPr>
              <w:t>. There was so much resistance that</w:t>
            </w:r>
            <w:r>
              <w:rPr>
                <w:rFonts w:ascii="Times New Roman" w:hAnsi="Times New Roman"/>
                <w:sz w:val="24"/>
                <w:szCs w:val="24"/>
              </w:rPr>
              <w:t xml:space="preserve">, while </w:t>
            </w:r>
            <w:r>
              <w:rPr>
                <w:rFonts w:ascii="Times New Roman" w:hAnsi="Times New Roman"/>
                <w:sz w:val="24"/>
                <w:szCs w:val="24"/>
              </w:rPr>
              <w:lastRenderedPageBreak/>
              <w:t>it</w:t>
            </w:r>
            <w:r w:rsidRPr="00ED16D5">
              <w:rPr>
                <w:rFonts w:ascii="Times New Roman" w:hAnsi="Times New Roman"/>
                <w:sz w:val="24"/>
                <w:szCs w:val="24"/>
              </w:rPr>
              <w:t xml:space="preserve"> would n</w:t>
            </w:r>
            <w:r>
              <w:rPr>
                <w:rFonts w:ascii="Times New Roman" w:hAnsi="Times New Roman"/>
                <w:sz w:val="24"/>
                <w:szCs w:val="24"/>
              </w:rPr>
              <w:t>ot have wished for this outcome,</w:t>
            </w:r>
            <w:r w:rsidRPr="00ED16D5">
              <w:rPr>
                <w:rFonts w:ascii="Times New Roman" w:hAnsi="Times New Roman"/>
                <w:sz w:val="24"/>
                <w:szCs w:val="24"/>
              </w:rPr>
              <w:t xml:space="preserve"> </w:t>
            </w:r>
            <w:r>
              <w:rPr>
                <w:rFonts w:ascii="Times New Roman" w:hAnsi="Times New Roman"/>
                <w:sz w:val="24"/>
                <w:szCs w:val="24"/>
              </w:rPr>
              <w:t>the government</w:t>
            </w:r>
            <w:r w:rsidRPr="00ED16D5">
              <w:rPr>
                <w:rFonts w:ascii="Times New Roman" w:hAnsi="Times New Roman"/>
                <w:sz w:val="24"/>
                <w:szCs w:val="24"/>
              </w:rPr>
              <w:t xml:space="preserve"> dropped the pro</w:t>
            </w:r>
            <w:r>
              <w:rPr>
                <w:rFonts w:ascii="Times New Roman" w:hAnsi="Times New Roman"/>
                <w:sz w:val="24"/>
                <w:szCs w:val="24"/>
              </w:rPr>
              <w:t>ject from World Bank financing.</w:t>
            </w:r>
          </w:p>
        </w:tc>
      </w:tr>
      <w:tr w:rsidR="00C17C54" w:rsidRPr="00BF54BC" w:rsidTr="00D26526">
        <w:tc>
          <w:tcPr>
            <w:tcW w:w="985" w:type="dxa"/>
            <w:vMerge w:val="restart"/>
            <w:shd w:val="clear" w:color="auto" w:fill="E7E6E6" w:themeFill="background2"/>
          </w:tcPr>
          <w:p w:rsidR="00C17C54" w:rsidRPr="00BF54BC" w:rsidRDefault="00C17C54" w:rsidP="00C17C54">
            <w:pPr>
              <w:rPr>
                <w:rFonts w:ascii="Times New Roman" w:hAnsi="Times New Roman" w:cs="Times New Roman"/>
                <w:sz w:val="24"/>
                <w:szCs w:val="24"/>
              </w:rPr>
            </w:pPr>
            <w:r w:rsidRPr="00BF54BC">
              <w:rPr>
                <w:rFonts w:ascii="Times New Roman" w:hAnsi="Times New Roman" w:cs="Times New Roman"/>
                <w:sz w:val="24"/>
                <w:szCs w:val="24"/>
              </w:rPr>
              <w:lastRenderedPageBreak/>
              <w:t>General</w:t>
            </w:r>
          </w:p>
          <w:p w:rsidR="00C17C54" w:rsidRPr="00BF54BC" w:rsidRDefault="00C17C54" w:rsidP="00C17C54">
            <w:pPr>
              <w:rPr>
                <w:rFonts w:ascii="Times New Roman" w:hAnsi="Times New Roman" w:cs="Times New Roman"/>
                <w:sz w:val="24"/>
                <w:szCs w:val="24"/>
              </w:rPr>
            </w:pPr>
          </w:p>
        </w:tc>
        <w:tc>
          <w:tcPr>
            <w:tcW w:w="2430" w:type="dxa"/>
            <w:shd w:val="clear" w:color="auto" w:fill="E7E6E6" w:themeFill="background2"/>
          </w:tcPr>
          <w:p w:rsidR="00C17C54" w:rsidRPr="00BF54BC" w:rsidRDefault="00C17C54" w:rsidP="00C17C54">
            <w:pPr>
              <w:rPr>
                <w:rFonts w:ascii="Times New Roman" w:hAnsi="Times New Roman" w:cs="Times New Roman"/>
                <w:sz w:val="24"/>
                <w:szCs w:val="24"/>
              </w:rPr>
            </w:pPr>
            <w:r w:rsidRPr="00BF54BC">
              <w:rPr>
                <w:rFonts w:ascii="Times New Roman" w:hAnsi="Times New Roman" w:cs="Times New Roman"/>
                <w:sz w:val="24"/>
                <w:szCs w:val="24"/>
              </w:rPr>
              <w:t xml:space="preserve"> EHSG and GIIP</w:t>
            </w:r>
          </w:p>
        </w:tc>
        <w:tc>
          <w:tcPr>
            <w:tcW w:w="4860" w:type="dxa"/>
            <w:shd w:val="clear" w:color="auto" w:fill="E7E6E6" w:themeFill="background2"/>
          </w:tcPr>
          <w:p w:rsidR="00C17C54" w:rsidRPr="00BF54BC" w:rsidRDefault="00C17C54" w:rsidP="00C17C54">
            <w:pPr>
              <w:pStyle w:val="ListParagraph"/>
              <w:numPr>
                <w:ilvl w:val="0"/>
                <w:numId w:val="11"/>
              </w:numPr>
              <w:ind w:left="342"/>
              <w:rPr>
                <w:rFonts w:ascii="Times New Roman" w:eastAsiaTheme="minorEastAsia" w:hAnsi="Times New Roman"/>
                <w:sz w:val="24"/>
                <w:szCs w:val="24"/>
                <w:lang w:eastAsia="zh-CN"/>
              </w:rPr>
            </w:pPr>
            <w:r w:rsidRPr="00BF54BC">
              <w:rPr>
                <w:rFonts w:ascii="Times New Roman" w:hAnsi="Times New Roman"/>
                <w:sz w:val="24"/>
                <w:szCs w:val="24"/>
              </w:rPr>
              <w:t>Application of the Environmental, Health and Safety Guidelines (</w:t>
            </w:r>
            <w:r w:rsidRPr="00BF54BC">
              <w:rPr>
                <w:rFonts w:ascii="Times New Roman" w:eastAsiaTheme="minorEastAsia" w:hAnsi="Times New Roman"/>
                <w:sz w:val="24"/>
                <w:szCs w:val="24"/>
                <w:lang w:eastAsia="zh-CN"/>
              </w:rPr>
              <w:t xml:space="preserve">EHSGs) and </w:t>
            </w:r>
            <w:r w:rsidRPr="00BF54BC">
              <w:rPr>
                <w:rFonts w:ascii="Times New Roman" w:hAnsi="Times New Roman"/>
                <w:sz w:val="24"/>
                <w:szCs w:val="24"/>
              </w:rPr>
              <w:t>Good International Industry Practice (</w:t>
            </w:r>
            <w:r w:rsidRPr="00BF54BC">
              <w:rPr>
                <w:rFonts w:ascii="Times New Roman" w:eastAsiaTheme="minorEastAsia" w:hAnsi="Times New Roman"/>
                <w:sz w:val="24"/>
                <w:szCs w:val="24"/>
                <w:lang w:eastAsia="zh-CN"/>
              </w:rPr>
              <w:t>GIIP), especially when different to national law or where the Borrower has technical or financial constraints and/or in view of project specific circumstances</w:t>
            </w:r>
          </w:p>
        </w:tc>
        <w:tc>
          <w:tcPr>
            <w:tcW w:w="6030" w:type="dxa"/>
          </w:tcPr>
          <w:p w:rsidR="00C17C54" w:rsidRPr="00BF54BC" w:rsidRDefault="00C17C54" w:rsidP="00FD7CE9">
            <w:pPr>
              <w:pStyle w:val="ListParagraph"/>
              <w:numPr>
                <w:ilvl w:val="0"/>
                <w:numId w:val="14"/>
              </w:numPr>
              <w:ind w:left="342"/>
              <w:jc w:val="both"/>
              <w:rPr>
                <w:rFonts w:ascii="Times New Roman" w:hAnsi="Times New Roman"/>
                <w:sz w:val="24"/>
                <w:szCs w:val="24"/>
              </w:rPr>
            </w:pPr>
            <w:r w:rsidRPr="009F1CE2">
              <w:rPr>
                <w:rFonts w:ascii="Times New Roman" w:hAnsi="Times New Roman"/>
                <w:sz w:val="24"/>
                <w:szCs w:val="24"/>
              </w:rPr>
              <w:t xml:space="preserve">Are the </w:t>
            </w:r>
            <w:r w:rsidRPr="00ED1991">
              <w:rPr>
                <w:rFonts w:ascii="Times New Roman" w:hAnsi="Times New Roman"/>
                <w:sz w:val="24"/>
                <w:szCs w:val="24"/>
              </w:rPr>
              <w:t>Environmental Health and Safety Guidelines new?</w:t>
            </w:r>
            <w:r w:rsidRPr="009F1CE2">
              <w:rPr>
                <w:rFonts w:ascii="Times New Roman" w:hAnsi="Times New Roman"/>
                <w:sz w:val="24"/>
                <w:szCs w:val="24"/>
              </w:rPr>
              <w:t xml:space="preserve"> </w:t>
            </w:r>
            <w:r w:rsidR="00FD7CE9">
              <w:rPr>
                <w:rFonts w:ascii="Times New Roman" w:hAnsi="Times New Roman"/>
                <w:sz w:val="24"/>
                <w:szCs w:val="24"/>
              </w:rPr>
              <w:t xml:space="preserve">The Bank should </w:t>
            </w:r>
            <w:r w:rsidRPr="009F1CE2">
              <w:rPr>
                <w:rFonts w:ascii="Times New Roman" w:hAnsi="Times New Roman"/>
                <w:sz w:val="24"/>
                <w:szCs w:val="24"/>
              </w:rPr>
              <w:t>describe the relationship between th</w:t>
            </w:r>
            <w:r w:rsidR="00FD7CE9">
              <w:rPr>
                <w:rFonts w:ascii="Times New Roman" w:hAnsi="Times New Roman"/>
                <w:sz w:val="24"/>
                <w:szCs w:val="24"/>
              </w:rPr>
              <w:t>em</w:t>
            </w:r>
            <w:r w:rsidRPr="009F1CE2">
              <w:rPr>
                <w:rFonts w:ascii="Times New Roman" w:hAnsi="Times New Roman"/>
                <w:sz w:val="24"/>
                <w:szCs w:val="24"/>
              </w:rPr>
              <w:t xml:space="preserve"> and national law</w:t>
            </w:r>
            <w:r w:rsidR="00FD7CE9">
              <w:rPr>
                <w:rFonts w:ascii="Times New Roman" w:hAnsi="Times New Roman"/>
                <w:sz w:val="24"/>
                <w:szCs w:val="24"/>
              </w:rPr>
              <w:t>.</w:t>
            </w:r>
          </w:p>
        </w:tc>
      </w:tr>
      <w:tr w:rsidR="00012C6F" w:rsidRPr="00BF54BC" w:rsidTr="00D26526">
        <w:tc>
          <w:tcPr>
            <w:tcW w:w="985" w:type="dxa"/>
            <w:vMerge/>
            <w:shd w:val="clear" w:color="auto" w:fill="E7E6E6" w:themeFill="background2"/>
          </w:tcPr>
          <w:p w:rsidR="00012C6F" w:rsidRPr="00BF54BC" w:rsidRDefault="00012C6F" w:rsidP="00012C6F">
            <w:pPr>
              <w:rPr>
                <w:rFonts w:ascii="Times New Roman" w:hAnsi="Times New Roman" w:cs="Times New Roman"/>
                <w:sz w:val="24"/>
                <w:szCs w:val="24"/>
              </w:rPr>
            </w:pPr>
          </w:p>
        </w:tc>
        <w:tc>
          <w:tcPr>
            <w:tcW w:w="2430" w:type="dxa"/>
            <w:shd w:val="clear" w:color="auto" w:fill="E7E6E6" w:themeFill="background2"/>
          </w:tcPr>
          <w:p w:rsidR="00012C6F" w:rsidRPr="00BF54BC" w:rsidRDefault="00012C6F" w:rsidP="00012C6F">
            <w:pPr>
              <w:rPr>
                <w:rFonts w:ascii="Times New Roman" w:hAnsi="Times New Roman" w:cs="Times New Roman"/>
                <w:sz w:val="24"/>
                <w:szCs w:val="24"/>
              </w:rPr>
            </w:pPr>
            <w:r w:rsidRPr="00BF54BC">
              <w:rPr>
                <w:rFonts w:ascii="Times New Roman" w:hAnsi="Times New Roman" w:cs="Times New Roman"/>
                <w:sz w:val="24"/>
                <w:szCs w:val="24"/>
              </w:rPr>
              <w:t>Feasibility and resources for implementation</w:t>
            </w:r>
          </w:p>
        </w:tc>
        <w:tc>
          <w:tcPr>
            <w:tcW w:w="4860" w:type="dxa"/>
            <w:shd w:val="clear" w:color="auto" w:fill="E7E6E6" w:themeFill="background2"/>
          </w:tcPr>
          <w:p w:rsidR="00012C6F" w:rsidRPr="00BF54BC" w:rsidRDefault="00012C6F" w:rsidP="00012C6F">
            <w:pPr>
              <w:pStyle w:val="ListParagraph"/>
              <w:numPr>
                <w:ilvl w:val="0"/>
                <w:numId w:val="11"/>
              </w:numPr>
              <w:ind w:left="342"/>
              <w:rPr>
                <w:rFonts w:ascii="Times New Roman" w:eastAsiaTheme="minorEastAsia" w:hAnsi="Times New Roman"/>
                <w:sz w:val="24"/>
                <w:szCs w:val="24"/>
                <w:lang w:eastAsia="zh-CN"/>
              </w:rPr>
            </w:pPr>
            <w:r w:rsidRPr="00BF54BC">
              <w:rPr>
                <w:rFonts w:ascii="Times New Roman" w:eastAsiaTheme="minorEastAsia"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rsidR="00012C6F" w:rsidRPr="00BF54BC" w:rsidRDefault="00012C6F" w:rsidP="00012C6F">
            <w:pPr>
              <w:pStyle w:val="ListParagraph"/>
              <w:numPr>
                <w:ilvl w:val="0"/>
                <w:numId w:val="11"/>
              </w:numPr>
              <w:ind w:left="342"/>
              <w:rPr>
                <w:rFonts w:ascii="Times New Roman" w:eastAsiaTheme="minorEastAsia" w:hAnsi="Times New Roman"/>
                <w:sz w:val="24"/>
                <w:szCs w:val="24"/>
                <w:lang w:eastAsia="zh-CN"/>
              </w:rPr>
            </w:pPr>
            <w:r w:rsidRPr="00BF54BC">
              <w:rPr>
                <w:rFonts w:ascii="Times New Roman" w:eastAsiaTheme="minorEastAsia" w:hAnsi="Times New Roman"/>
                <w:sz w:val="24"/>
                <w:szCs w:val="24"/>
                <w:lang w:eastAsia="zh-CN"/>
              </w:rPr>
              <w:t>Mitigation of additional burden and cost and options for improving implementation efficiency while maintaining effectiveness</w:t>
            </w:r>
          </w:p>
        </w:tc>
        <w:tc>
          <w:tcPr>
            <w:tcW w:w="6030" w:type="dxa"/>
          </w:tcPr>
          <w:p w:rsidR="00012C6F" w:rsidRPr="00E5639E" w:rsidRDefault="00012C6F" w:rsidP="00E5639E">
            <w:pPr>
              <w:ind w:left="-18"/>
              <w:jc w:val="both"/>
              <w:rPr>
                <w:rFonts w:ascii="Times New Roman" w:hAnsi="Times New Roman"/>
                <w:sz w:val="24"/>
                <w:szCs w:val="24"/>
              </w:rPr>
            </w:pPr>
          </w:p>
        </w:tc>
      </w:tr>
      <w:tr w:rsidR="008A3F36" w:rsidRPr="00BF54BC" w:rsidTr="00D26526">
        <w:tc>
          <w:tcPr>
            <w:tcW w:w="985" w:type="dxa"/>
            <w:vMerge/>
            <w:shd w:val="clear" w:color="auto" w:fill="E7E6E6" w:themeFill="background2"/>
          </w:tcPr>
          <w:p w:rsidR="008A3F36" w:rsidRPr="00BF54BC" w:rsidRDefault="008A3F36" w:rsidP="008A3F36">
            <w:pPr>
              <w:rPr>
                <w:rFonts w:ascii="Times New Roman" w:hAnsi="Times New Roman" w:cs="Times New Roman"/>
                <w:color w:val="000000"/>
                <w:sz w:val="24"/>
                <w:szCs w:val="24"/>
              </w:rPr>
            </w:pPr>
          </w:p>
        </w:tc>
        <w:tc>
          <w:tcPr>
            <w:tcW w:w="2430" w:type="dxa"/>
            <w:shd w:val="clear" w:color="auto" w:fill="E7E6E6" w:themeFill="background2"/>
          </w:tcPr>
          <w:p w:rsidR="008A3F36" w:rsidRPr="00BF54BC" w:rsidRDefault="008A3F36" w:rsidP="008A3F36">
            <w:pPr>
              <w:rPr>
                <w:rFonts w:ascii="Times New Roman" w:hAnsi="Times New Roman" w:cs="Times New Roman"/>
                <w:sz w:val="24"/>
                <w:szCs w:val="24"/>
              </w:rPr>
            </w:pPr>
            <w:r w:rsidRPr="00BF54BC">
              <w:rPr>
                <w:rFonts w:ascii="Times New Roman" w:hAnsi="Times New Roman" w:cs="Times New Roman"/>
                <w:color w:val="000000"/>
                <w:sz w:val="24"/>
                <w:szCs w:val="24"/>
              </w:rPr>
              <w:t>Client capacity building and implementation support</w:t>
            </w:r>
          </w:p>
        </w:tc>
        <w:tc>
          <w:tcPr>
            <w:tcW w:w="4860" w:type="dxa"/>
            <w:shd w:val="clear" w:color="auto" w:fill="E7E6E6" w:themeFill="background2"/>
          </w:tcPr>
          <w:p w:rsidR="008A3F36" w:rsidRPr="00BF54BC" w:rsidRDefault="008A3F36" w:rsidP="008A3F36">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Funding for client capacity building</w:t>
            </w:r>
          </w:p>
          <w:p w:rsidR="008A3F36" w:rsidRPr="00BF54BC" w:rsidRDefault="008A3F36" w:rsidP="008A3F36">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 xml:space="preserve">Approaches and areas of </w:t>
            </w:r>
            <w:r w:rsidRPr="00BF54BC">
              <w:rPr>
                <w:rFonts w:ascii="Times New Roman" w:hAnsi="Times New Roman"/>
                <w:color w:val="000000"/>
                <w:sz w:val="24"/>
                <w:szCs w:val="24"/>
              </w:rPr>
              <w:t>focus</w:t>
            </w:r>
            <w:r w:rsidRPr="00BF54BC">
              <w:rPr>
                <w:rFonts w:ascii="Times New Roman" w:hAnsi="Times New Roman"/>
                <w:sz w:val="24"/>
                <w:szCs w:val="24"/>
              </w:rPr>
              <w:t xml:space="preserve"> </w:t>
            </w:r>
          </w:p>
          <w:p w:rsidR="008A3F36" w:rsidRPr="00BF54BC" w:rsidRDefault="008A3F36" w:rsidP="008A3F36">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Approach to implementing the ESF in situations with capacity constraints, e.g., FCS, small states and emergency situations</w:t>
            </w:r>
          </w:p>
        </w:tc>
        <w:tc>
          <w:tcPr>
            <w:tcW w:w="6030" w:type="dxa"/>
          </w:tcPr>
          <w:p w:rsidR="00AF54A9" w:rsidRDefault="00AF54A9" w:rsidP="00AF54A9">
            <w:pPr>
              <w:pStyle w:val="ListParagraph"/>
              <w:ind w:left="342"/>
              <w:jc w:val="both"/>
              <w:rPr>
                <w:rFonts w:ascii="Times New Roman" w:hAnsi="Times New Roman"/>
                <w:sz w:val="24"/>
                <w:szCs w:val="24"/>
              </w:rPr>
            </w:pPr>
          </w:p>
          <w:p w:rsidR="008A3F36" w:rsidRDefault="004B6BBE" w:rsidP="008A3F36">
            <w:pPr>
              <w:pStyle w:val="ListParagraph"/>
              <w:numPr>
                <w:ilvl w:val="0"/>
                <w:numId w:val="14"/>
              </w:numPr>
              <w:ind w:left="342"/>
              <w:jc w:val="both"/>
              <w:rPr>
                <w:rFonts w:ascii="Times New Roman" w:hAnsi="Times New Roman"/>
                <w:sz w:val="24"/>
                <w:szCs w:val="24"/>
              </w:rPr>
            </w:pPr>
            <w:r>
              <w:rPr>
                <w:rFonts w:ascii="Times New Roman" w:hAnsi="Times New Roman"/>
                <w:sz w:val="24"/>
                <w:szCs w:val="24"/>
              </w:rPr>
              <w:t>W</w:t>
            </w:r>
            <w:r w:rsidR="008A3F36" w:rsidRPr="008A3F36">
              <w:rPr>
                <w:rFonts w:ascii="Times New Roman" w:hAnsi="Times New Roman"/>
                <w:sz w:val="24"/>
                <w:szCs w:val="24"/>
              </w:rPr>
              <w:t>hile bringing forth all these new requirements,</w:t>
            </w:r>
            <w:r>
              <w:rPr>
                <w:rFonts w:ascii="Times New Roman" w:hAnsi="Times New Roman"/>
                <w:sz w:val="24"/>
                <w:szCs w:val="24"/>
              </w:rPr>
              <w:t xml:space="preserve"> i</w:t>
            </w:r>
            <w:r w:rsidRPr="008A3F36">
              <w:rPr>
                <w:rFonts w:ascii="Times New Roman" w:hAnsi="Times New Roman"/>
                <w:sz w:val="24"/>
                <w:szCs w:val="24"/>
              </w:rPr>
              <w:t>s the W</w:t>
            </w:r>
            <w:r>
              <w:rPr>
                <w:rFonts w:ascii="Times New Roman" w:hAnsi="Times New Roman"/>
                <w:sz w:val="24"/>
                <w:szCs w:val="24"/>
              </w:rPr>
              <w:t xml:space="preserve">orld </w:t>
            </w:r>
            <w:r w:rsidRPr="008A3F36">
              <w:rPr>
                <w:rFonts w:ascii="Times New Roman" w:hAnsi="Times New Roman"/>
                <w:sz w:val="24"/>
                <w:szCs w:val="24"/>
              </w:rPr>
              <w:t>B</w:t>
            </w:r>
            <w:r>
              <w:rPr>
                <w:rFonts w:ascii="Times New Roman" w:hAnsi="Times New Roman"/>
                <w:sz w:val="24"/>
                <w:szCs w:val="24"/>
              </w:rPr>
              <w:t>ank</w:t>
            </w:r>
            <w:r w:rsidR="008A3F36" w:rsidRPr="008A3F36">
              <w:rPr>
                <w:rFonts w:ascii="Times New Roman" w:hAnsi="Times New Roman"/>
                <w:sz w:val="24"/>
                <w:szCs w:val="24"/>
              </w:rPr>
              <w:t xml:space="preserve"> considering </w:t>
            </w:r>
            <w:r w:rsidR="003628A1">
              <w:rPr>
                <w:rFonts w:ascii="Times New Roman" w:hAnsi="Times New Roman"/>
                <w:sz w:val="24"/>
                <w:szCs w:val="24"/>
              </w:rPr>
              <w:t xml:space="preserve">making </w:t>
            </w:r>
            <w:r w:rsidR="00F66390">
              <w:rPr>
                <w:rFonts w:ascii="Times New Roman" w:hAnsi="Times New Roman"/>
                <w:sz w:val="24"/>
                <w:szCs w:val="24"/>
              </w:rPr>
              <w:t xml:space="preserve">any </w:t>
            </w:r>
            <w:r w:rsidR="003628A1">
              <w:rPr>
                <w:rFonts w:ascii="Times New Roman" w:hAnsi="Times New Roman"/>
                <w:sz w:val="24"/>
                <w:szCs w:val="24"/>
              </w:rPr>
              <w:t>efforts</w:t>
            </w:r>
            <w:r w:rsidR="008A3F36" w:rsidRPr="008A3F36">
              <w:rPr>
                <w:rFonts w:ascii="Times New Roman" w:hAnsi="Times New Roman"/>
                <w:sz w:val="24"/>
                <w:szCs w:val="24"/>
              </w:rPr>
              <w:t xml:space="preserve"> </w:t>
            </w:r>
            <w:r w:rsidR="003628A1">
              <w:rPr>
                <w:rFonts w:ascii="Times New Roman" w:hAnsi="Times New Roman"/>
                <w:sz w:val="24"/>
                <w:szCs w:val="24"/>
              </w:rPr>
              <w:t>to</w:t>
            </w:r>
            <w:r w:rsidR="008A3F36" w:rsidRPr="008A3F36">
              <w:rPr>
                <w:rFonts w:ascii="Times New Roman" w:hAnsi="Times New Roman"/>
                <w:sz w:val="24"/>
                <w:szCs w:val="24"/>
              </w:rPr>
              <w:t xml:space="preserve"> increas</w:t>
            </w:r>
            <w:r w:rsidR="003628A1">
              <w:rPr>
                <w:rFonts w:ascii="Times New Roman" w:hAnsi="Times New Roman"/>
                <w:sz w:val="24"/>
                <w:szCs w:val="24"/>
              </w:rPr>
              <w:t>e</w:t>
            </w:r>
            <w:r w:rsidR="008A3F36" w:rsidRPr="008A3F36">
              <w:rPr>
                <w:rFonts w:ascii="Times New Roman" w:hAnsi="Times New Roman"/>
                <w:sz w:val="24"/>
                <w:szCs w:val="24"/>
              </w:rPr>
              <w:t xml:space="preserve"> the human </w:t>
            </w:r>
            <w:r w:rsidR="00AF54A9">
              <w:rPr>
                <w:rFonts w:ascii="Times New Roman" w:hAnsi="Times New Roman"/>
                <w:sz w:val="24"/>
                <w:szCs w:val="24"/>
              </w:rPr>
              <w:t>capacity of government agencies/B</w:t>
            </w:r>
            <w:r w:rsidR="008A3F36" w:rsidRPr="008A3F36">
              <w:rPr>
                <w:rFonts w:ascii="Times New Roman" w:hAnsi="Times New Roman"/>
                <w:sz w:val="24"/>
                <w:szCs w:val="24"/>
              </w:rPr>
              <w:t>orrowers?</w:t>
            </w:r>
          </w:p>
          <w:p w:rsidR="00E5639E" w:rsidRDefault="00E5639E" w:rsidP="008A3F36">
            <w:pPr>
              <w:pStyle w:val="ListParagraph"/>
              <w:numPr>
                <w:ilvl w:val="0"/>
                <w:numId w:val="14"/>
              </w:numPr>
              <w:ind w:left="342"/>
              <w:jc w:val="both"/>
              <w:rPr>
                <w:rFonts w:ascii="Times New Roman" w:hAnsi="Times New Roman"/>
                <w:sz w:val="24"/>
                <w:szCs w:val="24"/>
              </w:rPr>
            </w:pPr>
            <w:r>
              <w:rPr>
                <w:rFonts w:ascii="Times New Roman" w:hAnsi="Times New Roman"/>
                <w:sz w:val="24"/>
                <w:szCs w:val="24"/>
              </w:rPr>
              <w:t xml:space="preserve">In order to close </w:t>
            </w:r>
            <w:r w:rsidRPr="00012C6F">
              <w:rPr>
                <w:rFonts w:ascii="Times New Roman" w:hAnsi="Times New Roman"/>
                <w:sz w:val="24"/>
                <w:szCs w:val="24"/>
              </w:rPr>
              <w:t>gaps</w:t>
            </w:r>
            <w:r>
              <w:rPr>
                <w:rFonts w:ascii="Times New Roman" w:hAnsi="Times New Roman"/>
                <w:sz w:val="24"/>
                <w:szCs w:val="24"/>
              </w:rPr>
              <w:t xml:space="preserve"> </w:t>
            </w:r>
            <w:r w:rsidRPr="00012C6F">
              <w:rPr>
                <w:rFonts w:ascii="Times New Roman" w:hAnsi="Times New Roman"/>
                <w:sz w:val="24"/>
                <w:szCs w:val="24"/>
              </w:rPr>
              <w:t>between nation</w:t>
            </w:r>
            <w:r>
              <w:rPr>
                <w:rFonts w:ascii="Times New Roman" w:hAnsi="Times New Roman"/>
                <w:sz w:val="24"/>
                <w:szCs w:val="24"/>
              </w:rPr>
              <w:t>al law and World Bank standards</w:t>
            </w:r>
            <w:r w:rsidRPr="00012C6F">
              <w:rPr>
                <w:rFonts w:ascii="Times New Roman" w:hAnsi="Times New Roman"/>
                <w:sz w:val="24"/>
                <w:szCs w:val="24"/>
              </w:rPr>
              <w:t>, usually consultants are used</w:t>
            </w:r>
            <w:r w:rsidR="00DC669B">
              <w:rPr>
                <w:rFonts w:ascii="Times New Roman" w:hAnsi="Times New Roman"/>
                <w:sz w:val="24"/>
                <w:szCs w:val="24"/>
              </w:rPr>
              <w:t>;</w:t>
            </w:r>
            <w:r w:rsidRPr="00012C6F">
              <w:rPr>
                <w:rFonts w:ascii="Times New Roman" w:hAnsi="Times New Roman"/>
                <w:sz w:val="24"/>
                <w:szCs w:val="24"/>
              </w:rPr>
              <w:t xml:space="preserve"> but consultants of this capacity are few. Does the Bank have any plans to create an accredited roster of consultants? What about building the local capacity?</w:t>
            </w:r>
          </w:p>
          <w:p w:rsidR="00F44B8A" w:rsidRPr="00F44B8A" w:rsidRDefault="000B3EA8" w:rsidP="00F44B8A">
            <w:pPr>
              <w:pStyle w:val="ListParagraph"/>
              <w:numPr>
                <w:ilvl w:val="0"/>
                <w:numId w:val="14"/>
              </w:numPr>
              <w:ind w:left="342"/>
              <w:jc w:val="both"/>
              <w:rPr>
                <w:rFonts w:ascii="Times New Roman" w:hAnsi="Times New Roman"/>
                <w:sz w:val="24"/>
                <w:szCs w:val="24"/>
              </w:rPr>
            </w:pPr>
            <w:r>
              <w:rPr>
                <w:rFonts w:ascii="Times New Roman" w:hAnsi="Times New Roman"/>
                <w:sz w:val="24"/>
                <w:szCs w:val="24"/>
              </w:rPr>
              <w:t>It is really necessary</w:t>
            </w:r>
            <w:r w:rsidR="00AE6374" w:rsidRPr="00AE6374">
              <w:rPr>
                <w:rFonts w:ascii="Times New Roman" w:hAnsi="Times New Roman"/>
                <w:sz w:val="24"/>
                <w:szCs w:val="24"/>
              </w:rPr>
              <w:t xml:space="preserve"> </w:t>
            </w:r>
            <w:r w:rsidR="00550D4C">
              <w:rPr>
                <w:rFonts w:ascii="Times New Roman" w:hAnsi="Times New Roman"/>
                <w:sz w:val="24"/>
                <w:szCs w:val="24"/>
              </w:rPr>
              <w:t xml:space="preserve">for the Bank to help </w:t>
            </w:r>
            <w:r w:rsidR="001D70BF">
              <w:rPr>
                <w:rFonts w:ascii="Times New Roman" w:hAnsi="Times New Roman"/>
                <w:sz w:val="24"/>
                <w:szCs w:val="24"/>
              </w:rPr>
              <w:t>Borrowers</w:t>
            </w:r>
            <w:r w:rsidR="00550D4C">
              <w:rPr>
                <w:rFonts w:ascii="Times New Roman" w:hAnsi="Times New Roman"/>
                <w:sz w:val="24"/>
                <w:szCs w:val="24"/>
              </w:rPr>
              <w:t xml:space="preserve"> </w:t>
            </w:r>
            <w:r w:rsidR="00AE6374" w:rsidRPr="00AE6374">
              <w:rPr>
                <w:rFonts w:ascii="Times New Roman" w:hAnsi="Times New Roman"/>
                <w:sz w:val="24"/>
                <w:szCs w:val="24"/>
              </w:rPr>
              <w:t xml:space="preserve">adapt to </w:t>
            </w:r>
            <w:r w:rsidR="001F0658">
              <w:rPr>
                <w:rFonts w:ascii="Times New Roman" w:hAnsi="Times New Roman"/>
                <w:sz w:val="24"/>
                <w:szCs w:val="24"/>
              </w:rPr>
              <w:t>its</w:t>
            </w:r>
            <w:r w:rsidR="00AE6374" w:rsidRPr="00AE6374">
              <w:rPr>
                <w:rFonts w:ascii="Times New Roman" w:hAnsi="Times New Roman"/>
                <w:sz w:val="24"/>
                <w:szCs w:val="24"/>
              </w:rPr>
              <w:t xml:space="preserve"> requirements and build capacity. Capacity building of sub-borrowers is also very important</w:t>
            </w:r>
            <w:r w:rsidR="00275D9A">
              <w:rPr>
                <w:rFonts w:ascii="Times New Roman" w:hAnsi="Times New Roman"/>
                <w:sz w:val="24"/>
                <w:szCs w:val="24"/>
              </w:rPr>
              <w:t xml:space="preserve"> and needed</w:t>
            </w:r>
            <w:r w:rsidR="00AE6374" w:rsidRPr="00AE6374">
              <w:rPr>
                <w:rFonts w:ascii="Times New Roman" w:hAnsi="Times New Roman"/>
                <w:sz w:val="24"/>
                <w:szCs w:val="24"/>
              </w:rPr>
              <w:t xml:space="preserve">. Overall, </w:t>
            </w:r>
            <w:r w:rsidR="001F0658">
              <w:rPr>
                <w:rFonts w:ascii="Times New Roman" w:hAnsi="Times New Roman"/>
                <w:sz w:val="24"/>
                <w:szCs w:val="24"/>
              </w:rPr>
              <w:t>the results of capacity building efforts</w:t>
            </w:r>
            <w:r w:rsidR="00AE6374" w:rsidRPr="00AE6374">
              <w:rPr>
                <w:rFonts w:ascii="Times New Roman" w:hAnsi="Times New Roman"/>
                <w:sz w:val="24"/>
                <w:szCs w:val="24"/>
              </w:rPr>
              <w:t xml:space="preserve"> have been quite positive.</w:t>
            </w:r>
          </w:p>
        </w:tc>
      </w:tr>
      <w:tr w:rsidR="00C17C54" w:rsidRPr="00BF54BC" w:rsidTr="00D26526">
        <w:tc>
          <w:tcPr>
            <w:tcW w:w="985" w:type="dxa"/>
            <w:vMerge/>
            <w:shd w:val="clear" w:color="auto" w:fill="E7E6E6" w:themeFill="background2"/>
          </w:tcPr>
          <w:p w:rsidR="00C17C54" w:rsidRPr="00BF54BC" w:rsidRDefault="00C17C54" w:rsidP="00C17C54">
            <w:pPr>
              <w:rPr>
                <w:rFonts w:ascii="Times New Roman" w:hAnsi="Times New Roman" w:cs="Times New Roman"/>
                <w:color w:val="000000"/>
                <w:sz w:val="24"/>
                <w:szCs w:val="24"/>
              </w:rPr>
            </w:pPr>
          </w:p>
        </w:tc>
        <w:tc>
          <w:tcPr>
            <w:tcW w:w="2430" w:type="dxa"/>
            <w:shd w:val="clear" w:color="auto" w:fill="E7E6E6" w:themeFill="background2"/>
          </w:tcPr>
          <w:p w:rsidR="00C17C54" w:rsidRPr="00BF54BC" w:rsidRDefault="00C17C54" w:rsidP="00C17C54">
            <w:pPr>
              <w:rPr>
                <w:rFonts w:ascii="Times New Roman" w:hAnsi="Times New Roman" w:cs="Times New Roman"/>
                <w:color w:val="000000"/>
                <w:sz w:val="24"/>
                <w:szCs w:val="24"/>
              </w:rPr>
            </w:pPr>
            <w:r w:rsidRPr="00BF54BC">
              <w:rPr>
                <w:rFonts w:ascii="Times New Roman" w:hAnsi="Times New Roman" w:cs="Times New Roman"/>
                <w:color w:val="000000"/>
                <w:sz w:val="24"/>
                <w:szCs w:val="24"/>
              </w:rPr>
              <w:t>Disclosure</w:t>
            </w:r>
          </w:p>
        </w:tc>
        <w:tc>
          <w:tcPr>
            <w:tcW w:w="4860" w:type="dxa"/>
            <w:shd w:val="clear" w:color="auto" w:fill="E7E6E6" w:themeFill="background2"/>
          </w:tcPr>
          <w:p w:rsidR="00C17C54" w:rsidRPr="00BF54BC" w:rsidRDefault="00C17C54" w:rsidP="00C17C54">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Timing of the preparation and disclosure of specific environmental and social impact assessment documents (related to ESS1 and ESS10)</w:t>
            </w:r>
          </w:p>
        </w:tc>
        <w:tc>
          <w:tcPr>
            <w:tcW w:w="6030" w:type="dxa"/>
          </w:tcPr>
          <w:p w:rsidR="00C17C54" w:rsidRPr="00BF54BC" w:rsidRDefault="00C17C54" w:rsidP="00C17C54">
            <w:pPr>
              <w:pStyle w:val="ListParagraph"/>
              <w:ind w:left="342"/>
              <w:jc w:val="both"/>
              <w:rPr>
                <w:rFonts w:ascii="Times New Roman" w:hAnsi="Times New Roman"/>
                <w:sz w:val="24"/>
                <w:szCs w:val="24"/>
              </w:rPr>
            </w:pPr>
          </w:p>
        </w:tc>
      </w:tr>
      <w:tr w:rsidR="00F44B8A" w:rsidRPr="00BF54BC" w:rsidTr="00D26526">
        <w:tc>
          <w:tcPr>
            <w:tcW w:w="985" w:type="dxa"/>
            <w:vMerge/>
            <w:shd w:val="clear" w:color="auto" w:fill="E7E6E6" w:themeFill="background2"/>
          </w:tcPr>
          <w:p w:rsidR="00F44B8A" w:rsidRPr="00BF54BC" w:rsidRDefault="00F44B8A" w:rsidP="00F44B8A">
            <w:pPr>
              <w:rPr>
                <w:rFonts w:ascii="Times New Roman" w:hAnsi="Times New Roman" w:cs="Times New Roman"/>
                <w:sz w:val="24"/>
                <w:szCs w:val="24"/>
              </w:rPr>
            </w:pPr>
          </w:p>
        </w:tc>
        <w:tc>
          <w:tcPr>
            <w:tcW w:w="2430" w:type="dxa"/>
            <w:shd w:val="clear" w:color="auto" w:fill="E7E6E6" w:themeFill="background2"/>
          </w:tcPr>
          <w:p w:rsidR="00F44B8A" w:rsidRPr="00BF54BC" w:rsidRDefault="00F44B8A" w:rsidP="00F44B8A">
            <w:pPr>
              <w:rPr>
                <w:rFonts w:ascii="Times New Roman" w:hAnsi="Times New Roman" w:cs="Times New Roman"/>
                <w:sz w:val="24"/>
                <w:szCs w:val="24"/>
              </w:rPr>
            </w:pPr>
            <w:r w:rsidRPr="00BF54BC">
              <w:rPr>
                <w:rFonts w:ascii="Times New Roman" w:hAnsi="Times New Roman" w:cs="Times New Roman"/>
                <w:sz w:val="24"/>
                <w:szCs w:val="24"/>
              </w:rPr>
              <w:t>Implementation of the ESF</w:t>
            </w:r>
          </w:p>
        </w:tc>
        <w:tc>
          <w:tcPr>
            <w:tcW w:w="4860" w:type="dxa"/>
            <w:shd w:val="clear" w:color="auto" w:fill="E7E6E6" w:themeFill="background2"/>
          </w:tcPr>
          <w:p w:rsidR="00F44B8A" w:rsidRPr="00BF54BC" w:rsidRDefault="00F44B8A" w:rsidP="00F44B8A">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Bank internal capacity building, resourcing, and behavioral change in order to successfully implement the ESF</w:t>
            </w:r>
          </w:p>
          <w:p w:rsidR="00F44B8A" w:rsidRPr="00BF54BC" w:rsidRDefault="00F44B8A" w:rsidP="00F44B8A">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Ways of reaching mutual understanding between Borrower and Bank on issues of difficult interpretation</w:t>
            </w:r>
          </w:p>
        </w:tc>
        <w:tc>
          <w:tcPr>
            <w:tcW w:w="6030" w:type="dxa"/>
          </w:tcPr>
          <w:p w:rsidR="00F44B8A" w:rsidRPr="00F44B8A" w:rsidRDefault="00F44B8A" w:rsidP="00F44B8A">
            <w:pPr>
              <w:pStyle w:val="ListParagraph"/>
              <w:numPr>
                <w:ilvl w:val="0"/>
                <w:numId w:val="14"/>
              </w:numPr>
              <w:ind w:left="342"/>
              <w:jc w:val="both"/>
              <w:rPr>
                <w:rFonts w:ascii="Times New Roman" w:hAnsi="Times New Roman"/>
                <w:sz w:val="24"/>
                <w:szCs w:val="24"/>
              </w:rPr>
            </w:pPr>
            <w:r>
              <w:rPr>
                <w:rFonts w:ascii="Times New Roman" w:hAnsi="Times New Roman"/>
                <w:sz w:val="24"/>
                <w:szCs w:val="24"/>
              </w:rPr>
              <w:t>It i</w:t>
            </w:r>
            <w:r w:rsidRPr="00EB6E42">
              <w:rPr>
                <w:rFonts w:ascii="Times New Roman" w:hAnsi="Times New Roman"/>
                <w:sz w:val="24"/>
                <w:szCs w:val="24"/>
              </w:rPr>
              <w:t>s good that</w:t>
            </w:r>
            <w:r>
              <w:rPr>
                <w:rFonts w:ascii="Times New Roman" w:hAnsi="Times New Roman"/>
                <w:sz w:val="24"/>
                <w:szCs w:val="24"/>
              </w:rPr>
              <w:t xml:space="preserve"> the</w:t>
            </w:r>
            <w:r w:rsidRPr="00EB6E42">
              <w:rPr>
                <w:rFonts w:ascii="Times New Roman" w:hAnsi="Times New Roman"/>
                <w:sz w:val="24"/>
                <w:szCs w:val="24"/>
              </w:rPr>
              <w:t xml:space="preserve"> W</w:t>
            </w:r>
            <w:r>
              <w:rPr>
                <w:rFonts w:ascii="Times New Roman" w:hAnsi="Times New Roman"/>
                <w:sz w:val="24"/>
                <w:szCs w:val="24"/>
              </w:rPr>
              <w:t xml:space="preserve">orld </w:t>
            </w:r>
            <w:r w:rsidRPr="00EB6E42">
              <w:rPr>
                <w:rFonts w:ascii="Times New Roman" w:hAnsi="Times New Roman"/>
                <w:sz w:val="24"/>
                <w:szCs w:val="24"/>
              </w:rPr>
              <w:t>B</w:t>
            </w:r>
            <w:r>
              <w:rPr>
                <w:rFonts w:ascii="Times New Roman" w:hAnsi="Times New Roman"/>
                <w:sz w:val="24"/>
                <w:szCs w:val="24"/>
              </w:rPr>
              <w:t>ank</w:t>
            </w:r>
            <w:r w:rsidRPr="00EB6E42">
              <w:rPr>
                <w:rFonts w:ascii="Times New Roman" w:hAnsi="Times New Roman"/>
                <w:sz w:val="24"/>
                <w:szCs w:val="24"/>
              </w:rPr>
              <w:t xml:space="preserve"> has </w:t>
            </w:r>
            <w:r>
              <w:rPr>
                <w:rFonts w:ascii="Times New Roman" w:hAnsi="Times New Roman"/>
                <w:sz w:val="24"/>
                <w:szCs w:val="24"/>
              </w:rPr>
              <w:t xml:space="preserve">changed mentality </w:t>
            </w:r>
            <w:r w:rsidRPr="00EB6E42">
              <w:rPr>
                <w:rFonts w:ascii="Times New Roman" w:hAnsi="Times New Roman"/>
                <w:sz w:val="24"/>
                <w:szCs w:val="24"/>
              </w:rPr>
              <w:t>with respect to emphasizing Borrower’s existing systems.</w:t>
            </w:r>
          </w:p>
        </w:tc>
      </w:tr>
      <w:tr w:rsidR="00C17C54" w:rsidRPr="00BF54BC" w:rsidTr="00D26526">
        <w:tc>
          <w:tcPr>
            <w:tcW w:w="8275" w:type="dxa"/>
            <w:gridSpan w:val="3"/>
            <w:shd w:val="clear" w:color="auto" w:fill="E7E6E6" w:themeFill="background2"/>
          </w:tcPr>
          <w:p w:rsidR="00C17C54" w:rsidRPr="00BF54BC" w:rsidRDefault="00C17C54" w:rsidP="00C17C54">
            <w:pPr>
              <w:jc w:val="both"/>
              <w:rPr>
                <w:rFonts w:ascii="Times New Roman" w:hAnsi="Times New Roman"/>
                <w:sz w:val="24"/>
                <w:szCs w:val="24"/>
              </w:rPr>
            </w:pPr>
            <w:r w:rsidRPr="00BF54BC">
              <w:rPr>
                <w:rFonts w:ascii="Times New Roman" w:hAnsi="Times New Roman"/>
                <w:sz w:val="24"/>
                <w:szCs w:val="24"/>
              </w:rPr>
              <w:t>Other issues</w:t>
            </w:r>
          </w:p>
          <w:p w:rsidR="00C17C54" w:rsidRPr="00BF54BC" w:rsidRDefault="00C17C54" w:rsidP="00C17C54">
            <w:pPr>
              <w:jc w:val="both"/>
              <w:rPr>
                <w:rFonts w:ascii="Times New Roman" w:hAnsi="Times New Roman"/>
                <w:sz w:val="24"/>
                <w:szCs w:val="24"/>
              </w:rPr>
            </w:pPr>
          </w:p>
          <w:p w:rsidR="00C17C54" w:rsidRPr="00BF54BC" w:rsidRDefault="00C17C54" w:rsidP="00C17C54">
            <w:pPr>
              <w:jc w:val="both"/>
              <w:rPr>
                <w:rFonts w:ascii="Times New Roman" w:hAnsi="Times New Roman"/>
                <w:sz w:val="24"/>
                <w:szCs w:val="24"/>
              </w:rPr>
            </w:pPr>
          </w:p>
        </w:tc>
        <w:tc>
          <w:tcPr>
            <w:tcW w:w="6030" w:type="dxa"/>
          </w:tcPr>
          <w:p w:rsidR="00E66D94" w:rsidRPr="00E66D94" w:rsidRDefault="00B002BE" w:rsidP="00672761">
            <w:pPr>
              <w:pStyle w:val="ListParagraph"/>
              <w:numPr>
                <w:ilvl w:val="0"/>
                <w:numId w:val="14"/>
              </w:numPr>
              <w:ind w:left="342"/>
              <w:rPr>
                <w:rFonts w:ascii="Times New Roman" w:hAnsi="Times New Roman"/>
                <w:sz w:val="24"/>
                <w:szCs w:val="24"/>
              </w:rPr>
            </w:pPr>
            <w:r w:rsidRPr="00B002BE">
              <w:rPr>
                <w:rFonts w:ascii="Times New Roman" w:hAnsi="Times New Roman"/>
                <w:sz w:val="24"/>
                <w:szCs w:val="24"/>
                <w:u w:val="single"/>
              </w:rPr>
              <w:t>Issue</w:t>
            </w:r>
            <w:r w:rsidR="00672761">
              <w:rPr>
                <w:rFonts w:ascii="Times New Roman" w:hAnsi="Times New Roman"/>
                <w:sz w:val="24"/>
                <w:szCs w:val="24"/>
                <w:u w:val="single"/>
              </w:rPr>
              <w:t xml:space="preserve"> </w:t>
            </w:r>
            <w:r w:rsidR="009A4DC1">
              <w:rPr>
                <w:rFonts w:ascii="Times New Roman" w:hAnsi="Times New Roman"/>
                <w:sz w:val="24"/>
                <w:szCs w:val="24"/>
                <w:u w:val="single"/>
              </w:rPr>
              <w:t>p</w:t>
            </w:r>
            <w:r w:rsidR="00672761">
              <w:rPr>
                <w:rFonts w:ascii="Times New Roman" w:hAnsi="Times New Roman"/>
                <w:sz w:val="24"/>
                <w:szCs w:val="24"/>
                <w:u w:val="single"/>
              </w:rPr>
              <w:t>rioritie</w:t>
            </w:r>
            <w:r w:rsidRPr="00B002BE">
              <w:rPr>
                <w:rFonts w:ascii="Times New Roman" w:hAnsi="Times New Roman"/>
                <w:sz w:val="24"/>
                <w:szCs w:val="24"/>
                <w:u w:val="single"/>
              </w:rPr>
              <w:t>s:</w:t>
            </w:r>
            <w:r>
              <w:rPr>
                <w:rFonts w:ascii="Times New Roman" w:hAnsi="Times New Roman"/>
                <w:sz w:val="24"/>
                <w:szCs w:val="24"/>
              </w:rPr>
              <w:t xml:space="preserve"> S</w:t>
            </w:r>
            <w:r w:rsidR="00E66D94" w:rsidRPr="00CF6481">
              <w:rPr>
                <w:rFonts w:ascii="Times New Roman" w:hAnsi="Times New Roman"/>
                <w:sz w:val="24"/>
                <w:szCs w:val="24"/>
              </w:rPr>
              <w:t>takeholder engagement, risk categorization, climate change, non-discrimination and vulnerable people, labor standards</w:t>
            </w:r>
            <w:r w:rsidR="00216563">
              <w:rPr>
                <w:rFonts w:ascii="Times New Roman" w:hAnsi="Times New Roman"/>
                <w:sz w:val="24"/>
                <w:szCs w:val="24"/>
              </w:rPr>
              <w:t>,</w:t>
            </w:r>
            <w:r w:rsidR="00E66D94" w:rsidRPr="00CF6481">
              <w:rPr>
                <w:rFonts w:ascii="Times New Roman" w:hAnsi="Times New Roman"/>
                <w:sz w:val="24"/>
                <w:szCs w:val="24"/>
              </w:rPr>
              <w:t xml:space="preserve"> and land acquisition.</w:t>
            </w:r>
          </w:p>
          <w:p w:rsidR="00722DC1" w:rsidRDefault="00D8732C" w:rsidP="00722DC1">
            <w:pPr>
              <w:pStyle w:val="ListParagraph"/>
              <w:numPr>
                <w:ilvl w:val="0"/>
                <w:numId w:val="14"/>
              </w:numPr>
              <w:ind w:left="342"/>
              <w:jc w:val="both"/>
              <w:rPr>
                <w:rFonts w:ascii="Times New Roman" w:hAnsi="Times New Roman"/>
                <w:sz w:val="24"/>
                <w:szCs w:val="24"/>
              </w:rPr>
            </w:pPr>
            <w:r>
              <w:rPr>
                <w:rFonts w:ascii="Times New Roman" w:hAnsi="Times New Roman"/>
                <w:sz w:val="24"/>
                <w:szCs w:val="24"/>
                <w:u w:val="single"/>
              </w:rPr>
              <w:t xml:space="preserve">Land </w:t>
            </w:r>
            <w:r w:rsidR="009A4DC1">
              <w:rPr>
                <w:rFonts w:ascii="Times New Roman" w:hAnsi="Times New Roman"/>
                <w:sz w:val="24"/>
                <w:szCs w:val="24"/>
                <w:u w:val="single"/>
              </w:rPr>
              <w:t>a</w:t>
            </w:r>
            <w:r>
              <w:rPr>
                <w:rFonts w:ascii="Times New Roman" w:hAnsi="Times New Roman"/>
                <w:sz w:val="24"/>
                <w:szCs w:val="24"/>
                <w:u w:val="single"/>
              </w:rPr>
              <w:t>cquisition</w:t>
            </w:r>
            <w:r w:rsidRPr="00CB7CF8">
              <w:rPr>
                <w:rFonts w:ascii="Times New Roman" w:hAnsi="Times New Roman"/>
                <w:sz w:val="24"/>
                <w:szCs w:val="24"/>
                <w:u w:val="single"/>
              </w:rPr>
              <w:t>:</w:t>
            </w:r>
            <w:r w:rsidRPr="00D8732C">
              <w:rPr>
                <w:rFonts w:ascii="Times New Roman" w:hAnsi="Times New Roman"/>
                <w:sz w:val="24"/>
                <w:szCs w:val="24"/>
              </w:rPr>
              <w:t xml:space="preserve"> </w:t>
            </w:r>
            <w:r>
              <w:rPr>
                <w:rFonts w:ascii="Times New Roman" w:hAnsi="Times New Roman"/>
                <w:sz w:val="24"/>
                <w:szCs w:val="24"/>
              </w:rPr>
              <w:t>It is g</w:t>
            </w:r>
            <w:r w:rsidRPr="00432F8F">
              <w:rPr>
                <w:rFonts w:ascii="Times New Roman" w:hAnsi="Times New Roman"/>
                <w:sz w:val="24"/>
                <w:szCs w:val="24"/>
              </w:rPr>
              <w:t xml:space="preserve">ood to see that “land acquisition” has been included in the title of ESS5, because most of </w:t>
            </w:r>
            <w:r w:rsidR="00A65CEB">
              <w:rPr>
                <w:rFonts w:ascii="Times New Roman" w:hAnsi="Times New Roman"/>
                <w:sz w:val="24"/>
                <w:szCs w:val="24"/>
              </w:rPr>
              <w:t>the government’s</w:t>
            </w:r>
            <w:r w:rsidRPr="00432F8F">
              <w:rPr>
                <w:rFonts w:ascii="Times New Roman" w:hAnsi="Times New Roman"/>
                <w:sz w:val="24"/>
                <w:szCs w:val="24"/>
              </w:rPr>
              <w:t xml:space="preserve"> land acquisition does not create involuntary resettlement.</w:t>
            </w:r>
          </w:p>
          <w:p w:rsidR="00722DC1" w:rsidRPr="00722DC1" w:rsidRDefault="00722DC1" w:rsidP="00722DC1">
            <w:pPr>
              <w:pStyle w:val="ListParagraph"/>
              <w:numPr>
                <w:ilvl w:val="0"/>
                <w:numId w:val="14"/>
              </w:numPr>
              <w:ind w:left="342"/>
              <w:jc w:val="both"/>
              <w:rPr>
                <w:rFonts w:ascii="Times New Roman" w:hAnsi="Times New Roman"/>
                <w:sz w:val="24"/>
                <w:szCs w:val="24"/>
              </w:rPr>
            </w:pPr>
            <w:r w:rsidRPr="00722DC1">
              <w:rPr>
                <w:rFonts w:ascii="Times New Roman" w:hAnsi="Times New Roman"/>
                <w:sz w:val="24"/>
                <w:szCs w:val="24"/>
                <w:u w:val="single"/>
              </w:rPr>
              <w:t>Gender and resettlement compensation:</w:t>
            </w:r>
            <w:r>
              <w:rPr>
                <w:rFonts w:ascii="Times New Roman" w:hAnsi="Times New Roman"/>
                <w:sz w:val="24"/>
                <w:szCs w:val="24"/>
              </w:rPr>
              <w:t xml:space="preserve"> </w:t>
            </w:r>
            <w:r w:rsidRPr="00722DC1">
              <w:rPr>
                <w:rFonts w:ascii="Times New Roman" w:hAnsi="Times New Roman"/>
                <w:sz w:val="24"/>
                <w:szCs w:val="24"/>
              </w:rPr>
              <w:t>There is increased attention given to women in ESS5, which is very positive. In terms of gender and resettlement compensation, experience has shown that even when compensation is provided to some women</w:t>
            </w:r>
            <w:r w:rsidR="008D1FC3">
              <w:rPr>
                <w:rFonts w:ascii="Times New Roman" w:hAnsi="Times New Roman"/>
                <w:sz w:val="24"/>
                <w:szCs w:val="24"/>
              </w:rPr>
              <w:t xml:space="preserve">, they </w:t>
            </w:r>
            <w:r w:rsidRPr="00722DC1">
              <w:rPr>
                <w:rFonts w:ascii="Times New Roman" w:hAnsi="Times New Roman"/>
                <w:sz w:val="24"/>
                <w:szCs w:val="24"/>
              </w:rPr>
              <w:t>give the money to their husbands or fathers. What does the Bank propose in response to that?</w:t>
            </w:r>
          </w:p>
          <w:p w:rsidR="00C17C54" w:rsidRDefault="00201813" w:rsidP="00C17C54">
            <w:pPr>
              <w:pStyle w:val="ListParagraph"/>
              <w:numPr>
                <w:ilvl w:val="0"/>
                <w:numId w:val="14"/>
              </w:numPr>
              <w:ind w:left="342"/>
              <w:jc w:val="both"/>
              <w:rPr>
                <w:rFonts w:ascii="Times New Roman" w:hAnsi="Times New Roman"/>
                <w:sz w:val="24"/>
                <w:szCs w:val="24"/>
              </w:rPr>
            </w:pPr>
            <w:r>
              <w:rPr>
                <w:rFonts w:ascii="Times New Roman" w:hAnsi="Times New Roman"/>
                <w:sz w:val="24"/>
                <w:szCs w:val="24"/>
                <w:u w:val="single"/>
              </w:rPr>
              <w:t>F</w:t>
            </w:r>
            <w:r w:rsidRPr="00201813">
              <w:rPr>
                <w:rFonts w:ascii="Times New Roman" w:hAnsi="Times New Roman"/>
                <w:sz w:val="24"/>
                <w:szCs w:val="24"/>
                <w:u w:val="single"/>
              </w:rPr>
              <w:t xml:space="preserve">orced </w:t>
            </w:r>
            <w:r w:rsidR="009A4DC1">
              <w:rPr>
                <w:rFonts w:ascii="Times New Roman" w:hAnsi="Times New Roman"/>
                <w:sz w:val="24"/>
                <w:szCs w:val="24"/>
                <w:u w:val="single"/>
              </w:rPr>
              <w:t>m</w:t>
            </w:r>
            <w:r w:rsidRPr="00201813">
              <w:rPr>
                <w:rFonts w:ascii="Times New Roman" w:hAnsi="Times New Roman"/>
                <w:sz w:val="24"/>
                <w:szCs w:val="24"/>
                <w:u w:val="single"/>
              </w:rPr>
              <w:t>igration</w:t>
            </w:r>
            <w:r w:rsidRPr="00CB7CF8">
              <w:rPr>
                <w:rFonts w:ascii="Times New Roman" w:hAnsi="Times New Roman"/>
                <w:sz w:val="24"/>
                <w:szCs w:val="24"/>
                <w:u w:val="single"/>
              </w:rPr>
              <w:t>:</w:t>
            </w:r>
            <w:r>
              <w:rPr>
                <w:rFonts w:ascii="Times New Roman" w:hAnsi="Times New Roman"/>
                <w:sz w:val="24"/>
                <w:szCs w:val="24"/>
              </w:rPr>
              <w:t xml:space="preserve"> </w:t>
            </w:r>
            <w:r w:rsidR="00C17C54" w:rsidRPr="00436F63">
              <w:rPr>
                <w:rFonts w:ascii="Times New Roman" w:hAnsi="Times New Roman"/>
                <w:sz w:val="24"/>
                <w:szCs w:val="24"/>
              </w:rPr>
              <w:t>What about force</w:t>
            </w:r>
            <w:r w:rsidR="00507782">
              <w:rPr>
                <w:rFonts w:ascii="Times New Roman" w:hAnsi="Times New Roman"/>
                <w:sz w:val="24"/>
                <w:szCs w:val="24"/>
              </w:rPr>
              <w:t>d migration issues in the world</w:t>
            </w:r>
            <w:r w:rsidR="00C17C54" w:rsidRPr="00436F63">
              <w:rPr>
                <w:rFonts w:ascii="Times New Roman" w:hAnsi="Times New Roman"/>
                <w:sz w:val="24"/>
                <w:szCs w:val="24"/>
              </w:rPr>
              <w:t xml:space="preserve"> (e.g. large numbers of Syrian migrants in Turkey)?</w:t>
            </w:r>
          </w:p>
          <w:p w:rsidR="00CB7CF8" w:rsidRDefault="00CB7CF8" w:rsidP="00C17C54">
            <w:pPr>
              <w:pStyle w:val="ListParagraph"/>
              <w:numPr>
                <w:ilvl w:val="0"/>
                <w:numId w:val="14"/>
              </w:numPr>
              <w:ind w:left="342"/>
              <w:jc w:val="both"/>
              <w:rPr>
                <w:rFonts w:ascii="Times New Roman" w:hAnsi="Times New Roman"/>
                <w:sz w:val="24"/>
                <w:szCs w:val="24"/>
              </w:rPr>
            </w:pPr>
            <w:r w:rsidRPr="00CB7CF8">
              <w:rPr>
                <w:rFonts w:ascii="Times New Roman" w:hAnsi="Times New Roman"/>
                <w:sz w:val="24"/>
                <w:szCs w:val="24"/>
                <w:u w:val="single"/>
              </w:rPr>
              <w:t xml:space="preserve">Syrian </w:t>
            </w:r>
            <w:r w:rsidR="009A4DC1">
              <w:rPr>
                <w:rFonts w:ascii="Times New Roman" w:hAnsi="Times New Roman"/>
                <w:sz w:val="24"/>
                <w:szCs w:val="24"/>
                <w:u w:val="single"/>
              </w:rPr>
              <w:t>r</w:t>
            </w:r>
            <w:r w:rsidRPr="00CB7CF8">
              <w:rPr>
                <w:rFonts w:ascii="Times New Roman" w:hAnsi="Times New Roman"/>
                <w:sz w:val="24"/>
                <w:szCs w:val="24"/>
                <w:u w:val="single"/>
              </w:rPr>
              <w:t>efugees</w:t>
            </w:r>
            <w:r w:rsidRPr="00201813">
              <w:rPr>
                <w:rFonts w:ascii="Times New Roman" w:hAnsi="Times New Roman"/>
                <w:sz w:val="24"/>
                <w:szCs w:val="24"/>
                <w:u w:val="single"/>
              </w:rPr>
              <w:t>:</w:t>
            </w:r>
            <w:r w:rsidRPr="00CB7CF8">
              <w:rPr>
                <w:rFonts w:ascii="Times New Roman" w:hAnsi="Times New Roman"/>
                <w:sz w:val="24"/>
                <w:szCs w:val="24"/>
              </w:rPr>
              <w:t xml:space="preserve"> Turkey has spent </w:t>
            </w:r>
            <w:r w:rsidR="00C74290">
              <w:rPr>
                <w:rFonts w:ascii="Times New Roman" w:hAnsi="Times New Roman"/>
                <w:sz w:val="24"/>
                <w:szCs w:val="24"/>
              </w:rPr>
              <w:t>a lot of</w:t>
            </w:r>
            <w:r w:rsidRPr="00CB7CF8">
              <w:rPr>
                <w:rFonts w:ascii="Times New Roman" w:hAnsi="Times New Roman"/>
                <w:sz w:val="24"/>
                <w:szCs w:val="24"/>
              </w:rPr>
              <w:t xml:space="preserve"> money on </w:t>
            </w:r>
            <w:r w:rsidR="00C74290">
              <w:rPr>
                <w:rFonts w:ascii="Times New Roman" w:hAnsi="Times New Roman"/>
                <w:sz w:val="24"/>
                <w:szCs w:val="24"/>
              </w:rPr>
              <w:t>Syrian</w:t>
            </w:r>
            <w:r w:rsidRPr="00CB7CF8">
              <w:rPr>
                <w:rFonts w:ascii="Times New Roman" w:hAnsi="Times New Roman"/>
                <w:sz w:val="24"/>
                <w:szCs w:val="24"/>
              </w:rPr>
              <w:t xml:space="preserve"> refugees. There are a lot of provinces with significant population concentration</w:t>
            </w:r>
            <w:r w:rsidR="009A4DC1">
              <w:rPr>
                <w:rFonts w:ascii="Times New Roman" w:hAnsi="Times New Roman"/>
                <w:sz w:val="24"/>
                <w:szCs w:val="24"/>
              </w:rPr>
              <w:t>s, and t</w:t>
            </w:r>
            <w:r w:rsidRPr="00CB7CF8">
              <w:rPr>
                <w:rFonts w:ascii="Times New Roman" w:hAnsi="Times New Roman"/>
                <w:sz w:val="24"/>
                <w:szCs w:val="24"/>
              </w:rPr>
              <w:t>here are</w:t>
            </w:r>
            <w:r w:rsidR="009A4DC1">
              <w:rPr>
                <w:rFonts w:ascii="Times New Roman" w:hAnsi="Times New Roman"/>
                <w:sz w:val="24"/>
                <w:szCs w:val="24"/>
              </w:rPr>
              <w:t xml:space="preserve"> </w:t>
            </w:r>
            <w:r w:rsidR="00C15EDD">
              <w:rPr>
                <w:rFonts w:ascii="Times New Roman" w:hAnsi="Times New Roman"/>
                <w:sz w:val="24"/>
                <w:szCs w:val="24"/>
              </w:rPr>
              <w:t xml:space="preserve">many </w:t>
            </w:r>
            <w:r w:rsidR="009A4DC1">
              <w:rPr>
                <w:rFonts w:ascii="Times New Roman" w:hAnsi="Times New Roman"/>
                <w:sz w:val="24"/>
                <w:szCs w:val="24"/>
              </w:rPr>
              <w:t>needs in terms of</w:t>
            </w:r>
            <w:r w:rsidRPr="00CB7CF8">
              <w:rPr>
                <w:rFonts w:ascii="Times New Roman" w:hAnsi="Times New Roman"/>
                <w:sz w:val="24"/>
                <w:szCs w:val="24"/>
              </w:rPr>
              <w:t xml:space="preserve"> employment, health, housing, municipal services, utilities</w:t>
            </w:r>
            <w:r w:rsidR="00DC7E10">
              <w:rPr>
                <w:rFonts w:ascii="Times New Roman" w:hAnsi="Times New Roman"/>
                <w:sz w:val="24"/>
                <w:szCs w:val="24"/>
              </w:rPr>
              <w:t>,</w:t>
            </w:r>
            <w:r w:rsidRPr="00CB7CF8">
              <w:rPr>
                <w:rFonts w:ascii="Times New Roman" w:hAnsi="Times New Roman"/>
                <w:sz w:val="24"/>
                <w:szCs w:val="24"/>
              </w:rPr>
              <w:t xml:space="preserve"> and education.</w:t>
            </w:r>
          </w:p>
          <w:p w:rsidR="007A37F9" w:rsidRDefault="00CC69BA" w:rsidP="00C17C54">
            <w:pPr>
              <w:pStyle w:val="ListParagraph"/>
              <w:numPr>
                <w:ilvl w:val="0"/>
                <w:numId w:val="14"/>
              </w:numPr>
              <w:ind w:left="342"/>
              <w:jc w:val="both"/>
              <w:rPr>
                <w:rFonts w:ascii="Times New Roman" w:hAnsi="Times New Roman"/>
                <w:sz w:val="24"/>
                <w:szCs w:val="24"/>
              </w:rPr>
            </w:pPr>
            <w:r w:rsidRPr="00CC69BA">
              <w:rPr>
                <w:rFonts w:ascii="Times New Roman" w:hAnsi="Times New Roman"/>
                <w:sz w:val="24"/>
                <w:szCs w:val="24"/>
                <w:u w:val="single"/>
              </w:rPr>
              <w:lastRenderedPageBreak/>
              <w:t>Labor</w:t>
            </w:r>
            <w:r w:rsidRPr="00201813">
              <w:rPr>
                <w:rFonts w:ascii="Times New Roman" w:hAnsi="Times New Roman"/>
                <w:sz w:val="24"/>
                <w:szCs w:val="24"/>
                <w:u w:val="single"/>
              </w:rPr>
              <w:t>:</w:t>
            </w:r>
            <w:r w:rsidRPr="00CC69BA">
              <w:rPr>
                <w:rFonts w:ascii="Times New Roman" w:hAnsi="Times New Roman"/>
                <w:sz w:val="24"/>
                <w:szCs w:val="24"/>
              </w:rPr>
              <w:t xml:space="preserve"> Will </w:t>
            </w:r>
            <w:r w:rsidR="00A41666">
              <w:rPr>
                <w:rFonts w:ascii="Times New Roman" w:hAnsi="Times New Roman"/>
                <w:sz w:val="24"/>
                <w:szCs w:val="24"/>
              </w:rPr>
              <w:t>the new provisions on labor/</w:t>
            </w:r>
            <w:r w:rsidRPr="00CC69BA">
              <w:rPr>
                <w:rFonts w:ascii="Times New Roman" w:hAnsi="Times New Roman"/>
                <w:sz w:val="24"/>
                <w:szCs w:val="24"/>
              </w:rPr>
              <w:t>working conditions</w:t>
            </w:r>
            <w:r w:rsidR="00A41666">
              <w:rPr>
                <w:rFonts w:ascii="Times New Roman" w:hAnsi="Times New Roman"/>
                <w:sz w:val="24"/>
                <w:szCs w:val="24"/>
              </w:rPr>
              <w:t xml:space="preserve"> be added</w:t>
            </w:r>
            <w:r w:rsidRPr="00CC69BA">
              <w:rPr>
                <w:rFonts w:ascii="Times New Roman" w:hAnsi="Times New Roman"/>
                <w:sz w:val="24"/>
                <w:szCs w:val="24"/>
              </w:rPr>
              <w:t xml:space="preserve"> </w:t>
            </w:r>
            <w:r w:rsidR="00A41666">
              <w:rPr>
                <w:rFonts w:ascii="Times New Roman" w:hAnsi="Times New Roman"/>
                <w:sz w:val="24"/>
                <w:szCs w:val="24"/>
              </w:rPr>
              <w:t>to procurement/</w:t>
            </w:r>
            <w:r w:rsidRPr="00CC69BA">
              <w:rPr>
                <w:rFonts w:ascii="Times New Roman" w:hAnsi="Times New Roman"/>
                <w:sz w:val="24"/>
                <w:szCs w:val="24"/>
              </w:rPr>
              <w:t>bidding documents?</w:t>
            </w:r>
            <w:r>
              <w:rPr>
                <w:rFonts w:ascii="Times New Roman" w:hAnsi="Times New Roman"/>
                <w:sz w:val="24"/>
                <w:szCs w:val="24"/>
              </w:rPr>
              <w:t xml:space="preserve">  If so, how?</w:t>
            </w:r>
          </w:p>
          <w:p w:rsidR="00CC69BA" w:rsidRDefault="00CC69BA" w:rsidP="00C17C54">
            <w:pPr>
              <w:pStyle w:val="ListParagraph"/>
              <w:numPr>
                <w:ilvl w:val="0"/>
                <w:numId w:val="14"/>
              </w:numPr>
              <w:ind w:left="342"/>
              <w:jc w:val="both"/>
              <w:rPr>
                <w:rFonts w:ascii="Times New Roman" w:hAnsi="Times New Roman"/>
                <w:sz w:val="24"/>
                <w:szCs w:val="24"/>
              </w:rPr>
            </w:pPr>
            <w:r w:rsidRPr="00CC69BA">
              <w:rPr>
                <w:rFonts w:ascii="Times New Roman" w:hAnsi="Times New Roman"/>
                <w:sz w:val="24"/>
                <w:szCs w:val="24"/>
                <w:u w:val="single"/>
              </w:rPr>
              <w:t xml:space="preserve">Supply </w:t>
            </w:r>
            <w:r w:rsidR="00A41666">
              <w:rPr>
                <w:rFonts w:ascii="Times New Roman" w:hAnsi="Times New Roman"/>
                <w:sz w:val="24"/>
                <w:szCs w:val="24"/>
                <w:u w:val="single"/>
              </w:rPr>
              <w:t>c</w:t>
            </w:r>
            <w:r w:rsidRPr="00CC69BA">
              <w:rPr>
                <w:rFonts w:ascii="Times New Roman" w:hAnsi="Times New Roman"/>
                <w:sz w:val="24"/>
                <w:szCs w:val="24"/>
                <w:u w:val="single"/>
              </w:rPr>
              <w:t>hain</w:t>
            </w:r>
            <w:r w:rsidRPr="00201813">
              <w:rPr>
                <w:rFonts w:ascii="Times New Roman" w:hAnsi="Times New Roman"/>
                <w:sz w:val="24"/>
                <w:szCs w:val="24"/>
                <w:u w:val="single"/>
              </w:rPr>
              <w:t>:</w:t>
            </w:r>
            <w:r w:rsidRPr="00CC69BA">
              <w:rPr>
                <w:rFonts w:ascii="Times New Roman" w:hAnsi="Times New Roman"/>
                <w:sz w:val="24"/>
                <w:szCs w:val="24"/>
              </w:rPr>
              <w:t xml:space="preserve"> The supply chain </w:t>
            </w:r>
            <w:r w:rsidR="00EA71B5">
              <w:rPr>
                <w:rFonts w:ascii="Times New Roman" w:hAnsi="Times New Roman"/>
                <w:sz w:val="24"/>
                <w:szCs w:val="24"/>
              </w:rPr>
              <w:t>has been well-defined in social/</w:t>
            </w:r>
            <w:r w:rsidRPr="00CC69BA">
              <w:rPr>
                <w:rFonts w:ascii="Times New Roman" w:hAnsi="Times New Roman"/>
                <w:sz w:val="24"/>
                <w:szCs w:val="24"/>
              </w:rPr>
              <w:t xml:space="preserve">labor issues, but not so much on the environmental issues. </w:t>
            </w:r>
            <w:r w:rsidR="00EA71B5">
              <w:rPr>
                <w:rFonts w:ascii="Times New Roman" w:hAnsi="Times New Roman"/>
                <w:sz w:val="24"/>
                <w:szCs w:val="24"/>
              </w:rPr>
              <w:t>Clarification is needed on</w:t>
            </w:r>
            <w:r w:rsidRPr="00CC69BA">
              <w:rPr>
                <w:rFonts w:ascii="Times New Roman" w:hAnsi="Times New Roman"/>
                <w:sz w:val="24"/>
                <w:szCs w:val="24"/>
              </w:rPr>
              <w:t xml:space="preserve"> the scope </w:t>
            </w:r>
            <w:r w:rsidR="00332C87">
              <w:rPr>
                <w:rFonts w:ascii="Times New Roman" w:hAnsi="Times New Roman"/>
                <w:sz w:val="24"/>
                <w:szCs w:val="24"/>
              </w:rPr>
              <w:t>with regard to the latter</w:t>
            </w:r>
            <w:r w:rsidR="00EA71B5">
              <w:rPr>
                <w:rFonts w:ascii="Times New Roman" w:hAnsi="Times New Roman"/>
                <w:sz w:val="24"/>
                <w:szCs w:val="24"/>
              </w:rPr>
              <w:t>.</w:t>
            </w:r>
          </w:p>
          <w:p w:rsidR="009610AA" w:rsidRPr="00344F0E" w:rsidRDefault="00BE62EF" w:rsidP="00344F0E">
            <w:pPr>
              <w:pStyle w:val="ListParagraph"/>
              <w:numPr>
                <w:ilvl w:val="0"/>
                <w:numId w:val="14"/>
              </w:numPr>
              <w:ind w:left="342"/>
              <w:jc w:val="both"/>
              <w:rPr>
                <w:rFonts w:ascii="Times New Roman" w:hAnsi="Times New Roman"/>
                <w:sz w:val="24"/>
                <w:szCs w:val="24"/>
              </w:rPr>
            </w:pPr>
            <w:r w:rsidRPr="00BE62EF">
              <w:rPr>
                <w:rFonts w:ascii="Times New Roman" w:hAnsi="Times New Roman"/>
                <w:sz w:val="24"/>
                <w:szCs w:val="24"/>
                <w:u w:val="single"/>
              </w:rPr>
              <w:t xml:space="preserve">Energy </w:t>
            </w:r>
            <w:r w:rsidR="00557C46">
              <w:rPr>
                <w:rFonts w:ascii="Times New Roman" w:hAnsi="Times New Roman"/>
                <w:sz w:val="24"/>
                <w:szCs w:val="24"/>
                <w:u w:val="single"/>
              </w:rPr>
              <w:t>e</w:t>
            </w:r>
            <w:r w:rsidRPr="00BE62EF">
              <w:rPr>
                <w:rFonts w:ascii="Times New Roman" w:hAnsi="Times New Roman"/>
                <w:sz w:val="24"/>
                <w:szCs w:val="24"/>
                <w:u w:val="single"/>
              </w:rPr>
              <w:t>fficiency</w:t>
            </w:r>
            <w:r w:rsidRPr="00201813">
              <w:rPr>
                <w:rFonts w:ascii="Times New Roman" w:hAnsi="Times New Roman"/>
                <w:sz w:val="24"/>
                <w:szCs w:val="24"/>
                <w:u w:val="single"/>
              </w:rPr>
              <w:t>:</w:t>
            </w:r>
            <w:r w:rsidRPr="00BE62EF">
              <w:rPr>
                <w:rFonts w:ascii="Times New Roman" w:hAnsi="Times New Roman"/>
                <w:sz w:val="24"/>
                <w:szCs w:val="24"/>
              </w:rPr>
              <w:t xml:space="preserve"> Some donors ask for dedicated energy efficiency reports for </w:t>
            </w:r>
            <w:r w:rsidR="00557C46">
              <w:rPr>
                <w:rFonts w:ascii="Times New Roman" w:hAnsi="Times New Roman"/>
                <w:sz w:val="24"/>
                <w:szCs w:val="24"/>
              </w:rPr>
              <w:t xml:space="preserve">a </w:t>
            </w:r>
            <w:r w:rsidRPr="00BE62EF">
              <w:rPr>
                <w:rFonts w:ascii="Times New Roman" w:hAnsi="Times New Roman"/>
                <w:sz w:val="24"/>
                <w:szCs w:val="24"/>
              </w:rPr>
              <w:t>project. Will the W</w:t>
            </w:r>
            <w:r w:rsidR="00557C46">
              <w:rPr>
                <w:rFonts w:ascii="Times New Roman" w:hAnsi="Times New Roman"/>
                <w:sz w:val="24"/>
                <w:szCs w:val="24"/>
              </w:rPr>
              <w:t xml:space="preserve">orld </w:t>
            </w:r>
            <w:r w:rsidRPr="00BE62EF">
              <w:rPr>
                <w:rFonts w:ascii="Times New Roman" w:hAnsi="Times New Roman"/>
                <w:sz w:val="24"/>
                <w:szCs w:val="24"/>
              </w:rPr>
              <w:t>B</w:t>
            </w:r>
            <w:r w:rsidR="00557C46">
              <w:rPr>
                <w:rFonts w:ascii="Times New Roman" w:hAnsi="Times New Roman"/>
                <w:sz w:val="24"/>
                <w:szCs w:val="24"/>
              </w:rPr>
              <w:t>ank</w:t>
            </w:r>
            <w:r w:rsidRPr="00BE62EF">
              <w:rPr>
                <w:rFonts w:ascii="Times New Roman" w:hAnsi="Times New Roman"/>
                <w:sz w:val="24"/>
                <w:szCs w:val="24"/>
              </w:rPr>
              <w:t xml:space="preserve"> ask for such reports as well?</w:t>
            </w:r>
          </w:p>
          <w:p w:rsidR="00E66D94" w:rsidRPr="00E66D94" w:rsidRDefault="00E66D94" w:rsidP="00E66D94">
            <w:pPr>
              <w:pStyle w:val="ListParagraph"/>
              <w:numPr>
                <w:ilvl w:val="0"/>
                <w:numId w:val="14"/>
              </w:numPr>
              <w:ind w:left="342"/>
              <w:jc w:val="both"/>
              <w:rPr>
                <w:rFonts w:ascii="Times New Roman" w:hAnsi="Times New Roman"/>
                <w:sz w:val="24"/>
                <w:szCs w:val="24"/>
              </w:rPr>
            </w:pPr>
            <w:r w:rsidRPr="00CB7CF8">
              <w:rPr>
                <w:rFonts w:ascii="Times New Roman" w:hAnsi="Times New Roman"/>
                <w:sz w:val="24"/>
                <w:szCs w:val="24"/>
                <w:u w:val="single"/>
              </w:rPr>
              <w:t>International Waterways Policy:</w:t>
            </w:r>
            <w:r w:rsidRPr="00D03CAD">
              <w:rPr>
                <w:rFonts w:ascii="Times New Roman" w:hAnsi="Times New Roman"/>
                <w:sz w:val="24"/>
                <w:szCs w:val="24"/>
              </w:rPr>
              <w:t xml:space="preserve"> Will there be any changes?</w:t>
            </w:r>
          </w:p>
          <w:p w:rsidR="003654EA" w:rsidRPr="003654EA" w:rsidRDefault="009D7C84" w:rsidP="003654EA">
            <w:pPr>
              <w:pStyle w:val="ListParagraph"/>
              <w:numPr>
                <w:ilvl w:val="0"/>
                <w:numId w:val="14"/>
              </w:numPr>
              <w:ind w:left="342"/>
              <w:jc w:val="both"/>
              <w:rPr>
                <w:rFonts w:ascii="Times New Roman" w:hAnsi="Times New Roman"/>
                <w:sz w:val="24"/>
                <w:szCs w:val="24"/>
              </w:rPr>
            </w:pPr>
            <w:r w:rsidRPr="009D7C84">
              <w:rPr>
                <w:rFonts w:ascii="Times New Roman" w:hAnsi="Times New Roman"/>
                <w:sz w:val="24"/>
                <w:szCs w:val="24"/>
                <w:u w:val="single"/>
              </w:rPr>
              <w:t>Application of ESF:</w:t>
            </w:r>
            <w:r w:rsidRPr="00201813">
              <w:rPr>
                <w:rFonts w:ascii="Times New Roman" w:hAnsi="Times New Roman"/>
                <w:sz w:val="24"/>
                <w:szCs w:val="24"/>
              </w:rPr>
              <w:t xml:space="preserve"> </w:t>
            </w:r>
            <w:r w:rsidRPr="009D7C84">
              <w:rPr>
                <w:rFonts w:ascii="Times New Roman" w:hAnsi="Times New Roman"/>
                <w:sz w:val="24"/>
                <w:szCs w:val="24"/>
              </w:rPr>
              <w:t xml:space="preserve">Will </w:t>
            </w:r>
            <w:r w:rsidR="00773C35">
              <w:rPr>
                <w:rFonts w:ascii="Times New Roman" w:hAnsi="Times New Roman"/>
                <w:sz w:val="24"/>
                <w:szCs w:val="24"/>
              </w:rPr>
              <w:t xml:space="preserve">the </w:t>
            </w:r>
            <w:r w:rsidRPr="009D7C84">
              <w:rPr>
                <w:rFonts w:ascii="Times New Roman" w:hAnsi="Times New Roman"/>
                <w:sz w:val="24"/>
                <w:szCs w:val="24"/>
              </w:rPr>
              <w:t>ESF apply to active projects? Which pipeline projects will it apply to?</w:t>
            </w:r>
          </w:p>
        </w:tc>
      </w:tr>
    </w:tbl>
    <w:p w:rsidR="00F248C2" w:rsidRPr="00BF54BC" w:rsidRDefault="00F248C2" w:rsidP="00F248C2">
      <w:pPr>
        <w:rPr>
          <w:rFonts w:ascii="Times New Roman" w:hAnsi="Times New Roman" w:cs="Times New Roman"/>
          <w:sz w:val="24"/>
          <w:szCs w:val="24"/>
        </w:rPr>
      </w:pPr>
    </w:p>
    <w:sectPr w:rsidR="00F248C2" w:rsidRPr="00BF54BC" w:rsidSect="00944F46">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691" w:rsidRDefault="00290691" w:rsidP="002A2CFE">
      <w:pPr>
        <w:spacing w:after="0" w:line="240" w:lineRule="auto"/>
      </w:pPr>
      <w:r>
        <w:separator/>
      </w:r>
    </w:p>
  </w:endnote>
  <w:endnote w:type="continuationSeparator" w:id="0">
    <w:p w:rsidR="00290691" w:rsidRDefault="00290691" w:rsidP="002A2CFE">
      <w:pPr>
        <w:spacing w:after="0" w:line="240" w:lineRule="auto"/>
      </w:pPr>
      <w:r>
        <w:continuationSeparator/>
      </w:r>
    </w:p>
  </w:endnote>
  <w:endnote w:type="continuationNotice" w:id="1">
    <w:p w:rsidR="00290691" w:rsidRDefault="002906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rsidR="00B32950" w:rsidRPr="00B32950" w:rsidRDefault="00B32950">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CD43BF">
          <w:rPr>
            <w:rFonts w:ascii="Times New Roman" w:hAnsi="Times New Roman" w:cs="Times New Roman"/>
            <w:noProof/>
            <w:sz w:val="20"/>
            <w:szCs w:val="20"/>
          </w:rPr>
          <w:t>9</w:t>
        </w:r>
        <w:r w:rsidRPr="00B32950">
          <w:rPr>
            <w:rFonts w:ascii="Times New Roman" w:hAnsi="Times New Roman" w:cs="Times New Roman"/>
            <w:noProof/>
            <w:sz w:val="20"/>
            <w:szCs w:val="20"/>
          </w:rPr>
          <w:fldChar w:fldCharType="end"/>
        </w:r>
      </w:p>
    </w:sdtContent>
  </w:sdt>
  <w:p w:rsidR="00B045EF" w:rsidRDefault="00B04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691" w:rsidRDefault="00290691" w:rsidP="002A2CFE">
      <w:pPr>
        <w:spacing w:after="0" w:line="240" w:lineRule="auto"/>
      </w:pPr>
      <w:r>
        <w:separator/>
      </w:r>
    </w:p>
  </w:footnote>
  <w:footnote w:type="continuationSeparator" w:id="0">
    <w:p w:rsidR="00290691" w:rsidRDefault="00290691" w:rsidP="002A2CFE">
      <w:pPr>
        <w:spacing w:after="0" w:line="240" w:lineRule="auto"/>
      </w:pPr>
      <w:r>
        <w:continuationSeparator/>
      </w:r>
    </w:p>
  </w:footnote>
  <w:footnote w:type="continuationNotice" w:id="1">
    <w:p w:rsidR="00290691" w:rsidRDefault="0029069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EF" w:rsidRPr="00641839" w:rsidRDefault="00701A96"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5C0E"/>
    <w:multiLevelType w:val="hybridMultilevel"/>
    <w:tmpl w:val="7C60EE1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65F92"/>
    <w:multiLevelType w:val="hybridMultilevel"/>
    <w:tmpl w:val="44721C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5D21163E"/>
    <w:multiLevelType w:val="hybridMultilevel"/>
    <w:tmpl w:val="59B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D01964"/>
    <w:multiLevelType w:val="hybridMultilevel"/>
    <w:tmpl w:val="7150784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3"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6"/>
  </w:num>
  <w:num w:numId="5">
    <w:abstractNumId w:val="1"/>
  </w:num>
  <w:num w:numId="6">
    <w:abstractNumId w:val="3"/>
  </w:num>
  <w:num w:numId="7">
    <w:abstractNumId w:val="5"/>
  </w:num>
  <w:num w:numId="8">
    <w:abstractNumId w:val="11"/>
  </w:num>
  <w:num w:numId="9">
    <w:abstractNumId w:val="10"/>
  </w:num>
  <w:num w:numId="10">
    <w:abstractNumId w:val="4"/>
  </w:num>
  <w:num w:numId="11">
    <w:abstractNumId w:val="9"/>
  </w:num>
  <w:num w:numId="12">
    <w:abstractNumId w:val="13"/>
  </w:num>
  <w:num w:numId="13">
    <w:abstractNumId w:val="1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07AC"/>
    <w:rsid w:val="0000149B"/>
    <w:rsid w:val="000016E7"/>
    <w:rsid w:val="00003DE8"/>
    <w:rsid w:val="00003E60"/>
    <w:rsid w:val="0000402D"/>
    <w:rsid w:val="00007459"/>
    <w:rsid w:val="00012C6F"/>
    <w:rsid w:val="00013231"/>
    <w:rsid w:val="00015B6D"/>
    <w:rsid w:val="00015FBC"/>
    <w:rsid w:val="00016577"/>
    <w:rsid w:val="000167ED"/>
    <w:rsid w:val="00016CB0"/>
    <w:rsid w:val="00017088"/>
    <w:rsid w:val="00017E16"/>
    <w:rsid w:val="00020167"/>
    <w:rsid w:val="00022542"/>
    <w:rsid w:val="000260EF"/>
    <w:rsid w:val="00026364"/>
    <w:rsid w:val="00027054"/>
    <w:rsid w:val="000270E5"/>
    <w:rsid w:val="00030674"/>
    <w:rsid w:val="00031104"/>
    <w:rsid w:val="00031D1F"/>
    <w:rsid w:val="000336A3"/>
    <w:rsid w:val="00037EE7"/>
    <w:rsid w:val="00040B41"/>
    <w:rsid w:val="000419FF"/>
    <w:rsid w:val="00042513"/>
    <w:rsid w:val="0004669D"/>
    <w:rsid w:val="00047C4E"/>
    <w:rsid w:val="00052E30"/>
    <w:rsid w:val="00053362"/>
    <w:rsid w:val="0005339B"/>
    <w:rsid w:val="00055656"/>
    <w:rsid w:val="000569A4"/>
    <w:rsid w:val="00071885"/>
    <w:rsid w:val="00071BD2"/>
    <w:rsid w:val="00073D66"/>
    <w:rsid w:val="00074D64"/>
    <w:rsid w:val="000811A8"/>
    <w:rsid w:val="000830BB"/>
    <w:rsid w:val="000833C2"/>
    <w:rsid w:val="00086877"/>
    <w:rsid w:val="00090863"/>
    <w:rsid w:val="00091E8A"/>
    <w:rsid w:val="000932B4"/>
    <w:rsid w:val="00095B65"/>
    <w:rsid w:val="000A0DF1"/>
    <w:rsid w:val="000A17BB"/>
    <w:rsid w:val="000A1CA2"/>
    <w:rsid w:val="000A3A99"/>
    <w:rsid w:val="000B0EBD"/>
    <w:rsid w:val="000B33E5"/>
    <w:rsid w:val="000B3496"/>
    <w:rsid w:val="000B3EA8"/>
    <w:rsid w:val="000B6D97"/>
    <w:rsid w:val="000C0785"/>
    <w:rsid w:val="000C17E5"/>
    <w:rsid w:val="000C2C9A"/>
    <w:rsid w:val="000C379E"/>
    <w:rsid w:val="000C5905"/>
    <w:rsid w:val="000D12D6"/>
    <w:rsid w:val="000D207A"/>
    <w:rsid w:val="000D2589"/>
    <w:rsid w:val="000D289A"/>
    <w:rsid w:val="000D5C4B"/>
    <w:rsid w:val="000E1CAE"/>
    <w:rsid w:val="000E6436"/>
    <w:rsid w:val="000E6821"/>
    <w:rsid w:val="000E690E"/>
    <w:rsid w:val="000E7CCF"/>
    <w:rsid w:val="000F2568"/>
    <w:rsid w:val="000F4BFE"/>
    <w:rsid w:val="000F4D29"/>
    <w:rsid w:val="000F7552"/>
    <w:rsid w:val="00100059"/>
    <w:rsid w:val="001056F0"/>
    <w:rsid w:val="00105808"/>
    <w:rsid w:val="00122172"/>
    <w:rsid w:val="0012279D"/>
    <w:rsid w:val="001266AE"/>
    <w:rsid w:val="0013047A"/>
    <w:rsid w:val="001341BB"/>
    <w:rsid w:val="00135480"/>
    <w:rsid w:val="00135ACA"/>
    <w:rsid w:val="00137E6D"/>
    <w:rsid w:val="001409EF"/>
    <w:rsid w:val="00143016"/>
    <w:rsid w:val="00143AFC"/>
    <w:rsid w:val="00144F04"/>
    <w:rsid w:val="001459D8"/>
    <w:rsid w:val="0014706C"/>
    <w:rsid w:val="001556EF"/>
    <w:rsid w:val="0016036F"/>
    <w:rsid w:val="00163038"/>
    <w:rsid w:val="001635A0"/>
    <w:rsid w:val="00164747"/>
    <w:rsid w:val="00171F36"/>
    <w:rsid w:val="001771D4"/>
    <w:rsid w:val="00181AF4"/>
    <w:rsid w:val="00182A56"/>
    <w:rsid w:val="0018639F"/>
    <w:rsid w:val="00192C37"/>
    <w:rsid w:val="00193337"/>
    <w:rsid w:val="00193D0E"/>
    <w:rsid w:val="00195354"/>
    <w:rsid w:val="00197F14"/>
    <w:rsid w:val="001A1019"/>
    <w:rsid w:val="001A2178"/>
    <w:rsid w:val="001A2EB8"/>
    <w:rsid w:val="001A514F"/>
    <w:rsid w:val="001A623D"/>
    <w:rsid w:val="001B22E4"/>
    <w:rsid w:val="001B467B"/>
    <w:rsid w:val="001B705A"/>
    <w:rsid w:val="001C396B"/>
    <w:rsid w:val="001C5B10"/>
    <w:rsid w:val="001C6D27"/>
    <w:rsid w:val="001C7866"/>
    <w:rsid w:val="001D3750"/>
    <w:rsid w:val="001D3DB1"/>
    <w:rsid w:val="001D42FE"/>
    <w:rsid w:val="001D4666"/>
    <w:rsid w:val="001D5441"/>
    <w:rsid w:val="001D70BF"/>
    <w:rsid w:val="001D7A18"/>
    <w:rsid w:val="001E0959"/>
    <w:rsid w:val="001E24E8"/>
    <w:rsid w:val="001E4A5F"/>
    <w:rsid w:val="001E55D1"/>
    <w:rsid w:val="001E5BE2"/>
    <w:rsid w:val="001E61A5"/>
    <w:rsid w:val="001F058B"/>
    <w:rsid w:val="001F0658"/>
    <w:rsid w:val="001F72A8"/>
    <w:rsid w:val="00200F61"/>
    <w:rsid w:val="00201813"/>
    <w:rsid w:val="00202567"/>
    <w:rsid w:val="00205480"/>
    <w:rsid w:val="0020711F"/>
    <w:rsid w:val="00210354"/>
    <w:rsid w:val="00215E2B"/>
    <w:rsid w:val="00216563"/>
    <w:rsid w:val="00216CF9"/>
    <w:rsid w:val="00217107"/>
    <w:rsid w:val="00217B98"/>
    <w:rsid w:val="00221B29"/>
    <w:rsid w:val="00224D63"/>
    <w:rsid w:val="00226BE3"/>
    <w:rsid w:val="00231F40"/>
    <w:rsid w:val="002338A2"/>
    <w:rsid w:val="0023659A"/>
    <w:rsid w:val="00236C04"/>
    <w:rsid w:val="00236E4F"/>
    <w:rsid w:val="002401FF"/>
    <w:rsid w:val="00240AB8"/>
    <w:rsid w:val="00242AD8"/>
    <w:rsid w:val="00243F3E"/>
    <w:rsid w:val="00245D4B"/>
    <w:rsid w:val="00250D57"/>
    <w:rsid w:val="002513D5"/>
    <w:rsid w:val="002530B6"/>
    <w:rsid w:val="00255CFB"/>
    <w:rsid w:val="00256B22"/>
    <w:rsid w:val="00257436"/>
    <w:rsid w:val="00262E1C"/>
    <w:rsid w:val="002736E5"/>
    <w:rsid w:val="002744A1"/>
    <w:rsid w:val="002747CD"/>
    <w:rsid w:val="00275D9A"/>
    <w:rsid w:val="00276204"/>
    <w:rsid w:val="00281FAE"/>
    <w:rsid w:val="00282F1B"/>
    <w:rsid w:val="0028393F"/>
    <w:rsid w:val="00290691"/>
    <w:rsid w:val="0029188A"/>
    <w:rsid w:val="0029203D"/>
    <w:rsid w:val="00294640"/>
    <w:rsid w:val="002A096A"/>
    <w:rsid w:val="002A1BF3"/>
    <w:rsid w:val="002A2CFE"/>
    <w:rsid w:val="002B05CA"/>
    <w:rsid w:val="002B19ED"/>
    <w:rsid w:val="002B3D8A"/>
    <w:rsid w:val="002B4214"/>
    <w:rsid w:val="002B5BE6"/>
    <w:rsid w:val="002B5F16"/>
    <w:rsid w:val="002D5BA1"/>
    <w:rsid w:val="002E1432"/>
    <w:rsid w:val="002E7855"/>
    <w:rsid w:val="002F2CD2"/>
    <w:rsid w:val="002F2E17"/>
    <w:rsid w:val="002F45A4"/>
    <w:rsid w:val="002F50A3"/>
    <w:rsid w:val="002F557C"/>
    <w:rsid w:val="002F5AA7"/>
    <w:rsid w:val="00300C38"/>
    <w:rsid w:val="00310335"/>
    <w:rsid w:val="00312EAE"/>
    <w:rsid w:val="00315C22"/>
    <w:rsid w:val="003171A4"/>
    <w:rsid w:val="003202FE"/>
    <w:rsid w:val="00321613"/>
    <w:rsid w:val="003225DD"/>
    <w:rsid w:val="00326C9E"/>
    <w:rsid w:val="00327110"/>
    <w:rsid w:val="00327EC9"/>
    <w:rsid w:val="00331AB4"/>
    <w:rsid w:val="00332C87"/>
    <w:rsid w:val="00334095"/>
    <w:rsid w:val="0033787C"/>
    <w:rsid w:val="0034310C"/>
    <w:rsid w:val="00344F0E"/>
    <w:rsid w:val="00344F26"/>
    <w:rsid w:val="0035406A"/>
    <w:rsid w:val="00354B8D"/>
    <w:rsid w:val="00355AB9"/>
    <w:rsid w:val="00355F4A"/>
    <w:rsid w:val="00356796"/>
    <w:rsid w:val="00360CD8"/>
    <w:rsid w:val="003628A1"/>
    <w:rsid w:val="003654EA"/>
    <w:rsid w:val="00365A93"/>
    <w:rsid w:val="00366948"/>
    <w:rsid w:val="00372120"/>
    <w:rsid w:val="00372378"/>
    <w:rsid w:val="00372CE1"/>
    <w:rsid w:val="003765A4"/>
    <w:rsid w:val="00380054"/>
    <w:rsid w:val="00381278"/>
    <w:rsid w:val="00381AD4"/>
    <w:rsid w:val="00383C66"/>
    <w:rsid w:val="003852D6"/>
    <w:rsid w:val="003879BB"/>
    <w:rsid w:val="00394CA5"/>
    <w:rsid w:val="0039505F"/>
    <w:rsid w:val="003A0919"/>
    <w:rsid w:val="003A0E2C"/>
    <w:rsid w:val="003A3AFF"/>
    <w:rsid w:val="003A647D"/>
    <w:rsid w:val="003A6910"/>
    <w:rsid w:val="003B0F7B"/>
    <w:rsid w:val="003B155E"/>
    <w:rsid w:val="003B1B27"/>
    <w:rsid w:val="003B3DBC"/>
    <w:rsid w:val="003B5F46"/>
    <w:rsid w:val="003C5D34"/>
    <w:rsid w:val="003D11E6"/>
    <w:rsid w:val="003D4A7B"/>
    <w:rsid w:val="003D5FB5"/>
    <w:rsid w:val="003E3260"/>
    <w:rsid w:val="003E3364"/>
    <w:rsid w:val="003E3D39"/>
    <w:rsid w:val="003E4EC3"/>
    <w:rsid w:val="003E7BBA"/>
    <w:rsid w:val="003F1223"/>
    <w:rsid w:val="003F679C"/>
    <w:rsid w:val="003F7853"/>
    <w:rsid w:val="003F7DAF"/>
    <w:rsid w:val="004009FA"/>
    <w:rsid w:val="00403156"/>
    <w:rsid w:val="00404676"/>
    <w:rsid w:val="004049B3"/>
    <w:rsid w:val="00405955"/>
    <w:rsid w:val="004103CC"/>
    <w:rsid w:val="00410520"/>
    <w:rsid w:val="00412FE5"/>
    <w:rsid w:val="00416777"/>
    <w:rsid w:val="00416E61"/>
    <w:rsid w:val="00420CFF"/>
    <w:rsid w:val="004241C3"/>
    <w:rsid w:val="004256AD"/>
    <w:rsid w:val="00426441"/>
    <w:rsid w:val="004265CE"/>
    <w:rsid w:val="004269B4"/>
    <w:rsid w:val="00426EAF"/>
    <w:rsid w:val="0043075D"/>
    <w:rsid w:val="00432368"/>
    <w:rsid w:val="00432F8F"/>
    <w:rsid w:val="0043452F"/>
    <w:rsid w:val="00436F63"/>
    <w:rsid w:val="00441559"/>
    <w:rsid w:val="00444D49"/>
    <w:rsid w:val="00446F4F"/>
    <w:rsid w:val="00447B65"/>
    <w:rsid w:val="00452976"/>
    <w:rsid w:val="004646E2"/>
    <w:rsid w:val="00464B0C"/>
    <w:rsid w:val="0046720B"/>
    <w:rsid w:val="004716A6"/>
    <w:rsid w:val="00472C31"/>
    <w:rsid w:val="00476550"/>
    <w:rsid w:val="00477137"/>
    <w:rsid w:val="004808FE"/>
    <w:rsid w:val="00484B86"/>
    <w:rsid w:val="0049193E"/>
    <w:rsid w:val="00493231"/>
    <w:rsid w:val="004938F1"/>
    <w:rsid w:val="004A022A"/>
    <w:rsid w:val="004A0401"/>
    <w:rsid w:val="004A3F27"/>
    <w:rsid w:val="004A6607"/>
    <w:rsid w:val="004A7E4C"/>
    <w:rsid w:val="004B014C"/>
    <w:rsid w:val="004B06A1"/>
    <w:rsid w:val="004B32D4"/>
    <w:rsid w:val="004B38E3"/>
    <w:rsid w:val="004B42DC"/>
    <w:rsid w:val="004B6BBE"/>
    <w:rsid w:val="004B75C6"/>
    <w:rsid w:val="004C0539"/>
    <w:rsid w:val="004C0A67"/>
    <w:rsid w:val="004C1E02"/>
    <w:rsid w:val="004C23DE"/>
    <w:rsid w:val="004C432D"/>
    <w:rsid w:val="004C660E"/>
    <w:rsid w:val="004C788C"/>
    <w:rsid w:val="004D1AC7"/>
    <w:rsid w:val="004D1AE5"/>
    <w:rsid w:val="004E0F3F"/>
    <w:rsid w:val="004E15D0"/>
    <w:rsid w:val="004E192E"/>
    <w:rsid w:val="004E1942"/>
    <w:rsid w:val="004E3AAD"/>
    <w:rsid w:val="004E6B07"/>
    <w:rsid w:val="004F11ED"/>
    <w:rsid w:val="004F2734"/>
    <w:rsid w:val="005010D7"/>
    <w:rsid w:val="005032BD"/>
    <w:rsid w:val="005039CD"/>
    <w:rsid w:val="005042C7"/>
    <w:rsid w:val="00507020"/>
    <w:rsid w:val="00507782"/>
    <w:rsid w:val="0051172F"/>
    <w:rsid w:val="0051333F"/>
    <w:rsid w:val="00523D1A"/>
    <w:rsid w:val="005277C3"/>
    <w:rsid w:val="00527CA3"/>
    <w:rsid w:val="00531846"/>
    <w:rsid w:val="00531E07"/>
    <w:rsid w:val="0053352F"/>
    <w:rsid w:val="00540A7B"/>
    <w:rsid w:val="0054640E"/>
    <w:rsid w:val="00550D4C"/>
    <w:rsid w:val="00552D4C"/>
    <w:rsid w:val="005566FF"/>
    <w:rsid w:val="00557376"/>
    <w:rsid w:val="00557C46"/>
    <w:rsid w:val="005648A1"/>
    <w:rsid w:val="00566F76"/>
    <w:rsid w:val="00570D27"/>
    <w:rsid w:val="00572B2C"/>
    <w:rsid w:val="005818DD"/>
    <w:rsid w:val="00586B31"/>
    <w:rsid w:val="00587E9E"/>
    <w:rsid w:val="005907B4"/>
    <w:rsid w:val="00595354"/>
    <w:rsid w:val="0059581D"/>
    <w:rsid w:val="005A2B56"/>
    <w:rsid w:val="005A6B6A"/>
    <w:rsid w:val="005B2849"/>
    <w:rsid w:val="005B2F34"/>
    <w:rsid w:val="005B4259"/>
    <w:rsid w:val="005B752F"/>
    <w:rsid w:val="005B7C04"/>
    <w:rsid w:val="005C2A81"/>
    <w:rsid w:val="005C45D3"/>
    <w:rsid w:val="005D22C4"/>
    <w:rsid w:val="005D31D7"/>
    <w:rsid w:val="005D3B1D"/>
    <w:rsid w:val="005D6FC2"/>
    <w:rsid w:val="005D7997"/>
    <w:rsid w:val="005E4057"/>
    <w:rsid w:val="005E4F6B"/>
    <w:rsid w:val="005E6D54"/>
    <w:rsid w:val="005E6F14"/>
    <w:rsid w:val="005E7DDD"/>
    <w:rsid w:val="005F0F9A"/>
    <w:rsid w:val="005F26BF"/>
    <w:rsid w:val="005F3315"/>
    <w:rsid w:val="005F4966"/>
    <w:rsid w:val="005F7AF0"/>
    <w:rsid w:val="00600956"/>
    <w:rsid w:val="00601D29"/>
    <w:rsid w:val="00603AE6"/>
    <w:rsid w:val="00610091"/>
    <w:rsid w:val="00613EEA"/>
    <w:rsid w:val="006245EB"/>
    <w:rsid w:val="00624C2C"/>
    <w:rsid w:val="00626FC2"/>
    <w:rsid w:val="00627A3D"/>
    <w:rsid w:val="00630BDA"/>
    <w:rsid w:val="00632671"/>
    <w:rsid w:val="00635FF7"/>
    <w:rsid w:val="00637588"/>
    <w:rsid w:val="00637E77"/>
    <w:rsid w:val="00641839"/>
    <w:rsid w:val="00643F9D"/>
    <w:rsid w:val="0064513A"/>
    <w:rsid w:val="00651B88"/>
    <w:rsid w:val="00651C95"/>
    <w:rsid w:val="00651CA7"/>
    <w:rsid w:val="0065255F"/>
    <w:rsid w:val="006552FD"/>
    <w:rsid w:val="00655F4D"/>
    <w:rsid w:val="00656A43"/>
    <w:rsid w:val="00657348"/>
    <w:rsid w:val="006626AF"/>
    <w:rsid w:val="00663578"/>
    <w:rsid w:val="0066505C"/>
    <w:rsid w:val="006650EA"/>
    <w:rsid w:val="00666455"/>
    <w:rsid w:val="00672761"/>
    <w:rsid w:val="00674337"/>
    <w:rsid w:val="0067444C"/>
    <w:rsid w:val="00677D04"/>
    <w:rsid w:val="00680FAF"/>
    <w:rsid w:val="006824B0"/>
    <w:rsid w:val="0068267A"/>
    <w:rsid w:val="0068274C"/>
    <w:rsid w:val="006834E0"/>
    <w:rsid w:val="00690A48"/>
    <w:rsid w:val="00691D9F"/>
    <w:rsid w:val="00692865"/>
    <w:rsid w:val="00693EF7"/>
    <w:rsid w:val="00694DA4"/>
    <w:rsid w:val="00695F09"/>
    <w:rsid w:val="006A2440"/>
    <w:rsid w:val="006A6B8C"/>
    <w:rsid w:val="006B19BD"/>
    <w:rsid w:val="006B6207"/>
    <w:rsid w:val="006C013F"/>
    <w:rsid w:val="006C072D"/>
    <w:rsid w:val="006C2186"/>
    <w:rsid w:val="006C2AE3"/>
    <w:rsid w:val="006C6925"/>
    <w:rsid w:val="006C72CD"/>
    <w:rsid w:val="006D0315"/>
    <w:rsid w:val="006D0C7A"/>
    <w:rsid w:val="006D1F8D"/>
    <w:rsid w:val="006D6475"/>
    <w:rsid w:val="006D7CF5"/>
    <w:rsid w:val="006E0BFB"/>
    <w:rsid w:val="006E0FC0"/>
    <w:rsid w:val="006E4196"/>
    <w:rsid w:val="006E5E73"/>
    <w:rsid w:val="006E7D68"/>
    <w:rsid w:val="006F0740"/>
    <w:rsid w:val="006F10AD"/>
    <w:rsid w:val="006F1287"/>
    <w:rsid w:val="006F2C8E"/>
    <w:rsid w:val="006F72CE"/>
    <w:rsid w:val="006F789B"/>
    <w:rsid w:val="00701A96"/>
    <w:rsid w:val="00703AE3"/>
    <w:rsid w:val="00707D14"/>
    <w:rsid w:val="007142AA"/>
    <w:rsid w:val="007162E0"/>
    <w:rsid w:val="00722DC1"/>
    <w:rsid w:val="00722EE5"/>
    <w:rsid w:val="00723416"/>
    <w:rsid w:val="00732E9B"/>
    <w:rsid w:val="00735863"/>
    <w:rsid w:val="00737A67"/>
    <w:rsid w:val="0074450F"/>
    <w:rsid w:val="0074685A"/>
    <w:rsid w:val="007507AB"/>
    <w:rsid w:val="00752506"/>
    <w:rsid w:val="00752A48"/>
    <w:rsid w:val="00754617"/>
    <w:rsid w:val="007563DC"/>
    <w:rsid w:val="00762E8F"/>
    <w:rsid w:val="007659AA"/>
    <w:rsid w:val="0076753E"/>
    <w:rsid w:val="0077044E"/>
    <w:rsid w:val="00770579"/>
    <w:rsid w:val="00773C35"/>
    <w:rsid w:val="00775C67"/>
    <w:rsid w:val="0077675F"/>
    <w:rsid w:val="00777D96"/>
    <w:rsid w:val="007815E1"/>
    <w:rsid w:val="00784151"/>
    <w:rsid w:val="007901C3"/>
    <w:rsid w:val="007959B2"/>
    <w:rsid w:val="007A37F9"/>
    <w:rsid w:val="007A58A2"/>
    <w:rsid w:val="007A67B8"/>
    <w:rsid w:val="007A7E62"/>
    <w:rsid w:val="007B208B"/>
    <w:rsid w:val="007B23CA"/>
    <w:rsid w:val="007B366F"/>
    <w:rsid w:val="007C20F1"/>
    <w:rsid w:val="007C506D"/>
    <w:rsid w:val="007C52D6"/>
    <w:rsid w:val="007C5EF5"/>
    <w:rsid w:val="007C5F1B"/>
    <w:rsid w:val="007D35BF"/>
    <w:rsid w:val="007D5A1B"/>
    <w:rsid w:val="007E0E8F"/>
    <w:rsid w:val="007E17D4"/>
    <w:rsid w:val="007E593B"/>
    <w:rsid w:val="007F14E5"/>
    <w:rsid w:val="007F1591"/>
    <w:rsid w:val="007F3C78"/>
    <w:rsid w:val="007F4495"/>
    <w:rsid w:val="007F6C1B"/>
    <w:rsid w:val="007F6E34"/>
    <w:rsid w:val="008065AA"/>
    <w:rsid w:val="008076E7"/>
    <w:rsid w:val="00811208"/>
    <w:rsid w:val="008112D2"/>
    <w:rsid w:val="00812A51"/>
    <w:rsid w:val="008141AA"/>
    <w:rsid w:val="00816846"/>
    <w:rsid w:val="008177C2"/>
    <w:rsid w:val="00817CF6"/>
    <w:rsid w:val="00830847"/>
    <w:rsid w:val="0083299A"/>
    <w:rsid w:val="00833E86"/>
    <w:rsid w:val="00834DC9"/>
    <w:rsid w:val="00835B5D"/>
    <w:rsid w:val="00835F54"/>
    <w:rsid w:val="00836ADB"/>
    <w:rsid w:val="00840336"/>
    <w:rsid w:val="00840658"/>
    <w:rsid w:val="00840769"/>
    <w:rsid w:val="00842414"/>
    <w:rsid w:val="00842C58"/>
    <w:rsid w:val="008447E9"/>
    <w:rsid w:val="0084611B"/>
    <w:rsid w:val="008559EC"/>
    <w:rsid w:val="00861101"/>
    <w:rsid w:val="00861451"/>
    <w:rsid w:val="008621D2"/>
    <w:rsid w:val="00862832"/>
    <w:rsid w:val="00863CCA"/>
    <w:rsid w:val="00866392"/>
    <w:rsid w:val="008762D0"/>
    <w:rsid w:val="00880AE0"/>
    <w:rsid w:val="00880E95"/>
    <w:rsid w:val="00881A95"/>
    <w:rsid w:val="00883F0D"/>
    <w:rsid w:val="00884D11"/>
    <w:rsid w:val="00886136"/>
    <w:rsid w:val="008902BD"/>
    <w:rsid w:val="0089092E"/>
    <w:rsid w:val="008929B9"/>
    <w:rsid w:val="00895AF5"/>
    <w:rsid w:val="00896178"/>
    <w:rsid w:val="00897C8B"/>
    <w:rsid w:val="008A0685"/>
    <w:rsid w:val="008A3452"/>
    <w:rsid w:val="008A3F36"/>
    <w:rsid w:val="008A4557"/>
    <w:rsid w:val="008A7945"/>
    <w:rsid w:val="008B109C"/>
    <w:rsid w:val="008B2BBD"/>
    <w:rsid w:val="008B32D9"/>
    <w:rsid w:val="008B4BEC"/>
    <w:rsid w:val="008B55B4"/>
    <w:rsid w:val="008B6107"/>
    <w:rsid w:val="008C4949"/>
    <w:rsid w:val="008D0D56"/>
    <w:rsid w:val="008D106B"/>
    <w:rsid w:val="008D1DAD"/>
    <w:rsid w:val="008D1F03"/>
    <w:rsid w:val="008D1FC3"/>
    <w:rsid w:val="008D335A"/>
    <w:rsid w:val="008D5301"/>
    <w:rsid w:val="008D55C0"/>
    <w:rsid w:val="008D5E4E"/>
    <w:rsid w:val="008E0747"/>
    <w:rsid w:val="008E1671"/>
    <w:rsid w:val="008E1A62"/>
    <w:rsid w:val="008E22B2"/>
    <w:rsid w:val="008E2333"/>
    <w:rsid w:val="008F2E17"/>
    <w:rsid w:val="008F460C"/>
    <w:rsid w:val="008F641F"/>
    <w:rsid w:val="00906E14"/>
    <w:rsid w:val="009079A0"/>
    <w:rsid w:val="00907F6B"/>
    <w:rsid w:val="009137D6"/>
    <w:rsid w:val="00915308"/>
    <w:rsid w:val="00920847"/>
    <w:rsid w:val="00933D3E"/>
    <w:rsid w:val="009371DC"/>
    <w:rsid w:val="00940AFF"/>
    <w:rsid w:val="00941652"/>
    <w:rsid w:val="009423A3"/>
    <w:rsid w:val="00943099"/>
    <w:rsid w:val="00944F46"/>
    <w:rsid w:val="00946992"/>
    <w:rsid w:val="009503C4"/>
    <w:rsid w:val="00951E21"/>
    <w:rsid w:val="0095441A"/>
    <w:rsid w:val="0095477A"/>
    <w:rsid w:val="009547BD"/>
    <w:rsid w:val="009558DA"/>
    <w:rsid w:val="00956E27"/>
    <w:rsid w:val="009610AA"/>
    <w:rsid w:val="00963778"/>
    <w:rsid w:val="0096383D"/>
    <w:rsid w:val="00967DE9"/>
    <w:rsid w:val="00972434"/>
    <w:rsid w:val="009731F5"/>
    <w:rsid w:val="00975C6B"/>
    <w:rsid w:val="0098091F"/>
    <w:rsid w:val="0098610B"/>
    <w:rsid w:val="009905B4"/>
    <w:rsid w:val="00993083"/>
    <w:rsid w:val="0099375B"/>
    <w:rsid w:val="00995B77"/>
    <w:rsid w:val="00997A68"/>
    <w:rsid w:val="009A1E16"/>
    <w:rsid w:val="009A2AF3"/>
    <w:rsid w:val="009A4DC1"/>
    <w:rsid w:val="009A6727"/>
    <w:rsid w:val="009B1008"/>
    <w:rsid w:val="009B2BFE"/>
    <w:rsid w:val="009C05E5"/>
    <w:rsid w:val="009C23F0"/>
    <w:rsid w:val="009C23FF"/>
    <w:rsid w:val="009C3726"/>
    <w:rsid w:val="009C6A42"/>
    <w:rsid w:val="009C7751"/>
    <w:rsid w:val="009C78BE"/>
    <w:rsid w:val="009D6FFE"/>
    <w:rsid w:val="009D7485"/>
    <w:rsid w:val="009D7C84"/>
    <w:rsid w:val="009E55CE"/>
    <w:rsid w:val="009E79A5"/>
    <w:rsid w:val="009F1CE2"/>
    <w:rsid w:val="009F4673"/>
    <w:rsid w:val="009F4A29"/>
    <w:rsid w:val="00A0084D"/>
    <w:rsid w:val="00A027C9"/>
    <w:rsid w:val="00A027CA"/>
    <w:rsid w:val="00A060ED"/>
    <w:rsid w:val="00A07218"/>
    <w:rsid w:val="00A13098"/>
    <w:rsid w:val="00A14489"/>
    <w:rsid w:val="00A1690A"/>
    <w:rsid w:val="00A20101"/>
    <w:rsid w:val="00A238DB"/>
    <w:rsid w:val="00A2541E"/>
    <w:rsid w:val="00A27534"/>
    <w:rsid w:val="00A27620"/>
    <w:rsid w:val="00A368C6"/>
    <w:rsid w:val="00A41666"/>
    <w:rsid w:val="00A42269"/>
    <w:rsid w:val="00A47BD0"/>
    <w:rsid w:val="00A50195"/>
    <w:rsid w:val="00A517F7"/>
    <w:rsid w:val="00A52974"/>
    <w:rsid w:val="00A55DB0"/>
    <w:rsid w:val="00A56621"/>
    <w:rsid w:val="00A56C50"/>
    <w:rsid w:val="00A61681"/>
    <w:rsid w:val="00A618FF"/>
    <w:rsid w:val="00A62E2F"/>
    <w:rsid w:val="00A6465A"/>
    <w:rsid w:val="00A65CEB"/>
    <w:rsid w:val="00A66DCB"/>
    <w:rsid w:val="00A70042"/>
    <w:rsid w:val="00A73655"/>
    <w:rsid w:val="00A73745"/>
    <w:rsid w:val="00A747BD"/>
    <w:rsid w:val="00A75FBD"/>
    <w:rsid w:val="00A7696A"/>
    <w:rsid w:val="00A825A8"/>
    <w:rsid w:val="00A91DA5"/>
    <w:rsid w:val="00A92E95"/>
    <w:rsid w:val="00A95446"/>
    <w:rsid w:val="00A95B3A"/>
    <w:rsid w:val="00A97FC4"/>
    <w:rsid w:val="00AA5EEE"/>
    <w:rsid w:val="00AB34FE"/>
    <w:rsid w:val="00AB755A"/>
    <w:rsid w:val="00AC6B2C"/>
    <w:rsid w:val="00AC6CE0"/>
    <w:rsid w:val="00AC74FA"/>
    <w:rsid w:val="00AD0ED6"/>
    <w:rsid w:val="00AD3A3A"/>
    <w:rsid w:val="00AD48E4"/>
    <w:rsid w:val="00AD4C4B"/>
    <w:rsid w:val="00AD5F7D"/>
    <w:rsid w:val="00AD691F"/>
    <w:rsid w:val="00AD71E2"/>
    <w:rsid w:val="00AE233A"/>
    <w:rsid w:val="00AE23B0"/>
    <w:rsid w:val="00AE45D9"/>
    <w:rsid w:val="00AE6374"/>
    <w:rsid w:val="00AE6DDC"/>
    <w:rsid w:val="00AF0A65"/>
    <w:rsid w:val="00AF15A6"/>
    <w:rsid w:val="00AF37F5"/>
    <w:rsid w:val="00AF54A9"/>
    <w:rsid w:val="00AF71B5"/>
    <w:rsid w:val="00B002BE"/>
    <w:rsid w:val="00B00978"/>
    <w:rsid w:val="00B028FD"/>
    <w:rsid w:val="00B03436"/>
    <w:rsid w:val="00B045EF"/>
    <w:rsid w:val="00B06510"/>
    <w:rsid w:val="00B10233"/>
    <w:rsid w:val="00B120B1"/>
    <w:rsid w:val="00B13C7D"/>
    <w:rsid w:val="00B14DBE"/>
    <w:rsid w:val="00B15351"/>
    <w:rsid w:val="00B201CA"/>
    <w:rsid w:val="00B21ECF"/>
    <w:rsid w:val="00B2283E"/>
    <w:rsid w:val="00B24E47"/>
    <w:rsid w:val="00B30BB6"/>
    <w:rsid w:val="00B30D06"/>
    <w:rsid w:val="00B32950"/>
    <w:rsid w:val="00B3524D"/>
    <w:rsid w:val="00B369CB"/>
    <w:rsid w:val="00B375E7"/>
    <w:rsid w:val="00B4313F"/>
    <w:rsid w:val="00B4546A"/>
    <w:rsid w:val="00B503DC"/>
    <w:rsid w:val="00B50635"/>
    <w:rsid w:val="00B533C6"/>
    <w:rsid w:val="00B60E67"/>
    <w:rsid w:val="00B6175B"/>
    <w:rsid w:val="00B61F6F"/>
    <w:rsid w:val="00B62395"/>
    <w:rsid w:val="00B65614"/>
    <w:rsid w:val="00B6685E"/>
    <w:rsid w:val="00B66F04"/>
    <w:rsid w:val="00B67C18"/>
    <w:rsid w:val="00B713EC"/>
    <w:rsid w:val="00B733AD"/>
    <w:rsid w:val="00B766E7"/>
    <w:rsid w:val="00B77B8A"/>
    <w:rsid w:val="00B802E5"/>
    <w:rsid w:val="00B818A7"/>
    <w:rsid w:val="00B837C6"/>
    <w:rsid w:val="00B87769"/>
    <w:rsid w:val="00B9160D"/>
    <w:rsid w:val="00B91E92"/>
    <w:rsid w:val="00B9243D"/>
    <w:rsid w:val="00B9263B"/>
    <w:rsid w:val="00B92914"/>
    <w:rsid w:val="00B95D64"/>
    <w:rsid w:val="00B95E9B"/>
    <w:rsid w:val="00BA0C90"/>
    <w:rsid w:val="00BA246A"/>
    <w:rsid w:val="00BA2538"/>
    <w:rsid w:val="00BA2FC6"/>
    <w:rsid w:val="00BA5147"/>
    <w:rsid w:val="00BA6FA2"/>
    <w:rsid w:val="00BA6FFD"/>
    <w:rsid w:val="00BA733C"/>
    <w:rsid w:val="00BB2B6D"/>
    <w:rsid w:val="00BB3D59"/>
    <w:rsid w:val="00BB4F61"/>
    <w:rsid w:val="00BB58AC"/>
    <w:rsid w:val="00BB66EA"/>
    <w:rsid w:val="00BB7D9F"/>
    <w:rsid w:val="00BC2797"/>
    <w:rsid w:val="00BC40E8"/>
    <w:rsid w:val="00BC40FE"/>
    <w:rsid w:val="00BC7630"/>
    <w:rsid w:val="00BD181B"/>
    <w:rsid w:val="00BD1A29"/>
    <w:rsid w:val="00BD1C82"/>
    <w:rsid w:val="00BD26DC"/>
    <w:rsid w:val="00BD34F0"/>
    <w:rsid w:val="00BD7E26"/>
    <w:rsid w:val="00BE04C3"/>
    <w:rsid w:val="00BE546F"/>
    <w:rsid w:val="00BE62EF"/>
    <w:rsid w:val="00BE65B4"/>
    <w:rsid w:val="00BE7E8A"/>
    <w:rsid w:val="00BF4CC7"/>
    <w:rsid w:val="00BF54BC"/>
    <w:rsid w:val="00C00F05"/>
    <w:rsid w:val="00C03DBB"/>
    <w:rsid w:val="00C03E65"/>
    <w:rsid w:val="00C06A91"/>
    <w:rsid w:val="00C072DB"/>
    <w:rsid w:val="00C07EA5"/>
    <w:rsid w:val="00C10777"/>
    <w:rsid w:val="00C15C04"/>
    <w:rsid w:val="00C15EDD"/>
    <w:rsid w:val="00C17C54"/>
    <w:rsid w:val="00C206B7"/>
    <w:rsid w:val="00C211D3"/>
    <w:rsid w:val="00C21270"/>
    <w:rsid w:val="00C22AB2"/>
    <w:rsid w:val="00C232FC"/>
    <w:rsid w:val="00C24412"/>
    <w:rsid w:val="00C2589A"/>
    <w:rsid w:val="00C3017B"/>
    <w:rsid w:val="00C309F0"/>
    <w:rsid w:val="00C44C4F"/>
    <w:rsid w:val="00C47725"/>
    <w:rsid w:val="00C534DD"/>
    <w:rsid w:val="00C5425E"/>
    <w:rsid w:val="00C54B7D"/>
    <w:rsid w:val="00C550D1"/>
    <w:rsid w:val="00C56F4F"/>
    <w:rsid w:val="00C56F7D"/>
    <w:rsid w:val="00C572F4"/>
    <w:rsid w:val="00C619FB"/>
    <w:rsid w:val="00C66EF5"/>
    <w:rsid w:val="00C728BA"/>
    <w:rsid w:val="00C74290"/>
    <w:rsid w:val="00C80123"/>
    <w:rsid w:val="00C81571"/>
    <w:rsid w:val="00C83167"/>
    <w:rsid w:val="00C834D3"/>
    <w:rsid w:val="00C84365"/>
    <w:rsid w:val="00C84483"/>
    <w:rsid w:val="00C87D2F"/>
    <w:rsid w:val="00C91B3B"/>
    <w:rsid w:val="00C92E01"/>
    <w:rsid w:val="00C97455"/>
    <w:rsid w:val="00C97C30"/>
    <w:rsid w:val="00CA0664"/>
    <w:rsid w:val="00CA15D5"/>
    <w:rsid w:val="00CA30E3"/>
    <w:rsid w:val="00CA4F05"/>
    <w:rsid w:val="00CA684D"/>
    <w:rsid w:val="00CB2D67"/>
    <w:rsid w:val="00CB66C7"/>
    <w:rsid w:val="00CB7CF8"/>
    <w:rsid w:val="00CC0590"/>
    <w:rsid w:val="00CC24E3"/>
    <w:rsid w:val="00CC5F5A"/>
    <w:rsid w:val="00CC66B1"/>
    <w:rsid w:val="00CC69BA"/>
    <w:rsid w:val="00CD3FCF"/>
    <w:rsid w:val="00CD43BF"/>
    <w:rsid w:val="00CE03B4"/>
    <w:rsid w:val="00CE0FF8"/>
    <w:rsid w:val="00CE4791"/>
    <w:rsid w:val="00CE5025"/>
    <w:rsid w:val="00CF1050"/>
    <w:rsid w:val="00CF2C3B"/>
    <w:rsid w:val="00CF6481"/>
    <w:rsid w:val="00D01574"/>
    <w:rsid w:val="00D037EE"/>
    <w:rsid w:val="00D03CAD"/>
    <w:rsid w:val="00D04802"/>
    <w:rsid w:val="00D04AC5"/>
    <w:rsid w:val="00D06194"/>
    <w:rsid w:val="00D07482"/>
    <w:rsid w:val="00D1296A"/>
    <w:rsid w:val="00D13A2A"/>
    <w:rsid w:val="00D14E4C"/>
    <w:rsid w:val="00D156F3"/>
    <w:rsid w:val="00D17448"/>
    <w:rsid w:val="00D21464"/>
    <w:rsid w:val="00D261CB"/>
    <w:rsid w:val="00D26526"/>
    <w:rsid w:val="00D26D02"/>
    <w:rsid w:val="00D270A5"/>
    <w:rsid w:val="00D30FC3"/>
    <w:rsid w:val="00D31152"/>
    <w:rsid w:val="00D3274E"/>
    <w:rsid w:val="00D356C1"/>
    <w:rsid w:val="00D36161"/>
    <w:rsid w:val="00D36DA0"/>
    <w:rsid w:val="00D40038"/>
    <w:rsid w:val="00D40FBF"/>
    <w:rsid w:val="00D44AD4"/>
    <w:rsid w:val="00D44D6A"/>
    <w:rsid w:val="00D46F6F"/>
    <w:rsid w:val="00D5074E"/>
    <w:rsid w:val="00D50844"/>
    <w:rsid w:val="00D50C0F"/>
    <w:rsid w:val="00D511A7"/>
    <w:rsid w:val="00D51B4B"/>
    <w:rsid w:val="00D538F0"/>
    <w:rsid w:val="00D56CEC"/>
    <w:rsid w:val="00D774E5"/>
    <w:rsid w:val="00D8055D"/>
    <w:rsid w:val="00D809D5"/>
    <w:rsid w:val="00D836E4"/>
    <w:rsid w:val="00D840FB"/>
    <w:rsid w:val="00D8732C"/>
    <w:rsid w:val="00D8759C"/>
    <w:rsid w:val="00D875FC"/>
    <w:rsid w:val="00D91E64"/>
    <w:rsid w:val="00D9319E"/>
    <w:rsid w:val="00D93809"/>
    <w:rsid w:val="00D94EFE"/>
    <w:rsid w:val="00DA16E0"/>
    <w:rsid w:val="00DA1C83"/>
    <w:rsid w:val="00DA713D"/>
    <w:rsid w:val="00DB0C35"/>
    <w:rsid w:val="00DB0ECC"/>
    <w:rsid w:val="00DB1699"/>
    <w:rsid w:val="00DB1EAE"/>
    <w:rsid w:val="00DB235A"/>
    <w:rsid w:val="00DB3B2B"/>
    <w:rsid w:val="00DB5291"/>
    <w:rsid w:val="00DB6323"/>
    <w:rsid w:val="00DB67A4"/>
    <w:rsid w:val="00DB6D92"/>
    <w:rsid w:val="00DC0170"/>
    <w:rsid w:val="00DC2BD9"/>
    <w:rsid w:val="00DC669B"/>
    <w:rsid w:val="00DC6CEE"/>
    <w:rsid w:val="00DC7E10"/>
    <w:rsid w:val="00DD2C5A"/>
    <w:rsid w:val="00DD49B0"/>
    <w:rsid w:val="00DE0DEA"/>
    <w:rsid w:val="00DE3335"/>
    <w:rsid w:val="00DF100E"/>
    <w:rsid w:val="00DF19D5"/>
    <w:rsid w:val="00DF3346"/>
    <w:rsid w:val="00DF6022"/>
    <w:rsid w:val="00E01D36"/>
    <w:rsid w:val="00E01E6E"/>
    <w:rsid w:val="00E048A6"/>
    <w:rsid w:val="00E04CBC"/>
    <w:rsid w:val="00E04FA3"/>
    <w:rsid w:val="00E107ED"/>
    <w:rsid w:val="00E140A7"/>
    <w:rsid w:val="00E15555"/>
    <w:rsid w:val="00E17B33"/>
    <w:rsid w:val="00E2042C"/>
    <w:rsid w:val="00E2294C"/>
    <w:rsid w:val="00E24A03"/>
    <w:rsid w:val="00E2524D"/>
    <w:rsid w:val="00E26713"/>
    <w:rsid w:val="00E26EF0"/>
    <w:rsid w:val="00E273A4"/>
    <w:rsid w:val="00E3187B"/>
    <w:rsid w:val="00E32508"/>
    <w:rsid w:val="00E34E6A"/>
    <w:rsid w:val="00E43617"/>
    <w:rsid w:val="00E476A2"/>
    <w:rsid w:val="00E4794A"/>
    <w:rsid w:val="00E5194E"/>
    <w:rsid w:val="00E51C26"/>
    <w:rsid w:val="00E5523E"/>
    <w:rsid w:val="00E55982"/>
    <w:rsid w:val="00E55B5E"/>
    <w:rsid w:val="00E5639E"/>
    <w:rsid w:val="00E57459"/>
    <w:rsid w:val="00E60AC0"/>
    <w:rsid w:val="00E66D94"/>
    <w:rsid w:val="00E676E7"/>
    <w:rsid w:val="00E76A83"/>
    <w:rsid w:val="00E81112"/>
    <w:rsid w:val="00E81253"/>
    <w:rsid w:val="00E83F31"/>
    <w:rsid w:val="00E93B9C"/>
    <w:rsid w:val="00E9469D"/>
    <w:rsid w:val="00E94D14"/>
    <w:rsid w:val="00E9586E"/>
    <w:rsid w:val="00EA0275"/>
    <w:rsid w:val="00EA085A"/>
    <w:rsid w:val="00EA1E69"/>
    <w:rsid w:val="00EA29E7"/>
    <w:rsid w:val="00EA71B5"/>
    <w:rsid w:val="00EB181A"/>
    <w:rsid w:val="00EB311F"/>
    <w:rsid w:val="00EB41D3"/>
    <w:rsid w:val="00EB6992"/>
    <w:rsid w:val="00EB6E42"/>
    <w:rsid w:val="00EB7B99"/>
    <w:rsid w:val="00EC2D30"/>
    <w:rsid w:val="00EC625F"/>
    <w:rsid w:val="00EC7F2F"/>
    <w:rsid w:val="00ED16D5"/>
    <w:rsid w:val="00ED1991"/>
    <w:rsid w:val="00ED5487"/>
    <w:rsid w:val="00ED5AF8"/>
    <w:rsid w:val="00ED63AF"/>
    <w:rsid w:val="00EE5BBA"/>
    <w:rsid w:val="00EE666F"/>
    <w:rsid w:val="00EE7D5C"/>
    <w:rsid w:val="00EF3E5D"/>
    <w:rsid w:val="00EF4E1B"/>
    <w:rsid w:val="00F019A5"/>
    <w:rsid w:val="00F02019"/>
    <w:rsid w:val="00F023DA"/>
    <w:rsid w:val="00F04CAF"/>
    <w:rsid w:val="00F078B1"/>
    <w:rsid w:val="00F131D2"/>
    <w:rsid w:val="00F13AF9"/>
    <w:rsid w:val="00F146EB"/>
    <w:rsid w:val="00F15007"/>
    <w:rsid w:val="00F154C0"/>
    <w:rsid w:val="00F17728"/>
    <w:rsid w:val="00F20FCE"/>
    <w:rsid w:val="00F22DEC"/>
    <w:rsid w:val="00F248C2"/>
    <w:rsid w:val="00F24D66"/>
    <w:rsid w:val="00F26484"/>
    <w:rsid w:val="00F30045"/>
    <w:rsid w:val="00F35AF1"/>
    <w:rsid w:val="00F36D84"/>
    <w:rsid w:val="00F413B3"/>
    <w:rsid w:val="00F438B7"/>
    <w:rsid w:val="00F44503"/>
    <w:rsid w:val="00F44B68"/>
    <w:rsid w:val="00F44B8A"/>
    <w:rsid w:val="00F461C8"/>
    <w:rsid w:val="00F466B8"/>
    <w:rsid w:val="00F46783"/>
    <w:rsid w:val="00F46C09"/>
    <w:rsid w:val="00F50071"/>
    <w:rsid w:val="00F55459"/>
    <w:rsid w:val="00F55E20"/>
    <w:rsid w:val="00F56385"/>
    <w:rsid w:val="00F61213"/>
    <w:rsid w:val="00F61DD3"/>
    <w:rsid w:val="00F621D7"/>
    <w:rsid w:val="00F63640"/>
    <w:rsid w:val="00F63E16"/>
    <w:rsid w:val="00F66390"/>
    <w:rsid w:val="00F6669B"/>
    <w:rsid w:val="00F72D14"/>
    <w:rsid w:val="00F82C4C"/>
    <w:rsid w:val="00F91580"/>
    <w:rsid w:val="00F91FE7"/>
    <w:rsid w:val="00F93A41"/>
    <w:rsid w:val="00F95120"/>
    <w:rsid w:val="00FA0C1F"/>
    <w:rsid w:val="00FA4F74"/>
    <w:rsid w:val="00FA6142"/>
    <w:rsid w:val="00FA74EB"/>
    <w:rsid w:val="00FA756A"/>
    <w:rsid w:val="00FB0AB6"/>
    <w:rsid w:val="00FB0AFA"/>
    <w:rsid w:val="00FB0DE9"/>
    <w:rsid w:val="00FB26B2"/>
    <w:rsid w:val="00FB494F"/>
    <w:rsid w:val="00FB64C1"/>
    <w:rsid w:val="00FC0599"/>
    <w:rsid w:val="00FC10BF"/>
    <w:rsid w:val="00FC1C64"/>
    <w:rsid w:val="00FC31A5"/>
    <w:rsid w:val="00FC57C3"/>
    <w:rsid w:val="00FC5C8B"/>
    <w:rsid w:val="00FC64DA"/>
    <w:rsid w:val="00FC7237"/>
    <w:rsid w:val="00FD02A3"/>
    <w:rsid w:val="00FD0445"/>
    <w:rsid w:val="00FD5440"/>
    <w:rsid w:val="00FD59FF"/>
    <w:rsid w:val="00FD7599"/>
    <w:rsid w:val="00FD7CE9"/>
    <w:rsid w:val="00FE06AA"/>
    <w:rsid w:val="00FE3930"/>
    <w:rsid w:val="00FE5629"/>
    <w:rsid w:val="00FF20D0"/>
    <w:rsid w:val="00FF3BAB"/>
    <w:rsid w:val="00FF4823"/>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5C19F7-B506-4822-9419-984D42EE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93CCE-9458-4555-BAE1-C1FB9BCA6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2147</Words>
  <Characters>12243</Characters>
  <Application>Microsoft Office Word</Application>
  <DocSecurity>0</DocSecurity>
  <Lines>102</Lines>
  <Paragraphs>28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The U.S. Department of the Treasury</Company>
  <LinksUpToDate>false</LinksUpToDate>
  <CharactersWithSpaces>14362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Anne-Katrin Arnold</dc:creator>
  <cp:lastModifiedBy>Jennifer Chato</cp:lastModifiedBy>
  <cp:revision>2</cp:revision>
  <cp:lastPrinted>2016-03-16T14:24:00Z</cp:lastPrinted>
  <dcterms:created xsi:type="dcterms:W3CDTF">2016-04-17T13:34:00Z</dcterms:created>
  <dcterms:modified xsi:type="dcterms:W3CDTF">2016-04-17T13:34:00Z</dcterms:modified>
</cp:coreProperties>
</file>