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6033A4" w:rsidRDefault="00A35D65" w:rsidP="0081022C">
      <w:pPr>
        <w:spacing w:line="240" w:lineRule="auto"/>
        <w:jc w:val="center"/>
        <w:rPr>
          <w:rFonts w:asciiTheme="minorHAnsi" w:hAnsiTheme="minorHAnsi" w:cstheme="minorHAnsi"/>
          <w:sz w:val="22"/>
          <w:szCs w:val="22"/>
        </w:rPr>
      </w:pPr>
      <w:r w:rsidRPr="006033A4">
        <w:rPr>
          <w:rFonts w:asciiTheme="minorHAnsi" w:hAnsiTheme="minorHAnsi" w:cstheme="minorHAnsi"/>
          <w:noProof/>
          <w:color w:val="000000"/>
          <w:sz w:val="22"/>
          <w:szCs w:val="22"/>
          <w:lang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375" cy="888572"/>
                    </a:xfrm>
                    <a:prstGeom prst="rect">
                      <a:avLst/>
                    </a:prstGeom>
                    <a:noFill/>
                    <a:ln>
                      <a:noFill/>
                    </a:ln>
                  </pic:spPr>
                </pic:pic>
              </a:graphicData>
            </a:graphic>
          </wp:inline>
        </w:drawing>
      </w:r>
    </w:p>
    <w:p w:rsidR="00A35D65" w:rsidRPr="006033A4" w:rsidRDefault="00A35D65" w:rsidP="0081022C">
      <w:pPr>
        <w:spacing w:line="240" w:lineRule="auto"/>
        <w:jc w:val="center"/>
        <w:rPr>
          <w:rFonts w:asciiTheme="minorHAnsi" w:hAnsiTheme="minorHAnsi" w:cstheme="minorHAnsi"/>
          <w:b/>
          <w:bCs/>
          <w:sz w:val="22"/>
          <w:szCs w:val="22"/>
        </w:rPr>
      </w:pPr>
      <w:r w:rsidRPr="006033A4">
        <w:rPr>
          <w:rFonts w:asciiTheme="minorHAnsi" w:hAnsiTheme="minorHAnsi" w:cstheme="minorHAnsi"/>
          <w:b/>
          <w:bCs/>
          <w:sz w:val="22"/>
          <w:szCs w:val="22"/>
        </w:rPr>
        <w:t>Review and Update of the World Bank’s Environmental and Social Safeguard Policies</w:t>
      </w:r>
    </w:p>
    <w:p w:rsidR="003E2779" w:rsidRPr="006033A4" w:rsidRDefault="00F17A50" w:rsidP="00F17A50">
      <w:pPr>
        <w:pStyle w:val="Title"/>
        <w:spacing w:after="120"/>
        <w:contextualSpacing w:val="0"/>
        <w:jc w:val="center"/>
        <w:rPr>
          <w:rFonts w:asciiTheme="minorHAnsi" w:hAnsiTheme="minorHAnsi" w:cstheme="minorHAnsi"/>
          <w:color w:val="auto"/>
          <w:sz w:val="22"/>
          <w:szCs w:val="22"/>
        </w:rPr>
      </w:pPr>
      <w:r w:rsidRPr="006033A4">
        <w:rPr>
          <w:rFonts w:asciiTheme="minorHAnsi" w:hAnsiTheme="minorHAnsi" w:cstheme="minorHAnsi"/>
          <w:b/>
          <w:bCs/>
          <w:color w:val="auto"/>
          <w:spacing w:val="0"/>
          <w:kern w:val="1"/>
          <w:sz w:val="22"/>
          <w:szCs w:val="22"/>
          <w:lang w:eastAsia="hi-IN" w:bidi="hi-IN"/>
        </w:rPr>
        <w:t xml:space="preserve">Phase 2 Consultations </w:t>
      </w:r>
      <w:r w:rsidRPr="006033A4">
        <w:rPr>
          <w:rFonts w:asciiTheme="minorHAnsi" w:hAnsiTheme="minorHAnsi" w:cstheme="minorHAnsi"/>
          <w:b/>
          <w:bCs/>
          <w:color w:val="auto"/>
          <w:spacing w:val="0"/>
          <w:kern w:val="1"/>
          <w:sz w:val="22"/>
          <w:szCs w:val="22"/>
          <w:lang w:eastAsia="hi-IN" w:bidi="hi-IN"/>
        </w:rPr>
        <w:sym w:font="Symbol" w:char="F02D"/>
      </w:r>
      <w:r w:rsidRPr="006033A4">
        <w:rPr>
          <w:rFonts w:asciiTheme="minorHAnsi" w:hAnsiTheme="minorHAnsi" w:cstheme="minorHAnsi"/>
          <w:b/>
          <w:bCs/>
          <w:color w:val="auto"/>
          <w:spacing w:val="0"/>
          <w:kern w:val="1"/>
          <w:sz w:val="22"/>
          <w:szCs w:val="22"/>
          <w:lang w:eastAsia="hi-IN" w:bidi="hi-IN"/>
        </w:rPr>
        <w:t xml:space="preserve"> </w:t>
      </w:r>
      <w:r w:rsidR="00A35D65" w:rsidRPr="006033A4">
        <w:rPr>
          <w:rFonts w:asciiTheme="minorHAnsi" w:hAnsiTheme="minorHAnsi" w:cstheme="minorHAnsi"/>
          <w:b/>
          <w:bCs/>
          <w:color w:val="auto"/>
          <w:spacing w:val="0"/>
          <w:kern w:val="1"/>
          <w:sz w:val="22"/>
          <w:szCs w:val="22"/>
          <w:lang w:eastAsia="hi-IN" w:bidi="hi-IN"/>
        </w:rPr>
        <w:t>F</w:t>
      </w:r>
      <w:r w:rsidR="003E2779" w:rsidRPr="006033A4">
        <w:rPr>
          <w:rFonts w:asciiTheme="minorHAnsi" w:hAnsiTheme="minorHAnsi" w:cstheme="minorHAnsi"/>
          <w:b/>
          <w:bCs/>
          <w:color w:val="auto"/>
          <w:spacing w:val="0"/>
          <w:kern w:val="1"/>
          <w:sz w:val="22"/>
          <w:szCs w:val="22"/>
          <w:lang w:eastAsia="hi-IN" w:bidi="hi-IN"/>
        </w:rPr>
        <w:t>eedback</w:t>
      </w:r>
      <w:r w:rsidR="003E2779" w:rsidRPr="006033A4">
        <w:rPr>
          <w:rFonts w:asciiTheme="minorHAnsi" w:hAnsiTheme="minorHAnsi" w:cstheme="minorHAnsi"/>
          <w:b/>
          <w:bCs/>
          <w:color w:val="auto"/>
          <w:sz w:val="22"/>
          <w:szCs w:val="22"/>
        </w:rPr>
        <w:t xml:space="preserve"> Summary</w:t>
      </w:r>
    </w:p>
    <w:p w:rsidR="00093B2C" w:rsidRPr="006033A4" w:rsidRDefault="00093B2C" w:rsidP="0081022C">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cstheme="minorHAnsi"/>
          <w:b/>
          <w:sz w:val="22"/>
          <w:szCs w:val="22"/>
          <w:lang w:val="en-US"/>
        </w:rPr>
      </w:pPr>
      <w:r w:rsidRPr="006033A4">
        <w:rPr>
          <w:rFonts w:asciiTheme="minorHAnsi" w:hAnsiTheme="minorHAnsi" w:cstheme="minorHAnsi"/>
          <w:b/>
          <w:bCs/>
          <w:sz w:val="22"/>
          <w:szCs w:val="22"/>
          <w:lang w:val="en-US"/>
        </w:rPr>
        <w:t xml:space="preserve">Date: </w:t>
      </w:r>
      <w:r w:rsidR="003D1E87" w:rsidRPr="006033A4">
        <w:rPr>
          <w:rFonts w:asciiTheme="minorHAnsi" w:hAnsiTheme="minorHAnsi" w:cstheme="minorHAnsi"/>
          <w:b/>
          <w:bCs/>
          <w:sz w:val="22"/>
          <w:szCs w:val="22"/>
          <w:lang w:val="en-US"/>
        </w:rPr>
        <w:t>26 September 2014</w:t>
      </w:r>
    </w:p>
    <w:p w:rsidR="0028355B" w:rsidRPr="006033A4" w:rsidRDefault="002E23E9" w:rsidP="0081022C">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cstheme="minorHAnsi"/>
          <w:b/>
          <w:bCs/>
          <w:sz w:val="22"/>
          <w:szCs w:val="22"/>
          <w:lang w:val="en-US"/>
        </w:rPr>
      </w:pPr>
      <w:r w:rsidRPr="006033A4">
        <w:rPr>
          <w:rFonts w:asciiTheme="minorHAnsi" w:hAnsiTheme="minorHAnsi" w:cstheme="minorHAnsi"/>
          <w:b/>
          <w:bCs/>
          <w:sz w:val="22"/>
          <w:szCs w:val="22"/>
          <w:lang w:val="en-US"/>
        </w:rPr>
        <w:t>Location</w:t>
      </w:r>
      <w:r w:rsidR="00093B2C" w:rsidRPr="006033A4">
        <w:rPr>
          <w:rFonts w:asciiTheme="minorHAnsi" w:hAnsiTheme="minorHAnsi" w:cstheme="minorHAnsi"/>
          <w:b/>
          <w:bCs/>
          <w:sz w:val="22"/>
          <w:szCs w:val="22"/>
          <w:lang w:val="en-US"/>
        </w:rPr>
        <w:t xml:space="preserve">: </w:t>
      </w:r>
      <w:r w:rsidR="003D1E87" w:rsidRPr="006033A4">
        <w:rPr>
          <w:rFonts w:asciiTheme="minorHAnsi" w:hAnsiTheme="minorHAnsi" w:cstheme="minorHAnsi"/>
          <w:b/>
          <w:bCs/>
          <w:sz w:val="22"/>
          <w:szCs w:val="22"/>
          <w:lang w:val="en-US"/>
        </w:rPr>
        <w:t>Tbilisi Georgia</w:t>
      </w:r>
    </w:p>
    <w:p w:rsidR="0028355B" w:rsidRPr="006033A4" w:rsidRDefault="0028355B" w:rsidP="0081022C">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cstheme="minorHAnsi"/>
          <w:b/>
          <w:bCs/>
          <w:sz w:val="22"/>
          <w:szCs w:val="22"/>
          <w:lang w:val="en-US"/>
        </w:rPr>
      </w:pPr>
      <w:r w:rsidRPr="006033A4">
        <w:rPr>
          <w:rFonts w:asciiTheme="minorHAnsi" w:hAnsiTheme="minorHAnsi" w:cstheme="minorHAnsi"/>
          <w:b/>
          <w:bCs/>
          <w:sz w:val="22"/>
          <w:szCs w:val="22"/>
          <w:lang w:val="en-US"/>
        </w:rPr>
        <w:t>Audience:</w:t>
      </w:r>
      <w:r w:rsidR="003D1E87" w:rsidRPr="006033A4">
        <w:rPr>
          <w:rFonts w:asciiTheme="minorHAnsi" w:hAnsiTheme="minorHAnsi" w:cstheme="minorHAnsi"/>
          <w:b/>
          <w:bCs/>
          <w:sz w:val="22"/>
          <w:szCs w:val="22"/>
          <w:lang w:val="en-US"/>
        </w:rPr>
        <w:t xml:space="preserve"> Regional Government Representatives</w:t>
      </w:r>
    </w:p>
    <w:p w:rsidR="00B16E9C" w:rsidRPr="006033A4" w:rsidRDefault="00B16E9C" w:rsidP="0081022C">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cstheme="minorHAnsi"/>
          <w:b/>
          <w:sz w:val="22"/>
          <w:szCs w:val="22"/>
        </w:rPr>
      </w:pPr>
      <w:r w:rsidRPr="006033A4">
        <w:rPr>
          <w:rFonts w:asciiTheme="minorHAnsi" w:hAnsiTheme="minorHAnsi" w:cstheme="minorHAnsi"/>
          <w:b/>
          <w:sz w:val="22"/>
          <w:szCs w:val="22"/>
        </w:rPr>
        <w:t xml:space="preserve">Overview and </w:t>
      </w:r>
      <w:r w:rsidR="00A35D65" w:rsidRPr="006033A4">
        <w:rPr>
          <w:rFonts w:asciiTheme="minorHAnsi" w:hAnsiTheme="minorHAnsi" w:cstheme="minorHAnsi"/>
          <w:b/>
          <w:sz w:val="22"/>
          <w:szCs w:val="22"/>
        </w:rPr>
        <w:t>Key Issues Discussed</w:t>
      </w:r>
      <w:r w:rsidR="005C56F1" w:rsidRPr="006033A4">
        <w:rPr>
          <w:rFonts w:asciiTheme="minorHAnsi" w:hAnsiTheme="minorHAnsi" w:cstheme="minorHAnsi"/>
          <w:b/>
          <w:sz w:val="22"/>
          <w:szCs w:val="22"/>
        </w:rPr>
        <w:t>:</w:t>
      </w:r>
      <w:r w:rsidRPr="006033A4">
        <w:rPr>
          <w:rFonts w:asciiTheme="minorHAnsi" w:hAnsiTheme="minorHAnsi" w:cstheme="minorHAnsi"/>
          <w:b/>
          <w:sz w:val="22"/>
          <w:szCs w:val="22"/>
        </w:rPr>
        <w:t xml:space="preserve"> </w:t>
      </w:r>
    </w:p>
    <w:p w:rsidR="003D1E87" w:rsidRPr="006033A4" w:rsidRDefault="003D1E87" w:rsidP="0081022C">
      <w:pPr>
        <w:spacing w:line="240" w:lineRule="auto"/>
        <w:jc w:val="left"/>
        <w:rPr>
          <w:rFonts w:asciiTheme="minorHAnsi" w:hAnsiTheme="minorHAnsi" w:cstheme="minorHAnsi"/>
          <w:sz w:val="22"/>
          <w:szCs w:val="22"/>
        </w:rPr>
      </w:pPr>
      <w:r w:rsidRPr="006033A4">
        <w:rPr>
          <w:rFonts w:asciiTheme="minorHAnsi" w:hAnsiTheme="minorHAnsi" w:cstheme="minorHAnsi"/>
          <w:sz w:val="22"/>
          <w:szCs w:val="22"/>
        </w:rPr>
        <w:t xml:space="preserve">Bank representatives welcomed the participants present in Georgia and via videoconference from Azerbaijan and Moldova. They provided an </w:t>
      </w:r>
      <w:hyperlink r:id="rId13" w:history="1">
        <w:r w:rsidRPr="006033A4">
          <w:rPr>
            <w:rStyle w:val="Hyperlink"/>
            <w:rFonts w:asciiTheme="minorHAnsi" w:hAnsiTheme="minorHAnsi" w:cstheme="minorHAnsi"/>
            <w:sz w:val="22"/>
            <w:szCs w:val="22"/>
          </w:rPr>
          <w:t>overview</w:t>
        </w:r>
      </w:hyperlink>
      <w:r w:rsidRPr="006033A4">
        <w:rPr>
          <w:rFonts w:asciiTheme="minorHAnsi" w:hAnsiTheme="minorHAnsi" w:cstheme="minorHAnsi"/>
          <w:sz w:val="22"/>
          <w:szCs w:val="22"/>
        </w:rPr>
        <w:t xml:space="preserve"> of the process undertaken to date on the review and update of the policies and presented the draft “Environmental and Social Framework: Setting Standards for Sustainable Development.” Participants were then invited to ask questions and to express their views.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B16E9C" w:rsidRPr="006033A4" w:rsidTr="0081022C">
        <w:tc>
          <w:tcPr>
            <w:tcW w:w="9360" w:type="dxa"/>
            <w:shd w:val="clear" w:color="auto" w:fill="DBE5F1" w:themeFill="accent1" w:themeFillTint="33"/>
            <w:tcMar>
              <w:top w:w="29" w:type="dxa"/>
              <w:bottom w:w="29" w:type="dxa"/>
            </w:tcMar>
          </w:tcPr>
          <w:p w:rsidR="00B16E9C" w:rsidRPr="006033A4" w:rsidRDefault="00A35D65" w:rsidP="0081022C">
            <w:pPr>
              <w:pStyle w:val="BodyText2"/>
              <w:snapToGrid w:val="0"/>
              <w:spacing w:line="240" w:lineRule="auto"/>
              <w:ind w:right="0"/>
              <w:jc w:val="left"/>
              <w:rPr>
                <w:rFonts w:asciiTheme="minorHAnsi" w:eastAsia="Batang" w:hAnsiTheme="minorHAnsi" w:cstheme="minorHAnsi"/>
                <w:b/>
                <w:color w:val="auto"/>
                <w:sz w:val="22"/>
                <w:szCs w:val="22"/>
              </w:rPr>
            </w:pPr>
            <w:r w:rsidRPr="006033A4">
              <w:rPr>
                <w:rFonts w:asciiTheme="minorHAnsi" w:eastAsia="Batang" w:hAnsiTheme="minorHAnsi" w:cstheme="minorHAnsi"/>
                <w:b/>
                <w:color w:val="auto"/>
                <w:sz w:val="22"/>
                <w:szCs w:val="22"/>
              </w:rPr>
              <w:t xml:space="preserve">Specific </w:t>
            </w:r>
            <w:r w:rsidR="00B16E9C" w:rsidRPr="006033A4">
              <w:rPr>
                <w:rFonts w:asciiTheme="minorHAnsi" w:eastAsia="Batang" w:hAnsiTheme="minorHAnsi" w:cstheme="minorHAnsi"/>
                <w:b/>
                <w:color w:val="auto"/>
                <w:sz w:val="22"/>
                <w:szCs w:val="22"/>
              </w:rPr>
              <w:t>Feedback from Stakeholders</w:t>
            </w:r>
          </w:p>
        </w:tc>
      </w:tr>
      <w:tr w:rsidR="0013530E" w:rsidRPr="006033A4" w:rsidTr="0081022C">
        <w:tblPrEx>
          <w:tblCellMar>
            <w:left w:w="0" w:type="dxa"/>
            <w:right w:w="0" w:type="dxa"/>
          </w:tblCellMar>
        </w:tblPrEx>
        <w:tc>
          <w:tcPr>
            <w:tcW w:w="9360" w:type="dxa"/>
            <w:shd w:val="clear" w:color="auto" w:fill="DBE5F1" w:themeFill="accent1" w:themeFillTint="33"/>
            <w:tcMar>
              <w:top w:w="29" w:type="dxa"/>
              <w:bottom w:w="29" w:type="dxa"/>
            </w:tcMar>
          </w:tcPr>
          <w:p w:rsidR="0013530E" w:rsidRPr="006033A4" w:rsidRDefault="008B074D" w:rsidP="0081022C">
            <w:pPr>
              <w:pStyle w:val="ListParagraph"/>
              <w:numPr>
                <w:ilvl w:val="0"/>
                <w:numId w:val="30"/>
              </w:numPr>
              <w:snapToGrid w:val="0"/>
              <w:spacing w:after="0" w:line="240" w:lineRule="auto"/>
              <w:ind w:left="540" w:right="180"/>
              <w:contextualSpacing w:val="0"/>
              <w:jc w:val="left"/>
              <w:rPr>
                <w:rFonts w:asciiTheme="minorHAnsi" w:eastAsia="Batang" w:hAnsiTheme="minorHAnsi" w:cstheme="minorHAnsi"/>
                <w:b/>
                <w:sz w:val="22"/>
                <w:szCs w:val="22"/>
              </w:rPr>
            </w:pPr>
            <w:r w:rsidRPr="006033A4">
              <w:rPr>
                <w:rFonts w:asciiTheme="minorHAnsi" w:hAnsiTheme="minorHAnsi" w:cstheme="minorHAnsi"/>
                <w:b/>
                <w:bCs/>
                <w:sz w:val="22"/>
                <w:szCs w:val="22"/>
              </w:rPr>
              <w:t>General Comments</w:t>
            </w:r>
          </w:p>
        </w:tc>
      </w:tr>
      <w:tr w:rsidR="002E23E9" w:rsidRPr="006033A4" w:rsidTr="0081022C">
        <w:tc>
          <w:tcPr>
            <w:tcW w:w="9360" w:type="dxa"/>
            <w:shd w:val="clear" w:color="auto" w:fill="auto"/>
            <w:tcMar>
              <w:top w:w="29" w:type="dxa"/>
              <w:bottom w:w="29" w:type="dxa"/>
            </w:tcMar>
          </w:tcPr>
          <w:p w:rsidR="003D1E87" w:rsidRPr="006033A4" w:rsidRDefault="003D1E87" w:rsidP="0081022C">
            <w:pPr>
              <w:spacing w:after="0" w:line="240" w:lineRule="auto"/>
              <w:jc w:val="left"/>
              <w:rPr>
                <w:rFonts w:asciiTheme="minorHAnsi" w:hAnsiTheme="minorHAnsi" w:cstheme="minorHAnsi"/>
                <w:i/>
                <w:sz w:val="22"/>
                <w:szCs w:val="22"/>
              </w:rPr>
            </w:pPr>
            <w:r w:rsidRPr="006033A4">
              <w:rPr>
                <w:rFonts w:asciiTheme="minorHAnsi" w:hAnsiTheme="minorHAnsi" w:cstheme="minorHAnsi"/>
                <w:i/>
                <w:sz w:val="22"/>
                <w:szCs w:val="22"/>
              </w:rPr>
              <w:t>Clarifications:</w:t>
            </w:r>
          </w:p>
          <w:p w:rsidR="0028355B" w:rsidRPr="006033A4" w:rsidRDefault="003D1E87" w:rsidP="0081022C">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 xml:space="preserve">A participant sought clarification on similarities and differences between the new Framework and EU guidelines and how these would be harmonized. </w:t>
            </w:r>
          </w:p>
        </w:tc>
      </w:tr>
      <w:tr w:rsidR="00A840E8" w:rsidRPr="006033A4" w:rsidTr="0081022C">
        <w:tblPrEx>
          <w:tblCellMar>
            <w:left w:w="0" w:type="dxa"/>
            <w:right w:w="0" w:type="dxa"/>
          </w:tblCellMar>
        </w:tblPrEx>
        <w:tc>
          <w:tcPr>
            <w:tcW w:w="9360" w:type="dxa"/>
            <w:shd w:val="clear" w:color="auto" w:fill="DBE5F1" w:themeFill="accent1" w:themeFillTint="33"/>
            <w:tcMar>
              <w:top w:w="29" w:type="dxa"/>
              <w:bottom w:w="29" w:type="dxa"/>
            </w:tcMar>
          </w:tcPr>
          <w:p w:rsidR="00A840E8" w:rsidRPr="006033A4" w:rsidRDefault="008B074D" w:rsidP="0081022C">
            <w:pPr>
              <w:numPr>
                <w:ilvl w:val="0"/>
                <w:numId w:val="30"/>
              </w:numPr>
              <w:snapToGrid w:val="0"/>
              <w:spacing w:after="0" w:line="240" w:lineRule="auto"/>
              <w:ind w:left="540" w:right="180"/>
              <w:jc w:val="left"/>
              <w:rPr>
                <w:rFonts w:asciiTheme="minorHAnsi" w:eastAsia="Batang" w:hAnsiTheme="minorHAnsi" w:cstheme="minorHAnsi"/>
                <w:b/>
                <w:i/>
                <w:iCs/>
                <w:sz w:val="22"/>
                <w:szCs w:val="22"/>
              </w:rPr>
            </w:pPr>
            <w:r w:rsidRPr="006033A4">
              <w:rPr>
                <w:rFonts w:asciiTheme="minorHAnsi" w:eastAsia="Batang" w:hAnsiTheme="minorHAnsi" w:cstheme="minorHAnsi"/>
                <w:b/>
                <w:bCs/>
                <w:i/>
                <w:iCs/>
                <w:sz w:val="22"/>
                <w:szCs w:val="22"/>
              </w:rPr>
              <w:t>A Vision for Sustainable Development</w:t>
            </w:r>
          </w:p>
        </w:tc>
      </w:tr>
      <w:tr w:rsidR="002E23E9" w:rsidRPr="006033A4" w:rsidTr="0081022C">
        <w:tc>
          <w:tcPr>
            <w:tcW w:w="9360" w:type="dxa"/>
            <w:shd w:val="clear" w:color="auto" w:fill="auto"/>
            <w:tcMar>
              <w:top w:w="29" w:type="dxa"/>
              <w:bottom w:w="29" w:type="dxa"/>
            </w:tcMar>
          </w:tcPr>
          <w:p w:rsidR="002E23E9" w:rsidRPr="006033A4" w:rsidRDefault="002E23E9" w:rsidP="0081022C">
            <w:pPr>
              <w:spacing w:after="0" w:line="240" w:lineRule="auto"/>
              <w:jc w:val="left"/>
              <w:rPr>
                <w:rFonts w:asciiTheme="minorHAnsi" w:hAnsiTheme="minorHAnsi" w:cstheme="minorHAnsi"/>
                <w:sz w:val="22"/>
                <w:szCs w:val="22"/>
              </w:rPr>
            </w:pPr>
          </w:p>
        </w:tc>
      </w:tr>
      <w:tr w:rsidR="00941C03" w:rsidRPr="006033A4" w:rsidTr="0081022C">
        <w:tblPrEx>
          <w:tblCellMar>
            <w:left w:w="0" w:type="dxa"/>
            <w:right w:w="0" w:type="dxa"/>
          </w:tblCellMar>
        </w:tblPrEx>
        <w:tc>
          <w:tcPr>
            <w:tcW w:w="9360" w:type="dxa"/>
            <w:shd w:val="clear" w:color="auto" w:fill="DBE5F1" w:themeFill="accent1" w:themeFillTint="33"/>
            <w:tcMar>
              <w:top w:w="29" w:type="dxa"/>
              <w:bottom w:w="29" w:type="dxa"/>
            </w:tcMar>
          </w:tcPr>
          <w:p w:rsidR="00941C03" w:rsidRPr="006033A4" w:rsidRDefault="008B074D" w:rsidP="0081022C">
            <w:pPr>
              <w:numPr>
                <w:ilvl w:val="0"/>
                <w:numId w:val="30"/>
              </w:numPr>
              <w:snapToGrid w:val="0"/>
              <w:spacing w:after="0" w:line="240" w:lineRule="auto"/>
              <w:ind w:left="540" w:right="180"/>
              <w:jc w:val="left"/>
              <w:rPr>
                <w:rFonts w:asciiTheme="minorHAnsi" w:eastAsia="Batang" w:hAnsiTheme="minorHAnsi" w:cstheme="minorHAnsi"/>
                <w:b/>
                <w:bCs/>
                <w:sz w:val="22"/>
                <w:szCs w:val="22"/>
              </w:rPr>
            </w:pPr>
            <w:r w:rsidRPr="006033A4">
              <w:rPr>
                <w:rFonts w:asciiTheme="minorHAnsi" w:hAnsiTheme="minorHAnsi" w:cstheme="minorHAnsi"/>
                <w:b/>
                <w:bCs/>
                <w:i/>
                <w:sz w:val="22"/>
                <w:szCs w:val="22"/>
              </w:rPr>
              <w:t>World Bank Environmental and Social Policy</w:t>
            </w:r>
          </w:p>
        </w:tc>
      </w:tr>
      <w:tr w:rsidR="002E23E9" w:rsidRPr="006033A4" w:rsidTr="0081022C">
        <w:tc>
          <w:tcPr>
            <w:tcW w:w="9360" w:type="dxa"/>
            <w:shd w:val="clear" w:color="auto" w:fill="auto"/>
            <w:tcMar>
              <w:top w:w="29" w:type="dxa"/>
              <w:bottom w:w="29" w:type="dxa"/>
            </w:tcMar>
          </w:tcPr>
          <w:p w:rsidR="003D1E87" w:rsidRPr="006033A4" w:rsidRDefault="003D1E87" w:rsidP="0081022C">
            <w:pPr>
              <w:spacing w:after="0" w:line="240" w:lineRule="auto"/>
              <w:jc w:val="left"/>
              <w:rPr>
                <w:rFonts w:asciiTheme="minorHAnsi" w:hAnsiTheme="minorHAnsi" w:cstheme="minorHAnsi"/>
                <w:b/>
                <w:sz w:val="22"/>
                <w:szCs w:val="22"/>
              </w:rPr>
            </w:pPr>
            <w:r w:rsidRPr="006033A4">
              <w:rPr>
                <w:rFonts w:asciiTheme="minorHAnsi" w:hAnsiTheme="minorHAnsi" w:cstheme="minorHAnsi"/>
                <w:b/>
                <w:sz w:val="22"/>
                <w:szCs w:val="22"/>
              </w:rPr>
              <w:t xml:space="preserve">Environmental and Social Policy </w:t>
            </w:r>
          </w:p>
          <w:p w:rsidR="003D1E87" w:rsidRPr="006033A4" w:rsidRDefault="003D1E87" w:rsidP="0081022C">
            <w:pPr>
              <w:spacing w:after="0" w:line="240" w:lineRule="auto"/>
              <w:jc w:val="left"/>
              <w:rPr>
                <w:rFonts w:asciiTheme="minorHAnsi" w:hAnsiTheme="minorHAnsi" w:cstheme="minorHAnsi"/>
                <w:i/>
                <w:sz w:val="22"/>
                <w:szCs w:val="22"/>
              </w:rPr>
            </w:pPr>
            <w:r w:rsidRPr="006033A4">
              <w:rPr>
                <w:rFonts w:asciiTheme="minorHAnsi" w:hAnsiTheme="minorHAnsi" w:cstheme="minorHAnsi"/>
                <w:i/>
                <w:sz w:val="22"/>
                <w:szCs w:val="22"/>
              </w:rPr>
              <w:t xml:space="preserve">Clarifications: </w:t>
            </w:r>
          </w:p>
          <w:p w:rsidR="002E23E9" w:rsidRPr="006033A4" w:rsidRDefault="003D1E87" w:rsidP="0081022C">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When EBRD recently updated its E&amp;S Policy it deleted the requirement for a Strategic Environmental and Social Assessment (SESA) prior to preparation of a project and replaced it with the “lower key” concept of a Strategic Environmental and Social Review. Clarification was sought on what would be required, if anything, under the Bank’s Framework.</w:t>
            </w:r>
          </w:p>
        </w:tc>
      </w:tr>
      <w:tr w:rsidR="00173E2F" w:rsidRPr="006033A4" w:rsidTr="0081022C">
        <w:tblPrEx>
          <w:tblCellMar>
            <w:left w:w="0" w:type="dxa"/>
            <w:right w:w="0" w:type="dxa"/>
          </w:tblCellMar>
        </w:tblPrEx>
        <w:tc>
          <w:tcPr>
            <w:tcW w:w="9360" w:type="dxa"/>
            <w:shd w:val="clear" w:color="auto" w:fill="DBE5F1" w:themeFill="accent1" w:themeFillTint="33"/>
            <w:tcMar>
              <w:top w:w="29" w:type="dxa"/>
              <w:bottom w:w="29" w:type="dxa"/>
            </w:tcMar>
          </w:tcPr>
          <w:p w:rsidR="00173E2F" w:rsidRPr="006033A4" w:rsidRDefault="008B074D" w:rsidP="0081022C">
            <w:pPr>
              <w:numPr>
                <w:ilvl w:val="0"/>
                <w:numId w:val="30"/>
              </w:numPr>
              <w:snapToGrid w:val="0"/>
              <w:spacing w:after="0" w:line="240" w:lineRule="auto"/>
              <w:ind w:left="540" w:right="180"/>
              <w:jc w:val="left"/>
              <w:rPr>
                <w:rFonts w:asciiTheme="minorHAnsi" w:eastAsia="Batang" w:hAnsiTheme="minorHAnsi" w:cstheme="minorHAnsi"/>
                <w:b/>
                <w:bCs/>
                <w:i/>
                <w:iCs/>
                <w:sz w:val="22"/>
                <w:szCs w:val="22"/>
              </w:rPr>
            </w:pPr>
            <w:r w:rsidRPr="006033A4">
              <w:rPr>
                <w:rFonts w:asciiTheme="minorHAnsi" w:eastAsia="Batang" w:hAnsiTheme="minorHAnsi" w:cstheme="minorHAnsi"/>
                <w:sz w:val="22"/>
                <w:szCs w:val="22"/>
              </w:rPr>
              <w:t xml:space="preserve"> </w:t>
            </w:r>
            <w:r w:rsidRPr="006033A4">
              <w:rPr>
                <w:rFonts w:asciiTheme="minorHAnsi" w:eastAsia="Batang" w:hAnsiTheme="minorHAnsi" w:cstheme="minorHAnsi"/>
                <w:b/>
                <w:bCs/>
                <w:i/>
                <w:iCs/>
                <w:sz w:val="22"/>
                <w:szCs w:val="22"/>
              </w:rPr>
              <w:t>Environmental and Social Standard 1 (ESS1): Assessment and Management of Environmental and Social Risks and Impacts</w:t>
            </w:r>
          </w:p>
        </w:tc>
      </w:tr>
      <w:tr w:rsidR="002E23E9" w:rsidRPr="006033A4" w:rsidTr="0081022C">
        <w:tc>
          <w:tcPr>
            <w:tcW w:w="9360" w:type="dxa"/>
            <w:shd w:val="clear" w:color="auto" w:fill="auto"/>
            <w:tcMar>
              <w:top w:w="29" w:type="dxa"/>
              <w:bottom w:w="29" w:type="dxa"/>
            </w:tcMar>
          </w:tcPr>
          <w:p w:rsidR="003D1E87" w:rsidRPr="006033A4" w:rsidRDefault="003D1E87" w:rsidP="0081022C">
            <w:pPr>
              <w:spacing w:after="0" w:line="240" w:lineRule="auto"/>
              <w:jc w:val="left"/>
              <w:rPr>
                <w:rFonts w:asciiTheme="minorHAnsi" w:hAnsiTheme="minorHAnsi" w:cstheme="minorHAnsi"/>
                <w:b/>
                <w:sz w:val="22"/>
                <w:szCs w:val="22"/>
              </w:rPr>
            </w:pPr>
            <w:r w:rsidRPr="006033A4">
              <w:rPr>
                <w:rFonts w:asciiTheme="minorHAnsi" w:hAnsiTheme="minorHAnsi" w:cstheme="minorHAnsi"/>
                <w:i/>
                <w:sz w:val="22"/>
                <w:szCs w:val="22"/>
              </w:rPr>
              <w:t>Clarifications:</w:t>
            </w:r>
          </w:p>
          <w:p w:rsidR="003D1E87" w:rsidRPr="006033A4" w:rsidRDefault="003D1E87" w:rsidP="0081022C">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 xml:space="preserve">A participant sought clarification regarding reliance on national systems. To date, World Bank policies have prevailed. If there is a difference between Bank and Borrower requirements, clarity is needed on what steps will be taken. </w:t>
            </w:r>
          </w:p>
          <w:p w:rsidR="003D1E87" w:rsidRPr="006033A4" w:rsidRDefault="003D1E87" w:rsidP="0081022C">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 xml:space="preserve">Clarification was sought on the place strategic or sectoral environmental and social assessment would have in the new Framework. </w:t>
            </w:r>
          </w:p>
          <w:p w:rsidR="003D1E87" w:rsidRPr="006033A4" w:rsidRDefault="003D1E87" w:rsidP="0081022C">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 xml:space="preserve">A participant sought clarifications on the ESCP, in particular, how it would be implemented over time, what management responsibility there would be, and whether it would be regional, national or program specific. </w:t>
            </w:r>
          </w:p>
          <w:p w:rsidR="003D1E87" w:rsidRPr="006033A4" w:rsidRDefault="003D1E87" w:rsidP="0081022C">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lastRenderedPageBreak/>
              <w:t>Clarification was also sought on what status the ESCP would have, and by whom it would be adopted.</w:t>
            </w:r>
          </w:p>
          <w:p w:rsidR="003D1E87" w:rsidRPr="006033A4" w:rsidRDefault="003D1E87" w:rsidP="0081022C">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 xml:space="preserve">Clarification was sought on who would have responsibility for preparation of the ESCP. </w:t>
            </w:r>
          </w:p>
          <w:p w:rsidR="003D1E87" w:rsidRPr="006033A4" w:rsidRDefault="003D1E87" w:rsidP="0081022C">
            <w:pPr>
              <w:spacing w:after="0" w:line="240" w:lineRule="auto"/>
              <w:jc w:val="left"/>
              <w:rPr>
                <w:rFonts w:asciiTheme="minorHAnsi" w:hAnsiTheme="minorHAnsi" w:cstheme="minorHAnsi"/>
                <w:i/>
                <w:sz w:val="22"/>
                <w:szCs w:val="22"/>
              </w:rPr>
            </w:pPr>
            <w:r w:rsidRPr="006033A4">
              <w:rPr>
                <w:rFonts w:asciiTheme="minorHAnsi" w:hAnsiTheme="minorHAnsi" w:cstheme="minorHAnsi"/>
                <w:i/>
                <w:sz w:val="22"/>
                <w:szCs w:val="22"/>
              </w:rPr>
              <w:t>Recommendations:</w:t>
            </w:r>
          </w:p>
          <w:p w:rsidR="002E23E9" w:rsidRPr="006033A4" w:rsidRDefault="003D1E87" w:rsidP="0081022C">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There is a need for guidelines for preparation of the ESCP.</w:t>
            </w:r>
          </w:p>
        </w:tc>
      </w:tr>
      <w:tr w:rsidR="002717AA" w:rsidRPr="006033A4" w:rsidTr="0081022C">
        <w:tblPrEx>
          <w:tblCellMar>
            <w:left w:w="0" w:type="dxa"/>
            <w:right w:w="0" w:type="dxa"/>
          </w:tblCellMar>
        </w:tblPrEx>
        <w:tc>
          <w:tcPr>
            <w:tcW w:w="9360" w:type="dxa"/>
            <w:shd w:val="clear" w:color="auto" w:fill="DBE5F1" w:themeFill="accent1" w:themeFillTint="33"/>
            <w:tcMar>
              <w:top w:w="29" w:type="dxa"/>
              <w:bottom w:w="29" w:type="dxa"/>
            </w:tcMar>
          </w:tcPr>
          <w:p w:rsidR="002717AA" w:rsidRPr="006033A4" w:rsidRDefault="008B074D" w:rsidP="0081022C">
            <w:pPr>
              <w:numPr>
                <w:ilvl w:val="0"/>
                <w:numId w:val="30"/>
              </w:numPr>
              <w:snapToGrid w:val="0"/>
              <w:spacing w:after="0" w:line="240" w:lineRule="auto"/>
              <w:ind w:left="540" w:right="180"/>
              <w:jc w:val="left"/>
              <w:rPr>
                <w:rFonts w:asciiTheme="minorHAnsi" w:eastAsia="Batang" w:hAnsiTheme="minorHAnsi" w:cstheme="minorHAnsi"/>
                <w:sz w:val="22"/>
                <w:szCs w:val="22"/>
              </w:rPr>
            </w:pPr>
            <w:r w:rsidRPr="006033A4">
              <w:rPr>
                <w:rFonts w:asciiTheme="minorHAnsi" w:eastAsia="Batang" w:hAnsiTheme="minorHAnsi" w:cstheme="minorHAnsi"/>
                <w:b/>
                <w:bCs/>
                <w:i/>
                <w:iCs/>
                <w:sz w:val="22"/>
                <w:szCs w:val="22"/>
              </w:rPr>
              <w:lastRenderedPageBreak/>
              <w:t>Environmental and Social Standard 2 (ESS2): Labor and Working Conditions</w:t>
            </w:r>
          </w:p>
        </w:tc>
      </w:tr>
      <w:tr w:rsidR="002E23E9" w:rsidRPr="006033A4" w:rsidTr="0081022C">
        <w:tc>
          <w:tcPr>
            <w:tcW w:w="9360" w:type="dxa"/>
            <w:shd w:val="clear" w:color="auto" w:fill="auto"/>
            <w:tcMar>
              <w:top w:w="29" w:type="dxa"/>
              <w:bottom w:w="29" w:type="dxa"/>
            </w:tcMar>
          </w:tcPr>
          <w:p w:rsidR="002E23E9" w:rsidRPr="006033A4" w:rsidRDefault="002E23E9" w:rsidP="0081022C">
            <w:pPr>
              <w:spacing w:after="0" w:line="240" w:lineRule="auto"/>
              <w:jc w:val="left"/>
              <w:rPr>
                <w:rFonts w:asciiTheme="minorHAnsi" w:hAnsiTheme="minorHAnsi" w:cstheme="minorHAnsi"/>
                <w:sz w:val="22"/>
                <w:szCs w:val="22"/>
              </w:rPr>
            </w:pPr>
          </w:p>
        </w:tc>
      </w:tr>
      <w:tr w:rsidR="002A7906" w:rsidRPr="006033A4" w:rsidTr="0081022C">
        <w:tblPrEx>
          <w:tblCellMar>
            <w:left w:w="0" w:type="dxa"/>
            <w:right w:w="0" w:type="dxa"/>
          </w:tblCellMar>
        </w:tblPrEx>
        <w:tc>
          <w:tcPr>
            <w:tcW w:w="9360" w:type="dxa"/>
            <w:shd w:val="clear" w:color="auto" w:fill="DBE5F1" w:themeFill="accent1" w:themeFillTint="33"/>
            <w:tcMar>
              <w:top w:w="29" w:type="dxa"/>
              <w:bottom w:w="29" w:type="dxa"/>
            </w:tcMar>
          </w:tcPr>
          <w:p w:rsidR="002A7906" w:rsidRPr="006033A4" w:rsidRDefault="008B074D" w:rsidP="0081022C">
            <w:pPr>
              <w:numPr>
                <w:ilvl w:val="0"/>
                <w:numId w:val="30"/>
              </w:numPr>
              <w:snapToGrid w:val="0"/>
              <w:spacing w:after="0" w:line="240" w:lineRule="auto"/>
              <w:ind w:left="540" w:right="180"/>
              <w:jc w:val="left"/>
              <w:rPr>
                <w:rFonts w:asciiTheme="minorHAnsi" w:eastAsia="Batang" w:hAnsiTheme="minorHAnsi" w:cstheme="minorHAnsi"/>
                <w:sz w:val="22"/>
                <w:szCs w:val="22"/>
              </w:rPr>
            </w:pPr>
            <w:r w:rsidRPr="006033A4">
              <w:rPr>
                <w:rFonts w:asciiTheme="minorHAnsi" w:eastAsia="Batang" w:hAnsiTheme="minorHAnsi" w:cstheme="minorHAnsi"/>
                <w:b/>
                <w:bCs/>
                <w:i/>
                <w:iCs/>
                <w:sz w:val="22"/>
                <w:szCs w:val="22"/>
              </w:rPr>
              <w:t xml:space="preserve">Environmental and Social Standard 3 (ESS3): </w:t>
            </w:r>
            <w:proofErr w:type="spellStart"/>
            <w:r w:rsidRPr="006033A4">
              <w:rPr>
                <w:rFonts w:asciiTheme="minorHAnsi" w:eastAsia="Batang" w:hAnsiTheme="minorHAnsi" w:cstheme="minorHAnsi"/>
                <w:b/>
                <w:bCs/>
                <w:i/>
                <w:iCs/>
                <w:sz w:val="22"/>
                <w:szCs w:val="22"/>
              </w:rPr>
              <w:t>Resoure</w:t>
            </w:r>
            <w:proofErr w:type="spellEnd"/>
            <w:r w:rsidRPr="006033A4">
              <w:rPr>
                <w:rFonts w:asciiTheme="minorHAnsi" w:eastAsia="Batang" w:hAnsiTheme="minorHAnsi" w:cstheme="minorHAnsi"/>
                <w:b/>
                <w:bCs/>
                <w:i/>
                <w:iCs/>
                <w:sz w:val="22"/>
                <w:szCs w:val="22"/>
              </w:rPr>
              <w:t xml:space="preserve"> Efficiency and Pollution Prevention</w:t>
            </w:r>
          </w:p>
        </w:tc>
      </w:tr>
      <w:tr w:rsidR="002E23E9" w:rsidRPr="006033A4" w:rsidTr="0081022C">
        <w:tc>
          <w:tcPr>
            <w:tcW w:w="9360" w:type="dxa"/>
            <w:shd w:val="clear" w:color="auto" w:fill="auto"/>
            <w:tcMar>
              <w:top w:w="29" w:type="dxa"/>
              <w:bottom w:w="29" w:type="dxa"/>
            </w:tcMar>
          </w:tcPr>
          <w:p w:rsidR="003D1E87" w:rsidRPr="006033A4" w:rsidRDefault="003D1E87" w:rsidP="0081022C">
            <w:pPr>
              <w:keepNext/>
              <w:keepLines/>
              <w:spacing w:after="0" w:line="240" w:lineRule="auto"/>
              <w:jc w:val="left"/>
              <w:rPr>
                <w:rFonts w:asciiTheme="minorHAnsi" w:hAnsiTheme="minorHAnsi" w:cstheme="minorHAnsi"/>
                <w:i/>
                <w:sz w:val="22"/>
                <w:szCs w:val="22"/>
              </w:rPr>
            </w:pPr>
            <w:r w:rsidRPr="006033A4">
              <w:rPr>
                <w:rFonts w:asciiTheme="minorHAnsi" w:hAnsiTheme="minorHAnsi" w:cstheme="minorHAnsi"/>
                <w:i/>
                <w:sz w:val="22"/>
                <w:szCs w:val="22"/>
              </w:rPr>
              <w:t xml:space="preserve">Recommendations: </w:t>
            </w:r>
          </w:p>
          <w:p w:rsidR="002E23E9" w:rsidRPr="006033A4" w:rsidRDefault="003D1E87" w:rsidP="0081022C">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 xml:space="preserve">There is not much information about non-hazardous municipal waste in the framework. Of course hazardous wastes are important, but non-hazardous municipal waste also is a problem. Establishing waste hierarchies is crucial for adequate management. Recommend that points be added to the standards regarding non-hazardous waste. </w:t>
            </w:r>
          </w:p>
        </w:tc>
      </w:tr>
      <w:tr w:rsidR="00594D12" w:rsidRPr="006033A4" w:rsidTr="0081022C">
        <w:tblPrEx>
          <w:tblCellMar>
            <w:left w:w="0" w:type="dxa"/>
            <w:right w:w="0" w:type="dxa"/>
          </w:tblCellMar>
        </w:tblPrEx>
        <w:tc>
          <w:tcPr>
            <w:tcW w:w="9360" w:type="dxa"/>
            <w:shd w:val="clear" w:color="auto" w:fill="DBE5F1" w:themeFill="accent1" w:themeFillTint="33"/>
            <w:tcMar>
              <w:top w:w="29" w:type="dxa"/>
              <w:bottom w:w="29" w:type="dxa"/>
            </w:tcMar>
          </w:tcPr>
          <w:p w:rsidR="00594D12" w:rsidRPr="006033A4" w:rsidRDefault="008B074D" w:rsidP="0081022C">
            <w:pPr>
              <w:numPr>
                <w:ilvl w:val="0"/>
                <w:numId w:val="30"/>
              </w:numPr>
              <w:snapToGrid w:val="0"/>
              <w:spacing w:after="0" w:line="240" w:lineRule="auto"/>
              <w:ind w:left="540" w:right="180"/>
              <w:jc w:val="left"/>
              <w:rPr>
                <w:rFonts w:asciiTheme="minorHAnsi" w:eastAsia="Batang" w:hAnsiTheme="minorHAnsi" w:cstheme="minorHAnsi"/>
                <w:sz w:val="22"/>
                <w:szCs w:val="22"/>
              </w:rPr>
            </w:pPr>
            <w:r w:rsidRPr="006033A4">
              <w:rPr>
                <w:rFonts w:asciiTheme="minorHAnsi" w:eastAsia="Batang" w:hAnsiTheme="minorHAnsi" w:cstheme="minorHAnsi"/>
                <w:b/>
                <w:bCs/>
                <w:i/>
                <w:iCs/>
                <w:sz w:val="22"/>
                <w:szCs w:val="22"/>
              </w:rPr>
              <w:t>Environmental and Social Standard 4 (ESS4): Community Health and Safety</w:t>
            </w:r>
          </w:p>
        </w:tc>
      </w:tr>
      <w:tr w:rsidR="002E23E9" w:rsidRPr="006033A4" w:rsidTr="0081022C">
        <w:tc>
          <w:tcPr>
            <w:tcW w:w="9360" w:type="dxa"/>
            <w:shd w:val="clear" w:color="auto" w:fill="auto"/>
            <w:tcMar>
              <w:top w:w="29" w:type="dxa"/>
              <w:bottom w:w="29" w:type="dxa"/>
            </w:tcMar>
          </w:tcPr>
          <w:p w:rsidR="002E23E9" w:rsidRPr="006033A4" w:rsidRDefault="002E23E9" w:rsidP="0081022C">
            <w:pPr>
              <w:spacing w:after="0" w:line="240" w:lineRule="auto"/>
              <w:jc w:val="left"/>
              <w:rPr>
                <w:rFonts w:asciiTheme="minorHAnsi" w:hAnsiTheme="minorHAnsi" w:cstheme="minorHAnsi"/>
                <w:sz w:val="22"/>
                <w:szCs w:val="22"/>
              </w:rPr>
            </w:pPr>
          </w:p>
        </w:tc>
      </w:tr>
      <w:tr w:rsidR="00A21FB6" w:rsidRPr="006033A4" w:rsidTr="0081022C">
        <w:tblPrEx>
          <w:tblCellMar>
            <w:left w:w="0" w:type="dxa"/>
            <w:right w:w="0" w:type="dxa"/>
          </w:tblCellMar>
        </w:tblPrEx>
        <w:tc>
          <w:tcPr>
            <w:tcW w:w="9360" w:type="dxa"/>
            <w:shd w:val="clear" w:color="auto" w:fill="DBE5F1" w:themeFill="accent1" w:themeFillTint="33"/>
            <w:tcMar>
              <w:top w:w="29" w:type="dxa"/>
              <w:bottom w:w="29" w:type="dxa"/>
            </w:tcMar>
          </w:tcPr>
          <w:p w:rsidR="00A21FB6" w:rsidRPr="006033A4" w:rsidRDefault="008B074D" w:rsidP="0081022C">
            <w:pPr>
              <w:numPr>
                <w:ilvl w:val="0"/>
                <w:numId w:val="30"/>
              </w:numPr>
              <w:snapToGrid w:val="0"/>
              <w:spacing w:after="0" w:line="240" w:lineRule="auto"/>
              <w:ind w:left="540"/>
              <w:jc w:val="left"/>
              <w:rPr>
                <w:rFonts w:asciiTheme="minorHAnsi" w:eastAsia="Batang" w:hAnsiTheme="minorHAnsi" w:cstheme="minorHAnsi"/>
                <w:sz w:val="22"/>
                <w:szCs w:val="22"/>
              </w:rPr>
            </w:pPr>
            <w:r w:rsidRPr="006033A4">
              <w:rPr>
                <w:rFonts w:asciiTheme="minorHAnsi" w:eastAsia="Batang" w:hAnsiTheme="minorHAnsi" w:cstheme="minorHAnsi"/>
                <w:b/>
                <w:bCs/>
                <w:i/>
                <w:iCs/>
                <w:sz w:val="22"/>
                <w:szCs w:val="22"/>
              </w:rPr>
              <w:t>Environmental and Social Standard 5 (ESS5): Land Acquisition, Restriction on Land Use and Involuntary Resettlement</w:t>
            </w:r>
          </w:p>
        </w:tc>
      </w:tr>
      <w:tr w:rsidR="002E23E9" w:rsidRPr="006033A4" w:rsidTr="0081022C">
        <w:tc>
          <w:tcPr>
            <w:tcW w:w="9360" w:type="dxa"/>
            <w:shd w:val="clear" w:color="auto" w:fill="auto"/>
            <w:tcMar>
              <w:top w:w="29" w:type="dxa"/>
              <w:bottom w:w="29" w:type="dxa"/>
            </w:tcMar>
          </w:tcPr>
          <w:p w:rsidR="003D1E87" w:rsidRPr="006033A4" w:rsidRDefault="003D1E87" w:rsidP="0081022C">
            <w:pPr>
              <w:spacing w:after="0" w:line="240" w:lineRule="auto"/>
              <w:jc w:val="left"/>
              <w:rPr>
                <w:rFonts w:asciiTheme="minorHAnsi" w:hAnsiTheme="minorHAnsi" w:cstheme="minorHAnsi"/>
                <w:b/>
                <w:sz w:val="22"/>
                <w:szCs w:val="22"/>
              </w:rPr>
            </w:pPr>
            <w:r w:rsidRPr="006033A4">
              <w:rPr>
                <w:rFonts w:asciiTheme="minorHAnsi" w:hAnsiTheme="minorHAnsi" w:cstheme="minorHAnsi"/>
                <w:i/>
                <w:sz w:val="22"/>
                <w:szCs w:val="22"/>
              </w:rPr>
              <w:t>Clarifications:</w:t>
            </w:r>
          </w:p>
          <w:p w:rsidR="002E23E9" w:rsidRPr="006033A4" w:rsidRDefault="003D1E87" w:rsidP="0081022C">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Clarification was sought on timing of preparation of resettlement action plans in the new framework.</w:t>
            </w:r>
          </w:p>
        </w:tc>
      </w:tr>
      <w:tr w:rsidR="002E23E9" w:rsidRPr="006033A4" w:rsidTr="0081022C">
        <w:tc>
          <w:tcPr>
            <w:tcW w:w="93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2E23E9" w:rsidRPr="006033A4" w:rsidRDefault="008B074D" w:rsidP="0081022C">
            <w:pPr>
              <w:numPr>
                <w:ilvl w:val="0"/>
                <w:numId w:val="30"/>
              </w:numPr>
              <w:snapToGrid w:val="0"/>
              <w:spacing w:after="0" w:line="240" w:lineRule="auto"/>
              <w:ind w:left="432"/>
              <w:jc w:val="left"/>
              <w:rPr>
                <w:rFonts w:asciiTheme="minorHAnsi" w:eastAsia="Batang" w:hAnsiTheme="minorHAnsi" w:cstheme="minorHAnsi"/>
                <w:b/>
                <w:sz w:val="22"/>
                <w:szCs w:val="22"/>
              </w:rPr>
            </w:pPr>
            <w:r w:rsidRPr="006033A4">
              <w:rPr>
                <w:rFonts w:asciiTheme="minorHAnsi" w:eastAsia="Batang" w:hAnsiTheme="minorHAnsi" w:cstheme="minorHAnsi"/>
                <w:b/>
                <w:bCs/>
                <w:i/>
                <w:iCs/>
                <w:sz w:val="22"/>
                <w:szCs w:val="22"/>
              </w:rPr>
              <w:t xml:space="preserve">Environmental and Social Standard 6 (ESS6): </w:t>
            </w:r>
            <w:r w:rsidR="0028355B" w:rsidRPr="006033A4">
              <w:rPr>
                <w:rFonts w:asciiTheme="minorHAnsi" w:eastAsia="Batang" w:hAnsiTheme="minorHAnsi" w:cstheme="minorHAnsi"/>
                <w:b/>
                <w:bCs/>
                <w:i/>
                <w:iCs/>
                <w:sz w:val="22"/>
                <w:szCs w:val="22"/>
              </w:rPr>
              <w:t>Biodiversity Conservation and Sustainable Management of Living Natural Resources</w:t>
            </w:r>
          </w:p>
        </w:tc>
      </w:tr>
      <w:tr w:rsidR="002E23E9" w:rsidRPr="006033A4" w:rsidTr="0081022C">
        <w:tc>
          <w:tcPr>
            <w:tcW w:w="936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3D1E87" w:rsidRPr="006033A4" w:rsidRDefault="003D1E87" w:rsidP="0081022C">
            <w:pPr>
              <w:spacing w:after="0" w:line="240" w:lineRule="auto"/>
              <w:jc w:val="left"/>
              <w:rPr>
                <w:rFonts w:asciiTheme="minorHAnsi" w:hAnsiTheme="minorHAnsi" w:cstheme="minorHAnsi"/>
                <w:i/>
                <w:sz w:val="22"/>
                <w:szCs w:val="22"/>
              </w:rPr>
            </w:pPr>
            <w:r w:rsidRPr="006033A4">
              <w:rPr>
                <w:rFonts w:asciiTheme="minorHAnsi" w:hAnsiTheme="minorHAnsi" w:cstheme="minorHAnsi"/>
                <w:i/>
                <w:sz w:val="22"/>
                <w:szCs w:val="22"/>
              </w:rPr>
              <w:t>Clarifications:</w:t>
            </w:r>
          </w:p>
          <w:p w:rsidR="003D1E87" w:rsidRPr="006033A4" w:rsidRDefault="003D1E87" w:rsidP="0081022C">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 xml:space="preserve">A participant sought clarification on the valuation of ecosystem services and noted that this was a sensitive issue, for example for forests, where there is no agreed methodology </w:t>
            </w:r>
          </w:p>
          <w:p w:rsidR="003D1E87" w:rsidRPr="006033A4" w:rsidRDefault="003D1E87" w:rsidP="0081022C">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Clarification was sought on how to define critical habitats and other sensitive areas.</w:t>
            </w:r>
          </w:p>
          <w:p w:rsidR="003D1E87" w:rsidRPr="006033A4" w:rsidRDefault="003D1E87" w:rsidP="0081022C">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 xml:space="preserve">Clarification was sought on difference between the Framework and the EU requirements, for example, whether habitat assessments would be required for projects affecting </w:t>
            </w:r>
            <w:proofErr w:type="spellStart"/>
            <w:r w:rsidRPr="006033A4">
              <w:rPr>
                <w:rFonts w:asciiTheme="minorHAnsi" w:hAnsiTheme="minorHAnsi" w:cstheme="minorHAnsi"/>
                <w:sz w:val="22"/>
                <w:szCs w:val="22"/>
              </w:rPr>
              <w:t>Natura</w:t>
            </w:r>
            <w:proofErr w:type="spellEnd"/>
            <w:r w:rsidRPr="006033A4">
              <w:rPr>
                <w:rFonts w:asciiTheme="minorHAnsi" w:hAnsiTheme="minorHAnsi" w:cstheme="minorHAnsi"/>
                <w:sz w:val="22"/>
                <w:szCs w:val="22"/>
              </w:rPr>
              <w:t xml:space="preserve"> 2000 areas (or, in the case of EU candidates/neighbors such as Georgia, in “Emerald Network” areas).</w:t>
            </w:r>
          </w:p>
          <w:p w:rsidR="003D1E87" w:rsidRPr="006033A4" w:rsidRDefault="003D1E87" w:rsidP="0081022C">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 xml:space="preserve">A participant sought clarification on whether the World Bank ESS6 would include the concept of “no-go” areas. </w:t>
            </w:r>
          </w:p>
          <w:p w:rsidR="003D1E87" w:rsidRPr="006033A4" w:rsidRDefault="003D1E87" w:rsidP="0081022C">
            <w:pPr>
              <w:spacing w:after="0" w:line="240" w:lineRule="auto"/>
              <w:jc w:val="left"/>
              <w:rPr>
                <w:rFonts w:asciiTheme="minorHAnsi" w:hAnsiTheme="minorHAnsi" w:cstheme="minorHAnsi"/>
                <w:i/>
                <w:sz w:val="22"/>
                <w:szCs w:val="22"/>
              </w:rPr>
            </w:pPr>
            <w:r w:rsidRPr="006033A4">
              <w:rPr>
                <w:rFonts w:asciiTheme="minorHAnsi" w:hAnsiTheme="minorHAnsi" w:cstheme="minorHAnsi"/>
                <w:i/>
                <w:sz w:val="22"/>
                <w:szCs w:val="22"/>
              </w:rPr>
              <w:t>Recommendations:</w:t>
            </w:r>
          </w:p>
          <w:p w:rsidR="003D1E87" w:rsidRPr="006033A4" w:rsidRDefault="003D1E87" w:rsidP="0081022C">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 xml:space="preserve">If ecosystem services are included, a clear standard on their valuation is needed in order to be able to prepare environmental and social impact assessments. </w:t>
            </w:r>
          </w:p>
          <w:p w:rsidR="002E23E9" w:rsidRPr="006033A4" w:rsidRDefault="003D1E87" w:rsidP="0081022C">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It was strongly recommended that the Bank be part of decision making on how to implement biodiversity offsets to ensure that they are implemented appropriately.</w:t>
            </w:r>
          </w:p>
        </w:tc>
      </w:tr>
      <w:tr w:rsidR="002E23E9" w:rsidRPr="006033A4" w:rsidTr="0081022C">
        <w:tc>
          <w:tcPr>
            <w:tcW w:w="93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2E23E9" w:rsidRPr="006033A4" w:rsidRDefault="0028355B" w:rsidP="0081022C">
            <w:pPr>
              <w:numPr>
                <w:ilvl w:val="0"/>
                <w:numId w:val="30"/>
              </w:numPr>
              <w:snapToGrid w:val="0"/>
              <w:spacing w:after="0" w:line="240" w:lineRule="auto"/>
              <w:ind w:left="432"/>
              <w:jc w:val="left"/>
              <w:rPr>
                <w:rFonts w:asciiTheme="minorHAnsi" w:hAnsiTheme="minorHAnsi" w:cstheme="minorHAnsi"/>
                <w:sz w:val="22"/>
                <w:szCs w:val="22"/>
              </w:rPr>
            </w:pPr>
            <w:r w:rsidRPr="006033A4">
              <w:rPr>
                <w:rFonts w:asciiTheme="minorHAnsi" w:eastAsia="Batang" w:hAnsiTheme="minorHAnsi" w:cstheme="minorHAnsi"/>
                <w:b/>
                <w:bCs/>
                <w:i/>
                <w:iCs/>
                <w:sz w:val="22"/>
                <w:szCs w:val="22"/>
              </w:rPr>
              <w:t xml:space="preserve">Environmental and Social Standard 7 (ESS7): Indigenous Peoples </w:t>
            </w:r>
          </w:p>
        </w:tc>
      </w:tr>
      <w:tr w:rsidR="002E23E9" w:rsidRPr="006033A4" w:rsidTr="0081022C">
        <w:tc>
          <w:tcPr>
            <w:tcW w:w="936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3D1E87" w:rsidRPr="006033A4" w:rsidRDefault="003D1E87" w:rsidP="0081022C">
            <w:pPr>
              <w:spacing w:after="0" w:line="240" w:lineRule="auto"/>
              <w:jc w:val="left"/>
              <w:rPr>
                <w:rFonts w:asciiTheme="minorHAnsi" w:hAnsiTheme="minorHAnsi" w:cstheme="minorHAnsi"/>
                <w:i/>
                <w:sz w:val="22"/>
                <w:szCs w:val="22"/>
              </w:rPr>
            </w:pPr>
            <w:r w:rsidRPr="006033A4">
              <w:rPr>
                <w:rFonts w:asciiTheme="minorHAnsi" w:hAnsiTheme="minorHAnsi" w:cstheme="minorHAnsi"/>
                <w:i/>
                <w:sz w:val="22"/>
                <w:szCs w:val="22"/>
              </w:rPr>
              <w:t xml:space="preserve">Clarifications: </w:t>
            </w:r>
          </w:p>
          <w:p w:rsidR="002E23E9" w:rsidRPr="006033A4" w:rsidRDefault="003D1E87" w:rsidP="0081022C">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6033A4">
              <w:rPr>
                <w:rFonts w:asciiTheme="minorHAnsi" w:hAnsiTheme="minorHAnsi" w:cstheme="minorHAnsi"/>
                <w:sz w:val="22"/>
                <w:szCs w:val="22"/>
              </w:rPr>
              <w:t>A participant sought clarification on whether the World Bank had a list of Indigenous Peoples as was the case for EBRD, or whether it is determined on a project basis.</w:t>
            </w:r>
          </w:p>
        </w:tc>
      </w:tr>
      <w:tr w:rsidR="0028355B" w:rsidRPr="006033A4" w:rsidTr="0081022C">
        <w:tc>
          <w:tcPr>
            <w:tcW w:w="93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28355B" w:rsidRPr="006033A4" w:rsidRDefault="0028355B" w:rsidP="0081022C">
            <w:pPr>
              <w:numPr>
                <w:ilvl w:val="0"/>
                <w:numId w:val="30"/>
              </w:numPr>
              <w:snapToGrid w:val="0"/>
              <w:spacing w:after="0" w:line="240" w:lineRule="auto"/>
              <w:ind w:left="432"/>
              <w:jc w:val="left"/>
              <w:rPr>
                <w:rFonts w:asciiTheme="minorHAnsi" w:hAnsiTheme="minorHAnsi" w:cstheme="minorHAnsi"/>
                <w:sz w:val="22"/>
                <w:szCs w:val="22"/>
              </w:rPr>
            </w:pPr>
            <w:r w:rsidRPr="006033A4">
              <w:rPr>
                <w:rFonts w:asciiTheme="minorHAnsi" w:eastAsia="Batang" w:hAnsiTheme="minorHAnsi" w:cstheme="minorHAnsi"/>
                <w:b/>
                <w:bCs/>
                <w:i/>
                <w:iCs/>
                <w:sz w:val="22"/>
                <w:szCs w:val="22"/>
              </w:rPr>
              <w:t xml:space="preserve">Environmental and Social Standard 8 (ESS8): Cultural Heritage </w:t>
            </w:r>
          </w:p>
        </w:tc>
      </w:tr>
      <w:tr w:rsidR="0028355B" w:rsidRPr="006033A4" w:rsidTr="0081022C">
        <w:tc>
          <w:tcPr>
            <w:tcW w:w="936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28355B" w:rsidRPr="006033A4" w:rsidRDefault="0028355B" w:rsidP="0081022C">
            <w:pPr>
              <w:spacing w:after="0" w:line="240" w:lineRule="auto"/>
              <w:jc w:val="left"/>
              <w:rPr>
                <w:rFonts w:asciiTheme="minorHAnsi" w:hAnsiTheme="minorHAnsi" w:cstheme="minorHAnsi"/>
                <w:sz w:val="22"/>
                <w:szCs w:val="22"/>
              </w:rPr>
            </w:pPr>
          </w:p>
        </w:tc>
      </w:tr>
      <w:tr w:rsidR="0028355B" w:rsidRPr="006033A4" w:rsidTr="0081022C">
        <w:tc>
          <w:tcPr>
            <w:tcW w:w="93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28355B" w:rsidRPr="006033A4" w:rsidRDefault="0028355B" w:rsidP="0081022C">
            <w:pPr>
              <w:numPr>
                <w:ilvl w:val="0"/>
                <w:numId w:val="30"/>
              </w:numPr>
              <w:snapToGrid w:val="0"/>
              <w:spacing w:after="0" w:line="240" w:lineRule="auto"/>
              <w:ind w:left="432"/>
              <w:jc w:val="left"/>
              <w:rPr>
                <w:rFonts w:asciiTheme="minorHAnsi" w:hAnsiTheme="minorHAnsi" w:cstheme="minorHAnsi"/>
                <w:sz w:val="22"/>
                <w:szCs w:val="22"/>
              </w:rPr>
            </w:pPr>
            <w:r w:rsidRPr="006033A4">
              <w:rPr>
                <w:rFonts w:asciiTheme="minorHAnsi" w:eastAsia="Batang" w:hAnsiTheme="minorHAnsi" w:cstheme="minorHAnsi"/>
                <w:b/>
                <w:bCs/>
                <w:i/>
                <w:iCs/>
                <w:sz w:val="22"/>
                <w:szCs w:val="22"/>
              </w:rPr>
              <w:t xml:space="preserve">Environmental and Social Standard 9 (ESS9): Financial Intermediaries </w:t>
            </w:r>
          </w:p>
        </w:tc>
      </w:tr>
      <w:tr w:rsidR="0028355B" w:rsidRPr="006033A4" w:rsidTr="0081022C">
        <w:tc>
          <w:tcPr>
            <w:tcW w:w="936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28355B" w:rsidRPr="006033A4" w:rsidRDefault="0028355B" w:rsidP="0081022C">
            <w:pPr>
              <w:spacing w:after="0" w:line="240" w:lineRule="auto"/>
              <w:jc w:val="left"/>
              <w:rPr>
                <w:rFonts w:asciiTheme="minorHAnsi" w:hAnsiTheme="minorHAnsi" w:cstheme="minorHAnsi"/>
                <w:sz w:val="22"/>
                <w:szCs w:val="22"/>
              </w:rPr>
            </w:pPr>
          </w:p>
        </w:tc>
      </w:tr>
      <w:tr w:rsidR="0028355B" w:rsidRPr="006033A4" w:rsidTr="0081022C">
        <w:tc>
          <w:tcPr>
            <w:tcW w:w="93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28355B" w:rsidRPr="006033A4" w:rsidRDefault="0028355B" w:rsidP="0081022C">
            <w:pPr>
              <w:numPr>
                <w:ilvl w:val="0"/>
                <w:numId w:val="30"/>
              </w:numPr>
              <w:snapToGrid w:val="0"/>
              <w:spacing w:after="0" w:line="240" w:lineRule="auto"/>
              <w:ind w:left="432"/>
              <w:jc w:val="left"/>
              <w:rPr>
                <w:rFonts w:asciiTheme="minorHAnsi" w:hAnsiTheme="minorHAnsi" w:cstheme="minorHAnsi"/>
                <w:sz w:val="22"/>
                <w:szCs w:val="22"/>
              </w:rPr>
            </w:pPr>
            <w:r w:rsidRPr="006033A4">
              <w:rPr>
                <w:rFonts w:asciiTheme="minorHAnsi" w:eastAsia="Batang" w:hAnsiTheme="minorHAnsi" w:cstheme="minorHAnsi"/>
                <w:b/>
                <w:bCs/>
                <w:i/>
                <w:iCs/>
                <w:sz w:val="22"/>
                <w:szCs w:val="22"/>
              </w:rPr>
              <w:t xml:space="preserve">Environmental and Social Standard 10 (ESS10): Information Disclosure and Stakeholder Engagement </w:t>
            </w:r>
          </w:p>
        </w:tc>
      </w:tr>
      <w:tr w:rsidR="0028355B" w:rsidRPr="006033A4" w:rsidTr="0081022C">
        <w:tc>
          <w:tcPr>
            <w:tcW w:w="936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28355B" w:rsidRPr="006033A4" w:rsidRDefault="0028355B" w:rsidP="0081022C">
            <w:pPr>
              <w:spacing w:after="0" w:line="240" w:lineRule="auto"/>
              <w:jc w:val="left"/>
              <w:rPr>
                <w:rFonts w:asciiTheme="minorHAnsi" w:hAnsiTheme="minorHAnsi" w:cstheme="minorHAnsi"/>
                <w:sz w:val="22"/>
                <w:szCs w:val="22"/>
              </w:rPr>
            </w:pPr>
          </w:p>
        </w:tc>
      </w:tr>
    </w:tbl>
    <w:p w:rsidR="0041268A" w:rsidRPr="006033A4" w:rsidRDefault="0041268A" w:rsidP="0081022C">
      <w:pPr>
        <w:spacing w:line="240" w:lineRule="auto"/>
        <w:jc w:val="left"/>
        <w:rPr>
          <w:rFonts w:asciiTheme="minorHAnsi" w:hAnsiTheme="minorHAnsi" w:cstheme="minorHAnsi"/>
          <w:sz w:val="22"/>
          <w:szCs w:val="22"/>
        </w:rPr>
      </w:pPr>
    </w:p>
    <w:p w:rsidR="003D1E87" w:rsidRPr="006033A4" w:rsidRDefault="003D1E87" w:rsidP="0081022C">
      <w:pPr>
        <w:spacing w:line="240" w:lineRule="auto"/>
        <w:jc w:val="left"/>
        <w:rPr>
          <w:rFonts w:asciiTheme="minorHAnsi" w:hAnsiTheme="minorHAnsi" w:cstheme="minorHAnsi"/>
          <w:sz w:val="22"/>
          <w:szCs w:val="22"/>
        </w:rPr>
      </w:pPr>
      <w:r w:rsidRPr="006033A4">
        <w:rPr>
          <w:rFonts w:asciiTheme="minorHAnsi" w:hAnsiTheme="minorHAnsi" w:cstheme="minorHAnsi"/>
          <w:sz w:val="22"/>
          <w:szCs w:val="22"/>
        </w:rPr>
        <w:t xml:space="preserve">The Bank representatives thanked everyone for their inputs and encouraged participants to submit inputs in writing, in particular on topics that were the subject of much discussion during the consultation, such as strategic environmental and social assessment and on biodiversity. </w:t>
      </w:r>
    </w:p>
    <w:p w:rsidR="003D1E87" w:rsidRPr="006033A4" w:rsidRDefault="003D1E87" w:rsidP="0081022C">
      <w:pPr>
        <w:spacing w:line="240" w:lineRule="auto"/>
        <w:jc w:val="left"/>
        <w:rPr>
          <w:rFonts w:asciiTheme="minorHAnsi" w:hAnsiTheme="minorHAnsi" w:cstheme="minorHAnsi"/>
          <w:sz w:val="22"/>
          <w:szCs w:val="22"/>
        </w:rPr>
      </w:pPr>
      <w:r w:rsidRPr="006033A4">
        <w:rPr>
          <w:rFonts w:asciiTheme="minorHAnsi" w:hAnsiTheme="minorHAnsi" w:cstheme="minorHAnsi"/>
          <w:sz w:val="22"/>
          <w:szCs w:val="22"/>
        </w:rPr>
        <w:t>The addre</w:t>
      </w:r>
      <w:r w:rsidR="00D32980">
        <w:rPr>
          <w:rFonts w:asciiTheme="minorHAnsi" w:hAnsiTheme="minorHAnsi" w:cstheme="minorHAnsi"/>
          <w:sz w:val="22"/>
          <w:szCs w:val="22"/>
        </w:rPr>
        <w:t>ss for submitting feedback is:</w:t>
      </w:r>
      <w:bookmarkStart w:id="0" w:name="_GoBack"/>
      <w:bookmarkEnd w:id="0"/>
    </w:p>
    <w:p w:rsidR="003D1E87" w:rsidRPr="006033A4" w:rsidRDefault="00D32980" w:rsidP="0081022C">
      <w:pPr>
        <w:spacing w:line="240" w:lineRule="auto"/>
        <w:jc w:val="left"/>
        <w:rPr>
          <w:rStyle w:val="Hyperlink"/>
          <w:rFonts w:asciiTheme="minorHAnsi" w:hAnsiTheme="minorHAnsi" w:cstheme="minorHAnsi"/>
          <w:sz w:val="22"/>
          <w:szCs w:val="22"/>
        </w:rPr>
      </w:pPr>
      <w:hyperlink r:id="rId14" w:history="1">
        <w:r w:rsidR="003D1E87" w:rsidRPr="006033A4">
          <w:rPr>
            <w:rStyle w:val="Hyperlink"/>
            <w:rFonts w:asciiTheme="minorHAnsi" w:hAnsiTheme="minorHAnsi" w:cstheme="minorHAnsi"/>
            <w:sz w:val="22"/>
            <w:szCs w:val="22"/>
          </w:rPr>
          <w:t>https://consultations.worldbank.org/forums/forum-review-and-update-world-bank-safeguard-policies</w:t>
        </w:r>
      </w:hyperlink>
    </w:p>
    <w:p w:rsidR="003D1E87" w:rsidRPr="006033A4" w:rsidRDefault="003D1E87" w:rsidP="0081022C">
      <w:pPr>
        <w:spacing w:line="240" w:lineRule="auto"/>
        <w:jc w:val="left"/>
        <w:rPr>
          <w:rFonts w:asciiTheme="minorHAnsi" w:hAnsiTheme="minorHAnsi" w:cstheme="minorHAnsi"/>
          <w:sz w:val="22"/>
          <w:szCs w:val="22"/>
        </w:rPr>
      </w:pPr>
      <w:r w:rsidRPr="006033A4">
        <w:rPr>
          <w:rFonts w:asciiTheme="minorHAnsi" w:hAnsiTheme="minorHAnsi" w:cstheme="minorHAnsi"/>
          <w:sz w:val="22"/>
          <w:szCs w:val="22"/>
        </w:rPr>
        <w:t xml:space="preserve">Additional information, including links to the policies, fact sheets on the Framework and a Q&amp;A, can be found at: </w:t>
      </w:r>
      <w:hyperlink r:id="rId15" w:history="1">
        <w:r w:rsidRPr="006033A4">
          <w:rPr>
            <w:rStyle w:val="Hyperlink"/>
            <w:rFonts w:asciiTheme="minorHAnsi" w:hAnsiTheme="minorHAnsi" w:cstheme="minorHAnsi"/>
            <w:sz w:val="22"/>
            <w:szCs w:val="22"/>
          </w:rPr>
          <w:t>http://consultations.worldbank.org/consultation/review-and-update-world-bank-safeguard-policies</w:t>
        </w:r>
      </w:hyperlink>
    </w:p>
    <w:p w:rsidR="003D1E87" w:rsidRPr="006033A4" w:rsidRDefault="003D1E87" w:rsidP="0081022C">
      <w:pPr>
        <w:spacing w:line="240" w:lineRule="auto"/>
        <w:jc w:val="left"/>
        <w:rPr>
          <w:rFonts w:asciiTheme="minorHAnsi" w:hAnsiTheme="minorHAnsi" w:cstheme="minorHAnsi"/>
          <w:sz w:val="22"/>
          <w:szCs w:val="22"/>
        </w:rPr>
      </w:pPr>
    </w:p>
    <w:sectPr w:rsidR="003D1E87" w:rsidRPr="006033A4" w:rsidSect="00F17A50">
      <w:headerReference w:type="default" r:id="rId16"/>
      <w:footerReference w:type="even" r:id="rId17"/>
      <w:footerReference w:type="default" r:id="rId18"/>
      <w:footerReference w:type="first" r:id="rId19"/>
      <w:pgSz w:w="12240" w:h="15840"/>
      <w:pgMar w:top="1440" w:right="1440" w:bottom="1440" w:left="1440"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F2" w:rsidRDefault="004007F2">
      <w:pPr>
        <w:spacing w:after="0" w:line="240" w:lineRule="auto"/>
      </w:pPr>
      <w:r>
        <w:separator/>
      </w:r>
    </w:p>
  </w:endnote>
  <w:endnote w:type="continuationSeparator" w:id="0">
    <w:p w:rsidR="004007F2" w:rsidRDefault="0040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4F5207">
    <w:pPr>
      <w:pStyle w:val="Footer"/>
    </w:pPr>
    <w:r>
      <w:fldChar w:fldCharType="begin"/>
    </w:r>
    <w:r w:rsidR="008A533C">
      <w:instrText xml:space="preserve"> PAGE </w:instrText>
    </w:r>
    <w:r>
      <w:fldChar w:fldCharType="separate"/>
    </w:r>
    <w:r w:rsidR="00D87D07">
      <w:rPr>
        <w:noProof/>
      </w:rPr>
      <w:t>4</w:t>
    </w:r>
    <w:r>
      <w:rPr>
        <w:noProof/>
      </w:rPr>
      <w:fldChar w:fldCharType="end"/>
    </w:r>
  </w:p>
  <w:p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rsidR="00D87D07" w:rsidRPr="00F17A50" w:rsidRDefault="004F5207" w:rsidP="00F17A50">
        <w:pPr>
          <w:pStyle w:val="Footer"/>
          <w:jc w:val="center"/>
          <w:rPr>
            <w:rFonts w:asciiTheme="minorHAnsi" w:hAnsiTheme="minorHAnsi"/>
            <w:sz w:val="20"/>
            <w:szCs w:val="20"/>
          </w:rPr>
        </w:pPr>
        <w:r w:rsidRPr="00150B6C">
          <w:rPr>
            <w:rFonts w:asciiTheme="minorHAnsi" w:hAnsiTheme="minorHAnsi"/>
            <w:sz w:val="20"/>
            <w:szCs w:val="20"/>
          </w:rPr>
          <w:fldChar w:fldCharType="begin"/>
        </w:r>
        <w:r w:rsidR="00150B6C"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D32980">
          <w:rPr>
            <w:rFonts w:asciiTheme="minorHAnsi" w:hAnsiTheme="minorHAnsi"/>
            <w:noProof/>
            <w:sz w:val="20"/>
            <w:szCs w:val="20"/>
          </w:rPr>
          <w:t>3</w:t>
        </w:r>
        <w:r w:rsidRPr="00150B6C">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7876"/>
      <w:docPartObj>
        <w:docPartGallery w:val="Page Numbers (Bottom of Page)"/>
        <w:docPartUnique/>
      </w:docPartObj>
    </w:sdtPr>
    <w:sdtEndPr>
      <w:rPr>
        <w:rFonts w:asciiTheme="minorHAnsi" w:hAnsiTheme="minorHAnsi"/>
        <w:noProof/>
        <w:sz w:val="20"/>
        <w:szCs w:val="20"/>
      </w:rPr>
    </w:sdtEndPr>
    <w:sdtContent>
      <w:p w:rsidR="00F17A50" w:rsidRPr="00F17A50" w:rsidRDefault="004F5207" w:rsidP="00F17A50">
        <w:pPr>
          <w:pStyle w:val="Footer"/>
          <w:jc w:val="center"/>
          <w:rPr>
            <w:noProof/>
            <w:sz w:val="20"/>
            <w:szCs w:val="20"/>
          </w:rPr>
        </w:pPr>
        <w:r w:rsidRPr="00150B6C">
          <w:rPr>
            <w:rFonts w:asciiTheme="minorHAnsi" w:hAnsiTheme="minorHAnsi"/>
            <w:sz w:val="20"/>
            <w:szCs w:val="20"/>
          </w:rPr>
          <w:fldChar w:fldCharType="begin"/>
        </w:r>
        <w:r w:rsidR="00F17A50"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D32980">
          <w:rPr>
            <w:rFonts w:asciiTheme="minorHAnsi" w:hAnsiTheme="minorHAnsi"/>
            <w:noProof/>
            <w:sz w:val="20"/>
            <w:szCs w:val="20"/>
          </w:rPr>
          <w:t>1</w:t>
        </w:r>
        <w:r w:rsidRPr="00150B6C">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F2" w:rsidRDefault="004007F2">
      <w:pPr>
        <w:spacing w:after="0" w:line="240" w:lineRule="auto"/>
      </w:pPr>
      <w:r>
        <w:separator/>
      </w:r>
    </w:p>
  </w:footnote>
  <w:footnote w:type="continuationSeparator" w:id="0">
    <w:p w:rsidR="004007F2" w:rsidRDefault="00400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50" w:rsidRPr="008F5BDA" w:rsidRDefault="008F5BDA" w:rsidP="008F5BDA">
    <w:pPr>
      <w:spacing w:line="240" w:lineRule="auto"/>
      <w:jc w:val="center"/>
      <w:rPr>
        <w:rFonts w:asciiTheme="minorBidi" w:hAnsiTheme="minorBidi" w:cstheme="minorBidi"/>
        <w:b/>
        <w:bCs/>
        <w:i/>
        <w:iCs/>
        <w:sz w:val="18"/>
        <w:szCs w:val="22"/>
      </w:rPr>
    </w:pPr>
    <w:r w:rsidRPr="00EA11EF">
      <w:rPr>
        <w:rFonts w:asciiTheme="minorBidi" w:hAnsiTheme="minorBidi" w:cstheme="minorBidi"/>
        <w:b/>
        <w:bCs/>
        <w:i/>
        <w:iCs/>
        <w:sz w:val="18"/>
        <w:szCs w:val="22"/>
      </w:rPr>
      <w:t>Safeguard Policies</w:t>
    </w:r>
    <w:r>
      <w:rPr>
        <w:rFonts w:asciiTheme="minorBidi" w:hAnsiTheme="minorBidi" w:cstheme="minorBidi"/>
        <w:b/>
        <w:bCs/>
        <w:i/>
        <w:iCs/>
        <w:sz w:val="18"/>
        <w:szCs w:val="22"/>
      </w:rPr>
      <w:t xml:space="preserve"> </w:t>
    </w:r>
    <w:r w:rsidRPr="00EA11EF">
      <w:rPr>
        <w:rFonts w:asciiTheme="minorBidi" w:hAnsiTheme="minorBidi" w:cstheme="minorBidi"/>
        <w:b/>
        <w:bCs/>
        <w:i/>
        <w:iCs/>
        <w:sz w:val="18"/>
        <w:szCs w:val="22"/>
      </w:rPr>
      <w:t xml:space="preserve">Review and Update </w:t>
    </w:r>
    <w:r>
      <w:rPr>
        <w:rFonts w:asciiTheme="minorBidi" w:hAnsiTheme="minorBidi" w:cstheme="minorBidi"/>
        <w:b/>
        <w:bCs/>
        <w:i/>
        <w:iCs/>
        <w:sz w:val="18"/>
        <w:szCs w:val="22"/>
      </w:rPr>
      <w:t xml:space="preserve">- </w:t>
    </w:r>
    <w:r w:rsidRPr="00EA11EF">
      <w:rPr>
        <w:rFonts w:asciiTheme="minorBidi" w:hAnsiTheme="minorBidi" w:cstheme="minorBidi"/>
        <w:b/>
        <w:bCs/>
        <w:i/>
        <w:iCs/>
        <w:sz w:val="18"/>
        <w:szCs w:val="22"/>
      </w:rPr>
      <w:t>Phase 2 Consultations Feedback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132353"/>
    <w:multiLevelType w:val="hybridMultilevel"/>
    <w:tmpl w:val="AF2C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8">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F4BC8"/>
    <w:multiLevelType w:val="hybridMultilevel"/>
    <w:tmpl w:val="17FC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22F87"/>
    <w:multiLevelType w:val="hybridMultilevel"/>
    <w:tmpl w:val="2A00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9">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77F5A"/>
    <w:multiLevelType w:val="hybridMultilevel"/>
    <w:tmpl w:val="EA04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5">
    <w:nsid w:val="4D8B054E"/>
    <w:multiLevelType w:val="hybridMultilevel"/>
    <w:tmpl w:val="5FD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7">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1">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2">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3">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8">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1">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7C116600"/>
    <w:multiLevelType w:val="hybridMultilevel"/>
    <w:tmpl w:val="00CAB6F6"/>
    <w:lvl w:ilvl="0" w:tplc="10A84C9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3"/>
  </w:num>
  <w:num w:numId="2">
    <w:abstractNumId w:val="28"/>
  </w:num>
  <w:num w:numId="3">
    <w:abstractNumId w:val="41"/>
  </w:num>
  <w:num w:numId="4">
    <w:abstractNumId w:val="29"/>
  </w:num>
  <w:num w:numId="5">
    <w:abstractNumId w:val="23"/>
  </w:num>
  <w:num w:numId="6">
    <w:abstractNumId w:val="38"/>
  </w:num>
  <w:num w:numId="7">
    <w:abstractNumId w:val="42"/>
  </w:num>
  <w:num w:numId="8">
    <w:abstractNumId w:val="44"/>
  </w:num>
  <w:num w:numId="9">
    <w:abstractNumId w:val="40"/>
  </w:num>
  <w:num w:numId="10">
    <w:abstractNumId w:val="15"/>
  </w:num>
  <w:num w:numId="11">
    <w:abstractNumId w:val="4"/>
  </w:num>
  <w:num w:numId="12">
    <w:abstractNumId w:val="13"/>
  </w:num>
  <w:num w:numId="13">
    <w:abstractNumId w:val="11"/>
  </w:num>
  <w:num w:numId="14">
    <w:abstractNumId w:val="6"/>
  </w:num>
  <w:num w:numId="15">
    <w:abstractNumId w:val="35"/>
  </w:num>
  <w:num w:numId="16">
    <w:abstractNumId w:val="5"/>
  </w:num>
  <w:num w:numId="17">
    <w:abstractNumId w:val="36"/>
  </w:num>
  <w:num w:numId="18">
    <w:abstractNumId w:val="12"/>
  </w:num>
  <w:num w:numId="19">
    <w:abstractNumId w:val="19"/>
  </w:num>
  <w:num w:numId="20">
    <w:abstractNumId w:val="8"/>
  </w:num>
  <w:num w:numId="21">
    <w:abstractNumId w:val="14"/>
  </w:num>
  <w:num w:numId="22">
    <w:abstractNumId w:val="22"/>
  </w:num>
  <w:num w:numId="23">
    <w:abstractNumId w:val="39"/>
  </w:num>
  <w:num w:numId="24">
    <w:abstractNumId w:val="34"/>
  </w:num>
  <w:num w:numId="25">
    <w:abstractNumId w:val="16"/>
  </w:num>
  <w:num w:numId="26">
    <w:abstractNumId w:val="27"/>
  </w:num>
  <w:num w:numId="27">
    <w:abstractNumId w:val="17"/>
  </w:num>
  <w:num w:numId="28">
    <w:abstractNumId w:val="21"/>
  </w:num>
  <w:num w:numId="29">
    <w:abstractNumId w:val="32"/>
  </w:num>
  <w:num w:numId="30">
    <w:abstractNumId w:val="43"/>
  </w:num>
  <w:num w:numId="31">
    <w:abstractNumId w:val="30"/>
  </w:num>
  <w:num w:numId="32">
    <w:abstractNumId w:val="37"/>
  </w:num>
  <w:num w:numId="33">
    <w:abstractNumId w:val="24"/>
  </w:num>
  <w:num w:numId="34">
    <w:abstractNumId w:val="31"/>
  </w:num>
  <w:num w:numId="35">
    <w:abstractNumId w:val="18"/>
  </w:num>
  <w:num w:numId="36">
    <w:abstractNumId w:val="3"/>
  </w:num>
  <w:num w:numId="37">
    <w:abstractNumId w:val="7"/>
  </w:num>
  <w:num w:numId="38">
    <w:abstractNumId w:val="26"/>
  </w:num>
  <w:num w:numId="39">
    <w:abstractNumId w:val="2"/>
  </w:num>
  <w:num w:numId="40">
    <w:abstractNumId w:val="25"/>
  </w:num>
  <w:num w:numId="41">
    <w:abstractNumId w:val="20"/>
  </w:num>
  <w:num w:numId="42">
    <w:abstractNumId w:val="1"/>
  </w:num>
  <w:num w:numId="43">
    <w:abstractNumId w:val="9"/>
  </w:num>
  <w:num w:numId="4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30F"/>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25D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5F7C"/>
    <w:rsid w:val="00227180"/>
    <w:rsid w:val="00232712"/>
    <w:rsid w:val="0023392A"/>
    <w:rsid w:val="00236099"/>
    <w:rsid w:val="0023669B"/>
    <w:rsid w:val="0024205F"/>
    <w:rsid w:val="00255132"/>
    <w:rsid w:val="002648AA"/>
    <w:rsid w:val="002679D9"/>
    <w:rsid w:val="00267DF3"/>
    <w:rsid w:val="002705F9"/>
    <w:rsid w:val="002717AA"/>
    <w:rsid w:val="0027488F"/>
    <w:rsid w:val="002801FD"/>
    <w:rsid w:val="0028355B"/>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535"/>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1E87"/>
    <w:rsid w:val="003D4776"/>
    <w:rsid w:val="003D5011"/>
    <w:rsid w:val="003D686C"/>
    <w:rsid w:val="003E0D04"/>
    <w:rsid w:val="003E1AAE"/>
    <w:rsid w:val="003E2779"/>
    <w:rsid w:val="003E32AF"/>
    <w:rsid w:val="003F2F60"/>
    <w:rsid w:val="003F309E"/>
    <w:rsid w:val="004007F2"/>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2B96"/>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72"/>
    <w:rsid w:val="004F3586"/>
    <w:rsid w:val="004F4615"/>
    <w:rsid w:val="004F5207"/>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4373"/>
    <w:rsid w:val="006020DB"/>
    <w:rsid w:val="00602C11"/>
    <w:rsid w:val="006033A4"/>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55FD"/>
    <w:rsid w:val="00745D52"/>
    <w:rsid w:val="00746FCA"/>
    <w:rsid w:val="00751874"/>
    <w:rsid w:val="0075193E"/>
    <w:rsid w:val="0075214B"/>
    <w:rsid w:val="007522AA"/>
    <w:rsid w:val="00752E65"/>
    <w:rsid w:val="0075679B"/>
    <w:rsid w:val="007622DD"/>
    <w:rsid w:val="00762FF6"/>
    <w:rsid w:val="007641B0"/>
    <w:rsid w:val="0076500E"/>
    <w:rsid w:val="00765BAF"/>
    <w:rsid w:val="0077436C"/>
    <w:rsid w:val="00775647"/>
    <w:rsid w:val="00780523"/>
    <w:rsid w:val="00780E7C"/>
    <w:rsid w:val="007826D8"/>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022C"/>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074D"/>
    <w:rsid w:val="008B4648"/>
    <w:rsid w:val="008B5CEC"/>
    <w:rsid w:val="008B7264"/>
    <w:rsid w:val="008B7469"/>
    <w:rsid w:val="008C0E8A"/>
    <w:rsid w:val="008C35AB"/>
    <w:rsid w:val="008C5FCF"/>
    <w:rsid w:val="008C648D"/>
    <w:rsid w:val="008D5294"/>
    <w:rsid w:val="008D6E46"/>
    <w:rsid w:val="008E3CAB"/>
    <w:rsid w:val="008E60CF"/>
    <w:rsid w:val="008E6553"/>
    <w:rsid w:val="008E663F"/>
    <w:rsid w:val="008E6961"/>
    <w:rsid w:val="008F4648"/>
    <w:rsid w:val="008F514A"/>
    <w:rsid w:val="008F5BD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A4357"/>
    <w:rsid w:val="009B2BF4"/>
    <w:rsid w:val="009B36E2"/>
    <w:rsid w:val="009C0FFD"/>
    <w:rsid w:val="009C16BB"/>
    <w:rsid w:val="009C27DD"/>
    <w:rsid w:val="009C295B"/>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5D65"/>
    <w:rsid w:val="00A37BF2"/>
    <w:rsid w:val="00A44601"/>
    <w:rsid w:val="00A51AC5"/>
    <w:rsid w:val="00A51B0F"/>
    <w:rsid w:val="00A55954"/>
    <w:rsid w:val="00A6050C"/>
    <w:rsid w:val="00A7218B"/>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288"/>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2980"/>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6F05"/>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A50"/>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C6E39"/>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nsultations.worldbank.org/Data/hub/files/consultation-template/review-and-update-world-bank-safeguard-policies/en/meetings/safeguards_consultations_2014_-_annual_meetings_2014.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onsultations.worldbank.org/consultation/review-and-update-world-bank-safeguard-policies"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sultations.worldbank.org/forums/forum-review-and-update-world-bank-safeguar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425A81-1D24-41B4-A2B9-25D1D290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Jennifer Chato</cp:lastModifiedBy>
  <cp:revision>3</cp:revision>
  <cp:lastPrinted>2014-12-03T12:46:00Z</cp:lastPrinted>
  <dcterms:created xsi:type="dcterms:W3CDTF">2014-12-03T12:46:00Z</dcterms:created>
  <dcterms:modified xsi:type="dcterms:W3CDTF">2014-12-03T12:46:00Z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