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80D28" w14:textId="77777777" w:rsidR="0049193E" w:rsidRDefault="0049193E" w:rsidP="000556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第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阶段磋商的问题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9ADA89A" w14:textId="77777777" w:rsidR="00055656" w:rsidRDefault="00055656" w:rsidP="0005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发展效益委员会简介</w:t>
      </w:r>
    </w:p>
    <w:p w14:paraId="3629D318" w14:textId="77777777" w:rsidR="0049193E" w:rsidRDefault="0049193E" w:rsidP="0049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940D91" w14:textId="1727715C" w:rsidR="00570D27" w:rsidRPr="00D351CA" w:rsidRDefault="00570D27" w:rsidP="00570D27">
      <w:pPr>
        <w:pStyle w:val="ListParagraph"/>
        <w:spacing w:after="240"/>
        <w:ind w:left="0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2015</w:t>
      </w:r>
      <w:r>
        <w:rPr>
          <w:rFonts w:ascii="Times New Roman" w:hAnsi="Times New Roman"/>
          <w:sz w:val="24"/>
          <w:lang w:eastAsia="zh-CN"/>
        </w:rPr>
        <w:t>年</w:t>
      </w:r>
      <w:r>
        <w:rPr>
          <w:rFonts w:ascii="Times New Roman" w:hAnsi="Times New Roman"/>
          <w:sz w:val="24"/>
          <w:lang w:eastAsia="zh-CN"/>
        </w:rPr>
        <w:t>7</w:t>
      </w:r>
      <w:r>
        <w:rPr>
          <w:rFonts w:ascii="Times New Roman" w:hAnsi="Times New Roman"/>
          <w:sz w:val="24"/>
          <w:lang w:eastAsia="zh-CN"/>
        </w:rPr>
        <w:t>月</w:t>
      </w:r>
      <w:r>
        <w:rPr>
          <w:rFonts w:ascii="Times New Roman" w:hAnsi="Times New Roman"/>
          <w:sz w:val="24"/>
          <w:lang w:eastAsia="zh-CN"/>
        </w:rPr>
        <w:t>1</w:t>
      </w:r>
      <w:r>
        <w:rPr>
          <w:rFonts w:ascii="Times New Roman" w:hAnsi="Times New Roman"/>
          <w:sz w:val="24"/>
          <w:lang w:eastAsia="zh-CN"/>
        </w:rPr>
        <w:t>日，</w:t>
      </w:r>
      <w:r>
        <w:rPr>
          <w:rFonts w:ascii="Times New Roman" w:hAnsi="Times New Roman"/>
          <w:sz w:val="24"/>
          <w:szCs w:val="24"/>
          <w:lang w:eastAsia="zh-CN"/>
        </w:rPr>
        <w:t>发展效益委员会</w:t>
      </w:r>
      <w:r>
        <w:rPr>
          <w:rFonts w:ascii="Times New Roman" w:hAnsi="Times New Roman"/>
          <w:sz w:val="24"/>
          <w:szCs w:val="24"/>
          <w:lang w:eastAsia="zh-CN"/>
        </w:rPr>
        <w:t>(CODE)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sz w:val="24"/>
          <w:lang w:eastAsia="zh-CN"/>
        </w:rPr>
        <w:t>讨论了《世界银行</w:t>
      </w:r>
      <w:r w:rsidR="007A1E85">
        <w:rPr>
          <w:rFonts w:ascii="Times New Roman" w:eastAsiaTheme="minorEastAsia" w:hAnsi="Times New Roman" w:hint="eastAsia"/>
          <w:sz w:val="24"/>
          <w:lang w:eastAsia="zh-CN"/>
        </w:rPr>
        <w:t>安全</w:t>
      </w:r>
      <w:r>
        <w:rPr>
          <w:rFonts w:ascii="Times New Roman" w:hAnsi="Times New Roman"/>
          <w:sz w:val="24"/>
          <w:lang w:eastAsia="zh-CN"/>
        </w:rPr>
        <w:t>保障政策</w:t>
      </w:r>
      <w:r w:rsidR="007A1E85">
        <w:rPr>
          <w:rFonts w:ascii="Times New Roman" w:eastAsiaTheme="minorEastAsia" w:hAnsi="Times New Roman" w:hint="eastAsia"/>
          <w:sz w:val="24"/>
          <w:lang w:eastAsia="zh-CN"/>
        </w:rPr>
        <w:t>审议</w:t>
      </w:r>
      <w:r w:rsidR="007A1E85">
        <w:rPr>
          <w:rFonts w:ascii="Times New Roman" w:eastAsiaTheme="minorEastAsia" w:hAnsi="Times New Roman"/>
          <w:sz w:val="24"/>
          <w:lang w:eastAsia="zh-CN"/>
        </w:rPr>
        <w:t>修订</w:t>
      </w:r>
      <w:r>
        <w:rPr>
          <w:rFonts w:ascii="Times New Roman" w:hAnsi="Times New Roman"/>
          <w:sz w:val="24"/>
          <w:lang w:eastAsia="zh-CN"/>
        </w:rPr>
        <w:t>第二稿</w:t>
      </w:r>
      <w:r>
        <w:rPr>
          <w:rFonts w:ascii="Times New Roman" w:hAnsi="Times New Roman"/>
          <w:sz w:val="24"/>
          <w:lang w:eastAsia="zh-CN"/>
        </w:rPr>
        <w:t xml:space="preserve"> - </w:t>
      </w:r>
      <w:r>
        <w:rPr>
          <w:rFonts w:ascii="Times New Roman" w:hAnsi="Times New Roman"/>
          <w:sz w:val="24"/>
          <w:lang w:eastAsia="zh-CN"/>
        </w:rPr>
        <w:t>拟议环境和社会框架（第二稿）》。委员会基本同意了拟议的环境与社会框架</w:t>
      </w:r>
      <w:r>
        <w:rPr>
          <w:rFonts w:ascii="Times New Roman" w:hAnsi="Times New Roman"/>
          <w:sz w:val="24"/>
          <w:lang w:eastAsia="zh-CN"/>
        </w:rPr>
        <w:t>(ESF)</w:t>
      </w:r>
      <w:r>
        <w:rPr>
          <w:rFonts w:ascii="Times New Roman" w:hAnsi="Times New Roman"/>
          <w:sz w:val="24"/>
          <w:lang w:eastAsia="zh-CN"/>
        </w:rPr>
        <w:t>的结构以及很多</w:t>
      </w:r>
      <w:r w:rsidR="00CB1D4D">
        <w:rPr>
          <w:rFonts w:ascii="Times New Roman" w:eastAsiaTheme="minorEastAsia" w:hAnsi="Times New Roman" w:hint="eastAsia"/>
          <w:sz w:val="24"/>
          <w:lang w:eastAsia="zh-CN"/>
        </w:rPr>
        <w:t>方面</w:t>
      </w:r>
      <w:r>
        <w:rPr>
          <w:rFonts w:ascii="Times New Roman" w:hAnsi="Times New Roman"/>
          <w:sz w:val="24"/>
          <w:lang w:eastAsia="zh-CN"/>
        </w:rPr>
        <w:t>。但是，很明显，在很多方面还需要进一步讨论</w:t>
      </w:r>
      <w:r>
        <w:rPr>
          <w:rFonts w:ascii="Times New Roman" w:hAnsi="Times New Roman"/>
          <w:sz w:val="24"/>
          <w:lang w:eastAsia="zh-CN"/>
        </w:rPr>
        <w:t xml:space="preserve"> - </w:t>
      </w:r>
      <w:r>
        <w:rPr>
          <w:rFonts w:ascii="Times New Roman" w:hAnsi="Times New Roman"/>
          <w:sz w:val="24"/>
          <w:lang w:eastAsia="zh-CN"/>
        </w:rPr>
        <w:t>尤其是愿景宣言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、部分</w:t>
      </w:r>
      <w:r>
        <w:rPr>
          <w:rFonts w:ascii="Times New Roman" w:hAnsi="Times New Roman"/>
          <w:sz w:val="24"/>
          <w:lang w:eastAsia="zh-CN"/>
        </w:rPr>
        <w:t>标准以及语言</w:t>
      </w:r>
      <w:r w:rsidR="00BE3059">
        <w:rPr>
          <w:rFonts w:ascii="Times New Roman" w:eastAsiaTheme="minorEastAsia" w:hAnsi="Times New Roman" w:hint="eastAsia"/>
          <w:sz w:val="24"/>
          <w:lang w:eastAsia="zh-CN"/>
        </w:rPr>
        <w:t>上是否</w:t>
      </w:r>
      <w:r w:rsidR="00CB1D4D">
        <w:rPr>
          <w:rFonts w:ascii="Times New Roman" w:eastAsiaTheme="minorEastAsia" w:hAnsi="Times New Roman" w:hint="eastAsia"/>
          <w:sz w:val="24"/>
          <w:lang w:eastAsia="zh-CN"/>
        </w:rPr>
        <w:t>具</w:t>
      </w:r>
      <w:r w:rsidR="00BE3059">
        <w:rPr>
          <w:rFonts w:ascii="Times New Roman" w:eastAsiaTheme="minorEastAsia" w:hAnsi="Times New Roman"/>
          <w:sz w:val="24"/>
          <w:lang w:eastAsia="zh-CN"/>
        </w:rPr>
        <w:t>有</w:t>
      </w:r>
      <w:r>
        <w:rPr>
          <w:rFonts w:ascii="Times New Roman" w:hAnsi="Times New Roman"/>
          <w:sz w:val="24"/>
          <w:lang w:eastAsia="zh-CN"/>
        </w:rPr>
        <w:t>敏感性</w:t>
      </w:r>
      <w:r w:rsidR="00BE3059">
        <w:rPr>
          <w:rFonts w:ascii="Times New Roman" w:eastAsiaTheme="minorEastAsia" w:hAnsi="Times New Roman" w:hint="eastAsia"/>
          <w:sz w:val="24"/>
          <w:lang w:eastAsia="zh-CN"/>
        </w:rPr>
        <w:t>或</w:t>
      </w:r>
      <w:r w:rsidR="00CB1D4D">
        <w:rPr>
          <w:rFonts w:ascii="Times New Roman" w:eastAsiaTheme="minorEastAsia" w:hAnsi="Times New Roman" w:hint="eastAsia"/>
          <w:sz w:val="24"/>
          <w:lang w:eastAsia="zh-CN"/>
        </w:rPr>
        <w:t>过于</w:t>
      </w:r>
      <w:r w:rsidR="00CB1D4D">
        <w:rPr>
          <w:rFonts w:ascii="Times New Roman" w:eastAsiaTheme="minorEastAsia" w:hAnsi="Times New Roman"/>
          <w:sz w:val="24"/>
          <w:lang w:eastAsia="zh-CN"/>
        </w:rPr>
        <w:t>雄心勃勃</w:t>
      </w:r>
      <w:r>
        <w:rPr>
          <w:rFonts w:ascii="Times New Roman" w:hAnsi="Times New Roman"/>
          <w:sz w:val="24"/>
          <w:lang w:eastAsia="zh-CN"/>
        </w:rPr>
        <w:t>。同样，对</w:t>
      </w:r>
      <w:r w:rsidR="00BE3059">
        <w:rPr>
          <w:rFonts w:ascii="Times New Roman" w:eastAsiaTheme="minorEastAsia" w:hAnsi="Times New Roman" w:hint="eastAsia"/>
          <w:sz w:val="24"/>
          <w:lang w:eastAsia="zh-CN"/>
        </w:rPr>
        <w:t>实施</w:t>
      </w:r>
      <w:r w:rsidR="00BE3059">
        <w:rPr>
          <w:rFonts w:ascii="Times New Roman" w:eastAsiaTheme="minorEastAsia" w:hAnsi="Times New Roman"/>
          <w:sz w:val="24"/>
          <w:lang w:eastAsia="zh-CN"/>
        </w:rPr>
        <w:t>的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可操作性</w:t>
      </w:r>
      <w:r>
        <w:rPr>
          <w:rFonts w:ascii="Times New Roman" w:hAnsi="Times New Roman"/>
          <w:sz w:val="24"/>
          <w:lang w:eastAsia="zh-CN"/>
        </w:rPr>
        <w:t>以及对借款国的潜在影响也需要进一步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明确</w:t>
      </w:r>
      <w:r>
        <w:rPr>
          <w:rFonts w:ascii="Times New Roman" w:hAnsi="Times New Roman"/>
          <w:sz w:val="24"/>
          <w:lang w:eastAsia="zh-CN"/>
        </w:rPr>
        <w:t>。委员会同意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，</w:t>
      </w:r>
      <w:r w:rsidR="00550099">
        <w:rPr>
          <w:rFonts w:ascii="Times New Roman" w:eastAsiaTheme="minorEastAsia" w:hAnsi="Times New Roman"/>
          <w:sz w:val="24"/>
          <w:lang w:eastAsia="zh-CN"/>
        </w:rPr>
        <w:t>重要的是要</w:t>
      </w:r>
      <w:r>
        <w:rPr>
          <w:rFonts w:ascii="Times New Roman" w:hAnsi="Times New Roman"/>
          <w:sz w:val="24"/>
          <w:lang w:eastAsia="zh-CN"/>
        </w:rPr>
        <w:t>继续展开前瞻性工作，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以</w:t>
      </w:r>
      <w:r>
        <w:rPr>
          <w:rFonts w:ascii="Times New Roman" w:hAnsi="Times New Roman"/>
          <w:sz w:val="24"/>
          <w:lang w:eastAsia="zh-CN"/>
        </w:rPr>
        <w:t>确保环境与社会框架的平衡、避免过度执行给借款国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增加</w:t>
      </w:r>
      <w:r w:rsidR="00550099">
        <w:rPr>
          <w:rFonts w:ascii="Times New Roman" w:eastAsiaTheme="minorEastAsia" w:hAnsi="Times New Roman"/>
          <w:sz w:val="24"/>
          <w:lang w:eastAsia="zh-CN"/>
        </w:rPr>
        <w:t>负担</w:t>
      </w:r>
      <w:r>
        <w:rPr>
          <w:rFonts w:ascii="Times New Roman" w:hAnsi="Times New Roman"/>
          <w:sz w:val="24"/>
          <w:lang w:eastAsia="zh-CN"/>
        </w:rPr>
        <w:t>和成本、加强客户能力、促进可持续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和</w:t>
      </w:r>
      <w:r>
        <w:rPr>
          <w:rFonts w:ascii="Times New Roman" w:hAnsi="Times New Roman"/>
          <w:sz w:val="24"/>
          <w:lang w:eastAsia="zh-CN"/>
        </w:rPr>
        <w:t>包容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性</w:t>
      </w:r>
      <w:r>
        <w:rPr>
          <w:rFonts w:ascii="Times New Roman" w:hAnsi="Times New Roman"/>
          <w:sz w:val="24"/>
          <w:lang w:eastAsia="zh-CN"/>
        </w:rPr>
        <w:t>发展、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推动实现世行</w:t>
      </w:r>
      <w:r>
        <w:rPr>
          <w:rFonts w:ascii="Times New Roman" w:hAnsi="Times New Roman"/>
          <w:sz w:val="24"/>
          <w:lang w:eastAsia="zh-CN"/>
        </w:rPr>
        <w:t>的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两大</w:t>
      </w:r>
      <w:r>
        <w:rPr>
          <w:rFonts w:ascii="Times New Roman" w:hAnsi="Times New Roman"/>
          <w:sz w:val="24"/>
          <w:lang w:eastAsia="zh-CN"/>
        </w:rPr>
        <w:t>目标。</w:t>
      </w:r>
    </w:p>
    <w:p w14:paraId="33D96950" w14:textId="2A660998" w:rsidR="00570D27" w:rsidRPr="00D351CA" w:rsidRDefault="00570D27" w:rsidP="00570D27">
      <w:pPr>
        <w:pStyle w:val="ListParagraph"/>
        <w:spacing w:after="240"/>
        <w:ind w:left="0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委员会同意管理</w:t>
      </w:r>
      <w:r w:rsidR="007A1E85">
        <w:rPr>
          <w:rFonts w:ascii="Times New Roman" w:eastAsiaTheme="minorEastAsia" w:hAnsi="Times New Roman" w:hint="eastAsia"/>
          <w:sz w:val="24"/>
          <w:lang w:eastAsia="zh-CN"/>
        </w:rPr>
        <w:t>层须</w:t>
      </w:r>
      <w:r>
        <w:rPr>
          <w:rFonts w:ascii="Times New Roman" w:hAnsi="Times New Roman"/>
          <w:sz w:val="24"/>
          <w:lang w:eastAsia="zh-CN"/>
        </w:rPr>
        <w:t>在修改</w:t>
      </w:r>
      <w:r w:rsidR="007A1E85">
        <w:rPr>
          <w:rFonts w:ascii="Times New Roman" w:eastAsiaTheme="minorEastAsia" w:hAnsi="Times New Roman" w:hint="eastAsia"/>
          <w:sz w:val="24"/>
          <w:lang w:eastAsia="zh-CN"/>
        </w:rPr>
        <w:t>后</w:t>
      </w:r>
      <w:r>
        <w:rPr>
          <w:rFonts w:ascii="Times New Roman" w:hAnsi="Times New Roman"/>
          <w:sz w:val="24"/>
          <w:lang w:eastAsia="zh-CN"/>
        </w:rPr>
        <w:t>的第二稿的基础上</w:t>
      </w:r>
      <w:r w:rsidR="00CB1D4D">
        <w:rPr>
          <w:rFonts w:ascii="Times New Roman" w:eastAsiaTheme="minorEastAsia" w:hAnsi="Times New Roman" w:hint="eastAsia"/>
          <w:sz w:val="24"/>
          <w:lang w:eastAsia="zh-CN"/>
        </w:rPr>
        <w:t>开展</w:t>
      </w:r>
      <w:r>
        <w:rPr>
          <w:rFonts w:ascii="Times New Roman" w:hAnsi="Times New Roman"/>
          <w:sz w:val="24"/>
          <w:lang w:eastAsia="zh-CN"/>
        </w:rPr>
        <w:t>第三阶段的磋商。磋商的重点</w:t>
      </w:r>
      <w:r w:rsidR="00CB1D4D">
        <w:rPr>
          <w:rFonts w:ascii="Times New Roman" w:eastAsiaTheme="minorEastAsia" w:hAnsi="Times New Roman" w:hint="eastAsia"/>
          <w:sz w:val="24"/>
          <w:lang w:eastAsia="zh-CN"/>
        </w:rPr>
        <w:t>须</w:t>
      </w:r>
      <w:r>
        <w:rPr>
          <w:rFonts w:ascii="Times New Roman" w:hAnsi="Times New Roman"/>
          <w:sz w:val="24"/>
          <w:lang w:eastAsia="zh-CN"/>
        </w:rPr>
        <w:t>放在收集反馈，以及环境与社会框架</w:t>
      </w:r>
      <w:r>
        <w:rPr>
          <w:rFonts w:ascii="Times New Roman" w:hAnsi="Times New Roman"/>
          <w:color w:val="000000" w:themeColor="text1"/>
          <w:sz w:val="24"/>
          <w:lang w:eastAsia="zh-CN"/>
        </w:rPr>
        <w:t>在借款国</w:t>
      </w:r>
      <w:r w:rsidR="00CB1D4D">
        <w:rPr>
          <w:rFonts w:ascii="Times New Roman" w:eastAsiaTheme="minorEastAsia" w:hAnsi="Times New Roman" w:hint="eastAsia"/>
          <w:color w:val="000000" w:themeColor="text1"/>
          <w:sz w:val="24"/>
          <w:lang w:eastAsia="zh-CN"/>
        </w:rPr>
        <w:t>实施</w:t>
      </w:r>
      <w:r>
        <w:rPr>
          <w:rFonts w:ascii="Times New Roman" w:hAnsi="Times New Roman"/>
          <w:color w:val="000000" w:themeColor="text1"/>
          <w:sz w:val="24"/>
          <w:lang w:eastAsia="zh-CN"/>
        </w:rPr>
        <w:t>的</w:t>
      </w:r>
      <w:r w:rsidR="007A1E85">
        <w:rPr>
          <w:rFonts w:ascii="Times New Roman" w:eastAsiaTheme="minorEastAsia" w:hAnsi="Times New Roman" w:hint="eastAsia"/>
          <w:color w:val="000000" w:themeColor="text1"/>
          <w:sz w:val="24"/>
          <w:lang w:eastAsia="zh-CN"/>
        </w:rPr>
        <w:t>可操作性</w:t>
      </w:r>
      <w:r w:rsidR="00CB1D4D">
        <w:rPr>
          <w:rFonts w:ascii="Times New Roman" w:eastAsiaTheme="minorEastAsia" w:hAnsi="Times New Roman" w:hint="eastAsia"/>
          <w:color w:val="000000" w:themeColor="text1"/>
          <w:sz w:val="24"/>
          <w:lang w:eastAsia="zh-CN"/>
        </w:rPr>
        <w:t>上</w:t>
      </w:r>
      <w:r>
        <w:rPr>
          <w:rFonts w:ascii="Times New Roman" w:hAnsi="Times New Roman"/>
          <w:color w:val="000000" w:themeColor="text1"/>
          <w:sz w:val="24"/>
          <w:lang w:eastAsia="zh-CN"/>
        </w:rPr>
        <w:t>，磋商方案</w:t>
      </w:r>
      <w:r w:rsidR="00CB1D4D">
        <w:rPr>
          <w:rFonts w:ascii="Times New Roman" w:eastAsiaTheme="minorEastAsia" w:hAnsi="Times New Roman" w:hint="eastAsia"/>
          <w:color w:val="000000" w:themeColor="text1"/>
          <w:sz w:val="24"/>
          <w:lang w:eastAsia="zh-CN"/>
        </w:rPr>
        <w:t>须</w:t>
      </w:r>
      <w:r>
        <w:rPr>
          <w:rFonts w:ascii="Times New Roman" w:hAnsi="Times New Roman"/>
          <w:color w:val="000000" w:themeColor="text1"/>
          <w:sz w:val="24"/>
          <w:lang w:eastAsia="zh-CN"/>
        </w:rPr>
        <w:t>包括在磋商过程中</w:t>
      </w:r>
      <w:r>
        <w:rPr>
          <w:rFonts w:ascii="Times New Roman" w:hAnsi="Times New Roman"/>
          <w:sz w:val="24"/>
          <w:lang w:eastAsia="zh-CN"/>
        </w:rPr>
        <w:t>需</w:t>
      </w:r>
      <w:r w:rsidR="007A1E85">
        <w:rPr>
          <w:rFonts w:ascii="Times New Roman" w:eastAsiaTheme="minorEastAsia" w:hAnsi="Times New Roman" w:hint="eastAsia"/>
          <w:sz w:val="24"/>
          <w:lang w:eastAsia="zh-CN"/>
        </w:rPr>
        <w:t>要</w:t>
      </w:r>
      <w:r>
        <w:rPr>
          <w:rFonts w:ascii="Times New Roman" w:hAnsi="Times New Roman"/>
          <w:sz w:val="24"/>
          <w:lang w:eastAsia="zh-CN"/>
        </w:rPr>
        <w:t>进一步探讨</w:t>
      </w:r>
      <w:r w:rsidR="007A1E85">
        <w:rPr>
          <w:rFonts w:ascii="Times New Roman" w:eastAsiaTheme="minorEastAsia" w:hAnsi="Times New Roman" w:hint="eastAsia"/>
          <w:sz w:val="24"/>
          <w:lang w:eastAsia="zh-CN"/>
        </w:rPr>
        <w:t>的</w:t>
      </w:r>
      <w:r w:rsidR="00CB1D4D">
        <w:rPr>
          <w:rFonts w:ascii="Times New Roman" w:eastAsiaTheme="minorEastAsia" w:hAnsi="Times New Roman" w:hint="eastAsia"/>
          <w:sz w:val="24"/>
          <w:lang w:eastAsia="zh-CN"/>
        </w:rPr>
        <w:t>以下</w:t>
      </w:r>
      <w:r>
        <w:rPr>
          <w:rFonts w:ascii="Times New Roman" w:hAnsi="Times New Roman"/>
          <w:sz w:val="24"/>
          <w:lang w:eastAsia="zh-CN"/>
        </w:rPr>
        <w:t>问题的指示性</w:t>
      </w:r>
      <w:r w:rsidR="007A1E85">
        <w:rPr>
          <w:rFonts w:ascii="Times New Roman" w:eastAsiaTheme="minorEastAsia" w:hAnsi="Times New Roman"/>
          <w:sz w:val="24"/>
          <w:lang w:eastAsia="zh-CN"/>
        </w:rPr>
        <w:t>清单</w:t>
      </w:r>
      <w:r>
        <w:rPr>
          <w:rFonts w:ascii="Times New Roman" w:hAnsi="Times New Roman"/>
          <w:sz w:val="24"/>
          <w:lang w:eastAsia="zh-CN"/>
        </w:rPr>
        <w:t>（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并非详尽</w:t>
      </w:r>
      <w:r>
        <w:rPr>
          <w:rFonts w:ascii="Times New Roman" w:hAnsi="Times New Roman"/>
          <w:sz w:val="24"/>
          <w:lang w:eastAsia="zh-CN"/>
        </w:rPr>
        <w:t>）。</w:t>
      </w:r>
    </w:p>
    <w:p w14:paraId="36AA02CC" w14:textId="278ADE7E" w:rsidR="0049193E" w:rsidRDefault="00570D27" w:rsidP="00B30D06">
      <w:pPr>
        <w:pStyle w:val="ListParagraph"/>
        <w:tabs>
          <w:tab w:val="left" w:pos="720"/>
        </w:tabs>
        <w:spacing w:after="240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4"/>
          <w:lang w:eastAsia="zh-CN"/>
        </w:rPr>
        <w:t>委员会</w:t>
      </w:r>
      <w:r w:rsidR="00550099">
        <w:rPr>
          <w:rFonts w:ascii="Times New Roman" w:eastAsiaTheme="minorEastAsia" w:hAnsi="Times New Roman" w:hint="eastAsia"/>
          <w:sz w:val="24"/>
          <w:lang w:eastAsia="zh-CN"/>
        </w:rPr>
        <w:t>期待</w:t>
      </w:r>
      <w:r>
        <w:rPr>
          <w:rFonts w:ascii="Times New Roman" w:hAnsi="Times New Roman"/>
          <w:sz w:val="24"/>
          <w:lang w:eastAsia="zh-CN"/>
        </w:rPr>
        <w:t>继续参与环境与社会框架</w:t>
      </w:r>
      <w:r w:rsidR="00CB1D4D">
        <w:rPr>
          <w:rFonts w:ascii="Times New Roman" w:eastAsiaTheme="minorEastAsia" w:hAnsi="Times New Roman" w:hint="eastAsia"/>
          <w:sz w:val="24"/>
          <w:lang w:eastAsia="zh-CN"/>
        </w:rPr>
        <w:t>修订</w:t>
      </w:r>
      <w:r>
        <w:rPr>
          <w:rFonts w:ascii="Times New Roman" w:hAnsi="Times New Roman"/>
          <w:sz w:val="24"/>
          <w:lang w:eastAsia="zh-CN"/>
        </w:rPr>
        <w:t>。</w:t>
      </w:r>
      <w:r>
        <w:rPr>
          <w:rFonts w:ascii="Times New Roman" w:hAnsi="Times New Roman"/>
          <w:sz w:val="28"/>
          <w:szCs w:val="28"/>
          <w:lang w:eastAsia="zh-CN"/>
        </w:rPr>
        <w:br w:type="page"/>
      </w:r>
    </w:p>
    <w:p w14:paraId="333A12B1" w14:textId="77777777" w:rsidR="00FF7BF6" w:rsidRDefault="00B201CA" w:rsidP="0007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第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阶段磋商的问题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5EBEE2F" w14:textId="77777777" w:rsidR="00D9319E" w:rsidRPr="00A73745" w:rsidRDefault="00D9319E" w:rsidP="0007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1D71C4" w14:textId="07A0C0D2" w:rsidR="00D91E64" w:rsidRPr="000A64AA" w:rsidRDefault="00F248C2" w:rsidP="0049193E">
      <w:pPr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</w:rPr>
      </w:pPr>
      <w:r w:rsidRPr="000A64AA">
        <w:rPr>
          <w:rFonts w:asciiTheme="minorEastAsia" w:hAnsiTheme="minorEastAsia" w:cs="Times New Roman"/>
          <w:sz w:val="24"/>
          <w:szCs w:val="24"/>
        </w:rPr>
        <w:t>在2015年7月1日的会议上，发展效益委员会(CODE)</w:t>
      </w:r>
      <w:r w:rsidR="00550099" w:rsidRPr="000A64AA">
        <w:rPr>
          <w:rFonts w:asciiTheme="minorEastAsia" w:hAnsiTheme="minorEastAsia" w:cs="Times New Roman" w:hint="eastAsia"/>
          <w:sz w:val="24"/>
          <w:szCs w:val="24"/>
        </w:rPr>
        <w:t>同意</w:t>
      </w:r>
      <w:r w:rsidRPr="000A64AA">
        <w:rPr>
          <w:rFonts w:asciiTheme="minorEastAsia" w:hAnsiTheme="minorEastAsia" w:cs="Times New Roman"/>
          <w:sz w:val="24"/>
          <w:szCs w:val="24"/>
        </w:rPr>
        <w:t>对第二稿环境与社会框架(ESF)进行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新</w:t>
      </w:r>
      <w:r w:rsidRPr="000A64AA">
        <w:rPr>
          <w:rFonts w:asciiTheme="minorEastAsia" w:hAnsiTheme="minorEastAsia" w:cs="Times New Roman"/>
          <w:sz w:val="24"/>
          <w:szCs w:val="24"/>
        </w:rPr>
        <w:t>一轮的磋商。执行董事</w:t>
      </w:r>
      <w:r w:rsidR="00550099" w:rsidRPr="000A64AA">
        <w:rPr>
          <w:rFonts w:asciiTheme="minorEastAsia" w:hAnsiTheme="minorEastAsia" w:cs="Times New Roman" w:hint="eastAsia"/>
          <w:sz w:val="24"/>
          <w:szCs w:val="24"/>
        </w:rPr>
        <w:t>们</w:t>
      </w:r>
      <w:r w:rsidRPr="000A64AA">
        <w:rPr>
          <w:rFonts w:asciiTheme="minorEastAsia" w:hAnsiTheme="minorEastAsia" w:cs="Times New Roman"/>
          <w:sz w:val="24"/>
          <w:szCs w:val="24"/>
        </w:rPr>
        <w:t>要求世界银行管理层在第3阶段磋商中讨论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一系列</w:t>
      </w:r>
      <w:r w:rsidRPr="000A64AA">
        <w:rPr>
          <w:rFonts w:asciiTheme="minorEastAsia" w:hAnsiTheme="minorEastAsia" w:cs="Times New Roman"/>
          <w:sz w:val="24"/>
          <w:szCs w:val="24"/>
        </w:rPr>
        <w:t>问题。下列清单是在发展效益委员会会议</w:t>
      </w:r>
      <w:r w:rsidR="00550099" w:rsidRPr="000A64AA">
        <w:rPr>
          <w:rFonts w:asciiTheme="minorEastAsia" w:hAnsiTheme="minorEastAsia" w:cs="Times New Roman" w:hint="eastAsia"/>
          <w:sz w:val="24"/>
          <w:szCs w:val="24"/>
        </w:rPr>
        <w:t>之后</w:t>
      </w:r>
      <w:r w:rsidRPr="000A64AA">
        <w:rPr>
          <w:rFonts w:asciiTheme="minorEastAsia" w:hAnsiTheme="minorEastAsia" w:cs="Times New Roman"/>
          <w:sz w:val="24"/>
          <w:szCs w:val="24"/>
        </w:rPr>
        <w:t>制定的，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列出</w:t>
      </w:r>
      <w:r w:rsidRPr="000A64AA">
        <w:rPr>
          <w:rFonts w:asciiTheme="minorEastAsia" w:hAnsiTheme="minorEastAsia" w:cs="Times New Roman"/>
          <w:sz w:val="24"/>
          <w:szCs w:val="24"/>
        </w:rPr>
        <w:t>了执董</w:t>
      </w:r>
      <w:r w:rsidR="00550099" w:rsidRPr="000A64AA">
        <w:rPr>
          <w:rFonts w:asciiTheme="minorEastAsia" w:hAnsiTheme="minorEastAsia" w:cs="Times New Roman" w:hint="eastAsia"/>
          <w:sz w:val="24"/>
          <w:szCs w:val="24"/>
        </w:rPr>
        <w:t>们</w:t>
      </w:r>
      <w:r w:rsidRPr="000A64AA">
        <w:rPr>
          <w:rFonts w:asciiTheme="minorEastAsia" w:hAnsiTheme="minorEastAsia" w:cs="Times New Roman"/>
          <w:sz w:val="24"/>
          <w:szCs w:val="24"/>
        </w:rPr>
        <w:t>要求管理层在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新一轮</w:t>
      </w:r>
      <w:r w:rsidRPr="000A64AA">
        <w:rPr>
          <w:rFonts w:asciiTheme="minorEastAsia" w:hAnsiTheme="minorEastAsia" w:cs="Times New Roman"/>
          <w:sz w:val="24"/>
          <w:szCs w:val="24"/>
        </w:rPr>
        <w:t>磋商会议要包括的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具体</w:t>
      </w:r>
      <w:r w:rsidRPr="000A64AA">
        <w:rPr>
          <w:rFonts w:asciiTheme="minorEastAsia" w:hAnsiTheme="minorEastAsia" w:cs="Times New Roman"/>
          <w:sz w:val="24"/>
          <w:szCs w:val="24"/>
        </w:rPr>
        <w:t>问题，特别是那些</w:t>
      </w:r>
      <w:r w:rsidR="00550099" w:rsidRPr="000A64AA">
        <w:rPr>
          <w:rFonts w:asciiTheme="minorEastAsia" w:hAnsiTheme="minorEastAsia" w:cs="Times New Roman" w:hint="eastAsia"/>
          <w:sz w:val="24"/>
          <w:szCs w:val="24"/>
        </w:rPr>
        <w:t>须</w:t>
      </w:r>
      <w:r w:rsidRPr="000A64AA">
        <w:rPr>
          <w:rFonts w:asciiTheme="minorEastAsia" w:hAnsiTheme="minorEastAsia" w:cs="Times New Roman"/>
          <w:sz w:val="24"/>
          <w:szCs w:val="24"/>
        </w:rPr>
        <w:t>与政府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商讨</w:t>
      </w:r>
      <w:r w:rsidRPr="000A64AA">
        <w:rPr>
          <w:rFonts w:asciiTheme="minorEastAsia" w:hAnsiTheme="minorEastAsia" w:cs="Times New Roman"/>
          <w:sz w:val="24"/>
          <w:szCs w:val="24"/>
        </w:rPr>
        <w:t>的问题。磋商的重点放在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向</w:t>
      </w:r>
      <w:r w:rsidRPr="000A64AA">
        <w:rPr>
          <w:rFonts w:asciiTheme="minorEastAsia" w:hAnsiTheme="minorEastAsia" w:cs="Times New Roman"/>
          <w:sz w:val="24"/>
          <w:szCs w:val="24"/>
        </w:rPr>
        <w:t>借款国和其它利益相关者处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征集</w:t>
      </w:r>
      <w:r w:rsidRPr="000A64AA">
        <w:rPr>
          <w:rFonts w:asciiTheme="minorEastAsia" w:hAnsiTheme="minorEastAsia" w:cs="Times New Roman"/>
          <w:sz w:val="24"/>
          <w:szCs w:val="24"/>
        </w:rPr>
        <w:t>关于这些</w:t>
      </w:r>
      <w:r w:rsidR="00550099" w:rsidRPr="000A64AA">
        <w:rPr>
          <w:rFonts w:asciiTheme="minorEastAsia" w:hAnsiTheme="minorEastAsia" w:cs="Times New Roman" w:hint="eastAsia"/>
          <w:sz w:val="24"/>
          <w:szCs w:val="24"/>
        </w:rPr>
        <w:t>以及</w:t>
      </w:r>
      <w:r w:rsidRPr="000A64AA">
        <w:rPr>
          <w:rFonts w:asciiTheme="minorEastAsia" w:hAnsiTheme="minorEastAsia" w:cs="Times New Roman"/>
          <w:sz w:val="24"/>
          <w:szCs w:val="24"/>
        </w:rPr>
        <w:t>其它问题的反馈，以及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有</w:t>
      </w:r>
      <w:r w:rsidRPr="000A64AA">
        <w:rPr>
          <w:rFonts w:asciiTheme="minorEastAsia" w:hAnsiTheme="minorEastAsia" w:cs="Times New Roman"/>
          <w:sz w:val="24"/>
          <w:szCs w:val="24"/>
        </w:rPr>
        <w:t>关环境与社会框架的资源和</w:t>
      </w:r>
      <w:r w:rsidR="00CB1D4D" w:rsidRPr="000A64AA">
        <w:rPr>
          <w:rFonts w:asciiTheme="minorEastAsia" w:hAnsiTheme="minorEastAsia" w:cs="Times New Roman" w:hint="eastAsia"/>
          <w:sz w:val="24"/>
          <w:szCs w:val="24"/>
        </w:rPr>
        <w:t>实施</w:t>
      </w:r>
      <w:r w:rsidRPr="000A64AA">
        <w:rPr>
          <w:rFonts w:asciiTheme="minorEastAsia" w:hAnsiTheme="minorEastAsia" w:cs="Times New Roman"/>
          <w:sz w:val="24"/>
          <w:szCs w:val="24"/>
        </w:rPr>
        <w:t>。该清单只是待讨论问题的一个指示性清单，并不</w:t>
      </w:r>
      <w:r w:rsidR="00550099" w:rsidRPr="000A64AA">
        <w:rPr>
          <w:rFonts w:asciiTheme="minorEastAsia" w:hAnsiTheme="minorEastAsia" w:cs="Times New Roman" w:hint="eastAsia"/>
          <w:sz w:val="24"/>
          <w:szCs w:val="24"/>
        </w:rPr>
        <w:t>详尽</w:t>
      </w:r>
      <w:r w:rsidRPr="000A64AA">
        <w:rPr>
          <w:rFonts w:asciiTheme="minorEastAsia" w:hAnsiTheme="minorEastAsia" w:cs="Times New Roman"/>
          <w:sz w:val="24"/>
          <w:szCs w:val="24"/>
        </w:rPr>
        <w:t>。管理层</w:t>
      </w:r>
      <w:r w:rsidR="006E4D5A" w:rsidRPr="000A64AA">
        <w:rPr>
          <w:rFonts w:asciiTheme="minorEastAsia" w:hAnsiTheme="minorEastAsia" w:cs="Times New Roman" w:hint="eastAsia"/>
          <w:sz w:val="24"/>
          <w:szCs w:val="24"/>
        </w:rPr>
        <w:t>将</w:t>
      </w:r>
      <w:r w:rsidRPr="000A64AA">
        <w:rPr>
          <w:rFonts w:asciiTheme="minorEastAsia" w:hAnsiTheme="minorEastAsia" w:cs="Times New Roman"/>
          <w:sz w:val="24"/>
          <w:szCs w:val="24"/>
        </w:rPr>
        <w:t>与执董</w:t>
      </w:r>
      <w:r w:rsidR="006E4D5A" w:rsidRPr="000A64AA">
        <w:rPr>
          <w:rFonts w:asciiTheme="minorEastAsia" w:hAnsiTheme="minorEastAsia" w:cs="Times New Roman" w:hint="eastAsia"/>
          <w:sz w:val="24"/>
          <w:szCs w:val="24"/>
        </w:rPr>
        <w:t>们</w:t>
      </w:r>
      <w:r w:rsidRPr="000A64AA">
        <w:rPr>
          <w:rFonts w:asciiTheme="minorEastAsia" w:hAnsiTheme="minorEastAsia" w:cs="Times New Roman"/>
          <w:sz w:val="24"/>
          <w:szCs w:val="24"/>
        </w:rPr>
        <w:t>密切配合来组织这些磋商，并</w:t>
      </w:r>
      <w:r w:rsidR="006E4D5A" w:rsidRPr="000A64AA">
        <w:rPr>
          <w:rFonts w:asciiTheme="minorEastAsia" w:hAnsiTheme="minorEastAsia" w:cs="Times New Roman" w:hint="eastAsia"/>
          <w:sz w:val="24"/>
          <w:szCs w:val="24"/>
        </w:rPr>
        <w:t>向</w:t>
      </w:r>
      <w:r w:rsidR="000A64AA" w:rsidRPr="000A64AA">
        <w:rPr>
          <w:rFonts w:asciiTheme="minorEastAsia" w:hAnsiTheme="minorEastAsia" w:cs="Times New Roman" w:hint="eastAsia"/>
          <w:sz w:val="24"/>
          <w:szCs w:val="24"/>
        </w:rPr>
        <w:t>其</w:t>
      </w:r>
      <w:r w:rsidR="006E4D5A" w:rsidRPr="000A64AA">
        <w:rPr>
          <w:rFonts w:asciiTheme="minorEastAsia" w:hAnsiTheme="minorEastAsia" w:cs="Times New Roman" w:hint="eastAsia"/>
          <w:sz w:val="24"/>
          <w:szCs w:val="24"/>
        </w:rPr>
        <w:t>通报</w:t>
      </w:r>
      <w:r w:rsidRPr="000A64AA">
        <w:rPr>
          <w:rFonts w:asciiTheme="minorEastAsia" w:hAnsiTheme="minorEastAsia" w:cs="Times New Roman"/>
          <w:sz w:val="24"/>
          <w:szCs w:val="24"/>
        </w:rPr>
        <w:t>磋商进展</w:t>
      </w:r>
      <w:r w:rsidR="006E4D5A" w:rsidRPr="000A64AA">
        <w:rPr>
          <w:rFonts w:asciiTheme="minorEastAsia" w:hAnsiTheme="minorEastAsia" w:cs="Times New Roman" w:hint="eastAsia"/>
          <w:sz w:val="24"/>
          <w:szCs w:val="24"/>
        </w:rPr>
        <w:t>情况</w:t>
      </w:r>
      <w:r w:rsidRPr="000A64AA">
        <w:rPr>
          <w:rFonts w:asciiTheme="minorEastAsia" w:hAnsiTheme="minorEastAsia" w:cs="Times New Roman"/>
          <w:sz w:val="24"/>
          <w:szCs w:val="24"/>
        </w:rPr>
        <w:t>。在磋商结束后，管理层</w:t>
      </w:r>
      <w:r w:rsidR="006E4D5A" w:rsidRPr="000A64AA">
        <w:rPr>
          <w:rFonts w:asciiTheme="minorEastAsia" w:hAnsiTheme="minorEastAsia" w:cs="Times New Roman" w:hint="eastAsia"/>
          <w:sz w:val="24"/>
          <w:szCs w:val="24"/>
        </w:rPr>
        <w:t>将准备</w:t>
      </w:r>
      <w:r w:rsidR="006E4D5A" w:rsidRPr="000A64AA">
        <w:rPr>
          <w:rFonts w:asciiTheme="minorEastAsia" w:hAnsiTheme="minorEastAsia" w:cs="Times New Roman"/>
          <w:sz w:val="24"/>
          <w:szCs w:val="24"/>
        </w:rPr>
        <w:t>一份</w:t>
      </w:r>
      <w:r w:rsidRPr="000A64AA">
        <w:rPr>
          <w:rFonts w:asciiTheme="minorEastAsia" w:hAnsiTheme="minorEastAsia" w:cs="Times New Roman"/>
          <w:sz w:val="24"/>
          <w:szCs w:val="24"/>
        </w:rPr>
        <w:t>磋商期间所提问题的报告</w:t>
      </w:r>
      <w:r w:rsidR="006E4D5A" w:rsidRPr="000A64AA">
        <w:rPr>
          <w:rFonts w:asciiTheme="minorEastAsia" w:hAnsiTheme="minorEastAsia" w:cs="Times New Roman" w:hint="eastAsia"/>
          <w:sz w:val="24"/>
          <w:szCs w:val="24"/>
        </w:rPr>
        <w:t>提交</w:t>
      </w:r>
      <w:r w:rsidRPr="000A64AA">
        <w:rPr>
          <w:rFonts w:asciiTheme="minorEastAsia" w:hAnsiTheme="minorEastAsia" w:cs="Times New Roman"/>
          <w:sz w:val="24"/>
          <w:szCs w:val="24"/>
        </w:rPr>
        <w:t>执董</w:t>
      </w:r>
      <w:r w:rsidR="006E4D5A" w:rsidRPr="000A64AA">
        <w:rPr>
          <w:rFonts w:asciiTheme="minorEastAsia" w:hAnsiTheme="minorEastAsia" w:cs="Times New Roman" w:hint="eastAsia"/>
          <w:sz w:val="24"/>
          <w:szCs w:val="24"/>
        </w:rPr>
        <w:t>们审阅</w:t>
      </w:r>
      <w:r w:rsidRPr="000A64AA">
        <w:rPr>
          <w:rFonts w:asciiTheme="minorEastAsia" w:hAnsiTheme="minorEastAsia" w:cs="Times New Roman"/>
          <w:sz w:val="24"/>
          <w:szCs w:val="24"/>
        </w:rPr>
        <w:t xml:space="preserve">。 </w:t>
      </w:r>
    </w:p>
    <w:p w14:paraId="1FA24D3D" w14:textId="77777777" w:rsidR="004D1AC7" w:rsidRPr="000A64AA" w:rsidRDefault="004D1AC7" w:rsidP="00C232FC">
      <w:pPr>
        <w:jc w:val="both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2160"/>
        <w:gridCol w:w="7650"/>
      </w:tblGrid>
      <w:tr w:rsidR="00895AF5" w:rsidRPr="000A64AA" w14:paraId="092EAE1B" w14:textId="77777777" w:rsidTr="005E4F6B">
        <w:tc>
          <w:tcPr>
            <w:tcW w:w="985" w:type="dxa"/>
            <w:shd w:val="clear" w:color="auto" w:fill="D9D9D9" w:themeFill="background1" w:themeFillShade="D9"/>
          </w:tcPr>
          <w:p w14:paraId="3079D941" w14:textId="77777777" w:rsidR="00895AF5" w:rsidRPr="000A64AA" w:rsidRDefault="00895AF5" w:rsidP="00F248C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环境与社会框架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906004" w14:textId="77777777" w:rsidR="00895AF5" w:rsidRPr="000A64AA" w:rsidRDefault="00895AF5" w:rsidP="00F248C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问题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36C04548" w14:textId="77777777" w:rsidR="00895AF5" w:rsidRPr="000A64AA" w:rsidRDefault="00895AF5" w:rsidP="009724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项目</w:t>
            </w:r>
          </w:p>
        </w:tc>
      </w:tr>
      <w:tr w:rsidR="00895AF5" w:rsidRPr="000A64AA" w14:paraId="0FDB45F0" w14:textId="77777777" w:rsidTr="005E4F6B">
        <w:tc>
          <w:tcPr>
            <w:tcW w:w="985" w:type="dxa"/>
          </w:tcPr>
          <w:p w14:paraId="5ED9F834" w14:textId="77777777" w:rsidR="00895AF5" w:rsidRPr="000A64AA" w:rsidRDefault="00895AF5" w:rsidP="00F248C2">
            <w:pP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愿景</w:t>
            </w:r>
          </w:p>
        </w:tc>
        <w:tc>
          <w:tcPr>
            <w:tcW w:w="2160" w:type="dxa"/>
          </w:tcPr>
          <w:p w14:paraId="6B13DE25" w14:textId="77777777" w:rsidR="00895AF5" w:rsidRPr="000A64AA" w:rsidRDefault="00895AF5" w:rsidP="00F248C2">
            <w:pP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人权 </w:t>
            </w:r>
          </w:p>
        </w:tc>
        <w:tc>
          <w:tcPr>
            <w:tcW w:w="7650" w:type="dxa"/>
          </w:tcPr>
          <w:p w14:paraId="743E29EC" w14:textId="1EBA5162" w:rsidR="00A6465A" w:rsidRPr="000A64AA" w:rsidRDefault="00FD0445" w:rsidP="00E7516C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  <w:lang w:eastAsia="zh-CN"/>
              </w:rPr>
              <w:t>《环境与社会框架》中</w:t>
            </w:r>
            <w:r w:rsidR="006E4D5A" w:rsidRPr="000A64AA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  <w:lang w:eastAsia="zh-CN"/>
              </w:rPr>
              <w:t>对</w:t>
            </w:r>
            <w:r w:rsidRPr="000A64AA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  <w:lang w:eastAsia="zh-CN"/>
              </w:rPr>
              <w:t>人权问题</w:t>
            </w:r>
            <w:r w:rsidR="006E4D5A" w:rsidRPr="000A64AA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  <w:lang w:eastAsia="zh-CN"/>
              </w:rPr>
              <w:t>的</w:t>
            </w:r>
            <w:r w:rsidR="006E4D5A" w:rsidRPr="000A64AA">
              <w:rPr>
                <w:rFonts w:asciiTheme="minorEastAsia" w:eastAsiaTheme="minorEastAsia" w:hAnsiTheme="minorEastAsia" w:cs="SimSun"/>
                <w:color w:val="000000"/>
                <w:sz w:val="24"/>
                <w:szCs w:val="24"/>
                <w:lang w:eastAsia="zh-CN"/>
              </w:rPr>
              <w:t>处理</w:t>
            </w:r>
            <w:r w:rsidR="00E7516C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  <w:lang w:eastAsia="zh-CN"/>
              </w:rPr>
              <w:t>方法</w:t>
            </w:r>
            <w:r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9319E" w:rsidRPr="000A64AA" w14:paraId="6E1C802B" w14:textId="77777777" w:rsidTr="005E4F6B">
        <w:tc>
          <w:tcPr>
            <w:tcW w:w="985" w:type="dxa"/>
            <w:vMerge w:val="restart"/>
          </w:tcPr>
          <w:p w14:paraId="6A16BDC2" w14:textId="77777777" w:rsidR="00D9319E" w:rsidRPr="000A64AA" w:rsidRDefault="00D9319E" w:rsidP="00895A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环境与社会政策/</w:t>
            </w:r>
          </w:p>
          <w:p w14:paraId="057AB6D0" w14:textId="77777777" w:rsidR="00D9319E" w:rsidRPr="000A64AA" w:rsidRDefault="00D9319E" w:rsidP="00895A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环境与社会标准1</w:t>
            </w:r>
          </w:p>
          <w:p w14:paraId="4FC3FC4A" w14:textId="77777777" w:rsidR="00D9319E" w:rsidRPr="000A64AA" w:rsidRDefault="00D9319E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B27B99" w14:textId="43ECC40C" w:rsidR="00D9319E" w:rsidRPr="000A64AA" w:rsidRDefault="006E4D5A" w:rsidP="006E4D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 w:hint="eastAsia"/>
                <w:sz w:val="24"/>
                <w:szCs w:val="24"/>
              </w:rPr>
              <w:t>非</w:t>
            </w:r>
            <w:r w:rsidR="00D9319E" w:rsidRPr="000A64AA">
              <w:rPr>
                <w:rFonts w:asciiTheme="minorEastAsia" w:hAnsiTheme="minorEastAsia" w:cs="Times New Roman"/>
                <w:sz w:val="24"/>
                <w:szCs w:val="24"/>
              </w:rPr>
              <w:t>歧视</w:t>
            </w:r>
            <w:r w:rsidR="00E17B58" w:rsidRPr="000A64AA">
              <w:rPr>
                <w:rFonts w:asciiTheme="minorEastAsia" w:hAnsiTheme="minorEastAsia" w:cs="Times New Roman" w:hint="eastAsia"/>
                <w:sz w:val="24"/>
                <w:szCs w:val="24"/>
              </w:rPr>
              <w:t>性</w:t>
            </w:r>
            <w:r w:rsidR="00D9319E" w:rsidRPr="000A64AA">
              <w:rPr>
                <w:rFonts w:asciiTheme="minorEastAsia" w:hAnsiTheme="minorEastAsia" w:cs="Times New Roman"/>
                <w:sz w:val="24"/>
                <w:szCs w:val="24"/>
              </w:rPr>
              <w:t>和弱势群体</w:t>
            </w:r>
          </w:p>
        </w:tc>
        <w:tc>
          <w:tcPr>
            <w:tcW w:w="7650" w:type="dxa"/>
          </w:tcPr>
          <w:p w14:paraId="563C78D1" w14:textId="3341C886" w:rsidR="00D9319E" w:rsidRPr="000A64AA" w:rsidRDefault="00D9319E" w:rsidP="00F44503">
            <w:pPr>
              <w:pStyle w:val="ListParagraph"/>
              <w:numPr>
                <w:ilvl w:val="0"/>
                <w:numId w:val="7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按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照类型/名称（年龄、性别、民族、宗教、生理、心理或其他残疾、社会、公民身份或健康状况、性别取向、性别认同、经济弱势或土著身份和/或对特有自然资源的依赖等）明确列出特定弱势群体 </w:t>
            </w:r>
          </w:p>
          <w:p w14:paraId="68F3DAC4" w14:textId="1D7DCEC0" w:rsidR="00D9319E" w:rsidRPr="000A64AA" w:rsidRDefault="00A97FC4" w:rsidP="00E7516C">
            <w:pPr>
              <w:pStyle w:val="ListParagraph"/>
              <w:numPr>
                <w:ilvl w:val="0"/>
                <w:numId w:val="7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在复杂的社会和政治环境</w:t>
            </w:r>
            <w:r w:rsid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中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非歧视原则的具体方面，包括在</w:t>
            </w:r>
            <w:r w:rsidR="00E17B58"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承认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某些</w:t>
            </w:r>
            <w:r w:rsidR="00E17B58"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群体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不符合国家法律</w:t>
            </w:r>
            <w:r w:rsidR="00E7516C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的</w:t>
            </w:r>
            <w:r w:rsidR="00E7516C">
              <w:rPr>
                <w:rFonts w:asciiTheme="minorEastAsia" w:eastAsiaTheme="minorEastAsia" w:hAnsiTheme="minorEastAsia" w:cs="Microsoft YaHei"/>
                <w:sz w:val="24"/>
                <w:szCs w:val="24"/>
                <w:lang w:eastAsia="zh-CN"/>
              </w:rPr>
              <w:t>情况下</w:t>
            </w:r>
          </w:p>
        </w:tc>
      </w:tr>
      <w:tr w:rsidR="00D9319E" w:rsidRPr="000A64AA" w14:paraId="792517E0" w14:textId="77777777" w:rsidTr="005E4F6B">
        <w:tc>
          <w:tcPr>
            <w:tcW w:w="985" w:type="dxa"/>
            <w:vMerge/>
          </w:tcPr>
          <w:p w14:paraId="566DF232" w14:textId="77777777" w:rsidR="00D9319E" w:rsidRPr="000A64AA" w:rsidRDefault="00D9319E" w:rsidP="00444D49">
            <w:pP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F15CAD" w14:textId="77777777" w:rsidR="00D9319E" w:rsidRPr="000A64AA" w:rsidRDefault="00D9319E" w:rsidP="00895A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利用借款国的环境与社会框架</w:t>
            </w:r>
          </w:p>
        </w:tc>
        <w:tc>
          <w:tcPr>
            <w:tcW w:w="7650" w:type="dxa"/>
          </w:tcPr>
          <w:p w14:paraId="107D4400" w14:textId="40BD6741" w:rsidR="00D9319E" w:rsidRPr="000A64AA" w:rsidRDefault="000A64AA" w:rsidP="000A64AA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在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有助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项目实现</w:t>
            </w:r>
            <w:r w:rsidR="004A1EA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实质上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符合</w:t>
            </w: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环境与社会标准（ESS）的目标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="00E7516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情况下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，</w:t>
            </w:r>
            <w:r w:rsidR="00D9319E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借款国框架在环境社会风险</w:t>
            </w:r>
            <w:r w:rsidR="006E4D5A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</w:t>
            </w:r>
            <w:r w:rsidR="00D9319E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影响管理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与</w:t>
            </w:r>
            <w:r w:rsidR="00D9319E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评估中的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作用</w:t>
            </w:r>
            <w:r w:rsidR="00D9319E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</w:t>
            </w:r>
          </w:p>
          <w:p w14:paraId="30A65DBC" w14:textId="6D98AEEE" w:rsidR="00D9319E" w:rsidRPr="000A64AA" w:rsidRDefault="00D9319E" w:rsidP="004A1EA1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利用借款国框架</w:t>
            </w:r>
            <w:r w:rsid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做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决策的</w:t>
            </w:r>
            <w:r w:rsid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方式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，包括评估</w:t>
            </w:r>
            <w:r w:rsidR="00E17B58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在</w:t>
            </w:r>
            <w:r w:rsidR="000926D6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什么情况下</w:t>
            </w:r>
            <w:r w:rsidR="00E17B58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采用</w:t>
            </w:r>
            <w:r w:rsid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借款国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框架</w:t>
            </w:r>
            <w:r w:rsidR="00E17B58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可</w:t>
            </w:r>
            <w:r w:rsidR="0057432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使</w:t>
            </w:r>
            <w:r w:rsidR="0057432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项目</w:t>
            </w:r>
            <w:r w:rsidR="0057432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实现</w:t>
            </w:r>
            <w:r w:rsidR="004A1EA1" w:rsidRPr="004A1EA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实质上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符合环境与社会标准（ESS）的</w:t>
            </w:r>
            <w:r w:rsidR="00E17B58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目标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的方法</w:t>
            </w:r>
            <w:r w:rsidR="0057432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和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世行自由裁量权</w:t>
            </w:r>
            <w:r w:rsidR="0057432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="0057432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行使</w:t>
            </w:r>
          </w:p>
          <w:p w14:paraId="7966D5CD" w14:textId="18011AFD" w:rsidR="00D9319E" w:rsidRPr="000A64AA" w:rsidRDefault="00D9319E" w:rsidP="00E17B58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借款国框架在高风险和重大风险项目中的</w:t>
            </w:r>
            <w:r w:rsidR="00E17B58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作用</w:t>
            </w:r>
          </w:p>
        </w:tc>
      </w:tr>
      <w:tr w:rsidR="00D9319E" w:rsidRPr="000A64AA" w14:paraId="0B91692D" w14:textId="77777777" w:rsidTr="005E4F6B">
        <w:tc>
          <w:tcPr>
            <w:tcW w:w="985" w:type="dxa"/>
            <w:vMerge/>
          </w:tcPr>
          <w:p w14:paraId="1F11D6B3" w14:textId="77777777" w:rsidR="00D9319E" w:rsidRPr="000A64AA" w:rsidRDefault="00D9319E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666147" w14:textId="7D750CFC" w:rsidR="00D9319E" w:rsidRPr="000A64AA" w:rsidRDefault="00E17B58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 w:hint="eastAsia"/>
                <w:sz w:val="24"/>
                <w:szCs w:val="24"/>
              </w:rPr>
              <w:t>联合</w:t>
            </w:r>
            <w:r w:rsidR="00D9319E" w:rsidRPr="000A64AA">
              <w:rPr>
                <w:rFonts w:asciiTheme="minorEastAsia" w:hAnsiTheme="minorEastAsia" w:cs="Times New Roman"/>
                <w:sz w:val="24"/>
                <w:szCs w:val="24"/>
              </w:rPr>
              <w:t>融资/通用方法</w:t>
            </w:r>
          </w:p>
        </w:tc>
        <w:tc>
          <w:tcPr>
            <w:tcW w:w="7650" w:type="dxa"/>
          </w:tcPr>
          <w:p w14:paraId="14AEA8E1" w14:textId="087B3070" w:rsidR="00D9319E" w:rsidRPr="000A64AA" w:rsidRDefault="00A6465A" w:rsidP="000926D6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在</w:t>
            </w:r>
            <w:r w:rsidR="00E17B58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联合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融资</w:t>
            </w:r>
            <w:r w:rsidR="00574321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情况下，</w:t>
            </w:r>
            <w:r w:rsidR="004A1EA1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在</w:t>
            </w:r>
            <w:r w:rsidR="00E17B58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联合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融资</w:t>
            </w:r>
            <w:r w:rsidR="00E17B58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方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的标准与世行的标准</w:t>
            </w:r>
            <w:r w:rsidR="000926D6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有差异</w:t>
            </w:r>
            <w:r w:rsidR="008C355A" w:rsidRPr="000A64AA">
              <w:rPr>
                <w:rFonts w:asciiTheme="minorEastAsia" w:eastAsiaTheme="minorEastAsia" w:hAnsiTheme="minorEastAsia" w:cs="SimSun"/>
                <w:sz w:val="24"/>
                <w:szCs w:val="24"/>
                <w:lang w:eastAsia="zh-CN"/>
              </w:rPr>
              <w:t>的</w:t>
            </w:r>
            <w:r w:rsidR="000926D6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情况下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环境与社会标准</w:t>
            </w:r>
            <w:r w:rsidR="000926D6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安排</w:t>
            </w:r>
          </w:p>
        </w:tc>
      </w:tr>
      <w:tr w:rsidR="00D9319E" w:rsidRPr="000A64AA" w14:paraId="499DC428" w14:textId="77777777" w:rsidTr="005E4F6B">
        <w:tc>
          <w:tcPr>
            <w:tcW w:w="985" w:type="dxa"/>
            <w:vMerge/>
          </w:tcPr>
          <w:p w14:paraId="647CA7FB" w14:textId="77777777" w:rsidR="00D9319E" w:rsidRPr="000A64AA" w:rsidRDefault="00D9319E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4530B6" w14:textId="090631DB" w:rsidR="00D9319E" w:rsidRPr="000A64AA" w:rsidRDefault="00D9319E" w:rsidP="00F1772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适应</w:t>
            </w:r>
            <w:r w:rsidR="004A1EA1">
              <w:rPr>
                <w:rFonts w:asciiTheme="minorEastAsia" w:hAnsiTheme="minorEastAsia" w:cs="Times New Roman" w:hint="eastAsia"/>
                <w:sz w:val="24"/>
                <w:szCs w:val="24"/>
              </w:rPr>
              <w:t>性</w:t>
            </w: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风险管理</w:t>
            </w:r>
          </w:p>
        </w:tc>
        <w:tc>
          <w:tcPr>
            <w:tcW w:w="7650" w:type="dxa"/>
          </w:tcPr>
          <w:p w14:paraId="026A7882" w14:textId="2B9A840F" w:rsidR="00D9319E" w:rsidRPr="000A64AA" w:rsidRDefault="00D9319E" w:rsidP="004A1EA1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在实施过程中监控环境</w:t>
            </w:r>
            <w:r w:rsidR="004A1EA1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与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社会合规性及</w:t>
            </w:r>
            <w:r w:rsidR="004A1EA1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项目</w:t>
            </w:r>
            <w:r w:rsidR="008C355A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变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更的方法</w:t>
            </w:r>
          </w:p>
        </w:tc>
      </w:tr>
      <w:tr w:rsidR="00D9319E" w:rsidRPr="000A64AA" w14:paraId="22AA558A" w14:textId="77777777" w:rsidTr="005E4F6B">
        <w:tc>
          <w:tcPr>
            <w:tcW w:w="985" w:type="dxa"/>
            <w:vMerge/>
          </w:tcPr>
          <w:p w14:paraId="447AFD76" w14:textId="77777777" w:rsidR="00D9319E" w:rsidRPr="000A64AA" w:rsidRDefault="00D9319E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5A7AEC" w14:textId="77777777" w:rsidR="00D9319E" w:rsidRPr="000A64AA" w:rsidRDefault="00D9319E" w:rsidP="00F1772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风险分类</w:t>
            </w:r>
          </w:p>
        </w:tc>
        <w:tc>
          <w:tcPr>
            <w:tcW w:w="7650" w:type="dxa"/>
          </w:tcPr>
          <w:p w14:paraId="532A8E85" w14:textId="77777777" w:rsidR="00D9319E" w:rsidRPr="000A64AA" w:rsidDel="00EF3E5D" w:rsidRDefault="00D9319E" w:rsidP="00F55E20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确定和审查项目风险级别的方法</w:t>
            </w:r>
          </w:p>
        </w:tc>
      </w:tr>
      <w:tr w:rsidR="00A6465A" w:rsidRPr="000A64AA" w14:paraId="2D9B06A6" w14:textId="77777777" w:rsidTr="005E4F6B">
        <w:tc>
          <w:tcPr>
            <w:tcW w:w="985" w:type="dxa"/>
            <w:vMerge w:val="restart"/>
          </w:tcPr>
          <w:p w14:paraId="7BA06512" w14:textId="77777777" w:rsidR="00A6465A" w:rsidRPr="000A64AA" w:rsidRDefault="00A6465A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环境与社会标准1</w:t>
            </w:r>
          </w:p>
          <w:p w14:paraId="535270DA" w14:textId="77777777" w:rsidR="00A6465A" w:rsidRPr="000A64AA" w:rsidRDefault="00A6465A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CC04B37" w14:textId="215B1EB7" w:rsidR="00A6465A" w:rsidRPr="000A64AA" w:rsidRDefault="00A6465A" w:rsidP="008C35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环境和社会风险与影响的评</w:t>
            </w:r>
            <w:r w:rsidR="008C355A" w:rsidRPr="000A64AA">
              <w:rPr>
                <w:rFonts w:asciiTheme="minorEastAsia" w:hAnsiTheme="minorEastAsia" w:cs="Times New Roman" w:hint="eastAsia"/>
                <w:sz w:val="24"/>
                <w:szCs w:val="24"/>
              </w:rPr>
              <w:t>估</w:t>
            </w: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和管理</w:t>
            </w:r>
          </w:p>
        </w:tc>
        <w:tc>
          <w:tcPr>
            <w:tcW w:w="7650" w:type="dxa"/>
          </w:tcPr>
          <w:p w14:paraId="181245AA" w14:textId="20D051A9" w:rsidR="00A6465A" w:rsidRPr="000A64AA" w:rsidRDefault="008C355A" w:rsidP="00F55E20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须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考虑的累积</w:t>
            </w:r>
            <w:r w:rsidR="004A1EA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间接影响的评估</w:t>
            </w:r>
            <w:r w:rsidR="004A1EA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与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性质</w:t>
            </w:r>
          </w:p>
          <w:p w14:paraId="10074594" w14:textId="1EE259C9" w:rsidR="00A6465A" w:rsidRPr="000A64AA" w:rsidRDefault="008C355A" w:rsidP="00F55E20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对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项目评估</w:t>
            </w: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中甄别出的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累积</w:t>
            </w:r>
            <w:r w:rsidR="004A1EA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间接影响的处理</w:t>
            </w:r>
          </w:p>
          <w:p w14:paraId="020508CD" w14:textId="185AF865" w:rsidR="00A6465A" w:rsidRPr="000A64AA" w:rsidRDefault="008C355A" w:rsidP="000D207A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确</w:t>
            </w:r>
            <w:r w:rsidR="00A6465A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立项目界限</w:t>
            </w: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和</w:t>
            </w:r>
            <w:r w:rsidR="00A6465A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社会与环境标准对相关设施、承包商、主要供应商、金融中介机构子项目</w:t>
            </w:r>
            <w:r w:rsidR="004A1EA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</w:t>
            </w:r>
            <w:r w:rsidR="00A6465A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直接资助子项目的适用性</w:t>
            </w:r>
          </w:p>
          <w:p w14:paraId="162F3F45" w14:textId="78DABDBA" w:rsidR="00A6465A" w:rsidRPr="000A64AA" w:rsidRDefault="000926D6" w:rsidP="000926D6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在什么</w:t>
            </w:r>
            <w:r w:rsidR="004A1EA1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情况下</w:t>
            </w:r>
            <w:r w:rsidR="00E76A83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世界银行</w:t>
            </w:r>
            <w:r w:rsidR="0008352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须</w:t>
            </w:r>
            <w:r w:rsidR="00E76A83"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决定是否要求借款国保留独立的第三方专家</w:t>
            </w:r>
          </w:p>
        </w:tc>
      </w:tr>
      <w:tr w:rsidR="00A6465A" w:rsidRPr="000A64AA" w14:paraId="51412D0A" w14:textId="77777777" w:rsidTr="005E4F6B">
        <w:tc>
          <w:tcPr>
            <w:tcW w:w="985" w:type="dxa"/>
            <w:vMerge/>
          </w:tcPr>
          <w:p w14:paraId="2F5ACAD9" w14:textId="77777777" w:rsidR="00A6465A" w:rsidRPr="000A64AA" w:rsidRDefault="00A6465A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24B7AE" w14:textId="77777777" w:rsidR="00A6465A" w:rsidRPr="000A64AA" w:rsidRDefault="00A6465A" w:rsidP="00D9319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环境和社会承诺计划（ESCP）</w:t>
            </w:r>
          </w:p>
        </w:tc>
        <w:tc>
          <w:tcPr>
            <w:tcW w:w="7650" w:type="dxa"/>
          </w:tcPr>
          <w:p w14:paraId="20A767AD" w14:textId="7AAD84B9" w:rsidR="00A6465A" w:rsidRPr="000A64AA" w:rsidRDefault="00A6465A" w:rsidP="000926D6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环境和社会承诺计划的法律地位，以及</w:t>
            </w:r>
            <w:r w:rsidR="004A1EA1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改变</w:t>
            </w:r>
            <w:r w:rsidR="008C355A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作为法律</w:t>
            </w:r>
            <w:r w:rsidR="008C355A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协议</w:t>
            </w:r>
            <w:r w:rsidR="004A1EA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组成部分</w:t>
            </w:r>
            <w:r w:rsidR="008C355A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环境和社会承诺计划的影响</w:t>
            </w:r>
          </w:p>
        </w:tc>
      </w:tr>
      <w:tr w:rsidR="00444D49" w:rsidRPr="000A64AA" w14:paraId="77C89236" w14:textId="77777777" w:rsidTr="005E4F6B">
        <w:tc>
          <w:tcPr>
            <w:tcW w:w="985" w:type="dxa"/>
          </w:tcPr>
          <w:p w14:paraId="4C69C6A1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环境与社会标准2</w:t>
            </w:r>
          </w:p>
        </w:tc>
        <w:tc>
          <w:tcPr>
            <w:tcW w:w="2160" w:type="dxa"/>
          </w:tcPr>
          <w:p w14:paraId="10F5DAD8" w14:textId="3DAD278C" w:rsidR="00444D49" w:rsidRPr="000A64AA" w:rsidRDefault="00444D49" w:rsidP="009C625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劳工</w:t>
            </w:r>
            <w:r w:rsidR="009C625C">
              <w:rPr>
                <w:rFonts w:asciiTheme="minorEastAsia" w:hAnsiTheme="minorEastAsia" w:cs="Times New Roman" w:hint="eastAsia"/>
                <w:sz w:val="24"/>
                <w:szCs w:val="24"/>
              </w:rPr>
              <w:t>与</w:t>
            </w: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工作条件</w:t>
            </w:r>
          </w:p>
        </w:tc>
        <w:tc>
          <w:tcPr>
            <w:tcW w:w="7650" w:type="dxa"/>
          </w:tcPr>
          <w:p w14:paraId="42D94777" w14:textId="58B33AA0" w:rsidR="00444D49" w:rsidRPr="000A64AA" w:rsidRDefault="00F55E20" w:rsidP="00F55E20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管理</w:t>
            </w:r>
            <w:r w:rsidR="004A1EA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由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某些第三方（经纪公司</w:t>
            </w:r>
            <w:r w:rsidR="0008352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代理和中介机构）所雇佣劳工的定义、必要性</w:t>
            </w:r>
            <w:r w:rsidR="009C625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要求  </w:t>
            </w:r>
          </w:p>
          <w:p w14:paraId="24978682" w14:textId="6EDD0129" w:rsidR="00444D49" w:rsidRPr="000A64AA" w:rsidRDefault="00F55E20" w:rsidP="00784151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某些劳工</w:t>
            </w:r>
            <w:r w:rsidR="009C625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相关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要求的应用和实施对承包商、社区、自愿劳工和主要供应商的影响 </w:t>
            </w:r>
          </w:p>
          <w:p w14:paraId="641000BE" w14:textId="6CF1A82F" w:rsidR="00444D49" w:rsidRPr="000A64AA" w:rsidRDefault="009C625C" w:rsidP="00105808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lastRenderedPageBreak/>
              <w:t>在向所有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项目工作人员提供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申诉机制</w:t>
            </w:r>
            <w:r w:rsidR="0008352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方面</w:t>
            </w:r>
            <w:r w:rsidR="000926D6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存在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的限制</w:t>
            </w:r>
          </w:p>
          <w:p w14:paraId="54F958DB" w14:textId="5212D6CD" w:rsidR="00F44503" w:rsidRPr="000A64AA" w:rsidRDefault="00A97FC4" w:rsidP="000260EF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在支持结社自由</w:t>
            </w:r>
            <w:r w:rsidR="0008352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和</w:t>
            </w:r>
            <w:r w:rsidR="0008352C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集体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谈判</w:t>
            </w:r>
            <w:r w:rsidR="0008352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目标</w:t>
            </w:r>
            <w:r w:rsidR="0008352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方面参考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国家法律</w:t>
            </w:r>
          </w:p>
          <w:p w14:paraId="7CD2AF9C" w14:textId="6898D620" w:rsidR="00444D49" w:rsidRPr="000A64AA" w:rsidRDefault="00F44503" w:rsidP="009A1E16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在国家法律不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承认</w:t>
            </w:r>
            <w:r w:rsidR="00762781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此类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权利</w:t>
            </w:r>
            <w:r w:rsidR="009C625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的情况下运用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有关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结社自由</w:t>
            </w:r>
            <w:r w:rsidR="00762781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和集体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谈判的</w:t>
            </w:r>
            <w:r w:rsidR="00762781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替代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机制</w:t>
            </w:r>
          </w:p>
          <w:p w14:paraId="39A7DCA6" w14:textId="0DCDF65C" w:rsidR="00444D49" w:rsidRPr="000A64AA" w:rsidRDefault="00E01E6E" w:rsidP="000926D6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执行职业健康安全(OHS)规定/标准的</w:t>
            </w:r>
            <w:r w:rsidR="009C625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相关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问题</w:t>
            </w:r>
          </w:p>
        </w:tc>
      </w:tr>
      <w:tr w:rsidR="00444D49" w:rsidRPr="000A64AA" w14:paraId="4F12A8C6" w14:textId="77777777" w:rsidTr="005E4F6B">
        <w:tc>
          <w:tcPr>
            <w:tcW w:w="985" w:type="dxa"/>
          </w:tcPr>
          <w:p w14:paraId="649E0D83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环境与社会标准3</w:t>
            </w:r>
          </w:p>
        </w:tc>
        <w:tc>
          <w:tcPr>
            <w:tcW w:w="2160" w:type="dxa"/>
          </w:tcPr>
          <w:p w14:paraId="1E794A03" w14:textId="4827AE8B" w:rsidR="00444D49" w:rsidRPr="000A64AA" w:rsidRDefault="00444D49" w:rsidP="009C625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气候变化</w:t>
            </w:r>
            <w:r w:rsidR="009C625C">
              <w:rPr>
                <w:rFonts w:asciiTheme="minorEastAsia" w:hAnsiTheme="minorEastAsia" w:cs="Times New Roman" w:hint="eastAsia"/>
                <w:sz w:val="24"/>
                <w:szCs w:val="24"/>
              </w:rPr>
              <w:t>与</w:t>
            </w: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温室气体排放</w:t>
            </w:r>
          </w:p>
        </w:tc>
        <w:tc>
          <w:tcPr>
            <w:tcW w:w="7650" w:type="dxa"/>
          </w:tcPr>
          <w:p w14:paraId="2E190C63" w14:textId="06FD8B62" w:rsidR="00444D49" w:rsidRPr="000A64AA" w:rsidRDefault="006E5E73" w:rsidP="006E5E73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环境与社会框架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中关于</w:t>
            </w:r>
            <w:r w:rsidR="00B763A7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气候变化的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条款</w:t>
            </w:r>
            <w:r w:rsidR="00B763A7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与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更广泛的气候变化承诺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特别是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《</w:t>
            </w:r>
            <w:r w:rsidR="00B763A7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联合国气候变化框架公约》（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UNFCC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  <w:r w:rsidR="00B763A7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之间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的关系</w:t>
            </w:r>
          </w:p>
          <w:p w14:paraId="11FD0DC1" w14:textId="3B8BF8A4" w:rsidR="00BA733C" w:rsidRPr="000A64AA" w:rsidRDefault="009C625C" w:rsidP="00BA733C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建议采取</w:t>
            </w:r>
            <w:r w:rsidR="00B763A7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的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衡量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监测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世行项目</w:t>
            </w:r>
            <w:r w:rsidR="00B763A7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中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温室气体排放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="00B763A7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方法</w:t>
            </w:r>
            <w:r w:rsidR="00B763A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含义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，包括确定</w:t>
            </w:r>
            <w:r w:rsidR="006A63D7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估算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监测范围、临界值、期限、频率以及经济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与</w:t>
            </w:r>
            <w:r w:rsidR="00A97FC4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财务可行性</w:t>
            </w:r>
          </w:p>
          <w:p w14:paraId="34056C25" w14:textId="72555B33" w:rsidR="0035406A" w:rsidRPr="000A64AA" w:rsidRDefault="00641839" w:rsidP="009C625C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要求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借款国</w:t>
            </w:r>
            <w:r w:rsidR="0078095B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按照建议的标准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估</w:t>
            </w:r>
            <w:r w:rsidR="0078095B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算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和减少世行项目温室气体排放的</w:t>
            </w:r>
            <w:r w:rsidR="0078095B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含义</w:t>
            </w:r>
          </w:p>
        </w:tc>
      </w:tr>
      <w:tr w:rsidR="00444D49" w:rsidRPr="000A64AA" w14:paraId="6EEE474D" w14:textId="77777777" w:rsidTr="005E4F6B">
        <w:tc>
          <w:tcPr>
            <w:tcW w:w="985" w:type="dxa"/>
          </w:tcPr>
          <w:p w14:paraId="19E18BE6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环境与社会标准5</w:t>
            </w:r>
          </w:p>
        </w:tc>
        <w:tc>
          <w:tcPr>
            <w:tcW w:w="2160" w:type="dxa"/>
          </w:tcPr>
          <w:p w14:paraId="7CC0B378" w14:textId="593AB598" w:rsidR="00444D49" w:rsidRPr="000A64AA" w:rsidRDefault="00444D49" w:rsidP="009C625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土地征用</w:t>
            </w:r>
            <w:r w:rsidR="009C625C">
              <w:rPr>
                <w:rFonts w:asciiTheme="minorEastAsia" w:hAnsiTheme="minorEastAsia" w:cs="Times New Roman" w:hint="eastAsia"/>
                <w:sz w:val="24"/>
                <w:szCs w:val="24"/>
              </w:rPr>
              <w:t>与</w:t>
            </w: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非自愿移民</w:t>
            </w:r>
          </w:p>
        </w:tc>
        <w:tc>
          <w:tcPr>
            <w:tcW w:w="7650" w:type="dxa"/>
          </w:tcPr>
          <w:p w14:paraId="07B1F649" w14:textId="235D1D01" w:rsidR="00D46F6F" w:rsidRPr="000A64AA" w:rsidRDefault="00D46F6F" w:rsidP="006E5E73">
            <w:pPr>
              <w:pStyle w:val="ListParagraph"/>
              <w:numPr>
                <w:ilvl w:val="0"/>
                <w:numId w:val="5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非正式居民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待遇</w:t>
            </w:r>
            <w:r w:rsidR="009C625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与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权利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以及对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与征地无关的强制拆迁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处理方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式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</w:t>
            </w:r>
          </w:p>
          <w:p w14:paraId="51421361" w14:textId="7370CEBD" w:rsidR="00444D49" w:rsidRPr="000A64AA" w:rsidRDefault="00394CA5" w:rsidP="00282E75">
            <w:pPr>
              <w:pStyle w:val="ListParagraph"/>
              <w:numPr>
                <w:ilvl w:val="0"/>
                <w:numId w:val="5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在不同的项目情况下对</w:t>
            </w:r>
            <w:r w:rsidR="00D226E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将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移民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搬迁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作为</w:t>
            </w:r>
            <w:r w:rsidR="00D226E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一种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“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发展机遇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”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概念的解释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44D49" w:rsidRPr="000A64AA" w14:paraId="297AB1CD" w14:textId="77777777" w:rsidTr="005E4F6B">
        <w:tc>
          <w:tcPr>
            <w:tcW w:w="985" w:type="dxa"/>
          </w:tcPr>
          <w:p w14:paraId="463257B9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环境与社会标准6</w:t>
            </w:r>
          </w:p>
        </w:tc>
        <w:tc>
          <w:tcPr>
            <w:tcW w:w="2160" w:type="dxa"/>
          </w:tcPr>
          <w:p w14:paraId="145C2CB3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生物多样性</w:t>
            </w:r>
          </w:p>
        </w:tc>
        <w:tc>
          <w:tcPr>
            <w:tcW w:w="7650" w:type="dxa"/>
          </w:tcPr>
          <w:p w14:paraId="2F2B965C" w14:textId="03A40407" w:rsidR="00444D49" w:rsidRPr="000A64AA" w:rsidRDefault="006E5E73" w:rsidP="006E5E73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对主要供应商和生态系统服务</w:t>
            </w:r>
            <w:r w:rsidR="009C625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相关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规定的操作，特别是</w:t>
            </w:r>
            <w:r w:rsidR="00D01B9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在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能力</w:t>
            </w:r>
            <w:r w:rsidR="009C625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低下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的情况下</w:t>
            </w:r>
          </w:p>
          <w:p w14:paraId="36341E44" w14:textId="3954C4B2" w:rsidR="008B6107" w:rsidRPr="000A64AA" w:rsidRDefault="00A97FC4" w:rsidP="00BE4181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保护和保存自然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关键栖息地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相关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国家法律的</w:t>
            </w:r>
            <w:r w:rsidR="00D226E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作用</w:t>
            </w:r>
          </w:p>
          <w:p w14:paraId="0879DE30" w14:textId="77777777" w:rsidR="000A17BB" w:rsidRPr="000A64AA" w:rsidRDefault="000A17BB" w:rsidP="000A17BB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生物多样性补偿标准，包括对项目效益的考虑 </w:t>
            </w:r>
          </w:p>
          <w:p w14:paraId="464D95DA" w14:textId="2848F391" w:rsidR="00C07EA5" w:rsidRPr="000A64AA" w:rsidRDefault="006D0315" w:rsidP="009C625C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多样性净收益的定义</w:t>
            </w:r>
            <w:r w:rsidR="009C625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与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应用</w:t>
            </w:r>
          </w:p>
        </w:tc>
      </w:tr>
      <w:tr w:rsidR="00444D49" w:rsidRPr="000A64AA" w14:paraId="5A61857E" w14:textId="77777777" w:rsidTr="005E4F6B">
        <w:tc>
          <w:tcPr>
            <w:tcW w:w="985" w:type="dxa"/>
          </w:tcPr>
          <w:p w14:paraId="6303C4A3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环境与社会标准7</w:t>
            </w:r>
          </w:p>
        </w:tc>
        <w:tc>
          <w:tcPr>
            <w:tcW w:w="2160" w:type="dxa"/>
          </w:tcPr>
          <w:p w14:paraId="229B7FC7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土著居民</w:t>
            </w:r>
          </w:p>
        </w:tc>
        <w:tc>
          <w:tcPr>
            <w:tcW w:w="7650" w:type="dxa"/>
          </w:tcPr>
          <w:p w14:paraId="4281B19C" w14:textId="640FA882" w:rsidR="00444D49" w:rsidRPr="000A64AA" w:rsidRDefault="00DF3346" w:rsidP="00DF3346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在复杂的政治和文化环境下土著居民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标准的</w:t>
            </w:r>
            <w:r w:rsidR="001072E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实施</w:t>
            </w:r>
          </w:p>
          <w:p w14:paraId="04878FFB" w14:textId="463B4135" w:rsidR="00AA5EEE" w:rsidRPr="000A64AA" w:rsidRDefault="00AA5EEE" w:rsidP="00DF3346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在宪法不承认土著居民或只</w:t>
            </w:r>
            <w:r w:rsidR="0000516F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承认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某些群体为土著居民的国家，环境与社会标准7的执行 </w:t>
            </w:r>
          </w:p>
          <w:p w14:paraId="5FAB4FA5" w14:textId="1D9C2AD9" w:rsidR="00CA30E3" w:rsidRPr="000A64AA" w:rsidRDefault="00D01B93" w:rsidP="00217107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zh-CN"/>
              </w:rPr>
              <w:t>可能采取</w:t>
            </w:r>
            <w:r>
              <w:rPr>
                <w:rFonts w:asciiTheme="minorEastAsia" w:eastAsiaTheme="minorEastAsia" w:hAnsiTheme="minorEastAsia" w:cstheme="majorBidi"/>
                <w:sz w:val="24"/>
                <w:szCs w:val="24"/>
                <w:lang w:eastAsia="zh-CN"/>
              </w:rPr>
              <w:t>的</w:t>
            </w:r>
            <w:r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zh-CN"/>
              </w:rPr>
              <w:t>反映</w:t>
            </w:r>
            <w:r w:rsidR="007815E1" w:rsidRPr="000A64AA">
              <w:rPr>
                <w:rFonts w:asciiTheme="minorEastAsia" w:eastAsiaTheme="minorEastAsia" w:hAnsiTheme="minorEastAsia" w:cstheme="majorBidi"/>
                <w:sz w:val="24"/>
                <w:szCs w:val="24"/>
                <w:lang w:eastAsia="zh-CN"/>
              </w:rPr>
              <w:t>不同国家用</w:t>
            </w:r>
            <w:r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zh-CN"/>
              </w:rPr>
              <w:t>于</w:t>
            </w:r>
            <w:r w:rsidR="007815E1" w:rsidRPr="000A64AA">
              <w:rPr>
                <w:rFonts w:asciiTheme="minorEastAsia" w:eastAsiaTheme="minorEastAsia" w:hAnsiTheme="minorEastAsia" w:cstheme="majorBidi"/>
                <w:sz w:val="24"/>
                <w:szCs w:val="24"/>
                <w:lang w:eastAsia="zh-CN"/>
              </w:rPr>
              <w:t>描述土著居民的替代术语的方法</w:t>
            </w:r>
          </w:p>
          <w:p w14:paraId="4A1B6760" w14:textId="43C68C9C" w:rsidR="005F7AF0" w:rsidRPr="000A64AA" w:rsidRDefault="00D01B93" w:rsidP="000F4D29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在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何种情况下</w:t>
            </w:r>
            <w:r w:rsidR="0000516F" w:rsidRPr="000A64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可</w:t>
            </w:r>
            <w:r w:rsidR="00A97FC4"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考虑</w:t>
            </w:r>
            <w:r w:rsidR="00A97FC4" w:rsidRPr="00D01B93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放弃</w:t>
            </w:r>
            <w:r w:rsidR="00A97FC4"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（例如标准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与</w:t>
            </w:r>
            <w:r w:rsidR="00A97FC4"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时</w:t>
            </w:r>
            <w:r w:rsidR="0000516F" w:rsidRPr="000A64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机</w:t>
            </w:r>
            <w:r w:rsidR="00A97FC4"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）以及</w:t>
            </w:r>
            <w:r w:rsidR="0000516F" w:rsidRPr="000A64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将此</w:t>
            </w:r>
            <w:r w:rsidR="0000516F"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决定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通报执董会</w:t>
            </w:r>
            <w:r w:rsidR="0000516F" w:rsidRPr="000A64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时</w:t>
            </w:r>
            <w:r w:rsidR="0000516F"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须提供的</w:t>
            </w:r>
            <w:r w:rsidR="00A97FC4"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 xml:space="preserve">信息 </w:t>
            </w:r>
          </w:p>
          <w:p w14:paraId="1859A013" w14:textId="53DBB19A" w:rsidR="00444D49" w:rsidRPr="000A64AA" w:rsidRDefault="00143AFC" w:rsidP="00641839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自由和事先知情同意书(FPIC)的建立和</w:t>
            </w:r>
            <w:r w:rsidR="001072E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实施</w:t>
            </w:r>
            <w:r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标准</w:t>
            </w:r>
          </w:p>
          <w:p w14:paraId="415EB658" w14:textId="77777777" w:rsidR="00DE3335" w:rsidRPr="000A64AA" w:rsidRDefault="00217107" w:rsidP="00DE3335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拟议的自由和事先知情同意书与现有磋商要求的对比</w:t>
            </w:r>
          </w:p>
          <w:p w14:paraId="698625B5" w14:textId="77777777" w:rsidR="00666455" w:rsidRPr="000A64AA" w:rsidRDefault="00666455" w:rsidP="00DE3335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自由和事先知情同意书的应用对土著居民文化遗产的影响</w:t>
            </w:r>
          </w:p>
        </w:tc>
      </w:tr>
      <w:tr w:rsidR="00444D49" w:rsidRPr="000A64AA" w14:paraId="4103688A" w14:textId="77777777" w:rsidTr="005E4F6B">
        <w:tc>
          <w:tcPr>
            <w:tcW w:w="985" w:type="dxa"/>
          </w:tcPr>
          <w:p w14:paraId="6A4B0C76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环境与社会标准8</w:t>
            </w:r>
          </w:p>
        </w:tc>
        <w:tc>
          <w:tcPr>
            <w:tcW w:w="2160" w:type="dxa"/>
          </w:tcPr>
          <w:p w14:paraId="5C29F4F7" w14:textId="229B13F0" w:rsidR="00444D49" w:rsidRPr="000A64AA" w:rsidRDefault="00444D49" w:rsidP="000051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文化遗产</w:t>
            </w:r>
          </w:p>
        </w:tc>
        <w:tc>
          <w:tcPr>
            <w:tcW w:w="7650" w:type="dxa"/>
          </w:tcPr>
          <w:p w14:paraId="50A7895D" w14:textId="7DC09C7F" w:rsidR="00E34E6A" w:rsidRPr="000A64AA" w:rsidRDefault="0000516F" w:rsidP="003E4EC3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对</w:t>
            </w:r>
            <w:r w:rsidR="006E5E73"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非</w:t>
            </w:r>
            <w:r w:rsidR="006E5E73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物质文化遗产的处理 </w:t>
            </w:r>
          </w:p>
          <w:p w14:paraId="464D8243" w14:textId="2EFAAF16" w:rsidR="00C232FC" w:rsidRPr="000A64AA" w:rsidRDefault="00E7516C" w:rsidP="002513D5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在</w:t>
            </w:r>
            <w:r w:rsidR="009A1E16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项目打算将遗产</w:t>
            </w:r>
            <w:r w:rsidR="00D01B9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进行</w:t>
            </w:r>
            <w:r w:rsidR="009A1E16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商业化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情况下</w:t>
            </w:r>
            <w:r w:rsidR="009A1E16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非物质文化遗产的应用</w:t>
            </w:r>
          </w:p>
          <w:p w14:paraId="268B1723" w14:textId="7A170B5A" w:rsidR="00E34E6A" w:rsidRPr="000A64AA" w:rsidRDefault="00E81112" w:rsidP="00D01B93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当文化遗产</w:t>
            </w:r>
            <w:r w:rsidR="00D01B93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不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受法律保护或</w:t>
            </w:r>
            <w:r w:rsidR="00E33A4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未被</w:t>
            </w:r>
            <w:r w:rsidR="00E33A4C" w:rsidRPr="000A64AA">
              <w:rPr>
                <w:rFonts w:asciiTheme="minorEastAsia" w:eastAsiaTheme="minorEastAsia" w:hAnsiTheme="minorEastAsia" w:cs="SimSun"/>
                <w:sz w:val="24"/>
                <w:szCs w:val="24"/>
                <w:lang w:eastAsia="zh-CN"/>
              </w:rPr>
              <w:t>甄别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或</w:t>
            </w:r>
            <w:r w:rsidR="00E33A4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未被打扰</w:t>
            </w:r>
            <w:r w:rsidR="00D01B93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的情况下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文化遗产要求的应用</w:t>
            </w:r>
          </w:p>
        </w:tc>
      </w:tr>
      <w:tr w:rsidR="00444D49" w:rsidRPr="000A64AA" w14:paraId="1C35CC39" w14:textId="77777777" w:rsidTr="005E4F6B">
        <w:tc>
          <w:tcPr>
            <w:tcW w:w="985" w:type="dxa"/>
          </w:tcPr>
          <w:p w14:paraId="3ACE5345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环境与社会标准9</w:t>
            </w:r>
          </w:p>
        </w:tc>
        <w:tc>
          <w:tcPr>
            <w:tcW w:w="2160" w:type="dxa"/>
          </w:tcPr>
          <w:p w14:paraId="185D4F71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金融中介机构</w:t>
            </w:r>
          </w:p>
        </w:tc>
        <w:tc>
          <w:tcPr>
            <w:tcW w:w="7650" w:type="dxa"/>
          </w:tcPr>
          <w:p w14:paraId="4EBD5F91" w14:textId="74030B1B" w:rsidR="00444D49" w:rsidRPr="000A64AA" w:rsidRDefault="00E33A4C" w:rsidP="002513D5">
            <w:pPr>
              <w:pStyle w:val="ListParagraph"/>
              <w:numPr>
                <w:ilvl w:val="0"/>
                <w:numId w:val="10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对</w:t>
            </w:r>
            <w:r w:rsidR="00105808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金融中介机构子项目</w:t>
            </w: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="00105808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标准应用及</w:t>
            </w: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其根据</w:t>
            </w:r>
            <w:r w:rsidR="00105808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风险</w:t>
            </w:r>
            <w:r w:rsidR="00D01B9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大小</w:t>
            </w: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所涉及</w:t>
            </w:r>
            <w:r w:rsidR="00105808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资源</w:t>
            </w:r>
            <w:r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问题</w:t>
            </w:r>
            <w:r w:rsidR="00105808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</w:t>
            </w:r>
          </w:p>
          <w:p w14:paraId="52081C62" w14:textId="50760059" w:rsidR="00444D49" w:rsidRPr="000A64AA" w:rsidRDefault="00D01B93" w:rsidP="00E7516C">
            <w:pPr>
              <w:pStyle w:val="ListParagraph"/>
              <w:numPr>
                <w:ilvl w:val="0"/>
                <w:numId w:val="10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与</w:t>
            </w:r>
            <w:r w:rsidR="007D5A1B"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国际金融公司和赤道银行</w:t>
            </w:r>
            <w:r w:rsidR="00E7516C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在方法</w:t>
            </w:r>
            <w:r w:rsidR="00E7516C">
              <w:rPr>
                <w:rFonts w:asciiTheme="minorEastAsia" w:eastAsiaTheme="minorEastAsia" w:hAnsiTheme="minorEastAsia" w:cs="SimSun"/>
                <w:sz w:val="24"/>
                <w:szCs w:val="24"/>
                <w:lang w:eastAsia="zh-CN"/>
              </w:rPr>
              <w:t>上的</w:t>
            </w:r>
            <w:r w:rsidR="007D5A1B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协调</w:t>
            </w:r>
            <w:r w:rsidR="00E7516C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化</w:t>
            </w:r>
            <w:r w:rsidR="007D5A1B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44D49" w:rsidRPr="000A64AA" w14:paraId="69915E2C" w14:textId="77777777" w:rsidTr="005E4F6B">
        <w:tc>
          <w:tcPr>
            <w:tcW w:w="985" w:type="dxa"/>
          </w:tcPr>
          <w:p w14:paraId="56E85A68" w14:textId="77777777" w:rsidR="00444D49" w:rsidRPr="000A64AA" w:rsidRDefault="00444D49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环境与社会标准10</w:t>
            </w:r>
          </w:p>
        </w:tc>
        <w:tc>
          <w:tcPr>
            <w:tcW w:w="2160" w:type="dxa"/>
          </w:tcPr>
          <w:p w14:paraId="2AE12E5C" w14:textId="749DBC17" w:rsidR="00444D49" w:rsidRPr="000A64AA" w:rsidRDefault="00444D49" w:rsidP="00E33A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利益相关</w:t>
            </w:r>
            <w:r w:rsidR="00E33A4C" w:rsidRPr="000A64AA">
              <w:rPr>
                <w:rFonts w:asciiTheme="minorEastAsia" w:hAnsiTheme="minorEastAsia" w:cs="Times New Roman" w:hint="eastAsia"/>
                <w:sz w:val="24"/>
                <w:szCs w:val="24"/>
              </w:rPr>
              <w:t>方</w:t>
            </w: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参与</w:t>
            </w:r>
          </w:p>
        </w:tc>
        <w:tc>
          <w:tcPr>
            <w:tcW w:w="7650" w:type="dxa"/>
          </w:tcPr>
          <w:p w14:paraId="1BBC4C73" w14:textId="244B17E7" w:rsidR="00205480" w:rsidRPr="000A64AA" w:rsidRDefault="00205480" w:rsidP="00205480">
            <w:pPr>
              <w:pStyle w:val="ListParagraph"/>
              <w:numPr>
                <w:ilvl w:val="0"/>
                <w:numId w:val="8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项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目利益相关</w:t>
            </w:r>
            <w:r w:rsidR="00E33A4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方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的定义</w:t>
            </w:r>
            <w:r w:rsidR="00D01B9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与</w:t>
            </w:r>
            <w:r w:rsidR="00E33A4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甄别</w:t>
            </w:r>
            <w:r w:rsidR="00E7516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及其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参与的性质</w:t>
            </w:r>
          </w:p>
          <w:p w14:paraId="21CDA721" w14:textId="1A732C3C" w:rsidR="00F17728" w:rsidRPr="000A64AA" w:rsidRDefault="00205480" w:rsidP="004624B2">
            <w:pPr>
              <w:pStyle w:val="ListParagraph"/>
              <w:numPr>
                <w:ilvl w:val="0"/>
                <w:numId w:val="8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借款国或执行机构在</w:t>
            </w:r>
            <w:r w:rsidR="00E33A4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甄别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项目利益相关</w:t>
            </w:r>
            <w:r w:rsidR="00E33A4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方</w:t>
            </w:r>
            <w:r w:rsidR="004624B2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中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的</w:t>
            </w:r>
            <w:r w:rsidR="004624B2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职责</w:t>
            </w:r>
          </w:p>
        </w:tc>
      </w:tr>
      <w:tr w:rsidR="00BA6FFD" w:rsidRPr="000A64AA" w14:paraId="78F6AB0C" w14:textId="77777777" w:rsidTr="005E4F6B">
        <w:tc>
          <w:tcPr>
            <w:tcW w:w="985" w:type="dxa"/>
            <w:vMerge w:val="restart"/>
          </w:tcPr>
          <w:p w14:paraId="08D6BF3D" w14:textId="77777777" w:rsidR="00BA6FFD" w:rsidRPr="000A64AA" w:rsidRDefault="00BA6FFD" w:rsidP="00444D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综述</w:t>
            </w:r>
          </w:p>
          <w:p w14:paraId="3173474D" w14:textId="77777777" w:rsidR="00BA6FFD" w:rsidRPr="000A64AA" w:rsidRDefault="00BA6FFD" w:rsidP="00F019A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831B08" w14:textId="5894FB09" w:rsidR="00BA6FFD" w:rsidRPr="000A64AA" w:rsidRDefault="00C232FC" w:rsidP="000926D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环境、健康与安全指南和</w:t>
            </w:r>
            <w:r w:rsidR="00E7516C">
              <w:rPr>
                <w:rFonts w:asciiTheme="minorEastAsia" w:hAnsiTheme="minorEastAsia" w:cs="Times New Roman" w:hint="eastAsia"/>
                <w:sz w:val="24"/>
                <w:szCs w:val="24"/>
              </w:rPr>
              <w:t>国际</w:t>
            </w: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行业</w:t>
            </w:r>
            <w:r w:rsidR="00E7516C" w:rsidRPr="00E7516C">
              <w:rPr>
                <w:rFonts w:asciiTheme="minorEastAsia" w:hAnsiTheme="minorEastAsia" w:cs="Times New Roman" w:hint="eastAsia"/>
                <w:sz w:val="24"/>
                <w:szCs w:val="24"/>
              </w:rPr>
              <w:t>良好</w:t>
            </w:r>
            <w:r w:rsidR="00E7516C">
              <w:rPr>
                <w:rFonts w:asciiTheme="minorEastAsia" w:hAnsiTheme="minorEastAsia" w:cs="Times New Roman" w:hint="eastAsia"/>
                <w:sz w:val="24"/>
                <w:szCs w:val="24"/>
              </w:rPr>
              <w:t>实践</w:t>
            </w:r>
          </w:p>
        </w:tc>
        <w:tc>
          <w:tcPr>
            <w:tcW w:w="7650" w:type="dxa"/>
          </w:tcPr>
          <w:p w14:paraId="76B0D560" w14:textId="19010323" w:rsidR="00BA6FFD" w:rsidRPr="000A64AA" w:rsidRDefault="007D5A1B" w:rsidP="00E7516C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环境</w:t>
            </w:r>
            <w:r w:rsidR="00E33A4C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健康</w:t>
            </w:r>
            <w:r w:rsidR="00E33A4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与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安全指南（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EHSG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）和国际行业</w:t>
            </w:r>
            <w:r w:rsidR="00E33A4C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良好实践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（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GIIP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）的应用，特别是在与国家法律</w:t>
            </w:r>
            <w:r w:rsidR="00E7516C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有差异</w:t>
            </w:r>
            <w:r w:rsidR="004624B2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的</w:t>
            </w:r>
            <w:r w:rsidR="004624B2">
              <w:rPr>
                <w:rFonts w:asciiTheme="minorEastAsia" w:eastAsiaTheme="minorEastAsia" w:hAnsiTheme="minorEastAsia" w:cs="Microsoft YaHei"/>
                <w:sz w:val="24"/>
                <w:szCs w:val="24"/>
                <w:lang w:eastAsia="zh-CN"/>
              </w:rPr>
              <w:t>情况下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，或</w:t>
            </w:r>
            <w:r w:rsidR="00A22329"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在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借款国</w:t>
            </w:r>
            <w:r w:rsidR="004624B2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存在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技术或</w:t>
            </w:r>
            <w:r w:rsidR="004624B2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资金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限制和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/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或考虑</w:t>
            </w:r>
            <w:r w:rsidR="00A22329"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到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项目</w:t>
            </w:r>
            <w:r w:rsidR="004624B2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特殊情况时</w:t>
            </w:r>
          </w:p>
        </w:tc>
      </w:tr>
      <w:tr w:rsidR="00BA6FFD" w:rsidRPr="000A64AA" w14:paraId="7FE80856" w14:textId="77777777" w:rsidTr="005E4F6B">
        <w:tc>
          <w:tcPr>
            <w:tcW w:w="985" w:type="dxa"/>
            <w:vMerge/>
          </w:tcPr>
          <w:p w14:paraId="2A0CF035" w14:textId="77777777" w:rsidR="00BA6FFD" w:rsidRPr="000A64AA" w:rsidRDefault="00BA6FFD" w:rsidP="00F019A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67FD0A" w14:textId="6D33CFFE" w:rsidR="00BA6FFD" w:rsidRPr="000A64AA" w:rsidRDefault="00E7516C" w:rsidP="004624B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实施</w:t>
            </w:r>
            <w:r w:rsidR="002B3D8A" w:rsidRPr="000A64AA">
              <w:rPr>
                <w:rFonts w:asciiTheme="minorEastAsia" w:hAnsiTheme="minorEastAsia" w:cs="Times New Roman"/>
                <w:sz w:val="24"/>
                <w:szCs w:val="24"/>
              </w:rPr>
              <w:t>的可行性</w:t>
            </w:r>
            <w:r w:rsidR="004624B2">
              <w:rPr>
                <w:rFonts w:asciiTheme="minorEastAsia" w:hAnsiTheme="minorEastAsia" w:cs="Times New Roman" w:hint="eastAsia"/>
                <w:sz w:val="24"/>
                <w:szCs w:val="24"/>
              </w:rPr>
              <w:t>与</w:t>
            </w:r>
            <w:r w:rsidR="002B3D8A" w:rsidRPr="000A64AA">
              <w:rPr>
                <w:rFonts w:asciiTheme="minorEastAsia" w:hAnsiTheme="minorEastAsia" w:cs="Times New Roman"/>
                <w:sz w:val="24"/>
                <w:szCs w:val="24"/>
              </w:rPr>
              <w:t>资源</w:t>
            </w:r>
          </w:p>
        </w:tc>
        <w:tc>
          <w:tcPr>
            <w:tcW w:w="7650" w:type="dxa"/>
          </w:tcPr>
          <w:p w14:paraId="29635608" w14:textId="7D9287D3" w:rsidR="00BA6FFD" w:rsidRPr="000A64AA" w:rsidRDefault="0077044E" w:rsidP="003E4EC3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在考虑到拟议环境与社会框架（如劳工标准）的范围</w:t>
            </w:r>
            <w:r w:rsidR="004624B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扩大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、借款国的能力</w:t>
            </w:r>
            <w:r w:rsidR="004624B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差异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及适应管理</w:t>
            </w:r>
            <w:r w:rsidR="00E7516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方式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等因素的情况下，借款国</w:t>
            </w:r>
            <w:r w:rsidR="00E7516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面临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的</w:t>
            </w:r>
            <w:r w:rsidR="00E7516C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实施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问题</w:t>
            </w:r>
            <w:r w:rsidR="00A22329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及所需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资源</w:t>
            </w:r>
          </w:p>
          <w:p w14:paraId="62E82BDF" w14:textId="62B66906" w:rsidR="00B92914" w:rsidRPr="000A64AA" w:rsidRDefault="00A97FC4" w:rsidP="004624B2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在保持有效性的同时减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少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额外负担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及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成本</w:t>
            </w:r>
            <w:r w:rsidR="004624B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和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提高实施效率的</w:t>
            </w:r>
            <w:r w:rsidR="004624B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可选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方案</w:t>
            </w:r>
          </w:p>
        </w:tc>
      </w:tr>
      <w:tr w:rsidR="00BA6FFD" w:rsidRPr="000A64AA" w14:paraId="55F5CB20" w14:textId="77777777" w:rsidTr="005E4F6B">
        <w:tc>
          <w:tcPr>
            <w:tcW w:w="985" w:type="dxa"/>
            <w:vMerge/>
          </w:tcPr>
          <w:p w14:paraId="0394D4E4" w14:textId="77777777" w:rsidR="00BA6FFD" w:rsidRPr="000A64AA" w:rsidRDefault="00BA6FFD" w:rsidP="00F019A5">
            <w:pP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B7D5DD" w14:textId="77777777" w:rsidR="00BA6FFD" w:rsidRPr="000A64AA" w:rsidRDefault="00BA6FFD" w:rsidP="00F019A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客户能力建设和实施支持</w:t>
            </w:r>
          </w:p>
        </w:tc>
        <w:tc>
          <w:tcPr>
            <w:tcW w:w="7650" w:type="dxa"/>
          </w:tcPr>
          <w:p w14:paraId="4A94717A" w14:textId="1AB4F5E0" w:rsidR="00BA6FFD" w:rsidRPr="000A64AA" w:rsidRDefault="007D5A1B" w:rsidP="007D5A1B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客户能力建设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="00A22329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资金来源</w:t>
            </w:r>
          </w:p>
          <w:p w14:paraId="3BD22844" w14:textId="2B495211" w:rsidR="001D3DB1" w:rsidRPr="000A64AA" w:rsidRDefault="007D5A1B" w:rsidP="001D3DB1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方法及</w:t>
            </w:r>
            <w:r w:rsidRPr="000A64AA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CN"/>
              </w:rPr>
              <w:t>重点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领域 </w:t>
            </w:r>
          </w:p>
          <w:p w14:paraId="085F9578" w14:textId="3E795067" w:rsidR="00BA6FFD" w:rsidRPr="000A64AA" w:rsidRDefault="001D3DB1" w:rsidP="001072E5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在能力</w:t>
            </w:r>
            <w:r w:rsidR="000926D6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有限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的情况下，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如</w:t>
            </w:r>
            <w:r w:rsidR="00A22329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脆弱及受冲突影响国家、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小国</w:t>
            </w:r>
            <w:r w:rsidR="004624B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以及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紧急情况下</w:t>
            </w:r>
            <w:r w:rsidR="00A22329"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，</w:t>
            </w:r>
            <w:r w:rsidR="001072E5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实施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环境与社会框架的方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法</w:t>
            </w:r>
          </w:p>
        </w:tc>
      </w:tr>
      <w:tr w:rsidR="00635FF7" w:rsidRPr="000A64AA" w14:paraId="3A82E531" w14:textId="77777777" w:rsidTr="005E4F6B">
        <w:tc>
          <w:tcPr>
            <w:tcW w:w="985" w:type="dxa"/>
            <w:vMerge/>
          </w:tcPr>
          <w:p w14:paraId="517E5CBF" w14:textId="77777777" w:rsidR="00635FF7" w:rsidRPr="000A64AA" w:rsidRDefault="00635FF7" w:rsidP="00F019A5">
            <w:pP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B8E838" w14:textId="506AFEA2" w:rsidR="00635FF7" w:rsidRPr="000A64AA" w:rsidRDefault="00A22329" w:rsidP="00F019A5">
            <w:pP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信息</w:t>
            </w:r>
            <w:r w:rsidR="00635FF7" w:rsidRPr="000A64AA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披露</w:t>
            </w:r>
          </w:p>
        </w:tc>
        <w:tc>
          <w:tcPr>
            <w:tcW w:w="7650" w:type="dxa"/>
          </w:tcPr>
          <w:p w14:paraId="0BB1AE93" w14:textId="2CC65D0A" w:rsidR="00635FF7" w:rsidRPr="000A64AA" w:rsidRDefault="00635FF7" w:rsidP="00282E75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特定环境和社会影响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评估文件的编制和披露</w:t>
            </w:r>
            <w:r w:rsidR="00A22329"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时间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（与环境与社会标准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和环境与社会标准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10</w:t>
            </w:r>
            <w:r w:rsidRPr="000A64AA">
              <w:rPr>
                <w:rFonts w:asciiTheme="minorEastAsia" w:eastAsiaTheme="minorEastAsia" w:hAnsiTheme="minorEastAsia" w:cs="Microsoft YaHei" w:hint="eastAsia"/>
                <w:sz w:val="24"/>
                <w:szCs w:val="24"/>
                <w:lang w:eastAsia="zh-CN"/>
              </w:rPr>
              <w:t>相关）</w:t>
            </w:r>
          </w:p>
        </w:tc>
      </w:tr>
      <w:tr w:rsidR="00BA6FFD" w:rsidRPr="000A64AA" w14:paraId="6D176BE6" w14:textId="77777777" w:rsidTr="005E4F6B">
        <w:tc>
          <w:tcPr>
            <w:tcW w:w="985" w:type="dxa"/>
            <w:vMerge/>
          </w:tcPr>
          <w:p w14:paraId="4A9F4D96" w14:textId="77777777" w:rsidR="00BA6FFD" w:rsidRPr="000A64AA" w:rsidRDefault="00BA6FFD" w:rsidP="00F019A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704397" w14:textId="77777777" w:rsidR="00BA6FFD" w:rsidRPr="000A64AA" w:rsidRDefault="00BA6FFD" w:rsidP="00F019A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64AA">
              <w:rPr>
                <w:rFonts w:asciiTheme="minorEastAsia" w:hAnsiTheme="minorEastAsia" w:cs="Times New Roman"/>
                <w:sz w:val="24"/>
                <w:szCs w:val="24"/>
              </w:rPr>
              <w:t>环境与社会框架的实施</w:t>
            </w:r>
          </w:p>
        </w:tc>
        <w:tc>
          <w:tcPr>
            <w:tcW w:w="7650" w:type="dxa"/>
          </w:tcPr>
          <w:p w14:paraId="59DDD85D" w14:textId="66F6DDCE" w:rsidR="00BA6FFD" w:rsidRPr="000A64AA" w:rsidRDefault="00BA6FFD" w:rsidP="00933D3E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为了成功</w:t>
            </w:r>
            <w:r w:rsidR="004624B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地</w:t>
            </w:r>
            <w:r w:rsidR="000926D6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实施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环境与社会框架，世行内部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能力建设</w:t>
            </w:r>
            <w:r w:rsidR="00A22329" w:rsidRPr="000A64A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Pr="000A64A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资源和行为改变</w:t>
            </w:r>
          </w:p>
          <w:p w14:paraId="2EC23FD4" w14:textId="1B19EC2D" w:rsidR="00657348" w:rsidRPr="000A64AA" w:rsidRDefault="00657348" w:rsidP="004624B2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借款</w:t>
            </w:r>
            <w:r w:rsidR="00A22329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国与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世界银行之间</w:t>
            </w:r>
            <w:r w:rsidR="004624B2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围绕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不同解释</w:t>
            </w:r>
            <w:r w:rsidR="00A22329"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的</w:t>
            </w:r>
            <w:r w:rsidRPr="000A64AA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问题达成相互理解的</w:t>
            </w:r>
            <w:r w:rsidR="004624B2">
              <w:rPr>
                <w:rFonts w:asciiTheme="minorEastAsia" w:eastAsiaTheme="minorEastAsia" w:hAnsiTheme="minorEastAsia" w:cs="SimSun" w:hint="eastAsia"/>
                <w:sz w:val="24"/>
                <w:szCs w:val="24"/>
                <w:lang w:eastAsia="zh-CN"/>
              </w:rPr>
              <w:t>途径</w:t>
            </w:r>
          </w:p>
        </w:tc>
      </w:tr>
    </w:tbl>
    <w:p w14:paraId="36934620" w14:textId="77777777" w:rsidR="00F248C2" w:rsidRPr="00F248C2" w:rsidRDefault="00F248C2" w:rsidP="00F248C2">
      <w:pPr>
        <w:rPr>
          <w:rFonts w:ascii="Times New Roman" w:hAnsi="Times New Roman" w:cs="Times New Roman"/>
          <w:sz w:val="24"/>
          <w:szCs w:val="24"/>
        </w:rPr>
      </w:pPr>
    </w:p>
    <w:sectPr w:rsidR="00F248C2" w:rsidRPr="00F248C2" w:rsidSect="00217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A1D8" w14:textId="77777777" w:rsidR="00E653CD" w:rsidRDefault="00E653CD" w:rsidP="002A2CFE">
      <w:pPr>
        <w:spacing w:after="0" w:line="240" w:lineRule="auto"/>
      </w:pPr>
      <w:r>
        <w:separator/>
      </w:r>
    </w:p>
  </w:endnote>
  <w:endnote w:type="continuationSeparator" w:id="0">
    <w:p w14:paraId="6B3D02B7" w14:textId="77777777" w:rsidR="00E653CD" w:rsidRDefault="00E653CD" w:rsidP="002A2CFE">
      <w:pPr>
        <w:spacing w:after="0" w:line="240" w:lineRule="auto"/>
      </w:pPr>
      <w:r>
        <w:continuationSeparator/>
      </w:r>
    </w:p>
  </w:endnote>
  <w:endnote w:type="continuationNotice" w:id="1">
    <w:p w14:paraId="347E167A" w14:textId="77777777" w:rsidR="00E653CD" w:rsidRDefault="00E65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A54D" w14:textId="77777777" w:rsidR="00A43773" w:rsidRDefault="00A43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00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F7C5A3" w14:textId="77777777" w:rsidR="00B32950" w:rsidRPr="00B32950" w:rsidRDefault="00B3295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3849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065FF51" w14:textId="77777777" w:rsidR="00B045EF" w:rsidRDefault="00B04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21FB" w14:textId="77777777" w:rsidR="00A43773" w:rsidRDefault="00A43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63949" w14:textId="77777777" w:rsidR="00E653CD" w:rsidRDefault="00E653CD" w:rsidP="002A2CFE">
      <w:pPr>
        <w:spacing w:after="0" w:line="240" w:lineRule="auto"/>
      </w:pPr>
      <w:r>
        <w:separator/>
      </w:r>
    </w:p>
  </w:footnote>
  <w:footnote w:type="continuationSeparator" w:id="0">
    <w:p w14:paraId="5F4B0CD6" w14:textId="77777777" w:rsidR="00E653CD" w:rsidRDefault="00E653CD" w:rsidP="002A2CFE">
      <w:pPr>
        <w:spacing w:after="0" w:line="240" w:lineRule="auto"/>
      </w:pPr>
      <w:r>
        <w:continuationSeparator/>
      </w:r>
    </w:p>
  </w:footnote>
  <w:footnote w:type="continuationNotice" w:id="1">
    <w:p w14:paraId="5477E148" w14:textId="77777777" w:rsidR="00E653CD" w:rsidRDefault="00E653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9F04C" w14:textId="77777777" w:rsidR="00A43773" w:rsidRDefault="00A43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CCC5" w14:textId="59319DDF" w:rsidR="00B045EF" w:rsidRPr="00641839" w:rsidRDefault="00A43773" w:rsidP="00217107">
    <w:pPr>
      <w:pStyle w:val="Header"/>
      <w:tabs>
        <w:tab w:val="clear" w:pos="9360"/>
      </w:tabs>
      <w:spacing w:after="24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  <w:t xml:space="preserve">              </w:t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 w:rsidR="00701A96">
      <w:rPr>
        <w:rFonts w:asciiTheme="majorBidi" w:hAnsiTheme="majorBidi" w:cstheme="majorBidi"/>
      </w:rPr>
      <w:t>2015</w:t>
    </w:r>
    <w:r w:rsidR="00701A96">
      <w:rPr>
        <w:rFonts w:asciiTheme="majorBidi" w:hAnsiTheme="majorBidi" w:cstheme="majorBidi"/>
      </w:rPr>
      <w:t>年</w:t>
    </w:r>
    <w:r w:rsidR="00701A96">
      <w:rPr>
        <w:rFonts w:asciiTheme="majorBidi" w:hAnsiTheme="majorBidi" w:cstheme="majorBidi"/>
      </w:rPr>
      <w:t>8</w:t>
    </w:r>
    <w:r w:rsidR="00701A96">
      <w:rPr>
        <w:rFonts w:asciiTheme="majorBidi" w:hAnsiTheme="majorBidi" w:cstheme="majorBidi"/>
      </w:rPr>
      <w:t>月</w:t>
    </w:r>
    <w:r w:rsidR="00701A96">
      <w:rPr>
        <w:rFonts w:asciiTheme="majorBidi" w:hAnsiTheme="majorBidi" w:cstheme="majorBidi"/>
      </w:rPr>
      <w:t>3</w:t>
    </w:r>
    <w:r w:rsidR="00701A96">
      <w:rPr>
        <w:rFonts w:asciiTheme="majorBidi" w:hAnsiTheme="majorBidi" w:cstheme="majorBidi"/>
      </w:rPr>
      <w:t>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F460" w14:textId="77777777" w:rsidR="00A43773" w:rsidRDefault="00A43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8E"/>
    <w:multiLevelType w:val="hybridMultilevel"/>
    <w:tmpl w:val="7FE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6B8E"/>
    <w:multiLevelType w:val="hybridMultilevel"/>
    <w:tmpl w:val="E7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A6F"/>
    <w:multiLevelType w:val="hybridMultilevel"/>
    <w:tmpl w:val="406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7E60"/>
    <w:multiLevelType w:val="hybridMultilevel"/>
    <w:tmpl w:val="E4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B3F48"/>
    <w:multiLevelType w:val="hybridMultilevel"/>
    <w:tmpl w:val="DD6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25CF"/>
    <w:multiLevelType w:val="hybridMultilevel"/>
    <w:tmpl w:val="AE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230A"/>
    <w:multiLevelType w:val="hybridMultilevel"/>
    <w:tmpl w:val="CC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56C9"/>
    <w:multiLevelType w:val="hybridMultilevel"/>
    <w:tmpl w:val="937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1163E"/>
    <w:multiLevelType w:val="hybridMultilevel"/>
    <w:tmpl w:val="59B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B5E71"/>
    <w:multiLevelType w:val="hybridMultilevel"/>
    <w:tmpl w:val="A18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A"/>
    <w:rsid w:val="0000149B"/>
    <w:rsid w:val="00003DE8"/>
    <w:rsid w:val="00003E60"/>
    <w:rsid w:val="0000516F"/>
    <w:rsid w:val="00020167"/>
    <w:rsid w:val="000260EF"/>
    <w:rsid w:val="00026364"/>
    <w:rsid w:val="00027054"/>
    <w:rsid w:val="000336A3"/>
    <w:rsid w:val="00037EE7"/>
    <w:rsid w:val="00040B41"/>
    <w:rsid w:val="000419FF"/>
    <w:rsid w:val="00042513"/>
    <w:rsid w:val="00047C4E"/>
    <w:rsid w:val="00053362"/>
    <w:rsid w:val="0005339B"/>
    <w:rsid w:val="00055656"/>
    <w:rsid w:val="00071BD2"/>
    <w:rsid w:val="00073D66"/>
    <w:rsid w:val="000811A8"/>
    <w:rsid w:val="000830BB"/>
    <w:rsid w:val="0008352C"/>
    <w:rsid w:val="00091E8A"/>
    <w:rsid w:val="000926D6"/>
    <w:rsid w:val="000932B4"/>
    <w:rsid w:val="00095B65"/>
    <w:rsid w:val="000A17BB"/>
    <w:rsid w:val="000A1CA2"/>
    <w:rsid w:val="000A3A99"/>
    <w:rsid w:val="000A64AA"/>
    <w:rsid w:val="000B33E5"/>
    <w:rsid w:val="000B6D97"/>
    <w:rsid w:val="000C2C9A"/>
    <w:rsid w:val="000C379E"/>
    <w:rsid w:val="000D207A"/>
    <w:rsid w:val="000D289A"/>
    <w:rsid w:val="000D5C4B"/>
    <w:rsid w:val="000E6821"/>
    <w:rsid w:val="000F4BFE"/>
    <w:rsid w:val="000F4D29"/>
    <w:rsid w:val="000F7552"/>
    <w:rsid w:val="00105808"/>
    <w:rsid w:val="001072E5"/>
    <w:rsid w:val="00122172"/>
    <w:rsid w:val="0012279D"/>
    <w:rsid w:val="001341BB"/>
    <w:rsid w:val="00135480"/>
    <w:rsid w:val="001409EF"/>
    <w:rsid w:val="00143016"/>
    <w:rsid w:val="00143AFC"/>
    <w:rsid w:val="00144F04"/>
    <w:rsid w:val="001459D8"/>
    <w:rsid w:val="00163038"/>
    <w:rsid w:val="00171F36"/>
    <w:rsid w:val="00182A56"/>
    <w:rsid w:val="0018639F"/>
    <w:rsid w:val="00197F14"/>
    <w:rsid w:val="001B467B"/>
    <w:rsid w:val="001D3DB1"/>
    <w:rsid w:val="001D4666"/>
    <w:rsid w:val="001D7A18"/>
    <w:rsid w:val="001E55D1"/>
    <w:rsid w:val="001E61A5"/>
    <w:rsid w:val="00202567"/>
    <w:rsid w:val="00205480"/>
    <w:rsid w:val="0020711F"/>
    <w:rsid w:val="00217107"/>
    <w:rsid w:val="00224D63"/>
    <w:rsid w:val="00226BE3"/>
    <w:rsid w:val="002338A2"/>
    <w:rsid w:val="0023659A"/>
    <w:rsid w:val="00242AD8"/>
    <w:rsid w:val="00243F3E"/>
    <w:rsid w:val="00250D57"/>
    <w:rsid w:val="002513D5"/>
    <w:rsid w:val="002530B6"/>
    <w:rsid w:val="00262E1C"/>
    <w:rsid w:val="002736E5"/>
    <w:rsid w:val="002744A1"/>
    <w:rsid w:val="00276204"/>
    <w:rsid w:val="00282E75"/>
    <w:rsid w:val="00282F1B"/>
    <w:rsid w:val="0029188A"/>
    <w:rsid w:val="002A096A"/>
    <w:rsid w:val="002A2CFE"/>
    <w:rsid w:val="002B19ED"/>
    <w:rsid w:val="002B3D8A"/>
    <w:rsid w:val="002B5F16"/>
    <w:rsid w:val="002B6400"/>
    <w:rsid w:val="002D5BA1"/>
    <w:rsid w:val="002E7855"/>
    <w:rsid w:val="002F2CD2"/>
    <w:rsid w:val="002F45A4"/>
    <w:rsid w:val="00300C38"/>
    <w:rsid w:val="00315C22"/>
    <w:rsid w:val="003202FE"/>
    <w:rsid w:val="00327EC9"/>
    <w:rsid w:val="00331AB4"/>
    <w:rsid w:val="0035406A"/>
    <w:rsid w:val="00355F4A"/>
    <w:rsid w:val="00366948"/>
    <w:rsid w:val="00381278"/>
    <w:rsid w:val="00381AD4"/>
    <w:rsid w:val="00383C66"/>
    <w:rsid w:val="003852D6"/>
    <w:rsid w:val="00394CA5"/>
    <w:rsid w:val="003A3AFF"/>
    <w:rsid w:val="003A647D"/>
    <w:rsid w:val="003B155E"/>
    <w:rsid w:val="003B3DBC"/>
    <w:rsid w:val="003B5F46"/>
    <w:rsid w:val="003D11E6"/>
    <w:rsid w:val="003D4A7B"/>
    <w:rsid w:val="003E4EC3"/>
    <w:rsid w:val="003E7BBA"/>
    <w:rsid w:val="003F1223"/>
    <w:rsid w:val="004024C5"/>
    <w:rsid w:val="00404676"/>
    <w:rsid w:val="00412FE5"/>
    <w:rsid w:val="00420CFF"/>
    <w:rsid w:val="004241C3"/>
    <w:rsid w:val="004256AD"/>
    <w:rsid w:val="00426441"/>
    <w:rsid w:val="004269B4"/>
    <w:rsid w:val="00426EAF"/>
    <w:rsid w:val="0043075D"/>
    <w:rsid w:val="00432368"/>
    <w:rsid w:val="00444D49"/>
    <w:rsid w:val="00446F4F"/>
    <w:rsid w:val="00447B65"/>
    <w:rsid w:val="00452976"/>
    <w:rsid w:val="004624B2"/>
    <w:rsid w:val="004646E2"/>
    <w:rsid w:val="004716A6"/>
    <w:rsid w:val="00477137"/>
    <w:rsid w:val="004808FE"/>
    <w:rsid w:val="0049193E"/>
    <w:rsid w:val="00493231"/>
    <w:rsid w:val="004A1EA1"/>
    <w:rsid w:val="004A7E4C"/>
    <w:rsid w:val="004B75C6"/>
    <w:rsid w:val="004C660E"/>
    <w:rsid w:val="004C788C"/>
    <w:rsid w:val="004D1AC7"/>
    <w:rsid w:val="004E15D0"/>
    <w:rsid w:val="004F11ED"/>
    <w:rsid w:val="005032BD"/>
    <w:rsid w:val="005039CD"/>
    <w:rsid w:val="0051172F"/>
    <w:rsid w:val="00523D1A"/>
    <w:rsid w:val="005277C3"/>
    <w:rsid w:val="00527CA3"/>
    <w:rsid w:val="00550099"/>
    <w:rsid w:val="005566FF"/>
    <w:rsid w:val="00566F76"/>
    <w:rsid w:val="00570D27"/>
    <w:rsid w:val="00574321"/>
    <w:rsid w:val="005818DD"/>
    <w:rsid w:val="00586B31"/>
    <w:rsid w:val="00587E9E"/>
    <w:rsid w:val="005907B4"/>
    <w:rsid w:val="005A2B56"/>
    <w:rsid w:val="005D31D7"/>
    <w:rsid w:val="005D3B1D"/>
    <w:rsid w:val="005D6FC2"/>
    <w:rsid w:val="005E4057"/>
    <w:rsid w:val="005E4F6B"/>
    <w:rsid w:val="005E6F14"/>
    <w:rsid w:val="005E7DDD"/>
    <w:rsid w:val="005F7AF0"/>
    <w:rsid w:val="00600956"/>
    <w:rsid w:val="00601D29"/>
    <w:rsid w:val="00624C2C"/>
    <w:rsid w:val="00635FF7"/>
    <w:rsid w:val="00641839"/>
    <w:rsid w:val="0064513A"/>
    <w:rsid w:val="00651B88"/>
    <w:rsid w:val="00651C95"/>
    <w:rsid w:val="0065255F"/>
    <w:rsid w:val="006552FD"/>
    <w:rsid w:val="00655F4D"/>
    <w:rsid w:val="00656A43"/>
    <w:rsid w:val="00657348"/>
    <w:rsid w:val="006626AF"/>
    <w:rsid w:val="00666455"/>
    <w:rsid w:val="00674337"/>
    <w:rsid w:val="00677D04"/>
    <w:rsid w:val="00680FAF"/>
    <w:rsid w:val="0068274C"/>
    <w:rsid w:val="006834E0"/>
    <w:rsid w:val="00693EF7"/>
    <w:rsid w:val="00694DA4"/>
    <w:rsid w:val="00695F09"/>
    <w:rsid w:val="006A2440"/>
    <w:rsid w:val="006A63D7"/>
    <w:rsid w:val="006A6B8C"/>
    <w:rsid w:val="006C013F"/>
    <w:rsid w:val="006C6925"/>
    <w:rsid w:val="006D0315"/>
    <w:rsid w:val="006D0C7A"/>
    <w:rsid w:val="006E02CB"/>
    <w:rsid w:val="006E0FC0"/>
    <w:rsid w:val="006E4D5A"/>
    <w:rsid w:val="006E5E73"/>
    <w:rsid w:val="006F10AD"/>
    <w:rsid w:val="006F1287"/>
    <w:rsid w:val="006F72CE"/>
    <w:rsid w:val="00701A96"/>
    <w:rsid w:val="00703AE3"/>
    <w:rsid w:val="007162E0"/>
    <w:rsid w:val="00722EE5"/>
    <w:rsid w:val="00732E9B"/>
    <w:rsid w:val="0074685A"/>
    <w:rsid w:val="007507AB"/>
    <w:rsid w:val="00752A48"/>
    <w:rsid w:val="007563DC"/>
    <w:rsid w:val="00762781"/>
    <w:rsid w:val="00762E8F"/>
    <w:rsid w:val="0076753E"/>
    <w:rsid w:val="0077044E"/>
    <w:rsid w:val="00775C67"/>
    <w:rsid w:val="0077675F"/>
    <w:rsid w:val="00777D96"/>
    <w:rsid w:val="0078095B"/>
    <w:rsid w:val="007815E1"/>
    <w:rsid w:val="00784151"/>
    <w:rsid w:val="007901C3"/>
    <w:rsid w:val="007A1E85"/>
    <w:rsid w:val="007A67B8"/>
    <w:rsid w:val="007B23CA"/>
    <w:rsid w:val="007C52D6"/>
    <w:rsid w:val="007D5A1B"/>
    <w:rsid w:val="007F1591"/>
    <w:rsid w:val="007F6E34"/>
    <w:rsid w:val="008065AA"/>
    <w:rsid w:val="008076E7"/>
    <w:rsid w:val="008141AA"/>
    <w:rsid w:val="00816846"/>
    <w:rsid w:val="008177C2"/>
    <w:rsid w:val="00817CF6"/>
    <w:rsid w:val="00830847"/>
    <w:rsid w:val="0083299A"/>
    <w:rsid w:val="00835B5D"/>
    <w:rsid w:val="00835F54"/>
    <w:rsid w:val="00856D50"/>
    <w:rsid w:val="00861101"/>
    <w:rsid w:val="00862832"/>
    <w:rsid w:val="00866392"/>
    <w:rsid w:val="00880AE0"/>
    <w:rsid w:val="00880E95"/>
    <w:rsid w:val="00881A95"/>
    <w:rsid w:val="008902BD"/>
    <w:rsid w:val="00895AF5"/>
    <w:rsid w:val="00897C8B"/>
    <w:rsid w:val="008A0685"/>
    <w:rsid w:val="008A7945"/>
    <w:rsid w:val="008B109C"/>
    <w:rsid w:val="008B2BBD"/>
    <w:rsid w:val="008B4BEC"/>
    <w:rsid w:val="008B55B4"/>
    <w:rsid w:val="008B6107"/>
    <w:rsid w:val="008C355A"/>
    <w:rsid w:val="008C4949"/>
    <w:rsid w:val="008D1F03"/>
    <w:rsid w:val="008D335A"/>
    <w:rsid w:val="008D55C0"/>
    <w:rsid w:val="008E0747"/>
    <w:rsid w:val="008E22B2"/>
    <w:rsid w:val="008E2333"/>
    <w:rsid w:val="008F2E17"/>
    <w:rsid w:val="008F460C"/>
    <w:rsid w:val="00906E14"/>
    <w:rsid w:val="009079A0"/>
    <w:rsid w:val="00933D3E"/>
    <w:rsid w:val="009371DC"/>
    <w:rsid w:val="00940AFF"/>
    <w:rsid w:val="0095441A"/>
    <w:rsid w:val="009558DA"/>
    <w:rsid w:val="0096383D"/>
    <w:rsid w:val="00967DE9"/>
    <w:rsid w:val="00972434"/>
    <w:rsid w:val="00975C6B"/>
    <w:rsid w:val="00993083"/>
    <w:rsid w:val="009A1E16"/>
    <w:rsid w:val="009A6727"/>
    <w:rsid w:val="009C23F0"/>
    <w:rsid w:val="009C3726"/>
    <w:rsid w:val="009C625C"/>
    <w:rsid w:val="009C7751"/>
    <w:rsid w:val="009C78BE"/>
    <w:rsid w:val="009D6FFE"/>
    <w:rsid w:val="009D7485"/>
    <w:rsid w:val="009F4A29"/>
    <w:rsid w:val="00A027C9"/>
    <w:rsid w:val="00A07218"/>
    <w:rsid w:val="00A13098"/>
    <w:rsid w:val="00A22329"/>
    <w:rsid w:val="00A2541E"/>
    <w:rsid w:val="00A43773"/>
    <w:rsid w:val="00A47BD0"/>
    <w:rsid w:val="00A55DB0"/>
    <w:rsid w:val="00A56621"/>
    <w:rsid w:val="00A618FF"/>
    <w:rsid w:val="00A62E2F"/>
    <w:rsid w:val="00A6465A"/>
    <w:rsid w:val="00A73655"/>
    <w:rsid w:val="00A73745"/>
    <w:rsid w:val="00A7696A"/>
    <w:rsid w:val="00A91DA5"/>
    <w:rsid w:val="00A95446"/>
    <w:rsid w:val="00A95B3A"/>
    <w:rsid w:val="00A97FC4"/>
    <w:rsid w:val="00AA5EEE"/>
    <w:rsid w:val="00AB755A"/>
    <w:rsid w:val="00AC6B2C"/>
    <w:rsid w:val="00AD0ED6"/>
    <w:rsid w:val="00AD3A3A"/>
    <w:rsid w:val="00AD48E4"/>
    <w:rsid w:val="00AD4C4B"/>
    <w:rsid w:val="00AD5F7D"/>
    <w:rsid w:val="00AD71E2"/>
    <w:rsid w:val="00AE23B0"/>
    <w:rsid w:val="00AE6DDC"/>
    <w:rsid w:val="00AF37F5"/>
    <w:rsid w:val="00B00978"/>
    <w:rsid w:val="00B028FD"/>
    <w:rsid w:val="00B03436"/>
    <w:rsid w:val="00B045EF"/>
    <w:rsid w:val="00B10233"/>
    <w:rsid w:val="00B13849"/>
    <w:rsid w:val="00B13C7D"/>
    <w:rsid w:val="00B14DBE"/>
    <w:rsid w:val="00B201CA"/>
    <w:rsid w:val="00B21ECF"/>
    <w:rsid w:val="00B24E47"/>
    <w:rsid w:val="00B30BB6"/>
    <w:rsid w:val="00B30D06"/>
    <w:rsid w:val="00B32950"/>
    <w:rsid w:val="00B3524D"/>
    <w:rsid w:val="00B375E7"/>
    <w:rsid w:val="00B4546A"/>
    <w:rsid w:val="00B50635"/>
    <w:rsid w:val="00B713EC"/>
    <w:rsid w:val="00B733AD"/>
    <w:rsid w:val="00B763A7"/>
    <w:rsid w:val="00B766E7"/>
    <w:rsid w:val="00B9160D"/>
    <w:rsid w:val="00B91E92"/>
    <w:rsid w:val="00B92914"/>
    <w:rsid w:val="00BA246A"/>
    <w:rsid w:val="00BA2FC6"/>
    <w:rsid w:val="00BA6FA2"/>
    <w:rsid w:val="00BA6FFD"/>
    <w:rsid w:val="00BA733C"/>
    <w:rsid w:val="00BB2B6D"/>
    <w:rsid w:val="00BB4F61"/>
    <w:rsid w:val="00BC2797"/>
    <w:rsid w:val="00BC40E8"/>
    <w:rsid w:val="00BC7630"/>
    <w:rsid w:val="00BD181B"/>
    <w:rsid w:val="00BD26DC"/>
    <w:rsid w:val="00BD34F0"/>
    <w:rsid w:val="00BE3059"/>
    <w:rsid w:val="00BE7E8A"/>
    <w:rsid w:val="00BF4CC7"/>
    <w:rsid w:val="00C00F05"/>
    <w:rsid w:val="00C03DBB"/>
    <w:rsid w:val="00C03E65"/>
    <w:rsid w:val="00C06A91"/>
    <w:rsid w:val="00C07EA5"/>
    <w:rsid w:val="00C15C04"/>
    <w:rsid w:val="00C211D3"/>
    <w:rsid w:val="00C22AB2"/>
    <w:rsid w:val="00C232FC"/>
    <w:rsid w:val="00C24412"/>
    <w:rsid w:val="00C2589A"/>
    <w:rsid w:val="00C3017B"/>
    <w:rsid w:val="00C47725"/>
    <w:rsid w:val="00C534DD"/>
    <w:rsid w:val="00C54B7D"/>
    <w:rsid w:val="00C550D1"/>
    <w:rsid w:val="00C572F4"/>
    <w:rsid w:val="00C66EF5"/>
    <w:rsid w:val="00C84365"/>
    <w:rsid w:val="00C91B3B"/>
    <w:rsid w:val="00C97455"/>
    <w:rsid w:val="00CA0664"/>
    <w:rsid w:val="00CA30E3"/>
    <w:rsid w:val="00CB1D4D"/>
    <w:rsid w:val="00CC24E3"/>
    <w:rsid w:val="00CE03B4"/>
    <w:rsid w:val="00CE5025"/>
    <w:rsid w:val="00CF2C3B"/>
    <w:rsid w:val="00D01B93"/>
    <w:rsid w:val="00D04802"/>
    <w:rsid w:val="00D07482"/>
    <w:rsid w:val="00D1296A"/>
    <w:rsid w:val="00D17448"/>
    <w:rsid w:val="00D226EC"/>
    <w:rsid w:val="00D31152"/>
    <w:rsid w:val="00D3274E"/>
    <w:rsid w:val="00D36161"/>
    <w:rsid w:val="00D36DA0"/>
    <w:rsid w:val="00D40038"/>
    <w:rsid w:val="00D44D6A"/>
    <w:rsid w:val="00D46F6F"/>
    <w:rsid w:val="00D91E64"/>
    <w:rsid w:val="00D9319E"/>
    <w:rsid w:val="00D94EFE"/>
    <w:rsid w:val="00DA16E0"/>
    <w:rsid w:val="00DB1699"/>
    <w:rsid w:val="00DB3B2B"/>
    <w:rsid w:val="00DB5291"/>
    <w:rsid w:val="00DB67A4"/>
    <w:rsid w:val="00DB6D92"/>
    <w:rsid w:val="00DC0170"/>
    <w:rsid w:val="00DE0DEA"/>
    <w:rsid w:val="00DE3335"/>
    <w:rsid w:val="00DF100E"/>
    <w:rsid w:val="00DF3346"/>
    <w:rsid w:val="00E01E6E"/>
    <w:rsid w:val="00E04CBC"/>
    <w:rsid w:val="00E04FA3"/>
    <w:rsid w:val="00E17B58"/>
    <w:rsid w:val="00E2042C"/>
    <w:rsid w:val="00E2294C"/>
    <w:rsid w:val="00E3187B"/>
    <w:rsid w:val="00E33A4C"/>
    <w:rsid w:val="00E34E6A"/>
    <w:rsid w:val="00E43617"/>
    <w:rsid w:val="00E4794A"/>
    <w:rsid w:val="00E653CD"/>
    <w:rsid w:val="00E7516C"/>
    <w:rsid w:val="00E76A83"/>
    <w:rsid w:val="00E81112"/>
    <w:rsid w:val="00E83F31"/>
    <w:rsid w:val="00E93B9C"/>
    <w:rsid w:val="00E9469D"/>
    <w:rsid w:val="00E94D14"/>
    <w:rsid w:val="00E9586E"/>
    <w:rsid w:val="00EB181A"/>
    <w:rsid w:val="00EB311F"/>
    <w:rsid w:val="00EB6992"/>
    <w:rsid w:val="00EC625F"/>
    <w:rsid w:val="00EC7F2F"/>
    <w:rsid w:val="00ED5487"/>
    <w:rsid w:val="00ED5AF8"/>
    <w:rsid w:val="00ED63AF"/>
    <w:rsid w:val="00EE7D5C"/>
    <w:rsid w:val="00EF3E5D"/>
    <w:rsid w:val="00F019A5"/>
    <w:rsid w:val="00F023DA"/>
    <w:rsid w:val="00F131D2"/>
    <w:rsid w:val="00F15007"/>
    <w:rsid w:val="00F17728"/>
    <w:rsid w:val="00F20FCE"/>
    <w:rsid w:val="00F22DEC"/>
    <w:rsid w:val="00F248C2"/>
    <w:rsid w:val="00F26484"/>
    <w:rsid w:val="00F36D84"/>
    <w:rsid w:val="00F438B7"/>
    <w:rsid w:val="00F44503"/>
    <w:rsid w:val="00F461C8"/>
    <w:rsid w:val="00F46783"/>
    <w:rsid w:val="00F46C09"/>
    <w:rsid w:val="00F55E20"/>
    <w:rsid w:val="00F61213"/>
    <w:rsid w:val="00F63E16"/>
    <w:rsid w:val="00F93A41"/>
    <w:rsid w:val="00FA2FBC"/>
    <w:rsid w:val="00FB0AFA"/>
    <w:rsid w:val="00FB26B2"/>
    <w:rsid w:val="00FB494F"/>
    <w:rsid w:val="00FC10BF"/>
    <w:rsid w:val="00FC1C64"/>
    <w:rsid w:val="00FC31A5"/>
    <w:rsid w:val="00FC5C8B"/>
    <w:rsid w:val="00FC64DA"/>
    <w:rsid w:val="00FD02A3"/>
    <w:rsid w:val="00FD0445"/>
    <w:rsid w:val="00FD59F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C79AF"/>
  <w15:docId w15:val="{18E31B48-8A8F-4502-92B6-59B38343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FE"/>
  </w:style>
  <w:style w:type="paragraph" w:styleId="Footer">
    <w:name w:val="footer"/>
    <w:basedOn w:val="Normal"/>
    <w:link w:val="Foot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FE"/>
  </w:style>
  <w:style w:type="paragraph" w:styleId="BalloonText">
    <w:name w:val="Balloon Text"/>
    <w:basedOn w:val="Normal"/>
    <w:link w:val="BalloonText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ED22-2961-4827-9115-33D47567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Anne-Katrin Arnold</dc:creator>
  <cp:lastModifiedBy>Jennifer Chato</cp:lastModifiedBy>
  <cp:revision>2</cp:revision>
  <cp:lastPrinted>2015-07-31T13:09:00Z</cp:lastPrinted>
  <dcterms:created xsi:type="dcterms:W3CDTF">2015-09-23T17:38:00Z</dcterms:created>
  <dcterms:modified xsi:type="dcterms:W3CDTF">2015-09-23T17:38:00Z</dcterms:modified>
</cp:coreProperties>
</file>