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48" w:rsidRPr="005130AB" w:rsidRDefault="00A22E48" w:rsidP="00055656">
      <w:pPr>
        <w:spacing w:after="120"/>
        <w:jc w:val="center"/>
        <w:rPr>
          <w:rFonts w:ascii="Times New Roman" w:hAnsi="Times New Roman" w:cs="Times New Roman"/>
          <w:b/>
          <w:sz w:val="28"/>
          <w:szCs w:val="28"/>
          <w:u w:val="single"/>
        </w:rPr>
      </w:pPr>
      <w:bookmarkStart w:id="0" w:name="_GoBack"/>
      <w:bookmarkEnd w:id="0"/>
      <w:r w:rsidRPr="005130AB">
        <w:rPr>
          <w:rFonts w:ascii="Times New Roman" w:hAnsi="Times New Roman" w:cs="Times New Roman"/>
          <w:b/>
          <w:bCs/>
          <w:sz w:val="28"/>
          <w:szCs w:val="28"/>
          <w:u w:val="single"/>
        </w:rPr>
        <w:t xml:space="preserve">Questions à traiter pendant la troisième phase de consultations </w:t>
      </w:r>
    </w:p>
    <w:p w:rsidR="00A22E48" w:rsidRPr="005130AB" w:rsidRDefault="00A22E48" w:rsidP="00055656">
      <w:pPr>
        <w:spacing w:after="0"/>
        <w:jc w:val="center"/>
        <w:rPr>
          <w:rFonts w:ascii="Times New Roman" w:hAnsi="Times New Roman" w:cs="Times New Roman"/>
          <w:b/>
          <w:sz w:val="28"/>
          <w:szCs w:val="28"/>
          <w:u w:val="single"/>
        </w:rPr>
      </w:pPr>
      <w:r w:rsidRPr="005130AB">
        <w:rPr>
          <w:rFonts w:ascii="Times New Roman" w:hAnsi="Times New Roman" w:cs="Times New Roman"/>
          <w:b/>
          <w:bCs/>
          <w:sz w:val="28"/>
          <w:szCs w:val="28"/>
          <w:u w:val="single"/>
        </w:rPr>
        <w:t>Introduction du CODE</w:t>
      </w:r>
    </w:p>
    <w:p w:rsidR="00A22E48" w:rsidRPr="005130AB" w:rsidRDefault="00A22E48" w:rsidP="0049193E">
      <w:pPr>
        <w:spacing w:after="0"/>
        <w:jc w:val="center"/>
        <w:rPr>
          <w:rFonts w:ascii="Times New Roman" w:hAnsi="Times New Roman" w:cs="Times New Roman"/>
          <w:b/>
          <w:sz w:val="28"/>
          <w:szCs w:val="28"/>
          <w:u w:val="single"/>
        </w:rPr>
      </w:pPr>
    </w:p>
    <w:p w:rsidR="00A22E48" w:rsidRPr="005130AB" w:rsidRDefault="00A22E48" w:rsidP="00570D27">
      <w:pPr>
        <w:pStyle w:val="ListParagraph"/>
        <w:spacing w:after="240"/>
        <w:ind w:left="0"/>
        <w:jc w:val="both"/>
        <w:rPr>
          <w:rFonts w:ascii="Times New Roman" w:hAnsi="Times New Roman"/>
          <w:sz w:val="24"/>
        </w:rPr>
      </w:pPr>
      <w:r w:rsidRPr="005130AB">
        <w:rPr>
          <w:rFonts w:ascii="Times New Roman" w:hAnsi="Times New Roman"/>
          <w:sz w:val="24"/>
        </w:rPr>
        <w:t>Le 1</w:t>
      </w:r>
      <w:r w:rsidR="00BE0B7E" w:rsidRPr="00BE0B7E">
        <w:rPr>
          <w:rFonts w:ascii="Times New Roman" w:hAnsi="Times New Roman"/>
          <w:sz w:val="24"/>
          <w:vertAlign w:val="superscript"/>
        </w:rPr>
        <w:t>er</w:t>
      </w:r>
      <w:r w:rsidR="00BE0B7E">
        <w:rPr>
          <w:rFonts w:ascii="Times New Roman" w:hAnsi="Times New Roman"/>
          <w:sz w:val="24"/>
        </w:rPr>
        <w:t xml:space="preserve"> </w:t>
      </w:r>
      <w:r w:rsidRPr="005130AB">
        <w:rPr>
          <w:rFonts w:ascii="Times New Roman" w:hAnsi="Times New Roman"/>
          <w:sz w:val="24"/>
        </w:rPr>
        <w:t xml:space="preserve">juillet 2015, </w:t>
      </w:r>
      <w:r w:rsidRPr="005130AB">
        <w:rPr>
          <w:rFonts w:ascii="Times New Roman" w:hAnsi="Times New Roman"/>
          <w:sz w:val="24"/>
          <w:szCs w:val="24"/>
        </w:rPr>
        <w:t>le Comité des opérations et de l'efficacité du développement (CODE)</w:t>
      </w:r>
      <w:r w:rsidRPr="005130AB">
        <w:rPr>
          <w:rFonts w:ascii="Times New Roman" w:hAnsi="Times New Roman"/>
        </w:rPr>
        <w:t xml:space="preserve"> </w:t>
      </w:r>
      <w:r w:rsidRPr="005130AB">
        <w:rPr>
          <w:rFonts w:ascii="Times New Roman" w:hAnsi="Times New Roman"/>
          <w:sz w:val="24"/>
        </w:rPr>
        <w:t>a examiné la deuxième version de</w:t>
      </w:r>
      <w:r w:rsidRPr="005130AB">
        <w:rPr>
          <w:rFonts w:ascii="Times New Roman" w:hAnsi="Times New Roman"/>
          <w:i/>
          <w:iCs/>
          <w:sz w:val="24"/>
        </w:rPr>
        <w:t xml:space="preserve"> l'’Examen et de la mise à jour des Politiques de sauvegarde de la Banque mondiale – Proposition de cadre environnemental et social (deuxième version)</w:t>
      </w:r>
      <w:r w:rsidRPr="005130AB">
        <w:rPr>
          <w:rFonts w:ascii="Times New Roman" w:hAnsi="Times New Roman"/>
          <w:sz w:val="24"/>
        </w:rPr>
        <w:t>. Le Comité a largement accepté la structure et les nombreux domaines du Cadre environnemental et social</w:t>
      </w:r>
      <w:r w:rsidR="00BE0B7E">
        <w:rPr>
          <w:rFonts w:ascii="Times New Roman" w:hAnsi="Times New Roman"/>
          <w:sz w:val="24"/>
        </w:rPr>
        <w:t xml:space="preserve"> (CES)</w:t>
      </w:r>
      <w:r w:rsidRPr="005130AB">
        <w:rPr>
          <w:rFonts w:ascii="Times New Roman" w:hAnsi="Times New Roman"/>
          <w:sz w:val="24"/>
        </w:rPr>
        <w:t xml:space="preserve"> proposé. Toutefois, il était évident que d’autres discussions étaient nécessaires sur différents aspects - notamment l'énoncé de la Vision, certaines normes, et la sensibilité / l’ambition de la terminologie. De même, une plus grande clarté était nécessaire sur l'applicabilité et l'impact potentiel sur les emprunteurs. Le Comité a convenu qu'il était important de poursuivre les efforts prospectifs afin d’assurer que le CES soit équilibré, qu’il évite des charges et des coûts de mise en œuvre excessifs sur les </w:t>
      </w:r>
      <w:r w:rsidR="00BE0B7E">
        <w:rPr>
          <w:rFonts w:ascii="Times New Roman" w:hAnsi="Times New Roman"/>
          <w:sz w:val="24"/>
        </w:rPr>
        <w:t>E</w:t>
      </w:r>
      <w:r w:rsidRPr="005130AB">
        <w:rPr>
          <w:rFonts w:ascii="Times New Roman" w:hAnsi="Times New Roman"/>
          <w:sz w:val="24"/>
        </w:rPr>
        <w:t xml:space="preserve">mprunteurs, qu’il renforce les capacités des clients, qu’il encourage le développement durable et inclusif, et qu’il contribue aux deux objectifs de l'institution. </w:t>
      </w:r>
    </w:p>
    <w:p w:rsidR="00A22E48" w:rsidRPr="005130AB" w:rsidRDefault="00A22E48" w:rsidP="00570D27">
      <w:pPr>
        <w:pStyle w:val="ListParagraph"/>
        <w:spacing w:after="240"/>
        <w:ind w:left="0"/>
        <w:jc w:val="both"/>
        <w:rPr>
          <w:rFonts w:ascii="Times New Roman" w:hAnsi="Times New Roman"/>
          <w:sz w:val="24"/>
        </w:rPr>
      </w:pPr>
      <w:r w:rsidRPr="005130AB">
        <w:rPr>
          <w:rFonts w:ascii="Times New Roman" w:hAnsi="Times New Roman"/>
          <w:sz w:val="24"/>
        </w:rPr>
        <w:t>Le Comité a convenu que l’</w:t>
      </w:r>
      <w:r w:rsidR="00BE0B7E">
        <w:rPr>
          <w:rFonts w:ascii="Times New Roman" w:hAnsi="Times New Roman"/>
          <w:sz w:val="24"/>
        </w:rPr>
        <w:t>É</w:t>
      </w:r>
      <w:r w:rsidRPr="005130AB">
        <w:rPr>
          <w:rFonts w:ascii="Times New Roman" w:hAnsi="Times New Roman"/>
          <w:sz w:val="24"/>
        </w:rPr>
        <w:t xml:space="preserve">quipe de direction devait commencer la troisième phase des consultations sur la deuxième version révisée du Cadre. L'objectif de ces consultations doit avoir pour objectif de recueillir des commentaires </w:t>
      </w:r>
      <w:r w:rsidR="00BE0B7E">
        <w:rPr>
          <w:rFonts w:ascii="Times New Roman" w:hAnsi="Times New Roman"/>
          <w:sz w:val="24"/>
        </w:rPr>
        <w:t xml:space="preserve">sur </w:t>
      </w:r>
      <w:r w:rsidRPr="005130AB">
        <w:rPr>
          <w:rFonts w:ascii="Times New Roman" w:hAnsi="Times New Roman"/>
          <w:sz w:val="24"/>
        </w:rPr>
        <w:t>l'applicabilité du CES</w:t>
      </w:r>
      <w:r w:rsidRPr="005130AB">
        <w:rPr>
          <w:rFonts w:ascii="Times New Roman" w:hAnsi="Times New Roman"/>
          <w:color w:val="000000"/>
          <w:sz w:val="24"/>
        </w:rPr>
        <w:t xml:space="preserve"> dans les pays </w:t>
      </w:r>
      <w:r w:rsidR="00BE0B7E">
        <w:rPr>
          <w:rFonts w:ascii="Times New Roman" w:hAnsi="Times New Roman"/>
          <w:color w:val="000000"/>
          <w:sz w:val="24"/>
        </w:rPr>
        <w:t>E</w:t>
      </w:r>
      <w:r w:rsidRPr="005130AB">
        <w:rPr>
          <w:rFonts w:ascii="Times New Roman" w:hAnsi="Times New Roman"/>
          <w:color w:val="000000"/>
          <w:sz w:val="24"/>
        </w:rPr>
        <w:t>mprunteurs</w:t>
      </w:r>
      <w:r w:rsidR="00BE0B7E">
        <w:rPr>
          <w:rFonts w:ascii="Times New Roman" w:hAnsi="Times New Roman"/>
          <w:color w:val="000000"/>
          <w:sz w:val="24"/>
        </w:rPr>
        <w:t xml:space="preserve">. Par ailleurs, </w:t>
      </w:r>
      <w:r w:rsidRPr="005130AB">
        <w:rPr>
          <w:rFonts w:ascii="Times New Roman" w:hAnsi="Times New Roman"/>
          <w:color w:val="000000"/>
          <w:sz w:val="24"/>
        </w:rPr>
        <w:t>l’ensemble des consultations doit inclure</w:t>
      </w:r>
      <w:r w:rsidRPr="005130AB">
        <w:rPr>
          <w:rFonts w:ascii="Times New Roman" w:hAnsi="Times New Roman"/>
          <w:sz w:val="24"/>
        </w:rPr>
        <w:t xml:space="preserve"> la liste indicative et non exhaustive suivante des questions qui doivent être examinées plus en détail pendant les consultations.</w:t>
      </w:r>
    </w:p>
    <w:p w:rsidR="00A22E48" w:rsidRPr="005130AB" w:rsidRDefault="00A22E48" w:rsidP="00B30D06">
      <w:pPr>
        <w:pStyle w:val="ListParagraph"/>
        <w:tabs>
          <w:tab w:val="left" w:pos="720"/>
        </w:tabs>
        <w:spacing w:after="240"/>
        <w:ind w:left="0"/>
        <w:jc w:val="both"/>
        <w:rPr>
          <w:rFonts w:ascii="Times New Roman" w:hAnsi="Times New Roman"/>
          <w:b/>
          <w:sz w:val="28"/>
          <w:szCs w:val="28"/>
          <w:u w:val="single"/>
        </w:rPr>
      </w:pPr>
      <w:r w:rsidRPr="005130AB">
        <w:rPr>
          <w:rFonts w:ascii="Times New Roman" w:hAnsi="Times New Roman"/>
          <w:sz w:val="24"/>
        </w:rPr>
        <w:t>Le Comité se réjouit de l'engagement continu en faveur du CES.</w:t>
      </w:r>
      <w:r w:rsidRPr="005130AB">
        <w:rPr>
          <w:rFonts w:ascii="Times New Roman" w:hAnsi="Times New Roman"/>
          <w:sz w:val="28"/>
          <w:szCs w:val="28"/>
        </w:rPr>
        <w:br w:type="page"/>
      </w:r>
    </w:p>
    <w:p w:rsidR="00A22E48" w:rsidRPr="005130AB" w:rsidRDefault="00A22E48" w:rsidP="00071BD2">
      <w:pPr>
        <w:spacing w:after="0"/>
        <w:jc w:val="center"/>
        <w:rPr>
          <w:rFonts w:ascii="Times New Roman" w:hAnsi="Times New Roman" w:cs="Times New Roman"/>
          <w:b/>
          <w:sz w:val="28"/>
          <w:szCs w:val="28"/>
          <w:u w:val="single"/>
        </w:rPr>
      </w:pPr>
      <w:r w:rsidRPr="005130AB">
        <w:rPr>
          <w:rFonts w:ascii="Times New Roman" w:hAnsi="Times New Roman" w:cs="Times New Roman"/>
          <w:b/>
          <w:bCs/>
          <w:sz w:val="28"/>
          <w:szCs w:val="28"/>
          <w:u w:val="single"/>
        </w:rPr>
        <w:lastRenderedPageBreak/>
        <w:t xml:space="preserve">Questions à traiter pendant la troisième phase de consultations </w:t>
      </w:r>
    </w:p>
    <w:p w:rsidR="00A22E48" w:rsidRPr="005130AB" w:rsidRDefault="00A22E48" w:rsidP="00071BD2">
      <w:pPr>
        <w:spacing w:after="0"/>
        <w:jc w:val="center"/>
        <w:rPr>
          <w:rFonts w:ascii="Times New Roman" w:hAnsi="Times New Roman" w:cs="Times New Roman"/>
          <w:b/>
          <w:sz w:val="28"/>
          <w:szCs w:val="28"/>
          <w:u w:val="single"/>
        </w:rPr>
      </w:pPr>
    </w:p>
    <w:p w:rsidR="00A22E48" w:rsidRPr="005130AB" w:rsidRDefault="00A22E48" w:rsidP="0049193E">
      <w:pPr>
        <w:spacing w:after="0" w:line="240" w:lineRule="auto"/>
        <w:jc w:val="both"/>
        <w:rPr>
          <w:rFonts w:ascii="Times New Roman" w:hAnsi="Times New Roman" w:cs="Times New Roman"/>
          <w:sz w:val="24"/>
          <w:szCs w:val="24"/>
        </w:rPr>
      </w:pPr>
      <w:r w:rsidRPr="005130AB">
        <w:rPr>
          <w:rFonts w:ascii="Times New Roman" w:hAnsi="Times New Roman" w:cs="Times New Roman"/>
          <w:sz w:val="24"/>
          <w:szCs w:val="24"/>
        </w:rPr>
        <w:t>Lors de la réunion du 1</w:t>
      </w:r>
      <w:r w:rsidR="005130AB" w:rsidRPr="005130AB">
        <w:rPr>
          <w:rFonts w:ascii="Times New Roman" w:hAnsi="Times New Roman" w:cs="Times New Roman"/>
          <w:sz w:val="24"/>
          <w:szCs w:val="24"/>
          <w:vertAlign w:val="superscript"/>
        </w:rPr>
        <w:t>er</w:t>
      </w:r>
      <w:r w:rsidR="005130AB">
        <w:rPr>
          <w:rFonts w:ascii="Times New Roman" w:hAnsi="Times New Roman" w:cs="Times New Roman"/>
          <w:sz w:val="24"/>
          <w:szCs w:val="24"/>
        </w:rPr>
        <w:t xml:space="preserve"> </w:t>
      </w:r>
      <w:r w:rsidRPr="005130AB">
        <w:rPr>
          <w:rFonts w:ascii="Times New Roman" w:hAnsi="Times New Roman" w:cs="Times New Roman"/>
          <w:sz w:val="24"/>
          <w:szCs w:val="24"/>
        </w:rPr>
        <w:t>juillet, 2015, le Comité des opérations et de l'efficacité du développement (CODE) a approuvé la prochaine phase</w:t>
      </w:r>
      <w:r w:rsidR="005130AB">
        <w:rPr>
          <w:rFonts w:ascii="Times New Roman" w:hAnsi="Times New Roman" w:cs="Times New Roman"/>
          <w:sz w:val="24"/>
          <w:szCs w:val="24"/>
        </w:rPr>
        <w:t xml:space="preserve"> de </w:t>
      </w:r>
      <w:r w:rsidRPr="005130AB">
        <w:rPr>
          <w:rFonts w:ascii="Times New Roman" w:hAnsi="Times New Roman" w:cs="Times New Roman"/>
          <w:sz w:val="24"/>
          <w:szCs w:val="24"/>
        </w:rPr>
        <w:t xml:space="preserve">consultations sur la deuxième version du Cadre environnemental et social (CES). Les </w:t>
      </w:r>
      <w:r w:rsidR="005130AB">
        <w:rPr>
          <w:rFonts w:ascii="Times New Roman" w:hAnsi="Times New Roman" w:cs="Times New Roman"/>
          <w:sz w:val="24"/>
          <w:szCs w:val="24"/>
        </w:rPr>
        <w:t>A</w:t>
      </w:r>
      <w:r w:rsidRPr="005130AB">
        <w:rPr>
          <w:rFonts w:ascii="Times New Roman" w:hAnsi="Times New Roman" w:cs="Times New Roman"/>
          <w:sz w:val="24"/>
          <w:szCs w:val="24"/>
        </w:rPr>
        <w:t>dministrateurs ont demandé à l’</w:t>
      </w:r>
      <w:r w:rsidR="005130AB">
        <w:rPr>
          <w:rFonts w:ascii="Times New Roman" w:hAnsi="Times New Roman" w:cs="Times New Roman"/>
          <w:sz w:val="24"/>
          <w:szCs w:val="24"/>
        </w:rPr>
        <w:t>É</w:t>
      </w:r>
      <w:r w:rsidRPr="005130AB">
        <w:rPr>
          <w:rFonts w:ascii="Times New Roman" w:hAnsi="Times New Roman" w:cs="Times New Roman"/>
          <w:sz w:val="24"/>
          <w:szCs w:val="24"/>
        </w:rPr>
        <w:t>quipe de direction de la Banque mondiale de discuter d'un certain nombre de questions lors de la troisième phase des consultations. La liste ci-dessous a été élaborée à la suite de la réunion du CODE, et énonce les</w:t>
      </w:r>
      <w:r w:rsidR="005130AB">
        <w:rPr>
          <w:rFonts w:ascii="Times New Roman" w:hAnsi="Times New Roman" w:cs="Times New Roman"/>
          <w:sz w:val="24"/>
          <w:szCs w:val="24"/>
        </w:rPr>
        <w:t xml:space="preserve"> questions spécifiques que les A</w:t>
      </w:r>
      <w:r w:rsidRPr="005130AB">
        <w:rPr>
          <w:rFonts w:ascii="Times New Roman" w:hAnsi="Times New Roman" w:cs="Times New Roman"/>
          <w:sz w:val="24"/>
          <w:szCs w:val="24"/>
        </w:rPr>
        <w:t xml:space="preserve">dministrateurs ont demandé à </w:t>
      </w:r>
      <w:r w:rsidR="00BE0B7E" w:rsidRPr="005130AB">
        <w:rPr>
          <w:rFonts w:ascii="Times New Roman" w:hAnsi="Times New Roman" w:cs="Times New Roman"/>
          <w:sz w:val="24"/>
          <w:szCs w:val="24"/>
        </w:rPr>
        <w:t>l’</w:t>
      </w:r>
      <w:r w:rsidR="00BE0B7E">
        <w:rPr>
          <w:rFonts w:ascii="Times New Roman" w:hAnsi="Times New Roman" w:cs="Times New Roman"/>
          <w:sz w:val="24"/>
          <w:szCs w:val="24"/>
        </w:rPr>
        <w:t>É</w:t>
      </w:r>
      <w:r w:rsidR="00BE0B7E" w:rsidRPr="005130AB">
        <w:rPr>
          <w:rFonts w:ascii="Times New Roman" w:hAnsi="Times New Roman" w:cs="Times New Roman"/>
          <w:sz w:val="24"/>
          <w:szCs w:val="24"/>
        </w:rPr>
        <w:t xml:space="preserve">quipe </w:t>
      </w:r>
      <w:r w:rsidRPr="005130AB">
        <w:rPr>
          <w:rFonts w:ascii="Times New Roman" w:hAnsi="Times New Roman" w:cs="Times New Roman"/>
          <w:sz w:val="24"/>
          <w:szCs w:val="24"/>
        </w:rPr>
        <w:t xml:space="preserve">de direction d'inclure au cours des prochaines réunions de consultation, en particulier celles qui doivent être traitées avec les gouvernements. Les consultations se concentreront sur la collecte des commentaires auprès des pays emprunteurs et des autres parties prenantes sur ces questions et sur d'autres, ainsi que sur les ressources et la mise en œuvre du CES. Cette liste des questions à débattre a été dressée à titre indicatif et n’est en aucun cas exhaustive. </w:t>
      </w:r>
      <w:r w:rsidR="005130AB">
        <w:rPr>
          <w:rFonts w:ascii="Times New Roman" w:hAnsi="Times New Roman" w:cs="Times New Roman"/>
          <w:sz w:val="24"/>
          <w:szCs w:val="24"/>
        </w:rPr>
        <w:t>L</w:t>
      </w:r>
      <w:r w:rsidR="005130AB" w:rsidRPr="005130AB">
        <w:rPr>
          <w:rFonts w:ascii="Times New Roman" w:hAnsi="Times New Roman" w:cs="Times New Roman"/>
          <w:sz w:val="24"/>
          <w:szCs w:val="24"/>
        </w:rPr>
        <w:t>’</w:t>
      </w:r>
      <w:r w:rsidR="005130AB">
        <w:rPr>
          <w:rFonts w:ascii="Times New Roman" w:hAnsi="Times New Roman" w:cs="Times New Roman"/>
          <w:sz w:val="24"/>
          <w:szCs w:val="24"/>
        </w:rPr>
        <w:t>É</w:t>
      </w:r>
      <w:r w:rsidR="005130AB" w:rsidRPr="005130AB">
        <w:rPr>
          <w:rFonts w:ascii="Times New Roman" w:hAnsi="Times New Roman" w:cs="Times New Roman"/>
          <w:sz w:val="24"/>
          <w:szCs w:val="24"/>
        </w:rPr>
        <w:t xml:space="preserve">quipe </w:t>
      </w:r>
      <w:r w:rsidRPr="005130AB">
        <w:rPr>
          <w:rFonts w:ascii="Times New Roman" w:hAnsi="Times New Roman" w:cs="Times New Roman"/>
          <w:sz w:val="24"/>
          <w:szCs w:val="24"/>
        </w:rPr>
        <w:t xml:space="preserve">de direction travaillera en </w:t>
      </w:r>
      <w:r w:rsidR="00BE0B7E">
        <w:rPr>
          <w:rFonts w:ascii="Times New Roman" w:hAnsi="Times New Roman" w:cs="Times New Roman"/>
          <w:sz w:val="24"/>
          <w:szCs w:val="24"/>
        </w:rPr>
        <w:t>étroite collaboration avec les A</w:t>
      </w:r>
      <w:r w:rsidRPr="005130AB">
        <w:rPr>
          <w:rFonts w:ascii="Times New Roman" w:hAnsi="Times New Roman" w:cs="Times New Roman"/>
          <w:sz w:val="24"/>
          <w:szCs w:val="24"/>
        </w:rPr>
        <w:t xml:space="preserve">dministrateurs pendant l'organisation de ces consultations, et les tiendra informés de l'état d'avancement des consultations. Après la clôture des consultations, </w:t>
      </w:r>
      <w:r w:rsidR="005130AB" w:rsidRPr="005130AB">
        <w:rPr>
          <w:rFonts w:ascii="Times New Roman" w:hAnsi="Times New Roman" w:cs="Times New Roman"/>
          <w:sz w:val="24"/>
          <w:szCs w:val="24"/>
        </w:rPr>
        <w:t>l’</w:t>
      </w:r>
      <w:r w:rsidR="005130AB">
        <w:rPr>
          <w:rFonts w:ascii="Times New Roman" w:hAnsi="Times New Roman" w:cs="Times New Roman"/>
          <w:sz w:val="24"/>
          <w:szCs w:val="24"/>
        </w:rPr>
        <w:t>É</w:t>
      </w:r>
      <w:r w:rsidR="005130AB" w:rsidRPr="005130AB">
        <w:rPr>
          <w:rFonts w:ascii="Times New Roman" w:hAnsi="Times New Roman" w:cs="Times New Roman"/>
          <w:sz w:val="24"/>
          <w:szCs w:val="24"/>
        </w:rPr>
        <w:t xml:space="preserve">quipe </w:t>
      </w:r>
      <w:r w:rsidRPr="005130AB">
        <w:rPr>
          <w:rFonts w:ascii="Times New Roman" w:hAnsi="Times New Roman" w:cs="Times New Roman"/>
          <w:sz w:val="24"/>
          <w:szCs w:val="24"/>
        </w:rPr>
        <w:t xml:space="preserve">de direction préparera un rapport sur les questions soulevées au cours des consultations pour examen par les </w:t>
      </w:r>
      <w:r w:rsidR="005130AB">
        <w:rPr>
          <w:rFonts w:ascii="Times New Roman" w:hAnsi="Times New Roman" w:cs="Times New Roman"/>
          <w:sz w:val="24"/>
          <w:szCs w:val="24"/>
        </w:rPr>
        <w:t>A</w:t>
      </w:r>
      <w:r w:rsidRPr="005130AB">
        <w:rPr>
          <w:rFonts w:ascii="Times New Roman" w:hAnsi="Times New Roman" w:cs="Times New Roman"/>
          <w:sz w:val="24"/>
          <w:szCs w:val="24"/>
        </w:rPr>
        <w:t xml:space="preserve">dministrateurs. </w:t>
      </w:r>
    </w:p>
    <w:p w:rsidR="00A22E48" w:rsidRPr="005130AB" w:rsidRDefault="00A22E48" w:rsidP="00C232FC">
      <w:pPr>
        <w:jc w:val="both"/>
        <w:rPr>
          <w:rFonts w:ascii="Times New Roman" w:hAnsi="Times New Roman" w:cs="Times New Roman"/>
          <w:sz w:val="24"/>
          <w:szCs w:val="24"/>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
        <w:gridCol w:w="2160"/>
        <w:gridCol w:w="7650"/>
      </w:tblGrid>
      <w:tr w:rsidR="00A22E48" w:rsidRPr="005130AB" w:rsidTr="000E1955">
        <w:tc>
          <w:tcPr>
            <w:tcW w:w="985" w:type="dxa"/>
            <w:shd w:val="clear" w:color="auto" w:fill="D9D9D9"/>
          </w:tcPr>
          <w:p w:rsidR="00A22E48" w:rsidRPr="005130AB" w:rsidRDefault="00A22E48" w:rsidP="000E1955">
            <w:pPr>
              <w:spacing w:after="0" w:line="240" w:lineRule="auto"/>
              <w:rPr>
                <w:rFonts w:ascii="Times New Roman" w:hAnsi="Times New Roman" w:cs="Times New Roman"/>
                <w:b/>
              </w:rPr>
            </w:pPr>
            <w:r w:rsidRPr="005130AB">
              <w:rPr>
                <w:rFonts w:ascii="Times New Roman" w:hAnsi="Times New Roman" w:cs="Times New Roman"/>
                <w:b/>
                <w:bCs/>
              </w:rPr>
              <w:t>CES</w:t>
            </w:r>
          </w:p>
        </w:tc>
        <w:tc>
          <w:tcPr>
            <w:tcW w:w="2160" w:type="dxa"/>
            <w:shd w:val="clear" w:color="auto" w:fill="D9D9D9"/>
          </w:tcPr>
          <w:p w:rsidR="00A22E48" w:rsidRPr="005130AB" w:rsidRDefault="00A22E48" w:rsidP="000E1955">
            <w:pPr>
              <w:spacing w:after="0" w:line="240" w:lineRule="auto"/>
              <w:rPr>
                <w:rFonts w:ascii="Times New Roman" w:hAnsi="Times New Roman" w:cs="Times New Roman"/>
                <w:b/>
              </w:rPr>
            </w:pPr>
            <w:r w:rsidRPr="005130AB">
              <w:rPr>
                <w:rFonts w:ascii="Times New Roman" w:hAnsi="Times New Roman" w:cs="Times New Roman"/>
                <w:b/>
                <w:bCs/>
              </w:rPr>
              <w:t>Questions</w:t>
            </w:r>
          </w:p>
        </w:tc>
        <w:tc>
          <w:tcPr>
            <w:tcW w:w="7650" w:type="dxa"/>
            <w:shd w:val="clear" w:color="auto" w:fill="D9D9D9"/>
          </w:tcPr>
          <w:p w:rsidR="00A22E48" w:rsidRPr="005130AB" w:rsidRDefault="00A22E48" w:rsidP="000E1955">
            <w:pPr>
              <w:spacing w:after="0" w:line="240" w:lineRule="auto"/>
              <w:rPr>
                <w:rFonts w:ascii="Times New Roman" w:hAnsi="Times New Roman" w:cs="Times New Roman"/>
                <w:b/>
              </w:rPr>
            </w:pPr>
            <w:r w:rsidRPr="005130AB">
              <w:rPr>
                <w:rFonts w:ascii="Times New Roman" w:hAnsi="Times New Roman" w:cs="Times New Roman"/>
                <w:b/>
                <w:bCs/>
              </w:rPr>
              <w:t>Aspects</w:t>
            </w:r>
          </w:p>
        </w:tc>
      </w:tr>
      <w:tr w:rsidR="00A22E48" w:rsidRPr="005130AB" w:rsidTr="000E1955">
        <w:tc>
          <w:tcPr>
            <w:tcW w:w="985" w:type="dxa"/>
          </w:tcPr>
          <w:p w:rsidR="00A22E48" w:rsidRPr="005130AB" w:rsidRDefault="00A22E48" w:rsidP="000E1955">
            <w:pPr>
              <w:spacing w:after="0" w:line="240" w:lineRule="auto"/>
              <w:rPr>
                <w:rFonts w:ascii="Times New Roman" w:hAnsi="Times New Roman" w:cs="Times New Roman"/>
                <w:color w:val="000000"/>
              </w:rPr>
            </w:pPr>
            <w:r w:rsidRPr="005130AB">
              <w:rPr>
                <w:rFonts w:ascii="Times New Roman" w:hAnsi="Times New Roman" w:cs="Times New Roman"/>
                <w:color w:val="000000"/>
              </w:rPr>
              <w:t>Vision</w:t>
            </w:r>
          </w:p>
        </w:tc>
        <w:tc>
          <w:tcPr>
            <w:tcW w:w="2160" w:type="dxa"/>
          </w:tcPr>
          <w:p w:rsidR="00A22E48" w:rsidRPr="005130AB" w:rsidRDefault="00A22E48" w:rsidP="000E1955">
            <w:pPr>
              <w:spacing w:after="0" w:line="240" w:lineRule="auto"/>
              <w:rPr>
                <w:rFonts w:ascii="Times New Roman" w:hAnsi="Times New Roman" w:cs="Times New Roman"/>
                <w:color w:val="000000"/>
              </w:rPr>
            </w:pPr>
            <w:r w:rsidRPr="005130AB">
              <w:rPr>
                <w:rFonts w:ascii="Times New Roman" w:hAnsi="Times New Roman" w:cs="Times New Roman"/>
                <w:color w:val="000000"/>
              </w:rPr>
              <w:t xml:space="preserve">Droits humains </w:t>
            </w:r>
          </w:p>
        </w:tc>
        <w:tc>
          <w:tcPr>
            <w:tcW w:w="7650" w:type="dxa"/>
          </w:tcPr>
          <w:p w:rsidR="00A22E48" w:rsidRPr="005130AB" w:rsidRDefault="00A22E48" w:rsidP="000E1955">
            <w:pPr>
              <w:pStyle w:val="ListParagraph"/>
              <w:numPr>
                <w:ilvl w:val="0"/>
                <w:numId w:val="3"/>
              </w:numPr>
              <w:ind w:left="342" w:hanging="270"/>
              <w:jc w:val="both"/>
              <w:rPr>
                <w:rFonts w:ascii="Times New Roman" w:hAnsi="Times New Roman"/>
                <w:color w:val="000000"/>
              </w:rPr>
            </w:pPr>
            <w:r w:rsidRPr="005130AB">
              <w:rPr>
                <w:rFonts w:ascii="Times New Roman" w:hAnsi="Times New Roman"/>
                <w:color w:val="000000"/>
              </w:rPr>
              <w:t xml:space="preserve">L'approche des droits humains dans le CES </w:t>
            </w:r>
          </w:p>
        </w:tc>
      </w:tr>
      <w:tr w:rsidR="00A22E48" w:rsidRPr="005130AB" w:rsidTr="000E1955">
        <w:tc>
          <w:tcPr>
            <w:tcW w:w="985" w:type="dxa"/>
            <w:vMerge w:val="restart"/>
          </w:tcPr>
          <w:p w:rsidR="00A22E48" w:rsidRPr="005130AB" w:rsidRDefault="005130AB" w:rsidP="000E1955">
            <w:pPr>
              <w:spacing w:after="0" w:line="240" w:lineRule="auto"/>
              <w:rPr>
                <w:rFonts w:ascii="Times New Roman" w:hAnsi="Times New Roman" w:cs="Times New Roman"/>
              </w:rPr>
            </w:pPr>
            <w:r>
              <w:rPr>
                <w:rFonts w:ascii="Times New Roman" w:hAnsi="Times New Roman" w:cs="Times New Roman"/>
              </w:rPr>
              <w:t>PES</w:t>
            </w:r>
            <w:r w:rsidR="00A22E48" w:rsidRPr="005130AB">
              <w:rPr>
                <w:rFonts w:ascii="Times New Roman" w:hAnsi="Times New Roman" w:cs="Times New Roman"/>
              </w:rPr>
              <w:t>/</w:t>
            </w:r>
          </w:p>
          <w:p w:rsidR="00A22E48" w:rsidRPr="005130AB" w:rsidRDefault="00A22E48" w:rsidP="000E1955">
            <w:pPr>
              <w:spacing w:after="0" w:line="240" w:lineRule="auto"/>
              <w:rPr>
                <w:rFonts w:ascii="Times New Roman" w:hAnsi="Times New Roman" w:cs="Times New Roman"/>
              </w:rPr>
            </w:pPr>
            <w:r w:rsidRPr="005130AB">
              <w:rPr>
                <w:rFonts w:ascii="Times New Roman" w:hAnsi="Times New Roman" w:cs="Times New Roman"/>
              </w:rPr>
              <w:t>NES n°1</w:t>
            </w:r>
          </w:p>
          <w:p w:rsidR="00A22E48" w:rsidRPr="005130AB" w:rsidRDefault="00A22E48" w:rsidP="000E1955">
            <w:pPr>
              <w:spacing w:after="0" w:line="240" w:lineRule="auto"/>
              <w:rPr>
                <w:rFonts w:ascii="Times New Roman" w:hAnsi="Times New Roman" w:cs="Times New Roman"/>
              </w:rPr>
            </w:pPr>
          </w:p>
        </w:tc>
        <w:tc>
          <w:tcPr>
            <w:tcW w:w="2160" w:type="dxa"/>
          </w:tcPr>
          <w:p w:rsidR="00A22E48" w:rsidRPr="005130AB" w:rsidRDefault="00A22E48" w:rsidP="000E1955">
            <w:pPr>
              <w:spacing w:after="0" w:line="240" w:lineRule="auto"/>
              <w:rPr>
                <w:rFonts w:ascii="Times New Roman" w:hAnsi="Times New Roman" w:cs="Times New Roman"/>
              </w:rPr>
            </w:pPr>
            <w:r w:rsidRPr="005130AB">
              <w:rPr>
                <w:rFonts w:ascii="Times New Roman" w:hAnsi="Times New Roman" w:cs="Times New Roman"/>
              </w:rPr>
              <w:t>Non-discrimination et groupes vulnérables</w:t>
            </w:r>
          </w:p>
        </w:tc>
        <w:tc>
          <w:tcPr>
            <w:tcW w:w="7650" w:type="dxa"/>
          </w:tcPr>
          <w:p w:rsidR="00A22E48" w:rsidRPr="005130AB" w:rsidRDefault="00A22E48" w:rsidP="000E1955">
            <w:pPr>
              <w:pStyle w:val="ListParagraph"/>
              <w:numPr>
                <w:ilvl w:val="0"/>
                <w:numId w:val="7"/>
              </w:numPr>
              <w:ind w:left="342" w:hanging="270"/>
              <w:jc w:val="both"/>
              <w:rPr>
                <w:rFonts w:ascii="Times New Roman" w:hAnsi="Times New Roman"/>
              </w:rPr>
            </w:pPr>
            <w:r w:rsidRPr="005130AB">
              <w:rPr>
                <w:rFonts w:ascii="Times New Roman" w:hAnsi="Times New Roman"/>
              </w:rPr>
              <w:t xml:space="preserve">Liste détaillée des groupes vulnérables spécifiques par type / nom (âge, sexe, statut ethnique, religion, incapacité physique ou mentale, statut social et civique, orientation sexuelle, identité sexuelle, statut économique ou statut d'autochtone, et / ou dépendance sur des ressources naturelles uniques) </w:t>
            </w:r>
          </w:p>
          <w:p w:rsidR="00A22E48" w:rsidRPr="005130AB" w:rsidRDefault="00A22E48" w:rsidP="000E1955">
            <w:pPr>
              <w:pStyle w:val="ListParagraph"/>
              <w:numPr>
                <w:ilvl w:val="0"/>
                <w:numId w:val="7"/>
              </w:numPr>
              <w:ind w:left="342" w:hanging="270"/>
              <w:jc w:val="both"/>
              <w:rPr>
                <w:rFonts w:ascii="Times New Roman" w:hAnsi="Times New Roman"/>
              </w:rPr>
            </w:pPr>
            <w:r w:rsidRPr="005130AB">
              <w:rPr>
                <w:rFonts w:ascii="Times New Roman" w:hAnsi="Times New Roman"/>
              </w:rPr>
              <w:t>Aspects spécifiques du principe de non-discrimination dans des contextes sociaux et politiques complexes, y compris lorsque la reconnaissance de certains groupes est non conforme à la législation nationale</w:t>
            </w:r>
          </w:p>
        </w:tc>
      </w:tr>
      <w:tr w:rsidR="00A22E48" w:rsidRPr="005130AB" w:rsidTr="000E1955">
        <w:tc>
          <w:tcPr>
            <w:tcW w:w="985" w:type="dxa"/>
            <w:vMerge/>
          </w:tcPr>
          <w:p w:rsidR="00A22E48" w:rsidRPr="005130AB" w:rsidRDefault="00A22E48" w:rsidP="000E1955">
            <w:pPr>
              <w:spacing w:after="0" w:line="240" w:lineRule="auto"/>
              <w:rPr>
                <w:rFonts w:ascii="Times New Roman" w:hAnsi="Times New Roman" w:cs="Times New Roman"/>
                <w:color w:val="000000"/>
              </w:rPr>
            </w:pPr>
          </w:p>
        </w:tc>
        <w:tc>
          <w:tcPr>
            <w:tcW w:w="2160" w:type="dxa"/>
          </w:tcPr>
          <w:p w:rsidR="00A22E48" w:rsidRPr="005130AB" w:rsidRDefault="00A22E48" w:rsidP="000E1955">
            <w:pPr>
              <w:spacing w:after="0" w:line="240" w:lineRule="auto"/>
              <w:rPr>
                <w:rFonts w:ascii="Times New Roman" w:hAnsi="Times New Roman" w:cs="Times New Roman"/>
              </w:rPr>
            </w:pPr>
            <w:r w:rsidRPr="005130AB">
              <w:rPr>
                <w:rFonts w:ascii="Times New Roman" w:hAnsi="Times New Roman" w:cs="Times New Roman"/>
                <w:color w:val="000000"/>
              </w:rPr>
              <w:t>Utilisation du Cadre environnemental et social de l'Emprunteur</w:t>
            </w:r>
          </w:p>
        </w:tc>
        <w:tc>
          <w:tcPr>
            <w:tcW w:w="7650" w:type="dxa"/>
          </w:tcPr>
          <w:p w:rsidR="00A22E48" w:rsidRPr="005130AB" w:rsidRDefault="00A22E48" w:rsidP="000E1955">
            <w:pPr>
              <w:pStyle w:val="ListParagraph"/>
              <w:numPr>
                <w:ilvl w:val="0"/>
                <w:numId w:val="4"/>
              </w:numPr>
              <w:ind w:left="342" w:hanging="270"/>
              <w:jc w:val="both"/>
              <w:rPr>
                <w:rFonts w:ascii="Times New Roman" w:hAnsi="Times New Roman"/>
              </w:rPr>
            </w:pPr>
            <w:r w:rsidRPr="005130AB">
              <w:rPr>
                <w:rFonts w:ascii="Times New Roman" w:hAnsi="Times New Roman"/>
              </w:rPr>
              <w:t xml:space="preserve">Rôle des cadres de l'Emprunteur dans la gestion et l'évaluation des risques et des impacts environnementaux et sociaux (E&amp;S) lorsque ceux-ci permettent aux projets d'atteindre des objectifs sensiblement conformes aux Normes environnementales et sociales (NES) </w:t>
            </w:r>
          </w:p>
          <w:p w:rsidR="00A22E48" w:rsidRPr="005130AB" w:rsidRDefault="00A22E48" w:rsidP="000E1955">
            <w:pPr>
              <w:pStyle w:val="ListParagraph"/>
              <w:numPr>
                <w:ilvl w:val="0"/>
                <w:numId w:val="4"/>
              </w:numPr>
              <w:ind w:left="342" w:hanging="270"/>
              <w:jc w:val="both"/>
              <w:rPr>
                <w:rFonts w:ascii="Times New Roman" w:hAnsi="Times New Roman"/>
              </w:rPr>
            </w:pPr>
            <w:r w:rsidRPr="005130AB">
              <w:rPr>
                <w:rFonts w:ascii="Times New Roman" w:hAnsi="Times New Roman"/>
              </w:rPr>
              <w:t>Méthode de prise de décision sur l'utilisation des cadres de l'Emprunteur, y compris la méthodologie d'évaluation lorsque les cadres permettront aux projets d'atteindre des objectifs matériellemen</w:t>
            </w:r>
            <w:r w:rsidR="005130AB">
              <w:rPr>
                <w:rFonts w:ascii="Times New Roman" w:hAnsi="Times New Roman"/>
              </w:rPr>
              <w:t xml:space="preserve">t compatibles avec les NES, et </w:t>
            </w:r>
            <w:r w:rsidRPr="005130AB">
              <w:rPr>
                <w:rFonts w:ascii="Times New Roman" w:hAnsi="Times New Roman"/>
              </w:rPr>
              <w:t>exercice du pouvoir discrétionnaire de la Banque</w:t>
            </w:r>
          </w:p>
          <w:p w:rsidR="00A22E48" w:rsidRPr="005130AB" w:rsidRDefault="005130AB" w:rsidP="005130AB">
            <w:pPr>
              <w:pStyle w:val="ListParagraph"/>
              <w:numPr>
                <w:ilvl w:val="0"/>
                <w:numId w:val="4"/>
              </w:numPr>
              <w:ind w:left="342" w:hanging="270"/>
              <w:jc w:val="both"/>
              <w:rPr>
                <w:rFonts w:ascii="Times New Roman" w:hAnsi="Times New Roman"/>
              </w:rPr>
            </w:pPr>
            <w:r>
              <w:rPr>
                <w:rFonts w:ascii="Times New Roman" w:hAnsi="Times New Roman"/>
              </w:rPr>
              <w:t>R</w:t>
            </w:r>
            <w:r w:rsidR="00A22E48" w:rsidRPr="005130AB">
              <w:rPr>
                <w:rFonts w:ascii="Times New Roman" w:hAnsi="Times New Roman"/>
              </w:rPr>
              <w:t>ôle des cadres de l'Emprunteur dans des projets</w:t>
            </w:r>
            <w:r>
              <w:rPr>
                <w:rFonts w:ascii="Times New Roman" w:hAnsi="Times New Roman"/>
              </w:rPr>
              <w:t xml:space="preserve"> qui présentent des</w:t>
            </w:r>
            <w:r w:rsidR="00A22E48" w:rsidRPr="005130AB">
              <w:rPr>
                <w:rFonts w:ascii="Times New Roman" w:hAnsi="Times New Roman"/>
              </w:rPr>
              <w:t xml:space="preserve"> risques significatifs et élevés.</w:t>
            </w:r>
          </w:p>
        </w:tc>
      </w:tr>
      <w:tr w:rsidR="00A22E48" w:rsidRPr="005130AB" w:rsidTr="000E1955">
        <w:tc>
          <w:tcPr>
            <w:tcW w:w="985" w:type="dxa"/>
            <w:vMerge/>
          </w:tcPr>
          <w:p w:rsidR="00A22E48" w:rsidRPr="005130AB" w:rsidRDefault="00A22E48" w:rsidP="000E1955">
            <w:pPr>
              <w:spacing w:after="0" w:line="240" w:lineRule="auto"/>
              <w:rPr>
                <w:rFonts w:ascii="Times New Roman" w:hAnsi="Times New Roman" w:cs="Times New Roman"/>
              </w:rPr>
            </w:pPr>
          </w:p>
        </w:tc>
        <w:tc>
          <w:tcPr>
            <w:tcW w:w="2160" w:type="dxa"/>
          </w:tcPr>
          <w:p w:rsidR="00A22E48" w:rsidRPr="005130AB" w:rsidRDefault="00A22E48" w:rsidP="000E1955">
            <w:pPr>
              <w:spacing w:after="0" w:line="240" w:lineRule="auto"/>
              <w:rPr>
                <w:rFonts w:ascii="Times New Roman" w:hAnsi="Times New Roman" w:cs="Times New Roman"/>
              </w:rPr>
            </w:pPr>
            <w:r w:rsidRPr="005130AB">
              <w:rPr>
                <w:rFonts w:ascii="Times New Roman" w:hAnsi="Times New Roman" w:cs="Times New Roman"/>
              </w:rPr>
              <w:t>Approche de cofinancement / commune</w:t>
            </w:r>
          </w:p>
        </w:tc>
        <w:tc>
          <w:tcPr>
            <w:tcW w:w="7650" w:type="dxa"/>
          </w:tcPr>
          <w:p w:rsidR="00A22E48" w:rsidRPr="005130AB" w:rsidRDefault="00A22E48" w:rsidP="000E1955">
            <w:pPr>
              <w:pStyle w:val="ListParagraph"/>
              <w:numPr>
                <w:ilvl w:val="0"/>
                <w:numId w:val="9"/>
              </w:numPr>
              <w:ind w:left="342" w:hanging="270"/>
              <w:jc w:val="both"/>
              <w:rPr>
                <w:rFonts w:ascii="Times New Roman" w:hAnsi="Times New Roman"/>
              </w:rPr>
            </w:pPr>
            <w:r w:rsidRPr="005130AB">
              <w:rPr>
                <w:rFonts w:ascii="Times New Roman" w:hAnsi="Times New Roman"/>
              </w:rPr>
              <w:t>Dispositions sur les normes E&amp;S dans des situations de cofinancement lorsque les normes du cofinanceur sont différentes de celles de la Banque</w:t>
            </w:r>
            <w:r w:rsidR="005130AB">
              <w:rPr>
                <w:rFonts w:ascii="Times New Roman" w:hAnsi="Times New Roman"/>
              </w:rPr>
              <w:t>.</w:t>
            </w:r>
          </w:p>
        </w:tc>
      </w:tr>
      <w:tr w:rsidR="00A22E48" w:rsidRPr="005130AB" w:rsidTr="000E1955">
        <w:tc>
          <w:tcPr>
            <w:tcW w:w="985" w:type="dxa"/>
            <w:vMerge/>
          </w:tcPr>
          <w:p w:rsidR="00A22E48" w:rsidRPr="005130AB" w:rsidRDefault="00A22E48" w:rsidP="000E1955">
            <w:pPr>
              <w:spacing w:after="0" w:line="240" w:lineRule="auto"/>
              <w:rPr>
                <w:rFonts w:ascii="Times New Roman" w:hAnsi="Times New Roman" w:cs="Times New Roman"/>
              </w:rPr>
            </w:pPr>
          </w:p>
        </w:tc>
        <w:tc>
          <w:tcPr>
            <w:tcW w:w="2160" w:type="dxa"/>
          </w:tcPr>
          <w:p w:rsidR="00A22E48" w:rsidRPr="005130AB" w:rsidRDefault="00A22E48" w:rsidP="000E1955">
            <w:pPr>
              <w:spacing w:after="0" w:line="240" w:lineRule="auto"/>
              <w:rPr>
                <w:rFonts w:ascii="Times New Roman" w:hAnsi="Times New Roman" w:cs="Times New Roman"/>
              </w:rPr>
            </w:pPr>
            <w:r w:rsidRPr="005130AB">
              <w:rPr>
                <w:rFonts w:ascii="Times New Roman" w:hAnsi="Times New Roman" w:cs="Times New Roman"/>
              </w:rPr>
              <w:t>Gestion adaptative des risques</w:t>
            </w:r>
          </w:p>
        </w:tc>
        <w:tc>
          <w:tcPr>
            <w:tcW w:w="7650" w:type="dxa"/>
          </w:tcPr>
          <w:p w:rsidR="00A22E48" w:rsidRPr="005130AB" w:rsidRDefault="00A22E48" w:rsidP="000E1955">
            <w:pPr>
              <w:pStyle w:val="ListParagraph"/>
              <w:numPr>
                <w:ilvl w:val="0"/>
                <w:numId w:val="9"/>
              </w:numPr>
              <w:ind w:left="342" w:hanging="270"/>
              <w:jc w:val="both"/>
              <w:rPr>
                <w:rFonts w:ascii="Times New Roman" w:hAnsi="Times New Roman"/>
              </w:rPr>
            </w:pPr>
            <w:r w:rsidRPr="005130AB">
              <w:rPr>
                <w:rFonts w:ascii="Times New Roman" w:hAnsi="Times New Roman"/>
              </w:rPr>
              <w:t>Méthode de contrôle de la conformité E&amp;S et modifications apportées au projet pendant la mise en œuvre</w:t>
            </w:r>
          </w:p>
        </w:tc>
      </w:tr>
      <w:tr w:rsidR="00A22E48" w:rsidRPr="005130AB" w:rsidTr="000E1955">
        <w:tc>
          <w:tcPr>
            <w:tcW w:w="985" w:type="dxa"/>
            <w:vMerge/>
          </w:tcPr>
          <w:p w:rsidR="00A22E48" w:rsidRPr="005130AB" w:rsidRDefault="00A22E48" w:rsidP="000E1955">
            <w:pPr>
              <w:spacing w:after="0" w:line="240" w:lineRule="auto"/>
              <w:rPr>
                <w:rFonts w:ascii="Times New Roman" w:hAnsi="Times New Roman" w:cs="Times New Roman"/>
              </w:rPr>
            </w:pPr>
          </w:p>
        </w:tc>
        <w:tc>
          <w:tcPr>
            <w:tcW w:w="2160" w:type="dxa"/>
          </w:tcPr>
          <w:p w:rsidR="00A22E48" w:rsidRPr="005130AB" w:rsidRDefault="00A22E48" w:rsidP="000E1955">
            <w:pPr>
              <w:spacing w:after="0" w:line="240" w:lineRule="auto"/>
              <w:rPr>
                <w:rFonts w:ascii="Times New Roman" w:hAnsi="Times New Roman" w:cs="Times New Roman"/>
              </w:rPr>
            </w:pPr>
            <w:r w:rsidRPr="005130AB">
              <w:rPr>
                <w:rFonts w:ascii="Times New Roman" w:hAnsi="Times New Roman" w:cs="Times New Roman"/>
              </w:rPr>
              <w:t>Classification des risques</w:t>
            </w:r>
          </w:p>
        </w:tc>
        <w:tc>
          <w:tcPr>
            <w:tcW w:w="7650" w:type="dxa"/>
          </w:tcPr>
          <w:p w:rsidR="00A22E48" w:rsidRPr="005130AB" w:rsidDel="00EF3E5D" w:rsidRDefault="00A22E48" w:rsidP="005130AB">
            <w:pPr>
              <w:pStyle w:val="ListParagraph"/>
              <w:numPr>
                <w:ilvl w:val="0"/>
                <w:numId w:val="9"/>
              </w:numPr>
              <w:ind w:left="342" w:hanging="270"/>
              <w:jc w:val="both"/>
              <w:rPr>
                <w:rFonts w:ascii="Times New Roman" w:hAnsi="Times New Roman"/>
              </w:rPr>
            </w:pPr>
            <w:r w:rsidRPr="005130AB">
              <w:rPr>
                <w:rFonts w:ascii="Times New Roman" w:hAnsi="Times New Roman"/>
              </w:rPr>
              <w:t xml:space="preserve">Méthode </w:t>
            </w:r>
            <w:r w:rsidR="005130AB">
              <w:rPr>
                <w:rFonts w:ascii="Times New Roman" w:hAnsi="Times New Roman"/>
              </w:rPr>
              <w:t xml:space="preserve">permettant de </w:t>
            </w:r>
            <w:r w:rsidRPr="005130AB">
              <w:rPr>
                <w:rFonts w:ascii="Times New Roman" w:hAnsi="Times New Roman"/>
              </w:rPr>
              <w:t>déterminer et</w:t>
            </w:r>
            <w:r w:rsidR="005130AB">
              <w:rPr>
                <w:rFonts w:ascii="Times New Roman" w:hAnsi="Times New Roman"/>
              </w:rPr>
              <w:t xml:space="preserve"> d’</w:t>
            </w:r>
            <w:r w:rsidRPr="005130AB">
              <w:rPr>
                <w:rFonts w:ascii="Times New Roman" w:hAnsi="Times New Roman"/>
              </w:rPr>
              <w:t>examiner le niveau de risque d'un projet donné</w:t>
            </w:r>
          </w:p>
        </w:tc>
      </w:tr>
      <w:tr w:rsidR="00A22E48" w:rsidRPr="005130AB" w:rsidTr="000E1955">
        <w:tc>
          <w:tcPr>
            <w:tcW w:w="985" w:type="dxa"/>
            <w:vMerge w:val="restart"/>
          </w:tcPr>
          <w:p w:rsidR="00A22E48" w:rsidRPr="005130AB" w:rsidRDefault="00A22E48" w:rsidP="000E1955">
            <w:pPr>
              <w:spacing w:after="0" w:line="240" w:lineRule="auto"/>
              <w:rPr>
                <w:rFonts w:ascii="Times New Roman" w:hAnsi="Times New Roman" w:cs="Times New Roman"/>
              </w:rPr>
            </w:pPr>
            <w:r w:rsidRPr="005130AB">
              <w:rPr>
                <w:rFonts w:ascii="Times New Roman" w:hAnsi="Times New Roman" w:cs="Times New Roman"/>
              </w:rPr>
              <w:t>NES n°1</w:t>
            </w:r>
          </w:p>
          <w:p w:rsidR="00A22E48" w:rsidRPr="005130AB" w:rsidRDefault="00A22E48" w:rsidP="000E1955">
            <w:pPr>
              <w:spacing w:after="0" w:line="240" w:lineRule="auto"/>
              <w:rPr>
                <w:rFonts w:ascii="Times New Roman" w:hAnsi="Times New Roman" w:cs="Times New Roman"/>
              </w:rPr>
            </w:pPr>
          </w:p>
        </w:tc>
        <w:tc>
          <w:tcPr>
            <w:tcW w:w="2160" w:type="dxa"/>
          </w:tcPr>
          <w:p w:rsidR="00A22E48" w:rsidRPr="005130AB" w:rsidRDefault="00A22E48" w:rsidP="000E1955">
            <w:pPr>
              <w:spacing w:after="0" w:line="240" w:lineRule="auto"/>
              <w:rPr>
                <w:rFonts w:ascii="Times New Roman" w:hAnsi="Times New Roman" w:cs="Times New Roman"/>
              </w:rPr>
            </w:pPr>
            <w:r w:rsidRPr="005130AB">
              <w:rPr>
                <w:rFonts w:ascii="Times New Roman" w:hAnsi="Times New Roman" w:cs="Times New Roman"/>
              </w:rPr>
              <w:t>Évaluation et gestion des risques et des impacts environnementaux et sociaux</w:t>
            </w:r>
          </w:p>
        </w:tc>
        <w:tc>
          <w:tcPr>
            <w:tcW w:w="7650" w:type="dxa"/>
          </w:tcPr>
          <w:p w:rsidR="00A22E48" w:rsidRPr="005130AB" w:rsidRDefault="00A22E48" w:rsidP="000E1955">
            <w:pPr>
              <w:pStyle w:val="ListParagraph"/>
              <w:numPr>
                <w:ilvl w:val="0"/>
                <w:numId w:val="9"/>
              </w:numPr>
              <w:ind w:left="342" w:hanging="270"/>
              <w:jc w:val="both"/>
              <w:rPr>
                <w:rFonts w:ascii="Times New Roman" w:hAnsi="Times New Roman"/>
              </w:rPr>
            </w:pPr>
            <w:r w:rsidRPr="005130AB">
              <w:rPr>
                <w:rFonts w:ascii="Times New Roman" w:hAnsi="Times New Roman"/>
              </w:rPr>
              <w:t xml:space="preserve">Évaluation et nature des impacts cumulatifs et indirects à prendre en compte </w:t>
            </w:r>
          </w:p>
          <w:p w:rsidR="00A22E48" w:rsidRPr="005130AB" w:rsidRDefault="00A22E48" w:rsidP="000E1955">
            <w:pPr>
              <w:pStyle w:val="ListParagraph"/>
              <w:numPr>
                <w:ilvl w:val="0"/>
                <w:numId w:val="9"/>
              </w:numPr>
              <w:ind w:left="342" w:hanging="270"/>
              <w:jc w:val="both"/>
              <w:rPr>
                <w:rFonts w:ascii="Times New Roman" w:hAnsi="Times New Roman"/>
              </w:rPr>
            </w:pPr>
            <w:r w:rsidRPr="005130AB">
              <w:rPr>
                <w:rFonts w:ascii="Times New Roman" w:hAnsi="Times New Roman"/>
              </w:rPr>
              <w:t>Traitement des impacts cumulatifs et indirects lorsqu'ils sont identifiés dans l'évaluation du projet</w:t>
            </w:r>
          </w:p>
          <w:p w:rsidR="00A22E48" w:rsidRPr="005130AB" w:rsidRDefault="00A22E48" w:rsidP="000E1955">
            <w:pPr>
              <w:pStyle w:val="ListParagraph"/>
              <w:numPr>
                <w:ilvl w:val="0"/>
                <w:numId w:val="9"/>
              </w:numPr>
              <w:ind w:left="342" w:hanging="270"/>
              <w:jc w:val="both"/>
              <w:rPr>
                <w:rFonts w:ascii="Times New Roman" w:hAnsi="Times New Roman"/>
              </w:rPr>
            </w:pPr>
            <w:r w:rsidRPr="005130AB">
              <w:rPr>
                <w:rFonts w:ascii="Times New Roman" w:hAnsi="Times New Roman"/>
              </w:rPr>
              <w:t xml:space="preserve">Établissement des limites du projet et applicabilité des NES aux installations associées, aux entrepreneurs, aux fournisseurs primaires, aux sous-projets des </w:t>
            </w:r>
            <w:r w:rsidR="005130AB">
              <w:rPr>
                <w:rFonts w:ascii="Times New Roman" w:hAnsi="Times New Roman"/>
              </w:rPr>
              <w:t>intermédiaires financiers (</w:t>
            </w:r>
            <w:r w:rsidRPr="005130AB">
              <w:rPr>
                <w:rFonts w:ascii="Times New Roman" w:hAnsi="Times New Roman"/>
              </w:rPr>
              <w:t>IF</w:t>
            </w:r>
            <w:r w:rsidR="005130AB">
              <w:rPr>
                <w:rFonts w:ascii="Times New Roman" w:hAnsi="Times New Roman"/>
              </w:rPr>
              <w:t>)</w:t>
            </w:r>
            <w:r w:rsidRPr="005130AB">
              <w:rPr>
                <w:rFonts w:ascii="Times New Roman" w:hAnsi="Times New Roman"/>
              </w:rPr>
              <w:t xml:space="preserve"> et aux sous-projets financés directement </w:t>
            </w:r>
          </w:p>
          <w:p w:rsidR="00A22E48" w:rsidRPr="005130AB" w:rsidRDefault="00A22E48" w:rsidP="000E1955">
            <w:pPr>
              <w:pStyle w:val="ListParagraph"/>
              <w:numPr>
                <w:ilvl w:val="0"/>
                <w:numId w:val="9"/>
              </w:numPr>
              <w:ind w:left="342" w:hanging="270"/>
              <w:jc w:val="both"/>
              <w:rPr>
                <w:rFonts w:ascii="Times New Roman" w:hAnsi="Times New Roman"/>
              </w:rPr>
            </w:pPr>
            <w:r w:rsidRPr="005130AB">
              <w:rPr>
                <w:rFonts w:ascii="Times New Roman" w:hAnsi="Times New Roman"/>
              </w:rPr>
              <w:t xml:space="preserve">Circonstances dans lesquelles la Banque déterminera si l'Emprunteur sera tenu </w:t>
            </w:r>
            <w:r w:rsidRPr="005130AB">
              <w:rPr>
                <w:rFonts w:ascii="Times New Roman" w:hAnsi="Times New Roman"/>
              </w:rPr>
              <w:lastRenderedPageBreak/>
              <w:t>de faire appel à des spécialistes indépendants tiers</w:t>
            </w:r>
          </w:p>
        </w:tc>
      </w:tr>
      <w:tr w:rsidR="00A22E48" w:rsidRPr="005130AB" w:rsidTr="000E1955">
        <w:tc>
          <w:tcPr>
            <w:tcW w:w="985" w:type="dxa"/>
            <w:vMerge/>
          </w:tcPr>
          <w:p w:rsidR="00A22E48" w:rsidRPr="005130AB" w:rsidRDefault="00A22E48" w:rsidP="000E1955">
            <w:pPr>
              <w:spacing w:after="0" w:line="240" w:lineRule="auto"/>
              <w:rPr>
                <w:rFonts w:ascii="Times New Roman" w:hAnsi="Times New Roman" w:cs="Times New Roman"/>
              </w:rPr>
            </w:pPr>
          </w:p>
        </w:tc>
        <w:tc>
          <w:tcPr>
            <w:tcW w:w="2160" w:type="dxa"/>
          </w:tcPr>
          <w:p w:rsidR="00A22E48" w:rsidRPr="005130AB" w:rsidRDefault="00A22E48" w:rsidP="000E1955">
            <w:pPr>
              <w:spacing w:after="0" w:line="240" w:lineRule="auto"/>
              <w:rPr>
                <w:rFonts w:ascii="Times New Roman" w:hAnsi="Times New Roman" w:cs="Times New Roman"/>
              </w:rPr>
            </w:pPr>
            <w:r w:rsidRPr="005130AB">
              <w:rPr>
                <w:rFonts w:ascii="Times New Roman" w:hAnsi="Times New Roman" w:cs="Times New Roman"/>
              </w:rPr>
              <w:t>Plan d'engagement environnemental et social (PEES)</w:t>
            </w:r>
          </w:p>
        </w:tc>
        <w:tc>
          <w:tcPr>
            <w:tcW w:w="7650" w:type="dxa"/>
          </w:tcPr>
          <w:p w:rsidR="00A22E48" w:rsidRPr="005130AB" w:rsidRDefault="00A22E48" w:rsidP="000E1955">
            <w:pPr>
              <w:pStyle w:val="ListParagraph"/>
              <w:numPr>
                <w:ilvl w:val="0"/>
                <w:numId w:val="9"/>
              </w:numPr>
              <w:ind w:left="342" w:hanging="270"/>
              <w:jc w:val="both"/>
              <w:rPr>
                <w:rFonts w:ascii="Times New Roman" w:hAnsi="Times New Roman"/>
              </w:rPr>
            </w:pPr>
            <w:r w:rsidRPr="005130AB">
              <w:rPr>
                <w:rFonts w:ascii="Times New Roman" w:hAnsi="Times New Roman"/>
              </w:rPr>
              <w:t>Statut juridique du PEES et implications des changements apportés au PEES dans le cadre de l'accord juridique</w:t>
            </w:r>
          </w:p>
        </w:tc>
      </w:tr>
      <w:tr w:rsidR="00A22E48" w:rsidRPr="005130AB" w:rsidTr="000E1955">
        <w:tc>
          <w:tcPr>
            <w:tcW w:w="985" w:type="dxa"/>
          </w:tcPr>
          <w:p w:rsidR="00A22E48" w:rsidRPr="005130AB" w:rsidRDefault="00A22E48" w:rsidP="000E1955">
            <w:pPr>
              <w:spacing w:after="0" w:line="240" w:lineRule="auto"/>
              <w:rPr>
                <w:rFonts w:ascii="Times New Roman" w:hAnsi="Times New Roman" w:cs="Times New Roman"/>
              </w:rPr>
            </w:pPr>
            <w:r w:rsidRPr="005130AB">
              <w:rPr>
                <w:rFonts w:ascii="Times New Roman" w:hAnsi="Times New Roman" w:cs="Times New Roman"/>
              </w:rPr>
              <w:t>NES n°2</w:t>
            </w:r>
          </w:p>
        </w:tc>
        <w:tc>
          <w:tcPr>
            <w:tcW w:w="2160" w:type="dxa"/>
          </w:tcPr>
          <w:p w:rsidR="00A22E48" w:rsidRPr="005130AB" w:rsidRDefault="00A22E48" w:rsidP="000E1955">
            <w:pPr>
              <w:spacing w:after="0" w:line="240" w:lineRule="auto"/>
              <w:rPr>
                <w:rFonts w:ascii="Times New Roman" w:hAnsi="Times New Roman" w:cs="Times New Roman"/>
              </w:rPr>
            </w:pPr>
            <w:r w:rsidRPr="005130AB">
              <w:rPr>
                <w:rFonts w:ascii="Times New Roman" w:hAnsi="Times New Roman" w:cs="Times New Roman"/>
              </w:rPr>
              <w:t>Main-d'œuvre et conditions de travail</w:t>
            </w:r>
          </w:p>
        </w:tc>
        <w:tc>
          <w:tcPr>
            <w:tcW w:w="7650" w:type="dxa"/>
          </w:tcPr>
          <w:p w:rsidR="00A22E48" w:rsidRPr="005130AB" w:rsidRDefault="00A22E48" w:rsidP="000E1955">
            <w:pPr>
              <w:pStyle w:val="ListParagraph"/>
              <w:numPr>
                <w:ilvl w:val="0"/>
                <w:numId w:val="4"/>
              </w:numPr>
              <w:ind w:left="342" w:hanging="270"/>
              <w:jc w:val="both"/>
              <w:rPr>
                <w:rFonts w:ascii="Times New Roman" w:hAnsi="Times New Roman"/>
              </w:rPr>
            </w:pPr>
            <w:r w:rsidRPr="005130AB">
              <w:rPr>
                <w:rFonts w:ascii="Times New Roman" w:hAnsi="Times New Roman"/>
              </w:rPr>
              <w:t xml:space="preserve">Définition, nécessité et exigences relatives à la gestion de la main œuvre employée par des parties tierces (courtiers, agents et intermédiaires)  </w:t>
            </w:r>
          </w:p>
          <w:p w:rsidR="00A22E48" w:rsidRPr="005130AB" w:rsidRDefault="00A22E48" w:rsidP="000E1955">
            <w:pPr>
              <w:pStyle w:val="ListParagraph"/>
              <w:numPr>
                <w:ilvl w:val="0"/>
                <w:numId w:val="4"/>
              </w:numPr>
              <w:ind w:left="342" w:hanging="270"/>
              <w:jc w:val="both"/>
              <w:rPr>
                <w:rFonts w:ascii="Times New Roman" w:hAnsi="Times New Roman"/>
              </w:rPr>
            </w:pPr>
            <w:r w:rsidRPr="005130AB">
              <w:rPr>
                <w:rFonts w:ascii="Times New Roman" w:hAnsi="Times New Roman"/>
              </w:rPr>
              <w:t xml:space="preserve">Impacts relatifs à l'application et la mise en œuvre de certaines exigences du travail auprès des entrepreneurs, de la communauté et du personnel bénévole, et des fournisseurs primaires  </w:t>
            </w:r>
          </w:p>
          <w:p w:rsidR="00A22E48" w:rsidRPr="005130AB" w:rsidRDefault="00A22E48" w:rsidP="000E1955">
            <w:pPr>
              <w:pStyle w:val="ListParagraph"/>
              <w:numPr>
                <w:ilvl w:val="0"/>
                <w:numId w:val="4"/>
              </w:numPr>
              <w:ind w:left="342" w:hanging="270"/>
              <w:jc w:val="both"/>
              <w:rPr>
                <w:rFonts w:ascii="Times New Roman" w:hAnsi="Times New Roman"/>
              </w:rPr>
            </w:pPr>
            <w:r w:rsidRPr="005130AB">
              <w:rPr>
                <w:rFonts w:ascii="Times New Roman" w:hAnsi="Times New Roman"/>
              </w:rPr>
              <w:t xml:space="preserve">Contraintes visant à rendre disponibles des mécanismes de règlement des griefs </w:t>
            </w:r>
            <w:r w:rsidR="005130AB">
              <w:rPr>
                <w:rFonts w:ascii="Times New Roman" w:hAnsi="Times New Roman"/>
              </w:rPr>
              <w:t xml:space="preserve">dont pourront bénéficier </w:t>
            </w:r>
            <w:r w:rsidRPr="005130AB">
              <w:rPr>
                <w:rFonts w:ascii="Times New Roman" w:hAnsi="Times New Roman"/>
              </w:rPr>
              <w:t xml:space="preserve">tous les travailleurs du projet </w:t>
            </w:r>
          </w:p>
          <w:p w:rsidR="00A22E48" w:rsidRPr="005130AB" w:rsidRDefault="00A22E48" w:rsidP="000E1955">
            <w:pPr>
              <w:pStyle w:val="ListParagraph"/>
              <w:numPr>
                <w:ilvl w:val="0"/>
                <w:numId w:val="4"/>
              </w:numPr>
              <w:ind w:left="342" w:hanging="270"/>
              <w:jc w:val="both"/>
              <w:rPr>
                <w:rFonts w:ascii="Times New Roman" w:hAnsi="Times New Roman"/>
              </w:rPr>
            </w:pPr>
            <w:r w:rsidRPr="005130AB">
              <w:rPr>
                <w:rFonts w:ascii="Times New Roman" w:hAnsi="Times New Roman"/>
              </w:rPr>
              <w:t xml:space="preserve">Référencement du droit national dans l'objectif de soutenir la liberté d'association et la négociation collective </w:t>
            </w:r>
          </w:p>
          <w:p w:rsidR="00A22E48" w:rsidRPr="005130AB" w:rsidRDefault="00A22E48" w:rsidP="000E1955">
            <w:pPr>
              <w:pStyle w:val="ListParagraph"/>
              <w:numPr>
                <w:ilvl w:val="0"/>
                <w:numId w:val="4"/>
              </w:numPr>
              <w:ind w:left="342" w:hanging="270"/>
              <w:jc w:val="both"/>
              <w:rPr>
                <w:rFonts w:ascii="Times New Roman" w:hAnsi="Times New Roman"/>
              </w:rPr>
            </w:pPr>
            <w:r w:rsidRPr="005130AB">
              <w:rPr>
                <w:rFonts w:ascii="Times New Roman" w:hAnsi="Times New Roman"/>
              </w:rPr>
              <w:t>Mise en place d'un mécanisme alternatif relatif à la liberté d'association et de négociation collective lorsque le droit national ne reconnaît pas ces droits</w:t>
            </w:r>
          </w:p>
          <w:p w:rsidR="00A22E48" w:rsidRPr="005130AB" w:rsidRDefault="00A22E48" w:rsidP="000E1955">
            <w:pPr>
              <w:pStyle w:val="ListParagraph"/>
              <w:numPr>
                <w:ilvl w:val="0"/>
                <w:numId w:val="4"/>
              </w:numPr>
              <w:ind w:left="342" w:hanging="270"/>
              <w:jc w:val="both"/>
              <w:rPr>
                <w:rFonts w:ascii="Times New Roman" w:hAnsi="Times New Roman"/>
              </w:rPr>
            </w:pPr>
            <w:r w:rsidRPr="005130AB">
              <w:rPr>
                <w:rFonts w:ascii="Times New Roman" w:hAnsi="Times New Roman"/>
              </w:rPr>
              <w:t>Questions relatives à la mise en place des dispositions / normes liées à la santé et la sécurité au travail (SST)</w:t>
            </w:r>
          </w:p>
        </w:tc>
      </w:tr>
      <w:tr w:rsidR="00A22E48" w:rsidRPr="005130AB" w:rsidTr="000E1955">
        <w:tc>
          <w:tcPr>
            <w:tcW w:w="985" w:type="dxa"/>
          </w:tcPr>
          <w:p w:rsidR="00A22E48" w:rsidRPr="005130AB" w:rsidRDefault="00A22E48" w:rsidP="000E1955">
            <w:pPr>
              <w:spacing w:after="0" w:line="240" w:lineRule="auto"/>
              <w:rPr>
                <w:rFonts w:ascii="Times New Roman" w:hAnsi="Times New Roman" w:cs="Times New Roman"/>
              </w:rPr>
            </w:pPr>
            <w:r w:rsidRPr="005130AB">
              <w:rPr>
                <w:rFonts w:ascii="Times New Roman" w:hAnsi="Times New Roman" w:cs="Times New Roman"/>
              </w:rPr>
              <w:t>NES n°3</w:t>
            </w:r>
          </w:p>
        </w:tc>
        <w:tc>
          <w:tcPr>
            <w:tcW w:w="2160" w:type="dxa"/>
          </w:tcPr>
          <w:p w:rsidR="00A22E48" w:rsidRPr="005130AB" w:rsidRDefault="00A22E48" w:rsidP="000E1955">
            <w:pPr>
              <w:spacing w:after="0" w:line="240" w:lineRule="auto"/>
              <w:rPr>
                <w:rFonts w:ascii="Times New Roman" w:hAnsi="Times New Roman" w:cs="Times New Roman"/>
              </w:rPr>
            </w:pPr>
            <w:r w:rsidRPr="005130AB">
              <w:rPr>
                <w:rFonts w:ascii="Times New Roman" w:hAnsi="Times New Roman" w:cs="Times New Roman"/>
              </w:rPr>
              <w:t>Changement climatique et émissions de GES</w:t>
            </w:r>
          </w:p>
        </w:tc>
        <w:tc>
          <w:tcPr>
            <w:tcW w:w="7650" w:type="dxa"/>
          </w:tcPr>
          <w:p w:rsidR="00A22E48" w:rsidRPr="005130AB" w:rsidRDefault="00A22E48" w:rsidP="000E1955">
            <w:pPr>
              <w:pStyle w:val="ListParagraph"/>
              <w:numPr>
                <w:ilvl w:val="0"/>
                <w:numId w:val="6"/>
              </w:numPr>
              <w:ind w:left="342" w:hanging="270"/>
              <w:jc w:val="both"/>
              <w:rPr>
                <w:rFonts w:ascii="Times New Roman" w:hAnsi="Times New Roman"/>
              </w:rPr>
            </w:pPr>
            <w:r w:rsidRPr="005130AB">
              <w:rPr>
                <w:rFonts w:ascii="Times New Roman" w:hAnsi="Times New Roman"/>
              </w:rPr>
              <w:t xml:space="preserve">Relation entre les dispositions sur le changement climatique dans le CES et </w:t>
            </w:r>
            <w:r w:rsidR="005130AB">
              <w:rPr>
                <w:rFonts w:ascii="Times New Roman" w:hAnsi="Times New Roman"/>
              </w:rPr>
              <w:t xml:space="preserve">les </w:t>
            </w:r>
            <w:r w:rsidRPr="005130AB">
              <w:rPr>
                <w:rFonts w:ascii="Times New Roman" w:hAnsi="Times New Roman"/>
              </w:rPr>
              <w:t xml:space="preserve">engagements plus larges du changement climatique, en particulier la CCNUCC </w:t>
            </w:r>
          </w:p>
          <w:p w:rsidR="00A22E48" w:rsidRPr="005130AB" w:rsidRDefault="00A22E48" w:rsidP="000E1955">
            <w:pPr>
              <w:pStyle w:val="ListParagraph"/>
              <w:numPr>
                <w:ilvl w:val="0"/>
                <w:numId w:val="6"/>
              </w:numPr>
              <w:ind w:left="342" w:hanging="270"/>
              <w:jc w:val="both"/>
              <w:rPr>
                <w:rFonts w:ascii="Times New Roman" w:hAnsi="Times New Roman"/>
              </w:rPr>
            </w:pPr>
            <w:r w:rsidRPr="005130AB">
              <w:rPr>
                <w:rFonts w:ascii="Times New Roman" w:hAnsi="Times New Roman"/>
              </w:rPr>
              <w:t>Méthodes proposées pour mesurer et surveiller les émissions de gaz à effet de serre (GES) dans les projets de la Banque et conséquences de celles-ci, en conformité avec la norme proposée, y compris la détermination de la portée, du seuil, de la durée, de la fréquence et de la faisabilité économique et financière de cette estimation et de ce suivi</w:t>
            </w:r>
          </w:p>
          <w:p w:rsidR="00A22E48" w:rsidRPr="005130AB" w:rsidRDefault="00A22E48" w:rsidP="000E1955">
            <w:pPr>
              <w:pStyle w:val="ListParagraph"/>
              <w:numPr>
                <w:ilvl w:val="0"/>
                <w:numId w:val="6"/>
              </w:numPr>
              <w:ind w:left="342" w:hanging="270"/>
              <w:jc w:val="both"/>
              <w:rPr>
                <w:rFonts w:ascii="Times New Roman" w:hAnsi="Times New Roman"/>
              </w:rPr>
            </w:pPr>
            <w:r w:rsidRPr="005130AB">
              <w:rPr>
                <w:rFonts w:ascii="Times New Roman" w:hAnsi="Times New Roman"/>
              </w:rPr>
              <w:t>Implications nécessaires pour l'Emprunteur de l'estimation et de la réduction des émissions de GES pour les projets de la Banque, conformément à la norme proposée</w:t>
            </w:r>
          </w:p>
        </w:tc>
      </w:tr>
      <w:tr w:rsidR="00A22E48" w:rsidRPr="005130AB" w:rsidTr="000E1955">
        <w:tc>
          <w:tcPr>
            <w:tcW w:w="985" w:type="dxa"/>
          </w:tcPr>
          <w:p w:rsidR="00A22E48" w:rsidRPr="005130AB" w:rsidRDefault="00A22E48" w:rsidP="000E1955">
            <w:pPr>
              <w:spacing w:after="0" w:line="240" w:lineRule="auto"/>
              <w:rPr>
                <w:rFonts w:ascii="Times New Roman" w:hAnsi="Times New Roman" w:cs="Times New Roman"/>
              </w:rPr>
            </w:pPr>
            <w:r w:rsidRPr="005130AB">
              <w:rPr>
                <w:rFonts w:ascii="Times New Roman" w:hAnsi="Times New Roman" w:cs="Times New Roman"/>
              </w:rPr>
              <w:t>NES n°5</w:t>
            </w:r>
          </w:p>
        </w:tc>
        <w:tc>
          <w:tcPr>
            <w:tcW w:w="2160" w:type="dxa"/>
          </w:tcPr>
          <w:p w:rsidR="00A22E48" w:rsidRPr="005130AB" w:rsidRDefault="00A22E48" w:rsidP="000E1955">
            <w:pPr>
              <w:spacing w:after="0" w:line="240" w:lineRule="auto"/>
              <w:rPr>
                <w:rFonts w:ascii="Times New Roman" w:hAnsi="Times New Roman" w:cs="Times New Roman"/>
              </w:rPr>
            </w:pPr>
            <w:r w:rsidRPr="005130AB">
              <w:rPr>
                <w:rFonts w:ascii="Times New Roman" w:hAnsi="Times New Roman" w:cs="Times New Roman"/>
              </w:rPr>
              <w:t>Acquisition des terres et réinstallation involontaire</w:t>
            </w:r>
          </w:p>
        </w:tc>
        <w:tc>
          <w:tcPr>
            <w:tcW w:w="7650" w:type="dxa"/>
          </w:tcPr>
          <w:p w:rsidR="00A22E48" w:rsidRPr="005130AB" w:rsidRDefault="00A22E48" w:rsidP="000E1955">
            <w:pPr>
              <w:pStyle w:val="ListParagraph"/>
              <w:numPr>
                <w:ilvl w:val="0"/>
                <w:numId w:val="5"/>
              </w:numPr>
              <w:ind w:left="342" w:hanging="270"/>
              <w:jc w:val="both"/>
              <w:rPr>
                <w:rFonts w:ascii="Times New Roman" w:hAnsi="Times New Roman"/>
              </w:rPr>
            </w:pPr>
            <w:r w:rsidRPr="005130AB">
              <w:rPr>
                <w:rFonts w:ascii="Times New Roman" w:hAnsi="Times New Roman"/>
              </w:rPr>
              <w:t xml:space="preserve">Traitement et droits des occupants informels et approche relative aux expulsions forcées dans des situations sans rapport avec l’acquisition des terres  </w:t>
            </w:r>
          </w:p>
          <w:p w:rsidR="00A22E48" w:rsidRPr="005130AB" w:rsidRDefault="00A22E48" w:rsidP="000E1955">
            <w:pPr>
              <w:pStyle w:val="ListParagraph"/>
              <w:numPr>
                <w:ilvl w:val="0"/>
                <w:numId w:val="5"/>
              </w:numPr>
              <w:ind w:left="342" w:hanging="270"/>
              <w:jc w:val="both"/>
              <w:rPr>
                <w:rFonts w:ascii="Times New Roman" w:hAnsi="Times New Roman"/>
              </w:rPr>
            </w:pPr>
            <w:r w:rsidRPr="005130AB">
              <w:rPr>
                <w:rFonts w:ascii="Times New Roman" w:hAnsi="Times New Roman"/>
              </w:rPr>
              <w:t xml:space="preserve">Interprétation de la notion de réinstallation comme étant une « opportunité de développement » dans différentes circonstances du projet </w:t>
            </w:r>
          </w:p>
        </w:tc>
      </w:tr>
      <w:tr w:rsidR="00A22E48" w:rsidRPr="005130AB" w:rsidTr="000E1955">
        <w:tc>
          <w:tcPr>
            <w:tcW w:w="985" w:type="dxa"/>
          </w:tcPr>
          <w:p w:rsidR="00A22E48" w:rsidRPr="005130AB" w:rsidRDefault="00A22E48" w:rsidP="000E1955">
            <w:pPr>
              <w:spacing w:after="0" w:line="240" w:lineRule="auto"/>
              <w:rPr>
                <w:rFonts w:ascii="Times New Roman" w:hAnsi="Times New Roman" w:cs="Times New Roman"/>
              </w:rPr>
            </w:pPr>
            <w:r w:rsidRPr="005130AB">
              <w:rPr>
                <w:rFonts w:ascii="Times New Roman" w:hAnsi="Times New Roman" w:cs="Times New Roman"/>
              </w:rPr>
              <w:t>NES n°6</w:t>
            </w:r>
          </w:p>
        </w:tc>
        <w:tc>
          <w:tcPr>
            <w:tcW w:w="2160" w:type="dxa"/>
          </w:tcPr>
          <w:p w:rsidR="00A22E48" w:rsidRPr="005130AB" w:rsidRDefault="00A22E48" w:rsidP="000E1955">
            <w:pPr>
              <w:spacing w:after="0" w:line="240" w:lineRule="auto"/>
              <w:rPr>
                <w:rFonts w:ascii="Times New Roman" w:hAnsi="Times New Roman" w:cs="Times New Roman"/>
              </w:rPr>
            </w:pPr>
            <w:r w:rsidRPr="005130AB">
              <w:rPr>
                <w:rFonts w:ascii="Times New Roman" w:hAnsi="Times New Roman" w:cs="Times New Roman"/>
              </w:rPr>
              <w:t>Biodiversité</w:t>
            </w:r>
          </w:p>
        </w:tc>
        <w:tc>
          <w:tcPr>
            <w:tcW w:w="7650" w:type="dxa"/>
          </w:tcPr>
          <w:p w:rsidR="00A22E48" w:rsidRPr="005130AB" w:rsidRDefault="00A22E48" w:rsidP="000E1955">
            <w:pPr>
              <w:pStyle w:val="ListParagraph"/>
              <w:numPr>
                <w:ilvl w:val="0"/>
                <w:numId w:val="6"/>
              </w:numPr>
              <w:ind w:left="342" w:hanging="270"/>
              <w:jc w:val="both"/>
              <w:rPr>
                <w:rFonts w:ascii="Times New Roman" w:hAnsi="Times New Roman"/>
              </w:rPr>
            </w:pPr>
            <w:r w:rsidRPr="005130AB">
              <w:rPr>
                <w:rFonts w:ascii="Times New Roman" w:hAnsi="Times New Roman"/>
              </w:rPr>
              <w:t xml:space="preserve">Mise en place des dispositions pour les fournisseurs primaires et les services des écosystèmes, en particulier dans des situations où les capacités sont faibles </w:t>
            </w:r>
          </w:p>
          <w:p w:rsidR="00A22E48" w:rsidRPr="005130AB" w:rsidRDefault="00A22E48" w:rsidP="000E1955">
            <w:pPr>
              <w:pStyle w:val="ListParagraph"/>
              <w:numPr>
                <w:ilvl w:val="0"/>
                <w:numId w:val="6"/>
              </w:numPr>
              <w:ind w:left="342" w:hanging="270"/>
              <w:jc w:val="both"/>
              <w:rPr>
                <w:rFonts w:ascii="Times New Roman" w:hAnsi="Times New Roman"/>
              </w:rPr>
            </w:pPr>
            <w:r w:rsidRPr="005130AB">
              <w:rPr>
                <w:rFonts w:ascii="Times New Roman" w:hAnsi="Times New Roman"/>
              </w:rPr>
              <w:t xml:space="preserve">Rôle de la législation nationale en matière de protection et de conservation des habitats naturels et critiques </w:t>
            </w:r>
          </w:p>
          <w:p w:rsidR="00A22E48" w:rsidRPr="005130AB" w:rsidRDefault="00A22E48" w:rsidP="000E1955">
            <w:pPr>
              <w:pStyle w:val="ListParagraph"/>
              <w:numPr>
                <w:ilvl w:val="0"/>
                <w:numId w:val="6"/>
              </w:numPr>
              <w:ind w:left="342" w:hanging="270"/>
              <w:jc w:val="both"/>
              <w:rPr>
                <w:rFonts w:ascii="Times New Roman" w:hAnsi="Times New Roman"/>
              </w:rPr>
            </w:pPr>
            <w:r w:rsidRPr="005130AB">
              <w:rPr>
                <w:rFonts w:ascii="Times New Roman" w:hAnsi="Times New Roman"/>
              </w:rPr>
              <w:t xml:space="preserve">Critères de compensation de la biodiversité, y compris l'examen des avantages du projet </w:t>
            </w:r>
          </w:p>
          <w:p w:rsidR="00A22E48" w:rsidRPr="005130AB" w:rsidRDefault="00A22E48" w:rsidP="000E1955">
            <w:pPr>
              <w:pStyle w:val="ListParagraph"/>
              <w:numPr>
                <w:ilvl w:val="0"/>
                <w:numId w:val="6"/>
              </w:numPr>
              <w:ind w:left="342" w:hanging="270"/>
              <w:jc w:val="both"/>
              <w:rPr>
                <w:rFonts w:ascii="Times New Roman" w:hAnsi="Times New Roman"/>
              </w:rPr>
            </w:pPr>
            <w:r w:rsidRPr="005130AB">
              <w:rPr>
                <w:rFonts w:ascii="Times New Roman" w:hAnsi="Times New Roman"/>
              </w:rPr>
              <w:t>Définition et application des gains nets pour la biodiversité</w:t>
            </w:r>
          </w:p>
        </w:tc>
      </w:tr>
      <w:tr w:rsidR="00A22E48" w:rsidRPr="005130AB" w:rsidTr="000E1955">
        <w:tc>
          <w:tcPr>
            <w:tcW w:w="985" w:type="dxa"/>
          </w:tcPr>
          <w:p w:rsidR="00A22E48" w:rsidRPr="005130AB" w:rsidRDefault="00A22E48" w:rsidP="000E1955">
            <w:pPr>
              <w:spacing w:after="0" w:line="240" w:lineRule="auto"/>
              <w:rPr>
                <w:rFonts w:ascii="Times New Roman" w:hAnsi="Times New Roman" w:cs="Times New Roman"/>
                <w:color w:val="000000"/>
              </w:rPr>
            </w:pPr>
            <w:r w:rsidRPr="005130AB">
              <w:rPr>
                <w:rFonts w:ascii="Times New Roman" w:hAnsi="Times New Roman" w:cs="Times New Roman"/>
                <w:color w:val="000000"/>
              </w:rPr>
              <w:t>NES n°7</w:t>
            </w:r>
          </w:p>
        </w:tc>
        <w:tc>
          <w:tcPr>
            <w:tcW w:w="2160" w:type="dxa"/>
          </w:tcPr>
          <w:p w:rsidR="00A22E48" w:rsidRPr="005130AB" w:rsidRDefault="00A22E48" w:rsidP="000E1955">
            <w:pPr>
              <w:spacing w:after="0" w:line="240" w:lineRule="auto"/>
              <w:rPr>
                <w:rFonts w:ascii="Times New Roman" w:hAnsi="Times New Roman" w:cs="Times New Roman"/>
              </w:rPr>
            </w:pPr>
            <w:r w:rsidRPr="005130AB">
              <w:rPr>
                <w:rFonts w:ascii="Times New Roman" w:hAnsi="Times New Roman" w:cs="Times New Roman"/>
                <w:color w:val="000000"/>
              </w:rPr>
              <w:t>Peuples autochtones</w:t>
            </w:r>
          </w:p>
        </w:tc>
        <w:tc>
          <w:tcPr>
            <w:tcW w:w="7650" w:type="dxa"/>
          </w:tcPr>
          <w:p w:rsidR="00A22E48" w:rsidRPr="005130AB" w:rsidRDefault="00A22E48" w:rsidP="000E1955">
            <w:pPr>
              <w:pStyle w:val="ListParagraph"/>
              <w:numPr>
                <w:ilvl w:val="0"/>
                <w:numId w:val="3"/>
              </w:numPr>
              <w:ind w:left="342" w:hanging="270"/>
              <w:jc w:val="both"/>
              <w:rPr>
                <w:rFonts w:ascii="Times New Roman" w:hAnsi="Times New Roman"/>
              </w:rPr>
            </w:pPr>
            <w:r w:rsidRPr="005130AB">
              <w:rPr>
                <w:rFonts w:ascii="Times New Roman" w:hAnsi="Times New Roman"/>
                <w:color w:val="000000"/>
              </w:rPr>
              <w:t xml:space="preserve">Mise en œuvre de la norme sur les Peuples autochtones dans des contextes </w:t>
            </w:r>
            <w:r w:rsidRPr="005130AB">
              <w:rPr>
                <w:rFonts w:ascii="Times New Roman" w:hAnsi="Times New Roman"/>
              </w:rPr>
              <w:t>politiques et culturels complexes</w:t>
            </w:r>
          </w:p>
          <w:p w:rsidR="00A22E48" w:rsidRPr="005130AB" w:rsidRDefault="00A22E48" w:rsidP="000E1955">
            <w:pPr>
              <w:pStyle w:val="ListParagraph"/>
              <w:numPr>
                <w:ilvl w:val="0"/>
                <w:numId w:val="3"/>
              </w:numPr>
              <w:ind w:left="342" w:hanging="270"/>
              <w:jc w:val="both"/>
              <w:rPr>
                <w:rFonts w:ascii="Times New Roman" w:hAnsi="Times New Roman"/>
              </w:rPr>
            </w:pPr>
            <w:r w:rsidRPr="005130AB">
              <w:rPr>
                <w:rFonts w:ascii="Times New Roman" w:hAnsi="Times New Roman"/>
              </w:rPr>
              <w:t xml:space="preserve">Mise en œuvre de la NES n°7 dans les pays où la Constitution ne reconnaît pas les Peuples autochtones ou ne reconnaît que certains groupes autochtones </w:t>
            </w:r>
          </w:p>
          <w:p w:rsidR="00A22E48" w:rsidRPr="005130AB" w:rsidRDefault="00A22E48" w:rsidP="000E1955">
            <w:pPr>
              <w:pStyle w:val="ListParagraph"/>
              <w:numPr>
                <w:ilvl w:val="0"/>
                <w:numId w:val="3"/>
              </w:numPr>
              <w:ind w:left="342" w:hanging="270"/>
              <w:jc w:val="both"/>
              <w:rPr>
                <w:rFonts w:ascii="Times New Roman" w:hAnsi="Times New Roman"/>
              </w:rPr>
            </w:pPr>
            <w:r w:rsidRPr="005130AB">
              <w:rPr>
                <w:rFonts w:ascii="Times New Roman" w:hAnsi="Times New Roman"/>
              </w:rPr>
              <w:t xml:space="preserve">Méthodes possibles pour tenir compte des terminologies alternatives utilisées dans différents pays pour décrire les Peuples autochtones </w:t>
            </w:r>
          </w:p>
          <w:p w:rsidR="00A22E48" w:rsidRPr="005130AB" w:rsidRDefault="00A22E48" w:rsidP="000E1955">
            <w:pPr>
              <w:pStyle w:val="ListParagraph"/>
              <w:numPr>
                <w:ilvl w:val="0"/>
                <w:numId w:val="3"/>
              </w:numPr>
              <w:ind w:left="342" w:hanging="270"/>
              <w:jc w:val="both"/>
              <w:rPr>
                <w:rFonts w:ascii="Times New Roman" w:hAnsi="Times New Roman"/>
              </w:rPr>
            </w:pPr>
            <w:r w:rsidRPr="005130AB">
              <w:rPr>
                <w:rFonts w:ascii="Times New Roman" w:hAnsi="Times New Roman"/>
                <w:color w:val="000000"/>
              </w:rPr>
              <w:t>Circonstances (par exemple, critères et calendriers) dans lesquelles une dérogation peut être considérée et informations</w:t>
            </w:r>
            <w:r w:rsidR="005130AB">
              <w:rPr>
                <w:rFonts w:ascii="Times New Roman" w:hAnsi="Times New Roman"/>
                <w:color w:val="000000"/>
              </w:rPr>
              <w:t xml:space="preserve"> qui </w:t>
            </w:r>
            <w:r w:rsidRPr="005130AB">
              <w:rPr>
                <w:rFonts w:ascii="Times New Roman" w:hAnsi="Times New Roman"/>
                <w:color w:val="000000"/>
              </w:rPr>
              <w:t xml:space="preserve">doivent être fournies au Conseil d'administration pour </w:t>
            </w:r>
            <w:r w:rsidR="005130AB">
              <w:rPr>
                <w:rFonts w:ascii="Times New Roman" w:hAnsi="Times New Roman"/>
                <w:color w:val="000000"/>
              </w:rPr>
              <w:t xml:space="preserve">justifier </w:t>
            </w:r>
            <w:r w:rsidRPr="005130AB">
              <w:rPr>
                <w:rFonts w:ascii="Times New Roman" w:hAnsi="Times New Roman"/>
                <w:color w:val="000000"/>
              </w:rPr>
              <w:t xml:space="preserve">sa décision  </w:t>
            </w:r>
          </w:p>
          <w:p w:rsidR="00A22E48" w:rsidRPr="005130AB" w:rsidRDefault="00A22E48" w:rsidP="000E1955">
            <w:pPr>
              <w:pStyle w:val="ListParagraph"/>
              <w:numPr>
                <w:ilvl w:val="0"/>
                <w:numId w:val="3"/>
              </w:numPr>
              <w:ind w:left="342" w:hanging="270"/>
              <w:jc w:val="both"/>
              <w:rPr>
                <w:rFonts w:ascii="Times New Roman" w:hAnsi="Times New Roman"/>
              </w:rPr>
            </w:pPr>
            <w:r w:rsidRPr="005130AB">
              <w:rPr>
                <w:rFonts w:ascii="Times New Roman" w:hAnsi="Times New Roman"/>
                <w:color w:val="000000"/>
              </w:rPr>
              <w:t xml:space="preserve">Critères pour l'établissement et la mise en œuvre du Consentement libre, préalable et éclairé (CLPE) </w:t>
            </w:r>
          </w:p>
          <w:p w:rsidR="00A22E48" w:rsidRPr="005130AB" w:rsidRDefault="00A22E48" w:rsidP="000E1955">
            <w:pPr>
              <w:pStyle w:val="ListParagraph"/>
              <w:numPr>
                <w:ilvl w:val="0"/>
                <w:numId w:val="3"/>
              </w:numPr>
              <w:ind w:left="342" w:hanging="270"/>
              <w:jc w:val="both"/>
              <w:rPr>
                <w:rFonts w:ascii="Times New Roman" w:hAnsi="Times New Roman"/>
              </w:rPr>
            </w:pPr>
            <w:r w:rsidRPr="005130AB">
              <w:rPr>
                <w:rFonts w:ascii="Times New Roman" w:hAnsi="Times New Roman"/>
              </w:rPr>
              <w:t>Comparaison du CLPE proposé avec les exigences actuelles en matière de consultation</w:t>
            </w:r>
          </w:p>
          <w:p w:rsidR="00A22E48" w:rsidRPr="005130AB" w:rsidRDefault="00A22E48" w:rsidP="000E1955">
            <w:pPr>
              <w:pStyle w:val="ListParagraph"/>
              <w:numPr>
                <w:ilvl w:val="0"/>
                <w:numId w:val="3"/>
              </w:numPr>
              <w:ind w:left="342" w:hanging="270"/>
              <w:jc w:val="both"/>
              <w:rPr>
                <w:rFonts w:ascii="Times New Roman" w:hAnsi="Times New Roman"/>
              </w:rPr>
            </w:pPr>
            <w:r w:rsidRPr="005130AB">
              <w:rPr>
                <w:rFonts w:ascii="Times New Roman" w:hAnsi="Times New Roman"/>
                <w:color w:val="000000"/>
              </w:rPr>
              <w:lastRenderedPageBreak/>
              <w:t>Application du CLPE aux impacts sur le patrimoine culturel des Peuples autochtones</w:t>
            </w:r>
          </w:p>
        </w:tc>
      </w:tr>
      <w:tr w:rsidR="00A22E48" w:rsidRPr="005130AB" w:rsidTr="000E1955">
        <w:tc>
          <w:tcPr>
            <w:tcW w:w="985" w:type="dxa"/>
          </w:tcPr>
          <w:p w:rsidR="00A22E48" w:rsidRPr="005130AB" w:rsidRDefault="00A22E48" w:rsidP="000E1955">
            <w:pPr>
              <w:spacing w:after="0" w:line="240" w:lineRule="auto"/>
              <w:rPr>
                <w:rFonts w:ascii="Times New Roman" w:hAnsi="Times New Roman" w:cs="Times New Roman"/>
              </w:rPr>
            </w:pPr>
            <w:r w:rsidRPr="005130AB">
              <w:rPr>
                <w:rFonts w:ascii="Times New Roman" w:hAnsi="Times New Roman" w:cs="Times New Roman"/>
              </w:rPr>
              <w:lastRenderedPageBreak/>
              <w:t>NES n°8</w:t>
            </w:r>
          </w:p>
        </w:tc>
        <w:tc>
          <w:tcPr>
            <w:tcW w:w="2160" w:type="dxa"/>
          </w:tcPr>
          <w:p w:rsidR="00A22E48" w:rsidRPr="005130AB" w:rsidRDefault="00A22E48" w:rsidP="000E1955">
            <w:pPr>
              <w:spacing w:after="0" w:line="240" w:lineRule="auto"/>
              <w:rPr>
                <w:rFonts w:ascii="Times New Roman" w:hAnsi="Times New Roman" w:cs="Times New Roman"/>
              </w:rPr>
            </w:pPr>
            <w:r w:rsidRPr="005130AB">
              <w:rPr>
                <w:rFonts w:ascii="Times New Roman" w:hAnsi="Times New Roman" w:cs="Times New Roman"/>
              </w:rPr>
              <w:t>Patrimoine culturel</w:t>
            </w:r>
          </w:p>
        </w:tc>
        <w:tc>
          <w:tcPr>
            <w:tcW w:w="7650" w:type="dxa"/>
          </w:tcPr>
          <w:p w:rsidR="00A22E48" w:rsidRPr="005130AB" w:rsidRDefault="00A22E48" w:rsidP="000E1955">
            <w:pPr>
              <w:pStyle w:val="ListParagraph"/>
              <w:numPr>
                <w:ilvl w:val="0"/>
                <w:numId w:val="9"/>
              </w:numPr>
              <w:ind w:left="342" w:hanging="270"/>
              <w:jc w:val="both"/>
              <w:rPr>
                <w:rFonts w:ascii="Times New Roman" w:hAnsi="Times New Roman"/>
              </w:rPr>
            </w:pPr>
            <w:r w:rsidRPr="005130AB">
              <w:rPr>
                <w:rFonts w:ascii="Times New Roman" w:hAnsi="Times New Roman"/>
              </w:rPr>
              <w:t xml:space="preserve">Traitement du patrimoine culturel immatériel </w:t>
            </w:r>
          </w:p>
          <w:p w:rsidR="00A22E48" w:rsidRPr="005130AB" w:rsidRDefault="00A22E48" w:rsidP="000E1955">
            <w:pPr>
              <w:pStyle w:val="ListParagraph"/>
              <w:numPr>
                <w:ilvl w:val="0"/>
                <w:numId w:val="9"/>
              </w:numPr>
              <w:ind w:left="342" w:hanging="270"/>
              <w:jc w:val="both"/>
              <w:rPr>
                <w:rFonts w:ascii="Times New Roman" w:hAnsi="Times New Roman"/>
              </w:rPr>
            </w:pPr>
            <w:r w:rsidRPr="005130AB">
              <w:rPr>
                <w:rFonts w:ascii="Times New Roman" w:hAnsi="Times New Roman"/>
              </w:rPr>
              <w:t>Application du patrimoine culturel immatériel, lorsque le projet a l'intention de commercialiser un tel patrimoine</w:t>
            </w:r>
          </w:p>
          <w:p w:rsidR="00A22E48" w:rsidRPr="005130AB" w:rsidRDefault="00A22E48" w:rsidP="005130AB">
            <w:pPr>
              <w:pStyle w:val="ListParagraph"/>
              <w:numPr>
                <w:ilvl w:val="0"/>
                <w:numId w:val="9"/>
              </w:numPr>
              <w:ind w:left="342" w:hanging="270"/>
              <w:jc w:val="both"/>
              <w:rPr>
                <w:rFonts w:ascii="Times New Roman" w:hAnsi="Times New Roman"/>
              </w:rPr>
            </w:pPr>
            <w:r w:rsidRPr="005130AB">
              <w:rPr>
                <w:rFonts w:ascii="Times New Roman" w:hAnsi="Times New Roman"/>
              </w:rPr>
              <w:t xml:space="preserve">Application des exigences du patrimoine culturel lorsque </w:t>
            </w:r>
            <w:r w:rsidR="005130AB">
              <w:rPr>
                <w:rFonts w:ascii="Times New Roman" w:hAnsi="Times New Roman"/>
              </w:rPr>
              <w:t xml:space="preserve">le </w:t>
            </w:r>
            <w:r w:rsidRPr="005130AB">
              <w:rPr>
                <w:rFonts w:ascii="Times New Roman" w:hAnsi="Times New Roman"/>
              </w:rPr>
              <w:t xml:space="preserve">patrimoine culturel n'a pas été légalement protégé </w:t>
            </w:r>
            <w:r w:rsidR="005130AB">
              <w:rPr>
                <w:rFonts w:ascii="Times New Roman" w:hAnsi="Times New Roman"/>
              </w:rPr>
              <w:t>ni</w:t>
            </w:r>
            <w:r w:rsidRPr="005130AB">
              <w:rPr>
                <w:rFonts w:ascii="Times New Roman" w:hAnsi="Times New Roman"/>
              </w:rPr>
              <w:t xml:space="preserve"> préalablement identifié ou perturbé </w:t>
            </w:r>
          </w:p>
        </w:tc>
      </w:tr>
      <w:tr w:rsidR="00A22E48" w:rsidRPr="005130AB" w:rsidTr="000E1955">
        <w:tc>
          <w:tcPr>
            <w:tcW w:w="985" w:type="dxa"/>
          </w:tcPr>
          <w:p w:rsidR="00A22E48" w:rsidRPr="005130AB" w:rsidRDefault="00A22E48" w:rsidP="000E1955">
            <w:pPr>
              <w:spacing w:after="0" w:line="240" w:lineRule="auto"/>
              <w:rPr>
                <w:rFonts w:ascii="Times New Roman" w:hAnsi="Times New Roman" w:cs="Times New Roman"/>
              </w:rPr>
            </w:pPr>
            <w:r w:rsidRPr="005130AB">
              <w:rPr>
                <w:rFonts w:ascii="Times New Roman" w:hAnsi="Times New Roman" w:cs="Times New Roman"/>
              </w:rPr>
              <w:t>NES n°9</w:t>
            </w:r>
          </w:p>
        </w:tc>
        <w:tc>
          <w:tcPr>
            <w:tcW w:w="2160" w:type="dxa"/>
          </w:tcPr>
          <w:p w:rsidR="00A22E48" w:rsidRPr="005130AB" w:rsidRDefault="00A22E48" w:rsidP="000E1955">
            <w:pPr>
              <w:spacing w:after="0" w:line="240" w:lineRule="auto"/>
              <w:rPr>
                <w:rFonts w:ascii="Times New Roman" w:hAnsi="Times New Roman" w:cs="Times New Roman"/>
              </w:rPr>
            </w:pPr>
            <w:r w:rsidRPr="005130AB">
              <w:rPr>
                <w:rFonts w:ascii="Times New Roman" w:hAnsi="Times New Roman" w:cs="Times New Roman"/>
              </w:rPr>
              <w:t>Intermédiaires financiers</w:t>
            </w:r>
          </w:p>
        </w:tc>
        <w:tc>
          <w:tcPr>
            <w:tcW w:w="7650" w:type="dxa"/>
          </w:tcPr>
          <w:p w:rsidR="00A22E48" w:rsidRPr="005130AB" w:rsidRDefault="00A22E48" w:rsidP="000E1955">
            <w:pPr>
              <w:pStyle w:val="ListParagraph"/>
              <w:numPr>
                <w:ilvl w:val="0"/>
                <w:numId w:val="10"/>
              </w:numPr>
              <w:ind w:left="342" w:hanging="270"/>
              <w:jc w:val="both"/>
              <w:rPr>
                <w:rFonts w:ascii="Times New Roman" w:hAnsi="Times New Roman"/>
              </w:rPr>
            </w:pPr>
            <w:r w:rsidRPr="005130AB">
              <w:rPr>
                <w:rFonts w:ascii="Times New Roman" w:hAnsi="Times New Roman"/>
              </w:rPr>
              <w:t xml:space="preserve">Application de la norme aux sous-projets des IF et répercussions sur les ressources en fonction du risque </w:t>
            </w:r>
          </w:p>
          <w:p w:rsidR="00A22E48" w:rsidRPr="005130AB" w:rsidRDefault="00A22E48" w:rsidP="000E1955">
            <w:pPr>
              <w:pStyle w:val="ListParagraph"/>
              <w:numPr>
                <w:ilvl w:val="0"/>
                <w:numId w:val="10"/>
              </w:numPr>
              <w:ind w:left="342" w:hanging="270"/>
              <w:jc w:val="both"/>
              <w:rPr>
                <w:rFonts w:ascii="Times New Roman" w:hAnsi="Times New Roman"/>
              </w:rPr>
            </w:pPr>
            <w:r w:rsidRPr="005130AB">
              <w:rPr>
                <w:rFonts w:ascii="Times New Roman" w:hAnsi="Times New Roman"/>
              </w:rPr>
              <w:t xml:space="preserve">Harmonisation de l'approche avec l'IFC et les banques de l'Équateur  </w:t>
            </w:r>
          </w:p>
        </w:tc>
      </w:tr>
      <w:tr w:rsidR="00A22E48" w:rsidRPr="005130AB" w:rsidTr="000E1955">
        <w:tc>
          <w:tcPr>
            <w:tcW w:w="985" w:type="dxa"/>
          </w:tcPr>
          <w:p w:rsidR="00A22E48" w:rsidRPr="005130AB" w:rsidRDefault="00A22E48" w:rsidP="000E1955">
            <w:pPr>
              <w:spacing w:after="0" w:line="240" w:lineRule="auto"/>
              <w:rPr>
                <w:rFonts w:ascii="Times New Roman" w:hAnsi="Times New Roman" w:cs="Times New Roman"/>
              </w:rPr>
            </w:pPr>
            <w:r w:rsidRPr="005130AB">
              <w:rPr>
                <w:rFonts w:ascii="Times New Roman" w:hAnsi="Times New Roman" w:cs="Times New Roman"/>
              </w:rPr>
              <w:t>NES n°10</w:t>
            </w:r>
          </w:p>
        </w:tc>
        <w:tc>
          <w:tcPr>
            <w:tcW w:w="2160" w:type="dxa"/>
          </w:tcPr>
          <w:p w:rsidR="00A22E48" w:rsidRPr="005130AB" w:rsidRDefault="00A22E48" w:rsidP="000E1955">
            <w:pPr>
              <w:spacing w:after="0" w:line="240" w:lineRule="auto"/>
              <w:rPr>
                <w:rFonts w:ascii="Times New Roman" w:hAnsi="Times New Roman" w:cs="Times New Roman"/>
              </w:rPr>
            </w:pPr>
            <w:r w:rsidRPr="005130AB">
              <w:rPr>
                <w:rFonts w:ascii="Times New Roman" w:hAnsi="Times New Roman" w:cs="Times New Roman"/>
              </w:rPr>
              <w:t>Engagement des parties prenantes</w:t>
            </w:r>
          </w:p>
        </w:tc>
        <w:tc>
          <w:tcPr>
            <w:tcW w:w="7650" w:type="dxa"/>
          </w:tcPr>
          <w:p w:rsidR="00A22E48" w:rsidRPr="005130AB" w:rsidRDefault="00A22E48" w:rsidP="000E1955">
            <w:pPr>
              <w:pStyle w:val="ListParagraph"/>
              <w:numPr>
                <w:ilvl w:val="0"/>
                <w:numId w:val="8"/>
              </w:numPr>
              <w:ind w:left="342" w:hanging="270"/>
              <w:jc w:val="both"/>
              <w:rPr>
                <w:rFonts w:ascii="Times New Roman" w:hAnsi="Times New Roman"/>
              </w:rPr>
            </w:pPr>
            <w:r w:rsidRPr="005130AB">
              <w:rPr>
                <w:rFonts w:ascii="Times New Roman" w:hAnsi="Times New Roman"/>
              </w:rPr>
              <w:t>Définition et identification des parties prenantes du projet et nature de l'engagement</w:t>
            </w:r>
          </w:p>
          <w:p w:rsidR="00A22E48" w:rsidRPr="005130AB" w:rsidRDefault="00A22E48" w:rsidP="000E1955">
            <w:pPr>
              <w:pStyle w:val="ListParagraph"/>
              <w:numPr>
                <w:ilvl w:val="0"/>
                <w:numId w:val="8"/>
              </w:numPr>
              <w:ind w:left="342" w:hanging="270"/>
              <w:jc w:val="both"/>
              <w:rPr>
                <w:rFonts w:ascii="Times New Roman" w:hAnsi="Times New Roman"/>
              </w:rPr>
            </w:pPr>
            <w:r w:rsidRPr="005130AB">
              <w:rPr>
                <w:rFonts w:ascii="Times New Roman" w:hAnsi="Times New Roman"/>
              </w:rPr>
              <w:t>Rôle des pays emprunteurs ou des agences d'exécution dans l'identification des parties prenantes du projet</w:t>
            </w:r>
          </w:p>
        </w:tc>
      </w:tr>
      <w:tr w:rsidR="00A22E48" w:rsidRPr="005130AB" w:rsidTr="000E1955">
        <w:tc>
          <w:tcPr>
            <w:tcW w:w="985" w:type="dxa"/>
            <w:vMerge w:val="restart"/>
          </w:tcPr>
          <w:p w:rsidR="00A22E48" w:rsidRPr="005130AB" w:rsidRDefault="00A22E48" w:rsidP="000E1955">
            <w:pPr>
              <w:spacing w:after="0" w:line="240" w:lineRule="auto"/>
              <w:rPr>
                <w:rFonts w:ascii="Times New Roman" w:hAnsi="Times New Roman" w:cs="Times New Roman"/>
              </w:rPr>
            </w:pPr>
            <w:r w:rsidRPr="005130AB">
              <w:rPr>
                <w:rFonts w:ascii="Times New Roman" w:hAnsi="Times New Roman" w:cs="Times New Roman"/>
              </w:rPr>
              <w:t>Généralités</w:t>
            </w:r>
          </w:p>
          <w:p w:rsidR="00A22E48" w:rsidRPr="005130AB" w:rsidRDefault="00A22E48" w:rsidP="000E1955">
            <w:pPr>
              <w:spacing w:after="0" w:line="240" w:lineRule="auto"/>
              <w:rPr>
                <w:rFonts w:ascii="Times New Roman" w:hAnsi="Times New Roman" w:cs="Times New Roman"/>
              </w:rPr>
            </w:pPr>
          </w:p>
        </w:tc>
        <w:tc>
          <w:tcPr>
            <w:tcW w:w="2160" w:type="dxa"/>
          </w:tcPr>
          <w:p w:rsidR="00A22E48" w:rsidRPr="005130AB" w:rsidRDefault="00A22E48" w:rsidP="000E1955">
            <w:pPr>
              <w:spacing w:after="0" w:line="240" w:lineRule="auto"/>
              <w:rPr>
                <w:rFonts w:ascii="Times New Roman" w:hAnsi="Times New Roman" w:cs="Times New Roman"/>
              </w:rPr>
            </w:pPr>
            <w:r w:rsidRPr="005130AB">
              <w:rPr>
                <w:rFonts w:ascii="Times New Roman" w:hAnsi="Times New Roman" w:cs="Times New Roman"/>
              </w:rPr>
              <w:t xml:space="preserve"> Directives ESS et BPII</w:t>
            </w:r>
          </w:p>
        </w:tc>
        <w:tc>
          <w:tcPr>
            <w:tcW w:w="7650" w:type="dxa"/>
          </w:tcPr>
          <w:p w:rsidR="00A22E48" w:rsidRPr="005130AB" w:rsidRDefault="00A22E48" w:rsidP="000E1955">
            <w:pPr>
              <w:pStyle w:val="ListParagraph"/>
              <w:numPr>
                <w:ilvl w:val="0"/>
                <w:numId w:val="9"/>
              </w:numPr>
              <w:ind w:left="342" w:hanging="270"/>
              <w:jc w:val="both"/>
              <w:rPr>
                <w:rFonts w:ascii="Times New Roman" w:hAnsi="Times New Roman"/>
              </w:rPr>
            </w:pPr>
            <w:r w:rsidRPr="005130AB">
              <w:rPr>
                <w:rFonts w:ascii="Times New Roman" w:hAnsi="Times New Roman"/>
              </w:rPr>
              <w:t>Application des directives sur l'environnement, la santé et la sécurité (ESS) et les Bonnes pratiques internationales de l'industrie (BPII), en particulier lorsqu'elles sont différentes du droit national ou lorsque l'Emprunteur est confronté à des contraintes techniques ou financières et / ou en raison des circonstances particulières d'un projet donné.</w:t>
            </w:r>
          </w:p>
        </w:tc>
      </w:tr>
      <w:tr w:rsidR="00A22E48" w:rsidRPr="005130AB" w:rsidTr="000E1955">
        <w:tc>
          <w:tcPr>
            <w:tcW w:w="985" w:type="dxa"/>
            <w:vMerge/>
          </w:tcPr>
          <w:p w:rsidR="00A22E48" w:rsidRPr="005130AB" w:rsidRDefault="00A22E48" w:rsidP="000E1955">
            <w:pPr>
              <w:spacing w:after="0" w:line="240" w:lineRule="auto"/>
              <w:rPr>
                <w:rFonts w:ascii="Times New Roman" w:hAnsi="Times New Roman" w:cs="Times New Roman"/>
              </w:rPr>
            </w:pPr>
          </w:p>
        </w:tc>
        <w:tc>
          <w:tcPr>
            <w:tcW w:w="2160" w:type="dxa"/>
          </w:tcPr>
          <w:p w:rsidR="00A22E48" w:rsidRPr="005130AB" w:rsidRDefault="00A22E48" w:rsidP="000E1955">
            <w:pPr>
              <w:spacing w:after="0" w:line="240" w:lineRule="auto"/>
              <w:rPr>
                <w:rFonts w:ascii="Times New Roman" w:hAnsi="Times New Roman" w:cs="Times New Roman"/>
              </w:rPr>
            </w:pPr>
            <w:r w:rsidRPr="005130AB">
              <w:rPr>
                <w:rFonts w:ascii="Times New Roman" w:hAnsi="Times New Roman" w:cs="Times New Roman"/>
              </w:rPr>
              <w:t>Faisabilité et ressources pour la mise en œuvre</w:t>
            </w:r>
          </w:p>
        </w:tc>
        <w:tc>
          <w:tcPr>
            <w:tcW w:w="7650" w:type="dxa"/>
          </w:tcPr>
          <w:p w:rsidR="00A22E48" w:rsidRPr="005130AB" w:rsidRDefault="00A22E48" w:rsidP="000E1955">
            <w:pPr>
              <w:pStyle w:val="ListParagraph"/>
              <w:numPr>
                <w:ilvl w:val="0"/>
                <w:numId w:val="9"/>
              </w:numPr>
              <w:ind w:left="342" w:hanging="270"/>
              <w:jc w:val="both"/>
              <w:rPr>
                <w:rFonts w:ascii="Times New Roman" w:hAnsi="Times New Roman"/>
              </w:rPr>
            </w:pPr>
            <w:r w:rsidRPr="005130AB">
              <w:rPr>
                <w:rFonts w:ascii="Times New Roman" w:hAnsi="Times New Roman"/>
              </w:rPr>
              <w:t>Répercussions sur la mise en œuvre et les ressources pour les Emprunteurs, en tenant compte de facteurs tels que la portée élargie du CES proposé (par exemple, les normes du travail), capacités différentes de l'Emprunteur et méthode gestion adaptative</w:t>
            </w:r>
          </w:p>
          <w:p w:rsidR="00A22E48" w:rsidRPr="005130AB" w:rsidRDefault="00A22E48" w:rsidP="000E1955">
            <w:pPr>
              <w:pStyle w:val="ListParagraph"/>
              <w:numPr>
                <w:ilvl w:val="0"/>
                <w:numId w:val="9"/>
              </w:numPr>
              <w:ind w:left="342" w:hanging="270"/>
              <w:jc w:val="both"/>
              <w:rPr>
                <w:rFonts w:ascii="Times New Roman" w:hAnsi="Times New Roman"/>
              </w:rPr>
            </w:pPr>
            <w:r w:rsidRPr="005130AB">
              <w:rPr>
                <w:rFonts w:ascii="Times New Roman" w:hAnsi="Times New Roman"/>
              </w:rPr>
              <w:t>Atténuation de la charge et des coûts supplémentaires, et options pour améliorer l'efficacité de la mise en œuvre tout en maintenant l'efficience</w:t>
            </w:r>
          </w:p>
        </w:tc>
      </w:tr>
      <w:tr w:rsidR="00A22E48" w:rsidRPr="005130AB" w:rsidTr="000E1955">
        <w:tc>
          <w:tcPr>
            <w:tcW w:w="985" w:type="dxa"/>
            <w:vMerge/>
          </w:tcPr>
          <w:p w:rsidR="00A22E48" w:rsidRPr="005130AB" w:rsidRDefault="00A22E48" w:rsidP="000E1955">
            <w:pPr>
              <w:spacing w:after="0" w:line="240" w:lineRule="auto"/>
              <w:rPr>
                <w:rFonts w:ascii="Times New Roman" w:hAnsi="Times New Roman" w:cs="Times New Roman"/>
                <w:color w:val="000000"/>
              </w:rPr>
            </w:pPr>
          </w:p>
        </w:tc>
        <w:tc>
          <w:tcPr>
            <w:tcW w:w="2160" w:type="dxa"/>
          </w:tcPr>
          <w:p w:rsidR="00A22E48" w:rsidRPr="005130AB" w:rsidRDefault="00A22E48" w:rsidP="000E1955">
            <w:pPr>
              <w:spacing w:after="0" w:line="240" w:lineRule="auto"/>
              <w:rPr>
                <w:rFonts w:ascii="Times New Roman" w:hAnsi="Times New Roman" w:cs="Times New Roman"/>
              </w:rPr>
            </w:pPr>
            <w:r w:rsidRPr="005130AB">
              <w:rPr>
                <w:rFonts w:ascii="Times New Roman" w:hAnsi="Times New Roman" w:cs="Times New Roman"/>
                <w:color w:val="000000"/>
              </w:rPr>
              <w:t>Renforcement des capacités et renforcement institutionnel des clients</w:t>
            </w:r>
          </w:p>
        </w:tc>
        <w:tc>
          <w:tcPr>
            <w:tcW w:w="7650" w:type="dxa"/>
          </w:tcPr>
          <w:p w:rsidR="00A22E48" w:rsidRPr="005130AB" w:rsidRDefault="00A22E48" w:rsidP="000E1955">
            <w:pPr>
              <w:pStyle w:val="ListParagraph"/>
              <w:numPr>
                <w:ilvl w:val="0"/>
                <w:numId w:val="9"/>
              </w:numPr>
              <w:ind w:left="342" w:hanging="270"/>
              <w:jc w:val="both"/>
              <w:rPr>
                <w:rFonts w:ascii="Times New Roman" w:hAnsi="Times New Roman"/>
              </w:rPr>
            </w:pPr>
            <w:r w:rsidRPr="005130AB">
              <w:rPr>
                <w:rFonts w:ascii="Times New Roman" w:hAnsi="Times New Roman"/>
              </w:rPr>
              <w:t>Financement du renforcement des capacités des clients</w:t>
            </w:r>
          </w:p>
          <w:p w:rsidR="00A22E48" w:rsidRPr="005130AB" w:rsidRDefault="00A22E48" w:rsidP="000E1955">
            <w:pPr>
              <w:pStyle w:val="ListParagraph"/>
              <w:numPr>
                <w:ilvl w:val="0"/>
                <w:numId w:val="9"/>
              </w:numPr>
              <w:ind w:left="342" w:hanging="270"/>
              <w:jc w:val="both"/>
              <w:rPr>
                <w:rFonts w:ascii="Times New Roman" w:hAnsi="Times New Roman"/>
              </w:rPr>
            </w:pPr>
            <w:r w:rsidRPr="005130AB">
              <w:rPr>
                <w:rFonts w:ascii="Times New Roman" w:hAnsi="Times New Roman"/>
              </w:rPr>
              <w:t xml:space="preserve">Approches et domaines </w:t>
            </w:r>
            <w:r w:rsidRPr="005130AB">
              <w:rPr>
                <w:rFonts w:ascii="Times New Roman" w:hAnsi="Times New Roman"/>
                <w:color w:val="000000"/>
              </w:rPr>
              <w:t>d'intérêt</w:t>
            </w:r>
            <w:r w:rsidRPr="005130AB">
              <w:rPr>
                <w:rFonts w:ascii="Times New Roman" w:hAnsi="Times New Roman"/>
              </w:rPr>
              <w:t xml:space="preserve"> </w:t>
            </w:r>
          </w:p>
          <w:p w:rsidR="00A22E48" w:rsidRPr="005130AB" w:rsidRDefault="00A22E48" w:rsidP="006C2541">
            <w:pPr>
              <w:pStyle w:val="ListParagraph"/>
              <w:numPr>
                <w:ilvl w:val="0"/>
                <w:numId w:val="9"/>
              </w:numPr>
              <w:ind w:left="342" w:hanging="270"/>
              <w:jc w:val="both"/>
              <w:rPr>
                <w:rFonts w:ascii="Times New Roman" w:hAnsi="Times New Roman"/>
              </w:rPr>
            </w:pPr>
            <w:r w:rsidRPr="005130AB">
              <w:rPr>
                <w:rFonts w:ascii="Times New Roman" w:hAnsi="Times New Roman"/>
              </w:rPr>
              <w:t>Approche de la mise en œuvre du CES dans des situations où il existe des contraintes en termes de capacités, par exemple,</w:t>
            </w:r>
            <w:r w:rsidR="006C2541">
              <w:rPr>
                <w:rFonts w:ascii="Times New Roman" w:hAnsi="Times New Roman"/>
              </w:rPr>
              <w:t xml:space="preserve"> dans des situations de conflits, dans l</w:t>
            </w:r>
            <w:r w:rsidRPr="005130AB">
              <w:rPr>
                <w:rFonts w:ascii="Times New Roman" w:hAnsi="Times New Roman"/>
              </w:rPr>
              <w:t>es petits États et</w:t>
            </w:r>
            <w:r w:rsidR="006C2541">
              <w:rPr>
                <w:rFonts w:ascii="Times New Roman" w:hAnsi="Times New Roman"/>
              </w:rPr>
              <w:t xml:space="preserve"> dans </w:t>
            </w:r>
            <w:r w:rsidRPr="005130AB">
              <w:rPr>
                <w:rFonts w:ascii="Times New Roman" w:hAnsi="Times New Roman"/>
              </w:rPr>
              <w:t>les situations d'urgence</w:t>
            </w:r>
          </w:p>
        </w:tc>
      </w:tr>
      <w:tr w:rsidR="00A22E48" w:rsidRPr="005130AB" w:rsidTr="000E1955">
        <w:tc>
          <w:tcPr>
            <w:tcW w:w="985" w:type="dxa"/>
            <w:vMerge/>
          </w:tcPr>
          <w:p w:rsidR="00A22E48" w:rsidRPr="005130AB" w:rsidRDefault="00A22E48" w:rsidP="000E1955">
            <w:pPr>
              <w:spacing w:after="0" w:line="240" w:lineRule="auto"/>
              <w:rPr>
                <w:rFonts w:ascii="Times New Roman" w:hAnsi="Times New Roman" w:cs="Times New Roman"/>
                <w:color w:val="000000"/>
              </w:rPr>
            </w:pPr>
          </w:p>
        </w:tc>
        <w:tc>
          <w:tcPr>
            <w:tcW w:w="2160" w:type="dxa"/>
          </w:tcPr>
          <w:p w:rsidR="00A22E48" w:rsidRPr="005130AB" w:rsidRDefault="00A22E48" w:rsidP="000E1955">
            <w:pPr>
              <w:spacing w:after="0" w:line="240" w:lineRule="auto"/>
              <w:rPr>
                <w:rFonts w:ascii="Times New Roman" w:hAnsi="Times New Roman" w:cs="Times New Roman"/>
                <w:color w:val="000000"/>
              </w:rPr>
            </w:pPr>
            <w:r w:rsidRPr="005130AB">
              <w:rPr>
                <w:rFonts w:ascii="Times New Roman" w:hAnsi="Times New Roman" w:cs="Times New Roman"/>
                <w:color w:val="000000"/>
              </w:rPr>
              <w:t>Divulgation</w:t>
            </w:r>
          </w:p>
        </w:tc>
        <w:tc>
          <w:tcPr>
            <w:tcW w:w="7650" w:type="dxa"/>
          </w:tcPr>
          <w:p w:rsidR="00A22E48" w:rsidRPr="005130AB" w:rsidRDefault="00A22E48" w:rsidP="000E1955">
            <w:pPr>
              <w:pStyle w:val="ListParagraph"/>
              <w:numPr>
                <w:ilvl w:val="0"/>
                <w:numId w:val="9"/>
              </w:numPr>
              <w:ind w:left="342" w:hanging="270"/>
              <w:jc w:val="both"/>
              <w:rPr>
                <w:rFonts w:ascii="Times New Roman" w:hAnsi="Times New Roman"/>
              </w:rPr>
            </w:pPr>
            <w:r w:rsidRPr="005130AB">
              <w:rPr>
                <w:rFonts w:ascii="Times New Roman" w:hAnsi="Times New Roman"/>
              </w:rPr>
              <w:t>Calendrier de la préparation et de la divulgation des documents spécifiques d'évaluation de l'impact environnemental et social (liés aux NES n°1 à 10</w:t>
            </w:r>
            <w:r w:rsidR="006C2541">
              <w:rPr>
                <w:rFonts w:ascii="Times New Roman" w:hAnsi="Times New Roman"/>
              </w:rPr>
              <w:t>)</w:t>
            </w:r>
          </w:p>
        </w:tc>
      </w:tr>
      <w:tr w:rsidR="00A22E48" w:rsidRPr="005130AB" w:rsidTr="000E1955">
        <w:tc>
          <w:tcPr>
            <w:tcW w:w="985" w:type="dxa"/>
            <w:vMerge/>
          </w:tcPr>
          <w:p w:rsidR="00A22E48" w:rsidRPr="005130AB" w:rsidRDefault="00A22E48" w:rsidP="000E1955">
            <w:pPr>
              <w:spacing w:after="0" w:line="240" w:lineRule="auto"/>
              <w:rPr>
                <w:rFonts w:ascii="Times New Roman" w:hAnsi="Times New Roman" w:cs="Times New Roman"/>
              </w:rPr>
            </w:pPr>
          </w:p>
        </w:tc>
        <w:tc>
          <w:tcPr>
            <w:tcW w:w="2160" w:type="dxa"/>
          </w:tcPr>
          <w:p w:rsidR="00A22E48" w:rsidRPr="005130AB" w:rsidRDefault="00A22E48" w:rsidP="000E1955">
            <w:pPr>
              <w:spacing w:after="0" w:line="240" w:lineRule="auto"/>
              <w:rPr>
                <w:rFonts w:ascii="Times New Roman" w:hAnsi="Times New Roman" w:cs="Times New Roman"/>
              </w:rPr>
            </w:pPr>
            <w:r w:rsidRPr="005130AB">
              <w:rPr>
                <w:rFonts w:ascii="Times New Roman" w:hAnsi="Times New Roman" w:cs="Times New Roman"/>
              </w:rPr>
              <w:t>Mise en œuvre du CES</w:t>
            </w:r>
          </w:p>
        </w:tc>
        <w:tc>
          <w:tcPr>
            <w:tcW w:w="7650" w:type="dxa"/>
          </w:tcPr>
          <w:p w:rsidR="00A22E48" w:rsidRPr="005130AB" w:rsidRDefault="00A22E48" w:rsidP="000E1955">
            <w:pPr>
              <w:pStyle w:val="ListParagraph"/>
              <w:numPr>
                <w:ilvl w:val="0"/>
                <w:numId w:val="9"/>
              </w:numPr>
              <w:ind w:left="342" w:hanging="270"/>
              <w:jc w:val="both"/>
              <w:rPr>
                <w:rFonts w:ascii="Times New Roman" w:hAnsi="Times New Roman"/>
              </w:rPr>
            </w:pPr>
            <w:r w:rsidRPr="005130AB">
              <w:rPr>
                <w:rFonts w:ascii="Times New Roman" w:hAnsi="Times New Roman"/>
              </w:rPr>
              <w:t>Renforcement des capacités</w:t>
            </w:r>
            <w:r w:rsidR="006C2541">
              <w:rPr>
                <w:rFonts w:ascii="Times New Roman" w:hAnsi="Times New Roman"/>
              </w:rPr>
              <w:t xml:space="preserve">, des ressources et du changement de comportement </w:t>
            </w:r>
            <w:r w:rsidRPr="005130AB">
              <w:rPr>
                <w:rFonts w:ascii="Times New Roman" w:hAnsi="Times New Roman"/>
              </w:rPr>
              <w:t>internes de la Banque</w:t>
            </w:r>
            <w:r w:rsidR="006C2541">
              <w:rPr>
                <w:rFonts w:ascii="Times New Roman" w:hAnsi="Times New Roman"/>
              </w:rPr>
              <w:t xml:space="preserve"> </w:t>
            </w:r>
            <w:r w:rsidRPr="005130AB">
              <w:rPr>
                <w:rFonts w:ascii="Times New Roman" w:hAnsi="Times New Roman"/>
              </w:rPr>
              <w:t>afin de mettre en œuvre le CES avec succès</w:t>
            </w:r>
          </w:p>
          <w:p w:rsidR="00A22E48" w:rsidRPr="005130AB" w:rsidRDefault="00A22E48" w:rsidP="000E1955">
            <w:pPr>
              <w:pStyle w:val="ListParagraph"/>
              <w:numPr>
                <w:ilvl w:val="0"/>
                <w:numId w:val="9"/>
              </w:numPr>
              <w:ind w:left="342" w:hanging="270"/>
              <w:jc w:val="both"/>
              <w:rPr>
                <w:rFonts w:ascii="Times New Roman" w:hAnsi="Times New Roman"/>
              </w:rPr>
            </w:pPr>
            <w:r w:rsidRPr="005130AB">
              <w:rPr>
                <w:rFonts w:ascii="Times New Roman" w:hAnsi="Times New Roman"/>
              </w:rPr>
              <w:t>Moyens d'atteindre une compréhension mutuelle entre l'Emprunteur et la Banque sur les questions qui sont difficiles à interpréter.</w:t>
            </w:r>
          </w:p>
        </w:tc>
      </w:tr>
    </w:tbl>
    <w:p w:rsidR="00A22E48" w:rsidRPr="005130AB" w:rsidRDefault="00A22E48" w:rsidP="00F248C2">
      <w:pPr>
        <w:rPr>
          <w:rFonts w:ascii="Times New Roman" w:hAnsi="Times New Roman" w:cs="Times New Roman"/>
          <w:sz w:val="24"/>
          <w:szCs w:val="24"/>
        </w:rPr>
      </w:pPr>
    </w:p>
    <w:sectPr w:rsidR="00A22E48" w:rsidRPr="005130AB" w:rsidSect="0021710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038" w:rsidRDefault="00E97038" w:rsidP="002A2CFE">
      <w:pPr>
        <w:spacing w:after="0" w:line="240" w:lineRule="auto"/>
      </w:pPr>
      <w:r>
        <w:separator/>
      </w:r>
    </w:p>
  </w:endnote>
  <w:endnote w:type="continuationSeparator" w:id="0">
    <w:p w:rsidR="00E97038" w:rsidRDefault="00E97038" w:rsidP="002A2CFE">
      <w:pPr>
        <w:spacing w:after="0" w:line="240" w:lineRule="auto"/>
      </w:pPr>
      <w:r>
        <w:continuationSeparator/>
      </w:r>
    </w:p>
  </w:endnote>
  <w:endnote w:type="continuationNotice" w:id="1">
    <w:p w:rsidR="00E97038" w:rsidRDefault="00E970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
    <w:altName w:val="Times New Roman"/>
    <w:panose1 w:val="00000000000000000000"/>
    <w:charset w:val="50"/>
    <w:family w:val="auto"/>
    <w:notTrueType/>
    <w:pitch w:val="variable"/>
    <w:sig w:usb0="00000001"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E48" w:rsidRPr="00B32950" w:rsidRDefault="00A22E48">
    <w:pPr>
      <w:pStyle w:val="Foote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9E33B6">
      <w:rPr>
        <w:rFonts w:ascii="Times New Roman" w:hAnsi="Times New Roman" w:cs="Times New Roman"/>
        <w:noProof/>
        <w:sz w:val="20"/>
        <w:szCs w:val="20"/>
      </w:rPr>
      <w:t>1</w:t>
    </w:r>
    <w:r>
      <w:rPr>
        <w:rFonts w:ascii="Times New Roman" w:hAnsi="Times New Roman" w:cs="Times New Roman"/>
        <w:sz w:val="20"/>
        <w:szCs w:val="20"/>
      </w:rPr>
      <w:fldChar w:fldCharType="end"/>
    </w:r>
  </w:p>
  <w:p w:rsidR="00A22E48" w:rsidRDefault="00A22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038" w:rsidRDefault="00E97038" w:rsidP="002A2CFE">
      <w:pPr>
        <w:spacing w:after="0" w:line="240" w:lineRule="auto"/>
      </w:pPr>
      <w:r>
        <w:separator/>
      </w:r>
    </w:p>
  </w:footnote>
  <w:footnote w:type="continuationSeparator" w:id="0">
    <w:p w:rsidR="00E97038" w:rsidRDefault="00E97038" w:rsidP="002A2CFE">
      <w:pPr>
        <w:spacing w:after="0" w:line="240" w:lineRule="auto"/>
      </w:pPr>
      <w:r>
        <w:continuationSeparator/>
      </w:r>
    </w:p>
  </w:footnote>
  <w:footnote w:type="continuationNotice" w:id="1">
    <w:p w:rsidR="00E97038" w:rsidRDefault="00E970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E48" w:rsidRPr="00641839" w:rsidRDefault="00A22E48" w:rsidP="00217107">
    <w:pPr>
      <w:pStyle w:val="Header"/>
      <w:tabs>
        <w:tab w:val="clear" w:pos="9360"/>
      </w:tabs>
      <w:spacing w:after="2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août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1163E"/>
    <w:multiLevelType w:val="hybridMultilevel"/>
    <w:tmpl w:val="59B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0"/>
  </w:num>
  <w:num w:numId="6">
    <w:abstractNumId w:val="2"/>
  </w:num>
  <w:num w:numId="7">
    <w:abstractNumId w:val="4"/>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20167"/>
    <w:rsid w:val="000260EF"/>
    <w:rsid w:val="00026364"/>
    <w:rsid w:val="00027054"/>
    <w:rsid w:val="000336A3"/>
    <w:rsid w:val="00037EE7"/>
    <w:rsid w:val="00040B41"/>
    <w:rsid w:val="000419FF"/>
    <w:rsid w:val="00042513"/>
    <w:rsid w:val="00047C4E"/>
    <w:rsid w:val="00053362"/>
    <w:rsid w:val="0005339B"/>
    <w:rsid w:val="00055656"/>
    <w:rsid w:val="00071BD2"/>
    <w:rsid w:val="00073D66"/>
    <w:rsid w:val="000811A8"/>
    <w:rsid w:val="000830BB"/>
    <w:rsid w:val="00091E8A"/>
    <w:rsid w:val="000932B4"/>
    <w:rsid w:val="00095B65"/>
    <w:rsid w:val="000A17BB"/>
    <w:rsid w:val="000A1CA2"/>
    <w:rsid w:val="000A3A99"/>
    <w:rsid w:val="000B33E5"/>
    <w:rsid w:val="000B6D97"/>
    <w:rsid w:val="000C2C9A"/>
    <w:rsid w:val="000C379E"/>
    <w:rsid w:val="000D207A"/>
    <w:rsid w:val="000D289A"/>
    <w:rsid w:val="000D5C4B"/>
    <w:rsid w:val="000E1955"/>
    <w:rsid w:val="000E6821"/>
    <w:rsid w:val="000F4BFE"/>
    <w:rsid w:val="000F4D29"/>
    <w:rsid w:val="000F7552"/>
    <w:rsid w:val="000F7E2A"/>
    <w:rsid w:val="00105808"/>
    <w:rsid w:val="00122172"/>
    <w:rsid w:val="0012279D"/>
    <w:rsid w:val="001341BB"/>
    <w:rsid w:val="00135480"/>
    <w:rsid w:val="001409EF"/>
    <w:rsid w:val="00143016"/>
    <w:rsid w:val="00143AFC"/>
    <w:rsid w:val="00144F04"/>
    <w:rsid w:val="001459D8"/>
    <w:rsid w:val="00163038"/>
    <w:rsid w:val="00171F36"/>
    <w:rsid w:val="00182A56"/>
    <w:rsid w:val="0018639F"/>
    <w:rsid w:val="00197F14"/>
    <w:rsid w:val="001B467B"/>
    <w:rsid w:val="001D3DB1"/>
    <w:rsid w:val="001D4666"/>
    <w:rsid w:val="001D7A18"/>
    <w:rsid w:val="001E55D1"/>
    <w:rsid w:val="001E61A5"/>
    <w:rsid w:val="00202567"/>
    <w:rsid w:val="00205480"/>
    <w:rsid w:val="0020711F"/>
    <w:rsid w:val="00217107"/>
    <w:rsid w:val="00224D63"/>
    <w:rsid w:val="00226BE3"/>
    <w:rsid w:val="002338A2"/>
    <w:rsid w:val="0023659A"/>
    <w:rsid w:val="00242AD8"/>
    <w:rsid w:val="00243F3E"/>
    <w:rsid w:val="00250D57"/>
    <w:rsid w:val="002513D5"/>
    <w:rsid w:val="002530B6"/>
    <w:rsid w:val="00262E1C"/>
    <w:rsid w:val="002736E5"/>
    <w:rsid w:val="002744A1"/>
    <w:rsid w:val="00276204"/>
    <w:rsid w:val="00282F1B"/>
    <w:rsid w:val="0029188A"/>
    <w:rsid w:val="002A096A"/>
    <w:rsid w:val="002A2CFE"/>
    <w:rsid w:val="002B19ED"/>
    <w:rsid w:val="002B3D8A"/>
    <w:rsid w:val="002B5F16"/>
    <w:rsid w:val="002B6400"/>
    <w:rsid w:val="002D5BA1"/>
    <w:rsid w:val="002E7855"/>
    <w:rsid w:val="002F2CD2"/>
    <w:rsid w:val="002F45A4"/>
    <w:rsid w:val="00300207"/>
    <w:rsid w:val="00300C38"/>
    <w:rsid w:val="00315C22"/>
    <w:rsid w:val="003202FE"/>
    <w:rsid w:val="00327EC9"/>
    <w:rsid w:val="00331AB4"/>
    <w:rsid w:val="00337AEB"/>
    <w:rsid w:val="0035406A"/>
    <w:rsid w:val="00355F4A"/>
    <w:rsid w:val="00366948"/>
    <w:rsid w:val="00381278"/>
    <w:rsid w:val="00381AD4"/>
    <w:rsid w:val="00383C66"/>
    <w:rsid w:val="003852D6"/>
    <w:rsid w:val="00394CA5"/>
    <w:rsid w:val="003A3AFF"/>
    <w:rsid w:val="003A647D"/>
    <w:rsid w:val="003B155E"/>
    <w:rsid w:val="003B3DBC"/>
    <w:rsid w:val="003B5F46"/>
    <w:rsid w:val="003D11E6"/>
    <w:rsid w:val="003D4A7B"/>
    <w:rsid w:val="003E4EC3"/>
    <w:rsid w:val="003E7BBA"/>
    <w:rsid w:val="003F1223"/>
    <w:rsid w:val="00404676"/>
    <w:rsid w:val="00412FE5"/>
    <w:rsid w:val="00420CFF"/>
    <w:rsid w:val="004241C3"/>
    <w:rsid w:val="004256AD"/>
    <w:rsid w:val="00426441"/>
    <w:rsid w:val="004269B4"/>
    <w:rsid w:val="00426EAF"/>
    <w:rsid w:val="0043075D"/>
    <w:rsid w:val="00432368"/>
    <w:rsid w:val="00444D49"/>
    <w:rsid w:val="00446F4F"/>
    <w:rsid w:val="00447B65"/>
    <w:rsid w:val="00452976"/>
    <w:rsid w:val="004646E2"/>
    <w:rsid w:val="004716A6"/>
    <w:rsid w:val="00477137"/>
    <w:rsid w:val="004808FE"/>
    <w:rsid w:val="0049193E"/>
    <w:rsid w:val="00493231"/>
    <w:rsid w:val="004A7E4C"/>
    <w:rsid w:val="004B75C6"/>
    <w:rsid w:val="004C660E"/>
    <w:rsid w:val="004C788C"/>
    <w:rsid w:val="004D1AC7"/>
    <w:rsid w:val="004E15D0"/>
    <w:rsid w:val="004F11ED"/>
    <w:rsid w:val="005032BD"/>
    <w:rsid w:val="005039CD"/>
    <w:rsid w:val="0051172F"/>
    <w:rsid w:val="005130AB"/>
    <w:rsid w:val="00523D1A"/>
    <w:rsid w:val="005277C3"/>
    <w:rsid w:val="00527CA3"/>
    <w:rsid w:val="005566FF"/>
    <w:rsid w:val="00566F76"/>
    <w:rsid w:val="00570D27"/>
    <w:rsid w:val="005818DD"/>
    <w:rsid w:val="00586B31"/>
    <w:rsid w:val="00587E9E"/>
    <w:rsid w:val="005907B4"/>
    <w:rsid w:val="005A2B56"/>
    <w:rsid w:val="005D31D7"/>
    <w:rsid w:val="005D3B1D"/>
    <w:rsid w:val="005D6FC2"/>
    <w:rsid w:val="005E4057"/>
    <w:rsid w:val="005E4F6B"/>
    <w:rsid w:val="005E6F14"/>
    <w:rsid w:val="005E7DDD"/>
    <w:rsid w:val="005F7AF0"/>
    <w:rsid w:val="00600956"/>
    <w:rsid w:val="00601D29"/>
    <w:rsid w:val="00624C2C"/>
    <w:rsid w:val="00635FF7"/>
    <w:rsid w:val="00641839"/>
    <w:rsid w:val="0064513A"/>
    <w:rsid w:val="00651B88"/>
    <w:rsid w:val="00651C95"/>
    <w:rsid w:val="0065255F"/>
    <w:rsid w:val="006552FD"/>
    <w:rsid w:val="00655F4D"/>
    <w:rsid w:val="00656A43"/>
    <w:rsid w:val="00657348"/>
    <w:rsid w:val="006626AF"/>
    <w:rsid w:val="00666455"/>
    <w:rsid w:val="00674337"/>
    <w:rsid w:val="00677D04"/>
    <w:rsid w:val="00680FAF"/>
    <w:rsid w:val="0068274C"/>
    <w:rsid w:val="006834E0"/>
    <w:rsid w:val="00693EF7"/>
    <w:rsid w:val="00694DA4"/>
    <w:rsid w:val="00695F09"/>
    <w:rsid w:val="006A2440"/>
    <w:rsid w:val="006A6B8C"/>
    <w:rsid w:val="006C013F"/>
    <w:rsid w:val="006C2541"/>
    <w:rsid w:val="006C6925"/>
    <w:rsid w:val="006D0315"/>
    <w:rsid w:val="006D0C7A"/>
    <w:rsid w:val="006E0FC0"/>
    <w:rsid w:val="006E5E73"/>
    <w:rsid w:val="006F10AD"/>
    <w:rsid w:val="006F1287"/>
    <w:rsid w:val="006F72CE"/>
    <w:rsid w:val="00701A96"/>
    <w:rsid w:val="00703AE3"/>
    <w:rsid w:val="007162E0"/>
    <w:rsid w:val="00722EE5"/>
    <w:rsid w:val="00732E9B"/>
    <w:rsid w:val="0074685A"/>
    <w:rsid w:val="007507AB"/>
    <w:rsid w:val="00752A48"/>
    <w:rsid w:val="007563DC"/>
    <w:rsid w:val="00762E8F"/>
    <w:rsid w:val="0076753E"/>
    <w:rsid w:val="0077044E"/>
    <w:rsid w:val="00775C67"/>
    <w:rsid w:val="0077675F"/>
    <w:rsid w:val="00777D96"/>
    <w:rsid w:val="007815E1"/>
    <w:rsid w:val="00784151"/>
    <w:rsid w:val="007901C3"/>
    <w:rsid w:val="007A67B8"/>
    <w:rsid w:val="007B23CA"/>
    <w:rsid w:val="007C52D6"/>
    <w:rsid w:val="007D5A1B"/>
    <w:rsid w:val="007F1591"/>
    <w:rsid w:val="007F6E34"/>
    <w:rsid w:val="008065AA"/>
    <w:rsid w:val="008076E7"/>
    <w:rsid w:val="008141AA"/>
    <w:rsid w:val="00816846"/>
    <w:rsid w:val="008177C2"/>
    <w:rsid w:val="00817CF6"/>
    <w:rsid w:val="00830847"/>
    <w:rsid w:val="0083299A"/>
    <w:rsid w:val="00835B5D"/>
    <w:rsid w:val="00835F54"/>
    <w:rsid w:val="00861101"/>
    <w:rsid w:val="00862832"/>
    <w:rsid w:val="00866392"/>
    <w:rsid w:val="00880AE0"/>
    <w:rsid w:val="00880E95"/>
    <w:rsid w:val="00881A95"/>
    <w:rsid w:val="008902BD"/>
    <w:rsid w:val="00895AF5"/>
    <w:rsid w:val="00897C8B"/>
    <w:rsid w:val="008A0685"/>
    <w:rsid w:val="008A7945"/>
    <w:rsid w:val="008B109C"/>
    <w:rsid w:val="008B2BBD"/>
    <w:rsid w:val="008B4BEC"/>
    <w:rsid w:val="008B55B4"/>
    <w:rsid w:val="008B6107"/>
    <w:rsid w:val="008C4949"/>
    <w:rsid w:val="008D1F03"/>
    <w:rsid w:val="008D335A"/>
    <w:rsid w:val="008D55C0"/>
    <w:rsid w:val="008E0747"/>
    <w:rsid w:val="008E22B2"/>
    <w:rsid w:val="008E2333"/>
    <w:rsid w:val="008F2E17"/>
    <w:rsid w:val="008F460C"/>
    <w:rsid w:val="00906E14"/>
    <w:rsid w:val="009079A0"/>
    <w:rsid w:val="009115E7"/>
    <w:rsid w:val="00933D3E"/>
    <w:rsid w:val="009371DC"/>
    <w:rsid w:val="00940AFF"/>
    <w:rsid w:val="0095441A"/>
    <w:rsid w:val="009558DA"/>
    <w:rsid w:val="0096383D"/>
    <w:rsid w:val="00967DE9"/>
    <w:rsid w:val="00972434"/>
    <w:rsid w:val="00975C6B"/>
    <w:rsid w:val="00993083"/>
    <w:rsid w:val="009A1E16"/>
    <w:rsid w:val="009A6727"/>
    <w:rsid w:val="009C23F0"/>
    <w:rsid w:val="009C3726"/>
    <w:rsid w:val="009C7751"/>
    <w:rsid w:val="009C78BE"/>
    <w:rsid w:val="009D6FFE"/>
    <w:rsid w:val="009D7485"/>
    <w:rsid w:val="009E33B6"/>
    <w:rsid w:val="009F4A29"/>
    <w:rsid w:val="00A027C9"/>
    <w:rsid w:val="00A07218"/>
    <w:rsid w:val="00A13098"/>
    <w:rsid w:val="00A22E48"/>
    <w:rsid w:val="00A2541E"/>
    <w:rsid w:val="00A47BD0"/>
    <w:rsid w:val="00A55DB0"/>
    <w:rsid w:val="00A56621"/>
    <w:rsid w:val="00A618FF"/>
    <w:rsid w:val="00A62E2F"/>
    <w:rsid w:val="00A6465A"/>
    <w:rsid w:val="00A73655"/>
    <w:rsid w:val="00A73745"/>
    <w:rsid w:val="00A7696A"/>
    <w:rsid w:val="00A91DA5"/>
    <w:rsid w:val="00A95446"/>
    <w:rsid w:val="00A95B3A"/>
    <w:rsid w:val="00A97FC4"/>
    <w:rsid w:val="00AA5EEE"/>
    <w:rsid w:val="00AB755A"/>
    <w:rsid w:val="00AC6B2C"/>
    <w:rsid w:val="00AD0ED6"/>
    <w:rsid w:val="00AD3A3A"/>
    <w:rsid w:val="00AD48E4"/>
    <w:rsid w:val="00AD4C4B"/>
    <w:rsid w:val="00AD5F7D"/>
    <w:rsid w:val="00AD71E2"/>
    <w:rsid w:val="00AE23B0"/>
    <w:rsid w:val="00AE6DDC"/>
    <w:rsid w:val="00AF37F5"/>
    <w:rsid w:val="00B00978"/>
    <w:rsid w:val="00B028FD"/>
    <w:rsid w:val="00B03436"/>
    <w:rsid w:val="00B045EF"/>
    <w:rsid w:val="00B10233"/>
    <w:rsid w:val="00B13C7D"/>
    <w:rsid w:val="00B14DBE"/>
    <w:rsid w:val="00B201CA"/>
    <w:rsid w:val="00B21ECF"/>
    <w:rsid w:val="00B24E47"/>
    <w:rsid w:val="00B30BB6"/>
    <w:rsid w:val="00B30D06"/>
    <w:rsid w:val="00B32950"/>
    <w:rsid w:val="00B3524D"/>
    <w:rsid w:val="00B375E7"/>
    <w:rsid w:val="00B4546A"/>
    <w:rsid w:val="00B50635"/>
    <w:rsid w:val="00B713EC"/>
    <w:rsid w:val="00B733AD"/>
    <w:rsid w:val="00B766E7"/>
    <w:rsid w:val="00B9160D"/>
    <w:rsid w:val="00B91E92"/>
    <w:rsid w:val="00B92914"/>
    <w:rsid w:val="00BA246A"/>
    <w:rsid w:val="00BA2FC6"/>
    <w:rsid w:val="00BA6FA2"/>
    <w:rsid w:val="00BA6FFD"/>
    <w:rsid w:val="00BA733C"/>
    <w:rsid w:val="00BB2B6D"/>
    <w:rsid w:val="00BB4F61"/>
    <w:rsid w:val="00BB5FEA"/>
    <w:rsid w:val="00BC2797"/>
    <w:rsid w:val="00BC40E8"/>
    <w:rsid w:val="00BC7630"/>
    <w:rsid w:val="00BD181B"/>
    <w:rsid w:val="00BD26DC"/>
    <w:rsid w:val="00BD34F0"/>
    <w:rsid w:val="00BE0B7E"/>
    <w:rsid w:val="00BE7E8A"/>
    <w:rsid w:val="00BF4CC7"/>
    <w:rsid w:val="00C00F05"/>
    <w:rsid w:val="00C03DBB"/>
    <w:rsid w:val="00C03E65"/>
    <w:rsid w:val="00C06A91"/>
    <w:rsid w:val="00C07EA5"/>
    <w:rsid w:val="00C15C04"/>
    <w:rsid w:val="00C211D3"/>
    <w:rsid w:val="00C22AB2"/>
    <w:rsid w:val="00C232FC"/>
    <w:rsid w:val="00C24412"/>
    <w:rsid w:val="00C2589A"/>
    <w:rsid w:val="00C3017B"/>
    <w:rsid w:val="00C324CA"/>
    <w:rsid w:val="00C47725"/>
    <w:rsid w:val="00C534DD"/>
    <w:rsid w:val="00C54B7D"/>
    <w:rsid w:val="00C550D1"/>
    <w:rsid w:val="00C572F4"/>
    <w:rsid w:val="00C66EF5"/>
    <w:rsid w:val="00C84365"/>
    <w:rsid w:val="00C91B3B"/>
    <w:rsid w:val="00C97455"/>
    <w:rsid w:val="00CA0664"/>
    <w:rsid w:val="00CA30E3"/>
    <w:rsid w:val="00CC24E3"/>
    <w:rsid w:val="00CE03B4"/>
    <w:rsid w:val="00CE5025"/>
    <w:rsid w:val="00CF2C3B"/>
    <w:rsid w:val="00D04802"/>
    <w:rsid w:val="00D07482"/>
    <w:rsid w:val="00D1296A"/>
    <w:rsid w:val="00D17448"/>
    <w:rsid w:val="00D31152"/>
    <w:rsid w:val="00D3274E"/>
    <w:rsid w:val="00D351CA"/>
    <w:rsid w:val="00D36161"/>
    <w:rsid w:val="00D36DA0"/>
    <w:rsid w:val="00D40038"/>
    <w:rsid w:val="00D44D6A"/>
    <w:rsid w:val="00D46F6F"/>
    <w:rsid w:val="00D91E64"/>
    <w:rsid w:val="00D9319E"/>
    <w:rsid w:val="00D94EFE"/>
    <w:rsid w:val="00DA16E0"/>
    <w:rsid w:val="00DB1699"/>
    <w:rsid w:val="00DB3B2B"/>
    <w:rsid w:val="00DB5291"/>
    <w:rsid w:val="00DB67A4"/>
    <w:rsid w:val="00DB6D92"/>
    <w:rsid w:val="00DC0170"/>
    <w:rsid w:val="00DE0DEA"/>
    <w:rsid w:val="00DE3335"/>
    <w:rsid w:val="00DF100E"/>
    <w:rsid w:val="00DF3346"/>
    <w:rsid w:val="00E01E6E"/>
    <w:rsid w:val="00E04CBC"/>
    <w:rsid w:val="00E04FA3"/>
    <w:rsid w:val="00E2042C"/>
    <w:rsid w:val="00E2294C"/>
    <w:rsid w:val="00E3187B"/>
    <w:rsid w:val="00E34E6A"/>
    <w:rsid w:val="00E43617"/>
    <w:rsid w:val="00E4794A"/>
    <w:rsid w:val="00E76A83"/>
    <w:rsid w:val="00E81112"/>
    <w:rsid w:val="00E83F31"/>
    <w:rsid w:val="00E93B9C"/>
    <w:rsid w:val="00E9469D"/>
    <w:rsid w:val="00E94D14"/>
    <w:rsid w:val="00E9586E"/>
    <w:rsid w:val="00E97038"/>
    <w:rsid w:val="00EB181A"/>
    <w:rsid w:val="00EB311F"/>
    <w:rsid w:val="00EB6992"/>
    <w:rsid w:val="00EC625F"/>
    <w:rsid w:val="00EC7F2F"/>
    <w:rsid w:val="00ED5487"/>
    <w:rsid w:val="00ED5AF8"/>
    <w:rsid w:val="00ED63AF"/>
    <w:rsid w:val="00EE7D5C"/>
    <w:rsid w:val="00EF3E5D"/>
    <w:rsid w:val="00F019A5"/>
    <w:rsid w:val="00F023DA"/>
    <w:rsid w:val="00F131D2"/>
    <w:rsid w:val="00F15007"/>
    <w:rsid w:val="00F17728"/>
    <w:rsid w:val="00F20FCE"/>
    <w:rsid w:val="00F22DEC"/>
    <w:rsid w:val="00F248C2"/>
    <w:rsid w:val="00F26484"/>
    <w:rsid w:val="00F36D84"/>
    <w:rsid w:val="00F438B7"/>
    <w:rsid w:val="00F44503"/>
    <w:rsid w:val="00F461C8"/>
    <w:rsid w:val="00F46783"/>
    <w:rsid w:val="00F46C09"/>
    <w:rsid w:val="00F55E20"/>
    <w:rsid w:val="00F61213"/>
    <w:rsid w:val="00F63E16"/>
    <w:rsid w:val="00F93A41"/>
    <w:rsid w:val="00FB0AFA"/>
    <w:rsid w:val="00FB26B2"/>
    <w:rsid w:val="00FB494F"/>
    <w:rsid w:val="00FC10BF"/>
    <w:rsid w:val="00FC1C64"/>
    <w:rsid w:val="00FC31A5"/>
    <w:rsid w:val="00FC5C8B"/>
    <w:rsid w:val="00FC64DA"/>
    <w:rsid w:val="00FD02A3"/>
    <w:rsid w:val="00FD0445"/>
    <w:rsid w:val="00FD59FF"/>
    <w:rsid w:val="00FF7B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FFAE81-325C-4D23-BE99-0E915658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 w:hAnsi="Calibri" w:cs="Arial"/>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FEA"/>
    <w:pPr>
      <w:spacing w:after="160" w:line="259"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248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
    <w:basedOn w:val="Normal"/>
    <w:link w:val="ListParagraphChar"/>
    <w:uiPriority w:val="99"/>
    <w:qFormat/>
    <w:rsid w:val="00F248C2"/>
    <w:pPr>
      <w:spacing w:after="0" w:line="240" w:lineRule="auto"/>
      <w:ind w:left="720"/>
    </w:pPr>
    <w:rPr>
      <w:rFonts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99"/>
    <w:locked/>
    <w:rsid w:val="00F248C2"/>
    <w:rPr>
      <w:rFonts w:ascii="Calibri" w:eastAsia="Times New Roman" w:hAnsi="Calibri" w:cs="Times New Roman"/>
      <w:lang w:eastAsia="en-US"/>
    </w:rPr>
  </w:style>
  <w:style w:type="paragraph" w:customStyle="1" w:styleId="Default">
    <w:name w:val="Default"/>
    <w:basedOn w:val="Normal"/>
    <w:uiPriority w:val="99"/>
    <w:rsid w:val="00F248C2"/>
    <w:pPr>
      <w:autoSpaceDE w:val="0"/>
      <w:autoSpaceDN w:val="0"/>
      <w:spacing w:after="0" w:line="240" w:lineRule="auto"/>
    </w:pPr>
    <w:rPr>
      <w:rFonts w:ascii="Times New Roman" w:hAnsi="Times New Roman" w:cs="Times New Roman"/>
      <w:color w:val="000000"/>
      <w:sz w:val="24"/>
      <w:szCs w:val="24"/>
      <w:lang w:eastAsia="en-US"/>
    </w:rPr>
  </w:style>
  <w:style w:type="paragraph" w:styleId="Header">
    <w:name w:val="header"/>
    <w:basedOn w:val="Normal"/>
    <w:link w:val="HeaderChar"/>
    <w:uiPriority w:val="99"/>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A2CFE"/>
    <w:rPr>
      <w:rFonts w:cs="Times New Roman"/>
    </w:rPr>
  </w:style>
  <w:style w:type="paragraph" w:styleId="Footer">
    <w:name w:val="footer"/>
    <w:basedOn w:val="Normal"/>
    <w:link w:val="FooterChar"/>
    <w:uiPriority w:val="99"/>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A2CFE"/>
    <w:rPr>
      <w:rFonts w:cs="Times New Roman"/>
    </w:rPr>
  </w:style>
  <w:style w:type="paragraph" w:styleId="BalloonText">
    <w:name w:val="Balloon Text"/>
    <w:basedOn w:val="Normal"/>
    <w:link w:val="BalloonTextChar"/>
    <w:uiPriority w:val="99"/>
    <w:semiHidden/>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72434"/>
    <w:rPr>
      <w:rFonts w:ascii="Segoe UI" w:hAnsi="Segoe UI" w:cs="Segoe UI"/>
      <w:sz w:val="18"/>
      <w:szCs w:val="18"/>
    </w:rPr>
  </w:style>
  <w:style w:type="character" w:styleId="CommentReference">
    <w:name w:val="annotation reference"/>
    <w:basedOn w:val="DefaultParagraphFont"/>
    <w:uiPriority w:val="99"/>
    <w:semiHidden/>
    <w:rsid w:val="00975C6B"/>
    <w:rPr>
      <w:rFonts w:cs="Times New Roman"/>
      <w:sz w:val="16"/>
      <w:szCs w:val="16"/>
    </w:rPr>
  </w:style>
  <w:style w:type="paragraph" w:styleId="CommentText">
    <w:name w:val="annotation text"/>
    <w:basedOn w:val="Normal"/>
    <w:link w:val="CommentTextChar"/>
    <w:uiPriority w:val="99"/>
    <w:semiHidden/>
    <w:rsid w:val="00975C6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75C6B"/>
    <w:rPr>
      <w:rFonts w:cs="Times New Roman"/>
      <w:sz w:val="20"/>
      <w:szCs w:val="20"/>
    </w:rPr>
  </w:style>
  <w:style w:type="paragraph" w:styleId="CommentSubject">
    <w:name w:val="annotation subject"/>
    <w:basedOn w:val="CommentText"/>
    <w:next w:val="CommentText"/>
    <w:link w:val="CommentSubjectChar"/>
    <w:uiPriority w:val="99"/>
    <w:semiHidden/>
    <w:rsid w:val="00975C6B"/>
    <w:rPr>
      <w:b/>
      <w:bCs/>
    </w:rPr>
  </w:style>
  <w:style w:type="character" w:customStyle="1" w:styleId="CommentSubjectChar">
    <w:name w:val="Comment Subject Char"/>
    <w:basedOn w:val="CommentTextChar"/>
    <w:link w:val="CommentSubject"/>
    <w:uiPriority w:val="99"/>
    <w:semiHidden/>
    <w:locked/>
    <w:rsid w:val="00975C6B"/>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1716</Words>
  <Characters>9786</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U.S. Department of the Treasury</Company>
  <LinksUpToDate>false</LinksUpToDate>
  <CharactersWithSpaces>11480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Anne-Katrin Arnold</dc:creator>
  <cp:lastModifiedBy>Diane Joyce Osborne</cp:lastModifiedBy>
  <cp:revision>2</cp:revision>
  <cp:lastPrinted>2015-07-31T13:09:00Z</cp:lastPrinted>
  <dcterms:created xsi:type="dcterms:W3CDTF">2015-08-19T14:08:00Z</dcterms:created>
  <dcterms:modified xsi:type="dcterms:W3CDTF">2015-08-19T14:08:00Z</dcterms:modified>
</cp:coreProperties>
</file>