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93E" w:rsidRPr="00427B0D" w:rsidRDefault="0049193E" w:rsidP="00055656">
      <w:pPr>
        <w:spacing w:after="120"/>
        <w:jc w:val="center"/>
        <w:rPr>
          <w:rFonts w:ascii="Times New Roman" w:hAnsi="Times New Roman" w:cs="Times New Roman"/>
          <w:b/>
          <w:sz w:val="28"/>
          <w:szCs w:val="28"/>
          <w:u w:val="single"/>
          <w:lang w:val="es-419"/>
        </w:rPr>
      </w:pPr>
      <w:r w:rsidRPr="00427B0D">
        <w:rPr>
          <w:rFonts w:ascii="Times New Roman" w:hAnsi="Times New Roman" w:cs="Times New Roman"/>
          <w:b/>
          <w:bCs/>
          <w:sz w:val="28"/>
          <w:szCs w:val="28"/>
          <w:u w:val="single"/>
          <w:lang w:val="es-419"/>
        </w:rPr>
        <w:t>Cuestio</w:t>
      </w:r>
      <w:bookmarkStart w:id="0" w:name="_GoBack"/>
      <w:bookmarkEnd w:id="0"/>
      <w:r w:rsidRPr="00427B0D">
        <w:rPr>
          <w:rFonts w:ascii="Times New Roman" w:hAnsi="Times New Roman" w:cs="Times New Roman"/>
          <w:b/>
          <w:bCs/>
          <w:sz w:val="28"/>
          <w:szCs w:val="28"/>
          <w:u w:val="single"/>
          <w:lang w:val="es-419"/>
        </w:rPr>
        <w:t xml:space="preserve">nes a tener en cuenta en las consultas de la tercera fase </w:t>
      </w:r>
    </w:p>
    <w:p w:rsidR="00055656" w:rsidRPr="00427B0D" w:rsidRDefault="00055656" w:rsidP="00055656">
      <w:pPr>
        <w:spacing w:after="0"/>
        <w:jc w:val="center"/>
        <w:rPr>
          <w:rFonts w:ascii="Times New Roman" w:hAnsi="Times New Roman" w:cs="Times New Roman"/>
          <w:b/>
          <w:sz w:val="28"/>
          <w:szCs w:val="28"/>
          <w:u w:val="single"/>
          <w:lang w:val="es-419"/>
        </w:rPr>
      </w:pPr>
      <w:r w:rsidRPr="00427B0D">
        <w:rPr>
          <w:rFonts w:ascii="Times New Roman" w:hAnsi="Times New Roman" w:cs="Times New Roman"/>
          <w:b/>
          <w:bCs/>
          <w:sz w:val="28"/>
          <w:szCs w:val="28"/>
          <w:u w:val="single"/>
          <w:lang w:val="es-419"/>
        </w:rPr>
        <w:t>Introducción del CETD</w:t>
      </w:r>
    </w:p>
    <w:p w:rsidR="0049193E" w:rsidRPr="00427B0D" w:rsidRDefault="0049193E" w:rsidP="0049193E">
      <w:pPr>
        <w:spacing w:after="0"/>
        <w:jc w:val="center"/>
        <w:rPr>
          <w:rFonts w:ascii="Times New Roman" w:hAnsi="Times New Roman" w:cs="Times New Roman"/>
          <w:b/>
          <w:sz w:val="28"/>
          <w:szCs w:val="28"/>
          <w:u w:val="single"/>
          <w:lang w:val="es-419"/>
        </w:rPr>
      </w:pPr>
    </w:p>
    <w:p w:rsidR="00570D27" w:rsidRPr="00427B0D" w:rsidRDefault="00570D27" w:rsidP="00570D27">
      <w:pPr>
        <w:pStyle w:val="Prrafodelista"/>
        <w:spacing w:after="240"/>
        <w:ind w:left="0"/>
        <w:jc w:val="both"/>
        <w:rPr>
          <w:rFonts w:ascii="Times New Roman" w:hAnsi="Times New Roman"/>
          <w:sz w:val="24"/>
          <w:lang w:val="es-419"/>
        </w:rPr>
      </w:pPr>
      <w:r w:rsidRPr="00427B0D">
        <w:rPr>
          <w:rFonts w:ascii="Times New Roman" w:hAnsi="Times New Roman"/>
          <w:sz w:val="24"/>
          <w:lang w:val="es-419"/>
        </w:rPr>
        <w:t xml:space="preserve">El 1 de julio de 2015, </w:t>
      </w:r>
      <w:r w:rsidRPr="00427B0D">
        <w:rPr>
          <w:rFonts w:ascii="Times New Roman" w:hAnsi="Times New Roman"/>
          <w:sz w:val="24"/>
          <w:szCs w:val="24"/>
          <w:lang w:val="es-419"/>
        </w:rPr>
        <w:t>el Comité sobre la eficacia en términos de desarrollo (CETD)</w:t>
      </w:r>
      <w:r w:rsidRPr="00427B0D">
        <w:rPr>
          <w:rFonts w:ascii="Times New Roman" w:hAnsi="Times New Roman"/>
          <w:lang w:val="es-419"/>
        </w:rPr>
        <w:t xml:space="preserve"> </w:t>
      </w:r>
      <w:r w:rsidRPr="00427B0D">
        <w:rPr>
          <w:rFonts w:ascii="Times New Roman" w:hAnsi="Times New Roman"/>
          <w:sz w:val="24"/>
          <w:lang w:val="es-419"/>
        </w:rPr>
        <w:t xml:space="preserve">analizó el segundo borrador de la </w:t>
      </w:r>
      <w:r w:rsidRPr="00427B0D">
        <w:rPr>
          <w:rFonts w:ascii="Times New Roman" w:hAnsi="Times New Roman"/>
          <w:i/>
          <w:iCs/>
          <w:sz w:val="24"/>
          <w:lang w:val="es-419"/>
        </w:rPr>
        <w:t>Revisión y actualización de las políticas de seguridad del Banco Mundial: marco ambiental y social propuesto (segundo borrador)</w:t>
      </w:r>
      <w:r w:rsidRPr="00427B0D">
        <w:rPr>
          <w:rFonts w:ascii="Times New Roman" w:hAnsi="Times New Roman"/>
          <w:sz w:val="24"/>
          <w:lang w:val="es-419"/>
        </w:rPr>
        <w:t>.  El Comité estuvo de acuerdo en general con la estructura y muchas áreas del Marco ambiental y social (MAS) propuesto.  Sin embargo, notó que se requería más análisis de varios aspectos, en particular, el enunciado de Visión, algunas normas y la sensibilidad/ambición del lenguaje.  Además, se necesitaba más claridad respecto de la capacidad de implementación y el posible impacto en los prestatarios.  El Comité estuvo de acuerdo en que era importante continuar con esfuerzos en vistas al futuro a fin de garantizar que el MAS sea equilibrado, evitar cargas de implementación excesivas y costos para los prestatarios, fortalecer la capacidad de los clientes, promover el desarrollo sustentable e inclusivo, y contribuir con el doble objetivo de la institución.</w:t>
      </w:r>
    </w:p>
    <w:p w:rsidR="00570D27" w:rsidRPr="00427B0D" w:rsidRDefault="00570D27" w:rsidP="00570D27">
      <w:pPr>
        <w:pStyle w:val="Prrafodelista"/>
        <w:spacing w:after="240"/>
        <w:ind w:left="0"/>
        <w:jc w:val="both"/>
        <w:rPr>
          <w:rFonts w:ascii="Times New Roman" w:hAnsi="Times New Roman"/>
          <w:sz w:val="24"/>
          <w:lang w:val="es-419"/>
        </w:rPr>
      </w:pPr>
      <w:r w:rsidRPr="00427B0D">
        <w:rPr>
          <w:rFonts w:ascii="Times New Roman" w:hAnsi="Times New Roman"/>
          <w:sz w:val="24"/>
          <w:lang w:val="es-419"/>
        </w:rPr>
        <w:t>El Comité estuvo de acuerdo en que la Gerencia comience la tercera fase de consultas sobre el segundo borrador revisado.  El enfoque de las consultas debería ser reunir opiniones sobre la capacidad de implementación del MAS</w:t>
      </w:r>
      <w:r w:rsidRPr="00427B0D">
        <w:rPr>
          <w:rFonts w:ascii="Times New Roman" w:hAnsi="Times New Roman"/>
          <w:color w:val="000000" w:themeColor="text1"/>
          <w:sz w:val="24"/>
          <w:lang w:val="es-419"/>
        </w:rPr>
        <w:t xml:space="preserve"> en países prestatarios, y el paquete de consulta debería incluir</w:t>
      </w:r>
      <w:r w:rsidRPr="00427B0D">
        <w:rPr>
          <w:rFonts w:ascii="Times New Roman" w:hAnsi="Times New Roman"/>
          <w:sz w:val="24"/>
          <w:lang w:val="es-419"/>
        </w:rPr>
        <w:t xml:space="preserve"> la siguiente lista, aunque no es exhaustiva, que presenta cuestiones que se deben explorar más durante las consultas.</w:t>
      </w:r>
    </w:p>
    <w:p w:rsidR="0049193E" w:rsidRPr="00427B0D" w:rsidRDefault="00570D27" w:rsidP="00B30D06">
      <w:pPr>
        <w:pStyle w:val="Prrafodelista"/>
        <w:tabs>
          <w:tab w:val="left" w:pos="720"/>
        </w:tabs>
        <w:spacing w:after="240"/>
        <w:ind w:left="0"/>
        <w:jc w:val="both"/>
        <w:rPr>
          <w:rFonts w:ascii="Times New Roman" w:hAnsi="Times New Roman"/>
          <w:b/>
          <w:sz w:val="28"/>
          <w:szCs w:val="28"/>
          <w:u w:val="single"/>
          <w:lang w:val="es-419"/>
        </w:rPr>
      </w:pPr>
      <w:r w:rsidRPr="00427B0D">
        <w:rPr>
          <w:rFonts w:ascii="Times New Roman" w:hAnsi="Times New Roman"/>
          <w:sz w:val="24"/>
          <w:lang w:val="es-419"/>
        </w:rPr>
        <w:t>El Comité espera obtener más participación en el MAS.</w:t>
      </w:r>
      <w:r w:rsidRPr="00427B0D">
        <w:rPr>
          <w:rFonts w:ascii="Times New Roman" w:hAnsi="Times New Roman"/>
          <w:sz w:val="28"/>
          <w:szCs w:val="28"/>
          <w:lang w:val="es-419"/>
        </w:rPr>
        <w:br w:type="page"/>
      </w:r>
    </w:p>
    <w:p w:rsidR="00FF7BF6" w:rsidRPr="00427B0D" w:rsidRDefault="00B201CA" w:rsidP="00071BD2">
      <w:pPr>
        <w:spacing w:after="0"/>
        <w:jc w:val="center"/>
        <w:rPr>
          <w:rFonts w:ascii="Times New Roman" w:hAnsi="Times New Roman" w:cs="Times New Roman"/>
          <w:b/>
          <w:sz w:val="28"/>
          <w:szCs w:val="28"/>
          <w:u w:val="single"/>
          <w:lang w:val="es-419"/>
        </w:rPr>
      </w:pPr>
      <w:r w:rsidRPr="00427B0D">
        <w:rPr>
          <w:rFonts w:ascii="Times New Roman" w:hAnsi="Times New Roman" w:cs="Times New Roman"/>
          <w:b/>
          <w:bCs/>
          <w:sz w:val="28"/>
          <w:szCs w:val="28"/>
          <w:u w:val="single"/>
          <w:lang w:val="es-419"/>
        </w:rPr>
        <w:lastRenderedPageBreak/>
        <w:t xml:space="preserve">Cuestiones a tener en cuenta en las consultas de la tercera fase </w:t>
      </w:r>
    </w:p>
    <w:p w:rsidR="00D9319E" w:rsidRPr="00427B0D" w:rsidRDefault="00D9319E" w:rsidP="00071BD2">
      <w:pPr>
        <w:spacing w:after="0"/>
        <w:jc w:val="center"/>
        <w:rPr>
          <w:rFonts w:ascii="Times New Roman" w:hAnsi="Times New Roman" w:cs="Times New Roman"/>
          <w:b/>
          <w:sz w:val="28"/>
          <w:szCs w:val="28"/>
          <w:u w:val="single"/>
          <w:lang w:val="es-419"/>
        </w:rPr>
      </w:pPr>
    </w:p>
    <w:p w:rsidR="00D91E64" w:rsidRPr="00427B0D" w:rsidRDefault="00F248C2" w:rsidP="0049193E">
      <w:pPr>
        <w:spacing w:after="0" w:line="240" w:lineRule="auto"/>
        <w:jc w:val="both"/>
        <w:rPr>
          <w:rFonts w:ascii="Times New Roman" w:hAnsi="Times New Roman" w:cs="Times New Roman"/>
          <w:sz w:val="24"/>
          <w:szCs w:val="24"/>
          <w:lang w:val="es-419"/>
        </w:rPr>
      </w:pPr>
      <w:r w:rsidRPr="00427B0D">
        <w:rPr>
          <w:rFonts w:ascii="Times New Roman" w:hAnsi="Times New Roman" w:cs="Times New Roman"/>
          <w:sz w:val="24"/>
          <w:szCs w:val="24"/>
          <w:lang w:val="es-419"/>
        </w:rPr>
        <w:t xml:space="preserve">En la reunión del 1 de julio de 2015, el Comité sobre la eficacia en términos de desarrollo (CETD) avaló la siguiente ronda de consultas sobre el segundo borrador del Marco ambiental y social (MAS). Los directores ejecutivos le solicitaron a la Gerencia del Banco Mundial analizar distintos asuntos durante las consultas de la tercera fase. La siguiente lista se desarrolló tras una reunión del CETD, y establece cuestiones específicas que los directores ejecutivos han solicitado a la Gerencia que incluya en las próximas reuniones de consulta, en especial, las que se llevarán a cabo con gobiernos. Las consultas se centrarán en reunir opiniones de países prestatarios y otras partes interesadas en estas y otras cuestiones, así como en los recursos y la implementación del MAS. Esta lista presenta las cuestiones a analizar, pero no es exhaustiva. La Gerencia trabajará en estrecha colaboración con los directores ejecutivos para organizar estas consultas y mantenerlos informados acerca de su progreso. Tras el cierre de las consultas, la Gerencia preparará un informe sobre las cuestiones que surgieron durante ellas para su revisión por parte de los directores ejecutivos. </w:t>
      </w:r>
    </w:p>
    <w:p w:rsidR="004D1AC7" w:rsidRPr="00427B0D" w:rsidRDefault="004D1AC7" w:rsidP="00C232FC">
      <w:pPr>
        <w:jc w:val="both"/>
        <w:rPr>
          <w:rFonts w:ascii="Times New Roman" w:hAnsi="Times New Roman" w:cs="Times New Roman"/>
          <w:sz w:val="24"/>
          <w:szCs w:val="24"/>
          <w:lang w:val="es-419"/>
        </w:rPr>
      </w:pPr>
    </w:p>
    <w:tbl>
      <w:tblPr>
        <w:tblStyle w:val="Tablaconcuadrcula"/>
        <w:tblW w:w="10795" w:type="dxa"/>
        <w:tblLayout w:type="fixed"/>
        <w:tblLook w:val="04A0" w:firstRow="1" w:lastRow="0" w:firstColumn="1" w:lastColumn="0" w:noHBand="0" w:noVBand="1"/>
      </w:tblPr>
      <w:tblGrid>
        <w:gridCol w:w="1242"/>
        <w:gridCol w:w="1903"/>
        <w:gridCol w:w="7650"/>
      </w:tblGrid>
      <w:tr w:rsidR="00895AF5" w:rsidRPr="00427B0D" w:rsidTr="00EC2772">
        <w:tc>
          <w:tcPr>
            <w:tcW w:w="1242" w:type="dxa"/>
            <w:shd w:val="clear" w:color="auto" w:fill="D9D9D9" w:themeFill="background1" w:themeFillShade="D9"/>
          </w:tcPr>
          <w:p w:rsidR="00895AF5" w:rsidRPr="00427B0D" w:rsidRDefault="00895AF5" w:rsidP="00F248C2">
            <w:pPr>
              <w:rPr>
                <w:rFonts w:ascii="Times New Roman" w:hAnsi="Times New Roman" w:cs="Times New Roman"/>
                <w:b/>
                <w:sz w:val="24"/>
                <w:szCs w:val="24"/>
                <w:lang w:val="es-419"/>
              </w:rPr>
            </w:pPr>
            <w:r w:rsidRPr="00427B0D">
              <w:rPr>
                <w:rFonts w:ascii="Times New Roman" w:hAnsi="Times New Roman" w:cs="Times New Roman"/>
                <w:b/>
                <w:bCs/>
                <w:sz w:val="24"/>
                <w:szCs w:val="24"/>
                <w:lang w:val="es-419"/>
              </w:rPr>
              <w:t>MAS</w:t>
            </w:r>
          </w:p>
        </w:tc>
        <w:tc>
          <w:tcPr>
            <w:tcW w:w="1903" w:type="dxa"/>
            <w:shd w:val="clear" w:color="auto" w:fill="D9D9D9" w:themeFill="background1" w:themeFillShade="D9"/>
          </w:tcPr>
          <w:p w:rsidR="00895AF5" w:rsidRPr="00427B0D" w:rsidRDefault="00895AF5" w:rsidP="00F248C2">
            <w:pPr>
              <w:rPr>
                <w:rFonts w:ascii="Times New Roman" w:hAnsi="Times New Roman" w:cs="Times New Roman"/>
                <w:b/>
                <w:sz w:val="24"/>
                <w:szCs w:val="24"/>
                <w:lang w:val="es-419"/>
              </w:rPr>
            </w:pPr>
            <w:r w:rsidRPr="00427B0D">
              <w:rPr>
                <w:rFonts w:ascii="Times New Roman" w:hAnsi="Times New Roman" w:cs="Times New Roman"/>
                <w:b/>
                <w:bCs/>
                <w:sz w:val="24"/>
                <w:szCs w:val="24"/>
                <w:lang w:val="es-419"/>
              </w:rPr>
              <w:t>Cuestión</w:t>
            </w:r>
          </w:p>
        </w:tc>
        <w:tc>
          <w:tcPr>
            <w:tcW w:w="7650" w:type="dxa"/>
            <w:shd w:val="clear" w:color="auto" w:fill="D9D9D9" w:themeFill="background1" w:themeFillShade="D9"/>
          </w:tcPr>
          <w:p w:rsidR="00895AF5" w:rsidRPr="00427B0D" w:rsidRDefault="00895AF5" w:rsidP="00972434">
            <w:pPr>
              <w:rPr>
                <w:rFonts w:ascii="Times New Roman" w:hAnsi="Times New Roman" w:cs="Times New Roman"/>
                <w:b/>
                <w:sz w:val="24"/>
                <w:szCs w:val="24"/>
                <w:lang w:val="es-419"/>
              </w:rPr>
            </w:pPr>
            <w:r w:rsidRPr="00427B0D">
              <w:rPr>
                <w:rFonts w:ascii="Times New Roman" w:hAnsi="Times New Roman" w:cs="Times New Roman"/>
                <w:b/>
                <w:bCs/>
                <w:sz w:val="24"/>
                <w:szCs w:val="24"/>
                <w:lang w:val="es-419"/>
              </w:rPr>
              <w:t>Elementos</w:t>
            </w:r>
          </w:p>
        </w:tc>
      </w:tr>
      <w:tr w:rsidR="00895AF5" w:rsidRPr="00427B0D" w:rsidTr="00EC2772">
        <w:tc>
          <w:tcPr>
            <w:tcW w:w="1242" w:type="dxa"/>
          </w:tcPr>
          <w:p w:rsidR="00895AF5" w:rsidRPr="00427B0D" w:rsidRDefault="00895AF5" w:rsidP="00F248C2">
            <w:pPr>
              <w:rPr>
                <w:rFonts w:ascii="Times New Roman" w:hAnsi="Times New Roman" w:cs="Times New Roman"/>
                <w:color w:val="000000"/>
                <w:sz w:val="24"/>
                <w:szCs w:val="24"/>
                <w:lang w:val="es-419"/>
              </w:rPr>
            </w:pPr>
            <w:r w:rsidRPr="00427B0D">
              <w:rPr>
                <w:rFonts w:ascii="Times New Roman" w:hAnsi="Times New Roman" w:cs="Times New Roman"/>
                <w:color w:val="000000"/>
                <w:sz w:val="24"/>
                <w:szCs w:val="24"/>
                <w:lang w:val="es-419"/>
              </w:rPr>
              <w:t>Visión</w:t>
            </w:r>
          </w:p>
        </w:tc>
        <w:tc>
          <w:tcPr>
            <w:tcW w:w="1903" w:type="dxa"/>
          </w:tcPr>
          <w:p w:rsidR="00895AF5" w:rsidRPr="00427B0D" w:rsidRDefault="00895AF5" w:rsidP="00F248C2">
            <w:pPr>
              <w:rPr>
                <w:rFonts w:ascii="Times New Roman" w:hAnsi="Times New Roman" w:cs="Times New Roman"/>
                <w:color w:val="000000"/>
                <w:sz w:val="24"/>
                <w:szCs w:val="24"/>
                <w:lang w:val="es-419"/>
              </w:rPr>
            </w:pPr>
            <w:r w:rsidRPr="00427B0D">
              <w:rPr>
                <w:rFonts w:ascii="Times New Roman" w:hAnsi="Times New Roman" w:cs="Times New Roman"/>
                <w:color w:val="000000"/>
                <w:sz w:val="24"/>
                <w:szCs w:val="24"/>
                <w:lang w:val="es-419"/>
              </w:rPr>
              <w:t xml:space="preserve">Derechos humanos </w:t>
            </w:r>
          </w:p>
        </w:tc>
        <w:tc>
          <w:tcPr>
            <w:tcW w:w="7650" w:type="dxa"/>
          </w:tcPr>
          <w:p w:rsidR="00A6465A" w:rsidRPr="00427B0D" w:rsidRDefault="00FD0445" w:rsidP="007901C3">
            <w:pPr>
              <w:pStyle w:val="Prrafodelista"/>
              <w:numPr>
                <w:ilvl w:val="0"/>
                <w:numId w:val="3"/>
              </w:numPr>
              <w:ind w:left="342" w:hanging="270"/>
              <w:jc w:val="both"/>
              <w:rPr>
                <w:rFonts w:ascii="Times New Roman" w:hAnsi="Times New Roman"/>
                <w:color w:val="000000"/>
                <w:sz w:val="24"/>
                <w:szCs w:val="24"/>
                <w:lang w:val="es-419"/>
              </w:rPr>
            </w:pPr>
            <w:r w:rsidRPr="00427B0D">
              <w:rPr>
                <w:rFonts w:ascii="Times New Roman" w:hAnsi="Times New Roman"/>
                <w:color w:val="000000"/>
                <w:sz w:val="24"/>
                <w:szCs w:val="24"/>
                <w:lang w:val="es-419"/>
              </w:rPr>
              <w:t xml:space="preserve">Enfoque de los derechos humanos en el MAS </w:t>
            </w:r>
          </w:p>
        </w:tc>
      </w:tr>
      <w:tr w:rsidR="00D9319E" w:rsidRPr="00427B0D" w:rsidTr="00EC2772">
        <w:tc>
          <w:tcPr>
            <w:tcW w:w="1242" w:type="dxa"/>
            <w:vMerge w:val="restart"/>
          </w:tcPr>
          <w:p w:rsidR="00D9319E" w:rsidRPr="00427B0D" w:rsidRDefault="00D9319E" w:rsidP="00895AF5">
            <w:pPr>
              <w:rPr>
                <w:rFonts w:ascii="Times New Roman" w:hAnsi="Times New Roman" w:cs="Times New Roman"/>
                <w:sz w:val="24"/>
                <w:szCs w:val="24"/>
                <w:lang w:val="es-419"/>
              </w:rPr>
            </w:pPr>
            <w:r w:rsidRPr="00427B0D">
              <w:rPr>
                <w:rFonts w:ascii="Times New Roman" w:hAnsi="Times New Roman" w:cs="Times New Roman"/>
                <w:sz w:val="24"/>
                <w:szCs w:val="24"/>
                <w:lang w:val="es-419"/>
              </w:rPr>
              <w:t>PAS/</w:t>
            </w:r>
          </w:p>
          <w:p w:rsidR="00D9319E" w:rsidRPr="00427B0D" w:rsidRDefault="00D9319E" w:rsidP="00895AF5">
            <w:pPr>
              <w:rPr>
                <w:rFonts w:ascii="Times New Roman" w:hAnsi="Times New Roman" w:cs="Times New Roman"/>
                <w:sz w:val="24"/>
                <w:szCs w:val="24"/>
                <w:lang w:val="es-419"/>
              </w:rPr>
            </w:pPr>
            <w:r w:rsidRPr="00427B0D">
              <w:rPr>
                <w:rFonts w:ascii="Times New Roman" w:hAnsi="Times New Roman" w:cs="Times New Roman"/>
                <w:sz w:val="24"/>
                <w:szCs w:val="24"/>
                <w:lang w:val="es-419"/>
              </w:rPr>
              <w:t>NAS1</w:t>
            </w:r>
          </w:p>
          <w:p w:rsidR="00D9319E" w:rsidRPr="00427B0D" w:rsidRDefault="00D9319E" w:rsidP="00444D49">
            <w:pPr>
              <w:rPr>
                <w:rFonts w:ascii="Times New Roman" w:hAnsi="Times New Roman" w:cs="Times New Roman"/>
                <w:sz w:val="24"/>
                <w:szCs w:val="24"/>
                <w:lang w:val="es-419"/>
              </w:rPr>
            </w:pPr>
          </w:p>
        </w:tc>
        <w:tc>
          <w:tcPr>
            <w:tcW w:w="1903" w:type="dxa"/>
          </w:tcPr>
          <w:p w:rsidR="00D9319E" w:rsidRPr="00427B0D" w:rsidRDefault="00D9319E" w:rsidP="0023659A">
            <w:pPr>
              <w:rPr>
                <w:rFonts w:ascii="Times New Roman" w:hAnsi="Times New Roman" w:cs="Times New Roman"/>
                <w:sz w:val="24"/>
                <w:szCs w:val="24"/>
                <w:lang w:val="es-419"/>
              </w:rPr>
            </w:pPr>
            <w:r w:rsidRPr="00427B0D">
              <w:rPr>
                <w:rFonts w:ascii="Times New Roman" w:hAnsi="Times New Roman" w:cs="Times New Roman"/>
                <w:sz w:val="24"/>
                <w:szCs w:val="24"/>
                <w:lang w:val="es-419"/>
              </w:rPr>
              <w:t>No discriminación y grupos vulnerables</w:t>
            </w:r>
          </w:p>
        </w:tc>
        <w:tc>
          <w:tcPr>
            <w:tcW w:w="7650" w:type="dxa"/>
          </w:tcPr>
          <w:p w:rsidR="00D9319E" w:rsidRPr="00427B0D" w:rsidRDefault="00D9319E" w:rsidP="00F44503">
            <w:pPr>
              <w:pStyle w:val="Prrafodelista"/>
              <w:numPr>
                <w:ilvl w:val="0"/>
                <w:numId w:val="7"/>
              </w:numPr>
              <w:ind w:left="342" w:hanging="270"/>
              <w:jc w:val="both"/>
              <w:rPr>
                <w:rFonts w:ascii="Times New Roman" w:hAnsi="Times New Roman"/>
                <w:sz w:val="24"/>
                <w:szCs w:val="24"/>
                <w:lang w:val="es-419"/>
              </w:rPr>
            </w:pPr>
            <w:r w:rsidRPr="00427B0D">
              <w:rPr>
                <w:rFonts w:ascii="Times New Roman" w:hAnsi="Times New Roman"/>
                <w:sz w:val="24"/>
                <w:szCs w:val="24"/>
                <w:lang w:val="es-419"/>
              </w:rPr>
              <w:t xml:space="preserve">Enumeración explícita de grupos específicos vulnerables por tipo/nombre (edad, género, origen étnico, religión, discapacidad física, mental o de otro tipo, estado social, cívico o de salud, orientación sexual, identidad de género, problemas económicos o estatus de aborigen, o que dependen de recursos naturales únicos) </w:t>
            </w:r>
          </w:p>
          <w:p w:rsidR="00D9319E" w:rsidRPr="00427B0D" w:rsidRDefault="00A97FC4" w:rsidP="003D11E6">
            <w:pPr>
              <w:pStyle w:val="Prrafodelista"/>
              <w:numPr>
                <w:ilvl w:val="0"/>
                <w:numId w:val="7"/>
              </w:numPr>
              <w:ind w:left="342" w:hanging="270"/>
              <w:jc w:val="both"/>
              <w:rPr>
                <w:rFonts w:ascii="Times New Roman" w:hAnsi="Times New Roman"/>
                <w:sz w:val="24"/>
                <w:szCs w:val="24"/>
                <w:lang w:val="es-419"/>
              </w:rPr>
            </w:pPr>
            <w:r w:rsidRPr="00427B0D">
              <w:rPr>
                <w:rFonts w:ascii="Times New Roman" w:hAnsi="Times New Roman"/>
                <w:sz w:val="24"/>
                <w:szCs w:val="24"/>
                <w:lang w:val="es-419"/>
              </w:rPr>
              <w:t>Aspectos específicos del principio de no discriminación en contextos sociales y políticos complejos, incluso cuando el reconocimiento de ciertos grupos no esté de acuerdo con la legislación nacional</w:t>
            </w:r>
          </w:p>
        </w:tc>
      </w:tr>
      <w:tr w:rsidR="00D9319E" w:rsidRPr="00427B0D" w:rsidTr="00EC2772">
        <w:tc>
          <w:tcPr>
            <w:tcW w:w="1242" w:type="dxa"/>
            <w:vMerge/>
          </w:tcPr>
          <w:p w:rsidR="00D9319E" w:rsidRPr="00427B0D" w:rsidRDefault="00D9319E" w:rsidP="00444D49">
            <w:pPr>
              <w:rPr>
                <w:rFonts w:ascii="Times New Roman" w:hAnsi="Times New Roman" w:cs="Times New Roman"/>
                <w:color w:val="000000"/>
                <w:sz w:val="24"/>
                <w:szCs w:val="24"/>
                <w:lang w:val="es-419"/>
              </w:rPr>
            </w:pPr>
          </w:p>
        </w:tc>
        <w:tc>
          <w:tcPr>
            <w:tcW w:w="1903" w:type="dxa"/>
          </w:tcPr>
          <w:p w:rsidR="00D9319E" w:rsidRPr="00427B0D" w:rsidRDefault="00D9319E" w:rsidP="00895AF5">
            <w:pPr>
              <w:rPr>
                <w:rFonts w:ascii="Times New Roman" w:hAnsi="Times New Roman" w:cs="Times New Roman"/>
                <w:sz w:val="24"/>
                <w:szCs w:val="24"/>
                <w:lang w:val="es-419"/>
              </w:rPr>
            </w:pPr>
            <w:r w:rsidRPr="00427B0D">
              <w:rPr>
                <w:rFonts w:ascii="Times New Roman" w:hAnsi="Times New Roman" w:cs="Times New Roman"/>
                <w:color w:val="000000"/>
                <w:sz w:val="24"/>
                <w:szCs w:val="24"/>
                <w:lang w:val="es-419"/>
              </w:rPr>
              <w:t>Uso del marco ambiental y social del prestatario</w:t>
            </w:r>
          </w:p>
        </w:tc>
        <w:tc>
          <w:tcPr>
            <w:tcW w:w="7650" w:type="dxa"/>
          </w:tcPr>
          <w:p w:rsidR="00D9319E" w:rsidRPr="00427B0D" w:rsidRDefault="00D9319E" w:rsidP="00F44503">
            <w:pPr>
              <w:pStyle w:val="Prrafodelista"/>
              <w:numPr>
                <w:ilvl w:val="0"/>
                <w:numId w:val="4"/>
              </w:numPr>
              <w:ind w:left="342" w:hanging="270"/>
              <w:jc w:val="both"/>
              <w:rPr>
                <w:rFonts w:ascii="Times New Roman" w:hAnsi="Times New Roman"/>
                <w:sz w:val="24"/>
                <w:szCs w:val="24"/>
                <w:lang w:val="es-419"/>
              </w:rPr>
            </w:pPr>
            <w:r w:rsidRPr="00427B0D">
              <w:rPr>
                <w:rFonts w:ascii="Times New Roman" w:hAnsi="Times New Roman"/>
                <w:sz w:val="24"/>
                <w:szCs w:val="24"/>
                <w:lang w:val="es-419"/>
              </w:rPr>
              <w:t xml:space="preserve">Rol de los marcos de los prestatarios en la gestión y evaluación de riesgos e impactos ambientales y sociales, cuando estos permitan que los proyectos logren objetivos materialmente coherentes con las Normas ambientales y sociales (NAS) </w:t>
            </w:r>
          </w:p>
          <w:p w:rsidR="00D9319E" w:rsidRPr="00427B0D" w:rsidRDefault="00D9319E" w:rsidP="00933D3E">
            <w:pPr>
              <w:pStyle w:val="Prrafodelista"/>
              <w:numPr>
                <w:ilvl w:val="0"/>
                <w:numId w:val="4"/>
              </w:numPr>
              <w:ind w:left="342" w:hanging="270"/>
              <w:jc w:val="both"/>
              <w:rPr>
                <w:rFonts w:ascii="Times New Roman" w:hAnsi="Times New Roman"/>
                <w:sz w:val="24"/>
                <w:szCs w:val="24"/>
                <w:lang w:val="es-419"/>
              </w:rPr>
            </w:pPr>
            <w:r w:rsidRPr="00427B0D">
              <w:rPr>
                <w:rFonts w:ascii="Times New Roman" w:hAnsi="Times New Roman"/>
                <w:sz w:val="24"/>
                <w:szCs w:val="24"/>
                <w:lang w:val="es-419"/>
              </w:rPr>
              <w:t>Estrategia para la toma de decisiones respecto del uso de los marcos del Prestatario, incluida la metodología para evaluar los casos en los que los marcos permitirán que los proyectos logren objetivos materialmente coherentes con las NAS y el ejercicio de la discreción del Banco</w:t>
            </w:r>
          </w:p>
          <w:p w:rsidR="00D9319E" w:rsidRPr="00427B0D" w:rsidRDefault="00D9319E" w:rsidP="00933D3E">
            <w:pPr>
              <w:pStyle w:val="Prrafodelista"/>
              <w:numPr>
                <w:ilvl w:val="0"/>
                <w:numId w:val="4"/>
              </w:numPr>
              <w:ind w:left="342" w:hanging="270"/>
              <w:jc w:val="both"/>
              <w:rPr>
                <w:rFonts w:ascii="Times New Roman" w:hAnsi="Times New Roman"/>
                <w:sz w:val="24"/>
                <w:szCs w:val="24"/>
                <w:lang w:val="es-419"/>
              </w:rPr>
            </w:pPr>
            <w:r w:rsidRPr="00427B0D">
              <w:rPr>
                <w:rFonts w:ascii="Times New Roman" w:hAnsi="Times New Roman"/>
                <w:sz w:val="24"/>
                <w:szCs w:val="24"/>
                <w:lang w:val="es-419"/>
              </w:rPr>
              <w:t>Rol de los marcos del Prestatario en proyectos de riesgo alto y sustancial</w:t>
            </w:r>
          </w:p>
        </w:tc>
      </w:tr>
      <w:tr w:rsidR="00D9319E" w:rsidRPr="00427B0D" w:rsidTr="00EC2772">
        <w:tc>
          <w:tcPr>
            <w:tcW w:w="1242" w:type="dxa"/>
            <w:vMerge/>
          </w:tcPr>
          <w:p w:rsidR="00D9319E" w:rsidRPr="00427B0D" w:rsidRDefault="00D9319E" w:rsidP="00444D49">
            <w:pPr>
              <w:rPr>
                <w:rFonts w:ascii="Times New Roman" w:hAnsi="Times New Roman" w:cs="Times New Roman"/>
                <w:sz w:val="24"/>
                <w:szCs w:val="24"/>
                <w:lang w:val="es-419"/>
              </w:rPr>
            </w:pPr>
          </w:p>
        </w:tc>
        <w:tc>
          <w:tcPr>
            <w:tcW w:w="1903" w:type="dxa"/>
          </w:tcPr>
          <w:p w:rsidR="00D9319E" w:rsidRPr="00427B0D" w:rsidRDefault="00D9319E" w:rsidP="00444D49">
            <w:pPr>
              <w:rPr>
                <w:rFonts w:ascii="Times New Roman" w:hAnsi="Times New Roman" w:cs="Times New Roman"/>
                <w:sz w:val="24"/>
                <w:szCs w:val="24"/>
                <w:lang w:val="es-419"/>
              </w:rPr>
            </w:pPr>
            <w:r w:rsidRPr="00427B0D">
              <w:rPr>
                <w:rFonts w:ascii="Times New Roman" w:hAnsi="Times New Roman" w:cs="Times New Roman"/>
                <w:sz w:val="24"/>
                <w:szCs w:val="24"/>
                <w:lang w:val="es-419"/>
              </w:rPr>
              <w:t xml:space="preserve">Financiación conjunta/estrategia común </w:t>
            </w:r>
          </w:p>
        </w:tc>
        <w:tc>
          <w:tcPr>
            <w:tcW w:w="7650" w:type="dxa"/>
          </w:tcPr>
          <w:p w:rsidR="00D9319E" w:rsidRPr="00427B0D" w:rsidRDefault="00A6465A" w:rsidP="00A6465A">
            <w:pPr>
              <w:pStyle w:val="Prrafodelista"/>
              <w:numPr>
                <w:ilvl w:val="0"/>
                <w:numId w:val="9"/>
              </w:numPr>
              <w:ind w:left="342" w:hanging="270"/>
              <w:jc w:val="both"/>
              <w:rPr>
                <w:rFonts w:ascii="Times New Roman" w:hAnsi="Times New Roman"/>
                <w:sz w:val="24"/>
                <w:szCs w:val="24"/>
                <w:lang w:val="es-419"/>
              </w:rPr>
            </w:pPr>
            <w:r w:rsidRPr="00427B0D">
              <w:rPr>
                <w:rFonts w:ascii="Times New Roman" w:hAnsi="Times New Roman"/>
                <w:sz w:val="24"/>
                <w:szCs w:val="24"/>
                <w:lang w:val="es-419"/>
              </w:rPr>
              <w:t>Acuerdos respecto de Normas ambientales y sociales en situaciones de financiación conjunta en las que las normas de quienes financian en forma conjunta son diferentes de las del Banco</w:t>
            </w:r>
          </w:p>
        </w:tc>
      </w:tr>
      <w:tr w:rsidR="00D9319E" w:rsidRPr="00427B0D" w:rsidTr="00EC2772">
        <w:tc>
          <w:tcPr>
            <w:tcW w:w="1242" w:type="dxa"/>
            <w:vMerge/>
          </w:tcPr>
          <w:p w:rsidR="00D9319E" w:rsidRPr="00427B0D" w:rsidRDefault="00D9319E" w:rsidP="00444D49">
            <w:pPr>
              <w:rPr>
                <w:rFonts w:ascii="Times New Roman" w:hAnsi="Times New Roman" w:cs="Times New Roman"/>
                <w:sz w:val="24"/>
                <w:szCs w:val="24"/>
                <w:lang w:val="es-419"/>
              </w:rPr>
            </w:pPr>
          </w:p>
        </w:tc>
        <w:tc>
          <w:tcPr>
            <w:tcW w:w="1903" w:type="dxa"/>
          </w:tcPr>
          <w:p w:rsidR="00D9319E" w:rsidRPr="00427B0D" w:rsidRDefault="00D9319E" w:rsidP="00F17728">
            <w:pPr>
              <w:rPr>
                <w:rFonts w:ascii="Times New Roman" w:hAnsi="Times New Roman" w:cs="Times New Roman"/>
                <w:sz w:val="24"/>
                <w:szCs w:val="24"/>
                <w:lang w:val="es-419"/>
              </w:rPr>
            </w:pPr>
            <w:r w:rsidRPr="00427B0D">
              <w:rPr>
                <w:rFonts w:ascii="Times New Roman" w:hAnsi="Times New Roman" w:cs="Times New Roman"/>
                <w:sz w:val="24"/>
                <w:szCs w:val="24"/>
                <w:lang w:val="es-419"/>
              </w:rPr>
              <w:t>Gestión adaptable de riesgos</w:t>
            </w:r>
          </w:p>
        </w:tc>
        <w:tc>
          <w:tcPr>
            <w:tcW w:w="7650" w:type="dxa"/>
          </w:tcPr>
          <w:p w:rsidR="00D9319E" w:rsidRPr="00427B0D" w:rsidRDefault="00D9319E" w:rsidP="00641839">
            <w:pPr>
              <w:pStyle w:val="Prrafodelista"/>
              <w:numPr>
                <w:ilvl w:val="0"/>
                <w:numId w:val="9"/>
              </w:numPr>
              <w:ind w:left="342" w:hanging="270"/>
              <w:jc w:val="both"/>
              <w:rPr>
                <w:rFonts w:ascii="Times New Roman" w:hAnsi="Times New Roman"/>
                <w:sz w:val="24"/>
                <w:szCs w:val="24"/>
                <w:lang w:val="es-419"/>
              </w:rPr>
            </w:pPr>
            <w:r w:rsidRPr="00427B0D">
              <w:rPr>
                <w:rFonts w:ascii="Times New Roman" w:hAnsi="Times New Roman"/>
                <w:sz w:val="24"/>
                <w:szCs w:val="24"/>
                <w:lang w:val="es-419"/>
              </w:rPr>
              <w:t>Estrategia para monitorear el cumplimiento ambiental y social, y cambios en el proyecto durante la implementación</w:t>
            </w:r>
          </w:p>
        </w:tc>
      </w:tr>
      <w:tr w:rsidR="00D9319E" w:rsidRPr="00427B0D" w:rsidTr="00EC2772">
        <w:tc>
          <w:tcPr>
            <w:tcW w:w="1242" w:type="dxa"/>
            <w:vMerge/>
          </w:tcPr>
          <w:p w:rsidR="00D9319E" w:rsidRPr="00427B0D" w:rsidRDefault="00D9319E" w:rsidP="00444D49">
            <w:pPr>
              <w:rPr>
                <w:rFonts w:ascii="Times New Roman" w:hAnsi="Times New Roman" w:cs="Times New Roman"/>
                <w:sz w:val="24"/>
                <w:szCs w:val="24"/>
                <w:lang w:val="es-419"/>
              </w:rPr>
            </w:pPr>
          </w:p>
        </w:tc>
        <w:tc>
          <w:tcPr>
            <w:tcW w:w="1903" w:type="dxa"/>
          </w:tcPr>
          <w:p w:rsidR="00D9319E" w:rsidRPr="00427B0D" w:rsidRDefault="00D9319E" w:rsidP="00F17728">
            <w:pPr>
              <w:rPr>
                <w:rFonts w:ascii="Times New Roman" w:hAnsi="Times New Roman" w:cs="Times New Roman"/>
                <w:sz w:val="24"/>
                <w:szCs w:val="24"/>
                <w:lang w:val="es-419"/>
              </w:rPr>
            </w:pPr>
            <w:r w:rsidRPr="00427B0D">
              <w:rPr>
                <w:rFonts w:ascii="Times New Roman" w:hAnsi="Times New Roman" w:cs="Times New Roman"/>
                <w:sz w:val="24"/>
                <w:szCs w:val="24"/>
                <w:lang w:val="es-419"/>
              </w:rPr>
              <w:t>Clasificación de riesgos</w:t>
            </w:r>
          </w:p>
        </w:tc>
        <w:tc>
          <w:tcPr>
            <w:tcW w:w="7650" w:type="dxa"/>
          </w:tcPr>
          <w:p w:rsidR="00D9319E" w:rsidRPr="00427B0D" w:rsidDel="00EF3E5D" w:rsidRDefault="00D9319E" w:rsidP="00F55E20">
            <w:pPr>
              <w:pStyle w:val="Prrafodelista"/>
              <w:numPr>
                <w:ilvl w:val="0"/>
                <w:numId w:val="9"/>
              </w:numPr>
              <w:ind w:left="342" w:hanging="270"/>
              <w:jc w:val="both"/>
              <w:rPr>
                <w:rFonts w:ascii="Times New Roman" w:hAnsi="Times New Roman"/>
                <w:sz w:val="24"/>
                <w:szCs w:val="24"/>
                <w:lang w:val="es-419"/>
              </w:rPr>
            </w:pPr>
            <w:r w:rsidRPr="00427B0D">
              <w:rPr>
                <w:rFonts w:ascii="Times New Roman" w:hAnsi="Times New Roman"/>
                <w:sz w:val="24"/>
                <w:szCs w:val="24"/>
                <w:lang w:val="es-419"/>
              </w:rPr>
              <w:t>Estrategia para determinar y revisar el nivel de riesgo de un proyecto</w:t>
            </w:r>
          </w:p>
        </w:tc>
      </w:tr>
      <w:tr w:rsidR="00A6465A" w:rsidRPr="00427B0D" w:rsidTr="00EC2772">
        <w:tc>
          <w:tcPr>
            <w:tcW w:w="1242" w:type="dxa"/>
            <w:vMerge w:val="restart"/>
          </w:tcPr>
          <w:p w:rsidR="00A6465A" w:rsidRPr="00427B0D" w:rsidRDefault="00A6465A" w:rsidP="00444D49">
            <w:pPr>
              <w:rPr>
                <w:rFonts w:ascii="Times New Roman" w:hAnsi="Times New Roman" w:cs="Times New Roman"/>
                <w:sz w:val="24"/>
                <w:szCs w:val="24"/>
                <w:lang w:val="es-419"/>
              </w:rPr>
            </w:pPr>
            <w:r w:rsidRPr="00427B0D">
              <w:rPr>
                <w:rFonts w:ascii="Times New Roman" w:hAnsi="Times New Roman" w:cs="Times New Roman"/>
                <w:sz w:val="24"/>
                <w:szCs w:val="24"/>
                <w:lang w:val="es-419"/>
              </w:rPr>
              <w:t>NAS1</w:t>
            </w:r>
          </w:p>
          <w:p w:rsidR="00A6465A" w:rsidRPr="00427B0D" w:rsidRDefault="00A6465A" w:rsidP="00444D49">
            <w:pPr>
              <w:rPr>
                <w:rFonts w:ascii="Times New Roman" w:hAnsi="Times New Roman" w:cs="Times New Roman"/>
                <w:sz w:val="24"/>
                <w:szCs w:val="24"/>
                <w:lang w:val="es-419"/>
              </w:rPr>
            </w:pPr>
          </w:p>
        </w:tc>
        <w:tc>
          <w:tcPr>
            <w:tcW w:w="1903" w:type="dxa"/>
          </w:tcPr>
          <w:p w:rsidR="00A6465A" w:rsidRPr="00427B0D" w:rsidRDefault="00A6465A" w:rsidP="00D9319E">
            <w:pPr>
              <w:rPr>
                <w:rFonts w:ascii="Times New Roman" w:hAnsi="Times New Roman" w:cs="Times New Roman"/>
                <w:sz w:val="24"/>
                <w:szCs w:val="24"/>
                <w:lang w:val="es-419"/>
              </w:rPr>
            </w:pPr>
            <w:r w:rsidRPr="00427B0D">
              <w:rPr>
                <w:rFonts w:ascii="Times New Roman" w:hAnsi="Times New Roman" w:cs="Times New Roman"/>
                <w:sz w:val="24"/>
                <w:szCs w:val="24"/>
                <w:lang w:val="es-419"/>
              </w:rPr>
              <w:t xml:space="preserve">Evaluación y administración de riesgos e </w:t>
            </w:r>
            <w:r w:rsidRPr="00427B0D">
              <w:rPr>
                <w:rFonts w:ascii="Times New Roman" w:hAnsi="Times New Roman" w:cs="Times New Roman"/>
                <w:sz w:val="24"/>
                <w:szCs w:val="24"/>
                <w:lang w:val="es-419"/>
              </w:rPr>
              <w:lastRenderedPageBreak/>
              <w:t>impactos ambientales y sociales</w:t>
            </w:r>
          </w:p>
        </w:tc>
        <w:tc>
          <w:tcPr>
            <w:tcW w:w="7650" w:type="dxa"/>
          </w:tcPr>
          <w:p w:rsidR="00A6465A" w:rsidRPr="00427B0D" w:rsidRDefault="00A97FC4" w:rsidP="00F55E20">
            <w:pPr>
              <w:pStyle w:val="Prrafodelista"/>
              <w:numPr>
                <w:ilvl w:val="0"/>
                <w:numId w:val="9"/>
              </w:numPr>
              <w:ind w:left="342" w:hanging="270"/>
              <w:jc w:val="both"/>
              <w:rPr>
                <w:rFonts w:ascii="Times New Roman" w:hAnsi="Times New Roman"/>
                <w:sz w:val="24"/>
                <w:szCs w:val="24"/>
                <w:lang w:val="es-419"/>
              </w:rPr>
            </w:pPr>
            <w:r w:rsidRPr="00427B0D">
              <w:rPr>
                <w:rFonts w:ascii="Times New Roman" w:hAnsi="Times New Roman"/>
                <w:sz w:val="24"/>
                <w:szCs w:val="24"/>
                <w:lang w:val="es-419"/>
              </w:rPr>
              <w:lastRenderedPageBreak/>
              <w:t>Evaluación y naturaleza de los impactos acumulativos e indirectos a tener en cuenta</w:t>
            </w:r>
          </w:p>
          <w:p w:rsidR="00A6465A" w:rsidRPr="00427B0D" w:rsidRDefault="00A97FC4" w:rsidP="00F55E20">
            <w:pPr>
              <w:pStyle w:val="Prrafodelista"/>
              <w:numPr>
                <w:ilvl w:val="0"/>
                <w:numId w:val="9"/>
              </w:numPr>
              <w:ind w:left="342" w:hanging="270"/>
              <w:jc w:val="both"/>
              <w:rPr>
                <w:rFonts w:ascii="Times New Roman" w:hAnsi="Times New Roman"/>
                <w:sz w:val="24"/>
                <w:szCs w:val="24"/>
                <w:lang w:val="es-419"/>
              </w:rPr>
            </w:pPr>
            <w:r w:rsidRPr="00427B0D">
              <w:rPr>
                <w:rFonts w:ascii="Times New Roman" w:hAnsi="Times New Roman"/>
                <w:sz w:val="24"/>
                <w:szCs w:val="24"/>
                <w:lang w:val="es-419"/>
              </w:rPr>
              <w:t xml:space="preserve">Tratamiento de impactos acumulativos e indirectos cuando se identifican </w:t>
            </w:r>
            <w:r w:rsidRPr="00427B0D">
              <w:rPr>
                <w:rFonts w:ascii="Times New Roman" w:hAnsi="Times New Roman"/>
                <w:sz w:val="24"/>
                <w:szCs w:val="24"/>
                <w:lang w:val="es-419"/>
              </w:rPr>
              <w:lastRenderedPageBreak/>
              <w:t>en la evaluación del proyecto</w:t>
            </w:r>
          </w:p>
          <w:p w:rsidR="00A6465A" w:rsidRPr="00427B0D" w:rsidRDefault="00A6465A" w:rsidP="000D207A">
            <w:pPr>
              <w:pStyle w:val="Prrafodelista"/>
              <w:numPr>
                <w:ilvl w:val="0"/>
                <w:numId w:val="9"/>
              </w:numPr>
              <w:ind w:left="342" w:hanging="270"/>
              <w:jc w:val="both"/>
              <w:rPr>
                <w:rFonts w:ascii="Times New Roman" w:hAnsi="Times New Roman"/>
                <w:sz w:val="24"/>
                <w:szCs w:val="24"/>
                <w:lang w:val="es-419"/>
              </w:rPr>
            </w:pPr>
            <w:r w:rsidRPr="00427B0D">
              <w:rPr>
                <w:rFonts w:ascii="Times New Roman" w:hAnsi="Times New Roman"/>
                <w:sz w:val="24"/>
                <w:szCs w:val="24"/>
                <w:lang w:val="es-419"/>
              </w:rPr>
              <w:t>Establecimiento de límites del proyecto y de la aplicabilidad de las NAS a instalaciones asociadas, contratistas, proveedores primarios, subproyectos de IF y subproyectos financiados en forma directa</w:t>
            </w:r>
          </w:p>
          <w:p w:rsidR="00A6465A" w:rsidRPr="00427B0D" w:rsidRDefault="00E76A83" w:rsidP="00FD0445">
            <w:pPr>
              <w:pStyle w:val="Prrafodelista"/>
              <w:numPr>
                <w:ilvl w:val="0"/>
                <w:numId w:val="9"/>
              </w:numPr>
              <w:ind w:left="342" w:hanging="270"/>
              <w:jc w:val="both"/>
              <w:rPr>
                <w:rFonts w:ascii="Times New Roman" w:hAnsi="Times New Roman"/>
                <w:sz w:val="24"/>
                <w:szCs w:val="24"/>
                <w:lang w:val="es-419"/>
              </w:rPr>
            </w:pPr>
            <w:r w:rsidRPr="00427B0D">
              <w:rPr>
                <w:rFonts w:ascii="Times New Roman" w:hAnsi="Times New Roman"/>
                <w:sz w:val="24"/>
                <w:szCs w:val="24"/>
                <w:lang w:val="es-419"/>
              </w:rPr>
              <w:t>Circunstancias en las cuales el Banco determinará si el Prestatario deberá contratar especialistas terceros independientes</w:t>
            </w:r>
          </w:p>
        </w:tc>
      </w:tr>
      <w:tr w:rsidR="00A6465A" w:rsidRPr="00427B0D" w:rsidTr="00EC2772">
        <w:tc>
          <w:tcPr>
            <w:tcW w:w="1242" w:type="dxa"/>
            <w:vMerge/>
          </w:tcPr>
          <w:p w:rsidR="00A6465A" w:rsidRPr="00427B0D" w:rsidRDefault="00A6465A" w:rsidP="00444D49">
            <w:pPr>
              <w:rPr>
                <w:rFonts w:ascii="Times New Roman" w:hAnsi="Times New Roman" w:cs="Times New Roman"/>
                <w:sz w:val="24"/>
                <w:szCs w:val="24"/>
                <w:lang w:val="es-419"/>
              </w:rPr>
            </w:pPr>
          </w:p>
        </w:tc>
        <w:tc>
          <w:tcPr>
            <w:tcW w:w="1903" w:type="dxa"/>
          </w:tcPr>
          <w:p w:rsidR="00A6465A" w:rsidRPr="00427B0D" w:rsidRDefault="00A6465A" w:rsidP="00D9319E">
            <w:pPr>
              <w:rPr>
                <w:rFonts w:ascii="Times New Roman" w:hAnsi="Times New Roman" w:cs="Times New Roman"/>
                <w:sz w:val="24"/>
                <w:szCs w:val="24"/>
                <w:lang w:val="es-419"/>
              </w:rPr>
            </w:pPr>
            <w:r w:rsidRPr="00427B0D">
              <w:rPr>
                <w:rFonts w:ascii="Times New Roman" w:hAnsi="Times New Roman" w:cs="Times New Roman"/>
                <w:sz w:val="24"/>
                <w:szCs w:val="24"/>
                <w:lang w:val="es-419"/>
              </w:rPr>
              <w:t>Plan de compromiso ambiental y social (PCAS)</w:t>
            </w:r>
          </w:p>
        </w:tc>
        <w:tc>
          <w:tcPr>
            <w:tcW w:w="7650" w:type="dxa"/>
          </w:tcPr>
          <w:p w:rsidR="00A6465A" w:rsidRPr="00427B0D" w:rsidRDefault="00A6465A" w:rsidP="00F55E20">
            <w:pPr>
              <w:pStyle w:val="Prrafodelista"/>
              <w:numPr>
                <w:ilvl w:val="0"/>
                <w:numId w:val="9"/>
              </w:numPr>
              <w:ind w:left="342" w:hanging="270"/>
              <w:jc w:val="both"/>
              <w:rPr>
                <w:rFonts w:ascii="Times New Roman" w:hAnsi="Times New Roman"/>
                <w:sz w:val="24"/>
                <w:szCs w:val="24"/>
                <w:lang w:val="es-419"/>
              </w:rPr>
            </w:pPr>
            <w:r w:rsidRPr="00427B0D">
              <w:rPr>
                <w:rFonts w:ascii="Times New Roman" w:hAnsi="Times New Roman"/>
                <w:sz w:val="24"/>
                <w:szCs w:val="24"/>
                <w:lang w:val="es-419"/>
              </w:rPr>
              <w:t>Legitimación del PCAS e implicancias de los cambios en este como parte del acuerdo legal</w:t>
            </w:r>
          </w:p>
        </w:tc>
      </w:tr>
      <w:tr w:rsidR="00444D49" w:rsidRPr="00427B0D" w:rsidTr="00EC2772">
        <w:tc>
          <w:tcPr>
            <w:tcW w:w="1242" w:type="dxa"/>
          </w:tcPr>
          <w:p w:rsidR="00444D49" w:rsidRPr="00427B0D" w:rsidRDefault="00444D49" w:rsidP="00444D49">
            <w:pPr>
              <w:rPr>
                <w:rFonts w:ascii="Times New Roman" w:hAnsi="Times New Roman" w:cs="Times New Roman"/>
                <w:sz w:val="24"/>
                <w:szCs w:val="24"/>
                <w:lang w:val="es-419"/>
              </w:rPr>
            </w:pPr>
            <w:r w:rsidRPr="00427B0D">
              <w:rPr>
                <w:rFonts w:ascii="Times New Roman" w:hAnsi="Times New Roman" w:cs="Times New Roman"/>
                <w:sz w:val="24"/>
                <w:szCs w:val="24"/>
                <w:lang w:val="es-419"/>
              </w:rPr>
              <w:t>NAS2</w:t>
            </w:r>
          </w:p>
        </w:tc>
        <w:tc>
          <w:tcPr>
            <w:tcW w:w="1903" w:type="dxa"/>
          </w:tcPr>
          <w:p w:rsidR="00444D49" w:rsidRPr="00427B0D" w:rsidRDefault="00444D49" w:rsidP="00444D49">
            <w:pPr>
              <w:rPr>
                <w:rFonts w:ascii="Times New Roman" w:hAnsi="Times New Roman" w:cs="Times New Roman"/>
                <w:sz w:val="24"/>
                <w:szCs w:val="24"/>
                <w:lang w:val="es-419"/>
              </w:rPr>
            </w:pPr>
            <w:r w:rsidRPr="00427B0D">
              <w:rPr>
                <w:rFonts w:ascii="Times New Roman" w:hAnsi="Times New Roman" w:cs="Times New Roman"/>
                <w:sz w:val="24"/>
                <w:szCs w:val="24"/>
                <w:lang w:val="es-419"/>
              </w:rPr>
              <w:t>Mano de obra y condiciones de trabajo</w:t>
            </w:r>
          </w:p>
        </w:tc>
        <w:tc>
          <w:tcPr>
            <w:tcW w:w="7650" w:type="dxa"/>
          </w:tcPr>
          <w:p w:rsidR="00444D49" w:rsidRPr="00427B0D" w:rsidRDefault="00F55E20" w:rsidP="00F55E20">
            <w:pPr>
              <w:pStyle w:val="Prrafodelista"/>
              <w:numPr>
                <w:ilvl w:val="0"/>
                <w:numId w:val="4"/>
              </w:numPr>
              <w:ind w:left="342" w:hanging="270"/>
              <w:jc w:val="both"/>
              <w:rPr>
                <w:rFonts w:ascii="Times New Roman" w:hAnsi="Times New Roman"/>
                <w:sz w:val="24"/>
                <w:szCs w:val="24"/>
                <w:lang w:val="es-419"/>
              </w:rPr>
            </w:pPr>
            <w:r w:rsidRPr="00427B0D">
              <w:rPr>
                <w:rFonts w:ascii="Times New Roman" w:hAnsi="Times New Roman"/>
                <w:sz w:val="24"/>
                <w:szCs w:val="24"/>
                <w:lang w:val="es-419"/>
              </w:rPr>
              <w:t xml:space="preserve">Definición, necesidades y requisitos para la gestión de la mano de obra empleada por ciertos terceros (corredores, agentes e intermediarios)  </w:t>
            </w:r>
          </w:p>
          <w:p w:rsidR="00444D49" w:rsidRPr="00427B0D" w:rsidRDefault="00F55E20" w:rsidP="00784151">
            <w:pPr>
              <w:pStyle w:val="Prrafodelista"/>
              <w:numPr>
                <w:ilvl w:val="0"/>
                <w:numId w:val="4"/>
              </w:numPr>
              <w:ind w:left="342" w:hanging="270"/>
              <w:jc w:val="both"/>
              <w:rPr>
                <w:rFonts w:ascii="Times New Roman" w:hAnsi="Times New Roman"/>
                <w:sz w:val="24"/>
                <w:szCs w:val="24"/>
                <w:lang w:val="es-419"/>
              </w:rPr>
            </w:pPr>
            <w:r w:rsidRPr="00427B0D">
              <w:rPr>
                <w:rFonts w:ascii="Times New Roman" w:hAnsi="Times New Roman"/>
                <w:sz w:val="24"/>
                <w:szCs w:val="24"/>
                <w:lang w:val="es-419"/>
              </w:rPr>
              <w:t xml:space="preserve">Aplicación e impactos de la implementación de ciertos requisitos de mano de obra para los contratistas, la comunidad, la mano de obra voluntaria y los proveedores primarios </w:t>
            </w:r>
          </w:p>
          <w:p w:rsidR="00444D49" w:rsidRPr="00427B0D" w:rsidRDefault="00A97FC4" w:rsidP="00105808">
            <w:pPr>
              <w:pStyle w:val="Prrafodelista"/>
              <w:numPr>
                <w:ilvl w:val="0"/>
                <w:numId w:val="4"/>
              </w:numPr>
              <w:ind w:left="342" w:hanging="270"/>
              <w:jc w:val="both"/>
              <w:rPr>
                <w:rFonts w:ascii="Times New Roman" w:hAnsi="Times New Roman"/>
                <w:sz w:val="24"/>
                <w:szCs w:val="24"/>
                <w:lang w:val="es-419"/>
              </w:rPr>
            </w:pPr>
            <w:r w:rsidRPr="00427B0D">
              <w:rPr>
                <w:rFonts w:ascii="Times New Roman" w:hAnsi="Times New Roman"/>
                <w:sz w:val="24"/>
                <w:szCs w:val="24"/>
                <w:lang w:val="es-419"/>
              </w:rPr>
              <w:t>Limitaciones para hacer que los mecanismos de queja estén disponibles para todos los trabajadores del proyecto</w:t>
            </w:r>
          </w:p>
          <w:p w:rsidR="00F44503" w:rsidRPr="00427B0D" w:rsidRDefault="00A97FC4" w:rsidP="000260EF">
            <w:pPr>
              <w:pStyle w:val="Prrafodelista"/>
              <w:numPr>
                <w:ilvl w:val="0"/>
                <w:numId w:val="4"/>
              </w:numPr>
              <w:ind w:left="342" w:hanging="270"/>
              <w:jc w:val="both"/>
              <w:rPr>
                <w:rFonts w:ascii="Times New Roman" w:hAnsi="Times New Roman"/>
                <w:sz w:val="24"/>
                <w:szCs w:val="24"/>
                <w:lang w:val="es-419"/>
              </w:rPr>
            </w:pPr>
            <w:r w:rsidRPr="00427B0D">
              <w:rPr>
                <w:rFonts w:ascii="Times New Roman" w:hAnsi="Times New Roman"/>
                <w:sz w:val="24"/>
                <w:szCs w:val="24"/>
                <w:lang w:val="es-419"/>
              </w:rPr>
              <w:t>Consulta de las leyes nacionales con el objetivo de respaldar la libertad de asociación y negociación colectiva</w:t>
            </w:r>
          </w:p>
          <w:p w:rsidR="00444D49" w:rsidRPr="00427B0D" w:rsidRDefault="00F44503" w:rsidP="009A1E16">
            <w:pPr>
              <w:pStyle w:val="Prrafodelista"/>
              <w:numPr>
                <w:ilvl w:val="0"/>
                <w:numId w:val="4"/>
              </w:numPr>
              <w:ind w:left="342" w:hanging="270"/>
              <w:jc w:val="both"/>
              <w:rPr>
                <w:rFonts w:ascii="Times New Roman" w:hAnsi="Times New Roman"/>
                <w:sz w:val="24"/>
                <w:szCs w:val="24"/>
                <w:lang w:val="es-419"/>
              </w:rPr>
            </w:pPr>
            <w:r w:rsidRPr="00427B0D">
              <w:rPr>
                <w:rFonts w:ascii="Times New Roman" w:hAnsi="Times New Roman"/>
                <w:sz w:val="24"/>
                <w:szCs w:val="24"/>
                <w:lang w:val="es-419"/>
              </w:rPr>
              <w:t>Operacionalización de un mecanismo alternativo relacionado con la libertad de asociación y negociación colectiva en los casos en que las leyes nacionales no reconozcan tales derechos</w:t>
            </w:r>
          </w:p>
          <w:p w:rsidR="00444D49" w:rsidRPr="00427B0D" w:rsidRDefault="00E01E6E" w:rsidP="00E01E6E">
            <w:pPr>
              <w:pStyle w:val="Prrafodelista"/>
              <w:numPr>
                <w:ilvl w:val="0"/>
                <w:numId w:val="4"/>
              </w:numPr>
              <w:ind w:left="342" w:hanging="270"/>
              <w:jc w:val="both"/>
              <w:rPr>
                <w:rFonts w:ascii="Times New Roman" w:hAnsi="Times New Roman"/>
                <w:sz w:val="24"/>
                <w:szCs w:val="24"/>
                <w:lang w:val="es-419"/>
              </w:rPr>
            </w:pPr>
            <w:r w:rsidRPr="00427B0D">
              <w:rPr>
                <w:rFonts w:ascii="Times New Roman" w:hAnsi="Times New Roman"/>
                <w:sz w:val="24"/>
                <w:szCs w:val="24"/>
                <w:lang w:val="es-419"/>
              </w:rPr>
              <w:t>Cuestiones relacionadas con la operacionalización de cláusulas/normas de Salud y seguridad ocupacional (SSO)</w:t>
            </w:r>
          </w:p>
        </w:tc>
      </w:tr>
      <w:tr w:rsidR="00444D49" w:rsidRPr="00427B0D" w:rsidTr="00EC2772">
        <w:tc>
          <w:tcPr>
            <w:tcW w:w="1242" w:type="dxa"/>
          </w:tcPr>
          <w:p w:rsidR="00444D49" w:rsidRPr="00427B0D" w:rsidRDefault="00444D49" w:rsidP="00444D49">
            <w:pPr>
              <w:rPr>
                <w:rFonts w:ascii="Times New Roman" w:hAnsi="Times New Roman" w:cs="Times New Roman"/>
                <w:sz w:val="24"/>
                <w:szCs w:val="24"/>
                <w:lang w:val="es-419"/>
              </w:rPr>
            </w:pPr>
            <w:r w:rsidRPr="00427B0D">
              <w:rPr>
                <w:rFonts w:ascii="Times New Roman" w:hAnsi="Times New Roman" w:cs="Times New Roman"/>
                <w:sz w:val="24"/>
                <w:szCs w:val="24"/>
                <w:lang w:val="es-419"/>
              </w:rPr>
              <w:t>NAS3</w:t>
            </w:r>
          </w:p>
        </w:tc>
        <w:tc>
          <w:tcPr>
            <w:tcW w:w="1903" w:type="dxa"/>
          </w:tcPr>
          <w:p w:rsidR="00444D49" w:rsidRPr="00427B0D" w:rsidRDefault="00444D49" w:rsidP="00444D49">
            <w:pPr>
              <w:rPr>
                <w:rFonts w:ascii="Times New Roman" w:hAnsi="Times New Roman" w:cs="Times New Roman"/>
                <w:sz w:val="24"/>
                <w:szCs w:val="24"/>
                <w:lang w:val="es-419"/>
              </w:rPr>
            </w:pPr>
            <w:r w:rsidRPr="00427B0D">
              <w:rPr>
                <w:rFonts w:ascii="Times New Roman" w:hAnsi="Times New Roman" w:cs="Times New Roman"/>
                <w:sz w:val="24"/>
                <w:szCs w:val="24"/>
                <w:lang w:val="es-419"/>
              </w:rPr>
              <w:t>Cambio climático y emisiones de GEI</w:t>
            </w:r>
          </w:p>
        </w:tc>
        <w:tc>
          <w:tcPr>
            <w:tcW w:w="7650" w:type="dxa"/>
          </w:tcPr>
          <w:p w:rsidR="00444D49" w:rsidRPr="00427B0D" w:rsidRDefault="006E5E73" w:rsidP="006E5E73">
            <w:pPr>
              <w:pStyle w:val="Prrafodelista"/>
              <w:numPr>
                <w:ilvl w:val="0"/>
                <w:numId w:val="6"/>
              </w:numPr>
              <w:ind w:left="342" w:hanging="270"/>
              <w:jc w:val="both"/>
              <w:rPr>
                <w:rFonts w:ascii="Times New Roman" w:hAnsi="Times New Roman"/>
                <w:sz w:val="24"/>
                <w:szCs w:val="24"/>
                <w:lang w:val="es-419"/>
              </w:rPr>
            </w:pPr>
            <w:r w:rsidRPr="00427B0D">
              <w:rPr>
                <w:rFonts w:ascii="Times New Roman" w:hAnsi="Times New Roman"/>
                <w:sz w:val="24"/>
                <w:szCs w:val="24"/>
                <w:lang w:val="es-419"/>
              </w:rPr>
              <w:t>La relación entre las cláusulas sobre cambio climático en el MAS y compromisos más amplios con el cambio climático, en especial, la Convención Marco de las Naciones Unidas sobre Cambio Climático (UNFCCC)</w:t>
            </w:r>
          </w:p>
          <w:p w:rsidR="00BA733C" w:rsidRPr="00427B0D" w:rsidRDefault="00A97FC4" w:rsidP="00BA733C">
            <w:pPr>
              <w:pStyle w:val="Prrafodelista"/>
              <w:numPr>
                <w:ilvl w:val="0"/>
                <w:numId w:val="6"/>
              </w:numPr>
              <w:ind w:left="342" w:hanging="270"/>
              <w:jc w:val="both"/>
              <w:rPr>
                <w:rFonts w:ascii="Times New Roman" w:hAnsi="Times New Roman"/>
                <w:sz w:val="24"/>
                <w:szCs w:val="24"/>
                <w:lang w:val="es-419"/>
              </w:rPr>
            </w:pPr>
            <w:r w:rsidRPr="00427B0D">
              <w:rPr>
                <w:rFonts w:ascii="Times New Roman" w:hAnsi="Times New Roman"/>
                <w:sz w:val="24"/>
                <w:szCs w:val="24"/>
                <w:lang w:val="es-419"/>
              </w:rPr>
              <w:t>Estrategias propuestas para medir y monitorear las emisiones de gases de efecto invernadero (GEI) en proyectos del Banco y sus implicancias, de conformidad con la norma propuesta, lo que incluye determinar el alcance, el umbral, la duración, la frecuencia y la viabilidad económica y financiera de tal estimación y monitoreo</w:t>
            </w:r>
          </w:p>
          <w:p w:rsidR="0035406A" w:rsidRPr="00427B0D" w:rsidRDefault="00641839" w:rsidP="006A6B8C">
            <w:pPr>
              <w:pStyle w:val="Prrafodelista"/>
              <w:numPr>
                <w:ilvl w:val="0"/>
                <w:numId w:val="6"/>
              </w:numPr>
              <w:ind w:left="342" w:hanging="270"/>
              <w:jc w:val="both"/>
              <w:rPr>
                <w:rFonts w:ascii="Times New Roman" w:hAnsi="Times New Roman"/>
                <w:sz w:val="24"/>
                <w:szCs w:val="24"/>
                <w:lang w:val="es-419"/>
              </w:rPr>
            </w:pPr>
            <w:r w:rsidRPr="00427B0D">
              <w:rPr>
                <w:rFonts w:ascii="Times New Roman" w:hAnsi="Times New Roman"/>
                <w:sz w:val="24"/>
                <w:szCs w:val="24"/>
                <w:lang w:val="es-419"/>
              </w:rPr>
              <w:t>Implicancias de la estimación y reducción de emisiones de GEI requeridas para el Prestatario para proyectos del Banco, de conformidad con la norma propuesta</w:t>
            </w:r>
          </w:p>
        </w:tc>
      </w:tr>
      <w:tr w:rsidR="00444D49" w:rsidRPr="00427B0D" w:rsidTr="00EC2772">
        <w:tc>
          <w:tcPr>
            <w:tcW w:w="1242" w:type="dxa"/>
          </w:tcPr>
          <w:p w:rsidR="00444D49" w:rsidRPr="00427B0D" w:rsidRDefault="00444D49" w:rsidP="00444D49">
            <w:pPr>
              <w:rPr>
                <w:rFonts w:ascii="Times New Roman" w:hAnsi="Times New Roman" w:cs="Times New Roman"/>
                <w:sz w:val="24"/>
                <w:szCs w:val="24"/>
                <w:lang w:val="es-419"/>
              </w:rPr>
            </w:pPr>
            <w:r w:rsidRPr="00427B0D">
              <w:rPr>
                <w:rFonts w:ascii="Times New Roman" w:hAnsi="Times New Roman" w:cs="Times New Roman"/>
                <w:sz w:val="24"/>
                <w:szCs w:val="24"/>
                <w:lang w:val="es-419"/>
              </w:rPr>
              <w:t>NAS5</w:t>
            </w:r>
          </w:p>
        </w:tc>
        <w:tc>
          <w:tcPr>
            <w:tcW w:w="1903" w:type="dxa"/>
          </w:tcPr>
          <w:p w:rsidR="00444D49" w:rsidRPr="00427B0D" w:rsidRDefault="00444D49" w:rsidP="00444D49">
            <w:pPr>
              <w:rPr>
                <w:rFonts w:ascii="Times New Roman" w:hAnsi="Times New Roman" w:cs="Times New Roman"/>
                <w:sz w:val="24"/>
                <w:szCs w:val="24"/>
                <w:lang w:val="es-419"/>
              </w:rPr>
            </w:pPr>
            <w:r w:rsidRPr="00427B0D">
              <w:rPr>
                <w:rFonts w:ascii="Times New Roman" w:hAnsi="Times New Roman" w:cs="Times New Roman"/>
                <w:sz w:val="24"/>
                <w:szCs w:val="24"/>
                <w:lang w:val="es-419"/>
              </w:rPr>
              <w:t>Adquisición de tierras y migración involuntaria</w:t>
            </w:r>
          </w:p>
        </w:tc>
        <w:tc>
          <w:tcPr>
            <w:tcW w:w="7650" w:type="dxa"/>
          </w:tcPr>
          <w:p w:rsidR="00D46F6F" w:rsidRPr="00427B0D" w:rsidRDefault="00D46F6F" w:rsidP="006E5E73">
            <w:pPr>
              <w:pStyle w:val="Prrafodelista"/>
              <w:numPr>
                <w:ilvl w:val="0"/>
                <w:numId w:val="5"/>
              </w:numPr>
              <w:ind w:left="342" w:hanging="270"/>
              <w:jc w:val="both"/>
              <w:rPr>
                <w:rFonts w:ascii="Times New Roman" w:hAnsi="Times New Roman"/>
                <w:sz w:val="24"/>
                <w:szCs w:val="24"/>
                <w:lang w:val="es-419"/>
              </w:rPr>
            </w:pPr>
            <w:r w:rsidRPr="00427B0D">
              <w:rPr>
                <w:rFonts w:ascii="Times New Roman" w:hAnsi="Times New Roman"/>
                <w:sz w:val="24"/>
                <w:szCs w:val="24"/>
                <w:lang w:val="es-419"/>
              </w:rPr>
              <w:t xml:space="preserve">Tratamiento y derechos de ocupantes informales y estrategia para los desalojos forzados en situaciones no relacionadas con la adquisición de tierras </w:t>
            </w:r>
          </w:p>
          <w:p w:rsidR="00444D49" w:rsidRPr="00427B0D" w:rsidRDefault="00394CA5" w:rsidP="006E5E73">
            <w:pPr>
              <w:pStyle w:val="Prrafodelista"/>
              <w:numPr>
                <w:ilvl w:val="0"/>
                <w:numId w:val="5"/>
              </w:numPr>
              <w:ind w:left="342" w:hanging="270"/>
              <w:jc w:val="both"/>
              <w:rPr>
                <w:rFonts w:ascii="Times New Roman" w:hAnsi="Times New Roman"/>
                <w:sz w:val="24"/>
                <w:szCs w:val="24"/>
                <w:lang w:val="es-419"/>
              </w:rPr>
            </w:pPr>
            <w:r w:rsidRPr="00427B0D">
              <w:rPr>
                <w:rFonts w:ascii="Times New Roman" w:hAnsi="Times New Roman"/>
                <w:sz w:val="24"/>
                <w:szCs w:val="24"/>
                <w:lang w:val="es-419"/>
              </w:rPr>
              <w:t xml:space="preserve">Interpretación del concepto de migración como «oportunidad de desarrollo» en diferentes circunstancias del proyecto </w:t>
            </w:r>
          </w:p>
        </w:tc>
      </w:tr>
      <w:tr w:rsidR="00444D49" w:rsidRPr="00427B0D" w:rsidTr="00EC2772">
        <w:tc>
          <w:tcPr>
            <w:tcW w:w="1242" w:type="dxa"/>
          </w:tcPr>
          <w:p w:rsidR="00444D49" w:rsidRPr="00427B0D" w:rsidRDefault="00444D49" w:rsidP="00444D49">
            <w:pPr>
              <w:rPr>
                <w:rFonts w:ascii="Times New Roman" w:hAnsi="Times New Roman" w:cs="Times New Roman"/>
                <w:sz w:val="24"/>
                <w:szCs w:val="24"/>
                <w:lang w:val="es-419"/>
              </w:rPr>
            </w:pPr>
            <w:r w:rsidRPr="00427B0D">
              <w:rPr>
                <w:rFonts w:ascii="Times New Roman" w:hAnsi="Times New Roman" w:cs="Times New Roman"/>
                <w:sz w:val="24"/>
                <w:szCs w:val="24"/>
                <w:lang w:val="es-419"/>
              </w:rPr>
              <w:t>NAS6</w:t>
            </w:r>
          </w:p>
        </w:tc>
        <w:tc>
          <w:tcPr>
            <w:tcW w:w="1903" w:type="dxa"/>
          </w:tcPr>
          <w:p w:rsidR="00444D49" w:rsidRPr="00427B0D" w:rsidRDefault="00444D49" w:rsidP="00444D49">
            <w:pPr>
              <w:rPr>
                <w:rFonts w:ascii="Times New Roman" w:hAnsi="Times New Roman" w:cs="Times New Roman"/>
                <w:sz w:val="24"/>
                <w:szCs w:val="24"/>
                <w:lang w:val="es-419"/>
              </w:rPr>
            </w:pPr>
            <w:r w:rsidRPr="00427B0D">
              <w:rPr>
                <w:rFonts w:ascii="Times New Roman" w:hAnsi="Times New Roman" w:cs="Times New Roman"/>
                <w:sz w:val="24"/>
                <w:szCs w:val="24"/>
                <w:lang w:val="es-419"/>
              </w:rPr>
              <w:t>Biodiversidad</w:t>
            </w:r>
          </w:p>
        </w:tc>
        <w:tc>
          <w:tcPr>
            <w:tcW w:w="7650" w:type="dxa"/>
          </w:tcPr>
          <w:p w:rsidR="00444D49" w:rsidRPr="00427B0D" w:rsidRDefault="006E5E73" w:rsidP="006E5E73">
            <w:pPr>
              <w:pStyle w:val="Prrafodelista"/>
              <w:numPr>
                <w:ilvl w:val="0"/>
                <w:numId w:val="6"/>
              </w:numPr>
              <w:ind w:left="342" w:hanging="270"/>
              <w:jc w:val="both"/>
              <w:rPr>
                <w:rFonts w:ascii="Times New Roman" w:hAnsi="Times New Roman"/>
                <w:sz w:val="24"/>
                <w:szCs w:val="24"/>
                <w:lang w:val="es-419"/>
              </w:rPr>
            </w:pPr>
            <w:r w:rsidRPr="00427B0D">
              <w:rPr>
                <w:rFonts w:ascii="Times New Roman" w:hAnsi="Times New Roman"/>
                <w:sz w:val="24"/>
                <w:szCs w:val="24"/>
                <w:lang w:val="es-419"/>
              </w:rPr>
              <w:t>Operacionalización de las cláusulas sobre proveedores primarios y servicios de ecosistemas, en especial, en situaciones de baja capacidad</w:t>
            </w:r>
          </w:p>
          <w:p w:rsidR="008B6107" w:rsidRPr="00427B0D" w:rsidRDefault="00A97FC4" w:rsidP="00BE4181">
            <w:pPr>
              <w:pStyle w:val="Prrafodelista"/>
              <w:numPr>
                <w:ilvl w:val="0"/>
                <w:numId w:val="6"/>
              </w:numPr>
              <w:ind w:left="342" w:hanging="270"/>
              <w:jc w:val="both"/>
              <w:rPr>
                <w:rFonts w:ascii="Times New Roman" w:hAnsi="Times New Roman"/>
                <w:sz w:val="24"/>
                <w:szCs w:val="24"/>
                <w:lang w:val="es-419"/>
              </w:rPr>
            </w:pPr>
            <w:r w:rsidRPr="00427B0D">
              <w:rPr>
                <w:rFonts w:ascii="Times New Roman" w:hAnsi="Times New Roman"/>
                <w:sz w:val="24"/>
                <w:szCs w:val="24"/>
                <w:lang w:val="es-419"/>
              </w:rPr>
              <w:t>Rol de las leyes nacionales con respecto a la protección y conservación de hábitats naturales y críticos</w:t>
            </w:r>
          </w:p>
          <w:p w:rsidR="000A17BB" w:rsidRPr="00427B0D" w:rsidRDefault="000A17BB" w:rsidP="000A17BB">
            <w:pPr>
              <w:pStyle w:val="Prrafodelista"/>
              <w:numPr>
                <w:ilvl w:val="0"/>
                <w:numId w:val="6"/>
              </w:numPr>
              <w:ind w:left="342" w:hanging="270"/>
              <w:jc w:val="both"/>
              <w:rPr>
                <w:rFonts w:ascii="Times New Roman" w:hAnsi="Times New Roman"/>
                <w:sz w:val="24"/>
                <w:szCs w:val="24"/>
                <w:lang w:val="es-419"/>
              </w:rPr>
            </w:pPr>
            <w:r w:rsidRPr="00427B0D">
              <w:rPr>
                <w:rFonts w:ascii="Times New Roman" w:hAnsi="Times New Roman"/>
                <w:sz w:val="24"/>
                <w:szCs w:val="24"/>
                <w:lang w:val="es-419"/>
              </w:rPr>
              <w:t xml:space="preserve">Criterios para compensaciones de biodiversidad, incluida la </w:t>
            </w:r>
            <w:r w:rsidRPr="00427B0D">
              <w:rPr>
                <w:rFonts w:ascii="Times New Roman" w:hAnsi="Times New Roman"/>
                <w:sz w:val="24"/>
                <w:szCs w:val="24"/>
                <w:lang w:val="es-419"/>
              </w:rPr>
              <w:lastRenderedPageBreak/>
              <w:t xml:space="preserve">consideración de beneficios del proyecto </w:t>
            </w:r>
          </w:p>
          <w:p w:rsidR="00C07EA5" w:rsidRPr="00427B0D" w:rsidRDefault="006D0315" w:rsidP="00105808">
            <w:pPr>
              <w:pStyle w:val="Prrafodelista"/>
              <w:numPr>
                <w:ilvl w:val="0"/>
                <w:numId w:val="6"/>
              </w:numPr>
              <w:ind w:left="342" w:hanging="270"/>
              <w:jc w:val="both"/>
              <w:rPr>
                <w:rFonts w:ascii="Times New Roman" w:hAnsi="Times New Roman"/>
                <w:sz w:val="24"/>
                <w:szCs w:val="24"/>
                <w:lang w:val="es-419"/>
              </w:rPr>
            </w:pPr>
            <w:r w:rsidRPr="00427B0D">
              <w:rPr>
                <w:rFonts w:ascii="Times New Roman" w:hAnsi="Times New Roman"/>
                <w:sz w:val="24"/>
                <w:szCs w:val="24"/>
                <w:lang w:val="es-419"/>
              </w:rPr>
              <w:t>Definición y aplicación de ganancias netas para la biodiversidad</w:t>
            </w:r>
          </w:p>
        </w:tc>
      </w:tr>
      <w:tr w:rsidR="00444D49" w:rsidRPr="00427B0D" w:rsidTr="00EC2772">
        <w:tc>
          <w:tcPr>
            <w:tcW w:w="1242" w:type="dxa"/>
          </w:tcPr>
          <w:p w:rsidR="00444D49" w:rsidRPr="00427B0D" w:rsidRDefault="00444D49" w:rsidP="00444D49">
            <w:pPr>
              <w:rPr>
                <w:rFonts w:ascii="Times New Roman" w:hAnsi="Times New Roman" w:cs="Times New Roman"/>
                <w:color w:val="000000"/>
                <w:sz w:val="24"/>
                <w:szCs w:val="24"/>
                <w:lang w:val="es-419"/>
              </w:rPr>
            </w:pPr>
            <w:r w:rsidRPr="00427B0D">
              <w:rPr>
                <w:rFonts w:ascii="Times New Roman" w:hAnsi="Times New Roman" w:cs="Times New Roman"/>
                <w:color w:val="000000"/>
                <w:sz w:val="24"/>
                <w:szCs w:val="24"/>
                <w:lang w:val="es-419"/>
              </w:rPr>
              <w:lastRenderedPageBreak/>
              <w:t>NAS7</w:t>
            </w:r>
          </w:p>
        </w:tc>
        <w:tc>
          <w:tcPr>
            <w:tcW w:w="1903" w:type="dxa"/>
          </w:tcPr>
          <w:p w:rsidR="00444D49" w:rsidRPr="00427B0D" w:rsidRDefault="00444D49" w:rsidP="00444D49">
            <w:pPr>
              <w:rPr>
                <w:rFonts w:ascii="Times New Roman" w:hAnsi="Times New Roman" w:cs="Times New Roman"/>
                <w:sz w:val="24"/>
                <w:szCs w:val="24"/>
                <w:lang w:val="es-419"/>
              </w:rPr>
            </w:pPr>
            <w:r w:rsidRPr="00427B0D">
              <w:rPr>
                <w:rFonts w:ascii="Times New Roman" w:hAnsi="Times New Roman" w:cs="Times New Roman"/>
                <w:color w:val="000000"/>
                <w:sz w:val="24"/>
                <w:szCs w:val="24"/>
                <w:lang w:val="es-419"/>
              </w:rPr>
              <w:t>Pueblos indígenas</w:t>
            </w:r>
          </w:p>
        </w:tc>
        <w:tc>
          <w:tcPr>
            <w:tcW w:w="7650" w:type="dxa"/>
          </w:tcPr>
          <w:p w:rsidR="00444D49" w:rsidRPr="00427B0D" w:rsidRDefault="00DF3346" w:rsidP="00DF3346">
            <w:pPr>
              <w:pStyle w:val="Prrafodelista"/>
              <w:numPr>
                <w:ilvl w:val="0"/>
                <w:numId w:val="3"/>
              </w:numPr>
              <w:ind w:left="342" w:hanging="270"/>
              <w:jc w:val="both"/>
              <w:rPr>
                <w:rFonts w:ascii="Times New Roman" w:hAnsi="Times New Roman"/>
                <w:sz w:val="24"/>
                <w:szCs w:val="24"/>
                <w:lang w:val="es-419"/>
              </w:rPr>
            </w:pPr>
            <w:r w:rsidRPr="00427B0D">
              <w:rPr>
                <w:rFonts w:ascii="Times New Roman" w:hAnsi="Times New Roman"/>
                <w:color w:val="000000"/>
                <w:sz w:val="24"/>
                <w:szCs w:val="24"/>
                <w:lang w:val="es-419"/>
              </w:rPr>
              <w:t xml:space="preserve">Implementación de la norma de Pueblos indígenas </w:t>
            </w:r>
            <w:r w:rsidRPr="00427B0D">
              <w:rPr>
                <w:rFonts w:asciiTheme="majorBidi" w:hAnsiTheme="majorBidi"/>
                <w:color w:val="000000"/>
                <w:sz w:val="24"/>
                <w:szCs w:val="24"/>
                <w:lang w:val="es-419"/>
              </w:rPr>
              <w:t xml:space="preserve">en </w:t>
            </w:r>
            <w:r w:rsidRPr="00427B0D">
              <w:rPr>
                <w:rFonts w:asciiTheme="majorBidi" w:hAnsiTheme="majorBidi"/>
                <w:sz w:val="24"/>
                <w:szCs w:val="24"/>
                <w:lang w:val="es-419"/>
              </w:rPr>
              <w:t>contextos políticos y culturales complejos</w:t>
            </w:r>
          </w:p>
          <w:p w:rsidR="00AA5EEE" w:rsidRPr="00427B0D" w:rsidRDefault="00AA5EEE" w:rsidP="00DF3346">
            <w:pPr>
              <w:pStyle w:val="Prrafodelista"/>
              <w:numPr>
                <w:ilvl w:val="0"/>
                <w:numId w:val="3"/>
              </w:numPr>
              <w:ind w:left="342" w:hanging="270"/>
              <w:jc w:val="both"/>
              <w:rPr>
                <w:rFonts w:ascii="Times New Roman" w:hAnsi="Times New Roman"/>
                <w:sz w:val="24"/>
                <w:szCs w:val="24"/>
                <w:lang w:val="es-419"/>
              </w:rPr>
            </w:pPr>
            <w:r w:rsidRPr="00427B0D">
              <w:rPr>
                <w:rFonts w:ascii="Times New Roman" w:hAnsi="Times New Roman"/>
                <w:sz w:val="24"/>
                <w:szCs w:val="24"/>
                <w:lang w:val="es-419"/>
              </w:rPr>
              <w:t xml:space="preserve">Implementación de la NAS7 en países en los que la constitución no reconoce a los Pueblos indígenas o solo reconoce ciertos grupos como indígenas </w:t>
            </w:r>
          </w:p>
          <w:p w:rsidR="00CA30E3" w:rsidRPr="00427B0D" w:rsidRDefault="007815E1" w:rsidP="00217107">
            <w:pPr>
              <w:pStyle w:val="Prrafodelista"/>
              <w:numPr>
                <w:ilvl w:val="0"/>
                <w:numId w:val="3"/>
              </w:numPr>
              <w:ind w:left="342" w:hanging="270"/>
              <w:jc w:val="both"/>
              <w:rPr>
                <w:rFonts w:ascii="Times New Roman" w:hAnsi="Times New Roman"/>
                <w:sz w:val="24"/>
                <w:szCs w:val="24"/>
                <w:lang w:val="es-419"/>
              </w:rPr>
            </w:pPr>
            <w:r w:rsidRPr="00427B0D">
              <w:rPr>
                <w:rFonts w:asciiTheme="majorBidi" w:hAnsiTheme="majorBidi" w:cstheme="majorBidi"/>
                <w:sz w:val="24"/>
                <w:szCs w:val="24"/>
                <w:lang w:val="es-419"/>
              </w:rPr>
              <w:t>Posibles estrategias para reflejar terminologías alternativas usadas en diferentes países para describir Pueblos indígenas</w:t>
            </w:r>
          </w:p>
          <w:p w:rsidR="005F7AF0" w:rsidRPr="00427B0D" w:rsidRDefault="00A97FC4" w:rsidP="000F4D29">
            <w:pPr>
              <w:pStyle w:val="Prrafodelista"/>
              <w:numPr>
                <w:ilvl w:val="0"/>
                <w:numId w:val="3"/>
              </w:numPr>
              <w:ind w:left="342" w:hanging="270"/>
              <w:jc w:val="both"/>
              <w:rPr>
                <w:rFonts w:ascii="Times New Roman" w:hAnsi="Times New Roman"/>
                <w:sz w:val="24"/>
                <w:szCs w:val="24"/>
                <w:lang w:val="es-419"/>
              </w:rPr>
            </w:pPr>
            <w:r w:rsidRPr="00427B0D">
              <w:rPr>
                <w:rFonts w:ascii="Times New Roman" w:hAnsi="Times New Roman"/>
                <w:color w:val="000000"/>
                <w:sz w:val="24"/>
                <w:szCs w:val="24"/>
                <w:lang w:val="es-419"/>
              </w:rPr>
              <w:t xml:space="preserve">Circunstancias (p. ej. criterios y puntualidad) en las que se puede considerar una renuncia y la información que se le brindará a la Junta para que esta respalde su decisión </w:t>
            </w:r>
          </w:p>
          <w:p w:rsidR="00444D49" w:rsidRPr="00427B0D" w:rsidRDefault="00143AFC" w:rsidP="00641839">
            <w:pPr>
              <w:pStyle w:val="Prrafodelista"/>
              <w:numPr>
                <w:ilvl w:val="0"/>
                <w:numId w:val="3"/>
              </w:numPr>
              <w:ind w:left="342" w:hanging="270"/>
              <w:jc w:val="both"/>
              <w:rPr>
                <w:rFonts w:ascii="Times New Roman" w:hAnsi="Times New Roman"/>
                <w:sz w:val="24"/>
                <w:szCs w:val="24"/>
                <w:lang w:val="es-419"/>
              </w:rPr>
            </w:pPr>
            <w:r w:rsidRPr="00427B0D">
              <w:rPr>
                <w:rFonts w:ascii="Times New Roman" w:hAnsi="Times New Roman"/>
                <w:color w:val="000000"/>
                <w:sz w:val="24"/>
                <w:szCs w:val="24"/>
                <w:lang w:val="es-419"/>
              </w:rPr>
              <w:t>Criterios para establecer e implementar el Consentimiento libre, previo e informado (CLPI)</w:t>
            </w:r>
          </w:p>
          <w:p w:rsidR="00DE3335" w:rsidRPr="00427B0D" w:rsidRDefault="00217107" w:rsidP="00DE3335">
            <w:pPr>
              <w:pStyle w:val="Prrafodelista"/>
              <w:numPr>
                <w:ilvl w:val="0"/>
                <w:numId w:val="3"/>
              </w:numPr>
              <w:ind w:left="342" w:hanging="270"/>
              <w:jc w:val="both"/>
              <w:rPr>
                <w:rFonts w:ascii="Times New Roman" w:hAnsi="Times New Roman"/>
                <w:sz w:val="24"/>
                <w:szCs w:val="24"/>
                <w:lang w:val="es-419"/>
              </w:rPr>
            </w:pPr>
            <w:r w:rsidRPr="00427B0D">
              <w:rPr>
                <w:rFonts w:ascii="Times New Roman" w:hAnsi="Times New Roman"/>
                <w:sz w:val="24"/>
                <w:szCs w:val="24"/>
                <w:lang w:val="es-419"/>
              </w:rPr>
              <w:t>Comparación del CLPI propuesto con requisitos existentes de las consultas</w:t>
            </w:r>
          </w:p>
          <w:p w:rsidR="00666455" w:rsidRPr="00427B0D" w:rsidRDefault="00666455" w:rsidP="00DE3335">
            <w:pPr>
              <w:pStyle w:val="Prrafodelista"/>
              <w:numPr>
                <w:ilvl w:val="0"/>
                <w:numId w:val="3"/>
              </w:numPr>
              <w:ind w:left="342" w:hanging="270"/>
              <w:jc w:val="both"/>
              <w:rPr>
                <w:rFonts w:ascii="Times New Roman" w:hAnsi="Times New Roman"/>
                <w:sz w:val="24"/>
                <w:szCs w:val="24"/>
                <w:lang w:val="es-419"/>
              </w:rPr>
            </w:pPr>
            <w:r w:rsidRPr="00427B0D">
              <w:rPr>
                <w:rFonts w:ascii="Times New Roman" w:hAnsi="Times New Roman"/>
                <w:color w:val="000000"/>
                <w:sz w:val="24"/>
                <w:szCs w:val="24"/>
                <w:lang w:val="es-419"/>
              </w:rPr>
              <w:t>Aplicación del CLPI a impactos en el patrimonio cultural de los Pueblos indígenas</w:t>
            </w:r>
          </w:p>
        </w:tc>
      </w:tr>
      <w:tr w:rsidR="00444D49" w:rsidRPr="00427B0D" w:rsidTr="00EC2772">
        <w:tc>
          <w:tcPr>
            <w:tcW w:w="1242" w:type="dxa"/>
          </w:tcPr>
          <w:p w:rsidR="00444D49" w:rsidRPr="00427B0D" w:rsidRDefault="00444D49" w:rsidP="00444D49">
            <w:pPr>
              <w:rPr>
                <w:rFonts w:ascii="Times New Roman" w:hAnsi="Times New Roman" w:cs="Times New Roman"/>
                <w:sz w:val="24"/>
                <w:szCs w:val="24"/>
                <w:lang w:val="es-419"/>
              </w:rPr>
            </w:pPr>
            <w:r w:rsidRPr="00427B0D">
              <w:rPr>
                <w:rFonts w:ascii="Times New Roman" w:hAnsi="Times New Roman" w:cs="Times New Roman"/>
                <w:sz w:val="24"/>
                <w:szCs w:val="24"/>
                <w:lang w:val="es-419"/>
              </w:rPr>
              <w:t>NAS8</w:t>
            </w:r>
          </w:p>
        </w:tc>
        <w:tc>
          <w:tcPr>
            <w:tcW w:w="1903" w:type="dxa"/>
          </w:tcPr>
          <w:p w:rsidR="00444D49" w:rsidRPr="00427B0D" w:rsidRDefault="00444D49" w:rsidP="00444D49">
            <w:pPr>
              <w:rPr>
                <w:rFonts w:ascii="Times New Roman" w:hAnsi="Times New Roman" w:cs="Times New Roman"/>
                <w:sz w:val="24"/>
                <w:szCs w:val="24"/>
                <w:lang w:val="es-419"/>
              </w:rPr>
            </w:pPr>
            <w:r w:rsidRPr="00427B0D">
              <w:rPr>
                <w:rFonts w:ascii="Times New Roman" w:hAnsi="Times New Roman" w:cs="Times New Roman"/>
                <w:sz w:val="24"/>
                <w:szCs w:val="24"/>
                <w:lang w:val="es-419"/>
              </w:rPr>
              <w:t>Patrimonio cultural</w:t>
            </w:r>
          </w:p>
        </w:tc>
        <w:tc>
          <w:tcPr>
            <w:tcW w:w="7650" w:type="dxa"/>
          </w:tcPr>
          <w:p w:rsidR="00E34E6A" w:rsidRPr="00427B0D" w:rsidRDefault="006E5E73" w:rsidP="003E4EC3">
            <w:pPr>
              <w:pStyle w:val="Prrafodelista"/>
              <w:numPr>
                <w:ilvl w:val="0"/>
                <w:numId w:val="9"/>
              </w:numPr>
              <w:ind w:left="342" w:hanging="270"/>
              <w:jc w:val="both"/>
              <w:rPr>
                <w:rFonts w:ascii="Times New Roman" w:hAnsi="Times New Roman"/>
                <w:sz w:val="24"/>
                <w:szCs w:val="24"/>
                <w:lang w:val="es-419"/>
              </w:rPr>
            </w:pPr>
            <w:r w:rsidRPr="00427B0D">
              <w:rPr>
                <w:rFonts w:ascii="Times New Roman" w:hAnsi="Times New Roman"/>
                <w:sz w:val="24"/>
                <w:szCs w:val="24"/>
                <w:lang w:val="es-419"/>
              </w:rPr>
              <w:t xml:space="preserve">Tratamiento del patrimonio cultural intangible </w:t>
            </w:r>
          </w:p>
          <w:p w:rsidR="00C232FC" w:rsidRPr="00427B0D" w:rsidRDefault="009A1E16" w:rsidP="002513D5">
            <w:pPr>
              <w:pStyle w:val="Prrafodelista"/>
              <w:numPr>
                <w:ilvl w:val="0"/>
                <w:numId w:val="9"/>
              </w:numPr>
              <w:ind w:left="342" w:hanging="270"/>
              <w:jc w:val="both"/>
              <w:rPr>
                <w:rFonts w:ascii="Times New Roman" w:hAnsi="Times New Roman"/>
                <w:sz w:val="24"/>
                <w:szCs w:val="24"/>
                <w:lang w:val="es-419"/>
              </w:rPr>
            </w:pPr>
            <w:r w:rsidRPr="00427B0D">
              <w:rPr>
                <w:rFonts w:ascii="Times New Roman" w:hAnsi="Times New Roman"/>
                <w:sz w:val="24"/>
                <w:szCs w:val="24"/>
                <w:lang w:val="es-419"/>
              </w:rPr>
              <w:t>Aplicación del patrimonio cultural intangible cuando el proyecto tenga la intención de comercializar tal patrimonio</w:t>
            </w:r>
          </w:p>
          <w:p w:rsidR="00E34E6A" w:rsidRPr="00427B0D" w:rsidRDefault="00E81112" w:rsidP="00E34E6A">
            <w:pPr>
              <w:pStyle w:val="Prrafodelista"/>
              <w:numPr>
                <w:ilvl w:val="0"/>
                <w:numId w:val="9"/>
              </w:numPr>
              <w:ind w:left="342" w:hanging="270"/>
              <w:jc w:val="both"/>
              <w:rPr>
                <w:rFonts w:ascii="Times New Roman" w:hAnsi="Times New Roman"/>
                <w:sz w:val="24"/>
                <w:szCs w:val="24"/>
                <w:lang w:val="es-419"/>
              </w:rPr>
            </w:pPr>
            <w:r w:rsidRPr="00427B0D">
              <w:rPr>
                <w:rFonts w:ascii="Times New Roman" w:hAnsi="Times New Roman"/>
                <w:sz w:val="24"/>
                <w:szCs w:val="24"/>
                <w:lang w:val="es-419"/>
              </w:rPr>
              <w:t>Aplicación de requisitos del patrimonio cultural cuando este no haya sido legalmente protegido o previamente identificado o afectado</w:t>
            </w:r>
          </w:p>
        </w:tc>
      </w:tr>
      <w:tr w:rsidR="00444D49" w:rsidRPr="00427B0D" w:rsidTr="00EC2772">
        <w:tc>
          <w:tcPr>
            <w:tcW w:w="1242" w:type="dxa"/>
          </w:tcPr>
          <w:p w:rsidR="00444D49" w:rsidRPr="00427B0D" w:rsidRDefault="00444D49" w:rsidP="00444D49">
            <w:pPr>
              <w:rPr>
                <w:rFonts w:ascii="Times New Roman" w:hAnsi="Times New Roman" w:cs="Times New Roman"/>
                <w:sz w:val="24"/>
                <w:szCs w:val="24"/>
                <w:lang w:val="es-419"/>
              </w:rPr>
            </w:pPr>
            <w:r w:rsidRPr="00427B0D">
              <w:rPr>
                <w:rFonts w:ascii="Times New Roman" w:hAnsi="Times New Roman" w:cs="Times New Roman"/>
                <w:sz w:val="24"/>
                <w:szCs w:val="24"/>
                <w:lang w:val="es-419"/>
              </w:rPr>
              <w:t>NAS9</w:t>
            </w:r>
          </w:p>
        </w:tc>
        <w:tc>
          <w:tcPr>
            <w:tcW w:w="1903" w:type="dxa"/>
          </w:tcPr>
          <w:p w:rsidR="00444D49" w:rsidRPr="00427B0D" w:rsidRDefault="00444D49" w:rsidP="00444D49">
            <w:pPr>
              <w:rPr>
                <w:rFonts w:ascii="Times New Roman" w:hAnsi="Times New Roman" w:cs="Times New Roman"/>
                <w:sz w:val="24"/>
                <w:szCs w:val="24"/>
                <w:lang w:val="es-419"/>
              </w:rPr>
            </w:pPr>
            <w:r w:rsidRPr="00427B0D">
              <w:rPr>
                <w:rFonts w:ascii="Times New Roman" w:hAnsi="Times New Roman" w:cs="Times New Roman"/>
                <w:sz w:val="24"/>
                <w:szCs w:val="24"/>
                <w:lang w:val="es-419"/>
              </w:rPr>
              <w:t>Intermediarios financieros</w:t>
            </w:r>
          </w:p>
        </w:tc>
        <w:tc>
          <w:tcPr>
            <w:tcW w:w="7650" w:type="dxa"/>
          </w:tcPr>
          <w:p w:rsidR="00444D49" w:rsidRPr="00427B0D" w:rsidRDefault="00105808" w:rsidP="002513D5">
            <w:pPr>
              <w:pStyle w:val="Prrafodelista"/>
              <w:numPr>
                <w:ilvl w:val="0"/>
                <w:numId w:val="10"/>
              </w:numPr>
              <w:ind w:left="342" w:hanging="270"/>
              <w:jc w:val="both"/>
              <w:rPr>
                <w:rFonts w:ascii="Times New Roman" w:hAnsi="Times New Roman"/>
                <w:sz w:val="24"/>
                <w:szCs w:val="24"/>
                <w:lang w:val="es-419"/>
              </w:rPr>
            </w:pPr>
            <w:r w:rsidRPr="00427B0D">
              <w:rPr>
                <w:rFonts w:ascii="Times New Roman" w:hAnsi="Times New Roman"/>
                <w:sz w:val="24"/>
                <w:szCs w:val="24"/>
                <w:lang w:val="es-419"/>
              </w:rPr>
              <w:t xml:space="preserve">Aplicación de la norma a los subproyectos de IF e implicancias de los recursos en función de los riesgos </w:t>
            </w:r>
          </w:p>
          <w:p w:rsidR="00444D49" w:rsidRPr="00427B0D" w:rsidRDefault="007D5A1B" w:rsidP="00105808">
            <w:pPr>
              <w:pStyle w:val="Prrafodelista"/>
              <w:numPr>
                <w:ilvl w:val="0"/>
                <w:numId w:val="10"/>
              </w:numPr>
              <w:ind w:left="342" w:hanging="270"/>
              <w:jc w:val="both"/>
              <w:rPr>
                <w:rFonts w:ascii="Times New Roman" w:hAnsi="Times New Roman"/>
                <w:sz w:val="24"/>
                <w:szCs w:val="24"/>
                <w:lang w:val="es-419"/>
              </w:rPr>
            </w:pPr>
            <w:r w:rsidRPr="00427B0D">
              <w:rPr>
                <w:rFonts w:ascii="Times New Roman" w:hAnsi="Times New Roman"/>
                <w:sz w:val="24"/>
                <w:szCs w:val="24"/>
                <w:lang w:val="es-419"/>
              </w:rPr>
              <w:t xml:space="preserve">Armonización de la estrategia con la CFI y los bancos del Ecuador </w:t>
            </w:r>
          </w:p>
        </w:tc>
      </w:tr>
      <w:tr w:rsidR="00444D49" w:rsidRPr="00427B0D" w:rsidTr="00EC2772">
        <w:tc>
          <w:tcPr>
            <w:tcW w:w="1242" w:type="dxa"/>
          </w:tcPr>
          <w:p w:rsidR="00444D49" w:rsidRPr="00427B0D" w:rsidRDefault="00444D49" w:rsidP="00444D49">
            <w:pPr>
              <w:rPr>
                <w:rFonts w:ascii="Times New Roman" w:hAnsi="Times New Roman" w:cs="Times New Roman"/>
                <w:sz w:val="24"/>
                <w:szCs w:val="24"/>
                <w:lang w:val="es-419"/>
              </w:rPr>
            </w:pPr>
            <w:r w:rsidRPr="00427B0D">
              <w:rPr>
                <w:rFonts w:ascii="Times New Roman" w:hAnsi="Times New Roman" w:cs="Times New Roman"/>
                <w:sz w:val="24"/>
                <w:szCs w:val="24"/>
                <w:lang w:val="es-419"/>
              </w:rPr>
              <w:t>NAS10</w:t>
            </w:r>
          </w:p>
        </w:tc>
        <w:tc>
          <w:tcPr>
            <w:tcW w:w="1903" w:type="dxa"/>
          </w:tcPr>
          <w:p w:rsidR="00444D49" w:rsidRPr="00427B0D" w:rsidRDefault="00444D49" w:rsidP="00071BD2">
            <w:pPr>
              <w:rPr>
                <w:rFonts w:ascii="Times New Roman" w:hAnsi="Times New Roman" w:cs="Times New Roman"/>
                <w:sz w:val="24"/>
                <w:szCs w:val="24"/>
                <w:lang w:val="es-419"/>
              </w:rPr>
            </w:pPr>
            <w:r w:rsidRPr="00427B0D">
              <w:rPr>
                <w:rFonts w:ascii="Times New Roman" w:hAnsi="Times New Roman" w:cs="Times New Roman"/>
                <w:sz w:val="24"/>
                <w:szCs w:val="24"/>
                <w:lang w:val="es-419"/>
              </w:rPr>
              <w:t>Participación de las partes interesadas</w:t>
            </w:r>
          </w:p>
        </w:tc>
        <w:tc>
          <w:tcPr>
            <w:tcW w:w="7650" w:type="dxa"/>
          </w:tcPr>
          <w:p w:rsidR="00205480" w:rsidRPr="00427B0D" w:rsidRDefault="00205480" w:rsidP="00205480">
            <w:pPr>
              <w:pStyle w:val="Prrafodelista"/>
              <w:numPr>
                <w:ilvl w:val="0"/>
                <w:numId w:val="8"/>
              </w:numPr>
              <w:ind w:left="342" w:hanging="270"/>
              <w:jc w:val="both"/>
              <w:rPr>
                <w:rFonts w:ascii="Times New Roman" w:hAnsi="Times New Roman"/>
                <w:sz w:val="24"/>
                <w:szCs w:val="24"/>
                <w:lang w:val="es-419"/>
              </w:rPr>
            </w:pPr>
            <w:r w:rsidRPr="00427B0D">
              <w:rPr>
                <w:rFonts w:ascii="Times New Roman" w:hAnsi="Times New Roman"/>
                <w:sz w:val="24"/>
                <w:szCs w:val="24"/>
                <w:lang w:val="es-419"/>
              </w:rPr>
              <w:t>Definición e identificación de partes interesadas en el proyecto y naturaleza de la participación</w:t>
            </w:r>
          </w:p>
          <w:p w:rsidR="00F17728" w:rsidRPr="00427B0D" w:rsidRDefault="00205480" w:rsidP="00677D04">
            <w:pPr>
              <w:pStyle w:val="Prrafodelista"/>
              <w:numPr>
                <w:ilvl w:val="0"/>
                <w:numId w:val="8"/>
              </w:numPr>
              <w:ind w:left="342" w:hanging="270"/>
              <w:jc w:val="both"/>
              <w:rPr>
                <w:rFonts w:ascii="Times New Roman" w:hAnsi="Times New Roman"/>
                <w:sz w:val="24"/>
                <w:szCs w:val="24"/>
                <w:lang w:val="es-419"/>
              </w:rPr>
            </w:pPr>
            <w:r w:rsidRPr="00427B0D">
              <w:rPr>
                <w:rFonts w:ascii="Times New Roman" w:hAnsi="Times New Roman"/>
                <w:sz w:val="24"/>
                <w:szCs w:val="24"/>
                <w:lang w:val="es-419"/>
              </w:rPr>
              <w:t>Rol de los países prestatarios o agencias de implementación en la identificación de partes interesadas del proyecto</w:t>
            </w:r>
          </w:p>
        </w:tc>
      </w:tr>
      <w:tr w:rsidR="00BA6FFD" w:rsidRPr="00427B0D" w:rsidTr="00EC2772">
        <w:tc>
          <w:tcPr>
            <w:tcW w:w="1242" w:type="dxa"/>
            <w:vMerge w:val="restart"/>
          </w:tcPr>
          <w:p w:rsidR="00BA6FFD" w:rsidRPr="00427B0D" w:rsidRDefault="00BA6FFD" w:rsidP="00444D49">
            <w:pPr>
              <w:rPr>
                <w:rFonts w:ascii="Times New Roman" w:hAnsi="Times New Roman" w:cs="Times New Roman"/>
                <w:sz w:val="24"/>
                <w:szCs w:val="24"/>
                <w:lang w:val="es-419"/>
              </w:rPr>
            </w:pPr>
            <w:r w:rsidRPr="00427B0D">
              <w:rPr>
                <w:rFonts w:ascii="Times New Roman" w:hAnsi="Times New Roman" w:cs="Times New Roman"/>
                <w:sz w:val="24"/>
                <w:szCs w:val="24"/>
                <w:lang w:val="es-419"/>
              </w:rPr>
              <w:t>Aspectos generales</w:t>
            </w:r>
          </w:p>
          <w:p w:rsidR="00BA6FFD" w:rsidRPr="00427B0D" w:rsidRDefault="00BA6FFD" w:rsidP="00F019A5">
            <w:pPr>
              <w:rPr>
                <w:rFonts w:ascii="Times New Roman" w:hAnsi="Times New Roman" w:cs="Times New Roman"/>
                <w:sz w:val="24"/>
                <w:szCs w:val="24"/>
                <w:lang w:val="es-419"/>
              </w:rPr>
            </w:pPr>
          </w:p>
        </w:tc>
        <w:tc>
          <w:tcPr>
            <w:tcW w:w="1903" w:type="dxa"/>
          </w:tcPr>
          <w:p w:rsidR="00BA6FFD" w:rsidRPr="00427B0D" w:rsidRDefault="00C232FC" w:rsidP="00C232FC">
            <w:pPr>
              <w:rPr>
                <w:rFonts w:ascii="Times New Roman" w:hAnsi="Times New Roman" w:cs="Times New Roman"/>
                <w:sz w:val="24"/>
                <w:szCs w:val="24"/>
                <w:lang w:val="es-419"/>
              </w:rPr>
            </w:pPr>
            <w:r w:rsidRPr="00427B0D">
              <w:rPr>
                <w:rFonts w:ascii="Times New Roman" w:hAnsi="Times New Roman" w:cs="Times New Roman"/>
                <w:sz w:val="24"/>
                <w:szCs w:val="24"/>
                <w:lang w:val="es-419"/>
              </w:rPr>
              <w:t xml:space="preserve"> PASS y BPII</w:t>
            </w:r>
          </w:p>
        </w:tc>
        <w:tc>
          <w:tcPr>
            <w:tcW w:w="7650" w:type="dxa"/>
          </w:tcPr>
          <w:p w:rsidR="00BA6FFD" w:rsidRPr="00427B0D" w:rsidRDefault="007D5A1B" w:rsidP="00D40038">
            <w:pPr>
              <w:pStyle w:val="Prrafodelista"/>
              <w:numPr>
                <w:ilvl w:val="0"/>
                <w:numId w:val="9"/>
              </w:numPr>
              <w:ind w:left="342" w:hanging="270"/>
              <w:jc w:val="both"/>
              <w:rPr>
                <w:rFonts w:ascii="Times New Roman" w:eastAsiaTheme="minorEastAsia" w:hAnsi="Times New Roman"/>
                <w:sz w:val="24"/>
                <w:szCs w:val="24"/>
                <w:lang w:val="es-419"/>
              </w:rPr>
            </w:pPr>
            <w:r w:rsidRPr="00427B0D">
              <w:rPr>
                <w:rFonts w:ascii="Times New Roman" w:hAnsi="Times New Roman"/>
                <w:sz w:val="24"/>
                <w:szCs w:val="24"/>
                <w:lang w:val="es-419"/>
              </w:rPr>
              <w:t>Aplicación de las Pautas ambientales, de salud y de seguridad (PASS) y de las Buenas prácticas industriales internacionales (BPII), en especial, cuando sean diferentes de las leyes nacionales o cuando el Prestatario tenga limitaciones técnicas o financieras, o en función de las circunstancias específicas del proyecto</w:t>
            </w:r>
          </w:p>
        </w:tc>
      </w:tr>
      <w:tr w:rsidR="00BA6FFD" w:rsidRPr="00427B0D" w:rsidTr="00EC2772">
        <w:tc>
          <w:tcPr>
            <w:tcW w:w="1242" w:type="dxa"/>
            <w:vMerge/>
          </w:tcPr>
          <w:p w:rsidR="00BA6FFD" w:rsidRPr="00427B0D" w:rsidRDefault="00BA6FFD" w:rsidP="00F019A5">
            <w:pPr>
              <w:rPr>
                <w:rFonts w:ascii="Times New Roman" w:hAnsi="Times New Roman" w:cs="Times New Roman"/>
                <w:sz w:val="24"/>
                <w:szCs w:val="24"/>
                <w:lang w:val="es-419"/>
              </w:rPr>
            </w:pPr>
          </w:p>
        </w:tc>
        <w:tc>
          <w:tcPr>
            <w:tcW w:w="1903" w:type="dxa"/>
          </w:tcPr>
          <w:p w:rsidR="00BA6FFD" w:rsidRPr="00427B0D" w:rsidRDefault="002B3D8A" w:rsidP="00D07482">
            <w:pPr>
              <w:rPr>
                <w:rFonts w:ascii="Times New Roman" w:hAnsi="Times New Roman" w:cs="Times New Roman"/>
                <w:sz w:val="24"/>
                <w:szCs w:val="24"/>
                <w:lang w:val="es-419"/>
              </w:rPr>
            </w:pPr>
            <w:r w:rsidRPr="00427B0D">
              <w:rPr>
                <w:rFonts w:ascii="Times New Roman" w:hAnsi="Times New Roman" w:cs="Times New Roman"/>
                <w:sz w:val="24"/>
                <w:szCs w:val="24"/>
                <w:lang w:val="es-419"/>
              </w:rPr>
              <w:t>Viabilidad y recursos para la implementación</w:t>
            </w:r>
          </w:p>
        </w:tc>
        <w:tc>
          <w:tcPr>
            <w:tcW w:w="7650" w:type="dxa"/>
          </w:tcPr>
          <w:p w:rsidR="00BA6FFD" w:rsidRPr="00427B0D" w:rsidRDefault="0077044E" w:rsidP="003E4EC3">
            <w:pPr>
              <w:pStyle w:val="Prrafodelista"/>
              <w:numPr>
                <w:ilvl w:val="0"/>
                <w:numId w:val="9"/>
              </w:numPr>
              <w:ind w:left="342" w:hanging="270"/>
              <w:jc w:val="both"/>
              <w:rPr>
                <w:rFonts w:ascii="Times New Roman" w:eastAsiaTheme="minorEastAsia" w:hAnsi="Times New Roman"/>
                <w:sz w:val="24"/>
                <w:szCs w:val="24"/>
                <w:lang w:val="es-419"/>
              </w:rPr>
            </w:pPr>
            <w:r w:rsidRPr="00427B0D">
              <w:rPr>
                <w:rFonts w:ascii="Times New Roman" w:eastAsiaTheme="minorEastAsia" w:hAnsi="Times New Roman"/>
                <w:sz w:val="24"/>
                <w:szCs w:val="24"/>
                <w:lang w:val="es-419"/>
              </w:rPr>
              <w:t>Implicancias de la implementación y los recursos para los Prestatarios, teniendo en cuenta factores como el alcance ampliado del MAS propuesto (p. ej. norma de mano de obra), diferentes capacidades de los Prestatarios y estrategia de gestión adaptable</w:t>
            </w:r>
          </w:p>
          <w:p w:rsidR="00B92914" w:rsidRPr="00427B0D" w:rsidRDefault="00A97FC4" w:rsidP="00A97FC4">
            <w:pPr>
              <w:pStyle w:val="Prrafodelista"/>
              <w:numPr>
                <w:ilvl w:val="0"/>
                <w:numId w:val="9"/>
              </w:numPr>
              <w:ind w:left="342" w:hanging="270"/>
              <w:jc w:val="both"/>
              <w:rPr>
                <w:rFonts w:ascii="Times New Roman" w:eastAsiaTheme="minorEastAsia" w:hAnsi="Times New Roman"/>
                <w:sz w:val="24"/>
                <w:szCs w:val="24"/>
                <w:lang w:val="es-419"/>
              </w:rPr>
            </w:pPr>
            <w:r w:rsidRPr="00427B0D">
              <w:rPr>
                <w:rFonts w:ascii="Times New Roman" w:eastAsiaTheme="minorEastAsia" w:hAnsi="Times New Roman"/>
                <w:sz w:val="24"/>
                <w:szCs w:val="24"/>
                <w:lang w:val="es-419"/>
              </w:rPr>
              <w:t>Mitigación de cargas adicionales y costos y opciones para mejorar la eficiencia de la implementación mientras se mantiene la eficacia</w:t>
            </w:r>
          </w:p>
        </w:tc>
      </w:tr>
      <w:tr w:rsidR="00BA6FFD" w:rsidRPr="00427B0D" w:rsidTr="00EC2772">
        <w:tc>
          <w:tcPr>
            <w:tcW w:w="1242" w:type="dxa"/>
            <w:vMerge/>
          </w:tcPr>
          <w:p w:rsidR="00BA6FFD" w:rsidRPr="00427B0D" w:rsidRDefault="00BA6FFD" w:rsidP="00F019A5">
            <w:pPr>
              <w:rPr>
                <w:rFonts w:ascii="Times New Roman" w:hAnsi="Times New Roman" w:cs="Times New Roman"/>
                <w:color w:val="000000"/>
                <w:sz w:val="24"/>
                <w:szCs w:val="24"/>
                <w:lang w:val="es-419"/>
              </w:rPr>
            </w:pPr>
          </w:p>
        </w:tc>
        <w:tc>
          <w:tcPr>
            <w:tcW w:w="1903" w:type="dxa"/>
          </w:tcPr>
          <w:p w:rsidR="00BA6FFD" w:rsidRPr="00427B0D" w:rsidRDefault="00BA6FFD" w:rsidP="00F019A5">
            <w:pPr>
              <w:rPr>
                <w:rFonts w:ascii="Times New Roman" w:hAnsi="Times New Roman" w:cs="Times New Roman"/>
                <w:sz w:val="24"/>
                <w:szCs w:val="24"/>
                <w:lang w:val="es-419"/>
              </w:rPr>
            </w:pPr>
            <w:r w:rsidRPr="00427B0D">
              <w:rPr>
                <w:rFonts w:ascii="Times New Roman" w:hAnsi="Times New Roman" w:cs="Times New Roman"/>
                <w:color w:val="000000"/>
                <w:sz w:val="24"/>
                <w:szCs w:val="24"/>
                <w:lang w:val="es-419"/>
              </w:rPr>
              <w:t>Desarrollo de la capacidad del cliente y apoyo a la implementación</w:t>
            </w:r>
          </w:p>
        </w:tc>
        <w:tc>
          <w:tcPr>
            <w:tcW w:w="7650" w:type="dxa"/>
          </w:tcPr>
          <w:p w:rsidR="00BA6FFD" w:rsidRPr="00427B0D" w:rsidRDefault="007D5A1B" w:rsidP="007D5A1B">
            <w:pPr>
              <w:pStyle w:val="Prrafodelista"/>
              <w:numPr>
                <w:ilvl w:val="0"/>
                <w:numId w:val="9"/>
              </w:numPr>
              <w:ind w:left="342" w:hanging="270"/>
              <w:jc w:val="both"/>
              <w:rPr>
                <w:rFonts w:ascii="Times New Roman" w:hAnsi="Times New Roman"/>
                <w:sz w:val="24"/>
                <w:szCs w:val="24"/>
                <w:lang w:val="es-419"/>
              </w:rPr>
            </w:pPr>
            <w:r w:rsidRPr="00427B0D">
              <w:rPr>
                <w:rFonts w:ascii="Times New Roman" w:hAnsi="Times New Roman"/>
                <w:sz w:val="24"/>
                <w:szCs w:val="24"/>
                <w:lang w:val="es-419"/>
              </w:rPr>
              <w:t>Financiación para el desarrollo de la capacidad del cliente</w:t>
            </w:r>
          </w:p>
          <w:p w:rsidR="001D3DB1" w:rsidRPr="00427B0D" w:rsidRDefault="007D5A1B" w:rsidP="001D3DB1">
            <w:pPr>
              <w:pStyle w:val="Prrafodelista"/>
              <w:numPr>
                <w:ilvl w:val="0"/>
                <w:numId w:val="9"/>
              </w:numPr>
              <w:ind w:left="342" w:hanging="270"/>
              <w:jc w:val="both"/>
              <w:rPr>
                <w:rFonts w:ascii="Times New Roman" w:hAnsi="Times New Roman"/>
                <w:sz w:val="24"/>
                <w:szCs w:val="24"/>
                <w:lang w:val="es-419"/>
              </w:rPr>
            </w:pPr>
            <w:r w:rsidRPr="00427B0D">
              <w:rPr>
                <w:rFonts w:ascii="Times New Roman" w:hAnsi="Times New Roman"/>
                <w:sz w:val="24"/>
                <w:szCs w:val="24"/>
                <w:lang w:val="es-419"/>
              </w:rPr>
              <w:t xml:space="preserve">Estrategias y áreas de </w:t>
            </w:r>
            <w:r w:rsidRPr="00427B0D">
              <w:rPr>
                <w:rFonts w:ascii="Times New Roman" w:hAnsi="Times New Roman"/>
                <w:color w:val="000000"/>
                <w:sz w:val="24"/>
                <w:szCs w:val="24"/>
                <w:lang w:val="es-419"/>
              </w:rPr>
              <w:t>enfoque</w:t>
            </w:r>
            <w:r w:rsidRPr="00427B0D">
              <w:rPr>
                <w:rFonts w:ascii="Times New Roman" w:hAnsi="Times New Roman"/>
                <w:sz w:val="24"/>
                <w:szCs w:val="24"/>
                <w:lang w:val="es-419"/>
              </w:rPr>
              <w:t xml:space="preserve"> </w:t>
            </w:r>
          </w:p>
          <w:p w:rsidR="00BA6FFD" w:rsidRPr="00427B0D" w:rsidRDefault="001D3DB1" w:rsidP="001D3DB1">
            <w:pPr>
              <w:pStyle w:val="Prrafodelista"/>
              <w:numPr>
                <w:ilvl w:val="0"/>
                <w:numId w:val="9"/>
              </w:numPr>
              <w:ind w:left="342" w:hanging="270"/>
              <w:jc w:val="both"/>
              <w:rPr>
                <w:rFonts w:ascii="Times New Roman" w:hAnsi="Times New Roman"/>
                <w:sz w:val="24"/>
                <w:szCs w:val="24"/>
                <w:lang w:val="es-419"/>
              </w:rPr>
            </w:pPr>
            <w:r w:rsidRPr="00427B0D">
              <w:rPr>
                <w:rFonts w:ascii="Times New Roman" w:hAnsi="Times New Roman"/>
                <w:sz w:val="24"/>
                <w:szCs w:val="24"/>
                <w:lang w:val="es-419"/>
              </w:rPr>
              <w:t>Estrategia para implementar el MAS en situaciones con limitaciones de capacidad, p. ej. situaciones frágiles y afectadas por conflictos, estados pequeños y situaciones de emergencia</w:t>
            </w:r>
          </w:p>
        </w:tc>
      </w:tr>
      <w:tr w:rsidR="00635FF7" w:rsidRPr="00427B0D" w:rsidTr="00EC2772">
        <w:tc>
          <w:tcPr>
            <w:tcW w:w="1242" w:type="dxa"/>
            <w:vMerge/>
          </w:tcPr>
          <w:p w:rsidR="00635FF7" w:rsidRPr="00427B0D" w:rsidRDefault="00635FF7" w:rsidP="00F019A5">
            <w:pPr>
              <w:rPr>
                <w:rFonts w:ascii="Times New Roman" w:hAnsi="Times New Roman" w:cs="Times New Roman"/>
                <w:color w:val="000000"/>
                <w:sz w:val="24"/>
                <w:szCs w:val="24"/>
                <w:lang w:val="es-419"/>
              </w:rPr>
            </w:pPr>
          </w:p>
        </w:tc>
        <w:tc>
          <w:tcPr>
            <w:tcW w:w="1903" w:type="dxa"/>
          </w:tcPr>
          <w:p w:rsidR="00635FF7" w:rsidRPr="00427B0D" w:rsidRDefault="00635FF7" w:rsidP="00F019A5">
            <w:pPr>
              <w:rPr>
                <w:rFonts w:ascii="Times New Roman" w:hAnsi="Times New Roman" w:cs="Times New Roman"/>
                <w:color w:val="000000"/>
                <w:sz w:val="24"/>
                <w:szCs w:val="24"/>
                <w:lang w:val="es-419"/>
              </w:rPr>
            </w:pPr>
            <w:r w:rsidRPr="00427B0D">
              <w:rPr>
                <w:rFonts w:ascii="Times New Roman" w:hAnsi="Times New Roman" w:cs="Times New Roman"/>
                <w:color w:val="000000"/>
                <w:sz w:val="24"/>
                <w:szCs w:val="24"/>
                <w:lang w:val="es-419"/>
              </w:rPr>
              <w:t>Divulgación</w:t>
            </w:r>
          </w:p>
        </w:tc>
        <w:tc>
          <w:tcPr>
            <w:tcW w:w="7650" w:type="dxa"/>
          </w:tcPr>
          <w:p w:rsidR="00635FF7" w:rsidRPr="00427B0D" w:rsidRDefault="00635FF7" w:rsidP="006D0C7A">
            <w:pPr>
              <w:pStyle w:val="Prrafodelista"/>
              <w:numPr>
                <w:ilvl w:val="0"/>
                <w:numId w:val="9"/>
              </w:numPr>
              <w:ind w:left="342" w:hanging="270"/>
              <w:jc w:val="both"/>
              <w:rPr>
                <w:rFonts w:ascii="Times New Roman" w:hAnsi="Times New Roman"/>
                <w:sz w:val="24"/>
                <w:szCs w:val="24"/>
                <w:lang w:val="es-419"/>
              </w:rPr>
            </w:pPr>
            <w:r w:rsidRPr="00427B0D">
              <w:rPr>
                <w:rFonts w:ascii="Times New Roman" w:hAnsi="Times New Roman"/>
                <w:sz w:val="24"/>
                <w:szCs w:val="24"/>
                <w:lang w:val="es-419"/>
              </w:rPr>
              <w:t>La puntualidad de la preparación y la divulgación de documentos específicos de evaluación de impacto ambiental y social (en relación con la NAS1 y la NAS10)</w:t>
            </w:r>
          </w:p>
        </w:tc>
      </w:tr>
      <w:tr w:rsidR="00BA6FFD" w:rsidRPr="00427B0D" w:rsidTr="00EC2772">
        <w:tc>
          <w:tcPr>
            <w:tcW w:w="1242" w:type="dxa"/>
            <w:vMerge/>
          </w:tcPr>
          <w:p w:rsidR="00BA6FFD" w:rsidRPr="00427B0D" w:rsidRDefault="00BA6FFD" w:rsidP="00F019A5">
            <w:pPr>
              <w:rPr>
                <w:rFonts w:ascii="Times New Roman" w:hAnsi="Times New Roman" w:cs="Times New Roman"/>
                <w:sz w:val="24"/>
                <w:szCs w:val="24"/>
                <w:lang w:val="es-419"/>
              </w:rPr>
            </w:pPr>
          </w:p>
        </w:tc>
        <w:tc>
          <w:tcPr>
            <w:tcW w:w="1903" w:type="dxa"/>
          </w:tcPr>
          <w:p w:rsidR="00BA6FFD" w:rsidRPr="00427B0D" w:rsidRDefault="00BA6FFD" w:rsidP="00F019A5">
            <w:pPr>
              <w:rPr>
                <w:rFonts w:ascii="Times New Roman" w:hAnsi="Times New Roman" w:cs="Times New Roman"/>
                <w:sz w:val="24"/>
                <w:szCs w:val="24"/>
                <w:lang w:val="es-419"/>
              </w:rPr>
            </w:pPr>
            <w:r w:rsidRPr="00427B0D">
              <w:rPr>
                <w:rFonts w:ascii="Times New Roman" w:hAnsi="Times New Roman" w:cs="Times New Roman"/>
                <w:sz w:val="24"/>
                <w:szCs w:val="24"/>
                <w:lang w:val="es-419"/>
              </w:rPr>
              <w:t>Implementación del MAS</w:t>
            </w:r>
          </w:p>
        </w:tc>
        <w:tc>
          <w:tcPr>
            <w:tcW w:w="7650" w:type="dxa"/>
          </w:tcPr>
          <w:p w:rsidR="00BA6FFD" w:rsidRPr="00427B0D" w:rsidRDefault="00BA6FFD" w:rsidP="00933D3E">
            <w:pPr>
              <w:pStyle w:val="Prrafodelista"/>
              <w:numPr>
                <w:ilvl w:val="0"/>
                <w:numId w:val="9"/>
              </w:numPr>
              <w:ind w:left="342" w:hanging="270"/>
              <w:jc w:val="both"/>
              <w:rPr>
                <w:rFonts w:ascii="Times New Roman" w:hAnsi="Times New Roman"/>
                <w:sz w:val="24"/>
                <w:szCs w:val="24"/>
                <w:lang w:val="es-419"/>
              </w:rPr>
            </w:pPr>
            <w:r w:rsidRPr="00427B0D">
              <w:rPr>
                <w:rFonts w:ascii="Times New Roman" w:hAnsi="Times New Roman"/>
                <w:sz w:val="24"/>
                <w:szCs w:val="24"/>
                <w:lang w:val="es-419"/>
              </w:rPr>
              <w:t>Desarrollo de la capacidad interna del banco, obtención de recursos, cambio en las conductas para implementar con éxito el MAS</w:t>
            </w:r>
          </w:p>
          <w:p w:rsidR="00657348" w:rsidRPr="00427B0D" w:rsidRDefault="00657348" w:rsidP="00933D3E">
            <w:pPr>
              <w:pStyle w:val="Prrafodelista"/>
              <w:numPr>
                <w:ilvl w:val="0"/>
                <w:numId w:val="9"/>
              </w:numPr>
              <w:ind w:left="342" w:hanging="270"/>
              <w:jc w:val="both"/>
              <w:rPr>
                <w:rFonts w:ascii="Times New Roman" w:hAnsi="Times New Roman"/>
                <w:sz w:val="24"/>
                <w:szCs w:val="24"/>
                <w:lang w:val="es-419"/>
              </w:rPr>
            </w:pPr>
            <w:r w:rsidRPr="00427B0D">
              <w:rPr>
                <w:rFonts w:ascii="Times New Roman" w:hAnsi="Times New Roman"/>
                <w:sz w:val="24"/>
                <w:szCs w:val="24"/>
                <w:lang w:val="es-419"/>
              </w:rPr>
              <w:t>Formas de lograr la comprensión mutua entre el Prestatario y el Banco sobre cuestiones de interpretación difícil</w:t>
            </w:r>
          </w:p>
        </w:tc>
      </w:tr>
    </w:tbl>
    <w:p w:rsidR="00F248C2" w:rsidRPr="00427B0D" w:rsidRDefault="00F248C2" w:rsidP="00F248C2">
      <w:pPr>
        <w:rPr>
          <w:rFonts w:ascii="Times New Roman" w:hAnsi="Times New Roman" w:cs="Times New Roman"/>
          <w:sz w:val="24"/>
          <w:szCs w:val="24"/>
          <w:lang w:val="es-419"/>
        </w:rPr>
      </w:pPr>
    </w:p>
    <w:sectPr w:rsidR="00F248C2" w:rsidRPr="00427B0D" w:rsidSect="0021710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296" w:rsidRDefault="00756296" w:rsidP="002A2CFE">
      <w:pPr>
        <w:spacing w:after="0" w:line="240" w:lineRule="auto"/>
      </w:pPr>
      <w:r>
        <w:separator/>
      </w:r>
    </w:p>
  </w:endnote>
  <w:endnote w:type="continuationSeparator" w:id="0">
    <w:p w:rsidR="00756296" w:rsidRDefault="00756296" w:rsidP="002A2CFE">
      <w:pPr>
        <w:spacing w:after="0" w:line="240" w:lineRule="auto"/>
      </w:pPr>
      <w:r>
        <w:continuationSeparator/>
      </w:r>
    </w:p>
  </w:endnote>
  <w:endnote w:type="continuationNotice" w:id="1">
    <w:p w:rsidR="00756296" w:rsidRDefault="00756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B32950" w:rsidRPr="00B32950" w:rsidRDefault="00B32950">
        <w:pPr>
          <w:pStyle w:val="Piedepgina"/>
          <w:jc w:val="right"/>
          <w:rPr>
            <w:rFonts w:ascii="Times New Roman" w:hAnsi="Times New Roman" w:cs="Times New Roman"/>
            <w:sz w:val="20"/>
            <w:szCs w:val="20"/>
          </w:rPr>
        </w:pPr>
        <w:r>
          <w:rPr>
            <w:rFonts w:ascii="Times New Roman" w:hAnsi="Times New Roman" w:cs="Times New Roman"/>
            <w:sz w:val="20"/>
            <w:szCs w:val="20"/>
            <w:lang w:val="es"/>
          </w:rPr>
          <w:fldChar w:fldCharType="begin"/>
        </w:r>
        <w:r>
          <w:rPr>
            <w:rFonts w:ascii="Times New Roman" w:hAnsi="Times New Roman" w:cs="Times New Roman"/>
            <w:sz w:val="20"/>
            <w:szCs w:val="20"/>
            <w:lang w:val="es"/>
          </w:rPr>
          <w:instrText xml:space="preserve"> PAGE   \* MERGEFORMAT </w:instrText>
        </w:r>
        <w:r>
          <w:rPr>
            <w:rFonts w:ascii="Times New Roman" w:hAnsi="Times New Roman" w:cs="Times New Roman"/>
            <w:sz w:val="20"/>
            <w:szCs w:val="20"/>
            <w:lang w:val="es"/>
          </w:rPr>
          <w:fldChar w:fldCharType="separate"/>
        </w:r>
        <w:r w:rsidR="00427B0D">
          <w:rPr>
            <w:rFonts w:ascii="Times New Roman" w:hAnsi="Times New Roman" w:cs="Times New Roman"/>
            <w:noProof/>
            <w:sz w:val="20"/>
            <w:szCs w:val="20"/>
            <w:lang w:val="es"/>
          </w:rPr>
          <w:t>5</w:t>
        </w:r>
        <w:r>
          <w:rPr>
            <w:rFonts w:ascii="Times New Roman" w:hAnsi="Times New Roman" w:cs="Times New Roman"/>
            <w:noProof/>
            <w:sz w:val="20"/>
            <w:szCs w:val="20"/>
            <w:lang w:val="es"/>
          </w:rPr>
          <w:fldChar w:fldCharType="end"/>
        </w:r>
      </w:p>
    </w:sdtContent>
  </w:sdt>
  <w:p w:rsidR="00B045EF" w:rsidRDefault="00B045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296" w:rsidRDefault="00756296" w:rsidP="002A2CFE">
      <w:pPr>
        <w:spacing w:after="0" w:line="240" w:lineRule="auto"/>
      </w:pPr>
      <w:r>
        <w:separator/>
      </w:r>
    </w:p>
  </w:footnote>
  <w:footnote w:type="continuationSeparator" w:id="0">
    <w:p w:rsidR="00756296" w:rsidRDefault="00756296" w:rsidP="002A2CFE">
      <w:pPr>
        <w:spacing w:after="0" w:line="240" w:lineRule="auto"/>
      </w:pPr>
      <w:r>
        <w:continuationSeparator/>
      </w:r>
    </w:p>
  </w:footnote>
  <w:footnote w:type="continuationNotice" w:id="1">
    <w:p w:rsidR="00756296" w:rsidRDefault="007562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EF" w:rsidRPr="00641839" w:rsidRDefault="00701A96" w:rsidP="00217107">
    <w:pPr>
      <w:pStyle w:val="Encabezado"/>
      <w:tabs>
        <w:tab w:val="clear" w:pos="9360"/>
      </w:tabs>
      <w:spacing w:after="240"/>
      <w:rPr>
        <w:rFonts w:asciiTheme="majorBidi" w:hAnsiTheme="majorBidi" w:cstheme="majorBidi"/>
      </w:rPr>
    </w:pPr>
    <w:r>
      <w:rPr>
        <w:rFonts w:asciiTheme="majorBidi" w:hAnsiTheme="majorBidi" w:cstheme="majorBidi"/>
        <w:lang w:val="es"/>
      </w:rPr>
      <w:tab/>
    </w:r>
    <w:r>
      <w:rPr>
        <w:rFonts w:asciiTheme="majorBidi" w:hAnsiTheme="majorBidi" w:cstheme="majorBidi"/>
        <w:lang w:val="es"/>
      </w:rPr>
      <w:tab/>
      <w:t xml:space="preserve">              </w:t>
    </w:r>
    <w:r>
      <w:rPr>
        <w:rFonts w:asciiTheme="majorBidi" w:hAnsiTheme="majorBidi" w:cstheme="majorBidi"/>
        <w:lang w:val="es"/>
      </w:rPr>
      <w:tab/>
    </w:r>
    <w:r>
      <w:rPr>
        <w:rFonts w:asciiTheme="majorBidi" w:hAnsiTheme="majorBidi" w:cstheme="majorBidi"/>
        <w:lang w:val="es"/>
      </w:rPr>
      <w:tab/>
    </w:r>
    <w:r>
      <w:rPr>
        <w:rFonts w:asciiTheme="majorBidi" w:hAnsiTheme="majorBidi" w:cstheme="majorBidi"/>
        <w:lang w:val="es"/>
      </w:rPr>
      <w:tab/>
    </w:r>
    <w:r>
      <w:rPr>
        <w:rFonts w:asciiTheme="majorBidi" w:hAnsiTheme="majorBidi" w:cstheme="majorBidi"/>
        <w:lang w:val="es"/>
      </w:rPr>
      <w:tab/>
    </w:r>
    <w:r>
      <w:rPr>
        <w:rFonts w:asciiTheme="majorBidi" w:hAnsiTheme="majorBidi" w:cstheme="majorBidi"/>
        <w:lang w:val="es"/>
      </w:rPr>
      <w:tab/>
      <w:t>3 de agosto de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0"/>
  </w:num>
  <w:num w:numId="6">
    <w:abstractNumId w:val="2"/>
  </w:num>
  <w:num w:numId="7">
    <w:abstractNumId w:val="4"/>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9A"/>
    <w:rsid w:val="0000149B"/>
    <w:rsid w:val="00003DE8"/>
    <w:rsid w:val="00003E60"/>
    <w:rsid w:val="00020167"/>
    <w:rsid w:val="000260EF"/>
    <w:rsid w:val="00026364"/>
    <w:rsid w:val="00027054"/>
    <w:rsid w:val="000336A3"/>
    <w:rsid w:val="00037EE7"/>
    <w:rsid w:val="00040B41"/>
    <w:rsid w:val="000419FF"/>
    <w:rsid w:val="00042513"/>
    <w:rsid w:val="00047C4E"/>
    <w:rsid w:val="00053362"/>
    <w:rsid w:val="0005339B"/>
    <w:rsid w:val="00055656"/>
    <w:rsid w:val="00071BD2"/>
    <w:rsid w:val="00073D66"/>
    <w:rsid w:val="000811A8"/>
    <w:rsid w:val="000830BB"/>
    <w:rsid w:val="00091E8A"/>
    <w:rsid w:val="000932B4"/>
    <w:rsid w:val="00095B65"/>
    <w:rsid w:val="000A17BB"/>
    <w:rsid w:val="000A1CA2"/>
    <w:rsid w:val="000A3A99"/>
    <w:rsid w:val="000B33E5"/>
    <w:rsid w:val="000B6D97"/>
    <w:rsid w:val="000C2C9A"/>
    <w:rsid w:val="000C379E"/>
    <w:rsid w:val="000D207A"/>
    <w:rsid w:val="000D289A"/>
    <w:rsid w:val="000D5C4B"/>
    <w:rsid w:val="000E6821"/>
    <w:rsid w:val="000F4BFE"/>
    <w:rsid w:val="000F4D29"/>
    <w:rsid w:val="000F7552"/>
    <w:rsid w:val="00105808"/>
    <w:rsid w:val="00122172"/>
    <w:rsid w:val="0012279D"/>
    <w:rsid w:val="001341BB"/>
    <w:rsid w:val="00135480"/>
    <w:rsid w:val="001409EF"/>
    <w:rsid w:val="00143016"/>
    <w:rsid w:val="00143AFC"/>
    <w:rsid w:val="00144F04"/>
    <w:rsid w:val="001459D8"/>
    <w:rsid w:val="00163038"/>
    <w:rsid w:val="00171F36"/>
    <w:rsid w:val="00182A56"/>
    <w:rsid w:val="0018639F"/>
    <w:rsid w:val="00197F14"/>
    <w:rsid w:val="001B467B"/>
    <w:rsid w:val="001D3DB1"/>
    <w:rsid w:val="001D4666"/>
    <w:rsid w:val="001D7A18"/>
    <w:rsid w:val="001E55D1"/>
    <w:rsid w:val="001E61A5"/>
    <w:rsid w:val="00202567"/>
    <w:rsid w:val="00205480"/>
    <w:rsid w:val="0020711F"/>
    <w:rsid w:val="00217107"/>
    <w:rsid w:val="00224D63"/>
    <w:rsid w:val="00226BE3"/>
    <w:rsid w:val="002338A2"/>
    <w:rsid w:val="0023659A"/>
    <w:rsid w:val="00242AD8"/>
    <w:rsid w:val="00243F3E"/>
    <w:rsid w:val="00250D57"/>
    <w:rsid w:val="002513D5"/>
    <w:rsid w:val="002530B6"/>
    <w:rsid w:val="00262E1C"/>
    <w:rsid w:val="002736E5"/>
    <w:rsid w:val="002744A1"/>
    <w:rsid w:val="00276204"/>
    <w:rsid w:val="00282F1B"/>
    <w:rsid w:val="0029188A"/>
    <w:rsid w:val="002A096A"/>
    <w:rsid w:val="002A2CFE"/>
    <w:rsid w:val="002B19ED"/>
    <w:rsid w:val="002B3D8A"/>
    <w:rsid w:val="002B5F16"/>
    <w:rsid w:val="002B6400"/>
    <w:rsid w:val="002D5BA1"/>
    <w:rsid w:val="002E7855"/>
    <w:rsid w:val="002F2CD2"/>
    <w:rsid w:val="002F45A4"/>
    <w:rsid w:val="00300C38"/>
    <w:rsid w:val="00315C22"/>
    <w:rsid w:val="003202FE"/>
    <w:rsid w:val="00327EC9"/>
    <w:rsid w:val="00331AB4"/>
    <w:rsid w:val="0035406A"/>
    <w:rsid w:val="00355F4A"/>
    <w:rsid w:val="00366948"/>
    <w:rsid w:val="00381278"/>
    <w:rsid w:val="00381AD4"/>
    <w:rsid w:val="00383C66"/>
    <w:rsid w:val="003852D6"/>
    <w:rsid w:val="00394CA5"/>
    <w:rsid w:val="003A3AFF"/>
    <w:rsid w:val="003A647D"/>
    <w:rsid w:val="003B155E"/>
    <w:rsid w:val="003B3DBC"/>
    <w:rsid w:val="003B5F46"/>
    <w:rsid w:val="003D11E6"/>
    <w:rsid w:val="003D4A7B"/>
    <w:rsid w:val="003E4EC3"/>
    <w:rsid w:val="003E7BBA"/>
    <w:rsid w:val="003F1223"/>
    <w:rsid w:val="00404676"/>
    <w:rsid w:val="00412FE5"/>
    <w:rsid w:val="00420CFF"/>
    <w:rsid w:val="004241C3"/>
    <w:rsid w:val="004256AD"/>
    <w:rsid w:val="00426441"/>
    <w:rsid w:val="004269B4"/>
    <w:rsid w:val="00426EAF"/>
    <w:rsid w:val="00427B0D"/>
    <w:rsid w:val="0043075D"/>
    <w:rsid w:val="00432368"/>
    <w:rsid w:val="00444D49"/>
    <w:rsid w:val="00446F4F"/>
    <w:rsid w:val="00447B65"/>
    <w:rsid w:val="00452976"/>
    <w:rsid w:val="004646E2"/>
    <w:rsid w:val="004716A6"/>
    <w:rsid w:val="00477137"/>
    <w:rsid w:val="004808FE"/>
    <w:rsid w:val="0049193E"/>
    <w:rsid w:val="00493231"/>
    <w:rsid w:val="004A7E4C"/>
    <w:rsid w:val="004B75C6"/>
    <w:rsid w:val="004C660E"/>
    <w:rsid w:val="004C788C"/>
    <w:rsid w:val="004D1AC7"/>
    <w:rsid w:val="004E15D0"/>
    <w:rsid w:val="004F11ED"/>
    <w:rsid w:val="005032BD"/>
    <w:rsid w:val="005039CD"/>
    <w:rsid w:val="0051172F"/>
    <w:rsid w:val="00523D1A"/>
    <w:rsid w:val="005277C3"/>
    <w:rsid w:val="00527CA3"/>
    <w:rsid w:val="005566FF"/>
    <w:rsid w:val="00566F76"/>
    <w:rsid w:val="00570D27"/>
    <w:rsid w:val="005818DD"/>
    <w:rsid w:val="00586B31"/>
    <w:rsid w:val="00587E9E"/>
    <w:rsid w:val="005907B4"/>
    <w:rsid w:val="005A2B56"/>
    <w:rsid w:val="005D31D7"/>
    <w:rsid w:val="005D3B1D"/>
    <w:rsid w:val="005D6FC2"/>
    <w:rsid w:val="005E4057"/>
    <w:rsid w:val="005E4F6B"/>
    <w:rsid w:val="005E6F14"/>
    <w:rsid w:val="005E7DDD"/>
    <w:rsid w:val="005F7AF0"/>
    <w:rsid w:val="00600956"/>
    <w:rsid w:val="00601D29"/>
    <w:rsid w:val="00624C2C"/>
    <w:rsid w:val="00635FF7"/>
    <w:rsid w:val="00641839"/>
    <w:rsid w:val="0064513A"/>
    <w:rsid w:val="00651B88"/>
    <w:rsid w:val="00651C95"/>
    <w:rsid w:val="0065255F"/>
    <w:rsid w:val="006552FD"/>
    <w:rsid w:val="00655F4D"/>
    <w:rsid w:val="00656A43"/>
    <w:rsid w:val="00657348"/>
    <w:rsid w:val="006626AF"/>
    <w:rsid w:val="00666455"/>
    <w:rsid w:val="00674337"/>
    <w:rsid w:val="00677D04"/>
    <w:rsid w:val="00680FAF"/>
    <w:rsid w:val="0068274C"/>
    <w:rsid w:val="006834E0"/>
    <w:rsid w:val="00693EF7"/>
    <w:rsid w:val="00694DA4"/>
    <w:rsid w:val="00695F09"/>
    <w:rsid w:val="006A2440"/>
    <w:rsid w:val="006A6B8C"/>
    <w:rsid w:val="006C013F"/>
    <w:rsid w:val="006C6925"/>
    <w:rsid w:val="006D0315"/>
    <w:rsid w:val="006D0C7A"/>
    <w:rsid w:val="006E0FC0"/>
    <w:rsid w:val="006E5E73"/>
    <w:rsid w:val="006F10AD"/>
    <w:rsid w:val="006F1287"/>
    <w:rsid w:val="006F72CE"/>
    <w:rsid w:val="00701A96"/>
    <w:rsid w:val="00703AE3"/>
    <w:rsid w:val="007162E0"/>
    <w:rsid w:val="00722EE5"/>
    <w:rsid w:val="00732E9B"/>
    <w:rsid w:val="0074685A"/>
    <w:rsid w:val="007507AB"/>
    <w:rsid w:val="00752A48"/>
    <w:rsid w:val="00756296"/>
    <w:rsid w:val="007563DC"/>
    <w:rsid w:val="00762E8F"/>
    <w:rsid w:val="0076753E"/>
    <w:rsid w:val="0077044E"/>
    <w:rsid w:val="00775C67"/>
    <w:rsid w:val="0077675F"/>
    <w:rsid w:val="00777D96"/>
    <w:rsid w:val="007815E1"/>
    <w:rsid w:val="00784151"/>
    <w:rsid w:val="007901C3"/>
    <w:rsid w:val="007A67B8"/>
    <w:rsid w:val="007B23CA"/>
    <w:rsid w:val="007C52D6"/>
    <w:rsid w:val="007D5A1B"/>
    <w:rsid w:val="007F1591"/>
    <w:rsid w:val="007F6E34"/>
    <w:rsid w:val="008065AA"/>
    <w:rsid w:val="008076E7"/>
    <w:rsid w:val="008141AA"/>
    <w:rsid w:val="00816846"/>
    <w:rsid w:val="008177C2"/>
    <w:rsid w:val="00817CF6"/>
    <w:rsid w:val="00830847"/>
    <w:rsid w:val="0083299A"/>
    <w:rsid w:val="00835B5D"/>
    <w:rsid w:val="00835F54"/>
    <w:rsid w:val="00861101"/>
    <w:rsid w:val="00862832"/>
    <w:rsid w:val="00866392"/>
    <w:rsid w:val="00880AE0"/>
    <w:rsid w:val="00880E95"/>
    <w:rsid w:val="00881A95"/>
    <w:rsid w:val="008902BD"/>
    <w:rsid w:val="00895AF5"/>
    <w:rsid w:val="00897C8B"/>
    <w:rsid w:val="008A0685"/>
    <w:rsid w:val="008A7945"/>
    <w:rsid w:val="008B109C"/>
    <w:rsid w:val="008B2BBD"/>
    <w:rsid w:val="008B4BEC"/>
    <w:rsid w:val="008B55B4"/>
    <w:rsid w:val="008B6107"/>
    <w:rsid w:val="008C4949"/>
    <w:rsid w:val="008D1F03"/>
    <w:rsid w:val="008D335A"/>
    <w:rsid w:val="008D55C0"/>
    <w:rsid w:val="008E0747"/>
    <w:rsid w:val="008E22B2"/>
    <w:rsid w:val="008E2333"/>
    <w:rsid w:val="008F2E17"/>
    <w:rsid w:val="008F460C"/>
    <w:rsid w:val="00906E14"/>
    <w:rsid w:val="009079A0"/>
    <w:rsid w:val="00933D3E"/>
    <w:rsid w:val="009371DC"/>
    <w:rsid w:val="00940AFF"/>
    <w:rsid w:val="0095441A"/>
    <w:rsid w:val="009558DA"/>
    <w:rsid w:val="0096383D"/>
    <w:rsid w:val="00967DE9"/>
    <w:rsid w:val="00972434"/>
    <w:rsid w:val="00975C6B"/>
    <w:rsid w:val="00993083"/>
    <w:rsid w:val="009A1E16"/>
    <w:rsid w:val="009A6727"/>
    <w:rsid w:val="009C23F0"/>
    <w:rsid w:val="009C3726"/>
    <w:rsid w:val="009C7751"/>
    <w:rsid w:val="009C78BE"/>
    <w:rsid w:val="009D6FFE"/>
    <w:rsid w:val="009D7485"/>
    <w:rsid w:val="009F4A29"/>
    <w:rsid w:val="00A027C9"/>
    <w:rsid w:val="00A07218"/>
    <w:rsid w:val="00A13098"/>
    <w:rsid w:val="00A2541E"/>
    <w:rsid w:val="00A47BD0"/>
    <w:rsid w:val="00A55DB0"/>
    <w:rsid w:val="00A56621"/>
    <w:rsid w:val="00A618FF"/>
    <w:rsid w:val="00A62E2F"/>
    <w:rsid w:val="00A6465A"/>
    <w:rsid w:val="00A73655"/>
    <w:rsid w:val="00A73745"/>
    <w:rsid w:val="00A7696A"/>
    <w:rsid w:val="00A91DA5"/>
    <w:rsid w:val="00A95446"/>
    <w:rsid w:val="00A95B3A"/>
    <w:rsid w:val="00A97FC4"/>
    <w:rsid w:val="00AA5EEE"/>
    <w:rsid w:val="00AB755A"/>
    <w:rsid w:val="00AC6B2C"/>
    <w:rsid w:val="00AD0ED6"/>
    <w:rsid w:val="00AD3A3A"/>
    <w:rsid w:val="00AD48E4"/>
    <w:rsid w:val="00AD4C4B"/>
    <w:rsid w:val="00AD5F7D"/>
    <w:rsid w:val="00AD71E2"/>
    <w:rsid w:val="00AE23B0"/>
    <w:rsid w:val="00AE6DDC"/>
    <w:rsid w:val="00AF37F5"/>
    <w:rsid w:val="00B00978"/>
    <w:rsid w:val="00B028FD"/>
    <w:rsid w:val="00B03436"/>
    <w:rsid w:val="00B045EF"/>
    <w:rsid w:val="00B10233"/>
    <w:rsid w:val="00B13C7D"/>
    <w:rsid w:val="00B14DBE"/>
    <w:rsid w:val="00B201CA"/>
    <w:rsid w:val="00B21ECF"/>
    <w:rsid w:val="00B24E47"/>
    <w:rsid w:val="00B30BB6"/>
    <w:rsid w:val="00B30D06"/>
    <w:rsid w:val="00B32950"/>
    <w:rsid w:val="00B3524D"/>
    <w:rsid w:val="00B375E7"/>
    <w:rsid w:val="00B4546A"/>
    <w:rsid w:val="00B50635"/>
    <w:rsid w:val="00B713EC"/>
    <w:rsid w:val="00B733AD"/>
    <w:rsid w:val="00B766E7"/>
    <w:rsid w:val="00B9160D"/>
    <w:rsid w:val="00B91E92"/>
    <w:rsid w:val="00B92914"/>
    <w:rsid w:val="00BA246A"/>
    <w:rsid w:val="00BA2FC6"/>
    <w:rsid w:val="00BA6FA2"/>
    <w:rsid w:val="00BA6FFD"/>
    <w:rsid w:val="00BA733C"/>
    <w:rsid w:val="00BB2B6D"/>
    <w:rsid w:val="00BB4F61"/>
    <w:rsid w:val="00BC2797"/>
    <w:rsid w:val="00BC40E8"/>
    <w:rsid w:val="00BC7630"/>
    <w:rsid w:val="00BD181B"/>
    <w:rsid w:val="00BD26DC"/>
    <w:rsid w:val="00BD34F0"/>
    <w:rsid w:val="00BE7E8A"/>
    <w:rsid w:val="00BF4CC7"/>
    <w:rsid w:val="00C00F05"/>
    <w:rsid w:val="00C03DBB"/>
    <w:rsid w:val="00C03E65"/>
    <w:rsid w:val="00C06A91"/>
    <w:rsid w:val="00C07EA5"/>
    <w:rsid w:val="00C15C04"/>
    <w:rsid w:val="00C211D3"/>
    <w:rsid w:val="00C22AB2"/>
    <w:rsid w:val="00C232FC"/>
    <w:rsid w:val="00C24412"/>
    <w:rsid w:val="00C2589A"/>
    <w:rsid w:val="00C3017B"/>
    <w:rsid w:val="00C47725"/>
    <w:rsid w:val="00C534DD"/>
    <w:rsid w:val="00C54B7D"/>
    <w:rsid w:val="00C550D1"/>
    <w:rsid w:val="00C572F4"/>
    <w:rsid w:val="00C66EF5"/>
    <w:rsid w:val="00C84365"/>
    <w:rsid w:val="00C91B3B"/>
    <w:rsid w:val="00C97455"/>
    <w:rsid w:val="00CA0664"/>
    <w:rsid w:val="00CA30E3"/>
    <w:rsid w:val="00CC24E3"/>
    <w:rsid w:val="00CE03B4"/>
    <w:rsid w:val="00CE5025"/>
    <w:rsid w:val="00CF2C3B"/>
    <w:rsid w:val="00D04802"/>
    <w:rsid w:val="00D07482"/>
    <w:rsid w:val="00D1296A"/>
    <w:rsid w:val="00D17448"/>
    <w:rsid w:val="00D31152"/>
    <w:rsid w:val="00D3274E"/>
    <w:rsid w:val="00D36161"/>
    <w:rsid w:val="00D36DA0"/>
    <w:rsid w:val="00D40038"/>
    <w:rsid w:val="00D44D6A"/>
    <w:rsid w:val="00D46F6F"/>
    <w:rsid w:val="00D91E64"/>
    <w:rsid w:val="00D9319E"/>
    <w:rsid w:val="00D94EFE"/>
    <w:rsid w:val="00DA16E0"/>
    <w:rsid w:val="00DB1699"/>
    <w:rsid w:val="00DB3B2B"/>
    <w:rsid w:val="00DB5291"/>
    <w:rsid w:val="00DB67A4"/>
    <w:rsid w:val="00DB6D92"/>
    <w:rsid w:val="00DC0170"/>
    <w:rsid w:val="00DE0DEA"/>
    <w:rsid w:val="00DE3335"/>
    <w:rsid w:val="00DF100E"/>
    <w:rsid w:val="00DF3346"/>
    <w:rsid w:val="00E01E6E"/>
    <w:rsid w:val="00E04CBC"/>
    <w:rsid w:val="00E04FA3"/>
    <w:rsid w:val="00E2042C"/>
    <w:rsid w:val="00E2294C"/>
    <w:rsid w:val="00E3187B"/>
    <w:rsid w:val="00E34E6A"/>
    <w:rsid w:val="00E43617"/>
    <w:rsid w:val="00E4794A"/>
    <w:rsid w:val="00E76A83"/>
    <w:rsid w:val="00E81112"/>
    <w:rsid w:val="00E83F31"/>
    <w:rsid w:val="00E93B9C"/>
    <w:rsid w:val="00E9469D"/>
    <w:rsid w:val="00E94D14"/>
    <w:rsid w:val="00E9586E"/>
    <w:rsid w:val="00EB181A"/>
    <w:rsid w:val="00EB311F"/>
    <w:rsid w:val="00EB6992"/>
    <w:rsid w:val="00EC2772"/>
    <w:rsid w:val="00EC625F"/>
    <w:rsid w:val="00EC7F2F"/>
    <w:rsid w:val="00ED5487"/>
    <w:rsid w:val="00ED5AF8"/>
    <w:rsid w:val="00ED63AF"/>
    <w:rsid w:val="00EE7D5C"/>
    <w:rsid w:val="00EF3E5D"/>
    <w:rsid w:val="00F019A5"/>
    <w:rsid w:val="00F023DA"/>
    <w:rsid w:val="00F131D2"/>
    <w:rsid w:val="00F15007"/>
    <w:rsid w:val="00F17728"/>
    <w:rsid w:val="00F20FCE"/>
    <w:rsid w:val="00F22DEC"/>
    <w:rsid w:val="00F248C2"/>
    <w:rsid w:val="00F26484"/>
    <w:rsid w:val="00F36D84"/>
    <w:rsid w:val="00F438B7"/>
    <w:rsid w:val="00F44503"/>
    <w:rsid w:val="00F461C8"/>
    <w:rsid w:val="00F46783"/>
    <w:rsid w:val="00F46C09"/>
    <w:rsid w:val="00F55E20"/>
    <w:rsid w:val="00F61213"/>
    <w:rsid w:val="00F63E16"/>
    <w:rsid w:val="00F93A41"/>
    <w:rsid w:val="00FB0AFA"/>
    <w:rsid w:val="00FB26B2"/>
    <w:rsid w:val="00FB494F"/>
    <w:rsid w:val="00FC10BF"/>
    <w:rsid w:val="00FC1C64"/>
    <w:rsid w:val="00FC31A5"/>
    <w:rsid w:val="00FC5C8B"/>
    <w:rsid w:val="00FC64DA"/>
    <w:rsid w:val="00FD02A3"/>
    <w:rsid w:val="00FD0445"/>
    <w:rsid w:val="00FD59FF"/>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984C352-54A5-4BF2-807F-5E0978F9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itation List,본문(내용),List Paragraph (numbered (a)),123 List Paragraph,Numbered Paragraph,Main numbered paragraph,References,Numbered List Paragraph,List Paragraph nowy,Liste 1,List_Paragraph,Multilevel para_II,List Paragraph1"/>
    <w:basedOn w:val="Normal"/>
    <w:link w:val="PrrafodelistaCar"/>
    <w:uiPriority w:val="34"/>
    <w:qFormat/>
    <w:rsid w:val="00F248C2"/>
    <w:pPr>
      <w:spacing w:after="0" w:line="240" w:lineRule="auto"/>
      <w:ind w:left="720"/>
    </w:pPr>
    <w:rPr>
      <w:rFonts w:ascii="Calibri" w:eastAsiaTheme="minorHAnsi" w:hAnsi="Calibri" w:cs="Times New Roman"/>
      <w:lang w:eastAsia="en-US"/>
    </w:rPr>
  </w:style>
  <w:style w:type="character" w:customStyle="1" w:styleId="PrrafodelistaCar">
    <w:name w:val="Párrafo de lista Car"/>
    <w:aliases w:val="Citation List Car,본문(내용) Car,List Paragraph (numbered (a)) Car,123 List Paragraph Car,Numbered Paragraph Car,Main numbered paragraph Car,References Car,Numbered List Paragraph Car,List Paragraph nowy Car,Liste 1 Car"/>
    <w:basedOn w:val="Fuentedeprrafopredeter"/>
    <w:link w:val="Prrafodelista"/>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Encabezado">
    <w:name w:val="header"/>
    <w:basedOn w:val="Normal"/>
    <w:link w:val="EncabezadoCar"/>
    <w:uiPriority w:val="99"/>
    <w:unhideWhenUsed/>
    <w:rsid w:val="002A2CF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A2CFE"/>
  </w:style>
  <w:style w:type="paragraph" w:styleId="Piedepgina">
    <w:name w:val="footer"/>
    <w:basedOn w:val="Normal"/>
    <w:link w:val="PiedepginaCar"/>
    <w:uiPriority w:val="99"/>
    <w:unhideWhenUsed/>
    <w:rsid w:val="002A2CF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A2CFE"/>
  </w:style>
  <w:style w:type="paragraph" w:styleId="Textodeglobo">
    <w:name w:val="Balloon Text"/>
    <w:basedOn w:val="Normal"/>
    <w:link w:val="TextodegloboCar"/>
    <w:uiPriority w:val="99"/>
    <w:semiHidden/>
    <w:unhideWhenUsed/>
    <w:rsid w:val="009724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2434"/>
    <w:rPr>
      <w:rFonts w:ascii="Segoe UI" w:hAnsi="Segoe UI" w:cs="Segoe UI"/>
      <w:sz w:val="18"/>
      <w:szCs w:val="18"/>
    </w:rPr>
  </w:style>
  <w:style w:type="character" w:styleId="Refdecomentario">
    <w:name w:val="annotation reference"/>
    <w:basedOn w:val="Fuentedeprrafopredeter"/>
    <w:uiPriority w:val="99"/>
    <w:semiHidden/>
    <w:unhideWhenUsed/>
    <w:rsid w:val="00975C6B"/>
    <w:rPr>
      <w:sz w:val="16"/>
      <w:szCs w:val="16"/>
    </w:rPr>
  </w:style>
  <w:style w:type="paragraph" w:styleId="Textocomentario">
    <w:name w:val="annotation text"/>
    <w:basedOn w:val="Normal"/>
    <w:link w:val="TextocomentarioCar"/>
    <w:uiPriority w:val="99"/>
    <w:semiHidden/>
    <w:unhideWhenUsed/>
    <w:rsid w:val="00975C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5C6B"/>
    <w:rPr>
      <w:sz w:val="20"/>
      <w:szCs w:val="20"/>
    </w:rPr>
  </w:style>
  <w:style w:type="paragraph" w:styleId="Asuntodelcomentario">
    <w:name w:val="annotation subject"/>
    <w:basedOn w:val="Textocomentario"/>
    <w:next w:val="Textocomentario"/>
    <w:link w:val="AsuntodelcomentarioCar"/>
    <w:uiPriority w:val="99"/>
    <w:semiHidden/>
    <w:unhideWhenUsed/>
    <w:rsid w:val="00975C6B"/>
    <w:rPr>
      <w:b/>
      <w:bCs/>
    </w:rPr>
  </w:style>
  <w:style w:type="character" w:customStyle="1" w:styleId="AsuntodelcomentarioCar">
    <w:name w:val="Asunto del comentario Car"/>
    <w:basedOn w:val="TextocomentarioCar"/>
    <w:link w:val="Asuntodelcomentario"/>
    <w:uiPriority w:val="99"/>
    <w:semiHidden/>
    <w:rsid w:val="00975C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FBF58-AC93-4A8C-88C8-EF52B21B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1666</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Silvina</cp:lastModifiedBy>
  <cp:revision>4</cp:revision>
  <cp:lastPrinted>2015-07-31T13:09:00Z</cp:lastPrinted>
  <dcterms:created xsi:type="dcterms:W3CDTF">2015-08-06T01:04:00Z</dcterms:created>
  <dcterms:modified xsi:type="dcterms:W3CDTF">2015-08-13T20:08:00Z</dcterms:modified>
</cp:coreProperties>
</file>