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70434" w14:textId="77777777" w:rsidR="00A009E7" w:rsidRDefault="00A009E7" w:rsidP="00A009E7">
      <w:pPr>
        <w:spacing w:after="240"/>
        <w:jc w:val="center"/>
        <w:rPr>
          <w:b/>
          <w:sz w:val="40"/>
        </w:rPr>
      </w:pPr>
      <w:bookmarkStart w:id="0" w:name="_GoBack"/>
      <w:bookmarkEnd w:id="0"/>
    </w:p>
    <w:p w14:paraId="3289240C" w14:textId="77777777" w:rsidR="00A009E7" w:rsidRDefault="00A009E7" w:rsidP="00A009E7">
      <w:pPr>
        <w:spacing w:after="240"/>
        <w:jc w:val="center"/>
        <w:rPr>
          <w:b/>
          <w:sz w:val="40"/>
        </w:rPr>
      </w:pPr>
    </w:p>
    <w:p w14:paraId="52389C3A" w14:textId="77777777" w:rsidR="00A009E7" w:rsidRDefault="00A009E7" w:rsidP="00A009E7">
      <w:pPr>
        <w:spacing w:after="240"/>
        <w:jc w:val="center"/>
        <w:rPr>
          <w:b/>
          <w:sz w:val="40"/>
        </w:rPr>
      </w:pPr>
    </w:p>
    <w:p w14:paraId="0DD12F03" w14:textId="77777777" w:rsidR="00081048" w:rsidRPr="000F7276" w:rsidRDefault="00064E83" w:rsidP="00A009E7">
      <w:pPr>
        <w:jc w:val="center"/>
        <w:rPr>
          <w:b/>
          <w:sz w:val="40"/>
        </w:rPr>
      </w:pPr>
      <w:r w:rsidRPr="000F7276">
        <w:rPr>
          <w:b/>
          <w:sz w:val="40"/>
        </w:rPr>
        <w:t xml:space="preserve">Comparative Review of </w:t>
      </w:r>
    </w:p>
    <w:p w14:paraId="62DDF1A6" w14:textId="77777777" w:rsidR="00A009E7" w:rsidRDefault="00064E83" w:rsidP="00A009E7">
      <w:pPr>
        <w:spacing w:after="240"/>
        <w:jc w:val="center"/>
        <w:rPr>
          <w:b/>
          <w:sz w:val="40"/>
        </w:rPr>
      </w:pPr>
      <w:r w:rsidRPr="000F7276">
        <w:rPr>
          <w:b/>
          <w:sz w:val="40"/>
        </w:rPr>
        <w:t>Multilateral Development Bank Safeguard Systems</w:t>
      </w:r>
    </w:p>
    <w:p w14:paraId="778C657D" w14:textId="77777777" w:rsidR="00A009E7" w:rsidRDefault="00A009E7" w:rsidP="00A009E7">
      <w:pPr>
        <w:spacing w:after="240"/>
        <w:jc w:val="center"/>
        <w:rPr>
          <w:b/>
          <w:sz w:val="40"/>
        </w:rPr>
      </w:pPr>
    </w:p>
    <w:p w14:paraId="22335FAE" w14:textId="77777777" w:rsidR="00A009E7" w:rsidRDefault="00A009E7" w:rsidP="00A009E7">
      <w:pPr>
        <w:spacing w:after="240"/>
        <w:jc w:val="center"/>
        <w:rPr>
          <w:b/>
          <w:sz w:val="40"/>
        </w:rPr>
      </w:pPr>
    </w:p>
    <w:p w14:paraId="067F3FB9" w14:textId="77841C02" w:rsidR="00A009E7" w:rsidRDefault="00064E83" w:rsidP="00A009E7">
      <w:pPr>
        <w:spacing w:after="240"/>
        <w:jc w:val="center"/>
        <w:rPr>
          <w:b/>
          <w:sz w:val="40"/>
        </w:rPr>
      </w:pPr>
      <w:r w:rsidRPr="000F7276">
        <w:rPr>
          <w:b/>
          <w:sz w:val="40"/>
        </w:rPr>
        <w:t>Main Report</w:t>
      </w:r>
      <w:r w:rsidR="000E6B3D" w:rsidRPr="000F7276">
        <w:rPr>
          <w:b/>
          <w:sz w:val="40"/>
        </w:rPr>
        <w:t xml:space="preserve"> and Annexes</w:t>
      </w:r>
    </w:p>
    <w:p w14:paraId="5ABC4950" w14:textId="77777777" w:rsidR="00A009E7" w:rsidRDefault="00A009E7" w:rsidP="00A009E7">
      <w:pPr>
        <w:spacing w:after="240"/>
        <w:jc w:val="center"/>
        <w:rPr>
          <w:b/>
          <w:sz w:val="40"/>
        </w:rPr>
      </w:pPr>
    </w:p>
    <w:p w14:paraId="0455693E" w14:textId="77777777" w:rsidR="00A009E7" w:rsidRDefault="00A009E7" w:rsidP="00A009E7">
      <w:pPr>
        <w:spacing w:after="240"/>
        <w:jc w:val="center"/>
        <w:rPr>
          <w:b/>
          <w:sz w:val="40"/>
        </w:rPr>
      </w:pPr>
    </w:p>
    <w:p w14:paraId="27EA5FDE" w14:textId="77777777" w:rsidR="00A009E7" w:rsidRDefault="00A009E7" w:rsidP="00A009E7">
      <w:pPr>
        <w:spacing w:after="240"/>
        <w:jc w:val="center"/>
        <w:rPr>
          <w:b/>
          <w:sz w:val="40"/>
        </w:rPr>
      </w:pPr>
    </w:p>
    <w:p w14:paraId="656C9054" w14:textId="77777777" w:rsidR="00A009E7" w:rsidRDefault="00A009E7" w:rsidP="00A009E7">
      <w:pPr>
        <w:spacing w:after="240"/>
        <w:jc w:val="center"/>
        <w:rPr>
          <w:b/>
          <w:sz w:val="40"/>
        </w:rPr>
      </w:pPr>
    </w:p>
    <w:p w14:paraId="5BB32792" w14:textId="77777777" w:rsidR="00A009E7" w:rsidRDefault="00A009E7" w:rsidP="00A009E7">
      <w:pPr>
        <w:spacing w:after="240"/>
        <w:jc w:val="center"/>
        <w:rPr>
          <w:b/>
          <w:sz w:val="40"/>
        </w:rPr>
      </w:pPr>
    </w:p>
    <w:p w14:paraId="21897709" w14:textId="77777777" w:rsidR="009B7990" w:rsidRPr="000F7276" w:rsidRDefault="009B7990" w:rsidP="00A009E7">
      <w:pPr>
        <w:jc w:val="center"/>
        <w:rPr>
          <w:b/>
          <w:sz w:val="40"/>
        </w:rPr>
      </w:pPr>
    </w:p>
    <w:p w14:paraId="7A194333" w14:textId="22B5FFDF" w:rsidR="00A009E7" w:rsidRDefault="00610727" w:rsidP="00A009E7">
      <w:pPr>
        <w:spacing w:after="240"/>
        <w:jc w:val="center"/>
        <w:rPr>
          <w:b/>
          <w:sz w:val="28"/>
        </w:rPr>
      </w:pPr>
      <w:r w:rsidRPr="00610727">
        <w:rPr>
          <w:b/>
          <w:sz w:val="28"/>
        </w:rPr>
        <w:t>Prepared</w:t>
      </w:r>
      <w:r w:rsidR="00C75303">
        <w:rPr>
          <w:b/>
          <w:sz w:val="28"/>
        </w:rPr>
        <w:t xml:space="preserve"> by Harvey Himberg, Consultant, </w:t>
      </w:r>
      <w:r w:rsidR="00C75303">
        <w:rPr>
          <w:b/>
          <w:sz w:val="28"/>
        </w:rPr>
        <w:br/>
        <w:t>Operations Policy and Country Services</w:t>
      </w:r>
    </w:p>
    <w:p w14:paraId="10E9C7B3" w14:textId="77777777" w:rsidR="00A009E7" w:rsidRDefault="00A009E7" w:rsidP="00A009E7">
      <w:pPr>
        <w:jc w:val="center"/>
        <w:rPr>
          <w:b/>
          <w:sz w:val="40"/>
        </w:rPr>
      </w:pPr>
    </w:p>
    <w:p w14:paraId="739EE80E" w14:textId="77777777" w:rsidR="00A009E7" w:rsidRDefault="00A009E7" w:rsidP="00A009E7">
      <w:pPr>
        <w:jc w:val="center"/>
        <w:rPr>
          <w:b/>
          <w:sz w:val="40"/>
        </w:rPr>
      </w:pPr>
    </w:p>
    <w:p w14:paraId="32394C9C" w14:textId="77777777" w:rsidR="00A009E7" w:rsidRDefault="00A009E7" w:rsidP="00A009E7">
      <w:pPr>
        <w:jc w:val="center"/>
        <w:rPr>
          <w:b/>
          <w:sz w:val="40"/>
        </w:rPr>
      </w:pPr>
    </w:p>
    <w:p w14:paraId="23B7CF50" w14:textId="55E83DF2" w:rsidR="009B7990" w:rsidRPr="000F7276" w:rsidRDefault="00CF59E1" w:rsidP="00A009E7">
      <w:pPr>
        <w:jc w:val="center"/>
        <w:rPr>
          <w:b/>
          <w:sz w:val="40"/>
        </w:rPr>
      </w:pPr>
      <w:r>
        <w:rPr>
          <w:b/>
          <w:sz w:val="40"/>
        </w:rPr>
        <w:t xml:space="preserve">May </w:t>
      </w:r>
      <w:r w:rsidR="009B7990" w:rsidRPr="000F7276">
        <w:rPr>
          <w:b/>
          <w:sz w:val="40"/>
        </w:rPr>
        <w:t>201</w:t>
      </w:r>
      <w:r w:rsidR="007E330A" w:rsidRPr="000F7276">
        <w:rPr>
          <w:b/>
          <w:sz w:val="40"/>
        </w:rPr>
        <w:t>5</w:t>
      </w:r>
    </w:p>
    <w:p w14:paraId="0FC70DE3" w14:textId="77777777" w:rsidR="00AD2351" w:rsidRDefault="00AD2351" w:rsidP="00A009E7">
      <w:pPr>
        <w:autoSpaceDE/>
        <w:autoSpaceDN/>
        <w:adjustRightInd/>
        <w:rPr>
          <w:b/>
        </w:rPr>
      </w:pPr>
      <w:r>
        <w:rPr>
          <w:b/>
        </w:rPr>
        <w:br w:type="page"/>
      </w:r>
    </w:p>
    <w:p w14:paraId="626C7AFB" w14:textId="77777777" w:rsidR="00AD2351" w:rsidRPr="00610727" w:rsidRDefault="00AD2351" w:rsidP="00A009E7">
      <w:pPr>
        <w:pStyle w:val="NormalWeb"/>
        <w:rPr>
          <w:rFonts w:asciiTheme="minorHAnsi" w:hAnsiTheme="minorHAnsi"/>
          <w:color w:val="000000"/>
          <w:sz w:val="22"/>
          <w:szCs w:val="22"/>
        </w:rPr>
      </w:pPr>
      <w:r w:rsidRPr="00610727">
        <w:rPr>
          <w:rFonts w:asciiTheme="minorHAnsi" w:hAnsiTheme="minorHAnsi"/>
          <w:color w:val="000000"/>
          <w:sz w:val="22"/>
          <w:szCs w:val="22"/>
        </w:rPr>
        <w:lastRenderedPageBreak/>
        <w:t>The findings, interpretations, and conclusions expressed herein are those of the author(s), and do not necessarily reflect the views of the International Bank for Reconstruction and Development / The World Bank and its affiliated organizations, or those of the Executive Directors of The World Bank or the governments they represent.</w:t>
      </w:r>
    </w:p>
    <w:p w14:paraId="5D990302" w14:textId="249C005F" w:rsidR="00081048" w:rsidRPr="000F7276" w:rsidRDefault="00064E83" w:rsidP="00A009E7">
      <w:pPr>
        <w:autoSpaceDE/>
        <w:autoSpaceDN/>
        <w:adjustRightInd/>
        <w:rPr>
          <w:b/>
        </w:rPr>
      </w:pPr>
      <w:r w:rsidRPr="000F7276">
        <w:rPr>
          <w:b/>
        </w:rPr>
        <w:br w:type="page"/>
      </w:r>
    </w:p>
    <w:p w14:paraId="04FC4A37" w14:textId="77777777" w:rsidR="00A009E7" w:rsidRDefault="00E06EF1" w:rsidP="00A009E7">
      <w:pPr>
        <w:autoSpaceDE/>
        <w:autoSpaceDN/>
        <w:adjustRightInd/>
        <w:spacing w:after="240"/>
        <w:rPr>
          <w:b/>
          <w:u w:val="single"/>
        </w:rPr>
      </w:pPr>
      <w:r w:rsidRPr="000F7276">
        <w:rPr>
          <w:b/>
          <w:u w:val="single"/>
        </w:rPr>
        <w:lastRenderedPageBreak/>
        <w:t>Contents</w:t>
      </w:r>
    </w:p>
    <w:p w14:paraId="7F536934" w14:textId="7FF09327" w:rsidR="00CF59E1" w:rsidRDefault="003A723E">
      <w:pPr>
        <w:pStyle w:val="TOC1"/>
        <w:tabs>
          <w:tab w:val="right" w:leader="dot" w:pos="9350"/>
        </w:tabs>
        <w:rPr>
          <w:rFonts w:asciiTheme="minorHAnsi" w:eastAsiaTheme="minorEastAsia" w:hAnsiTheme="minorHAnsi" w:cstheme="minorBidi"/>
          <w:noProof/>
        </w:rPr>
      </w:pPr>
      <w:r w:rsidRPr="000F7276">
        <w:fldChar w:fldCharType="begin"/>
      </w:r>
      <w:r w:rsidR="00081048" w:rsidRPr="000F7276">
        <w:instrText xml:space="preserve"> TOC \h \z \t "hhhead1,1" </w:instrText>
      </w:r>
      <w:r w:rsidRPr="000F7276">
        <w:fldChar w:fldCharType="separate"/>
      </w:r>
      <w:hyperlink w:anchor="_Toc419114244" w:history="1">
        <w:r w:rsidR="00CF59E1" w:rsidRPr="004359F0">
          <w:rPr>
            <w:rStyle w:val="Hyperlink"/>
            <w:noProof/>
          </w:rPr>
          <w:t>Executive Summary</w:t>
        </w:r>
        <w:r w:rsidR="00CF59E1">
          <w:rPr>
            <w:noProof/>
            <w:webHidden/>
          </w:rPr>
          <w:tab/>
        </w:r>
        <w:r w:rsidR="00CF59E1">
          <w:rPr>
            <w:noProof/>
            <w:webHidden/>
          </w:rPr>
          <w:fldChar w:fldCharType="begin"/>
        </w:r>
        <w:r w:rsidR="00CF59E1">
          <w:rPr>
            <w:noProof/>
            <w:webHidden/>
          </w:rPr>
          <w:instrText xml:space="preserve"> PAGEREF _Toc419114244 \h </w:instrText>
        </w:r>
        <w:r w:rsidR="00CF59E1">
          <w:rPr>
            <w:noProof/>
            <w:webHidden/>
          </w:rPr>
        </w:r>
        <w:r w:rsidR="00CF59E1">
          <w:rPr>
            <w:noProof/>
            <w:webHidden/>
          </w:rPr>
          <w:fldChar w:fldCharType="separate"/>
        </w:r>
        <w:r w:rsidR="00DA4F0F">
          <w:rPr>
            <w:noProof/>
            <w:webHidden/>
          </w:rPr>
          <w:t>vi</w:t>
        </w:r>
        <w:r w:rsidR="00CF59E1">
          <w:rPr>
            <w:noProof/>
            <w:webHidden/>
          </w:rPr>
          <w:fldChar w:fldCharType="end"/>
        </w:r>
      </w:hyperlink>
    </w:p>
    <w:p w14:paraId="3DF7ECB9" w14:textId="77777777" w:rsidR="00CF59E1" w:rsidRDefault="00814F03">
      <w:pPr>
        <w:pStyle w:val="TOC1"/>
        <w:tabs>
          <w:tab w:val="left" w:pos="440"/>
          <w:tab w:val="right" w:leader="dot" w:pos="9350"/>
        </w:tabs>
        <w:rPr>
          <w:rFonts w:asciiTheme="minorHAnsi" w:eastAsiaTheme="minorEastAsia" w:hAnsiTheme="minorHAnsi" w:cstheme="minorBidi"/>
          <w:noProof/>
        </w:rPr>
      </w:pPr>
      <w:hyperlink w:anchor="_Toc419114245" w:history="1">
        <w:r w:rsidR="00CF59E1" w:rsidRPr="004359F0">
          <w:rPr>
            <w:rStyle w:val="Hyperlink"/>
            <w:noProof/>
          </w:rPr>
          <w:t>1.</w:t>
        </w:r>
        <w:r w:rsidR="00CF59E1">
          <w:rPr>
            <w:rFonts w:asciiTheme="minorHAnsi" w:eastAsiaTheme="minorEastAsia" w:hAnsiTheme="minorHAnsi" w:cstheme="minorBidi"/>
            <w:noProof/>
          </w:rPr>
          <w:tab/>
        </w:r>
        <w:r w:rsidR="00CF59E1" w:rsidRPr="004359F0">
          <w:rPr>
            <w:rStyle w:val="Hyperlink"/>
            <w:noProof/>
          </w:rPr>
          <w:t>Introduction</w:t>
        </w:r>
        <w:r w:rsidR="00CF59E1">
          <w:rPr>
            <w:noProof/>
            <w:webHidden/>
          </w:rPr>
          <w:tab/>
        </w:r>
        <w:r w:rsidR="00CF59E1">
          <w:rPr>
            <w:noProof/>
            <w:webHidden/>
          </w:rPr>
          <w:fldChar w:fldCharType="begin"/>
        </w:r>
        <w:r w:rsidR="00CF59E1">
          <w:rPr>
            <w:noProof/>
            <w:webHidden/>
          </w:rPr>
          <w:instrText xml:space="preserve"> PAGEREF _Toc419114245 \h </w:instrText>
        </w:r>
        <w:r w:rsidR="00CF59E1">
          <w:rPr>
            <w:noProof/>
            <w:webHidden/>
          </w:rPr>
        </w:r>
        <w:r w:rsidR="00CF59E1">
          <w:rPr>
            <w:noProof/>
            <w:webHidden/>
          </w:rPr>
          <w:fldChar w:fldCharType="separate"/>
        </w:r>
        <w:r w:rsidR="00DA4F0F">
          <w:rPr>
            <w:noProof/>
            <w:webHidden/>
          </w:rPr>
          <w:t>1</w:t>
        </w:r>
        <w:r w:rsidR="00CF59E1">
          <w:rPr>
            <w:noProof/>
            <w:webHidden/>
          </w:rPr>
          <w:fldChar w:fldCharType="end"/>
        </w:r>
      </w:hyperlink>
    </w:p>
    <w:p w14:paraId="6B41405C" w14:textId="77777777" w:rsidR="00CF59E1" w:rsidRDefault="00814F03">
      <w:pPr>
        <w:pStyle w:val="TOC1"/>
        <w:tabs>
          <w:tab w:val="left" w:pos="440"/>
          <w:tab w:val="right" w:leader="dot" w:pos="9350"/>
        </w:tabs>
        <w:rPr>
          <w:rFonts w:asciiTheme="minorHAnsi" w:eastAsiaTheme="minorEastAsia" w:hAnsiTheme="minorHAnsi" w:cstheme="minorBidi"/>
          <w:noProof/>
        </w:rPr>
      </w:pPr>
      <w:hyperlink w:anchor="_Toc419114246" w:history="1">
        <w:r w:rsidR="00CF59E1" w:rsidRPr="004359F0">
          <w:rPr>
            <w:rStyle w:val="Hyperlink"/>
            <w:noProof/>
          </w:rPr>
          <w:t>2.</w:t>
        </w:r>
        <w:r w:rsidR="00CF59E1">
          <w:rPr>
            <w:rFonts w:asciiTheme="minorHAnsi" w:eastAsiaTheme="minorEastAsia" w:hAnsiTheme="minorHAnsi" w:cstheme="minorBidi"/>
            <w:noProof/>
          </w:rPr>
          <w:tab/>
        </w:r>
        <w:r w:rsidR="00CF59E1" w:rsidRPr="004359F0">
          <w:rPr>
            <w:rStyle w:val="Hyperlink"/>
            <w:noProof/>
          </w:rPr>
          <w:t>Methodology</w:t>
        </w:r>
        <w:r w:rsidR="00CF59E1">
          <w:rPr>
            <w:noProof/>
            <w:webHidden/>
          </w:rPr>
          <w:tab/>
        </w:r>
        <w:r w:rsidR="00CF59E1">
          <w:rPr>
            <w:noProof/>
            <w:webHidden/>
          </w:rPr>
          <w:fldChar w:fldCharType="begin"/>
        </w:r>
        <w:r w:rsidR="00CF59E1">
          <w:rPr>
            <w:noProof/>
            <w:webHidden/>
          </w:rPr>
          <w:instrText xml:space="preserve"> PAGEREF _Toc419114246 \h </w:instrText>
        </w:r>
        <w:r w:rsidR="00CF59E1">
          <w:rPr>
            <w:noProof/>
            <w:webHidden/>
          </w:rPr>
        </w:r>
        <w:r w:rsidR="00CF59E1">
          <w:rPr>
            <w:noProof/>
            <w:webHidden/>
          </w:rPr>
          <w:fldChar w:fldCharType="separate"/>
        </w:r>
        <w:r w:rsidR="00DA4F0F">
          <w:rPr>
            <w:noProof/>
            <w:webHidden/>
          </w:rPr>
          <w:t>2</w:t>
        </w:r>
        <w:r w:rsidR="00CF59E1">
          <w:rPr>
            <w:noProof/>
            <w:webHidden/>
          </w:rPr>
          <w:fldChar w:fldCharType="end"/>
        </w:r>
      </w:hyperlink>
    </w:p>
    <w:p w14:paraId="414EEA61" w14:textId="77777777" w:rsidR="00CF59E1" w:rsidRDefault="00814F03">
      <w:pPr>
        <w:pStyle w:val="TOC1"/>
        <w:tabs>
          <w:tab w:val="left" w:pos="440"/>
          <w:tab w:val="right" w:leader="dot" w:pos="9350"/>
        </w:tabs>
        <w:rPr>
          <w:rFonts w:asciiTheme="minorHAnsi" w:eastAsiaTheme="minorEastAsia" w:hAnsiTheme="minorHAnsi" w:cstheme="minorBidi"/>
          <w:noProof/>
        </w:rPr>
      </w:pPr>
      <w:hyperlink w:anchor="_Toc419114247" w:history="1">
        <w:r w:rsidR="00CF59E1" w:rsidRPr="004359F0">
          <w:rPr>
            <w:rStyle w:val="Hyperlink"/>
            <w:noProof/>
          </w:rPr>
          <w:t>3.</w:t>
        </w:r>
        <w:r w:rsidR="00CF59E1">
          <w:rPr>
            <w:rFonts w:asciiTheme="minorHAnsi" w:eastAsiaTheme="minorEastAsia" w:hAnsiTheme="minorHAnsi" w:cstheme="minorBidi"/>
            <w:noProof/>
          </w:rPr>
          <w:tab/>
        </w:r>
        <w:r w:rsidR="00CF59E1" w:rsidRPr="004359F0">
          <w:rPr>
            <w:rStyle w:val="Hyperlink"/>
            <w:noProof/>
          </w:rPr>
          <w:t>Architecture and Components</w:t>
        </w:r>
        <w:r w:rsidR="00CF59E1">
          <w:rPr>
            <w:noProof/>
            <w:webHidden/>
          </w:rPr>
          <w:tab/>
        </w:r>
        <w:r w:rsidR="00CF59E1">
          <w:rPr>
            <w:noProof/>
            <w:webHidden/>
          </w:rPr>
          <w:fldChar w:fldCharType="begin"/>
        </w:r>
        <w:r w:rsidR="00CF59E1">
          <w:rPr>
            <w:noProof/>
            <w:webHidden/>
          </w:rPr>
          <w:instrText xml:space="preserve"> PAGEREF _Toc419114247 \h </w:instrText>
        </w:r>
        <w:r w:rsidR="00CF59E1">
          <w:rPr>
            <w:noProof/>
            <w:webHidden/>
          </w:rPr>
        </w:r>
        <w:r w:rsidR="00CF59E1">
          <w:rPr>
            <w:noProof/>
            <w:webHidden/>
          </w:rPr>
          <w:fldChar w:fldCharType="separate"/>
        </w:r>
        <w:r w:rsidR="00DA4F0F">
          <w:rPr>
            <w:noProof/>
            <w:webHidden/>
          </w:rPr>
          <w:t>3</w:t>
        </w:r>
        <w:r w:rsidR="00CF59E1">
          <w:rPr>
            <w:noProof/>
            <w:webHidden/>
          </w:rPr>
          <w:fldChar w:fldCharType="end"/>
        </w:r>
      </w:hyperlink>
    </w:p>
    <w:p w14:paraId="0B8266E1" w14:textId="77777777" w:rsidR="00CF59E1" w:rsidRDefault="00814F03">
      <w:pPr>
        <w:pStyle w:val="TOC1"/>
        <w:tabs>
          <w:tab w:val="left" w:pos="440"/>
          <w:tab w:val="right" w:leader="dot" w:pos="9350"/>
        </w:tabs>
        <w:rPr>
          <w:rFonts w:asciiTheme="minorHAnsi" w:eastAsiaTheme="minorEastAsia" w:hAnsiTheme="minorHAnsi" w:cstheme="minorBidi"/>
          <w:noProof/>
        </w:rPr>
      </w:pPr>
      <w:hyperlink w:anchor="_Toc419114248" w:history="1">
        <w:r w:rsidR="00CF59E1" w:rsidRPr="004359F0">
          <w:rPr>
            <w:rStyle w:val="Hyperlink"/>
            <w:noProof/>
          </w:rPr>
          <w:t>4.</w:t>
        </w:r>
        <w:r w:rsidR="00CF59E1">
          <w:rPr>
            <w:rFonts w:asciiTheme="minorHAnsi" w:eastAsiaTheme="minorEastAsia" w:hAnsiTheme="minorHAnsi" w:cstheme="minorBidi"/>
            <w:noProof/>
          </w:rPr>
          <w:tab/>
        </w:r>
        <w:r w:rsidR="00CF59E1" w:rsidRPr="004359F0">
          <w:rPr>
            <w:rStyle w:val="Hyperlink"/>
            <w:noProof/>
          </w:rPr>
          <w:t>Scope and Application</w:t>
        </w:r>
        <w:r w:rsidR="00CF59E1">
          <w:rPr>
            <w:noProof/>
            <w:webHidden/>
          </w:rPr>
          <w:tab/>
        </w:r>
        <w:r w:rsidR="00CF59E1">
          <w:rPr>
            <w:noProof/>
            <w:webHidden/>
          </w:rPr>
          <w:fldChar w:fldCharType="begin"/>
        </w:r>
        <w:r w:rsidR="00CF59E1">
          <w:rPr>
            <w:noProof/>
            <w:webHidden/>
          </w:rPr>
          <w:instrText xml:space="preserve"> PAGEREF _Toc419114248 \h </w:instrText>
        </w:r>
        <w:r w:rsidR="00CF59E1">
          <w:rPr>
            <w:noProof/>
            <w:webHidden/>
          </w:rPr>
        </w:r>
        <w:r w:rsidR="00CF59E1">
          <w:rPr>
            <w:noProof/>
            <w:webHidden/>
          </w:rPr>
          <w:fldChar w:fldCharType="separate"/>
        </w:r>
        <w:r w:rsidR="00DA4F0F">
          <w:rPr>
            <w:noProof/>
            <w:webHidden/>
          </w:rPr>
          <w:t>6</w:t>
        </w:r>
        <w:r w:rsidR="00CF59E1">
          <w:rPr>
            <w:noProof/>
            <w:webHidden/>
          </w:rPr>
          <w:fldChar w:fldCharType="end"/>
        </w:r>
      </w:hyperlink>
    </w:p>
    <w:p w14:paraId="24B17ED6" w14:textId="2359B1FF" w:rsidR="00CF59E1" w:rsidRDefault="00814F03">
      <w:pPr>
        <w:pStyle w:val="TOC1"/>
        <w:tabs>
          <w:tab w:val="left" w:pos="440"/>
          <w:tab w:val="right" w:leader="dot" w:pos="9350"/>
        </w:tabs>
        <w:rPr>
          <w:rFonts w:asciiTheme="minorHAnsi" w:eastAsiaTheme="minorEastAsia" w:hAnsiTheme="minorHAnsi" w:cstheme="minorBidi"/>
          <w:noProof/>
        </w:rPr>
      </w:pPr>
      <w:hyperlink w:anchor="_Toc419114249" w:history="1">
        <w:r w:rsidR="00CF59E1" w:rsidRPr="004359F0">
          <w:rPr>
            <w:rStyle w:val="Hyperlink"/>
            <w:noProof/>
          </w:rPr>
          <w:t>5.</w:t>
        </w:r>
        <w:r w:rsidR="00CF59E1">
          <w:rPr>
            <w:rFonts w:asciiTheme="minorHAnsi" w:eastAsiaTheme="minorEastAsia" w:hAnsiTheme="minorHAnsi" w:cstheme="minorBidi"/>
            <w:noProof/>
          </w:rPr>
          <w:tab/>
        </w:r>
        <w:r w:rsidR="00CF59E1" w:rsidRPr="004359F0">
          <w:rPr>
            <w:rStyle w:val="Hyperlink"/>
            <w:noProof/>
          </w:rPr>
          <w:t>Thematic Coverage</w:t>
        </w:r>
        <w:r w:rsidR="00CF59E1">
          <w:rPr>
            <w:noProof/>
            <w:webHidden/>
          </w:rPr>
          <w:tab/>
        </w:r>
        <w:r w:rsidR="00CF59E1">
          <w:rPr>
            <w:noProof/>
            <w:webHidden/>
          </w:rPr>
          <w:fldChar w:fldCharType="begin"/>
        </w:r>
        <w:r w:rsidR="00CF59E1">
          <w:rPr>
            <w:noProof/>
            <w:webHidden/>
          </w:rPr>
          <w:instrText xml:space="preserve"> PAGEREF _Toc419114249 \h </w:instrText>
        </w:r>
        <w:r w:rsidR="00CF59E1">
          <w:rPr>
            <w:noProof/>
            <w:webHidden/>
          </w:rPr>
        </w:r>
        <w:r w:rsidR="00CF59E1">
          <w:rPr>
            <w:noProof/>
            <w:webHidden/>
          </w:rPr>
          <w:fldChar w:fldCharType="separate"/>
        </w:r>
        <w:r w:rsidR="00DA4F0F">
          <w:rPr>
            <w:noProof/>
            <w:webHidden/>
          </w:rPr>
          <w:t>11</w:t>
        </w:r>
        <w:r w:rsidR="00CF59E1">
          <w:rPr>
            <w:noProof/>
            <w:webHidden/>
          </w:rPr>
          <w:fldChar w:fldCharType="end"/>
        </w:r>
      </w:hyperlink>
    </w:p>
    <w:p w14:paraId="485B9AF4" w14:textId="77777777" w:rsidR="00CF59E1" w:rsidRDefault="00814F03">
      <w:pPr>
        <w:pStyle w:val="TOC1"/>
        <w:tabs>
          <w:tab w:val="left" w:pos="440"/>
          <w:tab w:val="right" w:leader="dot" w:pos="9350"/>
        </w:tabs>
        <w:rPr>
          <w:rFonts w:asciiTheme="minorHAnsi" w:eastAsiaTheme="minorEastAsia" w:hAnsiTheme="minorHAnsi" w:cstheme="minorBidi"/>
          <w:noProof/>
        </w:rPr>
      </w:pPr>
      <w:hyperlink w:anchor="_Toc419114250" w:history="1">
        <w:r w:rsidR="00CF59E1" w:rsidRPr="004359F0">
          <w:rPr>
            <w:rStyle w:val="Hyperlink"/>
            <w:noProof/>
          </w:rPr>
          <w:t>6.</w:t>
        </w:r>
        <w:r w:rsidR="00CF59E1">
          <w:rPr>
            <w:rFonts w:asciiTheme="minorHAnsi" w:eastAsiaTheme="minorEastAsia" w:hAnsiTheme="minorHAnsi" w:cstheme="minorBidi"/>
            <w:noProof/>
          </w:rPr>
          <w:tab/>
        </w:r>
        <w:r w:rsidR="00CF59E1" w:rsidRPr="004359F0">
          <w:rPr>
            <w:rStyle w:val="Hyperlink"/>
            <w:noProof/>
          </w:rPr>
          <w:t>Categorical Exclusions and Prohibitions</w:t>
        </w:r>
        <w:r w:rsidR="00CF59E1">
          <w:rPr>
            <w:noProof/>
            <w:webHidden/>
          </w:rPr>
          <w:tab/>
        </w:r>
        <w:r w:rsidR="00CF59E1">
          <w:rPr>
            <w:noProof/>
            <w:webHidden/>
          </w:rPr>
          <w:fldChar w:fldCharType="begin"/>
        </w:r>
        <w:r w:rsidR="00CF59E1">
          <w:rPr>
            <w:noProof/>
            <w:webHidden/>
          </w:rPr>
          <w:instrText xml:space="preserve"> PAGEREF _Toc419114250 \h </w:instrText>
        </w:r>
        <w:r w:rsidR="00CF59E1">
          <w:rPr>
            <w:noProof/>
            <w:webHidden/>
          </w:rPr>
        </w:r>
        <w:r w:rsidR="00CF59E1">
          <w:rPr>
            <w:noProof/>
            <w:webHidden/>
          </w:rPr>
          <w:fldChar w:fldCharType="separate"/>
        </w:r>
        <w:r w:rsidR="00DA4F0F">
          <w:rPr>
            <w:noProof/>
            <w:webHidden/>
          </w:rPr>
          <w:t>13</w:t>
        </w:r>
        <w:r w:rsidR="00CF59E1">
          <w:rPr>
            <w:noProof/>
            <w:webHidden/>
          </w:rPr>
          <w:fldChar w:fldCharType="end"/>
        </w:r>
      </w:hyperlink>
    </w:p>
    <w:p w14:paraId="7D5459DB" w14:textId="430E583B" w:rsidR="00CF59E1" w:rsidRDefault="00814F03">
      <w:pPr>
        <w:pStyle w:val="TOC1"/>
        <w:tabs>
          <w:tab w:val="left" w:pos="440"/>
          <w:tab w:val="right" w:leader="dot" w:pos="9350"/>
        </w:tabs>
        <w:rPr>
          <w:rFonts w:asciiTheme="minorHAnsi" w:eastAsiaTheme="minorEastAsia" w:hAnsiTheme="minorHAnsi" w:cstheme="minorBidi"/>
          <w:noProof/>
        </w:rPr>
      </w:pPr>
      <w:hyperlink w:anchor="_Toc419114251" w:history="1">
        <w:r w:rsidR="00CF59E1" w:rsidRPr="004359F0">
          <w:rPr>
            <w:rStyle w:val="Hyperlink"/>
            <w:noProof/>
          </w:rPr>
          <w:t>7.</w:t>
        </w:r>
        <w:r w:rsidR="00CF59E1">
          <w:rPr>
            <w:rFonts w:asciiTheme="minorHAnsi" w:eastAsiaTheme="minorEastAsia" w:hAnsiTheme="minorHAnsi" w:cstheme="minorBidi"/>
            <w:noProof/>
          </w:rPr>
          <w:tab/>
        </w:r>
        <w:r w:rsidR="00CF59E1">
          <w:rPr>
            <w:rStyle w:val="Hyperlink"/>
            <w:rFonts w:cs="Times New Roman"/>
            <w:noProof/>
          </w:rPr>
          <w:t xml:space="preserve">Comparison of </w:t>
        </w:r>
        <w:r w:rsidR="00CF59E1" w:rsidRPr="004359F0">
          <w:rPr>
            <w:rStyle w:val="Hyperlink"/>
            <w:rFonts w:cs="Times New Roman"/>
            <w:noProof/>
          </w:rPr>
          <w:t xml:space="preserve">Operational </w:t>
        </w:r>
        <w:r w:rsidR="00CF59E1">
          <w:rPr>
            <w:rStyle w:val="Hyperlink"/>
            <w:noProof/>
          </w:rPr>
          <w:t>Safeguards Applicable to B</w:t>
        </w:r>
        <w:r w:rsidR="00CF59E1" w:rsidRPr="004359F0">
          <w:rPr>
            <w:rStyle w:val="Hyperlink"/>
            <w:noProof/>
          </w:rPr>
          <w:t>orrowers</w:t>
        </w:r>
        <w:r w:rsidR="00CF59E1">
          <w:rPr>
            <w:noProof/>
            <w:webHidden/>
          </w:rPr>
          <w:tab/>
        </w:r>
        <w:r w:rsidR="00CF59E1">
          <w:rPr>
            <w:noProof/>
            <w:webHidden/>
          </w:rPr>
          <w:fldChar w:fldCharType="begin"/>
        </w:r>
        <w:r w:rsidR="00CF59E1">
          <w:rPr>
            <w:noProof/>
            <w:webHidden/>
          </w:rPr>
          <w:instrText xml:space="preserve"> PAGEREF _Toc419114251 \h </w:instrText>
        </w:r>
        <w:r w:rsidR="00CF59E1">
          <w:rPr>
            <w:noProof/>
            <w:webHidden/>
          </w:rPr>
        </w:r>
        <w:r w:rsidR="00CF59E1">
          <w:rPr>
            <w:noProof/>
            <w:webHidden/>
          </w:rPr>
          <w:fldChar w:fldCharType="separate"/>
        </w:r>
        <w:r w:rsidR="00DA4F0F">
          <w:rPr>
            <w:noProof/>
            <w:webHidden/>
          </w:rPr>
          <w:t>18</w:t>
        </w:r>
        <w:r w:rsidR="00CF59E1">
          <w:rPr>
            <w:noProof/>
            <w:webHidden/>
          </w:rPr>
          <w:fldChar w:fldCharType="end"/>
        </w:r>
      </w:hyperlink>
    </w:p>
    <w:p w14:paraId="280810E2" w14:textId="77777777" w:rsidR="00CF59E1" w:rsidRDefault="00814F03">
      <w:pPr>
        <w:pStyle w:val="TOC1"/>
        <w:tabs>
          <w:tab w:val="right" w:leader="dot" w:pos="9350"/>
        </w:tabs>
        <w:rPr>
          <w:rFonts w:asciiTheme="minorHAnsi" w:eastAsiaTheme="minorEastAsia" w:hAnsiTheme="minorHAnsi" w:cstheme="minorBidi"/>
          <w:noProof/>
        </w:rPr>
      </w:pPr>
      <w:hyperlink w:anchor="_Toc419114252" w:history="1">
        <w:r w:rsidR="00CF59E1" w:rsidRPr="004359F0">
          <w:rPr>
            <w:rStyle w:val="Hyperlink"/>
            <w:noProof/>
          </w:rPr>
          <w:t>Key References</w:t>
        </w:r>
        <w:r w:rsidR="00CF59E1">
          <w:rPr>
            <w:noProof/>
            <w:webHidden/>
          </w:rPr>
          <w:tab/>
        </w:r>
        <w:r w:rsidR="00CF59E1">
          <w:rPr>
            <w:noProof/>
            <w:webHidden/>
          </w:rPr>
          <w:fldChar w:fldCharType="begin"/>
        </w:r>
        <w:r w:rsidR="00CF59E1">
          <w:rPr>
            <w:noProof/>
            <w:webHidden/>
          </w:rPr>
          <w:instrText xml:space="preserve"> PAGEREF _Toc419114252 \h </w:instrText>
        </w:r>
        <w:r w:rsidR="00CF59E1">
          <w:rPr>
            <w:noProof/>
            <w:webHidden/>
          </w:rPr>
        </w:r>
        <w:r w:rsidR="00CF59E1">
          <w:rPr>
            <w:noProof/>
            <w:webHidden/>
          </w:rPr>
          <w:fldChar w:fldCharType="separate"/>
        </w:r>
        <w:r w:rsidR="00DA4F0F">
          <w:rPr>
            <w:noProof/>
            <w:webHidden/>
          </w:rPr>
          <w:t>24</w:t>
        </w:r>
        <w:r w:rsidR="00CF59E1">
          <w:rPr>
            <w:noProof/>
            <w:webHidden/>
          </w:rPr>
          <w:fldChar w:fldCharType="end"/>
        </w:r>
      </w:hyperlink>
    </w:p>
    <w:p w14:paraId="6A65B4DE" w14:textId="5AD8907F" w:rsidR="00CF59E1" w:rsidRDefault="00CF59E1">
      <w:pPr>
        <w:pStyle w:val="TOC1"/>
        <w:tabs>
          <w:tab w:val="right" w:leader="dot" w:pos="9350"/>
        </w:tabs>
        <w:rPr>
          <w:rStyle w:val="Hyperlink"/>
          <w:noProof/>
        </w:rPr>
      </w:pPr>
      <w:r>
        <w:rPr>
          <w:rStyle w:val="Hyperlink"/>
          <w:noProof/>
        </w:rPr>
        <w:t>Annexes</w:t>
      </w:r>
    </w:p>
    <w:p w14:paraId="587C7E59" w14:textId="1B0AA770" w:rsidR="00CF59E1" w:rsidRDefault="00814F03" w:rsidP="00266B38">
      <w:pPr>
        <w:pStyle w:val="TOC1"/>
        <w:tabs>
          <w:tab w:val="right" w:leader="dot" w:pos="9350"/>
        </w:tabs>
        <w:ind w:left="1080" w:hanging="1080"/>
        <w:rPr>
          <w:rFonts w:asciiTheme="minorHAnsi" w:eastAsiaTheme="minorEastAsia" w:hAnsiTheme="minorHAnsi" w:cstheme="minorBidi"/>
          <w:noProof/>
        </w:rPr>
      </w:pPr>
      <w:hyperlink w:anchor="_Toc419114253" w:history="1">
        <w:r w:rsidR="00CF59E1" w:rsidRPr="004359F0">
          <w:rPr>
            <w:rStyle w:val="Hyperlink"/>
            <w:noProof/>
          </w:rPr>
          <w:t xml:space="preserve">Annex 1. </w:t>
        </w:r>
        <w:r w:rsidR="00266B38">
          <w:rPr>
            <w:rStyle w:val="Hyperlink"/>
            <w:noProof/>
          </w:rPr>
          <w:tab/>
        </w:r>
        <w:r w:rsidR="00CF59E1" w:rsidRPr="004359F0">
          <w:rPr>
            <w:rStyle w:val="Hyperlink"/>
            <w:noProof/>
          </w:rPr>
          <w:t>Architecture of MDB Safeguard Frameworks</w:t>
        </w:r>
        <w:r w:rsidR="00CF59E1">
          <w:rPr>
            <w:noProof/>
            <w:webHidden/>
          </w:rPr>
          <w:tab/>
        </w:r>
        <w:r w:rsidR="00CF59E1">
          <w:rPr>
            <w:noProof/>
            <w:webHidden/>
          </w:rPr>
          <w:fldChar w:fldCharType="begin"/>
        </w:r>
        <w:r w:rsidR="00CF59E1">
          <w:rPr>
            <w:noProof/>
            <w:webHidden/>
          </w:rPr>
          <w:instrText xml:space="preserve"> PAGEREF _Toc419114253 \h </w:instrText>
        </w:r>
        <w:r w:rsidR="00CF59E1">
          <w:rPr>
            <w:noProof/>
            <w:webHidden/>
          </w:rPr>
        </w:r>
        <w:r w:rsidR="00CF59E1">
          <w:rPr>
            <w:noProof/>
            <w:webHidden/>
          </w:rPr>
          <w:fldChar w:fldCharType="separate"/>
        </w:r>
        <w:r w:rsidR="00DA4F0F">
          <w:rPr>
            <w:noProof/>
            <w:webHidden/>
          </w:rPr>
          <w:t>25</w:t>
        </w:r>
        <w:r w:rsidR="00CF59E1">
          <w:rPr>
            <w:noProof/>
            <w:webHidden/>
          </w:rPr>
          <w:fldChar w:fldCharType="end"/>
        </w:r>
      </w:hyperlink>
    </w:p>
    <w:p w14:paraId="3B080AC7" w14:textId="02C62E5C" w:rsidR="00CF59E1" w:rsidRDefault="00814F03" w:rsidP="00266B38">
      <w:pPr>
        <w:pStyle w:val="TOC1"/>
        <w:tabs>
          <w:tab w:val="right" w:leader="dot" w:pos="9350"/>
        </w:tabs>
        <w:ind w:left="1080" w:hanging="1080"/>
        <w:rPr>
          <w:rFonts w:asciiTheme="minorHAnsi" w:eastAsiaTheme="minorEastAsia" w:hAnsiTheme="minorHAnsi" w:cstheme="minorBidi"/>
          <w:noProof/>
        </w:rPr>
      </w:pPr>
      <w:hyperlink w:anchor="_Toc419114254" w:history="1">
        <w:r w:rsidR="00CF59E1" w:rsidRPr="004359F0">
          <w:rPr>
            <w:rStyle w:val="Hyperlink"/>
            <w:noProof/>
          </w:rPr>
          <w:t xml:space="preserve">Annex 2. </w:t>
        </w:r>
        <w:r w:rsidR="00266B38">
          <w:rPr>
            <w:rStyle w:val="Hyperlink"/>
            <w:noProof/>
          </w:rPr>
          <w:tab/>
        </w:r>
        <w:r w:rsidR="00CF59E1" w:rsidRPr="004359F0">
          <w:rPr>
            <w:rStyle w:val="Hyperlink"/>
            <w:noProof/>
          </w:rPr>
          <w:t>Thematic Coverage of MDB Safeguard Policies</w:t>
        </w:r>
        <w:r w:rsidR="00CF59E1">
          <w:rPr>
            <w:noProof/>
            <w:webHidden/>
          </w:rPr>
          <w:tab/>
        </w:r>
        <w:r w:rsidR="00CF59E1">
          <w:rPr>
            <w:noProof/>
            <w:webHidden/>
          </w:rPr>
          <w:fldChar w:fldCharType="begin"/>
        </w:r>
        <w:r w:rsidR="00CF59E1">
          <w:rPr>
            <w:noProof/>
            <w:webHidden/>
          </w:rPr>
          <w:instrText xml:space="preserve"> PAGEREF _Toc419114254 \h </w:instrText>
        </w:r>
        <w:r w:rsidR="00CF59E1">
          <w:rPr>
            <w:noProof/>
            <w:webHidden/>
          </w:rPr>
        </w:r>
        <w:r w:rsidR="00CF59E1">
          <w:rPr>
            <w:noProof/>
            <w:webHidden/>
          </w:rPr>
          <w:fldChar w:fldCharType="separate"/>
        </w:r>
        <w:r w:rsidR="00DA4F0F">
          <w:rPr>
            <w:noProof/>
            <w:webHidden/>
          </w:rPr>
          <w:t>32</w:t>
        </w:r>
        <w:r w:rsidR="00CF59E1">
          <w:rPr>
            <w:noProof/>
            <w:webHidden/>
          </w:rPr>
          <w:fldChar w:fldCharType="end"/>
        </w:r>
      </w:hyperlink>
    </w:p>
    <w:p w14:paraId="3E924418" w14:textId="07ED3B85" w:rsidR="00CF59E1" w:rsidRDefault="00814F03" w:rsidP="00266B38">
      <w:pPr>
        <w:pStyle w:val="TOC1"/>
        <w:tabs>
          <w:tab w:val="right" w:leader="dot" w:pos="9350"/>
        </w:tabs>
        <w:ind w:left="1080" w:hanging="1080"/>
        <w:rPr>
          <w:rFonts w:asciiTheme="minorHAnsi" w:eastAsiaTheme="minorEastAsia" w:hAnsiTheme="minorHAnsi" w:cstheme="minorBidi"/>
          <w:noProof/>
        </w:rPr>
      </w:pPr>
      <w:hyperlink w:anchor="_Toc419114255" w:history="1">
        <w:r w:rsidR="00CF59E1" w:rsidRPr="004359F0">
          <w:rPr>
            <w:rStyle w:val="Hyperlink"/>
            <w:noProof/>
          </w:rPr>
          <w:t xml:space="preserve">Annex 3. </w:t>
        </w:r>
        <w:r w:rsidR="00266B38">
          <w:rPr>
            <w:rStyle w:val="Hyperlink"/>
            <w:noProof/>
          </w:rPr>
          <w:tab/>
        </w:r>
        <w:r w:rsidR="00CF59E1" w:rsidRPr="004359F0">
          <w:rPr>
            <w:rStyle w:val="Hyperlink"/>
            <w:noProof/>
          </w:rPr>
          <w:t>MDB Categorical Exclusion or Prohibition Lists</w:t>
        </w:r>
        <w:r w:rsidR="00CF59E1">
          <w:rPr>
            <w:noProof/>
            <w:webHidden/>
          </w:rPr>
          <w:tab/>
        </w:r>
        <w:r w:rsidR="00CF59E1">
          <w:rPr>
            <w:noProof/>
            <w:webHidden/>
          </w:rPr>
          <w:fldChar w:fldCharType="begin"/>
        </w:r>
        <w:r w:rsidR="00CF59E1">
          <w:rPr>
            <w:noProof/>
            <w:webHidden/>
          </w:rPr>
          <w:instrText xml:space="preserve"> PAGEREF _Toc419114255 \h </w:instrText>
        </w:r>
        <w:r w:rsidR="00CF59E1">
          <w:rPr>
            <w:noProof/>
            <w:webHidden/>
          </w:rPr>
        </w:r>
        <w:r w:rsidR="00CF59E1">
          <w:rPr>
            <w:noProof/>
            <w:webHidden/>
          </w:rPr>
          <w:fldChar w:fldCharType="separate"/>
        </w:r>
        <w:r w:rsidR="00DA4F0F">
          <w:rPr>
            <w:noProof/>
            <w:webHidden/>
          </w:rPr>
          <w:t>39</w:t>
        </w:r>
        <w:r w:rsidR="00CF59E1">
          <w:rPr>
            <w:noProof/>
            <w:webHidden/>
          </w:rPr>
          <w:fldChar w:fldCharType="end"/>
        </w:r>
      </w:hyperlink>
    </w:p>
    <w:p w14:paraId="0C4B115B" w14:textId="3311045C" w:rsidR="00CF59E1" w:rsidRDefault="00814F03" w:rsidP="00266B38">
      <w:pPr>
        <w:pStyle w:val="TOC1"/>
        <w:tabs>
          <w:tab w:val="right" w:leader="dot" w:pos="9350"/>
        </w:tabs>
        <w:ind w:left="1080" w:hanging="1080"/>
        <w:rPr>
          <w:rFonts w:asciiTheme="minorHAnsi" w:eastAsiaTheme="minorEastAsia" w:hAnsiTheme="minorHAnsi" w:cstheme="minorBidi"/>
          <w:noProof/>
        </w:rPr>
      </w:pPr>
      <w:hyperlink w:anchor="_Toc419114256" w:history="1">
        <w:r w:rsidR="00CF59E1" w:rsidRPr="004359F0">
          <w:rPr>
            <w:rStyle w:val="Hyperlink"/>
            <w:noProof/>
          </w:rPr>
          <w:t xml:space="preserve">Annex 4. </w:t>
        </w:r>
        <w:r w:rsidR="00266B38">
          <w:rPr>
            <w:rStyle w:val="Hyperlink"/>
            <w:noProof/>
          </w:rPr>
          <w:tab/>
        </w:r>
        <w:r w:rsidR="00CF59E1" w:rsidRPr="004359F0">
          <w:rPr>
            <w:rStyle w:val="Hyperlink"/>
            <w:noProof/>
          </w:rPr>
          <w:t>Textual Comparison of World Bank, ADB, AfDB, EIB and IDB  Operational Safeguard Requirements</w:t>
        </w:r>
        <w:r w:rsidR="00CF59E1">
          <w:rPr>
            <w:noProof/>
            <w:webHidden/>
          </w:rPr>
          <w:tab/>
        </w:r>
        <w:r w:rsidR="00CF59E1">
          <w:rPr>
            <w:noProof/>
            <w:webHidden/>
          </w:rPr>
          <w:fldChar w:fldCharType="begin"/>
        </w:r>
        <w:r w:rsidR="00CF59E1">
          <w:rPr>
            <w:noProof/>
            <w:webHidden/>
          </w:rPr>
          <w:instrText xml:space="preserve"> PAGEREF _Toc419114256 \h </w:instrText>
        </w:r>
        <w:r w:rsidR="00CF59E1">
          <w:rPr>
            <w:noProof/>
            <w:webHidden/>
          </w:rPr>
        </w:r>
        <w:r w:rsidR="00CF59E1">
          <w:rPr>
            <w:noProof/>
            <w:webHidden/>
          </w:rPr>
          <w:fldChar w:fldCharType="separate"/>
        </w:r>
        <w:r w:rsidR="00DA4F0F">
          <w:rPr>
            <w:noProof/>
            <w:webHidden/>
          </w:rPr>
          <w:t>45</w:t>
        </w:r>
        <w:r w:rsidR="00CF59E1">
          <w:rPr>
            <w:noProof/>
            <w:webHidden/>
          </w:rPr>
          <w:fldChar w:fldCharType="end"/>
        </w:r>
      </w:hyperlink>
    </w:p>
    <w:p w14:paraId="56D88FAE" w14:textId="77777777" w:rsidR="006C04D0" w:rsidRPr="000F7276" w:rsidRDefault="003A723E" w:rsidP="00A009E7">
      <w:r w:rsidRPr="000F7276">
        <w:fldChar w:fldCharType="end"/>
      </w:r>
    </w:p>
    <w:p w14:paraId="2BAED7A3" w14:textId="5DB7C598" w:rsidR="006C04D0" w:rsidRPr="000F7276" w:rsidRDefault="000E6B3D" w:rsidP="00A009E7">
      <w:pPr>
        <w:rPr>
          <w:b/>
          <w:bCs/>
        </w:rPr>
      </w:pPr>
      <w:r w:rsidRPr="000F7276">
        <w:rPr>
          <w:b/>
          <w:bCs/>
        </w:rPr>
        <w:t>Boxes</w:t>
      </w:r>
    </w:p>
    <w:p w14:paraId="6D93607A" w14:textId="77777777" w:rsidR="000E6B3D" w:rsidRPr="000F7276" w:rsidRDefault="000E6B3D" w:rsidP="00A009E7">
      <w:pPr>
        <w:tabs>
          <w:tab w:val="left" w:pos="1080"/>
        </w:tabs>
        <w:ind w:left="1080" w:hanging="1080"/>
      </w:pPr>
      <w:r w:rsidRPr="000F7276">
        <w:t>Box 1</w:t>
      </w:r>
      <w:r w:rsidR="004A334E" w:rsidRPr="000F7276">
        <w:t>.</w:t>
      </w:r>
      <w:r w:rsidRPr="000F7276">
        <w:t xml:space="preserve"> </w:t>
      </w:r>
      <w:r w:rsidR="004A334E" w:rsidRPr="000F7276">
        <w:tab/>
      </w:r>
      <w:r w:rsidRPr="000F7276">
        <w:t>Recent Re</w:t>
      </w:r>
      <w:r w:rsidR="004A334E" w:rsidRPr="000F7276">
        <w:t>visions to Safeguard Systems at</w:t>
      </w:r>
      <w:r w:rsidRPr="000F7276">
        <w:t xml:space="preserve"> the World Bank and Other MDBs</w:t>
      </w:r>
    </w:p>
    <w:p w14:paraId="2B40CF60" w14:textId="77777777" w:rsidR="00A009E7" w:rsidRDefault="000E6B3D" w:rsidP="00A009E7">
      <w:pPr>
        <w:tabs>
          <w:tab w:val="left" w:pos="1080"/>
        </w:tabs>
        <w:spacing w:after="240"/>
        <w:ind w:left="1080" w:hanging="1080"/>
      </w:pPr>
      <w:r w:rsidRPr="000F7276">
        <w:t xml:space="preserve">Box 2. </w:t>
      </w:r>
      <w:r w:rsidR="004A334E" w:rsidRPr="000F7276">
        <w:tab/>
      </w:r>
      <w:r w:rsidRPr="000F7276">
        <w:t>World Bank Safeguard Policies</w:t>
      </w:r>
    </w:p>
    <w:p w14:paraId="52F3617C" w14:textId="7EAF6EF6" w:rsidR="000E6B3D" w:rsidRPr="000F7276" w:rsidRDefault="004A334E" w:rsidP="00A009E7">
      <w:pPr>
        <w:tabs>
          <w:tab w:val="left" w:pos="1080"/>
        </w:tabs>
        <w:ind w:left="1080" w:hanging="1080"/>
        <w:rPr>
          <w:b/>
          <w:bCs/>
        </w:rPr>
      </w:pPr>
      <w:r w:rsidRPr="000F7276">
        <w:rPr>
          <w:b/>
          <w:bCs/>
        </w:rPr>
        <w:t>Tables</w:t>
      </w:r>
    </w:p>
    <w:p w14:paraId="5DEFBD45" w14:textId="77777777" w:rsidR="006C04D0" w:rsidRPr="000F7276" w:rsidRDefault="004A334E" w:rsidP="00A009E7">
      <w:pPr>
        <w:tabs>
          <w:tab w:val="left" w:pos="1080"/>
        </w:tabs>
        <w:ind w:left="1080" w:hanging="1080"/>
      </w:pPr>
      <w:r w:rsidRPr="000F7276">
        <w:t xml:space="preserve">Table 1. </w:t>
      </w:r>
      <w:r w:rsidRPr="000F7276">
        <w:tab/>
        <w:t>Components of MDB Safeguard Systems</w:t>
      </w:r>
    </w:p>
    <w:p w14:paraId="513CD722" w14:textId="77777777" w:rsidR="004A334E" w:rsidRPr="000F7276" w:rsidRDefault="004A334E" w:rsidP="00A009E7">
      <w:pPr>
        <w:tabs>
          <w:tab w:val="left" w:pos="1080"/>
        </w:tabs>
        <w:ind w:left="1080" w:hanging="1080"/>
      </w:pPr>
      <w:r w:rsidRPr="000F7276">
        <w:t xml:space="preserve">Table 2. </w:t>
      </w:r>
      <w:r w:rsidRPr="000F7276">
        <w:tab/>
        <w:t>Application of MDB Safeguard Systems to Diverse Lending Instruments, Project Structures and Circumstances</w:t>
      </w:r>
    </w:p>
    <w:p w14:paraId="3C772A80" w14:textId="77777777" w:rsidR="00A009E7" w:rsidRDefault="004A334E" w:rsidP="00A009E7">
      <w:pPr>
        <w:tabs>
          <w:tab w:val="left" w:pos="1080"/>
        </w:tabs>
        <w:spacing w:after="240"/>
        <w:ind w:left="1080" w:hanging="1080"/>
      </w:pPr>
      <w:r w:rsidRPr="000F7276">
        <w:t xml:space="preserve">Table 3. </w:t>
      </w:r>
      <w:r w:rsidRPr="000F7276">
        <w:tab/>
        <w:t xml:space="preserve">Summary of </w:t>
      </w:r>
      <w:r w:rsidR="00172A4A" w:rsidRPr="000F7276">
        <w:t>Innovative</w:t>
      </w:r>
      <w:r w:rsidRPr="000F7276">
        <w:t xml:space="preserve"> MDB Operational Safeguard Requirements </w:t>
      </w:r>
      <w:r w:rsidR="00CF47A9" w:rsidRPr="000F7276">
        <w:t>Applicable to Borrowers</w:t>
      </w:r>
    </w:p>
    <w:p w14:paraId="42A64C23" w14:textId="77777777" w:rsidR="00A009E7" w:rsidRDefault="00A009E7" w:rsidP="00A009E7">
      <w:pPr>
        <w:pStyle w:val="ListParagraph"/>
        <w:spacing w:after="240"/>
      </w:pPr>
    </w:p>
    <w:p w14:paraId="00C3BA2D" w14:textId="77777777" w:rsidR="00A009E7" w:rsidRDefault="00A009E7" w:rsidP="00A009E7">
      <w:pPr>
        <w:spacing w:after="240"/>
      </w:pPr>
    </w:p>
    <w:p w14:paraId="6FCA138E" w14:textId="6E6F803F" w:rsidR="002C54FF" w:rsidRDefault="002C54FF">
      <w:pPr>
        <w:autoSpaceDE/>
        <w:autoSpaceDN/>
        <w:adjustRightInd/>
      </w:pPr>
      <w:r>
        <w:br w:type="page"/>
      </w:r>
    </w:p>
    <w:p w14:paraId="4697F5E2" w14:textId="54E52BCE" w:rsidR="00A009E7" w:rsidRPr="002C54FF" w:rsidRDefault="002C54FF" w:rsidP="002C54FF">
      <w:pPr>
        <w:pStyle w:val="hhhead1"/>
        <w:numPr>
          <w:ilvl w:val="0"/>
          <w:numId w:val="0"/>
        </w:numPr>
        <w:ind w:left="360" w:hanging="360"/>
        <w:jc w:val="center"/>
        <w:rPr>
          <w:caps w:val="0"/>
        </w:rPr>
      </w:pPr>
      <w:r w:rsidRPr="002C54FF">
        <w:rPr>
          <w:caps w:val="0"/>
        </w:rPr>
        <w:lastRenderedPageBreak/>
        <w:t>Abbreviations and Acronyms</w:t>
      </w:r>
    </w:p>
    <w:p w14:paraId="2E95CC91" w14:textId="77777777" w:rsidR="002A142B" w:rsidRDefault="002A142B" w:rsidP="002C54FF">
      <w:pPr>
        <w:tabs>
          <w:tab w:val="left" w:pos="2880"/>
        </w:tabs>
        <w:ind w:left="360"/>
      </w:pPr>
      <w:r>
        <w:t>ADB</w:t>
      </w:r>
      <w:r>
        <w:tab/>
        <w:t>Asian Development Bank</w:t>
      </w:r>
    </w:p>
    <w:p w14:paraId="43D59F6E" w14:textId="77777777" w:rsidR="002A142B" w:rsidRDefault="002A142B" w:rsidP="002C54FF">
      <w:pPr>
        <w:tabs>
          <w:tab w:val="left" w:pos="2880"/>
        </w:tabs>
        <w:ind w:left="360"/>
      </w:pPr>
      <w:r>
        <w:t>AfDB</w:t>
      </w:r>
      <w:r>
        <w:tab/>
        <w:t>African Development Bank</w:t>
      </w:r>
    </w:p>
    <w:p w14:paraId="7552271C" w14:textId="77777777" w:rsidR="002A142B" w:rsidRDefault="002A142B" w:rsidP="002C54FF">
      <w:pPr>
        <w:tabs>
          <w:tab w:val="left" w:pos="2880"/>
        </w:tabs>
        <w:ind w:left="360"/>
      </w:pPr>
      <w:r>
        <w:t>BP</w:t>
      </w:r>
      <w:r>
        <w:tab/>
        <w:t>Bank Procedures</w:t>
      </w:r>
    </w:p>
    <w:p w14:paraId="6BB34971" w14:textId="77777777" w:rsidR="002A142B" w:rsidRDefault="002A142B" w:rsidP="00973D46">
      <w:pPr>
        <w:tabs>
          <w:tab w:val="left" w:pos="2880"/>
        </w:tabs>
        <w:ind w:left="360"/>
      </w:pPr>
      <w:r>
        <w:t>CAS</w:t>
      </w:r>
      <w:r>
        <w:tab/>
        <w:t>Country Assistance Strategy</w:t>
      </w:r>
    </w:p>
    <w:p w14:paraId="58156005" w14:textId="77777777" w:rsidR="002A142B" w:rsidRDefault="002A142B" w:rsidP="002C54FF">
      <w:pPr>
        <w:tabs>
          <w:tab w:val="left" w:pos="2880"/>
        </w:tabs>
        <w:ind w:left="360"/>
      </w:pPr>
      <w:r>
        <w:t>CHSS</w:t>
      </w:r>
      <w:r>
        <w:tab/>
        <w:t>Community Health, Safety and Security</w:t>
      </w:r>
    </w:p>
    <w:p w14:paraId="47119647" w14:textId="77777777" w:rsidR="002A142B" w:rsidRDefault="002A142B" w:rsidP="00973D46">
      <w:pPr>
        <w:tabs>
          <w:tab w:val="left" w:pos="2880"/>
        </w:tabs>
        <w:ind w:left="360"/>
      </w:pPr>
      <w:r>
        <w:t>DPL</w:t>
      </w:r>
      <w:r>
        <w:tab/>
        <w:t>Development Policy Lending</w:t>
      </w:r>
    </w:p>
    <w:p w14:paraId="08BF024E" w14:textId="77777777" w:rsidR="002A142B" w:rsidRDefault="002A142B" w:rsidP="002C54FF">
      <w:pPr>
        <w:tabs>
          <w:tab w:val="left" w:pos="2880"/>
        </w:tabs>
        <w:ind w:left="360"/>
      </w:pPr>
      <w:r>
        <w:t>EA</w:t>
      </w:r>
      <w:r>
        <w:tab/>
        <w:t>Environmental Assessment</w:t>
      </w:r>
    </w:p>
    <w:p w14:paraId="22C81C04" w14:textId="77777777" w:rsidR="002A142B" w:rsidRDefault="002A142B" w:rsidP="002C54FF">
      <w:pPr>
        <w:tabs>
          <w:tab w:val="left" w:pos="2880"/>
        </w:tabs>
        <w:ind w:left="360"/>
      </w:pPr>
      <w:r>
        <w:t>EBRD</w:t>
      </w:r>
      <w:r>
        <w:tab/>
        <w:t>European Bank for Reconstruction and Development</w:t>
      </w:r>
    </w:p>
    <w:p w14:paraId="71E78956" w14:textId="77777777" w:rsidR="002A142B" w:rsidRDefault="002A142B" w:rsidP="002C54FF">
      <w:pPr>
        <w:tabs>
          <w:tab w:val="left" w:pos="2880"/>
        </w:tabs>
        <w:ind w:left="360"/>
      </w:pPr>
      <w:r>
        <w:t>EHSG</w:t>
      </w:r>
      <w:r>
        <w:tab/>
        <w:t>Environmental, Health and Safety Guidelines</w:t>
      </w:r>
    </w:p>
    <w:p w14:paraId="5A8C97CF" w14:textId="77777777" w:rsidR="002A142B" w:rsidRDefault="002A142B" w:rsidP="002C54FF">
      <w:pPr>
        <w:tabs>
          <w:tab w:val="left" w:pos="2880"/>
        </w:tabs>
        <w:ind w:left="360"/>
      </w:pPr>
      <w:r>
        <w:t>EIA</w:t>
      </w:r>
      <w:r>
        <w:tab/>
        <w:t>Environmental Impact Assessment</w:t>
      </w:r>
    </w:p>
    <w:p w14:paraId="5EA8CBDF" w14:textId="77777777" w:rsidR="002A142B" w:rsidRDefault="002A142B" w:rsidP="002C54FF">
      <w:pPr>
        <w:tabs>
          <w:tab w:val="left" w:pos="2880"/>
        </w:tabs>
        <w:ind w:left="360"/>
      </w:pPr>
      <w:r>
        <w:t>EIB</w:t>
      </w:r>
      <w:r>
        <w:tab/>
        <w:t>European Investment Bank</w:t>
      </w:r>
    </w:p>
    <w:p w14:paraId="0CA20487" w14:textId="77777777" w:rsidR="002A142B" w:rsidRDefault="002A142B" w:rsidP="00973D46">
      <w:pPr>
        <w:tabs>
          <w:tab w:val="left" w:pos="2880"/>
        </w:tabs>
        <w:ind w:left="360"/>
      </w:pPr>
      <w:r>
        <w:t>ESCP</w:t>
      </w:r>
      <w:r>
        <w:tab/>
        <w:t>Environment and Safeguards Compliance Policy</w:t>
      </w:r>
    </w:p>
    <w:p w14:paraId="3E9472B4" w14:textId="77777777" w:rsidR="002A142B" w:rsidRDefault="002A142B" w:rsidP="00973D46">
      <w:pPr>
        <w:tabs>
          <w:tab w:val="left" w:pos="2880"/>
        </w:tabs>
        <w:ind w:left="360"/>
      </w:pPr>
      <w:r>
        <w:t>ESH</w:t>
      </w:r>
      <w:r>
        <w:tab/>
        <w:t>Environmental and Social Handbook</w:t>
      </w:r>
    </w:p>
    <w:p w14:paraId="60013E0D" w14:textId="77777777" w:rsidR="002A142B" w:rsidRDefault="002A142B" w:rsidP="00973D46">
      <w:pPr>
        <w:tabs>
          <w:tab w:val="left" w:pos="2880"/>
        </w:tabs>
        <w:ind w:left="360"/>
      </w:pPr>
      <w:r>
        <w:t>ESP</w:t>
      </w:r>
      <w:r>
        <w:tab/>
        <w:t>Environmental and Social Policy</w:t>
      </w:r>
    </w:p>
    <w:p w14:paraId="2AB670AF" w14:textId="77777777" w:rsidR="002A142B" w:rsidRDefault="002A142B" w:rsidP="00973D46">
      <w:pPr>
        <w:tabs>
          <w:tab w:val="left" w:pos="2880"/>
        </w:tabs>
        <w:ind w:left="360"/>
      </w:pPr>
      <w:r>
        <w:t>ESS</w:t>
      </w:r>
      <w:r>
        <w:tab/>
        <w:t>Environmental and Social Standard</w:t>
      </w:r>
    </w:p>
    <w:p w14:paraId="340DBBFF" w14:textId="77777777" w:rsidR="002A142B" w:rsidRDefault="002A142B" w:rsidP="002C54FF">
      <w:pPr>
        <w:tabs>
          <w:tab w:val="left" w:pos="2880"/>
        </w:tabs>
        <w:ind w:left="360"/>
      </w:pPr>
      <w:r>
        <w:t>EU</w:t>
      </w:r>
      <w:r>
        <w:tab/>
        <w:t>European Union</w:t>
      </w:r>
    </w:p>
    <w:p w14:paraId="0DF1F7FC" w14:textId="77777777" w:rsidR="002A142B" w:rsidRDefault="002A142B" w:rsidP="002C54FF">
      <w:pPr>
        <w:tabs>
          <w:tab w:val="left" w:pos="2880"/>
        </w:tabs>
        <w:ind w:left="360"/>
      </w:pPr>
      <w:r>
        <w:t>FI</w:t>
      </w:r>
      <w:r>
        <w:tab/>
        <w:t>Financial Intermediary</w:t>
      </w:r>
    </w:p>
    <w:p w14:paraId="16C349ED" w14:textId="77777777" w:rsidR="002A142B" w:rsidRDefault="002A142B" w:rsidP="00973D46">
      <w:pPr>
        <w:tabs>
          <w:tab w:val="left" w:pos="2880"/>
        </w:tabs>
        <w:ind w:left="360"/>
      </w:pPr>
      <w:r>
        <w:t>FPIC</w:t>
      </w:r>
      <w:r>
        <w:tab/>
        <w:t>Free, Prior and Informed Consent</w:t>
      </w:r>
    </w:p>
    <w:p w14:paraId="5CF7D898" w14:textId="77777777" w:rsidR="002A142B" w:rsidRDefault="002A142B" w:rsidP="00973D46">
      <w:pPr>
        <w:tabs>
          <w:tab w:val="left" w:pos="2880"/>
        </w:tabs>
        <w:ind w:left="360"/>
      </w:pPr>
      <w:r>
        <w:t>FPIE</w:t>
      </w:r>
      <w:r>
        <w:tab/>
        <w:t>Free, Prior and Informed Engagement</w:t>
      </w:r>
    </w:p>
    <w:p w14:paraId="2B3D34B5" w14:textId="77777777" w:rsidR="002A142B" w:rsidRDefault="002A142B" w:rsidP="00973D46">
      <w:pPr>
        <w:tabs>
          <w:tab w:val="left" w:pos="2880"/>
        </w:tabs>
        <w:ind w:left="360"/>
      </w:pPr>
      <w:r>
        <w:t>GA</w:t>
      </w:r>
      <w:r>
        <w:tab/>
        <w:t>Gender Assessment</w:t>
      </w:r>
    </w:p>
    <w:p w14:paraId="661BD666" w14:textId="77777777" w:rsidR="002A142B" w:rsidRDefault="002A142B" w:rsidP="002C54FF">
      <w:pPr>
        <w:tabs>
          <w:tab w:val="left" w:pos="2880"/>
        </w:tabs>
        <w:ind w:left="360"/>
      </w:pPr>
      <w:r>
        <w:t>GHG</w:t>
      </w:r>
      <w:r>
        <w:tab/>
        <w:t>Greenhouse Gases</w:t>
      </w:r>
    </w:p>
    <w:p w14:paraId="54FCEE4E" w14:textId="77777777" w:rsidR="002A142B" w:rsidRDefault="002A142B" w:rsidP="00973D46">
      <w:pPr>
        <w:tabs>
          <w:tab w:val="left" w:pos="2880"/>
        </w:tabs>
        <w:ind w:left="360"/>
      </w:pPr>
      <w:r>
        <w:t>GRM</w:t>
      </w:r>
      <w:r>
        <w:tab/>
        <w:t>Grievance Redress Mechanism</w:t>
      </w:r>
    </w:p>
    <w:p w14:paraId="064F0BB8" w14:textId="77777777" w:rsidR="002A142B" w:rsidRDefault="002A142B" w:rsidP="002C54FF">
      <w:pPr>
        <w:tabs>
          <w:tab w:val="left" w:pos="2880"/>
        </w:tabs>
        <w:ind w:left="360"/>
      </w:pPr>
      <w:r>
        <w:t>IBRD</w:t>
      </w:r>
      <w:r>
        <w:tab/>
        <w:t>International Bank for Reconstruction and Development</w:t>
      </w:r>
    </w:p>
    <w:p w14:paraId="21813C1B" w14:textId="77777777" w:rsidR="002A142B" w:rsidRDefault="002A142B" w:rsidP="002C54FF">
      <w:pPr>
        <w:tabs>
          <w:tab w:val="left" w:pos="2880"/>
        </w:tabs>
        <w:ind w:left="360"/>
      </w:pPr>
      <w:r>
        <w:t>IDA</w:t>
      </w:r>
      <w:r>
        <w:tab/>
        <w:t>International Development Association</w:t>
      </w:r>
    </w:p>
    <w:p w14:paraId="75EB9C5D" w14:textId="77777777" w:rsidR="002A142B" w:rsidRDefault="002A142B" w:rsidP="002C54FF">
      <w:pPr>
        <w:tabs>
          <w:tab w:val="left" w:pos="2880"/>
        </w:tabs>
        <w:ind w:left="360"/>
      </w:pPr>
      <w:r>
        <w:t>IDB</w:t>
      </w:r>
      <w:r>
        <w:tab/>
        <w:t>Inter-American Development Bank</w:t>
      </w:r>
    </w:p>
    <w:p w14:paraId="6ADAA3B4" w14:textId="77777777" w:rsidR="002A142B" w:rsidRDefault="002A142B" w:rsidP="002C54FF">
      <w:pPr>
        <w:tabs>
          <w:tab w:val="left" w:pos="2880"/>
        </w:tabs>
        <w:ind w:left="360"/>
      </w:pPr>
      <w:r>
        <w:t>IEG</w:t>
      </w:r>
      <w:r>
        <w:tab/>
        <w:t>Independent Evaluation Group</w:t>
      </w:r>
    </w:p>
    <w:p w14:paraId="60C71D69" w14:textId="77777777" w:rsidR="002A142B" w:rsidRDefault="002A142B" w:rsidP="002C54FF">
      <w:pPr>
        <w:tabs>
          <w:tab w:val="left" w:pos="2880"/>
        </w:tabs>
        <w:ind w:left="360"/>
      </w:pPr>
      <w:r>
        <w:t>IFC</w:t>
      </w:r>
      <w:r>
        <w:tab/>
        <w:t>International Finance Corporation</w:t>
      </w:r>
    </w:p>
    <w:p w14:paraId="51C02A12" w14:textId="77777777" w:rsidR="002A142B" w:rsidRDefault="002A142B" w:rsidP="00973D46">
      <w:pPr>
        <w:tabs>
          <w:tab w:val="left" w:pos="2880"/>
        </w:tabs>
        <w:ind w:left="360"/>
      </w:pPr>
      <w:r>
        <w:t>IG</w:t>
      </w:r>
      <w:r>
        <w:tab/>
        <w:t>Implementation Guidelines</w:t>
      </w:r>
    </w:p>
    <w:p w14:paraId="541AE814" w14:textId="77777777" w:rsidR="002A142B" w:rsidRDefault="002A142B" w:rsidP="002C54FF">
      <w:pPr>
        <w:tabs>
          <w:tab w:val="left" w:pos="2880"/>
        </w:tabs>
        <w:ind w:left="360"/>
      </w:pPr>
      <w:r>
        <w:t>ILO</w:t>
      </w:r>
      <w:r>
        <w:tab/>
        <w:t>International Labour Organization</w:t>
      </w:r>
    </w:p>
    <w:p w14:paraId="2746248E" w14:textId="77777777" w:rsidR="002A142B" w:rsidRDefault="002A142B" w:rsidP="00973D46">
      <w:pPr>
        <w:tabs>
          <w:tab w:val="left" w:pos="2880"/>
        </w:tabs>
        <w:ind w:left="360"/>
      </w:pPr>
      <w:r>
        <w:t>IP</w:t>
      </w:r>
      <w:r>
        <w:tab/>
        <w:t>Indigenous Peoples</w:t>
      </w:r>
    </w:p>
    <w:p w14:paraId="48F51488" w14:textId="77777777" w:rsidR="002A142B" w:rsidRDefault="002A142B" w:rsidP="00973D46">
      <w:pPr>
        <w:tabs>
          <w:tab w:val="left" w:pos="2880"/>
        </w:tabs>
        <w:ind w:left="360"/>
      </w:pPr>
      <w:r>
        <w:t>IPP</w:t>
      </w:r>
      <w:r>
        <w:tab/>
        <w:t>Indigenous Peoples Plan</w:t>
      </w:r>
    </w:p>
    <w:p w14:paraId="7D21810A" w14:textId="77777777" w:rsidR="002A142B" w:rsidRDefault="002A142B" w:rsidP="002C54FF">
      <w:pPr>
        <w:tabs>
          <w:tab w:val="left" w:pos="2880"/>
        </w:tabs>
        <w:ind w:left="360"/>
      </w:pPr>
      <w:r>
        <w:t>IR</w:t>
      </w:r>
      <w:r>
        <w:tab/>
        <w:t>Involuntary resettlement</w:t>
      </w:r>
    </w:p>
    <w:p w14:paraId="09606275" w14:textId="77777777" w:rsidR="002A142B" w:rsidRDefault="002A142B" w:rsidP="002C54FF">
      <w:pPr>
        <w:tabs>
          <w:tab w:val="left" w:pos="2880"/>
        </w:tabs>
        <w:ind w:left="360"/>
      </w:pPr>
      <w:r>
        <w:t>IRPG</w:t>
      </w:r>
      <w:r>
        <w:tab/>
        <w:t>Involuntary Resettlement Principles and Guidelines</w:t>
      </w:r>
    </w:p>
    <w:p w14:paraId="51ADE5DD" w14:textId="77777777" w:rsidR="002A142B" w:rsidRDefault="002A142B" w:rsidP="002C54FF">
      <w:pPr>
        <w:tabs>
          <w:tab w:val="left" w:pos="2880"/>
        </w:tabs>
        <w:ind w:left="360"/>
      </w:pPr>
      <w:r>
        <w:t>ISS</w:t>
      </w:r>
      <w:r>
        <w:tab/>
        <w:t>Integrated Safeguards System</w:t>
      </w:r>
    </w:p>
    <w:p w14:paraId="17583471" w14:textId="77777777" w:rsidR="002A142B" w:rsidRDefault="002A142B" w:rsidP="002C54FF">
      <w:pPr>
        <w:tabs>
          <w:tab w:val="left" w:pos="2880"/>
        </w:tabs>
        <w:ind w:left="360"/>
      </w:pPr>
      <w:r>
        <w:t>MDB</w:t>
      </w:r>
      <w:r>
        <w:tab/>
        <w:t>Multilateral Development Banks</w:t>
      </w:r>
    </w:p>
    <w:p w14:paraId="2DE08EC5" w14:textId="77777777" w:rsidR="002A142B" w:rsidRDefault="002A142B" w:rsidP="002C54FF">
      <w:pPr>
        <w:tabs>
          <w:tab w:val="left" w:pos="2880"/>
        </w:tabs>
        <w:ind w:left="360"/>
      </w:pPr>
      <w:r>
        <w:t>MEA</w:t>
      </w:r>
      <w:r>
        <w:tab/>
        <w:t>Multilateral Environmental Agreement</w:t>
      </w:r>
    </w:p>
    <w:p w14:paraId="1AD1EC7E" w14:textId="77777777" w:rsidR="002A142B" w:rsidRDefault="002A142B" w:rsidP="002C54FF">
      <w:pPr>
        <w:tabs>
          <w:tab w:val="left" w:pos="2880"/>
        </w:tabs>
        <w:ind w:left="360"/>
      </w:pPr>
      <w:r>
        <w:t>MIGA</w:t>
      </w:r>
      <w:r>
        <w:tab/>
        <w:t>Multilateral Investment Guarantee Agency</w:t>
      </w:r>
    </w:p>
    <w:p w14:paraId="026A57D9" w14:textId="77777777" w:rsidR="002A142B" w:rsidRDefault="002A142B" w:rsidP="00973D46">
      <w:pPr>
        <w:tabs>
          <w:tab w:val="left" w:pos="2880"/>
        </w:tabs>
        <w:ind w:left="360"/>
      </w:pPr>
      <w:r>
        <w:t>MIIF</w:t>
      </w:r>
      <w:r>
        <w:tab/>
        <w:t xml:space="preserve">Multilateral Investment Fund </w:t>
      </w:r>
    </w:p>
    <w:p w14:paraId="44B8CA8B" w14:textId="77777777" w:rsidR="002A142B" w:rsidRDefault="002A142B" w:rsidP="00973D46">
      <w:pPr>
        <w:tabs>
          <w:tab w:val="left" w:pos="2880"/>
        </w:tabs>
        <w:ind w:left="360"/>
      </w:pPr>
      <w:r>
        <w:t>MOU</w:t>
      </w:r>
      <w:r>
        <w:tab/>
        <w:t>Memorandum of Understanding</w:t>
      </w:r>
    </w:p>
    <w:p w14:paraId="003EFE82" w14:textId="77777777" w:rsidR="002A142B" w:rsidRDefault="002A142B" w:rsidP="002C54FF">
      <w:pPr>
        <w:tabs>
          <w:tab w:val="left" w:pos="2880"/>
        </w:tabs>
        <w:ind w:left="360"/>
      </w:pPr>
      <w:r>
        <w:t>OM</w:t>
      </w:r>
      <w:r>
        <w:tab/>
        <w:t>Operational Manual</w:t>
      </w:r>
    </w:p>
    <w:p w14:paraId="0BB67AB3" w14:textId="77777777" w:rsidR="002A142B" w:rsidRDefault="002A142B" w:rsidP="002C54FF">
      <w:pPr>
        <w:tabs>
          <w:tab w:val="left" w:pos="2880"/>
        </w:tabs>
        <w:ind w:left="360"/>
      </w:pPr>
      <w:r>
        <w:t>OP</w:t>
      </w:r>
      <w:r>
        <w:tab/>
        <w:t>Operational Policy</w:t>
      </w:r>
    </w:p>
    <w:p w14:paraId="728DE4B7" w14:textId="77777777" w:rsidR="002A142B" w:rsidRDefault="002A142B" w:rsidP="002C54FF">
      <w:pPr>
        <w:tabs>
          <w:tab w:val="left" w:pos="2880"/>
        </w:tabs>
        <w:ind w:left="360"/>
      </w:pPr>
      <w:r>
        <w:t>OS</w:t>
      </w:r>
      <w:r>
        <w:tab/>
        <w:t>Operational Safeguard</w:t>
      </w:r>
    </w:p>
    <w:p w14:paraId="488C37D5" w14:textId="77777777" w:rsidR="002A142B" w:rsidRDefault="002A142B" w:rsidP="002C54FF">
      <w:pPr>
        <w:tabs>
          <w:tab w:val="left" w:pos="2880"/>
        </w:tabs>
        <w:ind w:left="360"/>
      </w:pPr>
      <w:r>
        <w:t>PR</w:t>
      </w:r>
      <w:r>
        <w:tab/>
        <w:t>Performance Requirement</w:t>
      </w:r>
    </w:p>
    <w:p w14:paraId="4646BE92" w14:textId="77777777" w:rsidR="002A142B" w:rsidRDefault="002A142B" w:rsidP="002C54FF">
      <w:pPr>
        <w:tabs>
          <w:tab w:val="left" w:pos="2880"/>
        </w:tabs>
        <w:ind w:left="360"/>
      </w:pPr>
      <w:r>
        <w:t>PS</w:t>
      </w:r>
      <w:r>
        <w:tab/>
        <w:t>Performance Standard</w:t>
      </w:r>
    </w:p>
    <w:p w14:paraId="2309B8DD" w14:textId="77777777" w:rsidR="002A142B" w:rsidRDefault="002A142B" w:rsidP="00973D46">
      <w:pPr>
        <w:tabs>
          <w:tab w:val="left" w:pos="2880"/>
        </w:tabs>
        <w:ind w:left="360"/>
      </w:pPr>
      <w:r>
        <w:t>RAP</w:t>
      </w:r>
      <w:r>
        <w:tab/>
        <w:t>Resettlement Action Plan</w:t>
      </w:r>
    </w:p>
    <w:p w14:paraId="4705B73F" w14:textId="77777777" w:rsidR="002A142B" w:rsidRDefault="002A142B" w:rsidP="00973D46">
      <w:pPr>
        <w:tabs>
          <w:tab w:val="left" w:pos="2880"/>
        </w:tabs>
        <w:ind w:left="360"/>
      </w:pPr>
      <w:r>
        <w:t>SEA</w:t>
      </w:r>
      <w:r>
        <w:tab/>
        <w:t>Strategic Environmental Assessment</w:t>
      </w:r>
    </w:p>
    <w:p w14:paraId="4153D83C" w14:textId="77777777" w:rsidR="002A142B" w:rsidRDefault="002A142B" w:rsidP="002C54FF">
      <w:pPr>
        <w:tabs>
          <w:tab w:val="left" w:pos="2880"/>
        </w:tabs>
        <w:ind w:left="360"/>
      </w:pPr>
      <w:r>
        <w:t>SESA</w:t>
      </w:r>
      <w:r>
        <w:tab/>
        <w:t>Strategic Environmental and Social Assessment</w:t>
      </w:r>
    </w:p>
    <w:p w14:paraId="489B424C" w14:textId="77777777" w:rsidR="002A142B" w:rsidRDefault="002A142B" w:rsidP="00973D46">
      <w:pPr>
        <w:tabs>
          <w:tab w:val="left" w:pos="2880"/>
        </w:tabs>
        <w:ind w:left="360"/>
      </w:pPr>
      <w:r>
        <w:t>SPS</w:t>
      </w:r>
      <w:r>
        <w:tab/>
        <w:t>Safeguard Policy Statement</w:t>
      </w:r>
    </w:p>
    <w:p w14:paraId="074B48E9" w14:textId="77777777" w:rsidR="002A142B" w:rsidRDefault="002A142B" w:rsidP="00973D46">
      <w:pPr>
        <w:tabs>
          <w:tab w:val="left" w:pos="2880"/>
        </w:tabs>
        <w:ind w:left="360"/>
      </w:pPr>
      <w:r>
        <w:t>SR</w:t>
      </w:r>
      <w:r>
        <w:tab/>
        <w:t>Safeguard Requirement</w:t>
      </w:r>
    </w:p>
    <w:p w14:paraId="6E38CA50" w14:textId="77777777" w:rsidR="002A142B" w:rsidRDefault="002A142B" w:rsidP="002C54FF">
      <w:pPr>
        <w:tabs>
          <w:tab w:val="left" w:pos="2880"/>
        </w:tabs>
        <w:ind w:left="360"/>
      </w:pPr>
      <w:r>
        <w:t>SRU</w:t>
      </w:r>
      <w:r>
        <w:tab/>
        <w:t>Safeguard Review and Update</w:t>
      </w:r>
    </w:p>
    <w:p w14:paraId="13B65DB2" w14:textId="77777777" w:rsidR="002A142B" w:rsidRDefault="002A142B" w:rsidP="002C54FF">
      <w:pPr>
        <w:tabs>
          <w:tab w:val="left" w:pos="2880"/>
        </w:tabs>
        <w:ind w:left="360"/>
      </w:pPr>
      <w:r>
        <w:t>UN</w:t>
      </w:r>
      <w:r>
        <w:tab/>
        <w:t>United Nations</w:t>
      </w:r>
    </w:p>
    <w:p w14:paraId="5635283D" w14:textId="77777777" w:rsidR="002A142B" w:rsidRDefault="002A142B" w:rsidP="00973D46">
      <w:pPr>
        <w:tabs>
          <w:tab w:val="left" w:pos="2880"/>
        </w:tabs>
        <w:ind w:left="360"/>
      </w:pPr>
      <w:r>
        <w:t>UNDRIP</w:t>
      </w:r>
      <w:r>
        <w:tab/>
        <w:t>United Nations Declaration on the Rights of Indigenous Peoples</w:t>
      </w:r>
    </w:p>
    <w:p w14:paraId="50559D4D" w14:textId="77777777" w:rsidR="002A142B" w:rsidRDefault="002A142B" w:rsidP="00973D46">
      <w:pPr>
        <w:tabs>
          <w:tab w:val="left" w:pos="2880"/>
        </w:tabs>
        <w:ind w:left="360"/>
      </w:pPr>
      <w:r>
        <w:t>UNGA</w:t>
      </w:r>
      <w:r>
        <w:tab/>
        <w:t>United Nations General Assembly</w:t>
      </w:r>
    </w:p>
    <w:p w14:paraId="7F807773" w14:textId="77777777" w:rsidR="002A142B" w:rsidRDefault="002A142B" w:rsidP="002C54FF">
      <w:pPr>
        <w:tabs>
          <w:tab w:val="left" w:pos="2880"/>
        </w:tabs>
        <w:ind w:left="360"/>
      </w:pPr>
      <w:r>
        <w:t>WB</w:t>
      </w:r>
      <w:r>
        <w:tab/>
        <w:t>World Bank</w:t>
      </w:r>
    </w:p>
    <w:p w14:paraId="48B17040" w14:textId="77777777" w:rsidR="002A142B" w:rsidRDefault="002A142B" w:rsidP="00973D46">
      <w:pPr>
        <w:tabs>
          <w:tab w:val="left" w:pos="2880"/>
        </w:tabs>
        <w:ind w:left="360"/>
      </w:pPr>
    </w:p>
    <w:p w14:paraId="4AE81894" w14:textId="77777777" w:rsidR="005A37A9" w:rsidRDefault="005A37A9" w:rsidP="00973D46">
      <w:pPr>
        <w:tabs>
          <w:tab w:val="left" w:pos="2880"/>
        </w:tabs>
        <w:ind w:left="360"/>
      </w:pPr>
    </w:p>
    <w:p w14:paraId="410104A1" w14:textId="77777777" w:rsidR="00331009" w:rsidRDefault="00331009" w:rsidP="00973D46">
      <w:pPr>
        <w:tabs>
          <w:tab w:val="left" w:pos="2880"/>
        </w:tabs>
        <w:ind w:left="360"/>
      </w:pPr>
    </w:p>
    <w:p w14:paraId="1512556C" w14:textId="77777777" w:rsidR="00331009" w:rsidRDefault="00331009" w:rsidP="00331009">
      <w:pPr>
        <w:tabs>
          <w:tab w:val="left" w:pos="2880"/>
        </w:tabs>
      </w:pPr>
    </w:p>
    <w:p w14:paraId="5310969D" w14:textId="7A3D82CC" w:rsidR="00973D46" w:rsidRDefault="00973D46" w:rsidP="002C54FF">
      <w:pPr>
        <w:tabs>
          <w:tab w:val="left" w:pos="2880"/>
        </w:tabs>
        <w:ind w:left="360"/>
      </w:pPr>
    </w:p>
    <w:p w14:paraId="4BAB9C1B" w14:textId="37FDB7D0" w:rsidR="00782143" w:rsidRDefault="00782143" w:rsidP="00A009E7"/>
    <w:p w14:paraId="48945B8D" w14:textId="77777777" w:rsidR="00973D46" w:rsidRPr="000F7276" w:rsidRDefault="00973D46" w:rsidP="00A009E7"/>
    <w:p w14:paraId="11908B95" w14:textId="77777777" w:rsidR="00B115BF" w:rsidRPr="000F7276" w:rsidRDefault="00B115BF" w:rsidP="00A009E7">
      <w:pPr>
        <w:sectPr w:rsidR="00B115BF" w:rsidRPr="000F7276" w:rsidSect="00A360F1">
          <w:headerReference w:type="default" r:id="rId8"/>
          <w:footerReference w:type="default" r:id="rId9"/>
          <w:headerReference w:type="first" r:id="rId10"/>
          <w:pgSz w:w="12240" w:h="15840"/>
          <w:pgMar w:top="1440" w:right="1440" w:bottom="1440" w:left="1440" w:header="720" w:footer="720" w:gutter="0"/>
          <w:pgNumType w:fmt="lowerRoman"/>
          <w:cols w:space="720"/>
          <w:titlePg/>
          <w:docGrid w:linePitch="360"/>
        </w:sectPr>
      </w:pPr>
    </w:p>
    <w:p w14:paraId="71478973" w14:textId="77777777" w:rsidR="00EB1A1D" w:rsidRPr="000F7276" w:rsidRDefault="00291BB8" w:rsidP="00A009E7">
      <w:pPr>
        <w:pStyle w:val="hhhead1"/>
        <w:numPr>
          <w:ilvl w:val="0"/>
          <w:numId w:val="0"/>
        </w:numPr>
        <w:ind w:left="360" w:hanging="360"/>
        <w:jc w:val="center"/>
      </w:pPr>
      <w:bookmarkStart w:id="1" w:name="_Toc419114244"/>
      <w:r w:rsidRPr="000F7276">
        <w:rPr>
          <w:caps w:val="0"/>
        </w:rPr>
        <w:t>Executive Summary</w:t>
      </w:r>
      <w:bookmarkEnd w:id="1"/>
    </w:p>
    <w:p w14:paraId="1DF7B19D" w14:textId="77777777" w:rsidR="00A009E7" w:rsidRDefault="004C460A" w:rsidP="00A009E7">
      <w:pPr>
        <w:spacing w:after="240"/>
        <w:rPr>
          <w:rFonts w:asciiTheme="minorHAnsi" w:hAnsiTheme="minorHAnsi"/>
          <w:bCs/>
          <w:sz w:val="24"/>
          <w:szCs w:val="24"/>
        </w:rPr>
      </w:pPr>
      <w:r w:rsidRPr="000F7276">
        <w:rPr>
          <w:rFonts w:asciiTheme="minorHAnsi" w:hAnsiTheme="minorHAnsi"/>
          <w:bCs/>
          <w:sz w:val="24"/>
          <w:szCs w:val="24"/>
        </w:rPr>
        <w:t xml:space="preserve">A </w:t>
      </w:r>
      <w:r w:rsidR="00EB1A1D" w:rsidRPr="000F7276">
        <w:rPr>
          <w:rFonts w:asciiTheme="minorHAnsi" w:hAnsiTheme="minorHAnsi"/>
          <w:bCs/>
          <w:sz w:val="24"/>
          <w:szCs w:val="24"/>
        </w:rPr>
        <w:t xml:space="preserve">comparative review was conducted for the purpose of informing Bank Management, staff and stakeholders of the salient differences between the existing environmental and social safeguard policies of the World Bank (IBRD/IDA) and the corresponding safeguard policies of the other major Multilateral Development Banks (MDBs). </w:t>
      </w:r>
    </w:p>
    <w:p w14:paraId="4E0F071D" w14:textId="6BF506D5" w:rsidR="00A009E7" w:rsidRDefault="00EB1A1D" w:rsidP="00A009E7">
      <w:pPr>
        <w:spacing w:after="240"/>
        <w:rPr>
          <w:rFonts w:asciiTheme="minorHAnsi" w:hAnsiTheme="minorHAnsi"/>
          <w:bCs/>
          <w:sz w:val="24"/>
          <w:szCs w:val="24"/>
        </w:rPr>
      </w:pPr>
      <w:r w:rsidRPr="000F7276">
        <w:rPr>
          <w:rFonts w:asciiTheme="minorHAnsi" w:hAnsiTheme="minorHAnsi"/>
          <w:bCs/>
          <w:sz w:val="24"/>
          <w:szCs w:val="24"/>
        </w:rPr>
        <w:t>The institutional scope of the review included the regional development banks that provide investment lending services similar to those of the World Bank and that serve</w:t>
      </w:r>
      <w:r w:rsidR="00610727">
        <w:rPr>
          <w:rFonts w:asciiTheme="minorHAnsi" w:hAnsiTheme="minorHAnsi"/>
          <w:bCs/>
          <w:sz w:val="24"/>
          <w:szCs w:val="24"/>
        </w:rPr>
        <w:t>,</w:t>
      </w:r>
      <w:r w:rsidRPr="000F7276">
        <w:rPr>
          <w:rFonts w:asciiTheme="minorHAnsi" w:hAnsiTheme="minorHAnsi"/>
          <w:bCs/>
          <w:sz w:val="24"/>
          <w:szCs w:val="24"/>
        </w:rPr>
        <w:t xml:space="preserve"> respectively</w:t>
      </w:r>
      <w:r w:rsidR="00610727">
        <w:rPr>
          <w:rFonts w:asciiTheme="minorHAnsi" w:hAnsiTheme="minorHAnsi"/>
          <w:bCs/>
          <w:sz w:val="24"/>
          <w:szCs w:val="24"/>
        </w:rPr>
        <w:t>,</w:t>
      </w:r>
      <w:r w:rsidRPr="000F7276">
        <w:rPr>
          <w:rFonts w:asciiTheme="minorHAnsi" w:hAnsiTheme="minorHAnsi"/>
          <w:bCs/>
          <w:sz w:val="24"/>
          <w:szCs w:val="24"/>
        </w:rPr>
        <w:t xml:space="preserve"> the following regions (with some </w:t>
      </w:r>
      <w:r w:rsidR="002C54FF">
        <w:rPr>
          <w:rFonts w:asciiTheme="minorHAnsi" w:hAnsiTheme="minorHAnsi"/>
          <w:bCs/>
          <w:sz w:val="24"/>
          <w:szCs w:val="24"/>
        </w:rPr>
        <w:t>overlap): greater Asia-Pacific – Asian Development Bank (ADB); Africa – African Development Bank (AfDB</w:t>
      </w:r>
      <w:r w:rsidRPr="000F7276">
        <w:rPr>
          <w:rFonts w:asciiTheme="minorHAnsi" w:hAnsiTheme="minorHAnsi"/>
          <w:bCs/>
          <w:sz w:val="24"/>
          <w:szCs w:val="24"/>
        </w:rPr>
        <w:t>);</w:t>
      </w:r>
      <w:r w:rsidRPr="000F7276">
        <w:rPr>
          <w:rFonts w:asciiTheme="minorHAnsi" w:hAnsiTheme="minorHAnsi"/>
          <w:b/>
          <w:bCs/>
          <w:sz w:val="24"/>
          <w:szCs w:val="24"/>
        </w:rPr>
        <w:t xml:space="preserve"> </w:t>
      </w:r>
      <w:r w:rsidR="002C54FF">
        <w:rPr>
          <w:rFonts w:asciiTheme="minorHAnsi" w:hAnsiTheme="minorHAnsi"/>
          <w:bCs/>
          <w:sz w:val="24"/>
          <w:szCs w:val="24"/>
        </w:rPr>
        <w:t>Europe and Central Asia – European Bank for Reconstruction and Development (EBRD) and European Investment Bank (EIB</w:t>
      </w:r>
      <w:r w:rsidRPr="000F7276">
        <w:rPr>
          <w:rFonts w:asciiTheme="minorHAnsi" w:hAnsiTheme="minorHAnsi"/>
          <w:bCs/>
          <w:sz w:val="24"/>
          <w:szCs w:val="24"/>
        </w:rPr>
        <w:t>)</w:t>
      </w:r>
      <w:r w:rsidR="006F4234" w:rsidRPr="000F7276">
        <w:rPr>
          <w:rFonts w:asciiTheme="minorHAnsi" w:hAnsiTheme="minorHAnsi"/>
          <w:bCs/>
          <w:sz w:val="24"/>
          <w:szCs w:val="24"/>
        </w:rPr>
        <w:t>;</w:t>
      </w:r>
      <w:r w:rsidRPr="000F7276">
        <w:rPr>
          <w:vertAlign w:val="superscript"/>
        </w:rPr>
        <w:footnoteReference w:id="1"/>
      </w:r>
      <w:r w:rsidR="002C54FF">
        <w:rPr>
          <w:rFonts w:asciiTheme="minorHAnsi" w:hAnsiTheme="minorHAnsi"/>
          <w:bCs/>
          <w:sz w:val="24"/>
          <w:szCs w:val="24"/>
        </w:rPr>
        <w:t xml:space="preserve"> and Latin America-Caribbean – Inter-American Development Bank (IDB</w:t>
      </w:r>
      <w:r w:rsidRPr="000F7276">
        <w:rPr>
          <w:rFonts w:asciiTheme="minorHAnsi" w:hAnsiTheme="minorHAnsi"/>
          <w:bCs/>
          <w:sz w:val="24"/>
          <w:szCs w:val="24"/>
        </w:rPr>
        <w:t>). For some purposes the scope of the review was broadened to include the two institutions that lend p</w:t>
      </w:r>
      <w:r w:rsidR="002C54FF">
        <w:rPr>
          <w:rFonts w:asciiTheme="minorHAnsi" w:hAnsiTheme="minorHAnsi"/>
          <w:bCs/>
          <w:sz w:val="24"/>
          <w:szCs w:val="24"/>
        </w:rPr>
        <w:t>rimarily to the private sector, the International Finance Corporation (</w:t>
      </w:r>
      <w:r w:rsidRPr="000F7276">
        <w:rPr>
          <w:rFonts w:asciiTheme="minorHAnsi" w:hAnsiTheme="minorHAnsi"/>
          <w:bCs/>
          <w:sz w:val="24"/>
          <w:szCs w:val="24"/>
        </w:rPr>
        <w:t>IFC</w:t>
      </w:r>
      <w:r w:rsidR="002C54FF">
        <w:rPr>
          <w:rFonts w:asciiTheme="minorHAnsi" w:hAnsiTheme="minorHAnsi"/>
          <w:bCs/>
          <w:sz w:val="24"/>
          <w:szCs w:val="24"/>
        </w:rPr>
        <w:t>)</w:t>
      </w:r>
      <w:r w:rsidRPr="000F7276">
        <w:rPr>
          <w:vertAlign w:val="superscript"/>
        </w:rPr>
        <w:footnoteReference w:id="2"/>
      </w:r>
      <w:r w:rsidR="002C54FF">
        <w:rPr>
          <w:rFonts w:asciiTheme="minorHAnsi" w:hAnsiTheme="minorHAnsi"/>
          <w:bCs/>
          <w:sz w:val="24"/>
          <w:szCs w:val="24"/>
        </w:rPr>
        <w:t xml:space="preserve"> and EBRD,</w:t>
      </w:r>
      <w:r w:rsidRPr="000F7276">
        <w:rPr>
          <w:rFonts w:asciiTheme="minorHAnsi" w:hAnsiTheme="minorHAnsi"/>
          <w:bCs/>
          <w:sz w:val="24"/>
          <w:szCs w:val="24"/>
        </w:rPr>
        <w:t xml:space="preserve"> whereas for other purposes the scope was limited to those institutions that, like the World Bank, lend primarily to the public sector (ADB, AfDB, EIB, and IDB). </w:t>
      </w:r>
    </w:p>
    <w:p w14:paraId="175C4D75" w14:textId="77777777" w:rsidR="00A009E7" w:rsidRDefault="00EB1A1D" w:rsidP="00A009E7">
      <w:pPr>
        <w:spacing w:after="240"/>
        <w:rPr>
          <w:rFonts w:asciiTheme="minorHAnsi" w:hAnsiTheme="minorHAnsi"/>
          <w:bCs/>
          <w:sz w:val="24"/>
          <w:szCs w:val="24"/>
        </w:rPr>
      </w:pPr>
      <w:r w:rsidRPr="000F7276">
        <w:rPr>
          <w:rFonts w:asciiTheme="minorHAnsi" w:hAnsiTheme="minorHAnsi"/>
          <w:bCs/>
          <w:sz w:val="24"/>
          <w:szCs w:val="24"/>
        </w:rPr>
        <w:t>The review included the structure (or “architecture”) of each institution’s safeguard framework</w:t>
      </w:r>
      <w:r w:rsidR="00F1482E" w:rsidRPr="000F7276">
        <w:rPr>
          <w:rFonts w:asciiTheme="minorHAnsi" w:hAnsiTheme="minorHAnsi"/>
          <w:bCs/>
          <w:sz w:val="24"/>
          <w:szCs w:val="24"/>
        </w:rPr>
        <w:t xml:space="preserve">; </w:t>
      </w:r>
      <w:r w:rsidRPr="000F7276">
        <w:rPr>
          <w:rFonts w:asciiTheme="minorHAnsi" w:hAnsiTheme="minorHAnsi"/>
          <w:bCs/>
          <w:sz w:val="24"/>
          <w:szCs w:val="24"/>
        </w:rPr>
        <w:t>the scope and application of their respective environmental and social safeguard systems</w:t>
      </w:r>
      <w:r w:rsidR="00610727">
        <w:rPr>
          <w:rFonts w:asciiTheme="minorHAnsi" w:hAnsiTheme="minorHAnsi"/>
          <w:bCs/>
          <w:sz w:val="24"/>
          <w:szCs w:val="24"/>
        </w:rPr>
        <w:t>;</w:t>
      </w:r>
      <w:r w:rsidRPr="000F7276">
        <w:rPr>
          <w:rFonts w:asciiTheme="minorHAnsi" w:hAnsiTheme="minorHAnsi"/>
          <w:bCs/>
          <w:sz w:val="24"/>
          <w:szCs w:val="24"/>
        </w:rPr>
        <w:t xml:space="preserve"> thematic coverage of environmental and social safeguard impacts and risks</w:t>
      </w:r>
      <w:r w:rsidR="00F1482E" w:rsidRPr="000F7276">
        <w:rPr>
          <w:rFonts w:asciiTheme="minorHAnsi" w:hAnsiTheme="minorHAnsi"/>
          <w:bCs/>
          <w:sz w:val="24"/>
          <w:szCs w:val="24"/>
        </w:rPr>
        <w:t>;</w:t>
      </w:r>
      <w:r w:rsidRPr="000F7276">
        <w:rPr>
          <w:rFonts w:asciiTheme="minorHAnsi" w:hAnsiTheme="minorHAnsi"/>
          <w:bCs/>
          <w:sz w:val="24"/>
          <w:szCs w:val="24"/>
        </w:rPr>
        <w:t xml:space="preserve"> and specific operational requirements applicable to borrowers insofar as these correspond to existing World Bank Operational Policies </w:t>
      </w:r>
      <w:r w:rsidR="00F1482E" w:rsidRPr="000F7276">
        <w:rPr>
          <w:rFonts w:asciiTheme="minorHAnsi" w:hAnsiTheme="minorHAnsi"/>
          <w:bCs/>
          <w:sz w:val="24"/>
          <w:szCs w:val="24"/>
        </w:rPr>
        <w:t xml:space="preserve">(OPs) </w:t>
      </w:r>
      <w:r w:rsidRPr="000F7276">
        <w:rPr>
          <w:rFonts w:asciiTheme="minorHAnsi" w:hAnsiTheme="minorHAnsi"/>
          <w:bCs/>
          <w:sz w:val="24"/>
          <w:szCs w:val="24"/>
        </w:rPr>
        <w:t>for environmental and social safeguards.</w:t>
      </w:r>
      <w:r w:rsidR="00F1482E" w:rsidRPr="000F7276">
        <w:rPr>
          <w:rFonts w:asciiTheme="minorHAnsi" w:hAnsiTheme="minorHAnsi"/>
          <w:bCs/>
          <w:sz w:val="24"/>
          <w:szCs w:val="24"/>
        </w:rPr>
        <w:t xml:space="preserve">  </w:t>
      </w:r>
    </w:p>
    <w:p w14:paraId="62696588" w14:textId="77777777" w:rsidR="00A009E7" w:rsidRDefault="00F1482E" w:rsidP="00A009E7">
      <w:pPr>
        <w:spacing w:after="240"/>
        <w:rPr>
          <w:rFonts w:asciiTheme="minorHAnsi" w:hAnsiTheme="minorHAnsi"/>
          <w:bCs/>
          <w:sz w:val="24"/>
          <w:szCs w:val="24"/>
        </w:rPr>
      </w:pPr>
      <w:r w:rsidRPr="000F7276">
        <w:rPr>
          <w:rFonts w:asciiTheme="minorHAnsi" w:hAnsiTheme="minorHAnsi"/>
          <w:bCs/>
          <w:sz w:val="24"/>
          <w:szCs w:val="24"/>
        </w:rPr>
        <w:t>With respect to the OPs it should be noted that comparisons are limited to corresponding MDB policies that are</w:t>
      </w:r>
      <w:r w:rsidR="00610727">
        <w:rPr>
          <w:rFonts w:asciiTheme="minorHAnsi" w:hAnsiTheme="minorHAnsi"/>
          <w:bCs/>
          <w:sz w:val="24"/>
          <w:szCs w:val="24"/>
        </w:rPr>
        <w:t>:</w:t>
      </w:r>
      <w:r w:rsidRPr="000F7276">
        <w:rPr>
          <w:rFonts w:asciiTheme="minorHAnsi" w:hAnsiTheme="minorHAnsi"/>
          <w:bCs/>
          <w:sz w:val="24"/>
          <w:szCs w:val="24"/>
        </w:rPr>
        <w:t xml:space="preserve"> (1) Board-approved; (2) mandatory (rather than aspirational or recommended good practice, e.g.</w:t>
      </w:r>
      <w:r w:rsidR="00610727">
        <w:rPr>
          <w:rFonts w:asciiTheme="minorHAnsi" w:hAnsiTheme="minorHAnsi"/>
          <w:bCs/>
          <w:sz w:val="24"/>
          <w:szCs w:val="24"/>
        </w:rPr>
        <w:t>,</w:t>
      </w:r>
      <w:r w:rsidRPr="000F7276">
        <w:rPr>
          <w:rFonts w:asciiTheme="minorHAnsi" w:hAnsiTheme="minorHAnsi"/>
          <w:bCs/>
          <w:sz w:val="24"/>
          <w:szCs w:val="24"/>
        </w:rPr>
        <w:t xml:space="preserve"> “guidelines”</w:t>
      </w:r>
      <w:r w:rsidR="00610727">
        <w:rPr>
          <w:rFonts w:asciiTheme="minorHAnsi" w:hAnsiTheme="minorHAnsi"/>
          <w:bCs/>
          <w:sz w:val="24"/>
          <w:szCs w:val="24"/>
        </w:rPr>
        <w:t>)</w:t>
      </w:r>
      <w:r w:rsidRPr="000F7276">
        <w:rPr>
          <w:rFonts w:asciiTheme="minorHAnsi" w:hAnsiTheme="minorHAnsi"/>
          <w:bCs/>
          <w:sz w:val="24"/>
          <w:szCs w:val="24"/>
        </w:rPr>
        <w:t>; and (3) applicable in the first instance to bor</w:t>
      </w:r>
      <w:r w:rsidR="00610727">
        <w:rPr>
          <w:rFonts w:asciiTheme="minorHAnsi" w:hAnsiTheme="minorHAnsi"/>
          <w:bCs/>
          <w:sz w:val="24"/>
          <w:szCs w:val="24"/>
        </w:rPr>
        <w:t>rowers rather than to the MDBs.</w:t>
      </w:r>
      <w:r w:rsidRPr="000F7276">
        <w:rPr>
          <w:rStyle w:val="FootnoteReference"/>
          <w:rFonts w:asciiTheme="minorHAnsi" w:hAnsiTheme="minorHAnsi"/>
          <w:bCs/>
          <w:sz w:val="24"/>
          <w:szCs w:val="24"/>
        </w:rPr>
        <w:footnoteReference w:id="3"/>
      </w:r>
    </w:p>
    <w:p w14:paraId="598BA163" w14:textId="77777777" w:rsidR="00A009E7" w:rsidRDefault="00AB19C4" w:rsidP="00A009E7">
      <w:pPr>
        <w:spacing w:after="240"/>
        <w:rPr>
          <w:rFonts w:asciiTheme="minorHAnsi" w:hAnsiTheme="minorHAnsi"/>
          <w:bCs/>
          <w:sz w:val="24"/>
          <w:szCs w:val="24"/>
        </w:rPr>
      </w:pPr>
      <w:r w:rsidRPr="000F7276">
        <w:rPr>
          <w:rFonts w:asciiTheme="minorHAnsi" w:hAnsiTheme="minorHAnsi"/>
          <w:bCs/>
          <w:sz w:val="24"/>
          <w:szCs w:val="24"/>
        </w:rPr>
        <w:t>Given the intricate nature of the policies and topics that are the object of this review, it should be noted that the comparative work set out in this report is by nature highly interpretative. The reader should ultimately rely on the underlying policies and documents that are the object of this report.</w:t>
      </w:r>
    </w:p>
    <w:p w14:paraId="14B84F21" w14:textId="77777777" w:rsidR="00A009E7" w:rsidRDefault="00EB1A1D" w:rsidP="00A009E7">
      <w:pPr>
        <w:spacing w:after="240"/>
        <w:rPr>
          <w:rFonts w:asciiTheme="minorHAnsi" w:hAnsiTheme="minorHAnsi"/>
          <w:b/>
          <w:bCs/>
          <w:sz w:val="24"/>
          <w:szCs w:val="24"/>
        </w:rPr>
      </w:pPr>
      <w:r w:rsidRPr="000F7276">
        <w:rPr>
          <w:rFonts w:asciiTheme="minorHAnsi" w:hAnsiTheme="minorHAnsi"/>
          <w:b/>
          <w:bCs/>
          <w:sz w:val="24"/>
          <w:szCs w:val="24"/>
        </w:rPr>
        <w:t xml:space="preserve">KEY FINDINGS </w:t>
      </w:r>
    </w:p>
    <w:p w14:paraId="08807081" w14:textId="5F841664" w:rsidR="00E4127C" w:rsidRPr="000F7276" w:rsidRDefault="00EB1A1D" w:rsidP="00A009E7">
      <w:pPr>
        <w:rPr>
          <w:rFonts w:asciiTheme="minorHAnsi" w:hAnsiTheme="minorHAnsi"/>
          <w:b/>
          <w:bCs/>
          <w:sz w:val="24"/>
          <w:szCs w:val="24"/>
        </w:rPr>
      </w:pPr>
      <w:r w:rsidRPr="000F7276">
        <w:rPr>
          <w:rFonts w:asciiTheme="minorHAnsi" w:hAnsiTheme="minorHAnsi"/>
          <w:bCs/>
          <w:sz w:val="24"/>
          <w:szCs w:val="24"/>
        </w:rPr>
        <w:t>MDB safeguard policies have evolved in an iterative manner, accompanied by a deliberate effort to harmonize policies</w:t>
      </w:r>
      <w:r w:rsidR="00610727">
        <w:rPr>
          <w:rFonts w:asciiTheme="minorHAnsi" w:hAnsiTheme="minorHAnsi"/>
          <w:bCs/>
          <w:sz w:val="24"/>
          <w:szCs w:val="24"/>
        </w:rPr>
        <w:t>,</w:t>
      </w:r>
      <w:r w:rsidRPr="000F7276">
        <w:rPr>
          <w:rFonts w:asciiTheme="minorHAnsi" w:hAnsiTheme="minorHAnsi"/>
          <w:bCs/>
          <w:sz w:val="24"/>
          <w:szCs w:val="24"/>
        </w:rPr>
        <w:t xml:space="preserve"> while taking into account regio</w:t>
      </w:r>
      <w:r w:rsidR="00610727">
        <w:rPr>
          <w:rFonts w:asciiTheme="minorHAnsi" w:hAnsiTheme="minorHAnsi"/>
          <w:bCs/>
          <w:sz w:val="24"/>
          <w:szCs w:val="24"/>
        </w:rPr>
        <w:t>nal and stakeholder differences; therefore,</w:t>
      </w:r>
      <w:r w:rsidRPr="000F7276">
        <w:rPr>
          <w:rFonts w:asciiTheme="minorHAnsi" w:hAnsiTheme="minorHAnsi"/>
          <w:bCs/>
          <w:sz w:val="24"/>
          <w:szCs w:val="24"/>
        </w:rPr>
        <w:t xml:space="preserve"> </w:t>
      </w:r>
      <w:r w:rsidR="00064A2E" w:rsidRPr="000F7276">
        <w:rPr>
          <w:rFonts w:asciiTheme="minorHAnsi" w:hAnsiTheme="minorHAnsi"/>
          <w:bCs/>
          <w:sz w:val="24"/>
          <w:szCs w:val="24"/>
        </w:rPr>
        <w:t xml:space="preserve">it is important to acknowledge </w:t>
      </w:r>
      <w:r w:rsidR="00610727">
        <w:rPr>
          <w:rFonts w:asciiTheme="minorHAnsi" w:hAnsiTheme="minorHAnsi"/>
          <w:bCs/>
          <w:sz w:val="24"/>
          <w:szCs w:val="24"/>
        </w:rPr>
        <w:t xml:space="preserve">that </w:t>
      </w:r>
      <w:r w:rsidRPr="000F7276">
        <w:rPr>
          <w:rFonts w:asciiTheme="minorHAnsi" w:hAnsiTheme="minorHAnsi"/>
          <w:bCs/>
          <w:sz w:val="24"/>
          <w:szCs w:val="24"/>
        </w:rPr>
        <w:t xml:space="preserve">there are many similarities between the safeguard policies of the World Bank and its MDB counterparts. </w:t>
      </w:r>
      <w:r w:rsidR="00F71B7D" w:rsidRPr="000F7276">
        <w:t>The primary objective of this report is to inform the ongoing World Bank (“Bank”) Safeguard Review and Update (SRU) about some of the key similarities and differences between the Bank’s existing policies for the assessment and management of environmental and social impacts and risks and the policies of other Multilateral Development Banks (MDBs)</w:t>
      </w:r>
      <w:r w:rsidR="00F71B7D">
        <w:t>.</w:t>
      </w:r>
      <w:r w:rsidR="00F71B7D" w:rsidRPr="000F7276">
        <w:t xml:space="preserve"> </w:t>
      </w:r>
    </w:p>
    <w:p w14:paraId="4268B784" w14:textId="77777777" w:rsidR="00EB1A1D" w:rsidRPr="000F7276" w:rsidRDefault="00EB1A1D" w:rsidP="00A009E7">
      <w:pPr>
        <w:pStyle w:val="ListParagraph"/>
        <w:rPr>
          <w:rFonts w:asciiTheme="minorHAnsi" w:hAnsiTheme="minorHAnsi"/>
          <w:bCs/>
          <w:sz w:val="24"/>
          <w:szCs w:val="24"/>
        </w:rPr>
      </w:pPr>
      <w:r w:rsidRPr="000F7276">
        <w:rPr>
          <w:rFonts w:asciiTheme="minorHAnsi" w:hAnsiTheme="minorHAnsi"/>
          <w:bCs/>
          <w:sz w:val="24"/>
          <w:szCs w:val="24"/>
        </w:rPr>
        <w:t xml:space="preserve"> </w:t>
      </w:r>
    </w:p>
    <w:p w14:paraId="578FF915" w14:textId="695BDC55" w:rsidR="00A009E7" w:rsidRDefault="00EB1A1D" w:rsidP="00A009E7">
      <w:pPr>
        <w:spacing w:after="240"/>
        <w:rPr>
          <w:rFonts w:asciiTheme="minorHAnsi" w:hAnsiTheme="minorHAnsi"/>
          <w:bCs/>
          <w:sz w:val="24"/>
          <w:szCs w:val="24"/>
        </w:rPr>
      </w:pPr>
      <w:r w:rsidRPr="000F7276">
        <w:rPr>
          <w:rFonts w:asciiTheme="minorHAnsi" w:hAnsiTheme="minorHAnsi"/>
          <w:b/>
          <w:sz w:val="24"/>
          <w:szCs w:val="24"/>
        </w:rPr>
        <w:t>1. Structure of MDB Safeguard Systems.</w:t>
      </w:r>
      <w:r w:rsidRPr="000F7276">
        <w:rPr>
          <w:rFonts w:asciiTheme="minorHAnsi" w:hAnsiTheme="minorHAnsi"/>
          <w:bCs/>
          <w:sz w:val="24"/>
          <w:szCs w:val="24"/>
        </w:rPr>
        <w:t xml:space="preserve"> MDB safeguard frameworks reflect diverse institutional governance and administrative structures </w:t>
      </w:r>
      <w:r w:rsidR="00424AAC">
        <w:rPr>
          <w:rFonts w:asciiTheme="minorHAnsi" w:hAnsiTheme="minorHAnsi"/>
          <w:bCs/>
          <w:sz w:val="24"/>
          <w:szCs w:val="24"/>
        </w:rPr>
        <w:t xml:space="preserve">as </w:t>
      </w:r>
      <w:r w:rsidRPr="000F7276">
        <w:rPr>
          <w:rFonts w:asciiTheme="minorHAnsi" w:hAnsiTheme="minorHAnsi"/>
          <w:bCs/>
          <w:sz w:val="24"/>
          <w:szCs w:val="24"/>
        </w:rPr>
        <w:t xml:space="preserve">well as the timing of their respective adoption. </w:t>
      </w:r>
    </w:p>
    <w:p w14:paraId="228DE6EC" w14:textId="5D895E0E" w:rsidR="00A009E7" w:rsidRDefault="00EB1A1D" w:rsidP="00A009E7">
      <w:pPr>
        <w:pStyle w:val="ListParagraph"/>
        <w:numPr>
          <w:ilvl w:val="0"/>
          <w:numId w:val="22"/>
        </w:numPr>
        <w:spacing w:after="240"/>
        <w:ind w:left="720"/>
        <w:rPr>
          <w:rFonts w:asciiTheme="minorHAnsi" w:hAnsiTheme="minorHAnsi"/>
          <w:sz w:val="24"/>
          <w:szCs w:val="24"/>
        </w:rPr>
      </w:pPr>
      <w:r w:rsidRPr="000F7276">
        <w:rPr>
          <w:rFonts w:asciiTheme="minorHAnsi" w:hAnsiTheme="minorHAnsi"/>
          <w:b/>
          <w:i/>
          <w:iCs/>
          <w:sz w:val="24"/>
          <w:szCs w:val="24"/>
        </w:rPr>
        <w:t>Hierarchical Structure</w:t>
      </w:r>
      <w:r w:rsidRPr="000F7276">
        <w:rPr>
          <w:rFonts w:asciiTheme="minorHAnsi" w:hAnsiTheme="minorHAnsi"/>
          <w:i/>
          <w:iCs/>
          <w:sz w:val="24"/>
          <w:szCs w:val="24"/>
        </w:rPr>
        <w:t>.</w:t>
      </w:r>
      <w:r w:rsidRPr="000F7276">
        <w:rPr>
          <w:rFonts w:asciiTheme="minorHAnsi" w:hAnsiTheme="minorHAnsi"/>
          <w:sz w:val="24"/>
          <w:szCs w:val="24"/>
        </w:rPr>
        <w:t xml:space="preserve"> World Bank environmental and social safeguard policies are </w:t>
      </w:r>
      <w:r w:rsidR="00F32416" w:rsidRPr="000F7276">
        <w:rPr>
          <w:rFonts w:asciiTheme="minorHAnsi" w:hAnsiTheme="minorHAnsi"/>
          <w:sz w:val="24"/>
          <w:szCs w:val="24"/>
        </w:rPr>
        <w:t xml:space="preserve">mostly </w:t>
      </w:r>
      <w:r w:rsidR="00B81249">
        <w:rPr>
          <w:rFonts w:asciiTheme="minorHAnsi" w:hAnsiTheme="minorHAnsi"/>
          <w:sz w:val="24"/>
          <w:szCs w:val="24"/>
        </w:rPr>
        <w:t>horizontally</w:t>
      </w:r>
      <w:r w:rsidRPr="000F7276">
        <w:rPr>
          <w:rFonts w:asciiTheme="minorHAnsi" w:hAnsiTheme="minorHAnsi"/>
          <w:sz w:val="24"/>
          <w:szCs w:val="24"/>
        </w:rPr>
        <w:t xml:space="preserve"> structured as stand-alone </w:t>
      </w:r>
      <w:r w:rsidR="00807968">
        <w:rPr>
          <w:rFonts w:asciiTheme="minorHAnsi" w:hAnsiTheme="minorHAnsi"/>
          <w:sz w:val="24"/>
          <w:szCs w:val="24"/>
        </w:rPr>
        <w:t>OPs</w:t>
      </w:r>
      <w:r w:rsidRPr="000F7276">
        <w:rPr>
          <w:rFonts w:asciiTheme="minorHAnsi" w:hAnsiTheme="minorHAnsi"/>
          <w:sz w:val="24"/>
          <w:szCs w:val="24"/>
        </w:rPr>
        <w:t xml:space="preserve"> and corresponding Bank Procedures (BPs), without a</w:t>
      </w:r>
      <w:r w:rsidR="00F32416" w:rsidRPr="000F7276">
        <w:rPr>
          <w:rFonts w:asciiTheme="minorHAnsi" w:hAnsiTheme="minorHAnsi"/>
          <w:sz w:val="24"/>
          <w:szCs w:val="24"/>
        </w:rPr>
        <w:t>n overarching</w:t>
      </w:r>
      <w:r w:rsidRPr="000F7276">
        <w:rPr>
          <w:rFonts w:asciiTheme="minorHAnsi" w:hAnsiTheme="minorHAnsi"/>
          <w:sz w:val="24"/>
          <w:szCs w:val="24"/>
        </w:rPr>
        <w:t xml:space="preserve"> policy statement</w:t>
      </w:r>
      <w:r w:rsidR="00F32416" w:rsidRPr="000F7276">
        <w:rPr>
          <w:rFonts w:asciiTheme="minorHAnsi" w:hAnsiTheme="minorHAnsi"/>
          <w:sz w:val="24"/>
          <w:szCs w:val="24"/>
        </w:rPr>
        <w:t>.</w:t>
      </w:r>
      <w:r w:rsidR="00EA681E" w:rsidRPr="000F7276">
        <w:rPr>
          <w:rFonts w:asciiTheme="minorHAnsi" w:hAnsiTheme="minorHAnsi"/>
          <w:sz w:val="24"/>
          <w:szCs w:val="24"/>
        </w:rPr>
        <w:t xml:space="preserve"> </w:t>
      </w:r>
      <w:r w:rsidRPr="000F7276">
        <w:rPr>
          <w:rFonts w:asciiTheme="minorHAnsi" w:hAnsiTheme="minorHAnsi"/>
          <w:sz w:val="24"/>
          <w:szCs w:val="24"/>
        </w:rPr>
        <w:t xml:space="preserve">Guidance documents are issued in an </w:t>
      </w:r>
      <w:r w:rsidRPr="000F7276">
        <w:rPr>
          <w:rFonts w:asciiTheme="minorHAnsi" w:hAnsiTheme="minorHAnsi"/>
          <w:i/>
          <w:sz w:val="24"/>
          <w:szCs w:val="24"/>
        </w:rPr>
        <w:t>ad hoc</w:t>
      </w:r>
      <w:r w:rsidRPr="000F7276">
        <w:rPr>
          <w:rFonts w:asciiTheme="minorHAnsi" w:hAnsiTheme="minorHAnsi"/>
          <w:sz w:val="24"/>
          <w:szCs w:val="24"/>
        </w:rPr>
        <w:t xml:space="preserve"> manner</w:t>
      </w:r>
      <w:r w:rsidR="00F32416" w:rsidRPr="000F7276">
        <w:rPr>
          <w:rFonts w:asciiTheme="minorHAnsi" w:hAnsiTheme="minorHAnsi"/>
          <w:sz w:val="24"/>
          <w:szCs w:val="24"/>
        </w:rPr>
        <w:t xml:space="preserve"> on a need basis</w:t>
      </w:r>
      <w:r w:rsidRPr="000F7276">
        <w:rPr>
          <w:rFonts w:asciiTheme="minorHAnsi" w:hAnsiTheme="minorHAnsi"/>
          <w:sz w:val="24"/>
          <w:szCs w:val="24"/>
        </w:rPr>
        <w:t xml:space="preserve">. Most other </w:t>
      </w:r>
      <w:r w:rsidR="00F32416" w:rsidRPr="000F7276">
        <w:rPr>
          <w:rFonts w:asciiTheme="minorHAnsi" w:hAnsiTheme="minorHAnsi"/>
          <w:sz w:val="24"/>
          <w:szCs w:val="24"/>
        </w:rPr>
        <w:t xml:space="preserve">more recent </w:t>
      </w:r>
      <w:r w:rsidRPr="000F7276">
        <w:rPr>
          <w:rFonts w:asciiTheme="minorHAnsi" w:hAnsiTheme="minorHAnsi"/>
          <w:sz w:val="24"/>
          <w:szCs w:val="24"/>
        </w:rPr>
        <w:t>MDB safeguard policies are structured in a more hierarchical and integrated manner with an over-arching policy statement, governing principles and subsidiary operational safeguard requirements, consolidated environmental and social review procedures and corresponding guidance documents.</w:t>
      </w:r>
    </w:p>
    <w:p w14:paraId="1E8D522B" w14:textId="77777777" w:rsidR="00A009E7" w:rsidRDefault="00EB1A1D" w:rsidP="00A009E7">
      <w:pPr>
        <w:pStyle w:val="ListParagraph"/>
        <w:numPr>
          <w:ilvl w:val="0"/>
          <w:numId w:val="22"/>
        </w:numPr>
        <w:spacing w:after="240"/>
        <w:ind w:left="720"/>
        <w:rPr>
          <w:rFonts w:asciiTheme="minorHAnsi" w:hAnsiTheme="minorHAnsi"/>
          <w:sz w:val="24"/>
          <w:szCs w:val="24"/>
        </w:rPr>
      </w:pPr>
      <w:r w:rsidRPr="000F7276">
        <w:rPr>
          <w:rFonts w:asciiTheme="minorHAnsi" w:hAnsiTheme="minorHAnsi"/>
          <w:b/>
          <w:i/>
          <w:iCs/>
          <w:sz w:val="24"/>
          <w:szCs w:val="24"/>
        </w:rPr>
        <w:t>Environmental Safeguards</w:t>
      </w:r>
      <w:r w:rsidRPr="000F7276">
        <w:rPr>
          <w:rFonts w:asciiTheme="minorHAnsi" w:hAnsiTheme="minorHAnsi"/>
          <w:i/>
          <w:iCs/>
          <w:sz w:val="24"/>
          <w:szCs w:val="24"/>
        </w:rPr>
        <w:t>.</w:t>
      </w:r>
      <w:r w:rsidRPr="000F7276">
        <w:rPr>
          <w:rFonts w:asciiTheme="minorHAnsi" w:hAnsiTheme="minorHAnsi"/>
          <w:sz w:val="24"/>
          <w:szCs w:val="24"/>
        </w:rPr>
        <w:t xml:space="preserve"> With respect to environmental safeguards the World Bank framework consists of six separate OPs</w:t>
      </w:r>
      <w:r w:rsidR="001D7F32">
        <w:rPr>
          <w:rFonts w:asciiTheme="minorHAnsi" w:hAnsiTheme="minorHAnsi"/>
          <w:sz w:val="24"/>
          <w:szCs w:val="24"/>
        </w:rPr>
        <w:t>,</w:t>
      </w:r>
      <w:r w:rsidRPr="000F7276">
        <w:rPr>
          <w:rFonts w:asciiTheme="minorHAnsi" w:hAnsiTheme="minorHAnsi"/>
          <w:sz w:val="24"/>
          <w:szCs w:val="24"/>
        </w:rPr>
        <w:t xml:space="preserve"> of which one, OP 4.01, Environmental Assessment</w:t>
      </w:r>
      <w:r w:rsidR="001D7F32">
        <w:rPr>
          <w:rFonts w:asciiTheme="minorHAnsi" w:hAnsiTheme="minorHAnsi"/>
          <w:sz w:val="24"/>
          <w:szCs w:val="24"/>
        </w:rPr>
        <w:t>,</w:t>
      </w:r>
      <w:r w:rsidRPr="000F7276">
        <w:rPr>
          <w:rFonts w:asciiTheme="minorHAnsi" w:hAnsiTheme="minorHAnsi"/>
          <w:sz w:val="24"/>
          <w:szCs w:val="24"/>
        </w:rPr>
        <w:t xml:space="preserve"> acts as a </w:t>
      </w:r>
      <w:r w:rsidRPr="000F7276">
        <w:rPr>
          <w:rFonts w:asciiTheme="minorHAnsi" w:hAnsiTheme="minorHAnsi"/>
          <w:i/>
          <w:sz w:val="24"/>
          <w:szCs w:val="24"/>
        </w:rPr>
        <w:t>de facto</w:t>
      </w:r>
      <w:r w:rsidRPr="000F7276">
        <w:rPr>
          <w:rFonts w:asciiTheme="minorHAnsi" w:hAnsiTheme="minorHAnsi"/>
          <w:sz w:val="24"/>
          <w:szCs w:val="24"/>
        </w:rPr>
        <w:t xml:space="preserve"> procedural “umbrella” policy </w:t>
      </w:r>
      <w:r w:rsidR="00E5374E" w:rsidRPr="000F7276">
        <w:rPr>
          <w:rFonts w:asciiTheme="minorHAnsi" w:hAnsiTheme="minorHAnsi"/>
          <w:sz w:val="24"/>
          <w:szCs w:val="24"/>
        </w:rPr>
        <w:t xml:space="preserve">and is used in part </w:t>
      </w:r>
      <w:r w:rsidRPr="000F7276">
        <w:rPr>
          <w:rFonts w:asciiTheme="minorHAnsi" w:hAnsiTheme="minorHAnsi"/>
          <w:sz w:val="24"/>
          <w:szCs w:val="24"/>
        </w:rPr>
        <w:t xml:space="preserve">to identify other OPs that may be </w:t>
      </w:r>
      <w:r w:rsidR="007E2857" w:rsidRPr="000F7276">
        <w:rPr>
          <w:rFonts w:asciiTheme="minorHAnsi" w:hAnsiTheme="minorHAnsi"/>
          <w:sz w:val="24"/>
          <w:szCs w:val="24"/>
        </w:rPr>
        <w:t xml:space="preserve">applicable to </w:t>
      </w:r>
      <w:r w:rsidRPr="000F7276">
        <w:rPr>
          <w:rFonts w:asciiTheme="minorHAnsi" w:hAnsiTheme="minorHAnsi"/>
          <w:sz w:val="24"/>
          <w:szCs w:val="24"/>
        </w:rPr>
        <w:t>a project. Other MDB environmental safeguards tend to be consolidated into two or three separate operational policies, standards or requirements.</w:t>
      </w:r>
    </w:p>
    <w:p w14:paraId="4AABD09D" w14:textId="2EA75CE8" w:rsidR="00A009E7" w:rsidRDefault="00EB1A1D" w:rsidP="00A009E7">
      <w:pPr>
        <w:pStyle w:val="ListParagraph"/>
        <w:numPr>
          <w:ilvl w:val="0"/>
          <w:numId w:val="22"/>
        </w:numPr>
        <w:spacing w:after="240"/>
        <w:ind w:left="720"/>
        <w:rPr>
          <w:rFonts w:asciiTheme="minorHAnsi" w:hAnsiTheme="minorHAnsi"/>
          <w:sz w:val="24"/>
          <w:szCs w:val="24"/>
        </w:rPr>
      </w:pPr>
      <w:r w:rsidRPr="000F7276">
        <w:rPr>
          <w:rFonts w:asciiTheme="minorHAnsi" w:hAnsiTheme="minorHAnsi"/>
          <w:b/>
          <w:i/>
          <w:iCs/>
          <w:sz w:val="24"/>
          <w:szCs w:val="24"/>
        </w:rPr>
        <w:t>Bank and Borrower Roles and Responsibilities</w:t>
      </w:r>
      <w:r w:rsidRPr="000F7276">
        <w:rPr>
          <w:rFonts w:asciiTheme="minorHAnsi" w:hAnsiTheme="minorHAnsi"/>
          <w:i/>
          <w:iCs/>
          <w:sz w:val="24"/>
          <w:szCs w:val="24"/>
        </w:rPr>
        <w:t>.</w:t>
      </w:r>
      <w:r w:rsidRPr="000F7276">
        <w:rPr>
          <w:rFonts w:asciiTheme="minorHAnsi" w:hAnsiTheme="minorHAnsi"/>
          <w:sz w:val="24"/>
          <w:szCs w:val="24"/>
        </w:rPr>
        <w:t xml:space="preserve"> World Bank OPs are intended to apply to borrowers, whereas the BPs apply </w:t>
      </w:r>
      <w:r w:rsidR="00B81249">
        <w:rPr>
          <w:rFonts w:asciiTheme="minorHAnsi" w:hAnsiTheme="minorHAnsi"/>
          <w:sz w:val="24"/>
          <w:szCs w:val="24"/>
        </w:rPr>
        <w:t>primarily</w:t>
      </w:r>
      <w:r w:rsidRPr="000F7276">
        <w:rPr>
          <w:rFonts w:asciiTheme="minorHAnsi" w:hAnsiTheme="minorHAnsi"/>
          <w:sz w:val="24"/>
          <w:szCs w:val="24"/>
        </w:rPr>
        <w:t xml:space="preserve"> to the Bank. Nevertheless, many provisions, in particular in the earlier OPs, contain statements that are more relevant to Bank policy than to borrower requirements. Other MDB operational requirements make a more </w:t>
      </w:r>
      <w:r w:rsidR="00E5374E" w:rsidRPr="000F7276">
        <w:rPr>
          <w:rFonts w:asciiTheme="minorHAnsi" w:hAnsiTheme="minorHAnsi"/>
          <w:sz w:val="24"/>
          <w:szCs w:val="24"/>
        </w:rPr>
        <w:t xml:space="preserve">effective </w:t>
      </w:r>
      <w:r w:rsidRPr="000F7276">
        <w:rPr>
          <w:rFonts w:asciiTheme="minorHAnsi" w:hAnsiTheme="minorHAnsi"/>
          <w:sz w:val="24"/>
          <w:szCs w:val="24"/>
        </w:rPr>
        <w:t xml:space="preserve">effort to distinguish between bank and borrower responsibilities with respect to </w:t>
      </w:r>
      <w:r w:rsidR="00C75303">
        <w:rPr>
          <w:rFonts w:asciiTheme="minorHAnsi" w:hAnsiTheme="minorHAnsi"/>
          <w:sz w:val="24"/>
          <w:szCs w:val="24"/>
        </w:rPr>
        <w:t xml:space="preserve">meeting </w:t>
      </w:r>
      <w:r w:rsidRPr="000F7276">
        <w:rPr>
          <w:rFonts w:asciiTheme="minorHAnsi" w:hAnsiTheme="minorHAnsi"/>
          <w:sz w:val="24"/>
          <w:szCs w:val="24"/>
        </w:rPr>
        <w:t>safeguard requirements</w:t>
      </w:r>
      <w:r w:rsidR="00C75303">
        <w:rPr>
          <w:rFonts w:asciiTheme="minorHAnsi" w:hAnsiTheme="minorHAnsi"/>
          <w:sz w:val="24"/>
          <w:szCs w:val="24"/>
        </w:rPr>
        <w:t xml:space="preserve"> in </w:t>
      </w:r>
      <w:r w:rsidR="00C75303" w:rsidRPr="000F7276">
        <w:rPr>
          <w:rFonts w:asciiTheme="minorHAnsi" w:hAnsiTheme="minorHAnsi"/>
          <w:sz w:val="24"/>
          <w:szCs w:val="24"/>
        </w:rPr>
        <w:t>preparation and implementation of</w:t>
      </w:r>
      <w:r w:rsidR="00C75303">
        <w:rPr>
          <w:rFonts w:asciiTheme="minorHAnsi" w:hAnsiTheme="minorHAnsi"/>
          <w:sz w:val="24"/>
          <w:szCs w:val="24"/>
        </w:rPr>
        <w:t xml:space="preserve"> lending activities</w:t>
      </w:r>
      <w:r w:rsidRPr="000F7276">
        <w:rPr>
          <w:rFonts w:asciiTheme="minorHAnsi" w:hAnsiTheme="minorHAnsi"/>
          <w:sz w:val="24"/>
          <w:szCs w:val="24"/>
        </w:rPr>
        <w:t xml:space="preserve">. </w:t>
      </w:r>
    </w:p>
    <w:p w14:paraId="079FCD1A" w14:textId="77777777" w:rsidR="00A009E7" w:rsidRDefault="00EB1A1D" w:rsidP="00A009E7">
      <w:pPr>
        <w:spacing w:after="240"/>
        <w:rPr>
          <w:rFonts w:asciiTheme="minorHAnsi" w:hAnsiTheme="minorHAnsi"/>
          <w:b/>
          <w:bCs/>
          <w:sz w:val="24"/>
          <w:szCs w:val="24"/>
        </w:rPr>
      </w:pPr>
      <w:r w:rsidRPr="000F7276">
        <w:rPr>
          <w:rFonts w:asciiTheme="minorHAnsi" w:hAnsiTheme="minorHAnsi"/>
          <w:b/>
          <w:bCs/>
          <w:sz w:val="24"/>
          <w:szCs w:val="24"/>
        </w:rPr>
        <w:t>2.</w:t>
      </w:r>
      <w:r w:rsidRPr="000F7276">
        <w:rPr>
          <w:rFonts w:asciiTheme="minorHAnsi" w:hAnsiTheme="minorHAnsi"/>
          <w:sz w:val="24"/>
          <w:szCs w:val="24"/>
        </w:rPr>
        <w:t xml:space="preserve"> </w:t>
      </w:r>
      <w:r w:rsidRPr="000F7276">
        <w:rPr>
          <w:rFonts w:asciiTheme="minorHAnsi" w:hAnsiTheme="minorHAnsi"/>
          <w:b/>
          <w:bCs/>
          <w:sz w:val="24"/>
          <w:szCs w:val="24"/>
        </w:rPr>
        <w:t>Scope and Application of Safeguard Systems</w:t>
      </w:r>
    </w:p>
    <w:p w14:paraId="50DD594D" w14:textId="77777777" w:rsidR="00A009E7" w:rsidRDefault="00EB1A1D" w:rsidP="00A009E7">
      <w:pPr>
        <w:pStyle w:val="ListParagraph"/>
        <w:numPr>
          <w:ilvl w:val="0"/>
          <w:numId w:val="22"/>
        </w:numPr>
        <w:spacing w:after="240"/>
        <w:ind w:left="720"/>
        <w:rPr>
          <w:rFonts w:asciiTheme="minorHAnsi" w:hAnsiTheme="minorHAnsi"/>
          <w:sz w:val="24"/>
          <w:szCs w:val="24"/>
        </w:rPr>
      </w:pPr>
      <w:r w:rsidRPr="000F7276">
        <w:rPr>
          <w:rFonts w:asciiTheme="minorHAnsi" w:hAnsiTheme="minorHAnsi"/>
          <w:b/>
          <w:i/>
          <w:iCs/>
          <w:sz w:val="24"/>
          <w:szCs w:val="24"/>
        </w:rPr>
        <w:t>Private Sector Lending.</w:t>
      </w:r>
      <w:r w:rsidRPr="000F7276">
        <w:rPr>
          <w:rFonts w:asciiTheme="minorHAnsi" w:hAnsiTheme="minorHAnsi"/>
          <w:sz w:val="24"/>
          <w:szCs w:val="24"/>
        </w:rPr>
        <w:t xml:space="preserve"> The World Bank applies OPs to public sector lending and World Bank Performance Standards</w:t>
      </w:r>
      <w:r w:rsidRPr="000F7276">
        <w:rPr>
          <w:rFonts w:asciiTheme="minorHAnsi" w:hAnsiTheme="minorHAnsi"/>
          <w:sz w:val="24"/>
          <w:szCs w:val="24"/>
          <w:vertAlign w:val="superscript"/>
        </w:rPr>
        <w:footnoteReference w:id="4"/>
      </w:r>
      <w:r w:rsidRPr="000F7276">
        <w:rPr>
          <w:rFonts w:asciiTheme="minorHAnsi" w:hAnsiTheme="minorHAnsi"/>
          <w:sz w:val="24"/>
          <w:szCs w:val="24"/>
        </w:rPr>
        <w:t xml:space="preserve"> to private sector-led projects. Other MDBs apply the same operational safeguard policies and operational requirements to both public and private sector lending, with procedural differences </w:t>
      </w:r>
      <w:r w:rsidR="00E5374E" w:rsidRPr="000F7276">
        <w:rPr>
          <w:rFonts w:asciiTheme="minorHAnsi" w:hAnsiTheme="minorHAnsi"/>
          <w:sz w:val="24"/>
          <w:szCs w:val="24"/>
        </w:rPr>
        <w:t xml:space="preserve">applied </w:t>
      </w:r>
      <w:r w:rsidRPr="000F7276">
        <w:rPr>
          <w:rFonts w:asciiTheme="minorHAnsi" w:hAnsiTheme="minorHAnsi"/>
          <w:sz w:val="24"/>
          <w:szCs w:val="24"/>
        </w:rPr>
        <w:t>at the project level.</w:t>
      </w:r>
    </w:p>
    <w:p w14:paraId="63957A13" w14:textId="77777777" w:rsidR="00A009E7" w:rsidRDefault="00EB1A1D" w:rsidP="00A009E7">
      <w:pPr>
        <w:pStyle w:val="ListParagraph"/>
        <w:numPr>
          <w:ilvl w:val="0"/>
          <w:numId w:val="22"/>
        </w:numPr>
        <w:spacing w:after="240"/>
        <w:ind w:left="720"/>
        <w:rPr>
          <w:rFonts w:asciiTheme="minorHAnsi" w:hAnsiTheme="minorHAnsi"/>
          <w:sz w:val="24"/>
          <w:szCs w:val="24"/>
        </w:rPr>
      </w:pPr>
      <w:r w:rsidRPr="000F7276">
        <w:rPr>
          <w:rFonts w:asciiTheme="minorHAnsi" w:hAnsiTheme="minorHAnsi"/>
          <w:b/>
          <w:i/>
          <w:iCs/>
          <w:sz w:val="24"/>
          <w:szCs w:val="24"/>
        </w:rPr>
        <w:t>Diverse Lending Instruments</w:t>
      </w:r>
      <w:r w:rsidRPr="000F7276">
        <w:rPr>
          <w:rFonts w:asciiTheme="minorHAnsi" w:hAnsiTheme="minorHAnsi"/>
          <w:i/>
          <w:iCs/>
          <w:sz w:val="24"/>
          <w:szCs w:val="24"/>
        </w:rPr>
        <w:t>.</w:t>
      </w:r>
      <w:r w:rsidRPr="000F7276">
        <w:rPr>
          <w:rFonts w:asciiTheme="minorHAnsi" w:hAnsiTheme="minorHAnsi"/>
          <w:sz w:val="24"/>
          <w:szCs w:val="24"/>
        </w:rPr>
        <w:t xml:space="preserve"> </w:t>
      </w:r>
      <w:r w:rsidR="00F26F3A" w:rsidRPr="000F7276">
        <w:rPr>
          <w:rFonts w:asciiTheme="minorHAnsi" w:hAnsiTheme="minorHAnsi"/>
          <w:sz w:val="24"/>
          <w:szCs w:val="24"/>
        </w:rPr>
        <w:t>Notwithstanding general statements that safeguard policies apply to “all” of a particular MDB’s financed activities, all MDBs adapt their safeguard systems to the structural and procedural requirements of diverse lending instrument</w:t>
      </w:r>
      <w:r w:rsidR="00051348">
        <w:rPr>
          <w:rFonts w:asciiTheme="minorHAnsi" w:hAnsiTheme="minorHAnsi"/>
          <w:sz w:val="24"/>
          <w:szCs w:val="24"/>
        </w:rPr>
        <w:t>s</w:t>
      </w:r>
      <w:r w:rsidR="00F26F3A" w:rsidRPr="000F7276">
        <w:rPr>
          <w:rFonts w:asciiTheme="minorHAnsi" w:hAnsiTheme="minorHAnsi"/>
          <w:sz w:val="24"/>
          <w:szCs w:val="24"/>
        </w:rPr>
        <w:t xml:space="preserve"> (e.g</w:t>
      </w:r>
      <w:r w:rsidR="00157457" w:rsidRPr="000F7276">
        <w:rPr>
          <w:rFonts w:asciiTheme="minorHAnsi" w:hAnsiTheme="minorHAnsi"/>
          <w:sz w:val="24"/>
          <w:szCs w:val="24"/>
        </w:rPr>
        <w:t>.</w:t>
      </w:r>
      <w:r w:rsidR="00F26F3A" w:rsidRPr="000F7276">
        <w:rPr>
          <w:rFonts w:asciiTheme="minorHAnsi" w:hAnsiTheme="minorHAnsi"/>
          <w:sz w:val="24"/>
          <w:szCs w:val="24"/>
        </w:rPr>
        <w:t>, policy, programmat</w:t>
      </w:r>
      <w:r w:rsidR="00051348">
        <w:rPr>
          <w:rFonts w:asciiTheme="minorHAnsi" w:hAnsiTheme="minorHAnsi"/>
          <w:sz w:val="24"/>
          <w:szCs w:val="24"/>
        </w:rPr>
        <w:t xml:space="preserve">ic and project based lending). </w:t>
      </w:r>
      <w:r w:rsidR="00F26F3A" w:rsidRPr="000F7276">
        <w:rPr>
          <w:rFonts w:asciiTheme="minorHAnsi" w:hAnsiTheme="minorHAnsi"/>
          <w:sz w:val="24"/>
          <w:szCs w:val="24"/>
        </w:rPr>
        <w:t>However, t</w:t>
      </w:r>
      <w:r w:rsidRPr="000F7276">
        <w:rPr>
          <w:rFonts w:asciiTheme="minorHAnsi" w:hAnsiTheme="minorHAnsi"/>
          <w:sz w:val="24"/>
          <w:szCs w:val="24"/>
        </w:rPr>
        <w:t xml:space="preserve">he World Bank applies more formal distinctions to </w:t>
      </w:r>
      <w:r w:rsidR="00F26F3A" w:rsidRPr="000F7276">
        <w:rPr>
          <w:rFonts w:asciiTheme="minorHAnsi" w:hAnsiTheme="minorHAnsi"/>
          <w:sz w:val="24"/>
          <w:szCs w:val="24"/>
        </w:rPr>
        <w:t xml:space="preserve">these </w:t>
      </w:r>
      <w:r w:rsidRPr="000F7276">
        <w:rPr>
          <w:rFonts w:asciiTheme="minorHAnsi" w:hAnsiTheme="minorHAnsi"/>
          <w:sz w:val="24"/>
          <w:szCs w:val="24"/>
        </w:rPr>
        <w:t>d</w:t>
      </w:r>
      <w:r w:rsidR="00EA681E" w:rsidRPr="000F7276">
        <w:rPr>
          <w:rFonts w:asciiTheme="minorHAnsi" w:hAnsiTheme="minorHAnsi"/>
          <w:sz w:val="24"/>
          <w:szCs w:val="24"/>
        </w:rPr>
        <w:t>iverse lending instruments</w:t>
      </w:r>
      <w:r w:rsidR="00051348">
        <w:rPr>
          <w:rFonts w:asciiTheme="minorHAnsi" w:hAnsiTheme="minorHAnsi"/>
          <w:sz w:val="24"/>
          <w:szCs w:val="24"/>
        </w:rPr>
        <w:t>,</w:t>
      </w:r>
      <w:r w:rsidR="00EA681E" w:rsidRPr="000F7276">
        <w:rPr>
          <w:rFonts w:asciiTheme="minorHAnsi" w:hAnsiTheme="minorHAnsi"/>
          <w:sz w:val="24"/>
          <w:szCs w:val="24"/>
        </w:rPr>
        <w:t xml:space="preserve"> with</w:t>
      </w:r>
      <w:r w:rsidR="00F26F3A" w:rsidRPr="000F7276">
        <w:rPr>
          <w:rFonts w:asciiTheme="minorHAnsi" w:hAnsiTheme="minorHAnsi"/>
          <w:sz w:val="24"/>
          <w:szCs w:val="24"/>
        </w:rPr>
        <w:t xml:space="preserve"> each instrument</w:t>
      </w:r>
      <w:r w:rsidR="00051348">
        <w:rPr>
          <w:rFonts w:asciiTheme="minorHAnsi" w:hAnsiTheme="minorHAnsi"/>
          <w:sz w:val="24"/>
          <w:szCs w:val="24"/>
        </w:rPr>
        <w:t xml:space="preserve"> </w:t>
      </w:r>
      <w:r w:rsidRPr="000F7276">
        <w:rPr>
          <w:rFonts w:asciiTheme="minorHAnsi" w:hAnsiTheme="minorHAnsi"/>
          <w:sz w:val="24"/>
          <w:szCs w:val="24"/>
        </w:rPr>
        <w:t>governed by a separate OP</w:t>
      </w:r>
      <w:r w:rsidR="00F26F3A" w:rsidRPr="000F7276">
        <w:rPr>
          <w:rFonts w:asciiTheme="minorHAnsi" w:hAnsiTheme="minorHAnsi"/>
          <w:sz w:val="24"/>
          <w:szCs w:val="24"/>
        </w:rPr>
        <w:t>.</w:t>
      </w:r>
      <w:r w:rsidR="00F26F3A" w:rsidRPr="000F7276">
        <w:rPr>
          <w:rStyle w:val="FootnoteReference"/>
          <w:rFonts w:asciiTheme="minorHAnsi" w:hAnsiTheme="minorHAnsi"/>
          <w:sz w:val="24"/>
          <w:szCs w:val="24"/>
        </w:rPr>
        <w:footnoteReference w:id="5"/>
      </w:r>
      <w:r w:rsidRPr="000F7276">
        <w:rPr>
          <w:rFonts w:asciiTheme="minorHAnsi" w:hAnsiTheme="minorHAnsi"/>
          <w:sz w:val="24"/>
          <w:szCs w:val="24"/>
        </w:rPr>
        <w:t xml:space="preserve"> Other MDBs take a less formal approach</w:t>
      </w:r>
      <w:r w:rsidR="00F26F3A" w:rsidRPr="000F7276">
        <w:rPr>
          <w:rFonts w:asciiTheme="minorHAnsi" w:hAnsiTheme="minorHAnsi"/>
          <w:sz w:val="24"/>
          <w:szCs w:val="24"/>
        </w:rPr>
        <w:t xml:space="preserve"> to these distinctions</w:t>
      </w:r>
      <w:r w:rsidRPr="000F7276">
        <w:rPr>
          <w:rFonts w:asciiTheme="minorHAnsi" w:hAnsiTheme="minorHAnsi"/>
          <w:sz w:val="24"/>
          <w:szCs w:val="24"/>
        </w:rPr>
        <w:t>, sometimes using the same approach for two lending instruments.</w:t>
      </w:r>
      <w:r w:rsidR="00F26F3A" w:rsidRPr="000F7276">
        <w:rPr>
          <w:rStyle w:val="FootnoteReference"/>
          <w:rFonts w:asciiTheme="minorHAnsi" w:hAnsiTheme="minorHAnsi"/>
          <w:sz w:val="24"/>
          <w:szCs w:val="24"/>
        </w:rPr>
        <w:footnoteReference w:id="6"/>
      </w:r>
    </w:p>
    <w:p w14:paraId="5830223E" w14:textId="77777777" w:rsidR="00A009E7" w:rsidRDefault="00EB1A1D" w:rsidP="00A009E7">
      <w:pPr>
        <w:spacing w:after="240"/>
        <w:rPr>
          <w:rFonts w:asciiTheme="minorHAnsi" w:hAnsiTheme="minorHAnsi"/>
          <w:b/>
          <w:bCs/>
          <w:sz w:val="24"/>
          <w:szCs w:val="24"/>
        </w:rPr>
      </w:pPr>
      <w:r w:rsidRPr="000F7276">
        <w:rPr>
          <w:rFonts w:asciiTheme="minorHAnsi" w:hAnsiTheme="minorHAnsi"/>
          <w:b/>
          <w:sz w:val="24"/>
          <w:szCs w:val="24"/>
        </w:rPr>
        <w:t>3</w:t>
      </w:r>
      <w:r w:rsidRPr="000F7276">
        <w:rPr>
          <w:rFonts w:asciiTheme="minorHAnsi" w:hAnsiTheme="minorHAnsi"/>
          <w:sz w:val="24"/>
          <w:szCs w:val="24"/>
        </w:rPr>
        <w:t>.</w:t>
      </w:r>
      <w:r w:rsidRPr="000F7276">
        <w:rPr>
          <w:rFonts w:asciiTheme="minorHAnsi" w:hAnsiTheme="minorHAnsi"/>
          <w:b/>
          <w:bCs/>
          <w:sz w:val="24"/>
          <w:szCs w:val="24"/>
        </w:rPr>
        <w:t xml:space="preserve"> Thematic Coverage</w:t>
      </w:r>
    </w:p>
    <w:p w14:paraId="62736FA9" w14:textId="77777777" w:rsidR="00A009E7" w:rsidRDefault="00EB1A1D" w:rsidP="00A009E7">
      <w:pPr>
        <w:pStyle w:val="ListParagraph"/>
        <w:numPr>
          <w:ilvl w:val="0"/>
          <w:numId w:val="22"/>
        </w:numPr>
        <w:spacing w:after="240"/>
        <w:ind w:left="720"/>
        <w:rPr>
          <w:rFonts w:asciiTheme="minorHAnsi" w:hAnsiTheme="minorHAnsi"/>
          <w:sz w:val="24"/>
          <w:szCs w:val="24"/>
        </w:rPr>
      </w:pPr>
      <w:r w:rsidRPr="000F7276">
        <w:rPr>
          <w:rFonts w:asciiTheme="minorHAnsi" w:hAnsiTheme="minorHAnsi"/>
          <w:b/>
          <w:i/>
          <w:iCs/>
          <w:sz w:val="24"/>
          <w:szCs w:val="24"/>
        </w:rPr>
        <w:t>Gender</w:t>
      </w:r>
      <w:r w:rsidRPr="000F7276">
        <w:rPr>
          <w:rFonts w:asciiTheme="minorHAnsi" w:hAnsiTheme="minorHAnsi"/>
          <w:i/>
          <w:iCs/>
          <w:sz w:val="24"/>
          <w:szCs w:val="24"/>
        </w:rPr>
        <w:t>.</w:t>
      </w:r>
      <w:r w:rsidRPr="000F7276">
        <w:rPr>
          <w:rFonts w:asciiTheme="minorHAnsi" w:hAnsiTheme="minorHAnsi"/>
          <w:sz w:val="24"/>
          <w:szCs w:val="24"/>
        </w:rPr>
        <w:t xml:space="preserve"> Although the Bank issued </w:t>
      </w:r>
      <w:r w:rsidR="00F32416" w:rsidRPr="000F7276">
        <w:rPr>
          <w:rFonts w:asciiTheme="minorHAnsi" w:hAnsiTheme="minorHAnsi"/>
          <w:sz w:val="24"/>
          <w:szCs w:val="24"/>
        </w:rPr>
        <w:t xml:space="preserve">a Gender Mainstreaming Strategy in 2011 and </w:t>
      </w:r>
      <w:r w:rsidR="005B39F5" w:rsidRPr="000F7276">
        <w:rPr>
          <w:rFonts w:asciiTheme="minorHAnsi" w:hAnsiTheme="minorHAnsi"/>
          <w:sz w:val="24"/>
          <w:szCs w:val="24"/>
        </w:rPr>
        <w:t>a</w:t>
      </w:r>
      <w:r w:rsidR="00E5374E" w:rsidRPr="000F7276">
        <w:rPr>
          <w:rFonts w:asciiTheme="minorHAnsi" w:hAnsiTheme="minorHAnsi"/>
          <w:sz w:val="24"/>
          <w:szCs w:val="24"/>
        </w:rPr>
        <w:t>n Operational P</w:t>
      </w:r>
      <w:r w:rsidR="005B39F5" w:rsidRPr="000F7276">
        <w:rPr>
          <w:rFonts w:asciiTheme="minorHAnsi" w:hAnsiTheme="minorHAnsi"/>
          <w:sz w:val="24"/>
          <w:szCs w:val="24"/>
        </w:rPr>
        <w:t xml:space="preserve">olicy on Gender in 2003, </w:t>
      </w:r>
      <w:r w:rsidRPr="000F7276">
        <w:rPr>
          <w:rFonts w:asciiTheme="minorHAnsi" w:hAnsiTheme="minorHAnsi"/>
          <w:sz w:val="24"/>
          <w:szCs w:val="24"/>
        </w:rPr>
        <w:t>OP</w:t>
      </w:r>
      <w:r w:rsidR="00051348">
        <w:rPr>
          <w:rFonts w:asciiTheme="minorHAnsi" w:hAnsiTheme="minorHAnsi"/>
          <w:sz w:val="24"/>
          <w:szCs w:val="24"/>
        </w:rPr>
        <w:t xml:space="preserve"> </w:t>
      </w:r>
      <w:r w:rsidR="005B39F5" w:rsidRPr="000F7276">
        <w:rPr>
          <w:rFonts w:asciiTheme="minorHAnsi" w:hAnsiTheme="minorHAnsi"/>
          <w:sz w:val="24"/>
          <w:szCs w:val="24"/>
        </w:rPr>
        <w:t xml:space="preserve">4.20 </w:t>
      </w:r>
      <w:r w:rsidRPr="000F7276">
        <w:rPr>
          <w:rFonts w:asciiTheme="minorHAnsi" w:hAnsiTheme="minorHAnsi"/>
          <w:sz w:val="24"/>
          <w:szCs w:val="24"/>
        </w:rPr>
        <w:t>applies at the strategic level (e.g., Country Assistance Strategies) rather than the project level</w:t>
      </w:r>
      <w:r w:rsidR="00157457" w:rsidRPr="000F7276">
        <w:rPr>
          <w:rFonts w:asciiTheme="minorHAnsi" w:hAnsiTheme="minorHAnsi"/>
          <w:sz w:val="24"/>
          <w:szCs w:val="24"/>
        </w:rPr>
        <w:t xml:space="preserve">. </w:t>
      </w:r>
      <w:r w:rsidRPr="000F7276">
        <w:rPr>
          <w:rFonts w:asciiTheme="minorHAnsi" w:hAnsiTheme="minorHAnsi"/>
          <w:sz w:val="24"/>
          <w:szCs w:val="24"/>
        </w:rPr>
        <w:t>There are occasional references to gender in the Bank’s social OPs. Other MDBs either have issued gender policies that are</w:t>
      </w:r>
      <w:r w:rsidR="008371A5" w:rsidRPr="000F7276">
        <w:rPr>
          <w:rFonts w:asciiTheme="minorHAnsi" w:hAnsiTheme="minorHAnsi"/>
          <w:sz w:val="24"/>
          <w:szCs w:val="24"/>
        </w:rPr>
        <w:t xml:space="preserve"> </w:t>
      </w:r>
      <w:r w:rsidRPr="000F7276">
        <w:rPr>
          <w:rFonts w:asciiTheme="minorHAnsi" w:hAnsiTheme="minorHAnsi"/>
          <w:sz w:val="24"/>
          <w:szCs w:val="24"/>
        </w:rPr>
        <w:t xml:space="preserve">explicitly designed to be applied at the project level or have </w:t>
      </w:r>
      <w:r w:rsidR="00F32416" w:rsidRPr="000F7276">
        <w:rPr>
          <w:rFonts w:asciiTheme="minorHAnsi" w:hAnsiTheme="minorHAnsi"/>
          <w:sz w:val="24"/>
          <w:szCs w:val="24"/>
        </w:rPr>
        <w:t xml:space="preserve">more </w:t>
      </w:r>
      <w:r w:rsidRPr="000F7276">
        <w:rPr>
          <w:rFonts w:asciiTheme="minorHAnsi" w:hAnsiTheme="minorHAnsi"/>
          <w:sz w:val="24"/>
          <w:szCs w:val="24"/>
        </w:rPr>
        <w:t xml:space="preserve">systematically integrated gender considerations into their operational safeguard requirements. </w:t>
      </w:r>
    </w:p>
    <w:p w14:paraId="7A7F00B9" w14:textId="77777777" w:rsidR="00A009E7" w:rsidRDefault="00EB1A1D" w:rsidP="00A009E7">
      <w:pPr>
        <w:pStyle w:val="ListParagraph"/>
        <w:numPr>
          <w:ilvl w:val="0"/>
          <w:numId w:val="22"/>
        </w:numPr>
        <w:spacing w:after="240"/>
        <w:ind w:left="720"/>
        <w:rPr>
          <w:rFonts w:asciiTheme="minorHAnsi" w:hAnsiTheme="minorHAnsi"/>
          <w:sz w:val="24"/>
          <w:szCs w:val="24"/>
        </w:rPr>
      </w:pPr>
      <w:r w:rsidRPr="000F7276">
        <w:rPr>
          <w:rFonts w:asciiTheme="minorHAnsi" w:hAnsiTheme="minorHAnsi"/>
          <w:b/>
          <w:i/>
          <w:iCs/>
          <w:sz w:val="24"/>
          <w:szCs w:val="24"/>
        </w:rPr>
        <w:t>Climate Change</w:t>
      </w:r>
      <w:r w:rsidRPr="000F7276">
        <w:rPr>
          <w:rFonts w:asciiTheme="minorHAnsi" w:hAnsiTheme="minorHAnsi"/>
          <w:i/>
          <w:iCs/>
          <w:sz w:val="24"/>
          <w:szCs w:val="24"/>
        </w:rPr>
        <w:t>.</w:t>
      </w:r>
      <w:r w:rsidRPr="000F7276">
        <w:rPr>
          <w:rFonts w:asciiTheme="minorHAnsi" w:hAnsiTheme="minorHAnsi"/>
          <w:sz w:val="24"/>
          <w:szCs w:val="24"/>
        </w:rPr>
        <w:t xml:space="preserve"> OP 4.01 references “climate change” among “global issues” to be included within the scope of Environmental Assessment</w:t>
      </w:r>
      <w:r w:rsidR="008371A5" w:rsidRPr="000F7276">
        <w:rPr>
          <w:rFonts w:asciiTheme="minorHAnsi" w:hAnsiTheme="minorHAnsi"/>
          <w:sz w:val="24"/>
          <w:szCs w:val="24"/>
        </w:rPr>
        <w:t xml:space="preserve"> </w:t>
      </w:r>
      <w:r w:rsidR="00051348">
        <w:rPr>
          <w:rFonts w:asciiTheme="minorHAnsi" w:hAnsiTheme="minorHAnsi"/>
          <w:sz w:val="24"/>
          <w:szCs w:val="24"/>
        </w:rPr>
        <w:t xml:space="preserve">(EA) </w:t>
      </w:r>
      <w:r w:rsidR="008371A5" w:rsidRPr="000F7276">
        <w:rPr>
          <w:rFonts w:asciiTheme="minorHAnsi" w:hAnsiTheme="minorHAnsi"/>
          <w:sz w:val="24"/>
          <w:szCs w:val="24"/>
        </w:rPr>
        <w:t>and provides guidance with respect to assessing greenhouse gas emissions and the impacts of projects on climate change</w:t>
      </w:r>
      <w:r w:rsidRPr="000F7276">
        <w:rPr>
          <w:rFonts w:asciiTheme="minorHAnsi" w:hAnsiTheme="minorHAnsi"/>
          <w:sz w:val="24"/>
          <w:szCs w:val="24"/>
        </w:rPr>
        <w:t xml:space="preserve">. Other MDB safeguards apply </w:t>
      </w:r>
      <w:r w:rsidR="008371A5" w:rsidRPr="000F7276">
        <w:rPr>
          <w:rFonts w:asciiTheme="minorHAnsi" w:hAnsiTheme="minorHAnsi"/>
          <w:sz w:val="24"/>
          <w:szCs w:val="24"/>
        </w:rPr>
        <w:t xml:space="preserve">more </w:t>
      </w:r>
      <w:r w:rsidRPr="000F7276">
        <w:rPr>
          <w:rFonts w:asciiTheme="minorHAnsi" w:hAnsiTheme="minorHAnsi"/>
          <w:sz w:val="24"/>
          <w:szCs w:val="24"/>
        </w:rPr>
        <w:t>specific</w:t>
      </w:r>
      <w:r w:rsidR="008371A5" w:rsidRPr="000F7276">
        <w:rPr>
          <w:rFonts w:asciiTheme="minorHAnsi" w:hAnsiTheme="minorHAnsi"/>
          <w:sz w:val="24"/>
          <w:szCs w:val="24"/>
        </w:rPr>
        <w:t xml:space="preserve"> and detailed</w:t>
      </w:r>
      <w:r w:rsidRPr="000F7276">
        <w:rPr>
          <w:rFonts w:asciiTheme="minorHAnsi" w:hAnsiTheme="minorHAnsi"/>
          <w:sz w:val="24"/>
          <w:szCs w:val="24"/>
        </w:rPr>
        <w:t xml:space="preserve"> operational requirements to both the bank and the borrower with respect to assessing greenhouse gas emissions and the impacts of projects on climate change as well as climate change on project viability.</w:t>
      </w:r>
    </w:p>
    <w:p w14:paraId="73995F80" w14:textId="77777777" w:rsidR="00A009E7" w:rsidRDefault="00EB1A1D" w:rsidP="00A009E7">
      <w:pPr>
        <w:pStyle w:val="ListParagraph"/>
        <w:numPr>
          <w:ilvl w:val="0"/>
          <w:numId w:val="22"/>
        </w:numPr>
        <w:spacing w:after="240"/>
        <w:ind w:left="720"/>
        <w:rPr>
          <w:rFonts w:asciiTheme="minorHAnsi" w:hAnsiTheme="minorHAnsi"/>
          <w:sz w:val="24"/>
          <w:szCs w:val="24"/>
        </w:rPr>
      </w:pPr>
      <w:r w:rsidRPr="000F7276">
        <w:rPr>
          <w:rFonts w:asciiTheme="minorHAnsi" w:hAnsiTheme="minorHAnsi"/>
          <w:b/>
          <w:i/>
          <w:iCs/>
          <w:sz w:val="24"/>
          <w:szCs w:val="24"/>
        </w:rPr>
        <w:t>Core Labor Rights</w:t>
      </w:r>
      <w:r w:rsidRPr="000F7276">
        <w:rPr>
          <w:rFonts w:asciiTheme="minorHAnsi" w:hAnsiTheme="minorHAnsi"/>
          <w:i/>
          <w:iCs/>
          <w:sz w:val="24"/>
          <w:szCs w:val="24"/>
        </w:rPr>
        <w:t>.</w:t>
      </w:r>
      <w:r w:rsidRPr="000F7276">
        <w:rPr>
          <w:rFonts w:asciiTheme="minorHAnsi" w:hAnsiTheme="minorHAnsi"/>
          <w:sz w:val="24"/>
          <w:szCs w:val="24"/>
        </w:rPr>
        <w:t xml:space="preserve"> Although OP 4.01 includes references to health and safety that are applicable to workers, </w:t>
      </w:r>
      <w:r w:rsidRPr="00F71B7D">
        <w:rPr>
          <w:rFonts w:asciiTheme="minorHAnsi" w:hAnsiTheme="minorHAnsi"/>
          <w:sz w:val="24"/>
          <w:szCs w:val="24"/>
        </w:rPr>
        <w:t xml:space="preserve">World Bank safeguards do not reference “core labor rights” or other </w:t>
      </w:r>
      <w:r w:rsidR="00E5374E" w:rsidRPr="00F71B7D">
        <w:rPr>
          <w:rFonts w:asciiTheme="minorHAnsi" w:hAnsiTheme="minorHAnsi"/>
          <w:sz w:val="24"/>
          <w:szCs w:val="24"/>
        </w:rPr>
        <w:t>such</w:t>
      </w:r>
      <w:r w:rsidRPr="00F71B7D">
        <w:rPr>
          <w:rFonts w:asciiTheme="minorHAnsi" w:hAnsiTheme="minorHAnsi"/>
          <w:sz w:val="24"/>
          <w:szCs w:val="24"/>
        </w:rPr>
        <w:t xml:space="preserve"> rights as defined by the International Labo</w:t>
      </w:r>
      <w:r w:rsidR="00051348" w:rsidRPr="00F71B7D">
        <w:rPr>
          <w:rFonts w:asciiTheme="minorHAnsi" w:hAnsiTheme="minorHAnsi"/>
          <w:sz w:val="24"/>
          <w:szCs w:val="24"/>
        </w:rPr>
        <w:t>u</w:t>
      </w:r>
      <w:r w:rsidRPr="00F71B7D">
        <w:rPr>
          <w:rFonts w:asciiTheme="minorHAnsi" w:hAnsiTheme="minorHAnsi"/>
          <w:sz w:val="24"/>
          <w:szCs w:val="24"/>
        </w:rPr>
        <w:t>r Organization.</w:t>
      </w:r>
      <w:r w:rsidRPr="000F7276">
        <w:rPr>
          <w:rFonts w:asciiTheme="minorHAnsi" w:hAnsiTheme="minorHAnsi"/>
          <w:sz w:val="24"/>
          <w:szCs w:val="24"/>
        </w:rPr>
        <w:t xml:space="preserve"> Other MDBs, in particular those serving exclusively or primarily the private sector (IFC, EBRD), but also AfDB, address core and other labor rights through systematic operational requirements covering issues such as freedom of association; the right to organize and bargain collectively; discrimination in employment; wages and working conditions; retrenchment; and contract, migrant and supply chain labor issues.</w:t>
      </w:r>
    </w:p>
    <w:p w14:paraId="185884E3" w14:textId="77777777" w:rsidR="00A009E7" w:rsidRDefault="00EB1A1D" w:rsidP="00A009E7">
      <w:pPr>
        <w:pStyle w:val="ListParagraph"/>
        <w:numPr>
          <w:ilvl w:val="0"/>
          <w:numId w:val="22"/>
        </w:numPr>
        <w:spacing w:after="240"/>
        <w:ind w:left="720"/>
        <w:rPr>
          <w:rFonts w:asciiTheme="minorHAnsi" w:hAnsiTheme="minorHAnsi"/>
          <w:sz w:val="24"/>
          <w:szCs w:val="24"/>
        </w:rPr>
      </w:pPr>
      <w:r w:rsidRPr="000F7276">
        <w:rPr>
          <w:rFonts w:asciiTheme="minorHAnsi" w:hAnsiTheme="minorHAnsi"/>
          <w:b/>
          <w:i/>
          <w:iCs/>
          <w:sz w:val="24"/>
          <w:szCs w:val="24"/>
        </w:rPr>
        <w:t>Community Health, Safety and Security (CHSS)</w:t>
      </w:r>
      <w:r w:rsidRPr="000F7276">
        <w:rPr>
          <w:rFonts w:asciiTheme="minorHAnsi" w:hAnsiTheme="minorHAnsi"/>
          <w:i/>
          <w:iCs/>
          <w:sz w:val="24"/>
          <w:szCs w:val="24"/>
        </w:rPr>
        <w:t>.</w:t>
      </w:r>
      <w:r w:rsidRPr="000F7276">
        <w:rPr>
          <w:rFonts w:asciiTheme="minorHAnsi" w:hAnsiTheme="minorHAnsi"/>
          <w:sz w:val="24"/>
          <w:szCs w:val="24"/>
        </w:rPr>
        <w:t xml:space="preserve"> OP 4.01 includes references to health and safety that are applicable to locally affected communities and OP 4.</w:t>
      </w:r>
      <w:r w:rsidR="00D22007" w:rsidRPr="000F7276">
        <w:rPr>
          <w:rFonts w:asciiTheme="minorHAnsi" w:hAnsiTheme="minorHAnsi"/>
          <w:sz w:val="24"/>
          <w:szCs w:val="24"/>
        </w:rPr>
        <w:t>37</w:t>
      </w:r>
      <w:r w:rsidRPr="000F7276">
        <w:rPr>
          <w:rFonts w:asciiTheme="minorHAnsi" w:hAnsiTheme="minorHAnsi"/>
          <w:sz w:val="24"/>
          <w:szCs w:val="24"/>
        </w:rPr>
        <w:t xml:space="preserve"> specifically, and uniquely among MDBs, addresses dam safety. However, World Bank safeguards do not include other explicit CHSS requirements that are addressed by other MDBs, such as general infrastructure and equipment design and safety</w:t>
      </w:r>
      <w:r w:rsidR="00644F25" w:rsidRPr="000F7276">
        <w:rPr>
          <w:rFonts w:asciiTheme="minorHAnsi" w:hAnsiTheme="minorHAnsi"/>
          <w:sz w:val="24"/>
          <w:szCs w:val="24"/>
        </w:rPr>
        <w:t xml:space="preserve"> (other than large dams); </w:t>
      </w:r>
      <w:r w:rsidRPr="000F7276">
        <w:rPr>
          <w:rFonts w:asciiTheme="minorHAnsi" w:hAnsiTheme="minorHAnsi"/>
          <w:sz w:val="24"/>
          <w:szCs w:val="24"/>
        </w:rPr>
        <w:t>hazardous materials management</w:t>
      </w:r>
      <w:r w:rsidR="00644F25" w:rsidRPr="000F7276">
        <w:rPr>
          <w:rFonts w:asciiTheme="minorHAnsi" w:hAnsiTheme="minorHAnsi"/>
          <w:sz w:val="24"/>
          <w:szCs w:val="24"/>
        </w:rPr>
        <w:t>;</w:t>
      </w:r>
      <w:r w:rsidRPr="000F7276">
        <w:rPr>
          <w:rFonts w:asciiTheme="minorHAnsi" w:hAnsiTheme="minorHAnsi"/>
          <w:sz w:val="24"/>
          <w:szCs w:val="24"/>
        </w:rPr>
        <w:t xml:space="preserve"> emergency preparedness and response</w:t>
      </w:r>
      <w:r w:rsidR="00644F25" w:rsidRPr="000F7276">
        <w:rPr>
          <w:rFonts w:asciiTheme="minorHAnsi" w:hAnsiTheme="minorHAnsi"/>
          <w:sz w:val="24"/>
          <w:szCs w:val="24"/>
        </w:rPr>
        <w:t>;</w:t>
      </w:r>
      <w:r w:rsidRPr="000F7276">
        <w:rPr>
          <w:rFonts w:asciiTheme="minorHAnsi" w:hAnsiTheme="minorHAnsi"/>
          <w:sz w:val="24"/>
          <w:szCs w:val="24"/>
        </w:rPr>
        <w:t xml:space="preserve"> community exposure to disease</w:t>
      </w:r>
      <w:r w:rsidR="00644F25" w:rsidRPr="000F7276">
        <w:rPr>
          <w:rFonts w:asciiTheme="minorHAnsi" w:hAnsiTheme="minorHAnsi"/>
          <w:sz w:val="24"/>
          <w:szCs w:val="24"/>
        </w:rPr>
        <w:t>;</w:t>
      </w:r>
      <w:r w:rsidRPr="000F7276">
        <w:rPr>
          <w:rFonts w:asciiTheme="minorHAnsi" w:hAnsiTheme="minorHAnsi"/>
          <w:sz w:val="24"/>
          <w:szCs w:val="24"/>
        </w:rPr>
        <w:t xml:space="preserve"> and the potential risks posed to communities by project security personnel.</w:t>
      </w:r>
      <w:r w:rsidR="00817DE6" w:rsidRPr="000F7276">
        <w:rPr>
          <w:rStyle w:val="FootnoteReference"/>
          <w:rFonts w:asciiTheme="minorHAnsi" w:hAnsiTheme="minorHAnsi"/>
          <w:sz w:val="24"/>
          <w:szCs w:val="24"/>
        </w:rPr>
        <w:footnoteReference w:id="7"/>
      </w:r>
      <w:r w:rsidRPr="000F7276">
        <w:rPr>
          <w:rFonts w:asciiTheme="minorHAnsi" w:hAnsiTheme="minorHAnsi"/>
          <w:sz w:val="24"/>
          <w:szCs w:val="24"/>
        </w:rPr>
        <w:t xml:space="preserve"> </w:t>
      </w:r>
    </w:p>
    <w:p w14:paraId="5F3857D9" w14:textId="77777777" w:rsidR="00A009E7" w:rsidRDefault="00EB1A1D" w:rsidP="00A009E7">
      <w:pPr>
        <w:pStyle w:val="ListParagraph"/>
        <w:numPr>
          <w:ilvl w:val="0"/>
          <w:numId w:val="22"/>
        </w:numPr>
        <w:spacing w:after="240"/>
        <w:ind w:left="720"/>
        <w:rPr>
          <w:rFonts w:asciiTheme="minorHAnsi" w:hAnsiTheme="minorHAnsi"/>
          <w:sz w:val="24"/>
          <w:szCs w:val="24"/>
        </w:rPr>
      </w:pPr>
      <w:r w:rsidRPr="000F7276">
        <w:rPr>
          <w:rFonts w:asciiTheme="minorHAnsi" w:hAnsiTheme="minorHAnsi"/>
          <w:b/>
          <w:i/>
          <w:iCs/>
          <w:sz w:val="24"/>
          <w:szCs w:val="24"/>
        </w:rPr>
        <w:t>Ecosystem Services</w:t>
      </w:r>
      <w:r w:rsidRPr="000F7276">
        <w:rPr>
          <w:rFonts w:asciiTheme="minorHAnsi" w:hAnsiTheme="minorHAnsi"/>
          <w:i/>
          <w:iCs/>
          <w:sz w:val="24"/>
          <w:szCs w:val="24"/>
        </w:rPr>
        <w:t>.</w:t>
      </w:r>
      <w:r w:rsidRPr="000F7276">
        <w:rPr>
          <w:rFonts w:asciiTheme="minorHAnsi" w:hAnsiTheme="minorHAnsi"/>
          <w:sz w:val="24"/>
          <w:szCs w:val="24"/>
        </w:rPr>
        <w:t xml:space="preserve"> World Bank safeguards </w:t>
      </w:r>
      <w:r w:rsidR="00F11B3E" w:rsidRPr="000F7276">
        <w:rPr>
          <w:rFonts w:asciiTheme="minorHAnsi" w:hAnsiTheme="minorHAnsi"/>
          <w:sz w:val="24"/>
          <w:szCs w:val="24"/>
        </w:rPr>
        <w:t>refer to</w:t>
      </w:r>
      <w:r w:rsidRPr="000F7276">
        <w:rPr>
          <w:rFonts w:asciiTheme="minorHAnsi" w:hAnsiTheme="minorHAnsi"/>
          <w:sz w:val="24"/>
          <w:szCs w:val="24"/>
        </w:rPr>
        <w:t xml:space="preserve"> ecosystem services </w:t>
      </w:r>
      <w:r w:rsidR="00F11B3E" w:rsidRPr="000F7276">
        <w:rPr>
          <w:rFonts w:asciiTheme="minorHAnsi" w:hAnsiTheme="minorHAnsi"/>
          <w:sz w:val="24"/>
          <w:szCs w:val="24"/>
        </w:rPr>
        <w:t>in general terms.</w:t>
      </w:r>
      <w:r w:rsidRPr="000F7276">
        <w:rPr>
          <w:rFonts w:asciiTheme="minorHAnsi" w:hAnsiTheme="minorHAnsi"/>
          <w:sz w:val="24"/>
          <w:szCs w:val="24"/>
        </w:rPr>
        <w:t xml:space="preserve"> Other MDBs include ecosystem services (such as “environmental flows</w:t>
      </w:r>
      <w:r w:rsidR="00DA421C" w:rsidRPr="000F7276">
        <w:rPr>
          <w:rFonts w:asciiTheme="minorHAnsi" w:hAnsiTheme="minorHAnsi"/>
          <w:sz w:val="24"/>
          <w:szCs w:val="24"/>
        </w:rPr>
        <w:t>”</w:t>
      </w:r>
      <w:r w:rsidRPr="000F7276">
        <w:rPr>
          <w:rFonts w:asciiTheme="minorHAnsi" w:hAnsiTheme="minorHAnsi"/>
          <w:sz w:val="24"/>
          <w:szCs w:val="24"/>
        </w:rPr>
        <w:t>) as critical</w:t>
      </w:r>
      <w:r w:rsidR="00F11B3E" w:rsidRPr="000F7276">
        <w:rPr>
          <w:rFonts w:asciiTheme="minorHAnsi" w:hAnsiTheme="minorHAnsi"/>
          <w:sz w:val="24"/>
          <w:szCs w:val="24"/>
        </w:rPr>
        <w:t xml:space="preserve"> measurable</w:t>
      </w:r>
      <w:r w:rsidRPr="000F7276">
        <w:rPr>
          <w:rFonts w:asciiTheme="minorHAnsi" w:hAnsiTheme="minorHAnsi"/>
          <w:sz w:val="24"/>
          <w:szCs w:val="24"/>
        </w:rPr>
        <w:t xml:space="preserve"> inputs with respect to both environmental and social impacts. </w:t>
      </w:r>
    </w:p>
    <w:p w14:paraId="7D601262" w14:textId="77777777" w:rsidR="00A009E7" w:rsidRDefault="00EB1A1D" w:rsidP="00A009E7">
      <w:pPr>
        <w:pStyle w:val="ListParagraph"/>
        <w:numPr>
          <w:ilvl w:val="0"/>
          <w:numId w:val="22"/>
        </w:numPr>
        <w:spacing w:after="240"/>
        <w:ind w:left="720"/>
        <w:rPr>
          <w:rFonts w:asciiTheme="minorHAnsi" w:hAnsiTheme="minorHAnsi"/>
          <w:sz w:val="24"/>
          <w:szCs w:val="24"/>
        </w:rPr>
      </w:pPr>
      <w:r w:rsidRPr="000F7276">
        <w:rPr>
          <w:rFonts w:asciiTheme="minorHAnsi" w:hAnsiTheme="minorHAnsi"/>
          <w:b/>
          <w:i/>
          <w:iCs/>
          <w:sz w:val="24"/>
          <w:szCs w:val="24"/>
        </w:rPr>
        <w:t xml:space="preserve">Use of Country Systems. </w:t>
      </w:r>
      <w:r w:rsidRPr="000F7276">
        <w:rPr>
          <w:rFonts w:asciiTheme="minorHAnsi" w:hAnsiTheme="minorHAnsi"/>
          <w:iCs/>
          <w:sz w:val="24"/>
          <w:szCs w:val="24"/>
        </w:rPr>
        <w:t>OP/BP 4.00 authorizes the Bank to use borrower safeguard systems in lieu of Bank OPs under specified conditions. Although ADB and IDB specifically authorize use of country or borrower systems, neither has implemented this authority in investment lending. In contrast, ADB, in particular, has systematically engaged in technical assistance to support strengthening of country systems at the national, sub-national and sector levels, in preparation for potential use of country systems in investment lending.</w:t>
      </w:r>
    </w:p>
    <w:p w14:paraId="5A7F55EE" w14:textId="77777777" w:rsidR="00A009E7" w:rsidRDefault="00EB1A1D" w:rsidP="00A009E7">
      <w:pPr>
        <w:pStyle w:val="ListParagraph"/>
        <w:numPr>
          <w:ilvl w:val="0"/>
          <w:numId w:val="22"/>
        </w:numPr>
        <w:spacing w:after="240"/>
        <w:ind w:left="720"/>
        <w:rPr>
          <w:rFonts w:asciiTheme="minorHAnsi" w:hAnsiTheme="minorHAnsi"/>
          <w:sz w:val="24"/>
          <w:szCs w:val="24"/>
        </w:rPr>
      </w:pPr>
      <w:r w:rsidRPr="000F7276">
        <w:rPr>
          <w:rFonts w:asciiTheme="minorHAnsi" w:hAnsiTheme="minorHAnsi"/>
          <w:b/>
          <w:i/>
          <w:iCs/>
          <w:sz w:val="24"/>
          <w:szCs w:val="24"/>
        </w:rPr>
        <w:t>Exclusion Lists</w:t>
      </w:r>
      <w:r w:rsidRPr="000F7276">
        <w:rPr>
          <w:rFonts w:asciiTheme="minorHAnsi" w:hAnsiTheme="minorHAnsi"/>
          <w:i/>
          <w:iCs/>
          <w:sz w:val="24"/>
          <w:szCs w:val="24"/>
        </w:rPr>
        <w:t>.</w:t>
      </w:r>
      <w:r w:rsidRPr="000F7276">
        <w:rPr>
          <w:rFonts w:asciiTheme="minorHAnsi" w:hAnsiTheme="minorHAnsi"/>
          <w:sz w:val="24"/>
          <w:szCs w:val="24"/>
        </w:rPr>
        <w:t xml:space="preserve"> With the exception of certain categories of pesticides, World Bank OPs for environmental and social safeguards do not include or reference a consolidated list of activities or products that are categorically excluded or prohibited from inclusion in Bank-supported investment lending projects. OP 4.76, Tobacco, </w:t>
      </w:r>
      <w:r w:rsidRPr="000F7276">
        <w:rPr>
          <w:rFonts w:asciiTheme="minorHAnsi" w:hAnsiTheme="minorHAnsi"/>
          <w:iCs/>
          <w:sz w:val="24"/>
          <w:szCs w:val="24"/>
        </w:rPr>
        <w:t>issued</w:t>
      </w:r>
      <w:r w:rsidRPr="000F7276">
        <w:rPr>
          <w:rFonts w:asciiTheme="minorHAnsi" w:hAnsiTheme="minorHAnsi"/>
          <w:sz w:val="24"/>
          <w:szCs w:val="24"/>
        </w:rPr>
        <w:t xml:space="preserve"> in 1999, does include a qualified prohibition on Bank support for tobacco projects. Otherwise, the World Bank relies on its procurement policy to exclude specified products or associated activities from Bank-supported projects. </w:t>
      </w:r>
      <w:r w:rsidR="00644F25" w:rsidRPr="000F7276">
        <w:rPr>
          <w:rFonts w:asciiTheme="minorHAnsi" w:hAnsiTheme="minorHAnsi"/>
          <w:sz w:val="24"/>
          <w:szCs w:val="24"/>
        </w:rPr>
        <w:t>O</w:t>
      </w:r>
      <w:r w:rsidRPr="000F7276">
        <w:rPr>
          <w:rFonts w:asciiTheme="minorHAnsi" w:hAnsiTheme="minorHAnsi"/>
          <w:sz w:val="24"/>
          <w:szCs w:val="24"/>
        </w:rPr>
        <w:t xml:space="preserve">ther MDBs issue formal Exclusion or Prohibition lists as part of their environmental and social safeguard policies </w:t>
      </w:r>
      <w:r w:rsidR="00DA421C" w:rsidRPr="000F7276">
        <w:rPr>
          <w:rFonts w:asciiTheme="minorHAnsi" w:hAnsiTheme="minorHAnsi"/>
          <w:sz w:val="24"/>
          <w:szCs w:val="24"/>
        </w:rPr>
        <w:t xml:space="preserve">that </w:t>
      </w:r>
      <w:r w:rsidRPr="000F7276">
        <w:rPr>
          <w:rFonts w:asciiTheme="minorHAnsi" w:hAnsiTheme="minorHAnsi"/>
          <w:sz w:val="24"/>
          <w:szCs w:val="24"/>
        </w:rPr>
        <w:t>go well beyond the products and activities excluded by the World Bank’s procurement policy.</w:t>
      </w:r>
    </w:p>
    <w:p w14:paraId="2DAB82E0" w14:textId="77777777" w:rsidR="00A009E7" w:rsidRDefault="00EB1A1D" w:rsidP="00A009E7">
      <w:pPr>
        <w:pStyle w:val="ListParagraph"/>
        <w:numPr>
          <w:ilvl w:val="0"/>
          <w:numId w:val="22"/>
        </w:numPr>
        <w:spacing w:after="240"/>
        <w:ind w:left="720"/>
        <w:rPr>
          <w:rFonts w:asciiTheme="minorHAnsi" w:hAnsiTheme="minorHAnsi"/>
          <w:bCs/>
          <w:sz w:val="24"/>
          <w:szCs w:val="24"/>
        </w:rPr>
      </w:pPr>
      <w:r w:rsidRPr="000F7276">
        <w:rPr>
          <w:rFonts w:asciiTheme="minorHAnsi" w:hAnsiTheme="minorHAnsi"/>
          <w:b/>
          <w:i/>
          <w:iCs/>
          <w:sz w:val="24"/>
          <w:szCs w:val="24"/>
        </w:rPr>
        <w:t xml:space="preserve">Human Rights as a Cross-Cutting Issue. </w:t>
      </w:r>
      <w:r w:rsidR="00456423" w:rsidRPr="000F7276">
        <w:rPr>
          <w:rFonts w:asciiTheme="minorHAnsi" w:hAnsiTheme="minorHAnsi"/>
          <w:iCs/>
          <w:sz w:val="24"/>
          <w:szCs w:val="24"/>
        </w:rPr>
        <w:t>None of the MDBs (other than EIB</w:t>
      </w:r>
      <w:r w:rsidR="0014221E" w:rsidRPr="000F7276">
        <w:rPr>
          <w:rFonts w:asciiTheme="minorHAnsi" w:hAnsiTheme="minorHAnsi"/>
          <w:iCs/>
          <w:sz w:val="24"/>
          <w:szCs w:val="24"/>
        </w:rPr>
        <w:t>)</w:t>
      </w:r>
      <w:r w:rsidR="00456423" w:rsidRPr="000F7276">
        <w:rPr>
          <w:rStyle w:val="FootnoteReference"/>
          <w:rFonts w:asciiTheme="minorHAnsi" w:hAnsiTheme="minorHAnsi"/>
          <w:iCs/>
          <w:sz w:val="24"/>
          <w:szCs w:val="24"/>
        </w:rPr>
        <w:footnoteReference w:id="8"/>
      </w:r>
      <w:r w:rsidR="00456423" w:rsidRPr="000F7276">
        <w:rPr>
          <w:rFonts w:asciiTheme="minorHAnsi" w:hAnsiTheme="minorHAnsi"/>
          <w:iCs/>
          <w:sz w:val="24"/>
          <w:szCs w:val="24"/>
        </w:rPr>
        <w:t xml:space="preserve"> have</w:t>
      </w:r>
      <w:r w:rsidR="00A448D6" w:rsidRPr="000F7276">
        <w:rPr>
          <w:rFonts w:asciiTheme="minorHAnsi" w:hAnsiTheme="minorHAnsi"/>
          <w:iCs/>
          <w:sz w:val="24"/>
          <w:szCs w:val="24"/>
        </w:rPr>
        <w:t xml:space="preserve"> a cross-cutting policy</w:t>
      </w:r>
      <w:r w:rsidR="00456423" w:rsidRPr="000F7276">
        <w:rPr>
          <w:rFonts w:asciiTheme="minorHAnsi" w:hAnsiTheme="minorHAnsi"/>
          <w:iCs/>
          <w:sz w:val="24"/>
          <w:szCs w:val="24"/>
        </w:rPr>
        <w:t xml:space="preserve"> </w:t>
      </w:r>
      <w:r w:rsidR="00A448D6" w:rsidRPr="000F7276">
        <w:rPr>
          <w:rFonts w:asciiTheme="minorHAnsi" w:hAnsiTheme="minorHAnsi"/>
          <w:iCs/>
          <w:sz w:val="24"/>
          <w:szCs w:val="24"/>
        </w:rPr>
        <w:t>requiring</w:t>
      </w:r>
      <w:r w:rsidR="00456423" w:rsidRPr="000F7276">
        <w:rPr>
          <w:rFonts w:asciiTheme="minorHAnsi" w:hAnsiTheme="minorHAnsi"/>
          <w:iCs/>
          <w:sz w:val="24"/>
          <w:szCs w:val="24"/>
        </w:rPr>
        <w:t xml:space="preserve"> “human rights”</w:t>
      </w:r>
      <w:r w:rsidR="00D93E6F" w:rsidRPr="000F7276">
        <w:rPr>
          <w:rFonts w:asciiTheme="minorHAnsi" w:hAnsiTheme="minorHAnsi"/>
          <w:iCs/>
          <w:sz w:val="24"/>
          <w:szCs w:val="24"/>
        </w:rPr>
        <w:t xml:space="preserve"> compliance</w:t>
      </w:r>
      <w:r w:rsidR="00456423" w:rsidRPr="000F7276">
        <w:rPr>
          <w:rFonts w:asciiTheme="minorHAnsi" w:hAnsiTheme="minorHAnsi"/>
          <w:iCs/>
          <w:sz w:val="24"/>
          <w:szCs w:val="24"/>
        </w:rPr>
        <w:t xml:space="preserve">. Most </w:t>
      </w:r>
      <w:r w:rsidR="008A20CD" w:rsidRPr="000F7276">
        <w:rPr>
          <w:rFonts w:asciiTheme="minorHAnsi" w:hAnsiTheme="minorHAnsi"/>
          <w:iCs/>
          <w:sz w:val="24"/>
          <w:szCs w:val="24"/>
        </w:rPr>
        <w:t>o</w:t>
      </w:r>
      <w:r w:rsidR="00A448D6" w:rsidRPr="000F7276">
        <w:rPr>
          <w:rFonts w:asciiTheme="minorHAnsi" w:hAnsiTheme="minorHAnsi"/>
          <w:iCs/>
          <w:sz w:val="24"/>
          <w:szCs w:val="24"/>
        </w:rPr>
        <w:t xml:space="preserve">f the other </w:t>
      </w:r>
      <w:r w:rsidR="00456423" w:rsidRPr="000F7276">
        <w:rPr>
          <w:rFonts w:asciiTheme="minorHAnsi" w:hAnsiTheme="minorHAnsi"/>
          <w:iCs/>
          <w:sz w:val="24"/>
          <w:szCs w:val="24"/>
        </w:rPr>
        <w:t>MDBs refer to “human rights” in supportive aspirational terms while recognizing the responsibility of clients to respect human rights.</w:t>
      </w:r>
      <w:r w:rsidR="00A448D6" w:rsidRPr="000F7276">
        <w:rPr>
          <w:rFonts w:asciiTheme="minorHAnsi" w:hAnsiTheme="minorHAnsi"/>
          <w:iCs/>
          <w:sz w:val="24"/>
          <w:szCs w:val="24"/>
        </w:rPr>
        <w:t xml:space="preserve"> The World Bank only refers to “human rights” in OP 4.10</w:t>
      </w:r>
      <w:r w:rsidR="0014221E" w:rsidRPr="000F7276">
        <w:rPr>
          <w:rFonts w:asciiTheme="minorHAnsi" w:hAnsiTheme="minorHAnsi"/>
          <w:iCs/>
          <w:sz w:val="24"/>
          <w:szCs w:val="24"/>
        </w:rPr>
        <w:t>,</w:t>
      </w:r>
      <w:r w:rsidR="00A448D6" w:rsidRPr="000F7276">
        <w:rPr>
          <w:rFonts w:asciiTheme="minorHAnsi" w:hAnsiTheme="minorHAnsi"/>
          <w:iCs/>
          <w:sz w:val="24"/>
          <w:szCs w:val="24"/>
        </w:rPr>
        <w:t xml:space="preserve"> Indigenous Peoples.</w:t>
      </w:r>
      <w:r w:rsidR="00A448D6" w:rsidRPr="000F7276">
        <w:rPr>
          <w:rStyle w:val="FootnoteReference"/>
          <w:rFonts w:asciiTheme="minorHAnsi" w:hAnsiTheme="minorHAnsi"/>
          <w:iCs/>
          <w:sz w:val="24"/>
          <w:szCs w:val="24"/>
        </w:rPr>
        <w:footnoteReference w:id="9"/>
      </w:r>
    </w:p>
    <w:p w14:paraId="53638F99" w14:textId="77777777" w:rsidR="00A009E7" w:rsidRDefault="00EB1A1D" w:rsidP="00A009E7">
      <w:pPr>
        <w:keepNext/>
        <w:keepLines/>
        <w:spacing w:after="240"/>
        <w:rPr>
          <w:rFonts w:asciiTheme="minorHAnsi" w:hAnsiTheme="minorHAnsi"/>
          <w:b/>
          <w:bCs/>
          <w:sz w:val="24"/>
          <w:szCs w:val="24"/>
        </w:rPr>
      </w:pPr>
      <w:r w:rsidRPr="000F7276">
        <w:rPr>
          <w:rFonts w:asciiTheme="minorHAnsi" w:hAnsiTheme="minorHAnsi"/>
          <w:b/>
          <w:bCs/>
          <w:sz w:val="24"/>
          <w:szCs w:val="24"/>
        </w:rPr>
        <w:t xml:space="preserve">4. </w:t>
      </w:r>
      <w:r w:rsidR="0069126A" w:rsidRPr="000F7276">
        <w:rPr>
          <w:rFonts w:asciiTheme="minorHAnsi" w:hAnsiTheme="minorHAnsi"/>
          <w:b/>
          <w:bCs/>
          <w:sz w:val="24"/>
          <w:szCs w:val="24"/>
        </w:rPr>
        <w:t>Comparison of</w:t>
      </w:r>
      <w:r w:rsidRPr="000F7276">
        <w:rPr>
          <w:rFonts w:asciiTheme="minorHAnsi" w:hAnsiTheme="minorHAnsi"/>
          <w:b/>
          <w:bCs/>
          <w:sz w:val="24"/>
          <w:szCs w:val="24"/>
        </w:rPr>
        <w:t xml:space="preserve"> Operational Requirements </w:t>
      </w:r>
    </w:p>
    <w:p w14:paraId="714AB411" w14:textId="77777777" w:rsidR="00A009E7" w:rsidRDefault="00EB1A1D" w:rsidP="00A009E7">
      <w:pPr>
        <w:spacing w:after="240"/>
        <w:rPr>
          <w:rFonts w:asciiTheme="minorHAnsi" w:hAnsiTheme="minorHAnsi"/>
          <w:sz w:val="24"/>
          <w:szCs w:val="24"/>
        </w:rPr>
      </w:pPr>
      <w:r w:rsidRPr="000F7276">
        <w:rPr>
          <w:rFonts w:asciiTheme="minorHAnsi" w:hAnsiTheme="minorHAnsi"/>
          <w:sz w:val="24"/>
          <w:szCs w:val="24"/>
        </w:rPr>
        <w:t xml:space="preserve">The </w:t>
      </w:r>
      <w:r w:rsidRPr="000F7276">
        <w:rPr>
          <w:rFonts w:asciiTheme="minorHAnsi" w:hAnsiTheme="minorHAnsi"/>
          <w:bCs/>
          <w:sz w:val="24"/>
          <w:szCs w:val="24"/>
        </w:rPr>
        <w:t>World</w:t>
      </w:r>
      <w:r w:rsidRPr="000F7276">
        <w:rPr>
          <w:rFonts w:asciiTheme="minorHAnsi" w:hAnsiTheme="minorHAnsi"/>
          <w:sz w:val="24"/>
          <w:szCs w:val="24"/>
        </w:rPr>
        <w:t xml:space="preserve"> Bank issued its most recent </w:t>
      </w:r>
      <w:r w:rsidR="00644F25" w:rsidRPr="000F7276">
        <w:rPr>
          <w:rFonts w:asciiTheme="minorHAnsi" w:hAnsiTheme="minorHAnsi"/>
          <w:sz w:val="24"/>
          <w:szCs w:val="24"/>
        </w:rPr>
        <w:t>full</w:t>
      </w:r>
      <w:r w:rsidRPr="000F7276">
        <w:rPr>
          <w:rFonts w:asciiTheme="minorHAnsi" w:hAnsiTheme="minorHAnsi"/>
          <w:sz w:val="24"/>
          <w:szCs w:val="24"/>
        </w:rPr>
        <w:t xml:space="preserve"> Operational Policy related to safeguards, OP 4.11, Physical Cultural Resources, in 2006.</w:t>
      </w:r>
      <w:r w:rsidRPr="000F7276">
        <w:rPr>
          <w:vertAlign w:val="superscript"/>
        </w:rPr>
        <w:footnoteReference w:id="10"/>
      </w:r>
      <w:r w:rsidRPr="000F7276">
        <w:rPr>
          <w:rFonts w:asciiTheme="minorHAnsi" w:hAnsiTheme="minorHAnsi"/>
          <w:sz w:val="24"/>
          <w:szCs w:val="24"/>
        </w:rPr>
        <w:t xml:space="preserve"> Since then, other MDBs have </w:t>
      </w:r>
      <w:r w:rsidR="00135C19" w:rsidRPr="000F7276">
        <w:rPr>
          <w:rFonts w:asciiTheme="minorHAnsi" w:hAnsiTheme="minorHAnsi"/>
          <w:sz w:val="24"/>
          <w:szCs w:val="24"/>
        </w:rPr>
        <w:t>modified or comprehensive</w:t>
      </w:r>
      <w:r w:rsidR="0030214A" w:rsidRPr="000F7276">
        <w:rPr>
          <w:rFonts w:asciiTheme="minorHAnsi" w:hAnsiTheme="minorHAnsi"/>
          <w:sz w:val="24"/>
          <w:szCs w:val="24"/>
        </w:rPr>
        <w:t>ly</w:t>
      </w:r>
      <w:r w:rsidR="00135C19" w:rsidRPr="000F7276">
        <w:rPr>
          <w:rFonts w:asciiTheme="minorHAnsi" w:hAnsiTheme="minorHAnsi"/>
          <w:sz w:val="24"/>
          <w:szCs w:val="24"/>
        </w:rPr>
        <w:t xml:space="preserve"> r</w:t>
      </w:r>
      <w:r w:rsidRPr="000F7276">
        <w:rPr>
          <w:rFonts w:asciiTheme="minorHAnsi" w:hAnsiTheme="minorHAnsi"/>
          <w:sz w:val="24"/>
          <w:szCs w:val="24"/>
        </w:rPr>
        <w:t>evised their safeguard policies and</w:t>
      </w:r>
      <w:r w:rsidR="00135C19" w:rsidRPr="000F7276">
        <w:rPr>
          <w:rFonts w:asciiTheme="minorHAnsi" w:hAnsiTheme="minorHAnsi"/>
          <w:sz w:val="24"/>
          <w:szCs w:val="24"/>
        </w:rPr>
        <w:t xml:space="preserve">, in the process, </w:t>
      </w:r>
      <w:r w:rsidRPr="000F7276">
        <w:rPr>
          <w:rFonts w:asciiTheme="minorHAnsi" w:hAnsiTheme="minorHAnsi"/>
          <w:sz w:val="24"/>
          <w:szCs w:val="24"/>
        </w:rPr>
        <w:t xml:space="preserve">introduced </w:t>
      </w:r>
      <w:r w:rsidR="00064A2E" w:rsidRPr="000F7276">
        <w:rPr>
          <w:rFonts w:asciiTheme="minorHAnsi" w:hAnsiTheme="minorHAnsi"/>
          <w:sz w:val="24"/>
          <w:szCs w:val="24"/>
        </w:rPr>
        <w:t>additional</w:t>
      </w:r>
      <w:r w:rsidRPr="000F7276">
        <w:rPr>
          <w:rFonts w:asciiTheme="minorHAnsi" w:hAnsiTheme="minorHAnsi"/>
          <w:sz w:val="24"/>
          <w:szCs w:val="24"/>
        </w:rPr>
        <w:t xml:space="preserve"> operational requirements to assess and manage the environmental and social impacts and risks associated with investment lending. </w:t>
      </w:r>
      <w:r w:rsidR="00064A2E" w:rsidRPr="000F7276">
        <w:rPr>
          <w:rFonts w:asciiTheme="minorHAnsi" w:hAnsiTheme="minorHAnsi"/>
          <w:sz w:val="24"/>
          <w:szCs w:val="24"/>
        </w:rPr>
        <w:t>Some of these additional requirements introduce substantive and material provisions not found in current Bank safeguard policies, while other requirements are elaborations on requirements that may be implicit in existing Bank policies. What follows are some illustrative examples of both</w:t>
      </w:r>
      <w:r w:rsidR="00051348">
        <w:rPr>
          <w:rFonts w:asciiTheme="minorHAnsi" w:hAnsiTheme="minorHAnsi"/>
          <w:sz w:val="24"/>
          <w:szCs w:val="24"/>
        </w:rPr>
        <w:t xml:space="preserve"> types of MDB provisions. </w:t>
      </w:r>
      <w:r w:rsidR="00064A2E" w:rsidRPr="000F7276">
        <w:rPr>
          <w:rFonts w:asciiTheme="minorHAnsi" w:hAnsiTheme="minorHAnsi"/>
          <w:sz w:val="24"/>
          <w:szCs w:val="24"/>
        </w:rPr>
        <w:t>A more complete inventory of such provisions, with source citations, is presen</w:t>
      </w:r>
      <w:r w:rsidR="00051348">
        <w:rPr>
          <w:rFonts w:asciiTheme="minorHAnsi" w:hAnsiTheme="minorHAnsi"/>
          <w:sz w:val="24"/>
          <w:szCs w:val="24"/>
        </w:rPr>
        <w:t xml:space="preserve">ted in Annex 4 of this report. </w:t>
      </w:r>
      <w:r w:rsidR="00064A2E" w:rsidRPr="000F7276">
        <w:rPr>
          <w:rFonts w:asciiTheme="minorHAnsi" w:hAnsiTheme="minorHAnsi"/>
          <w:sz w:val="24"/>
          <w:szCs w:val="24"/>
        </w:rPr>
        <w:t xml:space="preserve">In both cases, the MDB provisions are </w:t>
      </w:r>
      <w:r w:rsidRPr="000F7276">
        <w:rPr>
          <w:rFonts w:asciiTheme="minorHAnsi" w:hAnsiTheme="minorHAnsi"/>
          <w:sz w:val="24"/>
          <w:szCs w:val="24"/>
        </w:rPr>
        <w:t xml:space="preserve">organized in relation to specific </w:t>
      </w:r>
      <w:r w:rsidR="00064A2E" w:rsidRPr="000F7276">
        <w:rPr>
          <w:rFonts w:asciiTheme="minorHAnsi" w:hAnsiTheme="minorHAnsi"/>
          <w:sz w:val="24"/>
          <w:szCs w:val="24"/>
        </w:rPr>
        <w:t xml:space="preserve">corresponding </w:t>
      </w:r>
      <w:r w:rsidRPr="000F7276">
        <w:rPr>
          <w:rFonts w:asciiTheme="minorHAnsi" w:hAnsiTheme="minorHAnsi"/>
          <w:sz w:val="24"/>
          <w:szCs w:val="24"/>
        </w:rPr>
        <w:t>Bank OPs.</w:t>
      </w:r>
    </w:p>
    <w:p w14:paraId="24D26DE3" w14:textId="77777777" w:rsidR="00A009E7" w:rsidRDefault="00EB1A1D" w:rsidP="00A009E7">
      <w:pPr>
        <w:spacing w:after="240"/>
        <w:ind w:firstLine="360"/>
        <w:rPr>
          <w:rFonts w:asciiTheme="minorHAnsi" w:hAnsiTheme="minorHAnsi"/>
          <w:b/>
          <w:bCs/>
          <w:i/>
          <w:iCs/>
          <w:sz w:val="24"/>
          <w:szCs w:val="24"/>
        </w:rPr>
      </w:pPr>
      <w:r w:rsidRPr="000F7276">
        <w:rPr>
          <w:rFonts w:asciiTheme="minorHAnsi" w:hAnsiTheme="minorHAnsi"/>
          <w:b/>
          <w:bCs/>
          <w:i/>
          <w:iCs/>
          <w:sz w:val="24"/>
          <w:szCs w:val="24"/>
        </w:rPr>
        <w:t>OP 4.01 Environmental Assessment (EA):</w:t>
      </w:r>
    </w:p>
    <w:p w14:paraId="2E2C8B85" w14:textId="59EAEEA7" w:rsidR="0030214A" w:rsidRPr="000F7276" w:rsidRDefault="00EB1A1D"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Formal integration of environmental and social impact assessment procedures;</w:t>
      </w:r>
    </w:p>
    <w:p w14:paraId="7DF12ECD" w14:textId="77777777" w:rsidR="0030214A" w:rsidRPr="000F7276" w:rsidRDefault="00EB1A1D"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Explicit definitions of “associated” and “cumulative impacts” in the context of both environmental and social assessment;</w:t>
      </w:r>
    </w:p>
    <w:p w14:paraId="289D653C" w14:textId="2EB0E29B" w:rsidR="0030214A" w:rsidRPr="000F7276" w:rsidRDefault="000510E6"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Explicit e</w:t>
      </w:r>
      <w:r w:rsidR="00EB1A1D" w:rsidRPr="000F7276">
        <w:rPr>
          <w:rFonts w:asciiTheme="minorHAnsi" w:hAnsiTheme="minorHAnsi"/>
          <w:iCs/>
          <w:sz w:val="24"/>
          <w:szCs w:val="24"/>
        </w:rPr>
        <w:t xml:space="preserve">xpanded scope of EA to include potential </w:t>
      </w:r>
      <w:r w:rsidR="00135C19" w:rsidRPr="000F7276">
        <w:rPr>
          <w:rFonts w:asciiTheme="minorHAnsi" w:hAnsiTheme="minorHAnsi"/>
          <w:iCs/>
          <w:sz w:val="24"/>
          <w:szCs w:val="24"/>
        </w:rPr>
        <w:t>impacts and risks to community health and safety; and those specific to gender, age, ethnic status</w:t>
      </w:r>
      <w:r w:rsidR="0030214A" w:rsidRPr="000F7276">
        <w:rPr>
          <w:rFonts w:asciiTheme="minorHAnsi" w:hAnsiTheme="minorHAnsi"/>
          <w:iCs/>
          <w:sz w:val="24"/>
          <w:szCs w:val="24"/>
        </w:rPr>
        <w:t>;</w:t>
      </w:r>
      <w:r w:rsidR="00135C19" w:rsidRPr="000F7276">
        <w:rPr>
          <w:rFonts w:asciiTheme="minorHAnsi" w:hAnsiTheme="minorHAnsi"/>
          <w:iCs/>
          <w:sz w:val="24"/>
          <w:szCs w:val="24"/>
        </w:rPr>
        <w:t xml:space="preserve"> </w:t>
      </w:r>
    </w:p>
    <w:p w14:paraId="394184E4" w14:textId="10945DED" w:rsidR="0030214A" w:rsidRPr="000F7276" w:rsidRDefault="000510E6"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 xml:space="preserve">Detailed </w:t>
      </w:r>
      <w:r w:rsidR="00EB1A1D" w:rsidRPr="000F7276">
        <w:rPr>
          <w:rFonts w:asciiTheme="minorHAnsi" w:hAnsiTheme="minorHAnsi"/>
          <w:iCs/>
          <w:sz w:val="24"/>
          <w:szCs w:val="24"/>
        </w:rPr>
        <w:t xml:space="preserve">requirements for the conduct of SEA and strategic environmental and social assessment; </w:t>
      </w:r>
    </w:p>
    <w:p w14:paraId="76040926" w14:textId="3DF161B3" w:rsidR="0072543C" w:rsidRPr="000F7276" w:rsidRDefault="0072543C"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Reference to the World Bank Group Environmental, Health and Safety Guidelines as an operational requirement independent of EA.</w:t>
      </w:r>
      <w:r w:rsidRPr="000F7276">
        <w:rPr>
          <w:rStyle w:val="FootnoteReference"/>
          <w:rFonts w:asciiTheme="minorHAnsi" w:hAnsiTheme="minorHAnsi"/>
          <w:iCs/>
          <w:sz w:val="24"/>
          <w:szCs w:val="24"/>
        </w:rPr>
        <w:footnoteReference w:id="11"/>
      </w:r>
    </w:p>
    <w:p w14:paraId="2193ED5B" w14:textId="5D564A08" w:rsidR="0030214A" w:rsidRPr="000F7276" w:rsidRDefault="00EB1A1D"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 xml:space="preserve">Monitoring and reporting </w:t>
      </w:r>
      <w:r w:rsidR="00051348">
        <w:rPr>
          <w:rFonts w:asciiTheme="minorHAnsi" w:hAnsiTheme="minorHAnsi"/>
          <w:iCs/>
          <w:sz w:val="24"/>
          <w:szCs w:val="24"/>
        </w:rPr>
        <w:t>of greenhouse gas emissions (GHG</w:t>
      </w:r>
      <w:r w:rsidRPr="000F7276">
        <w:rPr>
          <w:rFonts w:asciiTheme="minorHAnsi" w:hAnsiTheme="minorHAnsi"/>
          <w:iCs/>
          <w:sz w:val="24"/>
          <w:szCs w:val="24"/>
        </w:rPr>
        <w:t>s) as a standard requirement for EA along with requirements to promote the reduction of project-related anthropogenic GHG emissions in a manner appropriate to the nature and scale of project operations and impacts</w:t>
      </w:r>
      <w:r w:rsidR="00C05728" w:rsidRPr="000F7276">
        <w:rPr>
          <w:rFonts w:asciiTheme="minorHAnsi" w:hAnsiTheme="minorHAnsi"/>
          <w:iCs/>
          <w:sz w:val="24"/>
          <w:szCs w:val="24"/>
        </w:rPr>
        <w:t>;</w:t>
      </w:r>
    </w:p>
    <w:p w14:paraId="43057D52" w14:textId="77777777" w:rsidR="0030214A" w:rsidRPr="000F7276" w:rsidRDefault="00EB1A1D"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 xml:space="preserve">A “precautionary approach” applied to all environmental impacts, </w:t>
      </w:r>
      <w:r w:rsidR="00135C19" w:rsidRPr="000F7276">
        <w:rPr>
          <w:rFonts w:asciiTheme="minorHAnsi" w:hAnsiTheme="minorHAnsi"/>
          <w:iCs/>
          <w:sz w:val="24"/>
          <w:szCs w:val="24"/>
        </w:rPr>
        <w:t>going beyond the Bank’s limited application of the approach to</w:t>
      </w:r>
      <w:r w:rsidRPr="000F7276">
        <w:rPr>
          <w:rFonts w:asciiTheme="minorHAnsi" w:hAnsiTheme="minorHAnsi"/>
          <w:iCs/>
          <w:sz w:val="24"/>
          <w:szCs w:val="24"/>
        </w:rPr>
        <w:t xml:space="preserve"> natural habitats;</w:t>
      </w:r>
    </w:p>
    <w:p w14:paraId="44A594A5" w14:textId="77777777" w:rsidR="0030214A" w:rsidRPr="000F7276" w:rsidRDefault="00EB1A1D"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Broader definition of transboundary issues subject to EA, including waterways, watersheds, coastal marine resources, biological corridors, regional airsheds and aquifers;</w:t>
      </w:r>
    </w:p>
    <w:p w14:paraId="1F446053" w14:textId="597A9A44" w:rsidR="0030214A" w:rsidRPr="000F7276" w:rsidRDefault="00EB1A1D"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 xml:space="preserve">Role for affected parties in monitoring the </w:t>
      </w:r>
      <w:r w:rsidR="00331009">
        <w:rPr>
          <w:rFonts w:asciiTheme="minorHAnsi" w:hAnsiTheme="minorHAnsi"/>
          <w:iCs/>
          <w:sz w:val="24"/>
          <w:szCs w:val="24"/>
        </w:rPr>
        <w:t>environmental and social management plan (</w:t>
      </w:r>
      <w:r w:rsidRPr="000F7276">
        <w:rPr>
          <w:rFonts w:asciiTheme="minorHAnsi" w:hAnsiTheme="minorHAnsi"/>
          <w:iCs/>
          <w:sz w:val="24"/>
          <w:szCs w:val="24"/>
        </w:rPr>
        <w:t>ESMP</w:t>
      </w:r>
      <w:r w:rsidR="00331009">
        <w:rPr>
          <w:rFonts w:asciiTheme="minorHAnsi" w:hAnsiTheme="minorHAnsi"/>
          <w:iCs/>
          <w:sz w:val="24"/>
          <w:szCs w:val="24"/>
        </w:rPr>
        <w:t>)</w:t>
      </w:r>
      <w:r w:rsidR="00C05728" w:rsidRPr="000F7276">
        <w:rPr>
          <w:rFonts w:asciiTheme="minorHAnsi" w:hAnsiTheme="minorHAnsi"/>
          <w:iCs/>
          <w:sz w:val="24"/>
          <w:szCs w:val="24"/>
        </w:rPr>
        <w:t>;</w:t>
      </w:r>
    </w:p>
    <w:p w14:paraId="1D301696" w14:textId="77777777" w:rsidR="0030214A" w:rsidRPr="000F7276" w:rsidRDefault="00EB1A1D"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Documentation and public disclosure of periodic monitoring reports and corrective actions; and</w:t>
      </w:r>
    </w:p>
    <w:p w14:paraId="03A780D6" w14:textId="77777777" w:rsidR="00A009E7" w:rsidRDefault="00EB1A1D" w:rsidP="00A009E7">
      <w:pPr>
        <w:pStyle w:val="ListParagraph"/>
        <w:numPr>
          <w:ilvl w:val="0"/>
          <w:numId w:val="22"/>
        </w:numPr>
        <w:spacing w:before="240" w:after="240"/>
        <w:ind w:left="720"/>
        <w:rPr>
          <w:rFonts w:asciiTheme="minorHAnsi" w:hAnsiTheme="minorHAnsi"/>
          <w:sz w:val="24"/>
          <w:szCs w:val="24"/>
        </w:rPr>
      </w:pPr>
      <w:r w:rsidRPr="000F7276">
        <w:rPr>
          <w:rFonts w:asciiTheme="minorHAnsi" w:hAnsiTheme="minorHAnsi"/>
          <w:iCs/>
          <w:sz w:val="24"/>
          <w:szCs w:val="24"/>
        </w:rPr>
        <w:t>Requirement for project-specific grievance mechanisms for all environmental and social impacts</w:t>
      </w:r>
      <w:r w:rsidR="00135C19" w:rsidRPr="000F7276">
        <w:rPr>
          <w:rFonts w:asciiTheme="minorHAnsi" w:hAnsiTheme="minorHAnsi"/>
          <w:iCs/>
          <w:sz w:val="24"/>
          <w:szCs w:val="24"/>
        </w:rPr>
        <w:t xml:space="preserve">, not limited to </w:t>
      </w:r>
      <w:r w:rsidRPr="000F7276">
        <w:rPr>
          <w:rFonts w:asciiTheme="minorHAnsi" w:hAnsiTheme="minorHAnsi"/>
          <w:iCs/>
          <w:sz w:val="24"/>
          <w:szCs w:val="24"/>
        </w:rPr>
        <w:t>Indigenous Peoples</w:t>
      </w:r>
      <w:r w:rsidRPr="000F7276">
        <w:rPr>
          <w:rFonts w:asciiTheme="minorHAnsi" w:hAnsiTheme="minorHAnsi"/>
          <w:sz w:val="24"/>
          <w:szCs w:val="24"/>
        </w:rPr>
        <w:t>.</w:t>
      </w:r>
    </w:p>
    <w:p w14:paraId="2621B7F6" w14:textId="77777777" w:rsidR="00A009E7" w:rsidRDefault="00EB1A1D" w:rsidP="00A009E7">
      <w:pPr>
        <w:spacing w:after="240"/>
        <w:ind w:firstLine="360"/>
        <w:rPr>
          <w:rFonts w:asciiTheme="minorHAnsi" w:hAnsiTheme="minorHAnsi"/>
          <w:b/>
          <w:bCs/>
          <w:i/>
          <w:iCs/>
          <w:sz w:val="24"/>
          <w:szCs w:val="24"/>
        </w:rPr>
      </w:pPr>
      <w:r w:rsidRPr="000F7276">
        <w:rPr>
          <w:rFonts w:asciiTheme="minorHAnsi" w:hAnsiTheme="minorHAnsi"/>
          <w:b/>
          <w:bCs/>
          <w:i/>
          <w:iCs/>
          <w:sz w:val="24"/>
          <w:szCs w:val="24"/>
        </w:rPr>
        <w:t>OP 4.04 Natural Habitats:</w:t>
      </w:r>
    </w:p>
    <w:p w14:paraId="0AF7AC63" w14:textId="4C063B67" w:rsidR="0030214A" w:rsidRPr="000F7276" w:rsidRDefault="00135C19"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Impacts of</w:t>
      </w:r>
      <w:r w:rsidR="00EB1A1D" w:rsidRPr="000F7276">
        <w:rPr>
          <w:rFonts w:asciiTheme="minorHAnsi" w:hAnsiTheme="minorHAnsi"/>
          <w:iCs/>
          <w:sz w:val="24"/>
          <w:szCs w:val="24"/>
        </w:rPr>
        <w:t xml:space="preserve"> “ecosystem services” and “environmental flows” </w:t>
      </w:r>
      <w:r w:rsidRPr="000F7276">
        <w:rPr>
          <w:rFonts w:asciiTheme="minorHAnsi" w:hAnsiTheme="minorHAnsi"/>
          <w:iCs/>
          <w:sz w:val="24"/>
          <w:szCs w:val="24"/>
        </w:rPr>
        <w:t xml:space="preserve">on </w:t>
      </w:r>
      <w:r w:rsidR="00EB1A1D" w:rsidRPr="000F7276">
        <w:rPr>
          <w:rFonts w:asciiTheme="minorHAnsi" w:hAnsiTheme="minorHAnsi"/>
          <w:iCs/>
          <w:sz w:val="24"/>
          <w:szCs w:val="24"/>
        </w:rPr>
        <w:t>project affected people;</w:t>
      </w:r>
    </w:p>
    <w:p w14:paraId="5A9D1A0B" w14:textId="77777777" w:rsidR="0030214A" w:rsidRPr="000F7276" w:rsidRDefault="00135C19"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A more refined</w:t>
      </w:r>
      <w:r w:rsidR="00EB1A1D" w:rsidRPr="000F7276">
        <w:rPr>
          <w:rFonts w:asciiTheme="minorHAnsi" w:hAnsiTheme="minorHAnsi"/>
          <w:iCs/>
          <w:sz w:val="24"/>
          <w:szCs w:val="24"/>
        </w:rPr>
        <w:t xml:space="preserve"> categorization</w:t>
      </w:r>
      <w:r w:rsidRPr="000F7276">
        <w:rPr>
          <w:rFonts w:asciiTheme="minorHAnsi" w:hAnsiTheme="minorHAnsi"/>
          <w:iCs/>
          <w:sz w:val="24"/>
          <w:szCs w:val="24"/>
        </w:rPr>
        <w:t xml:space="preserve"> </w:t>
      </w:r>
      <w:r w:rsidR="00EB1A1D" w:rsidRPr="000F7276">
        <w:rPr>
          <w:rFonts w:asciiTheme="minorHAnsi" w:hAnsiTheme="minorHAnsi"/>
          <w:iCs/>
          <w:sz w:val="24"/>
          <w:szCs w:val="24"/>
        </w:rPr>
        <w:t>of natural habita</w:t>
      </w:r>
      <w:r w:rsidRPr="000F7276">
        <w:rPr>
          <w:rFonts w:asciiTheme="minorHAnsi" w:hAnsiTheme="minorHAnsi"/>
          <w:iCs/>
          <w:sz w:val="24"/>
          <w:szCs w:val="24"/>
        </w:rPr>
        <w:t>ts</w:t>
      </w:r>
      <w:r w:rsidR="00EB1A1D" w:rsidRPr="000F7276">
        <w:rPr>
          <w:rFonts w:asciiTheme="minorHAnsi" w:hAnsiTheme="minorHAnsi"/>
          <w:iCs/>
          <w:sz w:val="24"/>
          <w:szCs w:val="24"/>
        </w:rPr>
        <w:t xml:space="preserve"> to include “modified,” “semi-natural,” and “urban” habitat</w:t>
      </w:r>
      <w:r w:rsidRPr="000F7276">
        <w:rPr>
          <w:rFonts w:asciiTheme="minorHAnsi" w:hAnsiTheme="minorHAnsi"/>
          <w:iCs/>
          <w:sz w:val="24"/>
          <w:szCs w:val="24"/>
        </w:rPr>
        <w:t>s as compared to the</w:t>
      </w:r>
      <w:r w:rsidR="00EB1A1D" w:rsidRPr="000F7276">
        <w:rPr>
          <w:rFonts w:asciiTheme="minorHAnsi" w:hAnsiTheme="minorHAnsi"/>
          <w:iCs/>
          <w:sz w:val="24"/>
          <w:szCs w:val="24"/>
        </w:rPr>
        <w:t xml:space="preserve"> Bank’s </w:t>
      </w:r>
      <w:r w:rsidRPr="000F7276">
        <w:rPr>
          <w:rFonts w:asciiTheme="minorHAnsi" w:hAnsiTheme="minorHAnsi"/>
          <w:iCs/>
          <w:sz w:val="24"/>
          <w:szCs w:val="24"/>
        </w:rPr>
        <w:t xml:space="preserve">binary </w:t>
      </w:r>
      <w:r w:rsidR="00EB1A1D" w:rsidRPr="000F7276">
        <w:rPr>
          <w:rFonts w:asciiTheme="minorHAnsi" w:hAnsiTheme="minorHAnsi"/>
          <w:iCs/>
          <w:sz w:val="24"/>
          <w:szCs w:val="24"/>
        </w:rPr>
        <w:t>distinction between “critical” and “non-critical” habitat;</w:t>
      </w:r>
    </w:p>
    <w:p w14:paraId="57FD0E28" w14:textId="77777777" w:rsidR="0030214A" w:rsidRPr="000F7276" w:rsidRDefault="00EB1A1D"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 xml:space="preserve">Use of “Biodiversity Impact Assessment” to obtain a </w:t>
      </w:r>
      <w:r w:rsidR="00135C19" w:rsidRPr="000F7276">
        <w:rPr>
          <w:rFonts w:asciiTheme="minorHAnsi" w:hAnsiTheme="minorHAnsi"/>
          <w:iCs/>
          <w:sz w:val="24"/>
          <w:szCs w:val="24"/>
        </w:rPr>
        <w:t xml:space="preserve">more </w:t>
      </w:r>
      <w:r w:rsidRPr="000F7276">
        <w:rPr>
          <w:rFonts w:asciiTheme="minorHAnsi" w:hAnsiTheme="minorHAnsi"/>
          <w:iCs/>
          <w:sz w:val="24"/>
          <w:szCs w:val="24"/>
        </w:rPr>
        <w:t>comprehensive picture of the likely direct, indirect, induced and cumulative impacts of the operation on habitats, species and ecosystems;</w:t>
      </w:r>
    </w:p>
    <w:p w14:paraId="2214FF88" w14:textId="77777777" w:rsidR="0030214A" w:rsidRPr="000F7276" w:rsidRDefault="00EB1A1D"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 xml:space="preserve">Use of internationally recognized certification systems for all renewable natural resources </w:t>
      </w:r>
      <w:r w:rsidR="00135C19" w:rsidRPr="000F7276">
        <w:rPr>
          <w:rFonts w:asciiTheme="minorHAnsi" w:hAnsiTheme="minorHAnsi"/>
          <w:iCs/>
          <w:sz w:val="24"/>
          <w:szCs w:val="24"/>
        </w:rPr>
        <w:t xml:space="preserve">not limited to commercial scale </w:t>
      </w:r>
      <w:r w:rsidRPr="000F7276">
        <w:rPr>
          <w:rFonts w:asciiTheme="minorHAnsi" w:hAnsiTheme="minorHAnsi"/>
          <w:iCs/>
          <w:sz w:val="24"/>
          <w:szCs w:val="24"/>
        </w:rPr>
        <w:t>forest</w:t>
      </w:r>
      <w:r w:rsidR="00135C19" w:rsidRPr="000F7276">
        <w:rPr>
          <w:rFonts w:asciiTheme="minorHAnsi" w:hAnsiTheme="minorHAnsi"/>
          <w:iCs/>
          <w:sz w:val="24"/>
          <w:szCs w:val="24"/>
        </w:rPr>
        <w:t>ry projects;</w:t>
      </w:r>
    </w:p>
    <w:p w14:paraId="1A9BC692" w14:textId="77777777" w:rsidR="0030214A" w:rsidRPr="000F7276" w:rsidRDefault="00EB1A1D"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Requirements for sustainable management of agriculture, livestock, fisheries and aquaculture; and</w:t>
      </w:r>
    </w:p>
    <w:p w14:paraId="357B4B22" w14:textId="77777777" w:rsidR="00A009E7" w:rsidRDefault="00EB1A1D" w:rsidP="00A009E7">
      <w:pPr>
        <w:pStyle w:val="ListParagraph"/>
        <w:numPr>
          <w:ilvl w:val="0"/>
          <w:numId w:val="22"/>
        </w:numPr>
        <w:spacing w:after="240"/>
        <w:ind w:left="720"/>
        <w:rPr>
          <w:rFonts w:asciiTheme="minorHAnsi" w:hAnsiTheme="minorHAnsi"/>
          <w:iCs/>
          <w:sz w:val="24"/>
          <w:szCs w:val="24"/>
        </w:rPr>
      </w:pPr>
      <w:r w:rsidRPr="000F7276">
        <w:rPr>
          <w:rFonts w:asciiTheme="minorHAnsi" w:hAnsiTheme="minorHAnsi"/>
          <w:iCs/>
          <w:sz w:val="24"/>
          <w:szCs w:val="24"/>
        </w:rPr>
        <w:t>Restrictions on the introduction of invasive species and genetically modified organisms.</w:t>
      </w:r>
    </w:p>
    <w:p w14:paraId="11BDCCFA" w14:textId="77777777" w:rsidR="00A009E7" w:rsidRDefault="00EB1A1D" w:rsidP="00A009E7">
      <w:pPr>
        <w:spacing w:before="240" w:after="240"/>
        <w:ind w:firstLine="360"/>
        <w:rPr>
          <w:rFonts w:asciiTheme="minorHAnsi" w:hAnsiTheme="minorHAnsi"/>
          <w:b/>
          <w:bCs/>
          <w:i/>
          <w:iCs/>
          <w:sz w:val="24"/>
          <w:szCs w:val="24"/>
        </w:rPr>
      </w:pPr>
      <w:r w:rsidRPr="000F7276">
        <w:rPr>
          <w:rFonts w:asciiTheme="minorHAnsi" w:hAnsiTheme="minorHAnsi"/>
          <w:b/>
          <w:bCs/>
          <w:i/>
          <w:iCs/>
          <w:sz w:val="24"/>
          <w:szCs w:val="24"/>
        </w:rPr>
        <w:t>OP 4.10 Indigenous Peoples</w:t>
      </w:r>
    </w:p>
    <w:p w14:paraId="267662E5" w14:textId="55FE2427" w:rsidR="0030214A" w:rsidRPr="000F7276" w:rsidRDefault="00EB1A1D"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Explicit requirement for “Free, Prior, and Informed Consent” under specified circumstances;</w:t>
      </w:r>
    </w:p>
    <w:p w14:paraId="26BCBB97" w14:textId="1A72FDD5" w:rsidR="0030214A" w:rsidRPr="000F7276" w:rsidRDefault="00EB1A1D"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 xml:space="preserve">Reference to the UN General Assembly </w:t>
      </w:r>
      <w:r w:rsidR="001274EA" w:rsidRPr="000F7276">
        <w:rPr>
          <w:rFonts w:asciiTheme="minorHAnsi" w:hAnsiTheme="minorHAnsi"/>
          <w:iCs/>
          <w:sz w:val="24"/>
          <w:szCs w:val="24"/>
        </w:rPr>
        <w:t xml:space="preserve">Declaration </w:t>
      </w:r>
      <w:r w:rsidRPr="000F7276">
        <w:rPr>
          <w:rFonts w:asciiTheme="minorHAnsi" w:hAnsiTheme="minorHAnsi"/>
          <w:iCs/>
          <w:sz w:val="24"/>
          <w:szCs w:val="24"/>
        </w:rPr>
        <w:t xml:space="preserve">on the Rights of Indigenous Peoples; </w:t>
      </w:r>
    </w:p>
    <w:p w14:paraId="317565E0" w14:textId="77777777" w:rsidR="0030214A" w:rsidRPr="000F7276" w:rsidRDefault="00EB1A1D" w:rsidP="00A009E7">
      <w:pPr>
        <w:pStyle w:val="ListParagraph"/>
        <w:numPr>
          <w:ilvl w:val="0"/>
          <w:numId w:val="22"/>
        </w:numPr>
        <w:ind w:left="720"/>
        <w:rPr>
          <w:rFonts w:asciiTheme="minorHAnsi" w:hAnsiTheme="minorHAnsi"/>
          <w:iCs/>
          <w:sz w:val="24"/>
          <w:szCs w:val="24"/>
        </w:rPr>
      </w:pPr>
      <w:r w:rsidRPr="000F7276">
        <w:rPr>
          <w:rFonts w:asciiTheme="minorHAnsi" w:hAnsiTheme="minorHAnsi"/>
          <w:iCs/>
          <w:sz w:val="24"/>
          <w:szCs w:val="24"/>
        </w:rPr>
        <w:t xml:space="preserve">Application of safeguard policies </w:t>
      </w:r>
      <w:r w:rsidR="00135C19" w:rsidRPr="000F7276">
        <w:rPr>
          <w:rFonts w:asciiTheme="minorHAnsi" w:hAnsiTheme="minorHAnsi"/>
          <w:iCs/>
          <w:sz w:val="24"/>
          <w:szCs w:val="24"/>
        </w:rPr>
        <w:t>for</w:t>
      </w:r>
      <w:r w:rsidRPr="000F7276">
        <w:rPr>
          <w:rFonts w:asciiTheme="minorHAnsi" w:hAnsiTheme="minorHAnsi"/>
          <w:iCs/>
          <w:sz w:val="24"/>
          <w:szCs w:val="24"/>
        </w:rPr>
        <w:t xml:space="preserve"> Indigenous Peoples to “trans-border” and “uncontacted” Indigenous Peoples; and</w:t>
      </w:r>
    </w:p>
    <w:p w14:paraId="3416F647" w14:textId="77777777" w:rsidR="00A009E7" w:rsidRDefault="00EB1A1D" w:rsidP="00A009E7">
      <w:pPr>
        <w:pStyle w:val="ListParagraph"/>
        <w:numPr>
          <w:ilvl w:val="0"/>
          <w:numId w:val="22"/>
        </w:numPr>
        <w:spacing w:after="240"/>
        <w:ind w:left="720"/>
        <w:contextualSpacing w:val="0"/>
        <w:rPr>
          <w:rFonts w:asciiTheme="minorHAnsi" w:hAnsiTheme="minorHAnsi"/>
          <w:sz w:val="24"/>
          <w:szCs w:val="24"/>
        </w:rPr>
      </w:pPr>
      <w:r w:rsidRPr="000F7276">
        <w:rPr>
          <w:rFonts w:asciiTheme="minorHAnsi" w:hAnsiTheme="minorHAnsi"/>
          <w:iCs/>
          <w:sz w:val="24"/>
          <w:szCs w:val="24"/>
        </w:rPr>
        <w:t xml:space="preserve">Use of </w:t>
      </w:r>
      <w:r w:rsidR="00956F28" w:rsidRPr="000F7276">
        <w:rPr>
          <w:rFonts w:asciiTheme="minorHAnsi" w:hAnsiTheme="minorHAnsi"/>
          <w:iCs/>
          <w:sz w:val="24"/>
          <w:szCs w:val="24"/>
        </w:rPr>
        <w:t>pro-active</w:t>
      </w:r>
      <w:r w:rsidRPr="000F7276">
        <w:rPr>
          <w:rFonts w:asciiTheme="minorHAnsi" w:hAnsiTheme="minorHAnsi"/>
          <w:iCs/>
          <w:sz w:val="24"/>
          <w:szCs w:val="24"/>
        </w:rPr>
        <w:t xml:space="preserve"> monitoring systems (inspections, audits, semi-annual monitoring</w:t>
      </w:r>
      <w:r w:rsidRPr="000F7276">
        <w:rPr>
          <w:rFonts w:asciiTheme="minorHAnsi" w:hAnsiTheme="minorHAnsi"/>
          <w:sz w:val="24"/>
          <w:szCs w:val="24"/>
        </w:rPr>
        <w:t xml:space="preserve"> reports)</w:t>
      </w:r>
      <w:r w:rsidR="00956F28" w:rsidRPr="000F7276">
        <w:rPr>
          <w:rFonts w:asciiTheme="minorHAnsi" w:hAnsiTheme="minorHAnsi"/>
          <w:sz w:val="24"/>
          <w:szCs w:val="24"/>
        </w:rPr>
        <w:t>.</w:t>
      </w:r>
    </w:p>
    <w:p w14:paraId="509C01A6" w14:textId="77777777" w:rsidR="00A009E7" w:rsidRDefault="00EB1A1D" w:rsidP="00A009E7">
      <w:pPr>
        <w:spacing w:before="240" w:after="240"/>
        <w:ind w:firstLine="360"/>
        <w:rPr>
          <w:rFonts w:asciiTheme="minorHAnsi" w:hAnsiTheme="minorHAnsi"/>
          <w:b/>
          <w:bCs/>
          <w:i/>
          <w:iCs/>
          <w:sz w:val="24"/>
          <w:szCs w:val="24"/>
        </w:rPr>
      </w:pPr>
      <w:r w:rsidRPr="000F7276">
        <w:rPr>
          <w:rFonts w:asciiTheme="minorHAnsi" w:hAnsiTheme="minorHAnsi"/>
          <w:b/>
          <w:bCs/>
          <w:i/>
          <w:iCs/>
          <w:sz w:val="24"/>
          <w:szCs w:val="24"/>
        </w:rPr>
        <w:t>OP 4.11 Physical Cultural Resources:</w:t>
      </w:r>
    </w:p>
    <w:p w14:paraId="45D0CCCE" w14:textId="77777777" w:rsidR="00A009E7" w:rsidRDefault="00EB1A1D" w:rsidP="00A009E7">
      <w:pPr>
        <w:pStyle w:val="ListParagraph"/>
        <w:numPr>
          <w:ilvl w:val="0"/>
          <w:numId w:val="22"/>
        </w:numPr>
        <w:spacing w:after="240"/>
        <w:ind w:left="720"/>
        <w:contextualSpacing w:val="0"/>
        <w:rPr>
          <w:rFonts w:asciiTheme="minorHAnsi" w:hAnsiTheme="minorHAnsi"/>
          <w:sz w:val="24"/>
          <w:szCs w:val="24"/>
        </w:rPr>
      </w:pPr>
      <w:r w:rsidRPr="000F7276">
        <w:rPr>
          <w:rFonts w:asciiTheme="minorHAnsi" w:hAnsiTheme="minorHAnsi"/>
          <w:iCs/>
          <w:sz w:val="24"/>
          <w:szCs w:val="24"/>
        </w:rPr>
        <w:t>Cultural</w:t>
      </w:r>
      <w:r w:rsidRPr="000F7276">
        <w:rPr>
          <w:rFonts w:asciiTheme="minorHAnsi" w:hAnsiTheme="minorHAnsi"/>
          <w:sz w:val="24"/>
          <w:szCs w:val="24"/>
        </w:rPr>
        <w:t xml:space="preserve"> heritage requirements applicable to both “tangible” and “intangible heritage.” </w:t>
      </w:r>
    </w:p>
    <w:p w14:paraId="23E776E2" w14:textId="77777777" w:rsidR="00A009E7" w:rsidRDefault="00EB1A1D" w:rsidP="00A009E7">
      <w:pPr>
        <w:spacing w:before="240" w:after="240"/>
        <w:ind w:firstLine="360"/>
        <w:rPr>
          <w:rFonts w:asciiTheme="minorHAnsi" w:hAnsiTheme="minorHAnsi"/>
          <w:b/>
          <w:bCs/>
          <w:i/>
          <w:iCs/>
          <w:sz w:val="24"/>
          <w:szCs w:val="24"/>
        </w:rPr>
      </w:pPr>
      <w:r w:rsidRPr="000F7276">
        <w:rPr>
          <w:rFonts w:asciiTheme="minorHAnsi" w:hAnsiTheme="minorHAnsi"/>
          <w:b/>
          <w:bCs/>
          <w:i/>
          <w:iCs/>
          <w:sz w:val="24"/>
          <w:szCs w:val="24"/>
        </w:rPr>
        <w:t>OP 4.12 Involuntary Resettlement (IR):</w:t>
      </w:r>
    </w:p>
    <w:p w14:paraId="4EBA64A7" w14:textId="764DDB6A" w:rsidR="0030214A" w:rsidRPr="000F7276" w:rsidRDefault="00EB1A1D" w:rsidP="00A009E7">
      <w:pPr>
        <w:pStyle w:val="ListParagraph"/>
        <w:numPr>
          <w:ilvl w:val="0"/>
          <w:numId w:val="22"/>
        </w:numPr>
        <w:ind w:left="720"/>
        <w:rPr>
          <w:rFonts w:asciiTheme="minorHAnsi" w:hAnsiTheme="minorHAnsi"/>
          <w:sz w:val="24"/>
          <w:szCs w:val="24"/>
        </w:rPr>
      </w:pPr>
      <w:r w:rsidRPr="000F7276">
        <w:rPr>
          <w:rFonts w:asciiTheme="minorHAnsi" w:hAnsiTheme="minorHAnsi"/>
          <w:sz w:val="24"/>
          <w:szCs w:val="24"/>
        </w:rPr>
        <w:t>Explicit application of involuntary resettlement safeguards to temporary as well as permanent displacement and to “seasonal resource users;”</w:t>
      </w:r>
    </w:p>
    <w:p w14:paraId="200A087F" w14:textId="77777777" w:rsidR="0030214A" w:rsidRPr="000F7276" w:rsidRDefault="00EB1A1D" w:rsidP="00A009E7">
      <w:pPr>
        <w:pStyle w:val="ListParagraph"/>
        <w:numPr>
          <w:ilvl w:val="0"/>
          <w:numId w:val="22"/>
        </w:numPr>
        <w:ind w:left="720"/>
        <w:rPr>
          <w:rFonts w:asciiTheme="minorHAnsi" w:hAnsiTheme="minorHAnsi"/>
          <w:sz w:val="24"/>
          <w:szCs w:val="24"/>
        </w:rPr>
      </w:pPr>
      <w:r w:rsidRPr="000F7276">
        <w:rPr>
          <w:rFonts w:asciiTheme="minorHAnsi" w:hAnsiTheme="minorHAnsi"/>
          <w:sz w:val="24"/>
          <w:szCs w:val="24"/>
        </w:rPr>
        <w:t>Specified criteria for “adequate housing;”</w:t>
      </w:r>
    </w:p>
    <w:p w14:paraId="3BF4A3D6" w14:textId="77777777" w:rsidR="0030214A" w:rsidRPr="000F7276" w:rsidRDefault="00CF1DF9" w:rsidP="00A009E7">
      <w:pPr>
        <w:pStyle w:val="ListParagraph"/>
        <w:numPr>
          <w:ilvl w:val="0"/>
          <w:numId w:val="22"/>
        </w:numPr>
        <w:ind w:left="720"/>
        <w:rPr>
          <w:rFonts w:asciiTheme="minorHAnsi" w:hAnsiTheme="minorHAnsi"/>
          <w:sz w:val="24"/>
          <w:szCs w:val="24"/>
        </w:rPr>
      </w:pPr>
      <w:r w:rsidRPr="000F7276">
        <w:rPr>
          <w:rFonts w:asciiTheme="minorHAnsi" w:hAnsiTheme="minorHAnsi"/>
          <w:sz w:val="24"/>
          <w:szCs w:val="24"/>
        </w:rPr>
        <w:t>Access to safe drinking water and irrigation facilities</w:t>
      </w:r>
      <w:r w:rsidR="0030214A" w:rsidRPr="000F7276">
        <w:rPr>
          <w:rFonts w:asciiTheme="minorHAnsi" w:hAnsiTheme="minorHAnsi"/>
          <w:sz w:val="24"/>
          <w:szCs w:val="24"/>
        </w:rPr>
        <w:t xml:space="preserve"> as </w:t>
      </w:r>
      <w:r w:rsidRPr="000F7276">
        <w:rPr>
          <w:rFonts w:asciiTheme="minorHAnsi" w:hAnsiTheme="minorHAnsi"/>
          <w:sz w:val="24"/>
          <w:szCs w:val="24"/>
        </w:rPr>
        <w:t>required component of replacement land;</w:t>
      </w:r>
      <w:r w:rsidR="00EB1A1D" w:rsidRPr="000F7276">
        <w:rPr>
          <w:rFonts w:asciiTheme="minorHAnsi" w:hAnsiTheme="minorHAnsi"/>
          <w:sz w:val="24"/>
          <w:szCs w:val="24"/>
        </w:rPr>
        <w:t xml:space="preserve"> </w:t>
      </w:r>
    </w:p>
    <w:p w14:paraId="333E2F52" w14:textId="77777777" w:rsidR="0030214A" w:rsidRPr="000F7276" w:rsidRDefault="00EB1A1D" w:rsidP="00A009E7">
      <w:pPr>
        <w:pStyle w:val="ListParagraph"/>
        <w:numPr>
          <w:ilvl w:val="0"/>
          <w:numId w:val="22"/>
        </w:numPr>
        <w:ind w:left="720"/>
        <w:rPr>
          <w:rFonts w:asciiTheme="minorHAnsi" w:hAnsiTheme="minorHAnsi"/>
          <w:sz w:val="24"/>
          <w:szCs w:val="24"/>
        </w:rPr>
      </w:pPr>
      <w:r w:rsidRPr="000F7276">
        <w:rPr>
          <w:rFonts w:asciiTheme="minorHAnsi" w:hAnsiTheme="minorHAnsi"/>
          <w:sz w:val="24"/>
          <w:szCs w:val="24"/>
        </w:rPr>
        <w:t xml:space="preserve">Counseling for recipients of cash compensation; </w:t>
      </w:r>
    </w:p>
    <w:p w14:paraId="73AA29D0" w14:textId="77777777" w:rsidR="0030214A" w:rsidRPr="000F7276" w:rsidRDefault="00EB1A1D" w:rsidP="00A009E7">
      <w:pPr>
        <w:pStyle w:val="ListParagraph"/>
        <w:numPr>
          <w:ilvl w:val="0"/>
          <w:numId w:val="22"/>
        </w:numPr>
        <w:ind w:left="720"/>
        <w:rPr>
          <w:rFonts w:asciiTheme="minorHAnsi" w:hAnsiTheme="minorHAnsi"/>
          <w:sz w:val="24"/>
          <w:szCs w:val="24"/>
        </w:rPr>
      </w:pPr>
      <w:r w:rsidRPr="000F7276">
        <w:rPr>
          <w:rFonts w:asciiTheme="minorHAnsi" w:hAnsiTheme="minorHAnsi"/>
          <w:sz w:val="24"/>
          <w:szCs w:val="24"/>
        </w:rPr>
        <w:t xml:space="preserve">“Impoverishment Risk Analysis” as an integral part of social impact assessment; </w:t>
      </w:r>
    </w:p>
    <w:p w14:paraId="0344BD3B" w14:textId="77777777" w:rsidR="00A009E7" w:rsidRDefault="00EB1A1D" w:rsidP="00A009E7">
      <w:pPr>
        <w:pStyle w:val="ListParagraph"/>
        <w:numPr>
          <w:ilvl w:val="0"/>
          <w:numId w:val="22"/>
        </w:numPr>
        <w:spacing w:after="240"/>
        <w:ind w:left="720"/>
        <w:contextualSpacing w:val="0"/>
        <w:rPr>
          <w:rFonts w:asciiTheme="minorHAnsi" w:hAnsiTheme="minorHAnsi"/>
          <w:sz w:val="24"/>
          <w:szCs w:val="24"/>
        </w:rPr>
      </w:pPr>
      <w:r w:rsidRPr="000F7276">
        <w:rPr>
          <w:rFonts w:asciiTheme="minorHAnsi" w:hAnsiTheme="minorHAnsi"/>
          <w:sz w:val="24"/>
          <w:szCs w:val="24"/>
        </w:rPr>
        <w:t xml:space="preserve">Gender-disaggregated approaches to the assessment and management of </w:t>
      </w:r>
      <w:r w:rsidR="00CF1DF9" w:rsidRPr="000F7276">
        <w:rPr>
          <w:rFonts w:asciiTheme="minorHAnsi" w:hAnsiTheme="minorHAnsi"/>
          <w:sz w:val="24"/>
          <w:szCs w:val="24"/>
        </w:rPr>
        <w:t>IR</w:t>
      </w:r>
      <w:r w:rsidRPr="000F7276">
        <w:rPr>
          <w:rFonts w:asciiTheme="minorHAnsi" w:hAnsiTheme="minorHAnsi"/>
          <w:sz w:val="24"/>
          <w:szCs w:val="24"/>
        </w:rPr>
        <w:t xml:space="preserve"> impacts; </w:t>
      </w:r>
    </w:p>
    <w:p w14:paraId="7A2281BD" w14:textId="77777777" w:rsidR="00A009E7" w:rsidRDefault="00EB1A1D" w:rsidP="00A009E7">
      <w:pPr>
        <w:pStyle w:val="ListParagraph"/>
        <w:spacing w:before="240" w:after="240"/>
        <w:ind w:left="0" w:firstLine="360"/>
        <w:contextualSpacing w:val="0"/>
        <w:rPr>
          <w:rFonts w:asciiTheme="minorHAnsi" w:hAnsiTheme="minorHAnsi"/>
          <w:b/>
          <w:bCs/>
          <w:i/>
          <w:iCs/>
          <w:sz w:val="24"/>
          <w:szCs w:val="24"/>
        </w:rPr>
      </w:pPr>
      <w:r w:rsidRPr="000F7276">
        <w:rPr>
          <w:rFonts w:asciiTheme="minorHAnsi" w:hAnsiTheme="minorHAnsi"/>
          <w:b/>
          <w:bCs/>
          <w:i/>
          <w:iCs/>
          <w:sz w:val="24"/>
          <w:szCs w:val="24"/>
        </w:rPr>
        <w:t>OP 4.36 Forests:</w:t>
      </w:r>
    </w:p>
    <w:p w14:paraId="0A768290" w14:textId="7F1C4225" w:rsidR="0030214A" w:rsidRPr="000F7276" w:rsidRDefault="00EB1A1D" w:rsidP="00A009E7">
      <w:pPr>
        <w:pStyle w:val="ListParagraph"/>
        <w:numPr>
          <w:ilvl w:val="0"/>
          <w:numId w:val="22"/>
        </w:numPr>
        <w:ind w:left="720"/>
        <w:rPr>
          <w:rFonts w:asciiTheme="minorHAnsi" w:hAnsiTheme="minorHAnsi"/>
          <w:sz w:val="24"/>
          <w:szCs w:val="24"/>
        </w:rPr>
      </w:pPr>
      <w:r w:rsidRPr="000F7276">
        <w:rPr>
          <w:rFonts w:asciiTheme="minorHAnsi" w:hAnsiTheme="minorHAnsi"/>
          <w:sz w:val="24"/>
          <w:szCs w:val="24"/>
        </w:rPr>
        <w:t xml:space="preserve">Assessment </w:t>
      </w:r>
      <w:r w:rsidR="00F876A7">
        <w:rPr>
          <w:rFonts w:asciiTheme="minorHAnsi" w:hAnsiTheme="minorHAnsi"/>
          <w:sz w:val="24"/>
          <w:szCs w:val="24"/>
        </w:rPr>
        <w:t xml:space="preserve">of </w:t>
      </w:r>
      <w:r w:rsidRPr="000F7276">
        <w:rPr>
          <w:rFonts w:asciiTheme="minorHAnsi" w:hAnsiTheme="minorHAnsi"/>
          <w:sz w:val="24"/>
          <w:szCs w:val="24"/>
        </w:rPr>
        <w:t>risks of plantation forests to ecosystem services; and</w:t>
      </w:r>
    </w:p>
    <w:p w14:paraId="3985B976" w14:textId="77777777" w:rsidR="00A009E7" w:rsidRDefault="00EB1A1D" w:rsidP="00A009E7">
      <w:pPr>
        <w:pStyle w:val="ListParagraph"/>
        <w:numPr>
          <w:ilvl w:val="0"/>
          <w:numId w:val="22"/>
        </w:numPr>
        <w:spacing w:after="240"/>
        <w:ind w:left="720"/>
        <w:contextualSpacing w:val="0"/>
        <w:rPr>
          <w:rFonts w:asciiTheme="minorHAnsi" w:hAnsiTheme="minorHAnsi"/>
          <w:sz w:val="24"/>
          <w:szCs w:val="24"/>
        </w:rPr>
      </w:pPr>
      <w:r w:rsidRPr="000F7276">
        <w:rPr>
          <w:rFonts w:asciiTheme="minorHAnsi" w:hAnsiTheme="minorHAnsi"/>
          <w:sz w:val="24"/>
          <w:szCs w:val="24"/>
        </w:rPr>
        <w:t>Support to rehabilitation of degraded forests.</w:t>
      </w:r>
    </w:p>
    <w:p w14:paraId="69476BCF" w14:textId="77777777" w:rsidR="00A009E7" w:rsidRDefault="00EB1A1D" w:rsidP="00A009E7">
      <w:pPr>
        <w:pStyle w:val="ListParagraph"/>
        <w:spacing w:before="240" w:after="240"/>
        <w:ind w:left="0" w:firstLine="360"/>
        <w:contextualSpacing w:val="0"/>
        <w:rPr>
          <w:rFonts w:asciiTheme="minorHAnsi" w:hAnsiTheme="minorHAnsi"/>
          <w:b/>
          <w:bCs/>
          <w:i/>
          <w:iCs/>
          <w:sz w:val="24"/>
          <w:szCs w:val="24"/>
        </w:rPr>
      </w:pPr>
      <w:r w:rsidRPr="000F7276">
        <w:rPr>
          <w:rFonts w:asciiTheme="minorHAnsi" w:hAnsiTheme="minorHAnsi"/>
          <w:b/>
          <w:bCs/>
          <w:i/>
          <w:iCs/>
          <w:sz w:val="24"/>
          <w:szCs w:val="24"/>
        </w:rPr>
        <w:t>OP 4.37 Safety of Dams:</w:t>
      </w:r>
    </w:p>
    <w:p w14:paraId="3D148315" w14:textId="5A28C62C" w:rsidR="0030214A" w:rsidRPr="000F7276" w:rsidRDefault="00EB1A1D" w:rsidP="00A009E7">
      <w:pPr>
        <w:pStyle w:val="ListParagraph"/>
        <w:numPr>
          <w:ilvl w:val="0"/>
          <w:numId w:val="22"/>
        </w:numPr>
        <w:ind w:left="720"/>
        <w:rPr>
          <w:rFonts w:asciiTheme="minorHAnsi" w:hAnsiTheme="minorHAnsi"/>
          <w:sz w:val="24"/>
          <w:szCs w:val="24"/>
        </w:rPr>
      </w:pPr>
      <w:r w:rsidRPr="000F7276">
        <w:rPr>
          <w:rFonts w:asciiTheme="minorHAnsi" w:hAnsiTheme="minorHAnsi"/>
          <w:iCs/>
          <w:sz w:val="24"/>
          <w:szCs w:val="24"/>
        </w:rPr>
        <w:t>Application</w:t>
      </w:r>
      <w:r w:rsidRPr="000F7276">
        <w:rPr>
          <w:rFonts w:asciiTheme="minorHAnsi" w:hAnsiTheme="minorHAnsi"/>
          <w:sz w:val="24"/>
          <w:szCs w:val="24"/>
        </w:rPr>
        <w:t xml:space="preserve"> of structural safety risk assessment to a full range of infrastructure projects not limited to dams.</w:t>
      </w:r>
    </w:p>
    <w:p w14:paraId="338C8ED4" w14:textId="77777777" w:rsidR="00ED38E9" w:rsidRDefault="00ED38E9" w:rsidP="00A009E7">
      <w:pPr>
        <w:tabs>
          <w:tab w:val="left" w:pos="2070"/>
        </w:tabs>
        <w:autoSpaceDE/>
        <w:autoSpaceDN/>
        <w:adjustRightInd/>
        <w:rPr>
          <w:rFonts w:asciiTheme="minorHAnsi" w:hAnsiTheme="minorHAnsi"/>
          <w:sz w:val="24"/>
          <w:szCs w:val="24"/>
        </w:rPr>
        <w:sectPr w:rsidR="00ED38E9" w:rsidSect="00CF59E1">
          <w:pgSz w:w="12240" w:h="15840"/>
          <w:pgMar w:top="1440" w:right="1440" w:bottom="1440" w:left="1440" w:header="720" w:footer="720" w:gutter="0"/>
          <w:pgNumType w:fmt="lowerRoman"/>
          <w:cols w:space="720"/>
          <w:docGrid w:linePitch="360"/>
        </w:sectPr>
      </w:pPr>
    </w:p>
    <w:p w14:paraId="105E4DC7" w14:textId="77777777" w:rsidR="006C04D0" w:rsidRPr="000F7276" w:rsidRDefault="00B80153" w:rsidP="00A009E7">
      <w:pPr>
        <w:pStyle w:val="hhhead1"/>
      </w:pPr>
      <w:bookmarkStart w:id="2" w:name="_Toc419114245"/>
      <w:r w:rsidRPr="000F7276">
        <w:t>Introduction</w:t>
      </w:r>
      <w:bookmarkEnd w:id="2"/>
    </w:p>
    <w:p w14:paraId="4181F551" w14:textId="77777777" w:rsidR="00A009E7" w:rsidRDefault="00044C72" w:rsidP="00A009E7">
      <w:pPr>
        <w:pStyle w:val="Default"/>
        <w:spacing w:after="240"/>
        <w:contextualSpacing/>
        <w:rPr>
          <w:rFonts w:asciiTheme="minorHAnsi" w:hAnsiTheme="minorHAnsi" w:cs="Calibri"/>
        </w:rPr>
      </w:pPr>
      <w:r w:rsidRPr="000F7276">
        <w:rPr>
          <w:noProof/>
        </w:rPr>
        <mc:AlternateContent>
          <mc:Choice Requires="wpg">
            <w:drawing>
              <wp:anchor distT="0" distB="0" distL="114300" distR="114300" simplePos="0" relativeHeight="251657728" behindDoc="0" locked="0" layoutInCell="1" allowOverlap="1" wp14:anchorId="01E752CD" wp14:editId="3DEF7C09">
                <wp:simplePos x="0" y="0"/>
                <wp:positionH relativeFrom="column">
                  <wp:posOffset>3107690</wp:posOffset>
                </wp:positionH>
                <wp:positionV relativeFrom="paragraph">
                  <wp:posOffset>696595</wp:posOffset>
                </wp:positionV>
                <wp:extent cx="2867025" cy="3686810"/>
                <wp:effectExtent l="0" t="0" r="28575" b="27940"/>
                <wp:wrapSquare wrapText="bothSides"/>
                <wp:docPr id="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025" cy="3686810"/>
                          <a:chOff x="6161" y="4891"/>
                          <a:chExt cx="5175" cy="5198"/>
                        </a:xfrm>
                      </wpg:grpSpPr>
                      <wps:wsp>
                        <wps:cNvPr id="2" name="Rectangle 3"/>
                        <wps:cNvSpPr>
                          <a:spLocks noChangeArrowheads="1"/>
                        </wps:cNvSpPr>
                        <wps:spPr bwMode="auto">
                          <a:xfrm>
                            <a:off x="6161" y="4891"/>
                            <a:ext cx="4981" cy="6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1784F" w14:textId="6B3ABDE7" w:rsidR="00CF59E1" w:rsidRPr="00655041" w:rsidRDefault="00CF59E1" w:rsidP="00A360F1">
                              <w:pPr>
                                <w:rPr>
                                  <w:rFonts w:cs="Calibri"/>
                                  <w:b/>
                                  <w:sz w:val="20"/>
                                  <w:szCs w:val="18"/>
                                </w:rPr>
                              </w:pPr>
                              <w:r w:rsidRPr="00655041">
                                <w:rPr>
                                  <w:rFonts w:cs="Calibri"/>
                                  <w:b/>
                                  <w:sz w:val="20"/>
                                  <w:szCs w:val="18"/>
                                </w:rPr>
                                <w:t>Box 1 – Recent Revisions to Safeguard Systems at the World Bank and Other MDBs</w:t>
                              </w:r>
                            </w:p>
                            <w:p w14:paraId="59112D43" w14:textId="77777777" w:rsidR="00CF59E1" w:rsidRPr="002A6FAD" w:rsidRDefault="00CF59E1" w:rsidP="002503EF"/>
                          </w:txbxContent>
                        </wps:txbx>
                        <wps:bodyPr rot="0" vert="horz" wrap="square" lIns="91440" tIns="45720" rIns="91440" bIns="45720" anchor="t" anchorCtr="0" upright="1">
                          <a:noAutofit/>
                        </wps:bodyPr>
                      </wps:wsp>
                      <wps:wsp>
                        <wps:cNvPr id="3" name="Rectangle 4"/>
                        <wps:cNvSpPr>
                          <a:spLocks noChangeArrowheads="1"/>
                        </wps:cNvSpPr>
                        <wps:spPr bwMode="auto">
                          <a:xfrm>
                            <a:off x="6249" y="5449"/>
                            <a:ext cx="5087" cy="4640"/>
                          </a:xfrm>
                          <a:prstGeom prst="rect">
                            <a:avLst/>
                          </a:prstGeom>
                          <a:noFill/>
                          <a:ln w="158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BCBEA08" w14:textId="77777777" w:rsidR="00CF59E1" w:rsidRDefault="00CF59E1" w:rsidP="003B787F">
                              <w:pPr>
                                <w:pStyle w:val="ListParagraph"/>
                                <w:numPr>
                                  <w:ilvl w:val="0"/>
                                  <w:numId w:val="5"/>
                                </w:numPr>
                                <w:ind w:left="180" w:hanging="180"/>
                                <w:rPr>
                                  <w:rFonts w:cs="Calibri"/>
                                  <w:color w:val="000000"/>
                                  <w:sz w:val="20"/>
                                  <w:szCs w:val="20"/>
                                </w:rPr>
                              </w:pPr>
                              <w:r w:rsidRPr="008878F7">
                                <w:rPr>
                                  <w:rFonts w:cs="Calibri"/>
                                  <w:color w:val="000000"/>
                                  <w:sz w:val="20"/>
                                  <w:szCs w:val="20"/>
                                </w:rPr>
                                <w:t>World Bank Operational Policy (OP) 4.11</w:t>
                              </w:r>
                              <w:r>
                                <w:rPr>
                                  <w:rFonts w:cs="Calibri"/>
                                  <w:color w:val="000000"/>
                                  <w:sz w:val="20"/>
                                  <w:szCs w:val="20"/>
                                </w:rPr>
                                <w:t>,</w:t>
                              </w:r>
                              <w:r w:rsidRPr="008878F7">
                                <w:rPr>
                                  <w:rFonts w:cs="Calibri"/>
                                  <w:color w:val="000000"/>
                                  <w:sz w:val="20"/>
                                  <w:szCs w:val="20"/>
                                </w:rPr>
                                <w:t xml:space="preserve"> Physical Cultural Resources </w:t>
                              </w:r>
                              <w:r>
                                <w:rPr>
                                  <w:rFonts w:cs="Calibri"/>
                                  <w:color w:val="000000"/>
                                  <w:sz w:val="20"/>
                                  <w:szCs w:val="20"/>
                                </w:rPr>
                                <w:t>(</w:t>
                              </w:r>
                              <w:r w:rsidRPr="008878F7">
                                <w:rPr>
                                  <w:rFonts w:cs="Calibri"/>
                                  <w:color w:val="000000"/>
                                  <w:sz w:val="20"/>
                                  <w:szCs w:val="20"/>
                                </w:rPr>
                                <w:t>2006)</w:t>
                              </w:r>
                              <w:r>
                                <w:rPr>
                                  <w:rFonts w:cs="Calibri"/>
                                  <w:color w:val="000000"/>
                                  <w:sz w:val="20"/>
                                  <w:szCs w:val="20"/>
                                </w:rPr>
                                <w:t xml:space="preserve">; </w:t>
                              </w:r>
                              <w:r w:rsidRPr="008878F7">
                                <w:rPr>
                                  <w:rFonts w:cs="Calibri"/>
                                  <w:color w:val="000000"/>
                                  <w:sz w:val="20"/>
                                  <w:szCs w:val="20"/>
                                </w:rPr>
                                <w:t xml:space="preserve">Revisions </w:t>
                              </w:r>
                              <w:r>
                                <w:rPr>
                                  <w:rFonts w:cs="Calibri"/>
                                  <w:color w:val="000000"/>
                                  <w:sz w:val="20"/>
                                  <w:szCs w:val="20"/>
                                </w:rPr>
                                <w:t xml:space="preserve">to </w:t>
                              </w:r>
                              <w:r w:rsidRPr="008878F7">
                                <w:rPr>
                                  <w:rFonts w:cs="Calibri"/>
                                  <w:color w:val="000000"/>
                                  <w:sz w:val="20"/>
                                  <w:szCs w:val="20"/>
                                </w:rPr>
                                <w:t>and clarifications of OP 4.01</w:t>
                              </w:r>
                              <w:r>
                                <w:rPr>
                                  <w:rFonts w:cs="Calibri"/>
                                  <w:color w:val="000000"/>
                                  <w:sz w:val="20"/>
                                  <w:szCs w:val="20"/>
                                </w:rPr>
                                <w:t xml:space="preserve">, </w:t>
                              </w:r>
                              <w:r w:rsidRPr="008878F7">
                                <w:rPr>
                                  <w:rFonts w:cs="Calibri"/>
                                  <w:color w:val="000000"/>
                                  <w:sz w:val="20"/>
                                  <w:szCs w:val="20"/>
                                </w:rPr>
                                <w:t>Environmental Assessment</w:t>
                              </w:r>
                              <w:r>
                                <w:rPr>
                                  <w:rFonts w:cs="Calibri"/>
                                  <w:color w:val="000000"/>
                                  <w:sz w:val="20"/>
                                  <w:szCs w:val="20"/>
                                </w:rPr>
                                <w:t>;</w:t>
                              </w:r>
                              <w:r w:rsidRPr="008878F7">
                                <w:rPr>
                                  <w:rFonts w:cs="Calibri"/>
                                  <w:color w:val="000000"/>
                                  <w:sz w:val="20"/>
                                  <w:szCs w:val="20"/>
                                </w:rPr>
                                <w:t xml:space="preserve"> OP 4.37</w:t>
                              </w:r>
                              <w:r>
                                <w:rPr>
                                  <w:rFonts w:cs="Calibri"/>
                                  <w:color w:val="000000"/>
                                  <w:sz w:val="20"/>
                                  <w:szCs w:val="20"/>
                                </w:rPr>
                                <w:t>,</w:t>
                              </w:r>
                              <w:r w:rsidRPr="008878F7">
                                <w:rPr>
                                  <w:rFonts w:cs="Calibri"/>
                                  <w:color w:val="000000"/>
                                  <w:sz w:val="20"/>
                                  <w:szCs w:val="20"/>
                                </w:rPr>
                                <w:t xml:space="preserve"> Safety of Dams</w:t>
                              </w:r>
                              <w:r>
                                <w:rPr>
                                  <w:rFonts w:cs="Calibri"/>
                                  <w:color w:val="000000"/>
                                  <w:sz w:val="20"/>
                                  <w:szCs w:val="20"/>
                                </w:rPr>
                                <w:t>; and OP 4.03, World Bank Performance Requirements (2013)</w:t>
                              </w:r>
                            </w:p>
                            <w:p w14:paraId="28DDE4CA" w14:textId="77777777" w:rsidR="00CF59E1" w:rsidRDefault="00CF59E1" w:rsidP="00EB1A1D">
                              <w:pPr>
                                <w:pStyle w:val="ListParagraph"/>
                                <w:numPr>
                                  <w:ilvl w:val="0"/>
                                  <w:numId w:val="5"/>
                                </w:numPr>
                                <w:ind w:left="180" w:hanging="180"/>
                                <w:rPr>
                                  <w:rFonts w:cs="Calibri"/>
                                  <w:color w:val="000000"/>
                                  <w:sz w:val="20"/>
                                  <w:szCs w:val="20"/>
                                </w:rPr>
                              </w:pPr>
                              <w:r w:rsidRPr="008878F7">
                                <w:rPr>
                                  <w:rFonts w:cs="Calibri"/>
                                  <w:color w:val="000000"/>
                                  <w:sz w:val="20"/>
                                  <w:szCs w:val="20"/>
                                </w:rPr>
                                <w:t xml:space="preserve">ADB Safeguard Policy Statement </w:t>
                              </w:r>
                              <w:r>
                                <w:rPr>
                                  <w:rFonts w:cs="Calibri"/>
                                  <w:color w:val="000000"/>
                                  <w:sz w:val="20"/>
                                  <w:szCs w:val="20"/>
                                </w:rPr>
                                <w:t>(</w:t>
                              </w:r>
                              <w:r w:rsidRPr="008878F7">
                                <w:rPr>
                                  <w:rFonts w:cs="Calibri"/>
                                  <w:color w:val="000000"/>
                                  <w:sz w:val="20"/>
                                  <w:szCs w:val="20"/>
                                </w:rPr>
                                <w:t>July 2009</w:t>
                              </w:r>
                              <w:r>
                                <w:rPr>
                                  <w:rFonts w:cs="Calibri"/>
                                  <w:color w:val="000000"/>
                                  <w:sz w:val="20"/>
                                  <w:szCs w:val="20"/>
                                </w:rPr>
                                <w:t>)</w:t>
                              </w:r>
                            </w:p>
                            <w:p w14:paraId="639EE679" w14:textId="77777777" w:rsidR="00CF59E1" w:rsidRDefault="00CF59E1" w:rsidP="003B787F">
                              <w:pPr>
                                <w:pStyle w:val="ListParagraph"/>
                                <w:numPr>
                                  <w:ilvl w:val="0"/>
                                  <w:numId w:val="5"/>
                                </w:numPr>
                                <w:ind w:left="180" w:hanging="180"/>
                                <w:rPr>
                                  <w:rFonts w:cs="Calibri"/>
                                  <w:color w:val="000000"/>
                                  <w:sz w:val="20"/>
                                  <w:szCs w:val="20"/>
                                </w:rPr>
                              </w:pPr>
                              <w:r w:rsidRPr="008878F7">
                                <w:rPr>
                                  <w:rFonts w:cs="Calibri"/>
                                  <w:color w:val="000000"/>
                                  <w:sz w:val="20"/>
                                  <w:szCs w:val="20"/>
                                </w:rPr>
                                <w:t xml:space="preserve">IDB Environment and Safeguards Compliance Policy </w:t>
                              </w:r>
                              <w:r>
                                <w:rPr>
                                  <w:rFonts w:cs="Calibri"/>
                                  <w:color w:val="000000"/>
                                  <w:sz w:val="20"/>
                                  <w:szCs w:val="20"/>
                                </w:rPr>
                                <w:t>(</w:t>
                              </w:r>
                              <w:r w:rsidRPr="008878F7">
                                <w:rPr>
                                  <w:rFonts w:cs="Calibri"/>
                                  <w:color w:val="000000"/>
                                  <w:sz w:val="20"/>
                                  <w:szCs w:val="20"/>
                                </w:rPr>
                                <w:t>2006</w:t>
                              </w:r>
                              <w:r>
                                <w:rPr>
                                  <w:rFonts w:cs="Calibri"/>
                                  <w:color w:val="000000"/>
                                  <w:sz w:val="20"/>
                                  <w:szCs w:val="20"/>
                                </w:rPr>
                                <w:t>),</w:t>
                              </w:r>
                              <w:r w:rsidRPr="008878F7">
                                <w:rPr>
                                  <w:rFonts w:cs="Calibri"/>
                                  <w:color w:val="000000"/>
                                  <w:sz w:val="20"/>
                                  <w:szCs w:val="20"/>
                                </w:rPr>
                                <w:t xml:space="preserve"> Policy on Indigenous Peoples </w:t>
                              </w:r>
                              <w:r>
                                <w:rPr>
                                  <w:rFonts w:cs="Calibri"/>
                                  <w:color w:val="000000"/>
                                  <w:sz w:val="20"/>
                                  <w:szCs w:val="20"/>
                                </w:rPr>
                                <w:t>(</w:t>
                              </w:r>
                              <w:r w:rsidRPr="008878F7">
                                <w:rPr>
                                  <w:rFonts w:cs="Calibri"/>
                                  <w:color w:val="000000"/>
                                  <w:sz w:val="20"/>
                                  <w:szCs w:val="20"/>
                                </w:rPr>
                                <w:t>2006</w:t>
                              </w:r>
                              <w:r>
                                <w:rPr>
                                  <w:rFonts w:cs="Calibri"/>
                                  <w:color w:val="000000"/>
                                  <w:sz w:val="20"/>
                                  <w:szCs w:val="20"/>
                                </w:rPr>
                                <w:t>)</w:t>
                              </w:r>
                              <w:r w:rsidRPr="008878F7">
                                <w:rPr>
                                  <w:rFonts w:cs="Calibri"/>
                                  <w:color w:val="000000"/>
                                  <w:sz w:val="20"/>
                                  <w:szCs w:val="20"/>
                                </w:rPr>
                                <w:t xml:space="preserve">, and Policy on Gender Equality in Development </w:t>
                              </w:r>
                              <w:r>
                                <w:rPr>
                                  <w:rFonts w:cs="Calibri"/>
                                  <w:color w:val="000000"/>
                                  <w:sz w:val="20"/>
                                  <w:szCs w:val="20"/>
                                </w:rPr>
                                <w:t>(</w:t>
                              </w:r>
                              <w:r w:rsidRPr="008878F7">
                                <w:rPr>
                                  <w:rFonts w:cs="Calibri"/>
                                  <w:color w:val="000000"/>
                                  <w:sz w:val="20"/>
                                  <w:szCs w:val="20"/>
                                </w:rPr>
                                <w:t>2010</w:t>
                              </w:r>
                              <w:r>
                                <w:rPr>
                                  <w:rFonts w:cs="Calibri"/>
                                  <w:color w:val="000000"/>
                                  <w:sz w:val="20"/>
                                  <w:szCs w:val="20"/>
                                </w:rPr>
                                <w:t>)</w:t>
                              </w:r>
                              <w:r w:rsidRPr="008878F7">
                                <w:rPr>
                                  <w:rFonts w:cs="Calibri"/>
                                  <w:color w:val="000000"/>
                                  <w:sz w:val="20"/>
                                  <w:szCs w:val="20"/>
                                </w:rPr>
                                <w:t>.</w:t>
                              </w:r>
                            </w:p>
                            <w:p w14:paraId="61FC9D63" w14:textId="77777777" w:rsidR="00CF59E1" w:rsidRDefault="00CF59E1" w:rsidP="00EB1A1D">
                              <w:pPr>
                                <w:pStyle w:val="ListParagraph"/>
                                <w:numPr>
                                  <w:ilvl w:val="0"/>
                                  <w:numId w:val="5"/>
                                </w:numPr>
                                <w:ind w:left="180" w:hanging="180"/>
                                <w:rPr>
                                  <w:rFonts w:cs="Calibri"/>
                                  <w:color w:val="000000"/>
                                  <w:sz w:val="20"/>
                                  <w:szCs w:val="20"/>
                                </w:rPr>
                              </w:pPr>
                              <w:r w:rsidRPr="008878F7">
                                <w:rPr>
                                  <w:rFonts w:cs="Calibri"/>
                                  <w:color w:val="000000"/>
                                  <w:sz w:val="20"/>
                                  <w:szCs w:val="20"/>
                                </w:rPr>
                                <w:t>IFC Sustainability</w:t>
                              </w:r>
                              <w:r>
                                <w:rPr>
                                  <w:rFonts w:cs="Calibri"/>
                                  <w:color w:val="000000"/>
                                  <w:sz w:val="20"/>
                                  <w:szCs w:val="20"/>
                                </w:rPr>
                                <w:t xml:space="preserve"> </w:t>
                              </w:r>
                              <w:r w:rsidRPr="008878F7">
                                <w:rPr>
                                  <w:rFonts w:cs="Calibri"/>
                                  <w:color w:val="000000"/>
                                  <w:sz w:val="20"/>
                                  <w:szCs w:val="20"/>
                                </w:rPr>
                                <w:t xml:space="preserve">Framework, consisting of Sustainability Policy and Performance Standards </w:t>
                              </w:r>
                              <w:r>
                                <w:rPr>
                                  <w:rFonts w:cs="Calibri"/>
                                  <w:color w:val="000000"/>
                                  <w:sz w:val="20"/>
                                  <w:szCs w:val="20"/>
                                </w:rPr>
                                <w:t>(</w:t>
                              </w:r>
                              <w:r w:rsidRPr="008878F7">
                                <w:rPr>
                                  <w:rFonts w:cs="Calibri"/>
                                  <w:color w:val="000000"/>
                                  <w:sz w:val="20"/>
                                  <w:szCs w:val="20"/>
                                </w:rPr>
                                <w:t>2012</w:t>
                              </w:r>
                              <w:r>
                                <w:rPr>
                                  <w:rFonts w:cs="Calibri"/>
                                  <w:color w:val="000000"/>
                                  <w:sz w:val="20"/>
                                  <w:szCs w:val="20"/>
                                </w:rPr>
                                <w:t>)</w:t>
                              </w:r>
                            </w:p>
                            <w:p w14:paraId="332ED700" w14:textId="77777777" w:rsidR="00CF59E1" w:rsidRDefault="00CF59E1" w:rsidP="00EB1A1D">
                              <w:pPr>
                                <w:pStyle w:val="ListParagraph"/>
                                <w:numPr>
                                  <w:ilvl w:val="0"/>
                                  <w:numId w:val="5"/>
                                </w:numPr>
                                <w:ind w:left="180" w:hanging="180"/>
                                <w:rPr>
                                  <w:rFonts w:cs="Calibri"/>
                                  <w:color w:val="000000"/>
                                  <w:sz w:val="20"/>
                                  <w:szCs w:val="20"/>
                                </w:rPr>
                              </w:pPr>
                              <w:r w:rsidRPr="008878F7">
                                <w:rPr>
                                  <w:rFonts w:cs="Calibri"/>
                                  <w:color w:val="000000"/>
                                  <w:sz w:val="20"/>
                                  <w:szCs w:val="20"/>
                                </w:rPr>
                                <w:t xml:space="preserve">EBRD Environmental and Social Policy </w:t>
                              </w:r>
                              <w:r>
                                <w:rPr>
                                  <w:rFonts w:cs="Calibri"/>
                                  <w:color w:val="000000"/>
                                  <w:sz w:val="20"/>
                                  <w:szCs w:val="20"/>
                                </w:rPr>
                                <w:t xml:space="preserve">(May </w:t>
                              </w:r>
                              <w:r w:rsidRPr="008878F7">
                                <w:rPr>
                                  <w:rFonts w:cs="Calibri"/>
                                  <w:color w:val="000000"/>
                                  <w:sz w:val="20"/>
                                  <w:szCs w:val="20"/>
                                </w:rPr>
                                <w:t>20</w:t>
                              </w:r>
                              <w:r>
                                <w:rPr>
                                  <w:rFonts w:cs="Calibri"/>
                                  <w:color w:val="000000"/>
                                  <w:sz w:val="20"/>
                                  <w:szCs w:val="20"/>
                                </w:rPr>
                                <w:t>14)</w:t>
                              </w:r>
                            </w:p>
                            <w:p w14:paraId="26FAF464" w14:textId="77777777" w:rsidR="00CF59E1" w:rsidRDefault="00CF59E1" w:rsidP="00EB1A1D">
                              <w:pPr>
                                <w:pStyle w:val="ListParagraph"/>
                                <w:numPr>
                                  <w:ilvl w:val="0"/>
                                  <w:numId w:val="5"/>
                                </w:numPr>
                                <w:ind w:left="180" w:hanging="180"/>
                                <w:rPr>
                                  <w:rFonts w:cs="Calibri"/>
                                  <w:color w:val="000000"/>
                                  <w:sz w:val="20"/>
                                  <w:szCs w:val="20"/>
                                </w:rPr>
                              </w:pPr>
                              <w:r w:rsidRPr="008878F7">
                                <w:rPr>
                                  <w:rFonts w:cs="Calibri"/>
                                  <w:color w:val="000000"/>
                                  <w:sz w:val="20"/>
                                  <w:szCs w:val="20"/>
                                </w:rPr>
                                <w:t xml:space="preserve">EIB Statement of Environmental and Social Principles and Standards </w:t>
                              </w:r>
                              <w:r>
                                <w:rPr>
                                  <w:rFonts w:cs="Calibri"/>
                                  <w:color w:val="000000"/>
                                  <w:sz w:val="20"/>
                                  <w:szCs w:val="20"/>
                                </w:rPr>
                                <w:t>(</w:t>
                              </w:r>
                              <w:r w:rsidRPr="008878F7">
                                <w:rPr>
                                  <w:rFonts w:cs="Calibri"/>
                                  <w:color w:val="000000"/>
                                  <w:sz w:val="20"/>
                                  <w:szCs w:val="20"/>
                                </w:rPr>
                                <w:t>2009</w:t>
                              </w:r>
                              <w:r>
                                <w:rPr>
                                  <w:rFonts w:cs="Calibri"/>
                                  <w:color w:val="000000"/>
                                  <w:sz w:val="20"/>
                                  <w:szCs w:val="20"/>
                                </w:rPr>
                                <w:t>)</w:t>
                              </w:r>
                              <w:r w:rsidRPr="008878F7">
                                <w:rPr>
                                  <w:rFonts w:cs="Calibri"/>
                                  <w:color w:val="000000"/>
                                  <w:sz w:val="20"/>
                                  <w:szCs w:val="20"/>
                                </w:rPr>
                                <w:t xml:space="preserve">, and Environmental and </w:t>
                              </w:r>
                              <w:r>
                                <w:rPr>
                                  <w:rFonts w:cs="Calibri"/>
                                  <w:color w:val="000000"/>
                                  <w:sz w:val="20"/>
                                  <w:szCs w:val="20"/>
                                </w:rPr>
                                <w:t xml:space="preserve">Social </w:t>
                              </w:r>
                              <w:r w:rsidRPr="008878F7">
                                <w:rPr>
                                  <w:rFonts w:cs="Calibri"/>
                                  <w:color w:val="000000"/>
                                  <w:sz w:val="20"/>
                                  <w:szCs w:val="20"/>
                                </w:rPr>
                                <w:t xml:space="preserve">Handbook </w:t>
                              </w:r>
                              <w:r>
                                <w:rPr>
                                  <w:rFonts w:cs="Calibri"/>
                                  <w:color w:val="000000"/>
                                  <w:sz w:val="20"/>
                                  <w:szCs w:val="20"/>
                                </w:rPr>
                                <w:t>(</w:t>
                              </w:r>
                              <w:r w:rsidRPr="008878F7">
                                <w:rPr>
                                  <w:rFonts w:cs="Calibri"/>
                                  <w:color w:val="000000"/>
                                  <w:sz w:val="20"/>
                                  <w:szCs w:val="20"/>
                                </w:rPr>
                                <w:t>December</w:t>
                              </w:r>
                              <w:r>
                                <w:rPr>
                                  <w:rFonts w:cs="Calibri"/>
                                  <w:color w:val="000000"/>
                                  <w:sz w:val="20"/>
                                  <w:szCs w:val="20"/>
                                </w:rPr>
                                <w:t xml:space="preserve"> </w:t>
                              </w:r>
                              <w:r w:rsidRPr="008878F7">
                                <w:rPr>
                                  <w:rFonts w:cs="Calibri"/>
                                  <w:color w:val="000000"/>
                                  <w:sz w:val="20"/>
                                  <w:szCs w:val="20"/>
                                </w:rPr>
                                <w:t>2013</w:t>
                              </w:r>
                              <w:r>
                                <w:rPr>
                                  <w:rFonts w:cs="Calibri"/>
                                  <w:color w:val="000000"/>
                                  <w:sz w:val="20"/>
                                  <w:szCs w:val="20"/>
                                </w:rPr>
                                <w:t>)</w:t>
                              </w:r>
                            </w:p>
                            <w:p w14:paraId="047E6E8F" w14:textId="77777777" w:rsidR="00CF59E1" w:rsidRDefault="00CF59E1" w:rsidP="00EB1A1D">
                              <w:pPr>
                                <w:pStyle w:val="ListParagraph"/>
                                <w:numPr>
                                  <w:ilvl w:val="0"/>
                                  <w:numId w:val="5"/>
                                </w:numPr>
                                <w:ind w:left="180" w:hanging="180"/>
                                <w:rPr>
                                  <w:rFonts w:cs="Calibri"/>
                                  <w:color w:val="000000"/>
                                  <w:sz w:val="20"/>
                                  <w:szCs w:val="20"/>
                                </w:rPr>
                              </w:pPr>
                              <w:r w:rsidRPr="00A360F1">
                                <w:rPr>
                                  <w:rFonts w:cs="Calibri"/>
                                  <w:color w:val="000000"/>
                                  <w:sz w:val="20"/>
                                  <w:szCs w:val="20"/>
                                </w:rPr>
                                <w:t xml:space="preserve">AfDB Integrated Safeguard Statement, December 2013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752CD" id="Group 130" o:spid="_x0000_s1026" style="position:absolute;margin-left:244.7pt;margin-top:54.85pt;width:225.75pt;height:290.3pt;z-index:251657728" coordorigin="6161,4891" coordsize="5175,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">
                <v:rect id="Rectangle 3" o:spid="_x0000_s1027" style="position:absolute;left:6161;top:4891;width:4981;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14:paraId="0221784F" w14:textId="6B3ABDE7" w:rsidR="00CF59E1" w:rsidRPr="00655041" w:rsidRDefault="00CF59E1" w:rsidP="00A360F1">
                        <w:pPr>
                          <w:rPr>
                            <w:rFonts w:cs="Calibri"/>
                            <w:b/>
                            <w:sz w:val="20"/>
                            <w:szCs w:val="18"/>
                          </w:rPr>
                        </w:pPr>
                        <w:r w:rsidRPr="00655041">
                          <w:rPr>
                            <w:rFonts w:cs="Calibri"/>
                            <w:b/>
                            <w:sz w:val="20"/>
                            <w:szCs w:val="18"/>
                          </w:rPr>
                          <w:t>Box 1 – Recent Revisions to Safeguard Systems at the World Bank and Other MDBs</w:t>
                        </w:r>
                      </w:p>
                      <w:p w14:paraId="59112D43" w14:textId="77777777" w:rsidR="00CF59E1" w:rsidRPr="002A6FAD" w:rsidRDefault="00CF59E1" w:rsidP="002503EF"/>
                    </w:txbxContent>
                  </v:textbox>
                </v:rect>
                <v:rect id="Rectangle 4" o:spid="_x0000_s1028" style="position:absolute;left:6249;top:5449;width:5087;height:4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vgMMA&#10;AADaAAAADwAAAGRycy9kb3ducmV2LnhtbESPQWuDQBSE74H+h+UFektW2xKCdRUpLfQQsEnM/eG+&#10;qsR9K+6amP76bqGQ4zAz3zBpPpteXGh0nWUF8ToCQVxb3XGjoDp+rLYgnEfW2FsmBTdykGcPixQT&#10;ba+8p8vBNyJA2CWooPV+SKR0dUsG3doOxMH7tqNBH+TYSD3iNcBNL5+iaCMNdhwWWhzoraX6fJiM&#10;gk1Zlras6q+4eN91L9L21fRzUupxORevIDzN/h7+b39qBc/wdyXc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ZvgMMAAADaAAAADwAAAAAAAAAAAAAAAACYAgAAZHJzL2Rv&#10;d25yZXYueG1sUEsFBgAAAAAEAAQA9QAAAIgDAAAAAA==&#10;" filled="f" strokecolor="black [3213]" strokeweight="1.25pt">
                  <v:textbox>
                    <w:txbxContent>
                      <w:p w14:paraId="0BCBEA08" w14:textId="77777777" w:rsidR="00CF59E1" w:rsidRDefault="00CF59E1" w:rsidP="003B787F">
                        <w:pPr>
                          <w:pStyle w:val="ListParagraph"/>
                          <w:numPr>
                            <w:ilvl w:val="0"/>
                            <w:numId w:val="5"/>
                          </w:numPr>
                          <w:ind w:left="180" w:hanging="180"/>
                          <w:rPr>
                            <w:rFonts w:cs="Calibri"/>
                            <w:color w:val="000000"/>
                            <w:sz w:val="20"/>
                            <w:szCs w:val="20"/>
                          </w:rPr>
                        </w:pPr>
                        <w:r w:rsidRPr="008878F7">
                          <w:rPr>
                            <w:rFonts w:cs="Calibri"/>
                            <w:color w:val="000000"/>
                            <w:sz w:val="20"/>
                            <w:szCs w:val="20"/>
                          </w:rPr>
                          <w:t>World Bank Operational Policy (OP) 4.11</w:t>
                        </w:r>
                        <w:r>
                          <w:rPr>
                            <w:rFonts w:cs="Calibri"/>
                            <w:color w:val="000000"/>
                            <w:sz w:val="20"/>
                            <w:szCs w:val="20"/>
                          </w:rPr>
                          <w:t>,</w:t>
                        </w:r>
                        <w:r w:rsidRPr="008878F7">
                          <w:rPr>
                            <w:rFonts w:cs="Calibri"/>
                            <w:color w:val="000000"/>
                            <w:sz w:val="20"/>
                            <w:szCs w:val="20"/>
                          </w:rPr>
                          <w:t xml:space="preserve"> Physical Cultural Resources </w:t>
                        </w:r>
                        <w:r>
                          <w:rPr>
                            <w:rFonts w:cs="Calibri"/>
                            <w:color w:val="000000"/>
                            <w:sz w:val="20"/>
                            <w:szCs w:val="20"/>
                          </w:rPr>
                          <w:t>(</w:t>
                        </w:r>
                        <w:r w:rsidRPr="008878F7">
                          <w:rPr>
                            <w:rFonts w:cs="Calibri"/>
                            <w:color w:val="000000"/>
                            <w:sz w:val="20"/>
                            <w:szCs w:val="20"/>
                          </w:rPr>
                          <w:t>2006)</w:t>
                        </w:r>
                        <w:r>
                          <w:rPr>
                            <w:rFonts w:cs="Calibri"/>
                            <w:color w:val="000000"/>
                            <w:sz w:val="20"/>
                            <w:szCs w:val="20"/>
                          </w:rPr>
                          <w:t xml:space="preserve">; </w:t>
                        </w:r>
                        <w:r w:rsidRPr="008878F7">
                          <w:rPr>
                            <w:rFonts w:cs="Calibri"/>
                            <w:color w:val="000000"/>
                            <w:sz w:val="20"/>
                            <w:szCs w:val="20"/>
                          </w:rPr>
                          <w:t xml:space="preserve">Revisions </w:t>
                        </w:r>
                        <w:r>
                          <w:rPr>
                            <w:rFonts w:cs="Calibri"/>
                            <w:color w:val="000000"/>
                            <w:sz w:val="20"/>
                            <w:szCs w:val="20"/>
                          </w:rPr>
                          <w:t xml:space="preserve">to </w:t>
                        </w:r>
                        <w:r w:rsidRPr="008878F7">
                          <w:rPr>
                            <w:rFonts w:cs="Calibri"/>
                            <w:color w:val="000000"/>
                            <w:sz w:val="20"/>
                            <w:szCs w:val="20"/>
                          </w:rPr>
                          <w:t>and clarifications of OP 4.01</w:t>
                        </w:r>
                        <w:r>
                          <w:rPr>
                            <w:rFonts w:cs="Calibri"/>
                            <w:color w:val="000000"/>
                            <w:sz w:val="20"/>
                            <w:szCs w:val="20"/>
                          </w:rPr>
                          <w:t xml:space="preserve">, </w:t>
                        </w:r>
                        <w:r w:rsidRPr="008878F7">
                          <w:rPr>
                            <w:rFonts w:cs="Calibri"/>
                            <w:color w:val="000000"/>
                            <w:sz w:val="20"/>
                            <w:szCs w:val="20"/>
                          </w:rPr>
                          <w:t>Environmental Assessment</w:t>
                        </w:r>
                        <w:r>
                          <w:rPr>
                            <w:rFonts w:cs="Calibri"/>
                            <w:color w:val="000000"/>
                            <w:sz w:val="20"/>
                            <w:szCs w:val="20"/>
                          </w:rPr>
                          <w:t>;</w:t>
                        </w:r>
                        <w:r w:rsidRPr="008878F7">
                          <w:rPr>
                            <w:rFonts w:cs="Calibri"/>
                            <w:color w:val="000000"/>
                            <w:sz w:val="20"/>
                            <w:szCs w:val="20"/>
                          </w:rPr>
                          <w:t xml:space="preserve"> OP 4.37</w:t>
                        </w:r>
                        <w:r>
                          <w:rPr>
                            <w:rFonts w:cs="Calibri"/>
                            <w:color w:val="000000"/>
                            <w:sz w:val="20"/>
                            <w:szCs w:val="20"/>
                          </w:rPr>
                          <w:t>,</w:t>
                        </w:r>
                        <w:r w:rsidRPr="008878F7">
                          <w:rPr>
                            <w:rFonts w:cs="Calibri"/>
                            <w:color w:val="000000"/>
                            <w:sz w:val="20"/>
                            <w:szCs w:val="20"/>
                          </w:rPr>
                          <w:t xml:space="preserve"> Safety of Dams</w:t>
                        </w:r>
                        <w:r>
                          <w:rPr>
                            <w:rFonts w:cs="Calibri"/>
                            <w:color w:val="000000"/>
                            <w:sz w:val="20"/>
                            <w:szCs w:val="20"/>
                          </w:rPr>
                          <w:t>; and OP 4.03, World Bank Performance Requirements (2013)</w:t>
                        </w:r>
                      </w:p>
                      <w:p w14:paraId="28DDE4CA" w14:textId="77777777" w:rsidR="00CF59E1" w:rsidRDefault="00CF59E1" w:rsidP="00EB1A1D">
                        <w:pPr>
                          <w:pStyle w:val="ListParagraph"/>
                          <w:numPr>
                            <w:ilvl w:val="0"/>
                            <w:numId w:val="5"/>
                          </w:numPr>
                          <w:ind w:left="180" w:hanging="180"/>
                          <w:rPr>
                            <w:rFonts w:cs="Calibri"/>
                            <w:color w:val="000000"/>
                            <w:sz w:val="20"/>
                            <w:szCs w:val="20"/>
                          </w:rPr>
                        </w:pPr>
                        <w:r w:rsidRPr="008878F7">
                          <w:rPr>
                            <w:rFonts w:cs="Calibri"/>
                            <w:color w:val="000000"/>
                            <w:sz w:val="20"/>
                            <w:szCs w:val="20"/>
                          </w:rPr>
                          <w:t xml:space="preserve">ADB Safeguard Policy Statement </w:t>
                        </w:r>
                        <w:r>
                          <w:rPr>
                            <w:rFonts w:cs="Calibri"/>
                            <w:color w:val="000000"/>
                            <w:sz w:val="20"/>
                            <w:szCs w:val="20"/>
                          </w:rPr>
                          <w:t>(</w:t>
                        </w:r>
                        <w:r w:rsidRPr="008878F7">
                          <w:rPr>
                            <w:rFonts w:cs="Calibri"/>
                            <w:color w:val="000000"/>
                            <w:sz w:val="20"/>
                            <w:szCs w:val="20"/>
                          </w:rPr>
                          <w:t>July 2009</w:t>
                        </w:r>
                        <w:r>
                          <w:rPr>
                            <w:rFonts w:cs="Calibri"/>
                            <w:color w:val="000000"/>
                            <w:sz w:val="20"/>
                            <w:szCs w:val="20"/>
                          </w:rPr>
                          <w:t>)</w:t>
                        </w:r>
                      </w:p>
                      <w:p w14:paraId="639EE679" w14:textId="77777777" w:rsidR="00CF59E1" w:rsidRDefault="00CF59E1" w:rsidP="003B787F">
                        <w:pPr>
                          <w:pStyle w:val="ListParagraph"/>
                          <w:numPr>
                            <w:ilvl w:val="0"/>
                            <w:numId w:val="5"/>
                          </w:numPr>
                          <w:ind w:left="180" w:hanging="180"/>
                          <w:rPr>
                            <w:rFonts w:cs="Calibri"/>
                            <w:color w:val="000000"/>
                            <w:sz w:val="20"/>
                            <w:szCs w:val="20"/>
                          </w:rPr>
                        </w:pPr>
                        <w:r w:rsidRPr="008878F7">
                          <w:rPr>
                            <w:rFonts w:cs="Calibri"/>
                            <w:color w:val="000000"/>
                            <w:sz w:val="20"/>
                            <w:szCs w:val="20"/>
                          </w:rPr>
                          <w:t xml:space="preserve">IDB Environment and Safeguards Compliance Policy </w:t>
                        </w:r>
                        <w:r>
                          <w:rPr>
                            <w:rFonts w:cs="Calibri"/>
                            <w:color w:val="000000"/>
                            <w:sz w:val="20"/>
                            <w:szCs w:val="20"/>
                          </w:rPr>
                          <w:t>(</w:t>
                        </w:r>
                        <w:r w:rsidRPr="008878F7">
                          <w:rPr>
                            <w:rFonts w:cs="Calibri"/>
                            <w:color w:val="000000"/>
                            <w:sz w:val="20"/>
                            <w:szCs w:val="20"/>
                          </w:rPr>
                          <w:t>2006</w:t>
                        </w:r>
                        <w:r>
                          <w:rPr>
                            <w:rFonts w:cs="Calibri"/>
                            <w:color w:val="000000"/>
                            <w:sz w:val="20"/>
                            <w:szCs w:val="20"/>
                          </w:rPr>
                          <w:t>),</w:t>
                        </w:r>
                        <w:r w:rsidRPr="008878F7">
                          <w:rPr>
                            <w:rFonts w:cs="Calibri"/>
                            <w:color w:val="000000"/>
                            <w:sz w:val="20"/>
                            <w:szCs w:val="20"/>
                          </w:rPr>
                          <w:t xml:space="preserve"> Policy on Indigenous Peoples </w:t>
                        </w:r>
                        <w:r>
                          <w:rPr>
                            <w:rFonts w:cs="Calibri"/>
                            <w:color w:val="000000"/>
                            <w:sz w:val="20"/>
                            <w:szCs w:val="20"/>
                          </w:rPr>
                          <w:t>(</w:t>
                        </w:r>
                        <w:r w:rsidRPr="008878F7">
                          <w:rPr>
                            <w:rFonts w:cs="Calibri"/>
                            <w:color w:val="000000"/>
                            <w:sz w:val="20"/>
                            <w:szCs w:val="20"/>
                          </w:rPr>
                          <w:t>2006</w:t>
                        </w:r>
                        <w:r>
                          <w:rPr>
                            <w:rFonts w:cs="Calibri"/>
                            <w:color w:val="000000"/>
                            <w:sz w:val="20"/>
                            <w:szCs w:val="20"/>
                          </w:rPr>
                          <w:t>)</w:t>
                        </w:r>
                        <w:r w:rsidRPr="008878F7">
                          <w:rPr>
                            <w:rFonts w:cs="Calibri"/>
                            <w:color w:val="000000"/>
                            <w:sz w:val="20"/>
                            <w:szCs w:val="20"/>
                          </w:rPr>
                          <w:t xml:space="preserve">, and Policy on Gender Equality in Development </w:t>
                        </w:r>
                        <w:r>
                          <w:rPr>
                            <w:rFonts w:cs="Calibri"/>
                            <w:color w:val="000000"/>
                            <w:sz w:val="20"/>
                            <w:szCs w:val="20"/>
                          </w:rPr>
                          <w:t>(</w:t>
                        </w:r>
                        <w:r w:rsidRPr="008878F7">
                          <w:rPr>
                            <w:rFonts w:cs="Calibri"/>
                            <w:color w:val="000000"/>
                            <w:sz w:val="20"/>
                            <w:szCs w:val="20"/>
                          </w:rPr>
                          <w:t>2010</w:t>
                        </w:r>
                        <w:r>
                          <w:rPr>
                            <w:rFonts w:cs="Calibri"/>
                            <w:color w:val="000000"/>
                            <w:sz w:val="20"/>
                            <w:szCs w:val="20"/>
                          </w:rPr>
                          <w:t>)</w:t>
                        </w:r>
                        <w:r w:rsidRPr="008878F7">
                          <w:rPr>
                            <w:rFonts w:cs="Calibri"/>
                            <w:color w:val="000000"/>
                            <w:sz w:val="20"/>
                            <w:szCs w:val="20"/>
                          </w:rPr>
                          <w:t>.</w:t>
                        </w:r>
                      </w:p>
                      <w:p w14:paraId="61FC9D63" w14:textId="77777777" w:rsidR="00CF59E1" w:rsidRDefault="00CF59E1" w:rsidP="00EB1A1D">
                        <w:pPr>
                          <w:pStyle w:val="ListParagraph"/>
                          <w:numPr>
                            <w:ilvl w:val="0"/>
                            <w:numId w:val="5"/>
                          </w:numPr>
                          <w:ind w:left="180" w:hanging="180"/>
                          <w:rPr>
                            <w:rFonts w:cs="Calibri"/>
                            <w:color w:val="000000"/>
                            <w:sz w:val="20"/>
                            <w:szCs w:val="20"/>
                          </w:rPr>
                        </w:pPr>
                        <w:r w:rsidRPr="008878F7">
                          <w:rPr>
                            <w:rFonts w:cs="Calibri"/>
                            <w:color w:val="000000"/>
                            <w:sz w:val="20"/>
                            <w:szCs w:val="20"/>
                          </w:rPr>
                          <w:t>IFC Sustainability</w:t>
                        </w:r>
                        <w:r>
                          <w:rPr>
                            <w:rFonts w:cs="Calibri"/>
                            <w:color w:val="000000"/>
                            <w:sz w:val="20"/>
                            <w:szCs w:val="20"/>
                          </w:rPr>
                          <w:t xml:space="preserve"> </w:t>
                        </w:r>
                        <w:r w:rsidRPr="008878F7">
                          <w:rPr>
                            <w:rFonts w:cs="Calibri"/>
                            <w:color w:val="000000"/>
                            <w:sz w:val="20"/>
                            <w:szCs w:val="20"/>
                          </w:rPr>
                          <w:t xml:space="preserve">Framework, consisting of Sustainability Policy and Performance Standards </w:t>
                        </w:r>
                        <w:r>
                          <w:rPr>
                            <w:rFonts w:cs="Calibri"/>
                            <w:color w:val="000000"/>
                            <w:sz w:val="20"/>
                            <w:szCs w:val="20"/>
                          </w:rPr>
                          <w:t>(</w:t>
                        </w:r>
                        <w:r w:rsidRPr="008878F7">
                          <w:rPr>
                            <w:rFonts w:cs="Calibri"/>
                            <w:color w:val="000000"/>
                            <w:sz w:val="20"/>
                            <w:szCs w:val="20"/>
                          </w:rPr>
                          <w:t>2012</w:t>
                        </w:r>
                        <w:r>
                          <w:rPr>
                            <w:rFonts w:cs="Calibri"/>
                            <w:color w:val="000000"/>
                            <w:sz w:val="20"/>
                            <w:szCs w:val="20"/>
                          </w:rPr>
                          <w:t>)</w:t>
                        </w:r>
                      </w:p>
                      <w:p w14:paraId="332ED700" w14:textId="77777777" w:rsidR="00CF59E1" w:rsidRDefault="00CF59E1" w:rsidP="00EB1A1D">
                        <w:pPr>
                          <w:pStyle w:val="ListParagraph"/>
                          <w:numPr>
                            <w:ilvl w:val="0"/>
                            <w:numId w:val="5"/>
                          </w:numPr>
                          <w:ind w:left="180" w:hanging="180"/>
                          <w:rPr>
                            <w:rFonts w:cs="Calibri"/>
                            <w:color w:val="000000"/>
                            <w:sz w:val="20"/>
                            <w:szCs w:val="20"/>
                          </w:rPr>
                        </w:pPr>
                        <w:r w:rsidRPr="008878F7">
                          <w:rPr>
                            <w:rFonts w:cs="Calibri"/>
                            <w:color w:val="000000"/>
                            <w:sz w:val="20"/>
                            <w:szCs w:val="20"/>
                          </w:rPr>
                          <w:t xml:space="preserve">EBRD Environmental and Social Policy </w:t>
                        </w:r>
                        <w:r>
                          <w:rPr>
                            <w:rFonts w:cs="Calibri"/>
                            <w:color w:val="000000"/>
                            <w:sz w:val="20"/>
                            <w:szCs w:val="20"/>
                          </w:rPr>
                          <w:t xml:space="preserve">(May </w:t>
                        </w:r>
                        <w:r w:rsidRPr="008878F7">
                          <w:rPr>
                            <w:rFonts w:cs="Calibri"/>
                            <w:color w:val="000000"/>
                            <w:sz w:val="20"/>
                            <w:szCs w:val="20"/>
                          </w:rPr>
                          <w:t>20</w:t>
                        </w:r>
                        <w:r>
                          <w:rPr>
                            <w:rFonts w:cs="Calibri"/>
                            <w:color w:val="000000"/>
                            <w:sz w:val="20"/>
                            <w:szCs w:val="20"/>
                          </w:rPr>
                          <w:t>14)</w:t>
                        </w:r>
                      </w:p>
                      <w:p w14:paraId="26FAF464" w14:textId="77777777" w:rsidR="00CF59E1" w:rsidRDefault="00CF59E1" w:rsidP="00EB1A1D">
                        <w:pPr>
                          <w:pStyle w:val="ListParagraph"/>
                          <w:numPr>
                            <w:ilvl w:val="0"/>
                            <w:numId w:val="5"/>
                          </w:numPr>
                          <w:ind w:left="180" w:hanging="180"/>
                          <w:rPr>
                            <w:rFonts w:cs="Calibri"/>
                            <w:color w:val="000000"/>
                            <w:sz w:val="20"/>
                            <w:szCs w:val="20"/>
                          </w:rPr>
                        </w:pPr>
                        <w:r w:rsidRPr="008878F7">
                          <w:rPr>
                            <w:rFonts w:cs="Calibri"/>
                            <w:color w:val="000000"/>
                            <w:sz w:val="20"/>
                            <w:szCs w:val="20"/>
                          </w:rPr>
                          <w:t xml:space="preserve">EIB Statement of Environmental and Social Principles and Standards </w:t>
                        </w:r>
                        <w:r>
                          <w:rPr>
                            <w:rFonts w:cs="Calibri"/>
                            <w:color w:val="000000"/>
                            <w:sz w:val="20"/>
                            <w:szCs w:val="20"/>
                          </w:rPr>
                          <w:t>(</w:t>
                        </w:r>
                        <w:r w:rsidRPr="008878F7">
                          <w:rPr>
                            <w:rFonts w:cs="Calibri"/>
                            <w:color w:val="000000"/>
                            <w:sz w:val="20"/>
                            <w:szCs w:val="20"/>
                          </w:rPr>
                          <w:t>2009</w:t>
                        </w:r>
                        <w:r>
                          <w:rPr>
                            <w:rFonts w:cs="Calibri"/>
                            <w:color w:val="000000"/>
                            <w:sz w:val="20"/>
                            <w:szCs w:val="20"/>
                          </w:rPr>
                          <w:t>)</w:t>
                        </w:r>
                        <w:r w:rsidRPr="008878F7">
                          <w:rPr>
                            <w:rFonts w:cs="Calibri"/>
                            <w:color w:val="000000"/>
                            <w:sz w:val="20"/>
                            <w:szCs w:val="20"/>
                          </w:rPr>
                          <w:t xml:space="preserve">, and Environmental and </w:t>
                        </w:r>
                        <w:r>
                          <w:rPr>
                            <w:rFonts w:cs="Calibri"/>
                            <w:color w:val="000000"/>
                            <w:sz w:val="20"/>
                            <w:szCs w:val="20"/>
                          </w:rPr>
                          <w:t xml:space="preserve">Social </w:t>
                        </w:r>
                        <w:r w:rsidRPr="008878F7">
                          <w:rPr>
                            <w:rFonts w:cs="Calibri"/>
                            <w:color w:val="000000"/>
                            <w:sz w:val="20"/>
                            <w:szCs w:val="20"/>
                          </w:rPr>
                          <w:t xml:space="preserve">Handbook </w:t>
                        </w:r>
                        <w:r>
                          <w:rPr>
                            <w:rFonts w:cs="Calibri"/>
                            <w:color w:val="000000"/>
                            <w:sz w:val="20"/>
                            <w:szCs w:val="20"/>
                          </w:rPr>
                          <w:t>(</w:t>
                        </w:r>
                        <w:r w:rsidRPr="008878F7">
                          <w:rPr>
                            <w:rFonts w:cs="Calibri"/>
                            <w:color w:val="000000"/>
                            <w:sz w:val="20"/>
                            <w:szCs w:val="20"/>
                          </w:rPr>
                          <w:t>December</w:t>
                        </w:r>
                        <w:r>
                          <w:rPr>
                            <w:rFonts w:cs="Calibri"/>
                            <w:color w:val="000000"/>
                            <w:sz w:val="20"/>
                            <w:szCs w:val="20"/>
                          </w:rPr>
                          <w:t xml:space="preserve"> </w:t>
                        </w:r>
                        <w:r w:rsidRPr="008878F7">
                          <w:rPr>
                            <w:rFonts w:cs="Calibri"/>
                            <w:color w:val="000000"/>
                            <w:sz w:val="20"/>
                            <w:szCs w:val="20"/>
                          </w:rPr>
                          <w:t>2013</w:t>
                        </w:r>
                        <w:r>
                          <w:rPr>
                            <w:rFonts w:cs="Calibri"/>
                            <w:color w:val="000000"/>
                            <w:sz w:val="20"/>
                            <w:szCs w:val="20"/>
                          </w:rPr>
                          <w:t>)</w:t>
                        </w:r>
                      </w:p>
                      <w:p w14:paraId="047E6E8F" w14:textId="77777777" w:rsidR="00CF59E1" w:rsidRDefault="00CF59E1" w:rsidP="00EB1A1D">
                        <w:pPr>
                          <w:pStyle w:val="ListParagraph"/>
                          <w:numPr>
                            <w:ilvl w:val="0"/>
                            <w:numId w:val="5"/>
                          </w:numPr>
                          <w:ind w:left="180" w:hanging="180"/>
                          <w:rPr>
                            <w:rFonts w:cs="Calibri"/>
                            <w:color w:val="000000"/>
                            <w:sz w:val="20"/>
                            <w:szCs w:val="20"/>
                          </w:rPr>
                        </w:pPr>
                        <w:r w:rsidRPr="00A360F1">
                          <w:rPr>
                            <w:rFonts w:cs="Calibri"/>
                            <w:color w:val="000000"/>
                            <w:sz w:val="20"/>
                            <w:szCs w:val="20"/>
                          </w:rPr>
                          <w:t xml:space="preserve">AfDB Integrated Safeguard Statement, December 2013 </w:t>
                        </w:r>
                      </w:p>
                    </w:txbxContent>
                  </v:textbox>
                </v:rect>
                <w10:wrap type="square"/>
              </v:group>
            </w:pict>
          </mc:Fallback>
        </mc:AlternateContent>
      </w:r>
      <w:r w:rsidR="00AA59A0" w:rsidRPr="000F7276">
        <w:rPr>
          <w:rFonts w:ascii="Calibri" w:hAnsi="Calibri"/>
          <w:color w:val="auto"/>
        </w:rPr>
        <w:t xml:space="preserve">The primary objective of this report is to inform the ongoing World Bank (“Bank”) Safeguard Review and Update (SRU) </w:t>
      </w:r>
      <w:r w:rsidR="00C05728" w:rsidRPr="000F7276">
        <w:rPr>
          <w:rFonts w:ascii="Calibri" w:hAnsi="Calibri"/>
          <w:color w:val="auto"/>
        </w:rPr>
        <w:t xml:space="preserve">about </w:t>
      </w:r>
      <w:r w:rsidR="00AA59A0" w:rsidRPr="000F7276">
        <w:rPr>
          <w:rFonts w:ascii="Calibri" w:hAnsi="Calibri"/>
          <w:color w:val="auto"/>
        </w:rPr>
        <w:t xml:space="preserve">some of the key similarities and differences between the Bank’s existing policies for the assessment and management of environmental and social impacts and risks and the policies of other </w:t>
      </w:r>
      <w:r w:rsidR="003B787F" w:rsidRPr="000F7276">
        <w:rPr>
          <w:rFonts w:ascii="Calibri" w:hAnsi="Calibri"/>
          <w:color w:val="auto"/>
        </w:rPr>
        <w:t>M</w:t>
      </w:r>
      <w:r w:rsidR="00AA59A0" w:rsidRPr="000F7276">
        <w:rPr>
          <w:rFonts w:ascii="Calibri" w:hAnsi="Calibri"/>
          <w:color w:val="auto"/>
        </w:rPr>
        <w:t xml:space="preserve">ultilateral </w:t>
      </w:r>
      <w:r w:rsidR="003B787F" w:rsidRPr="000F7276">
        <w:rPr>
          <w:rFonts w:ascii="Calibri" w:hAnsi="Calibri"/>
          <w:color w:val="auto"/>
        </w:rPr>
        <w:t>D</w:t>
      </w:r>
      <w:r w:rsidR="00AA59A0" w:rsidRPr="000F7276">
        <w:rPr>
          <w:rFonts w:ascii="Calibri" w:hAnsi="Calibri"/>
          <w:color w:val="auto"/>
        </w:rPr>
        <w:t xml:space="preserve">evelopment </w:t>
      </w:r>
      <w:r w:rsidR="003B787F" w:rsidRPr="000F7276">
        <w:rPr>
          <w:rFonts w:ascii="Calibri" w:hAnsi="Calibri"/>
          <w:color w:val="auto"/>
        </w:rPr>
        <w:t>B</w:t>
      </w:r>
      <w:r w:rsidR="00AA59A0" w:rsidRPr="000F7276">
        <w:rPr>
          <w:rFonts w:ascii="Calibri" w:hAnsi="Calibri"/>
          <w:color w:val="auto"/>
        </w:rPr>
        <w:t>anks (MDBs) that have updated their safeguard policies since 2006</w:t>
      </w:r>
      <w:r w:rsidR="00ED38E9">
        <w:rPr>
          <w:rFonts w:ascii="Calibri" w:hAnsi="Calibri"/>
          <w:color w:val="auto"/>
        </w:rPr>
        <w:t>,</w:t>
      </w:r>
      <w:r w:rsidR="00AA59A0" w:rsidRPr="000F7276">
        <w:rPr>
          <w:rFonts w:ascii="Calibri" w:hAnsi="Calibri"/>
          <w:color w:val="auto"/>
        </w:rPr>
        <w:t xml:space="preserve"> when the Bank issued the most recent of its current safeguard policies (</w:t>
      </w:r>
      <w:r w:rsidR="00C05728" w:rsidRPr="000F7276">
        <w:rPr>
          <w:rFonts w:ascii="Calibri" w:hAnsi="Calibri"/>
          <w:color w:val="auto"/>
        </w:rPr>
        <w:t>s</w:t>
      </w:r>
      <w:r w:rsidR="00AA59A0" w:rsidRPr="000F7276">
        <w:rPr>
          <w:rFonts w:ascii="Calibri" w:hAnsi="Calibri"/>
          <w:color w:val="auto"/>
        </w:rPr>
        <w:t>ee Box 1.)</w:t>
      </w:r>
      <w:r w:rsidR="003F7392" w:rsidRPr="000F7276">
        <w:rPr>
          <w:rFonts w:ascii="Calibri" w:hAnsi="Calibri"/>
          <w:color w:val="auto"/>
        </w:rPr>
        <w:t xml:space="preserve"> </w:t>
      </w:r>
      <w:r w:rsidR="00AA59A0" w:rsidRPr="000F7276">
        <w:rPr>
          <w:rFonts w:ascii="Calibri" w:hAnsi="Calibri"/>
          <w:color w:val="auto"/>
        </w:rPr>
        <w:t xml:space="preserve">As stated in </w:t>
      </w:r>
      <w:r w:rsidR="00B4726B" w:rsidRPr="000F7276">
        <w:rPr>
          <w:rFonts w:ascii="Calibri" w:hAnsi="Calibri"/>
          <w:color w:val="auto"/>
        </w:rPr>
        <w:t>the</w:t>
      </w:r>
      <w:r w:rsidR="00AA59A0" w:rsidRPr="000F7276">
        <w:rPr>
          <w:rFonts w:ascii="Calibri" w:hAnsi="Calibri"/>
          <w:color w:val="auto"/>
        </w:rPr>
        <w:t xml:space="preserve"> Bank’s October 2012 Approach Paper to its SRU,</w:t>
      </w:r>
      <w:r w:rsidR="00B4726B" w:rsidRPr="000F7276">
        <w:rPr>
          <w:rFonts w:ascii="Calibri" w:hAnsi="Calibri"/>
          <w:color w:val="auto"/>
        </w:rPr>
        <w:t xml:space="preserve"> “[p]</w:t>
      </w:r>
      <w:r w:rsidR="00E4048C" w:rsidRPr="000F7276">
        <w:rPr>
          <w:rFonts w:ascii="Calibri" w:hAnsi="Calibri"/>
          <w:bCs/>
          <w:color w:val="auto"/>
        </w:rPr>
        <w:t>olicy harmonization, coherence, and alignment</w:t>
      </w:r>
      <w:r w:rsidR="00B4726B" w:rsidRPr="000F7276">
        <w:rPr>
          <w:rFonts w:ascii="Calibri" w:hAnsi="Calibri"/>
          <w:bCs/>
          <w:color w:val="auto"/>
        </w:rPr>
        <w:t xml:space="preserve"> are objectives shared by the Bank and virtually all of its counterpart MDBs as well as bilateral development partners.”</w:t>
      </w:r>
      <w:r w:rsidR="00E4048C" w:rsidRPr="000F7276">
        <w:rPr>
          <w:rStyle w:val="FootnoteReference"/>
          <w:rFonts w:ascii="Calibri" w:hAnsi="Calibri"/>
          <w:color w:val="auto"/>
        </w:rPr>
        <w:footnoteReference w:id="12"/>
      </w:r>
      <w:r w:rsidR="003F7392" w:rsidRPr="000F7276">
        <w:rPr>
          <w:rFonts w:ascii="Calibri" w:hAnsi="Calibri"/>
          <w:color w:val="auto"/>
        </w:rPr>
        <w:t xml:space="preserve"> </w:t>
      </w:r>
      <w:r w:rsidR="00E4048C" w:rsidRPr="000F7276">
        <w:rPr>
          <w:rFonts w:ascii="Calibri" w:hAnsi="Calibri"/>
          <w:bCs/>
          <w:color w:val="auto"/>
        </w:rPr>
        <w:t>A</w:t>
      </w:r>
      <w:r w:rsidR="00B4726B" w:rsidRPr="000F7276">
        <w:rPr>
          <w:rFonts w:ascii="Calibri" w:hAnsi="Calibri"/>
          <w:bCs/>
          <w:color w:val="auto"/>
        </w:rPr>
        <w:t>ccordingly,</w:t>
      </w:r>
      <w:r w:rsidR="00E4048C" w:rsidRPr="000F7276">
        <w:rPr>
          <w:rFonts w:ascii="Calibri" w:hAnsi="Calibri"/>
          <w:bCs/>
          <w:color w:val="auto"/>
        </w:rPr>
        <w:t xml:space="preserve"> the Bank aims to consider structural and policy initiatives undertaken by other</w:t>
      </w:r>
      <w:r w:rsidR="00D61EB0" w:rsidRPr="000F7276">
        <w:rPr>
          <w:rFonts w:ascii="Calibri" w:hAnsi="Calibri"/>
          <w:bCs/>
          <w:color w:val="auto"/>
        </w:rPr>
        <w:t xml:space="preserve"> </w:t>
      </w:r>
      <w:r w:rsidR="00E4048C" w:rsidRPr="000F7276">
        <w:rPr>
          <w:rFonts w:ascii="Calibri" w:hAnsi="Calibri"/>
          <w:bCs/>
          <w:color w:val="auto"/>
        </w:rPr>
        <w:t>MDBs that have recently incorporated new features in their safeguard systems</w:t>
      </w:r>
      <w:r w:rsidR="00592832" w:rsidRPr="000F7276">
        <w:rPr>
          <w:rFonts w:ascii="Calibri" w:hAnsi="Calibri"/>
          <w:bCs/>
          <w:color w:val="auto"/>
        </w:rPr>
        <w:t>.</w:t>
      </w:r>
      <w:r w:rsidR="003F7392" w:rsidRPr="000F7276">
        <w:rPr>
          <w:rFonts w:ascii="Calibri" w:hAnsi="Calibri"/>
          <w:bCs/>
          <w:color w:val="auto"/>
        </w:rPr>
        <w:t xml:space="preserve"> </w:t>
      </w:r>
      <w:r w:rsidR="00592832" w:rsidRPr="000F7276">
        <w:rPr>
          <w:rFonts w:asciiTheme="minorHAnsi" w:hAnsiTheme="minorHAnsi" w:cs="Calibri"/>
        </w:rPr>
        <w:t xml:space="preserve">In this paper, “safeguard systems” refers to the totality of an institution’s policies, principles, and operational requirements that address environmental and social issues of development projects supported by an institution’s lending instruments. “Operational safeguards” refers to requirements designed to apply primarily, or in some cases, exclusively, to investment lending operations, such as the World Bank’s Operational Policies </w:t>
      </w:r>
      <w:r w:rsidR="00F07FD8">
        <w:rPr>
          <w:rFonts w:asciiTheme="minorHAnsi" w:hAnsiTheme="minorHAnsi" w:cs="Calibri"/>
        </w:rPr>
        <w:t xml:space="preserve">(OPs) </w:t>
      </w:r>
      <w:r w:rsidR="00592832" w:rsidRPr="000F7276">
        <w:rPr>
          <w:rFonts w:asciiTheme="minorHAnsi" w:hAnsiTheme="minorHAnsi" w:cs="Calibri"/>
        </w:rPr>
        <w:t xml:space="preserve">that are designed </w:t>
      </w:r>
      <w:r w:rsidR="003F7392" w:rsidRPr="000F7276">
        <w:rPr>
          <w:rFonts w:asciiTheme="minorHAnsi" w:hAnsiTheme="minorHAnsi" w:cs="Calibri"/>
        </w:rPr>
        <w:t>to apply</w:t>
      </w:r>
      <w:r w:rsidR="00592832" w:rsidRPr="000F7276">
        <w:rPr>
          <w:rFonts w:asciiTheme="minorHAnsi" w:hAnsiTheme="minorHAnsi" w:cs="Calibri"/>
        </w:rPr>
        <w:t xml:space="preserve"> to borrowers</w:t>
      </w:r>
      <w:r w:rsidR="00592832" w:rsidRPr="000F7276">
        <w:rPr>
          <w:rStyle w:val="FootnoteReference"/>
          <w:rFonts w:asciiTheme="minorHAnsi" w:hAnsiTheme="minorHAnsi" w:cs="Calibri"/>
        </w:rPr>
        <w:footnoteReference w:id="13"/>
      </w:r>
      <w:r w:rsidR="00592832" w:rsidRPr="000F7276">
        <w:rPr>
          <w:rFonts w:asciiTheme="minorHAnsi" w:hAnsiTheme="minorHAnsi" w:cs="Calibri"/>
        </w:rPr>
        <w:t xml:space="preserve"> and financial intermediaries (FIs).</w:t>
      </w:r>
      <w:r w:rsidR="003F089E" w:rsidRPr="000F7276">
        <w:rPr>
          <w:rFonts w:asciiTheme="minorHAnsi" w:hAnsiTheme="minorHAnsi" w:cs="Calibri"/>
        </w:rPr>
        <w:t xml:space="preserve">  </w:t>
      </w:r>
    </w:p>
    <w:p w14:paraId="55F3993E" w14:textId="77777777" w:rsidR="00A009E7" w:rsidRDefault="003F089E" w:rsidP="00A009E7">
      <w:pPr>
        <w:pStyle w:val="Default"/>
        <w:spacing w:after="240"/>
        <w:contextualSpacing/>
        <w:rPr>
          <w:rFonts w:ascii="Calibri" w:hAnsi="Calibri"/>
          <w:strike/>
          <w:color w:val="auto"/>
        </w:rPr>
      </w:pPr>
      <w:r w:rsidRPr="000F7276">
        <w:rPr>
          <w:rFonts w:asciiTheme="minorHAnsi" w:hAnsiTheme="minorHAnsi"/>
          <w:bCs/>
        </w:rPr>
        <w:t>With respect to the O</w:t>
      </w:r>
      <w:r w:rsidR="00AD2351">
        <w:rPr>
          <w:rFonts w:asciiTheme="minorHAnsi" w:hAnsiTheme="minorHAnsi"/>
          <w:bCs/>
        </w:rPr>
        <w:t>P</w:t>
      </w:r>
      <w:r w:rsidRPr="000F7276">
        <w:rPr>
          <w:rFonts w:asciiTheme="minorHAnsi" w:hAnsiTheme="minorHAnsi"/>
          <w:bCs/>
        </w:rPr>
        <w:t>s</w:t>
      </w:r>
      <w:r w:rsidR="00AD2351">
        <w:rPr>
          <w:rFonts w:asciiTheme="minorHAnsi" w:hAnsiTheme="minorHAnsi"/>
          <w:bCs/>
        </w:rPr>
        <w:t>,</w:t>
      </w:r>
      <w:r w:rsidRPr="000F7276">
        <w:rPr>
          <w:rFonts w:asciiTheme="minorHAnsi" w:hAnsiTheme="minorHAnsi"/>
          <w:bCs/>
        </w:rPr>
        <w:t xml:space="preserve"> it should be noted that comparisons are limited to corresponding MDB policies that are</w:t>
      </w:r>
      <w:r w:rsidR="00AD2351">
        <w:rPr>
          <w:rFonts w:asciiTheme="minorHAnsi" w:hAnsiTheme="minorHAnsi"/>
          <w:bCs/>
        </w:rPr>
        <w:t>:</w:t>
      </w:r>
      <w:r w:rsidRPr="000F7276">
        <w:rPr>
          <w:rFonts w:asciiTheme="minorHAnsi" w:hAnsiTheme="minorHAnsi"/>
          <w:bCs/>
        </w:rPr>
        <w:t xml:space="preserve"> (1) Board-approved; (2) mandatory (rather than aspirational or recommended good practice, e.g.</w:t>
      </w:r>
      <w:r w:rsidR="00AD2351">
        <w:rPr>
          <w:rFonts w:asciiTheme="minorHAnsi" w:hAnsiTheme="minorHAnsi"/>
          <w:bCs/>
        </w:rPr>
        <w:t>,</w:t>
      </w:r>
      <w:r w:rsidRPr="000F7276">
        <w:rPr>
          <w:rFonts w:asciiTheme="minorHAnsi" w:hAnsiTheme="minorHAnsi"/>
          <w:bCs/>
        </w:rPr>
        <w:t xml:space="preserve"> “guidelines”; and (3) applicable in the first instance to borrowers rather than to the MDBs.</w:t>
      </w:r>
      <w:r w:rsidRPr="000F7276">
        <w:rPr>
          <w:rStyle w:val="FootnoteReference"/>
          <w:rFonts w:asciiTheme="minorHAnsi" w:hAnsiTheme="minorHAnsi"/>
          <w:bCs/>
        </w:rPr>
        <w:footnoteReference w:id="14"/>
      </w:r>
    </w:p>
    <w:p w14:paraId="391FFAA7" w14:textId="77777777" w:rsidR="00A009E7" w:rsidRDefault="00B4726B" w:rsidP="00A009E7">
      <w:pPr>
        <w:spacing w:after="240"/>
        <w:rPr>
          <w:sz w:val="24"/>
          <w:szCs w:val="24"/>
        </w:rPr>
      </w:pPr>
      <w:r w:rsidRPr="000F7276">
        <w:rPr>
          <w:bCs/>
          <w:sz w:val="24"/>
          <w:szCs w:val="24"/>
        </w:rPr>
        <w:t>Some of these features include the set</w:t>
      </w:r>
      <w:r w:rsidR="003B787F" w:rsidRPr="000F7276">
        <w:rPr>
          <w:bCs/>
          <w:sz w:val="24"/>
          <w:szCs w:val="24"/>
        </w:rPr>
        <w:t>ting out</w:t>
      </w:r>
      <w:r w:rsidRPr="000F7276">
        <w:rPr>
          <w:bCs/>
          <w:sz w:val="24"/>
          <w:szCs w:val="24"/>
        </w:rPr>
        <w:t xml:space="preserve"> of overarching principles, potentially greater clarity of roles and responsibilities of the lender and the borrower, and what could be considered in some settings to provide greater integration of environmental and social issues. </w:t>
      </w:r>
      <w:r w:rsidRPr="000F7276">
        <w:rPr>
          <w:noProof/>
          <w:sz w:val="24"/>
          <w:szCs w:val="24"/>
        </w:rPr>
        <w:t>These objectives</w:t>
      </w:r>
      <w:r w:rsidRPr="000F7276">
        <w:rPr>
          <w:sz w:val="24"/>
          <w:szCs w:val="24"/>
        </w:rPr>
        <w:t xml:space="preserve"> reflect the fact that various MDBs, including the Asian Development Bank (ADB), the African Development Bank (AfDB), the European Bank for </w:t>
      </w:r>
      <w:r w:rsidR="008F1494" w:rsidRPr="000F7276">
        <w:rPr>
          <w:sz w:val="24"/>
          <w:szCs w:val="24"/>
        </w:rPr>
        <w:t>Reconstruction and Development (EBRD),</w:t>
      </w:r>
      <w:r w:rsidR="00367DE7" w:rsidRPr="000F7276">
        <w:rPr>
          <w:sz w:val="24"/>
          <w:szCs w:val="24"/>
        </w:rPr>
        <w:t>the European Investment Bank (EIB),</w:t>
      </w:r>
      <w:r w:rsidR="008F1494" w:rsidRPr="000F7276">
        <w:rPr>
          <w:sz w:val="24"/>
          <w:szCs w:val="24"/>
        </w:rPr>
        <w:t xml:space="preserve"> the Inter-American Development Bank (IDB)</w:t>
      </w:r>
      <w:r w:rsidR="00EF310E" w:rsidRPr="000F7276">
        <w:rPr>
          <w:sz w:val="24"/>
          <w:szCs w:val="24"/>
        </w:rPr>
        <w:t xml:space="preserve">, and </w:t>
      </w:r>
      <w:r w:rsidR="00AD2351">
        <w:rPr>
          <w:sz w:val="24"/>
          <w:szCs w:val="24"/>
        </w:rPr>
        <w:t xml:space="preserve">the </w:t>
      </w:r>
      <w:r w:rsidR="00CA3B8A" w:rsidRPr="000F7276">
        <w:rPr>
          <w:sz w:val="24"/>
          <w:szCs w:val="24"/>
        </w:rPr>
        <w:t>International Finance Corporation (</w:t>
      </w:r>
      <w:r w:rsidR="00EF310E" w:rsidRPr="000F7276">
        <w:rPr>
          <w:sz w:val="24"/>
          <w:szCs w:val="24"/>
        </w:rPr>
        <w:t>IFC</w:t>
      </w:r>
      <w:r w:rsidR="00CA3B8A" w:rsidRPr="000F7276">
        <w:rPr>
          <w:sz w:val="24"/>
          <w:szCs w:val="24"/>
        </w:rPr>
        <w:t>)</w:t>
      </w:r>
      <w:r w:rsidR="0053770B" w:rsidRPr="000F7276">
        <w:rPr>
          <w:sz w:val="24"/>
          <w:szCs w:val="24"/>
        </w:rPr>
        <w:t>,</w:t>
      </w:r>
      <w:r w:rsidR="008F1494" w:rsidRPr="000F7276">
        <w:rPr>
          <w:sz w:val="24"/>
          <w:szCs w:val="24"/>
        </w:rPr>
        <w:t xml:space="preserve"> have all </w:t>
      </w:r>
      <w:r w:rsidR="00514EFD" w:rsidRPr="000F7276">
        <w:rPr>
          <w:sz w:val="24"/>
          <w:szCs w:val="24"/>
        </w:rPr>
        <w:t>either under</w:t>
      </w:r>
      <w:r w:rsidR="004E6EF9" w:rsidRPr="000F7276">
        <w:rPr>
          <w:sz w:val="24"/>
          <w:szCs w:val="24"/>
        </w:rPr>
        <w:t>taken</w:t>
      </w:r>
      <w:r w:rsidR="00514EFD" w:rsidRPr="000F7276">
        <w:rPr>
          <w:sz w:val="24"/>
          <w:szCs w:val="24"/>
        </w:rPr>
        <w:t xml:space="preserve"> </w:t>
      </w:r>
      <w:r w:rsidR="00CF1DF9" w:rsidRPr="000F7276">
        <w:rPr>
          <w:sz w:val="24"/>
          <w:szCs w:val="24"/>
        </w:rPr>
        <w:t xml:space="preserve">substantive </w:t>
      </w:r>
      <w:r w:rsidR="00514EFD" w:rsidRPr="000F7276">
        <w:rPr>
          <w:sz w:val="24"/>
          <w:szCs w:val="24"/>
        </w:rPr>
        <w:t xml:space="preserve">revisions to their systems and policies or </w:t>
      </w:r>
      <w:r w:rsidR="00CF1DF9" w:rsidRPr="000F7276">
        <w:rPr>
          <w:sz w:val="24"/>
          <w:szCs w:val="24"/>
        </w:rPr>
        <w:t xml:space="preserve">have </w:t>
      </w:r>
      <w:r w:rsidR="008F1494" w:rsidRPr="000F7276">
        <w:rPr>
          <w:sz w:val="24"/>
          <w:szCs w:val="24"/>
        </w:rPr>
        <w:t xml:space="preserve">issued </w:t>
      </w:r>
      <w:r w:rsidR="00CF1DF9" w:rsidRPr="000F7276">
        <w:rPr>
          <w:sz w:val="24"/>
          <w:szCs w:val="24"/>
        </w:rPr>
        <w:t xml:space="preserve">comprehensive </w:t>
      </w:r>
      <w:r w:rsidR="008F1494" w:rsidRPr="000F7276">
        <w:rPr>
          <w:sz w:val="24"/>
          <w:szCs w:val="24"/>
        </w:rPr>
        <w:t>new safeguard systems and policies since 2006</w:t>
      </w:r>
      <w:r w:rsidR="004E6EF9" w:rsidRPr="000F7276">
        <w:rPr>
          <w:sz w:val="24"/>
          <w:szCs w:val="24"/>
        </w:rPr>
        <w:t>, when the Bank issued the most recent of its Operational Policies (Physical Cultural Resources) relating to environmental and</w:t>
      </w:r>
      <w:r w:rsidR="003F7392" w:rsidRPr="000F7276">
        <w:rPr>
          <w:sz w:val="24"/>
          <w:szCs w:val="24"/>
        </w:rPr>
        <w:t xml:space="preserve"> </w:t>
      </w:r>
      <w:r w:rsidR="004E6EF9" w:rsidRPr="000F7276">
        <w:rPr>
          <w:sz w:val="24"/>
          <w:szCs w:val="24"/>
        </w:rPr>
        <w:t>social issues</w:t>
      </w:r>
      <w:r w:rsidR="009F53D6" w:rsidRPr="000F7276">
        <w:rPr>
          <w:sz w:val="24"/>
          <w:szCs w:val="24"/>
        </w:rPr>
        <w:t xml:space="preserve"> (Box</w:t>
      </w:r>
      <w:r w:rsidR="005F7B54" w:rsidRPr="000F7276">
        <w:rPr>
          <w:sz w:val="24"/>
          <w:szCs w:val="24"/>
        </w:rPr>
        <w:t xml:space="preserve"> 1</w:t>
      </w:r>
      <w:r w:rsidR="004A334E" w:rsidRPr="000F7276">
        <w:rPr>
          <w:sz w:val="24"/>
          <w:szCs w:val="24"/>
        </w:rPr>
        <w:t>)</w:t>
      </w:r>
      <w:r w:rsidR="00EF310E" w:rsidRPr="000F7276">
        <w:rPr>
          <w:sz w:val="24"/>
          <w:szCs w:val="24"/>
        </w:rPr>
        <w:t>.</w:t>
      </w:r>
      <w:r w:rsidR="003F7392" w:rsidRPr="000F7276">
        <w:rPr>
          <w:sz w:val="24"/>
          <w:szCs w:val="24"/>
        </w:rPr>
        <w:t xml:space="preserve"> </w:t>
      </w:r>
    </w:p>
    <w:p w14:paraId="1234BDE3" w14:textId="77777777" w:rsidR="00A009E7" w:rsidRDefault="00CF1DF9" w:rsidP="00A009E7">
      <w:pPr>
        <w:spacing w:after="240"/>
        <w:rPr>
          <w:bCs/>
          <w:sz w:val="24"/>
          <w:szCs w:val="24"/>
        </w:rPr>
      </w:pPr>
      <w:r w:rsidRPr="000F7276">
        <w:rPr>
          <w:sz w:val="24"/>
          <w:szCs w:val="24"/>
        </w:rPr>
        <w:t xml:space="preserve">At the same time </w:t>
      </w:r>
      <w:r w:rsidR="003977B0" w:rsidRPr="000F7276">
        <w:rPr>
          <w:sz w:val="24"/>
          <w:szCs w:val="24"/>
        </w:rPr>
        <w:t xml:space="preserve">the </w:t>
      </w:r>
      <w:r w:rsidR="00EF310E" w:rsidRPr="000F7276">
        <w:rPr>
          <w:sz w:val="24"/>
          <w:szCs w:val="24"/>
        </w:rPr>
        <w:t xml:space="preserve">Bank </w:t>
      </w:r>
      <w:r w:rsidR="003977B0" w:rsidRPr="000F7276">
        <w:rPr>
          <w:sz w:val="24"/>
          <w:szCs w:val="24"/>
        </w:rPr>
        <w:t>and its counterpart MDBs (</w:t>
      </w:r>
      <w:r w:rsidRPr="000F7276">
        <w:rPr>
          <w:sz w:val="24"/>
          <w:szCs w:val="24"/>
        </w:rPr>
        <w:t>in particular</w:t>
      </w:r>
      <w:r w:rsidR="0053770B" w:rsidRPr="000F7276">
        <w:rPr>
          <w:sz w:val="24"/>
          <w:szCs w:val="24"/>
        </w:rPr>
        <w:t>,</w:t>
      </w:r>
      <w:r w:rsidR="003977B0" w:rsidRPr="000F7276">
        <w:rPr>
          <w:sz w:val="24"/>
          <w:szCs w:val="24"/>
        </w:rPr>
        <w:t xml:space="preserve"> those serving the public sector</w:t>
      </w:r>
      <w:r w:rsidR="008451BD" w:rsidRPr="000F7276">
        <w:rPr>
          <w:sz w:val="24"/>
          <w:szCs w:val="24"/>
        </w:rPr>
        <w:t>)</w:t>
      </w:r>
      <w:r w:rsidR="003977B0" w:rsidRPr="000F7276">
        <w:rPr>
          <w:sz w:val="24"/>
          <w:szCs w:val="24"/>
        </w:rPr>
        <w:t xml:space="preserve"> have introduced and expanded their use of new lending instruments, in particular, policy and programmatic lending.</w:t>
      </w:r>
      <w:r w:rsidR="003977B0" w:rsidRPr="000F7276">
        <w:rPr>
          <w:rStyle w:val="FootnoteReference"/>
          <w:sz w:val="24"/>
          <w:szCs w:val="24"/>
        </w:rPr>
        <w:footnoteReference w:id="15"/>
      </w:r>
      <w:r w:rsidR="00514EFD" w:rsidRPr="000F7276">
        <w:rPr>
          <w:sz w:val="24"/>
          <w:szCs w:val="24"/>
        </w:rPr>
        <w:t xml:space="preserve"> </w:t>
      </w:r>
    </w:p>
    <w:p w14:paraId="270E5D31" w14:textId="77777777" w:rsidR="00A009E7" w:rsidRDefault="001B4BA8" w:rsidP="00A009E7">
      <w:pPr>
        <w:spacing w:after="240"/>
        <w:rPr>
          <w:sz w:val="24"/>
          <w:szCs w:val="24"/>
        </w:rPr>
      </w:pPr>
      <w:r w:rsidRPr="000F7276">
        <w:rPr>
          <w:sz w:val="24"/>
          <w:szCs w:val="24"/>
        </w:rPr>
        <w:t xml:space="preserve">In </w:t>
      </w:r>
      <w:r w:rsidR="000535D8" w:rsidRPr="000F7276">
        <w:rPr>
          <w:sz w:val="24"/>
          <w:szCs w:val="24"/>
        </w:rPr>
        <w:t xml:space="preserve">the </w:t>
      </w:r>
      <w:r w:rsidR="006C04D0" w:rsidRPr="000F7276">
        <w:rPr>
          <w:sz w:val="24"/>
          <w:szCs w:val="24"/>
        </w:rPr>
        <w:t>course of the Bank’s SRU</w:t>
      </w:r>
      <w:r w:rsidRPr="000F7276">
        <w:rPr>
          <w:sz w:val="24"/>
          <w:szCs w:val="24"/>
        </w:rPr>
        <w:t>, t</w:t>
      </w:r>
      <w:r w:rsidR="00122980" w:rsidRPr="000F7276">
        <w:rPr>
          <w:sz w:val="24"/>
          <w:szCs w:val="24"/>
        </w:rPr>
        <w:t xml:space="preserve">he </w:t>
      </w:r>
      <w:r w:rsidR="00CC63E2" w:rsidRPr="000F7276">
        <w:rPr>
          <w:sz w:val="24"/>
          <w:szCs w:val="24"/>
        </w:rPr>
        <w:t>Bank</w:t>
      </w:r>
      <w:r w:rsidR="00122980" w:rsidRPr="000F7276">
        <w:rPr>
          <w:sz w:val="24"/>
          <w:szCs w:val="24"/>
        </w:rPr>
        <w:t xml:space="preserve"> </w:t>
      </w:r>
      <w:r w:rsidR="00FB7603" w:rsidRPr="000F7276">
        <w:rPr>
          <w:sz w:val="24"/>
          <w:szCs w:val="24"/>
        </w:rPr>
        <w:t xml:space="preserve">and its MDB counterparts have </w:t>
      </w:r>
      <w:r w:rsidRPr="000F7276">
        <w:rPr>
          <w:sz w:val="24"/>
          <w:szCs w:val="24"/>
        </w:rPr>
        <w:t xml:space="preserve">the opportunity to </w:t>
      </w:r>
      <w:r w:rsidR="00122980" w:rsidRPr="000F7276">
        <w:rPr>
          <w:sz w:val="24"/>
          <w:szCs w:val="24"/>
        </w:rPr>
        <w:t>identify</w:t>
      </w:r>
      <w:r w:rsidR="008D0A32" w:rsidRPr="000F7276">
        <w:rPr>
          <w:sz w:val="24"/>
          <w:szCs w:val="24"/>
        </w:rPr>
        <w:t xml:space="preserve"> and learn from </w:t>
      </w:r>
      <w:r w:rsidR="000535D8" w:rsidRPr="000F7276">
        <w:rPr>
          <w:sz w:val="24"/>
          <w:szCs w:val="24"/>
        </w:rPr>
        <w:t>one an</w:t>
      </w:r>
      <w:r w:rsidR="00FB7603" w:rsidRPr="000F7276">
        <w:rPr>
          <w:sz w:val="24"/>
          <w:szCs w:val="24"/>
        </w:rPr>
        <w:t>other</w:t>
      </w:r>
      <w:r w:rsidR="000535D8" w:rsidRPr="000F7276">
        <w:rPr>
          <w:sz w:val="24"/>
          <w:szCs w:val="24"/>
        </w:rPr>
        <w:t>’s</w:t>
      </w:r>
      <w:r w:rsidR="00FB7603" w:rsidRPr="000F7276">
        <w:rPr>
          <w:sz w:val="24"/>
          <w:szCs w:val="24"/>
        </w:rPr>
        <w:t xml:space="preserve"> </w:t>
      </w:r>
      <w:r w:rsidR="00122980" w:rsidRPr="000F7276">
        <w:rPr>
          <w:sz w:val="24"/>
          <w:szCs w:val="24"/>
        </w:rPr>
        <w:t xml:space="preserve">examples of alternative and innovative approaches </w:t>
      </w:r>
      <w:r w:rsidR="006C04D0" w:rsidRPr="000F7276">
        <w:rPr>
          <w:sz w:val="24"/>
          <w:szCs w:val="24"/>
        </w:rPr>
        <w:t>to addressing common environmental and social impacts and risks</w:t>
      </w:r>
      <w:r w:rsidR="000535D8" w:rsidRPr="000F7276">
        <w:rPr>
          <w:sz w:val="24"/>
          <w:szCs w:val="24"/>
        </w:rPr>
        <w:t xml:space="preserve">. </w:t>
      </w:r>
      <w:r w:rsidR="00CF1DF9" w:rsidRPr="000F7276">
        <w:rPr>
          <w:sz w:val="24"/>
          <w:szCs w:val="24"/>
        </w:rPr>
        <w:t>AfDB, in its recently issued Integrated Safeguards System (ISS) took note of the increased compatibility of MDB environmental and social safeguard systems, and cited the 2005 “Common Framework for Environmental Assessment,” issued by the Multilateral Financial Institutions Working Group on the Environment as a milestone in this respect.</w:t>
      </w:r>
      <w:r w:rsidR="00CF1DF9" w:rsidRPr="000F7276">
        <w:rPr>
          <w:rStyle w:val="FootnoteReference"/>
          <w:sz w:val="24"/>
          <w:szCs w:val="24"/>
        </w:rPr>
        <w:footnoteReference w:id="16"/>
      </w:r>
      <w:r w:rsidR="0030214A" w:rsidRPr="000F7276">
        <w:rPr>
          <w:sz w:val="24"/>
          <w:szCs w:val="24"/>
        </w:rPr>
        <w:t xml:space="preserve"> </w:t>
      </w:r>
      <w:r w:rsidR="00AB61D3" w:rsidRPr="000F7276">
        <w:rPr>
          <w:sz w:val="24"/>
          <w:szCs w:val="24"/>
        </w:rPr>
        <w:t xml:space="preserve">In </w:t>
      </w:r>
      <w:r w:rsidR="009D3CBD" w:rsidRPr="000F7276">
        <w:rPr>
          <w:sz w:val="24"/>
          <w:szCs w:val="24"/>
        </w:rPr>
        <w:t xml:space="preserve">this connection </w:t>
      </w:r>
      <w:r w:rsidRPr="000F7276">
        <w:rPr>
          <w:sz w:val="24"/>
          <w:szCs w:val="24"/>
        </w:rPr>
        <w:t xml:space="preserve">the </w:t>
      </w:r>
      <w:r w:rsidR="004860C2" w:rsidRPr="000F7276">
        <w:rPr>
          <w:sz w:val="24"/>
          <w:szCs w:val="24"/>
        </w:rPr>
        <w:t xml:space="preserve">Bank acknowledges the assistance of the MDBs cited in this paper for providing input and reviewing the draft in a timely manner. </w:t>
      </w:r>
      <w:r w:rsidR="00CF1DF9" w:rsidRPr="000F7276">
        <w:rPr>
          <w:sz w:val="24"/>
          <w:szCs w:val="24"/>
        </w:rPr>
        <w:t>However, a</w:t>
      </w:r>
      <w:r w:rsidR="004860C2" w:rsidRPr="000F7276">
        <w:rPr>
          <w:sz w:val="24"/>
          <w:szCs w:val="24"/>
        </w:rPr>
        <w:t xml:space="preserve">ll observations and findings </w:t>
      </w:r>
      <w:r w:rsidR="00CF1DF9" w:rsidRPr="000F7276">
        <w:rPr>
          <w:sz w:val="24"/>
          <w:szCs w:val="24"/>
        </w:rPr>
        <w:t xml:space="preserve">in this paper </w:t>
      </w:r>
      <w:r w:rsidR="004860C2" w:rsidRPr="000F7276">
        <w:rPr>
          <w:sz w:val="24"/>
          <w:szCs w:val="24"/>
        </w:rPr>
        <w:t xml:space="preserve">are the sole responsibility of the </w:t>
      </w:r>
      <w:r w:rsidR="009D3CBD" w:rsidRPr="000F7276">
        <w:rPr>
          <w:sz w:val="24"/>
          <w:szCs w:val="24"/>
        </w:rPr>
        <w:t>authors</w:t>
      </w:r>
      <w:r w:rsidR="00AD2351">
        <w:rPr>
          <w:sz w:val="24"/>
          <w:szCs w:val="24"/>
        </w:rPr>
        <w:t>.</w:t>
      </w:r>
    </w:p>
    <w:p w14:paraId="16559269" w14:textId="77777777" w:rsidR="00A009E7" w:rsidRDefault="00415A0B" w:rsidP="00A009E7">
      <w:pPr>
        <w:spacing w:after="240"/>
        <w:rPr>
          <w:sz w:val="24"/>
          <w:szCs w:val="24"/>
        </w:rPr>
      </w:pPr>
      <w:r w:rsidRPr="000F7276">
        <w:rPr>
          <w:sz w:val="24"/>
          <w:szCs w:val="24"/>
        </w:rPr>
        <w:t>Th</w:t>
      </w:r>
      <w:r w:rsidR="001B4BA8" w:rsidRPr="000F7276">
        <w:rPr>
          <w:sz w:val="24"/>
          <w:szCs w:val="24"/>
        </w:rPr>
        <w:t>e</w:t>
      </w:r>
      <w:r w:rsidRPr="000F7276">
        <w:rPr>
          <w:sz w:val="24"/>
          <w:szCs w:val="24"/>
        </w:rPr>
        <w:t xml:space="preserve"> </w:t>
      </w:r>
      <w:r w:rsidR="001B4BA8" w:rsidRPr="000F7276">
        <w:rPr>
          <w:sz w:val="24"/>
          <w:szCs w:val="24"/>
        </w:rPr>
        <w:t xml:space="preserve">paper is structured </w:t>
      </w:r>
      <w:r w:rsidRPr="000F7276">
        <w:rPr>
          <w:sz w:val="24"/>
          <w:szCs w:val="24"/>
        </w:rPr>
        <w:t xml:space="preserve">as </w:t>
      </w:r>
      <w:r w:rsidR="00111BD0" w:rsidRPr="000F7276">
        <w:rPr>
          <w:sz w:val="24"/>
          <w:szCs w:val="24"/>
        </w:rPr>
        <w:t xml:space="preserve">follows: Section </w:t>
      </w:r>
      <w:r w:rsidR="003743CD" w:rsidRPr="000F7276">
        <w:rPr>
          <w:sz w:val="24"/>
          <w:szCs w:val="24"/>
        </w:rPr>
        <w:t>2</w:t>
      </w:r>
      <w:r w:rsidR="00111BD0" w:rsidRPr="000F7276">
        <w:rPr>
          <w:sz w:val="24"/>
          <w:szCs w:val="24"/>
        </w:rPr>
        <w:t xml:space="preserve">: Methodology; Section </w:t>
      </w:r>
      <w:r w:rsidR="003743CD" w:rsidRPr="000F7276">
        <w:rPr>
          <w:sz w:val="24"/>
          <w:szCs w:val="24"/>
        </w:rPr>
        <w:t>3</w:t>
      </w:r>
      <w:r w:rsidR="00111BD0" w:rsidRPr="000F7276">
        <w:rPr>
          <w:sz w:val="24"/>
          <w:szCs w:val="24"/>
        </w:rPr>
        <w:t xml:space="preserve">: </w:t>
      </w:r>
      <w:r w:rsidR="00942BD2" w:rsidRPr="000F7276">
        <w:rPr>
          <w:sz w:val="24"/>
          <w:szCs w:val="24"/>
        </w:rPr>
        <w:t>Components</w:t>
      </w:r>
      <w:r w:rsidR="00E4048C" w:rsidRPr="000F7276">
        <w:rPr>
          <w:sz w:val="24"/>
          <w:szCs w:val="24"/>
        </w:rPr>
        <w:t xml:space="preserve"> and Architecture of MDB Safeguard Systems</w:t>
      </w:r>
      <w:r w:rsidR="00111BD0" w:rsidRPr="000F7276">
        <w:rPr>
          <w:sz w:val="24"/>
          <w:szCs w:val="24"/>
        </w:rPr>
        <w:t xml:space="preserve">; </w:t>
      </w:r>
      <w:r w:rsidR="00942BD2" w:rsidRPr="000F7276">
        <w:rPr>
          <w:sz w:val="24"/>
          <w:szCs w:val="24"/>
        </w:rPr>
        <w:t xml:space="preserve">Section 4: Scope and Application of MDB Safeguard Systems; </w:t>
      </w:r>
      <w:r w:rsidR="009050BE" w:rsidRPr="000F7276">
        <w:rPr>
          <w:sz w:val="24"/>
          <w:szCs w:val="24"/>
        </w:rPr>
        <w:t xml:space="preserve">Section </w:t>
      </w:r>
      <w:r w:rsidR="00942BD2" w:rsidRPr="000F7276">
        <w:rPr>
          <w:sz w:val="24"/>
          <w:szCs w:val="24"/>
        </w:rPr>
        <w:t>5</w:t>
      </w:r>
      <w:r w:rsidR="000E1A34" w:rsidRPr="000F7276">
        <w:rPr>
          <w:sz w:val="24"/>
          <w:szCs w:val="24"/>
        </w:rPr>
        <w:t xml:space="preserve">: </w:t>
      </w:r>
      <w:r w:rsidR="00111BD0" w:rsidRPr="000F7276">
        <w:rPr>
          <w:sz w:val="24"/>
          <w:szCs w:val="24"/>
        </w:rPr>
        <w:t xml:space="preserve">Thematic </w:t>
      </w:r>
      <w:r w:rsidR="001B4BA8" w:rsidRPr="000F7276">
        <w:rPr>
          <w:sz w:val="24"/>
          <w:szCs w:val="24"/>
        </w:rPr>
        <w:t>C</w:t>
      </w:r>
      <w:r w:rsidR="000E1A34" w:rsidRPr="000F7276">
        <w:rPr>
          <w:sz w:val="24"/>
          <w:szCs w:val="24"/>
        </w:rPr>
        <w:t>overage</w:t>
      </w:r>
      <w:r w:rsidR="00942BD2" w:rsidRPr="000F7276">
        <w:rPr>
          <w:sz w:val="24"/>
          <w:szCs w:val="24"/>
        </w:rPr>
        <w:t>;</w:t>
      </w:r>
      <w:r w:rsidR="009050BE" w:rsidRPr="000F7276">
        <w:rPr>
          <w:sz w:val="24"/>
          <w:szCs w:val="24"/>
        </w:rPr>
        <w:t xml:space="preserve"> </w:t>
      </w:r>
      <w:r w:rsidR="009372A3" w:rsidRPr="000F7276">
        <w:rPr>
          <w:sz w:val="24"/>
          <w:szCs w:val="24"/>
        </w:rPr>
        <w:t>Section 6:</w:t>
      </w:r>
      <w:r w:rsidR="003F7392" w:rsidRPr="000F7276">
        <w:rPr>
          <w:sz w:val="24"/>
          <w:szCs w:val="24"/>
        </w:rPr>
        <w:t xml:space="preserve"> </w:t>
      </w:r>
      <w:r w:rsidR="009372A3" w:rsidRPr="000F7276">
        <w:rPr>
          <w:sz w:val="24"/>
          <w:szCs w:val="24"/>
        </w:rPr>
        <w:t xml:space="preserve">Categorical Exclusion Policies; and </w:t>
      </w:r>
      <w:r w:rsidR="009050BE" w:rsidRPr="000F7276">
        <w:rPr>
          <w:sz w:val="24"/>
          <w:szCs w:val="24"/>
        </w:rPr>
        <w:t xml:space="preserve">Section </w:t>
      </w:r>
      <w:r w:rsidR="009372A3" w:rsidRPr="000F7276">
        <w:rPr>
          <w:sz w:val="24"/>
          <w:szCs w:val="24"/>
        </w:rPr>
        <w:t>7</w:t>
      </w:r>
      <w:r w:rsidR="000E1A34" w:rsidRPr="000F7276">
        <w:rPr>
          <w:sz w:val="24"/>
          <w:szCs w:val="24"/>
        </w:rPr>
        <w:t>:</w:t>
      </w:r>
      <w:r w:rsidR="009050BE" w:rsidRPr="000F7276">
        <w:rPr>
          <w:sz w:val="24"/>
          <w:szCs w:val="24"/>
        </w:rPr>
        <w:t xml:space="preserve"> </w:t>
      </w:r>
      <w:r w:rsidR="00942BD2" w:rsidRPr="000F7276">
        <w:rPr>
          <w:sz w:val="24"/>
          <w:szCs w:val="24"/>
        </w:rPr>
        <w:t>Alternative and Incremental</w:t>
      </w:r>
      <w:r w:rsidR="000E1A34" w:rsidRPr="000F7276">
        <w:rPr>
          <w:sz w:val="24"/>
          <w:szCs w:val="24"/>
        </w:rPr>
        <w:t xml:space="preserve"> </w:t>
      </w:r>
      <w:r w:rsidR="001B4BA8" w:rsidRPr="000F7276">
        <w:rPr>
          <w:sz w:val="24"/>
          <w:szCs w:val="24"/>
        </w:rPr>
        <w:t>O</w:t>
      </w:r>
      <w:r w:rsidR="000E1A34" w:rsidRPr="000F7276">
        <w:rPr>
          <w:sz w:val="24"/>
          <w:szCs w:val="24"/>
        </w:rPr>
        <w:t xml:space="preserve">perational </w:t>
      </w:r>
      <w:r w:rsidR="001B4BA8" w:rsidRPr="000F7276">
        <w:rPr>
          <w:sz w:val="24"/>
          <w:szCs w:val="24"/>
        </w:rPr>
        <w:t>S</w:t>
      </w:r>
      <w:r w:rsidR="000E1A34" w:rsidRPr="000F7276">
        <w:rPr>
          <w:sz w:val="24"/>
          <w:szCs w:val="24"/>
        </w:rPr>
        <w:t xml:space="preserve">afeguard </w:t>
      </w:r>
      <w:r w:rsidR="001B4BA8" w:rsidRPr="000F7276">
        <w:rPr>
          <w:sz w:val="24"/>
          <w:szCs w:val="24"/>
        </w:rPr>
        <w:t>A</w:t>
      </w:r>
      <w:r w:rsidR="000E1A34" w:rsidRPr="000F7276">
        <w:rPr>
          <w:sz w:val="24"/>
          <w:szCs w:val="24"/>
        </w:rPr>
        <w:t>pproaches</w:t>
      </w:r>
      <w:r w:rsidR="00E02DDB" w:rsidRPr="000F7276">
        <w:rPr>
          <w:sz w:val="24"/>
          <w:szCs w:val="24"/>
        </w:rPr>
        <w:t>.</w:t>
      </w:r>
    </w:p>
    <w:p w14:paraId="6185CEE0" w14:textId="6D19EAE7" w:rsidR="006C04D0" w:rsidRPr="000F7276" w:rsidRDefault="00F052F1" w:rsidP="00A009E7">
      <w:pPr>
        <w:pStyle w:val="hhhead1"/>
      </w:pPr>
      <w:bookmarkStart w:id="3" w:name="_Toc419114246"/>
      <w:r w:rsidRPr="000F7276">
        <w:t>Methodology</w:t>
      </w:r>
      <w:bookmarkEnd w:id="3"/>
    </w:p>
    <w:p w14:paraId="0518C5F2" w14:textId="77777777" w:rsidR="00A009E7" w:rsidRDefault="00C04840" w:rsidP="00A009E7">
      <w:pPr>
        <w:spacing w:after="240"/>
        <w:rPr>
          <w:sz w:val="24"/>
          <w:szCs w:val="24"/>
        </w:rPr>
      </w:pPr>
      <w:r w:rsidRPr="000F7276">
        <w:rPr>
          <w:sz w:val="24"/>
          <w:szCs w:val="24"/>
        </w:rPr>
        <w:t>The scope</w:t>
      </w:r>
      <w:r w:rsidR="00960593" w:rsidRPr="000F7276">
        <w:rPr>
          <w:sz w:val="24"/>
          <w:szCs w:val="24"/>
        </w:rPr>
        <w:t xml:space="preserve"> of</w:t>
      </w:r>
      <w:r w:rsidRPr="000F7276">
        <w:rPr>
          <w:sz w:val="24"/>
          <w:szCs w:val="24"/>
        </w:rPr>
        <w:t xml:space="preserve"> this </w:t>
      </w:r>
      <w:r w:rsidR="005E7AF9" w:rsidRPr="000F7276">
        <w:rPr>
          <w:sz w:val="24"/>
          <w:szCs w:val="24"/>
        </w:rPr>
        <w:t>review</w:t>
      </w:r>
      <w:r w:rsidRPr="000F7276">
        <w:rPr>
          <w:sz w:val="24"/>
          <w:szCs w:val="24"/>
        </w:rPr>
        <w:t xml:space="preserve"> is influenced by the observations made by</w:t>
      </w:r>
      <w:r w:rsidR="005E7AF9" w:rsidRPr="000F7276">
        <w:rPr>
          <w:sz w:val="24"/>
          <w:szCs w:val="24"/>
        </w:rPr>
        <w:t xml:space="preserve"> </w:t>
      </w:r>
      <w:r w:rsidR="00AC543E" w:rsidRPr="000F7276">
        <w:rPr>
          <w:sz w:val="24"/>
          <w:szCs w:val="24"/>
        </w:rPr>
        <w:t xml:space="preserve">the </w:t>
      </w:r>
      <w:r w:rsidR="005E7AF9" w:rsidRPr="000F7276">
        <w:rPr>
          <w:sz w:val="24"/>
          <w:szCs w:val="24"/>
        </w:rPr>
        <w:t>Independent Evaluation Group</w:t>
      </w:r>
      <w:r w:rsidRPr="000F7276">
        <w:rPr>
          <w:sz w:val="24"/>
          <w:szCs w:val="24"/>
        </w:rPr>
        <w:t xml:space="preserve"> </w:t>
      </w:r>
      <w:r w:rsidR="00CC63E2" w:rsidRPr="000F7276">
        <w:rPr>
          <w:sz w:val="24"/>
          <w:szCs w:val="24"/>
        </w:rPr>
        <w:t>(IEG, 2010)</w:t>
      </w:r>
      <w:r w:rsidR="0053770B" w:rsidRPr="000F7276">
        <w:rPr>
          <w:sz w:val="24"/>
          <w:szCs w:val="24"/>
        </w:rPr>
        <w:t>,</w:t>
      </w:r>
      <w:r w:rsidR="009372A3" w:rsidRPr="000F7276">
        <w:rPr>
          <w:rStyle w:val="FootnoteReference"/>
          <w:sz w:val="24"/>
          <w:szCs w:val="24"/>
        </w:rPr>
        <w:footnoteReference w:id="17"/>
      </w:r>
      <w:r w:rsidRPr="000F7276">
        <w:rPr>
          <w:sz w:val="24"/>
          <w:szCs w:val="24"/>
        </w:rPr>
        <w:t xml:space="preserve"> as well as other studies recently conducted by external stakeholders</w:t>
      </w:r>
      <w:r w:rsidR="00AC543E" w:rsidRPr="000F7276">
        <w:rPr>
          <w:sz w:val="24"/>
          <w:szCs w:val="24"/>
        </w:rPr>
        <w:t>. Th</w:t>
      </w:r>
      <w:r w:rsidR="00673854" w:rsidRPr="000F7276">
        <w:rPr>
          <w:sz w:val="24"/>
          <w:szCs w:val="24"/>
        </w:rPr>
        <w:t>o</w:t>
      </w:r>
      <w:r w:rsidR="00AC543E" w:rsidRPr="000F7276">
        <w:rPr>
          <w:sz w:val="24"/>
          <w:szCs w:val="24"/>
        </w:rPr>
        <w:t>se studies</w:t>
      </w:r>
      <w:r w:rsidRPr="000F7276">
        <w:rPr>
          <w:sz w:val="24"/>
          <w:szCs w:val="24"/>
        </w:rPr>
        <w:t xml:space="preserve"> rais</w:t>
      </w:r>
      <w:r w:rsidR="00AC543E" w:rsidRPr="000F7276">
        <w:rPr>
          <w:sz w:val="24"/>
          <w:szCs w:val="24"/>
        </w:rPr>
        <w:t>e</w:t>
      </w:r>
      <w:r w:rsidR="00146EFB" w:rsidRPr="000F7276">
        <w:rPr>
          <w:sz w:val="24"/>
          <w:szCs w:val="24"/>
        </w:rPr>
        <w:t xml:space="preserve"> questions</w:t>
      </w:r>
      <w:r w:rsidR="00E960E4" w:rsidRPr="000F7276">
        <w:rPr>
          <w:sz w:val="24"/>
          <w:szCs w:val="24"/>
        </w:rPr>
        <w:t xml:space="preserve"> related</w:t>
      </w:r>
      <w:r w:rsidRPr="000F7276">
        <w:rPr>
          <w:sz w:val="24"/>
          <w:szCs w:val="24"/>
        </w:rPr>
        <w:t xml:space="preserve"> not only </w:t>
      </w:r>
      <w:r w:rsidR="00146EFB" w:rsidRPr="000F7276">
        <w:rPr>
          <w:sz w:val="24"/>
          <w:szCs w:val="24"/>
        </w:rPr>
        <w:t xml:space="preserve">to </w:t>
      </w:r>
      <w:r w:rsidRPr="000F7276">
        <w:rPr>
          <w:sz w:val="24"/>
          <w:szCs w:val="24"/>
        </w:rPr>
        <w:t xml:space="preserve">structure and policy but also </w:t>
      </w:r>
      <w:r w:rsidR="00146EFB" w:rsidRPr="000F7276">
        <w:rPr>
          <w:sz w:val="24"/>
          <w:szCs w:val="24"/>
        </w:rPr>
        <w:t>to</w:t>
      </w:r>
      <w:r w:rsidR="00AC543E" w:rsidRPr="000F7276">
        <w:rPr>
          <w:sz w:val="24"/>
          <w:szCs w:val="24"/>
        </w:rPr>
        <w:t xml:space="preserve"> </w:t>
      </w:r>
      <w:r w:rsidR="00EC5406" w:rsidRPr="000F7276">
        <w:rPr>
          <w:sz w:val="24"/>
          <w:szCs w:val="24"/>
        </w:rPr>
        <w:t xml:space="preserve">the </w:t>
      </w:r>
      <w:r w:rsidRPr="000F7276">
        <w:rPr>
          <w:sz w:val="24"/>
          <w:szCs w:val="24"/>
        </w:rPr>
        <w:t>thematic coverage of environmental and social risks and impacts</w:t>
      </w:r>
      <w:r w:rsidR="00673854" w:rsidRPr="000F7276">
        <w:rPr>
          <w:sz w:val="24"/>
          <w:szCs w:val="24"/>
        </w:rPr>
        <w:t>,</w:t>
      </w:r>
      <w:r w:rsidRPr="000F7276">
        <w:rPr>
          <w:sz w:val="24"/>
          <w:szCs w:val="24"/>
        </w:rPr>
        <w:t xml:space="preserve"> both w</w:t>
      </w:r>
      <w:r w:rsidR="00AC543E" w:rsidRPr="000F7276">
        <w:rPr>
          <w:sz w:val="24"/>
          <w:szCs w:val="24"/>
        </w:rPr>
        <w:t xml:space="preserve">ithin and outside </w:t>
      </w:r>
      <w:r w:rsidR="00AD1D39" w:rsidRPr="000F7276">
        <w:rPr>
          <w:sz w:val="24"/>
          <w:szCs w:val="24"/>
        </w:rPr>
        <w:t>the</w:t>
      </w:r>
      <w:r w:rsidR="00AC543E" w:rsidRPr="000F7276">
        <w:rPr>
          <w:sz w:val="24"/>
          <w:szCs w:val="24"/>
        </w:rPr>
        <w:t xml:space="preserve"> formal</w:t>
      </w:r>
      <w:r w:rsidR="00673854" w:rsidRPr="000F7276">
        <w:rPr>
          <w:sz w:val="24"/>
          <w:szCs w:val="24"/>
        </w:rPr>
        <w:t>ly</w:t>
      </w:r>
      <w:r w:rsidR="00AC543E" w:rsidRPr="000F7276">
        <w:rPr>
          <w:sz w:val="24"/>
          <w:szCs w:val="24"/>
        </w:rPr>
        <w:t xml:space="preserve"> </w:t>
      </w:r>
      <w:r w:rsidRPr="000F7276">
        <w:rPr>
          <w:sz w:val="24"/>
          <w:szCs w:val="24"/>
        </w:rPr>
        <w:t xml:space="preserve">designated “safeguard policies” </w:t>
      </w:r>
      <w:r w:rsidR="00673854" w:rsidRPr="000F7276">
        <w:rPr>
          <w:sz w:val="24"/>
          <w:szCs w:val="24"/>
        </w:rPr>
        <w:t>of the MDBs.</w:t>
      </w:r>
    </w:p>
    <w:p w14:paraId="06702AA0" w14:textId="77777777" w:rsidR="00A009E7" w:rsidRDefault="00C62FEF" w:rsidP="00A009E7">
      <w:pPr>
        <w:spacing w:after="240"/>
        <w:rPr>
          <w:sz w:val="24"/>
          <w:szCs w:val="24"/>
        </w:rPr>
      </w:pPr>
      <w:r w:rsidRPr="000F7276">
        <w:rPr>
          <w:i/>
          <w:sz w:val="24"/>
          <w:szCs w:val="24"/>
        </w:rPr>
        <w:t>Institutional</w:t>
      </w:r>
      <w:r w:rsidR="008878F7" w:rsidRPr="000F7276">
        <w:rPr>
          <w:i/>
          <w:sz w:val="24"/>
          <w:szCs w:val="24"/>
        </w:rPr>
        <w:t xml:space="preserve"> </w:t>
      </w:r>
      <w:r w:rsidRPr="000F7276">
        <w:rPr>
          <w:i/>
          <w:sz w:val="24"/>
          <w:szCs w:val="24"/>
        </w:rPr>
        <w:t>Coverage</w:t>
      </w:r>
      <w:r w:rsidR="00AC543E" w:rsidRPr="000F7276">
        <w:rPr>
          <w:i/>
          <w:sz w:val="24"/>
          <w:szCs w:val="24"/>
        </w:rPr>
        <w:t>.</w:t>
      </w:r>
      <w:r w:rsidRPr="000F7276">
        <w:rPr>
          <w:sz w:val="24"/>
          <w:szCs w:val="24"/>
        </w:rPr>
        <w:t xml:space="preserve"> Th</w:t>
      </w:r>
      <w:r w:rsidR="00673854" w:rsidRPr="000F7276">
        <w:rPr>
          <w:sz w:val="24"/>
          <w:szCs w:val="24"/>
        </w:rPr>
        <w:t>e</w:t>
      </w:r>
      <w:r w:rsidRPr="000F7276">
        <w:rPr>
          <w:sz w:val="24"/>
          <w:szCs w:val="24"/>
        </w:rPr>
        <w:t xml:space="preserve"> </w:t>
      </w:r>
      <w:r w:rsidR="00673854" w:rsidRPr="000F7276">
        <w:rPr>
          <w:sz w:val="24"/>
          <w:szCs w:val="24"/>
        </w:rPr>
        <w:t xml:space="preserve">paper </w:t>
      </w:r>
      <w:r w:rsidRPr="000F7276">
        <w:rPr>
          <w:sz w:val="24"/>
          <w:szCs w:val="24"/>
        </w:rPr>
        <w:t>focus</w:t>
      </w:r>
      <w:r w:rsidR="00AC543E" w:rsidRPr="000F7276">
        <w:rPr>
          <w:sz w:val="24"/>
          <w:szCs w:val="24"/>
        </w:rPr>
        <w:t xml:space="preserve">es </w:t>
      </w:r>
      <w:r w:rsidRPr="000F7276">
        <w:rPr>
          <w:sz w:val="24"/>
          <w:szCs w:val="24"/>
        </w:rPr>
        <w:t>on</w:t>
      </w:r>
      <w:r w:rsidR="006777EB" w:rsidRPr="000F7276">
        <w:rPr>
          <w:sz w:val="24"/>
          <w:szCs w:val="24"/>
        </w:rPr>
        <w:t xml:space="preserve"> ADB, AfDB</w:t>
      </w:r>
      <w:r w:rsidR="00AC543E" w:rsidRPr="000F7276">
        <w:rPr>
          <w:sz w:val="24"/>
          <w:szCs w:val="24"/>
        </w:rPr>
        <w:t xml:space="preserve">, </w:t>
      </w:r>
      <w:r w:rsidR="00673854" w:rsidRPr="000F7276">
        <w:rPr>
          <w:sz w:val="24"/>
          <w:szCs w:val="24"/>
        </w:rPr>
        <w:t>EBRD,</w:t>
      </w:r>
      <w:r w:rsidR="00C815D3" w:rsidRPr="000F7276">
        <w:rPr>
          <w:sz w:val="24"/>
          <w:szCs w:val="24"/>
        </w:rPr>
        <w:t xml:space="preserve"> </w:t>
      </w:r>
      <w:r w:rsidR="008F718F" w:rsidRPr="000F7276">
        <w:rPr>
          <w:sz w:val="24"/>
          <w:szCs w:val="24"/>
        </w:rPr>
        <w:t>EIB,</w:t>
      </w:r>
      <w:r w:rsidR="00673854" w:rsidRPr="000F7276">
        <w:rPr>
          <w:sz w:val="24"/>
          <w:szCs w:val="24"/>
        </w:rPr>
        <w:t xml:space="preserve"> </w:t>
      </w:r>
      <w:r w:rsidR="00AC543E" w:rsidRPr="000F7276">
        <w:rPr>
          <w:sz w:val="24"/>
          <w:szCs w:val="24"/>
        </w:rPr>
        <w:t>IDB</w:t>
      </w:r>
      <w:r w:rsidR="00673854" w:rsidRPr="000F7276">
        <w:rPr>
          <w:sz w:val="24"/>
          <w:szCs w:val="24"/>
        </w:rPr>
        <w:t xml:space="preserve"> and </w:t>
      </w:r>
      <w:r w:rsidR="00AC543E" w:rsidRPr="000F7276">
        <w:rPr>
          <w:sz w:val="24"/>
          <w:szCs w:val="24"/>
        </w:rPr>
        <w:t xml:space="preserve">IFC. </w:t>
      </w:r>
      <w:r w:rsidR="00146EFB" w:rsidRPr="000F7276">
        <w:rPr>
          <w:sz w:val="24"/>
          <w:szCs w:val="24"/>
        </w:rPr>
        <w:t>D</w:t>
      </w:r>
      <w:r w:rsidR="00133585" w:rsidRPr="000F7276">
        <w:rPr>
          <w:sz w:val="24"/>
          <w:szCs w:val="24"/>
        </w:rPr>
        <w:t xml:space="preserve">etailed </w:t>
      </w:r>
      <w:r w:rsidR="007C40A5" w:rsidRPr="000F7276">
        <w:rPr>
          <w:sz w:val="24"/>
          <w:szCs w:val="24"/>
        </w:rPr>
        <w:t xml:space="preserve">review </w:t>
      </w:r>
      <w:r w:rsidR="00740887" w:rsidRPr="000F7276">
        <w:rPr>
          <w:sz w:val="24"/>
          <w:szCs w:val="24"/>
        </w:rPr>
        <w:t xml:space="preserve">of </w:t>
      </w:r>
      <w:r w:rsidR="0076546D" w:rsidRPr="000F7276">
        <w:rPr>
          <w:sz w:val="24"/>
          <w:szCs w:val="24"/>
        </w:rPr>
        <w:t xml:space="preserve">alternative and </w:t>
      </w:r>
      <w:r w:rsidR="007C40A5" w:rsidRPr="000F7276">
        <w:rPr>
          <w:sz w:val="24"/>
          <w:szCs w:val="24"/>
        </w:rPr>
        <w:t>in</w:t>
      </w:r>
      <w:r w:rsidR="00FC6017" w:rsidRPr="000F7276">
        <w:rPr>
          <w:sz w:val="24"/>
          <w:szCs w:val="24"/>
        </w:rPr>
        <w:t>cremental</w:t>
      </w:r>
      <w:r w:rsidR="007C40A5" w:rsidRPr="000F7276">
        <w:rPr>
          <w:sz w:val="24"/>
          <w:szCs w:val="24"/>
        </w:rPr>
        <w:t xml:space="preserve"> operational safeguard requirements </w:t>
      </w:r>
      <w:r w:rsidR="009D3CBD" w:rsidRPr="000F7276">
        <w:rPr>
          <w:sz w:val="24"/>
          <w:szCs w:val="24"/>
        </w:rPr>
        <w:t xml:space="preserve">applied to borrowers </w:t>
      </w:r>
      <w:r w:rsidR="00AC543E" w:rsidRPr="000F7276">
        <w:rPr>
          <w:sz w:val="24"/>
          <w:szCs w:val="24"/>
        </w:rPr>
        <w:t>is</w:t>
      </w:r>
      <w:r w:rsidR="00673854" w:rsidRPr="000F7276">
        <w:rPr>
          <w:sz w:val="24"/>
          <w:szCs w:val="24"/>
        </w:rPr>
        <w:t>,</w:t>
      </w:r>
      <w:r w:rsidR="00AC543E" w:rsidRPr="000F7276">
        <w:rPr>
          <w:sz w:val="24"/>
          <w:szCs w:val="24"/>
        </w:rPr>
        <w:t xml:space="preserve"> </w:t>
      </w:r>
      <w:r w:rsidR="00146EFB" w:rsidRPr="000F7276">
        <w:rPr>
          <w:sz w:val="24"/>
          <w:szCs w:val="24"/>
        </w:rPr>
        <w:t>however</w:t>
      </w:r>
      <w:r w:rsidR="00673854" w:rsidRPr="000F7276">
        <w:rPr>
          <w:sz w:val="24"/>
          <w:szCs w:val="24"/>
        </w:rPr>
        <w:t>,</w:t>
      </w:r>
      <w:r w:rsidR="00146EFB" w:rsidRPr="000F7276">
        <w:rPr>
          <w:sz w:val="24"/>
          <w:szCs w:val="24"/>
        </w:rPr>
        <w:t xml:space="preserve"> </w:t>
      </w:r>
      <w:r w:rsidR="00AC543E" w:rsidRPr="000F7276">
        <w:rPr>
          <w:sz w:val="24"/>
          <w:szCs w:val="24"/>
        </w:rPr>
        <w:t>limited to</w:t>
      </w:r>
      <w:r w:rsidR="00783525" w:rsidRPr="000F7276">
        <w:rPr>
          <w:sz w:val="24"/>
          <w:szCs w:val="24"/>
        </w:rPr>
        <w:t xml:space="preserve"> those MDBs that </w:t>
      </w:r>
      <w:r w:rsidR="009D3CBD" w:rsidRPr="000F7276">
        <w:rPr>
          <w:sz w:val="24"/>
          <w:szCs w:val="24"/>
        </w:rPr>
        <w:t xml:space="preserve">currently </w:t>
      </w:r>
      <w:r w:rsidR="00783525" w:rsidRPr="000F7276">
        <w:rPr>
          <w:sz w:val="24"/>
          <w:szCs w:val="24"/>
        </w:rPr>
        <w:t>provide support</w:t>
      </w:r>
      <w:r w:rsidR="00D1625A" w:rsidRPr="000F7276">
        <w:rPr>
          <w:sz w:val="24"/>
          <w:szCs w:val="24"/>
        </w:rPr>
        <w:t xml:space="preserve"> </w:t>
      </w:r>
      <w:r w:rsidR="009D3CBD" w:rsidRPr="000F7276">
        <w:rPr>
          <w:sz w:val="24"/>
          <w:szCs w:val="24"/>
        </w:rPr>
        <w:t>primarily</w:t>
      </w:r>
      <w:r w:rsidR="00783525" w:rsidRPr="000F7276">
        <w:rPr>
          <w:sz w:val="24"/>
          <w:szCs w:val="24"/>
        </w:rPr>
        <w:t xml:space="preserve"> to public sector entities (i.e.</w:t>
      </w:r>
      <w:r w:rsidR="00673854" w:rsidRPr="000F7276">
        <w:rPr>
          <w:sz w:val="24"/>
          <w:szCs w:val="24"/>
        </w:rPr>
        <w:t>,</w:t>
      </w:r>
      <w:r w:rsidR="00783525" w:rsidRPr="000F7276">
        <w:rPr>
          <w:sz w:val="24"/>
          <w:szCs w:val="24"/>
        </w:rPr>
        <w:t xml:space="preserve"> </w:t>
      </w:r>
      <w:r w:rsidR="00AC543E" w:rsidRPr="000F7276">
        <w:rPr>
          <w:sz w:val="24"/>
          <w:szCs w:val="24"/>
        </w:rPr>
        <w:t>ADB, AfDB</w:t>
      </w:r>
      <w:r w:rsidR="009D3CBD" w:rsidRPr="000F7276">
        <w:rPr>
          <w:sz w:val="24"/>
          <w:szCs w:val="24"/>
        </w:rPr>
        <w:t>, EIB</w:t>
      </w:r>
      <w:r w:rsidR="00AC543E" w:rsidRPr="000F7276">
        <w:rPr>
          <w:sz w:val="24"/>
          <w:szCs w:val="24"/>
        </w:rPr>
        <w:t xml:space="preserve"> and IDB</w:t>
      </w:r>
      <w:r w:rsidR="00783525" w:rsidRPr="000F7276">
        <w:rPr>
          <w:sz w:val="24"/>
          <w:szCs w:val="24"/>
        </w:rPr>
        <w:t>)</w:t>
      </w:r>
      <w:r w:rsidR="007C40A5" w:rsidRPr="000F7276">
        <w:rPr>
          <w:sz w:val="24"/>
          <w:szCs w:val="24"/>
        </w:rPr>
        <w:t>.</w:t>
      </w:r>
      <w:r w:rsidR="002320D7" w:rsidRPr="000F7276">
        <w:rPr>
          <w:sz w:val="24"/>
          <w:szCs w:val="24"/>
        </w:rPr>
        <w:t xml:space="preserve"> </w:t>
      </w:r>
      <w:r w:rsidR="007C40A5" w:rsidRPr="000F7276">
        <w:rPr>
          <w:rFonts w:cs="Calibri"/>
          <w:sz w:val="24"/>
          <w:szCs w:val="24"/>
        </w:rPr>
        <w:t xml:space="preserve">The </w:t>
      </w:r>
      <w:r w:rsidR="007C40A5" w:rsidRPr="000F7276">
        <w:rPr>
          <w:rFonts w:cs="Calibri"/>
          <w:i/>
          <w:sz w:val="24"/>
          <w:szCs w:val="24"/>
        </w:rPr>
        <w:t>substantive scope</w:t>
      </w:r>
      <w:r w:rsidR="007C40A5" w:rsidRPr="000F7276">
        <w:rPr>
          <w:rFonts w:cs="Calibri"/>
          <w:sz w:val="24"/>
          <w:szCs w:val="24"/>
        </w:rPr>
        <w:t xml:space="preserve"> of th</w:t>
      </w:r>
      <w:r w:rsidR="00673854" w:rsidRPr="000F7276">
        <w:rPr>
          <w:rFonts w:cs="Calibri"/>
          <w:sz w:val="24"/>
          <w:szCs w:val="24"/>
        </w:rPr>
        <w:t>e</w:t>
      </w:r>
      <w:r w:rsidR="007C40A5" w:rsidRPr="000F7276">
        <w:rPr>
          <w:rFonts w:cs="Calibri"/>
          <w:sz w:val="24"/>
          <w:szCs w:val="24"/>
        </w:rPr>
        <w:t xml:space="preserve"> detailed</w:t>
      </w:r>
      <w:r w:rsidR="00D1625A" w:rsidRPr="000F7276">
        <w:rPr>
          <w:rFonts w:cs="Calibri"/>
          <w:sz w:val="24"/>
          <w:szCs w:val="24"/>
        </w:rPr>
        <w:t xml:space="preserve"> review is based on the topics covered by the eight existing</w:t>
      </w:r>
      <w:r w:rsidR="007C40A5" w:rsidRPr="000F7276">
        <w:rPr>
          <w:rFonts w:cs="Calibri"/>
          <w:sz w:val="24"/>
          <w:szCs w:val="24"/>
        </w:rPr>
        <w:t xml:space="preserve"> </w:t>
      </w:r>
      <w:r w:rsidR="00F07FD8">
        <w:rPr>
          <w:rFonts w:cs="Calibri"/>
          <w:sz w:val="24"/>
          <w:szCs w:val="24"/>
        </w:rPr>
        <w:t>World Bank OPs</w:t>
      </w:r>
      <w:r w:rsidR="007C40A5" w:rsidRPr="000F7276">
        <w:rPr>
          <w:rFonts w:cs="Calibri"/>
          <w:sz w:val="24"/>
          <w:szCs w:val="24"/>
        </w:rPr>
        <w:t xml:space="preserve"> </w:t>
      </w:r>
      <w:r w:rsidR="00673854" w:rsidRPr="000F7276">
        <w:rPr>
          <w:rFonts w:cs="Calibri"/>
          <w:sz w:val="24"/>
          <w:szCs w:val="24"/>
        </w:rPr>
        <w:t xml:space="preserve">related to safeguards </w:t>
      </w:r>
      <w:r w:rsidR="007C40A5" w:rsidRPr="000F7276">
        <w:rPr>
          <w:sz w:val="24"/>
          <w:szCs w:val="24"/>
        </w:rPr>
        <w:t>(</w:t>
      </w:r>
      <w:r w:rsidR="00673854" w:rsidRPr="000F7276">
        <w:rPr>
          <w:sz w:val="24"/>
          <w:szCs w:val="24"/>
        </w:rPr>
        <w:t>s</w:t>
      </w:r>
      <w:r w:rsidR="007C40A5" w:rsidRPr="000F7276">
        <w:rPr>
          <w:sz w:val="24"/>
          <w:szCs w:val="24"/>
        </w:rPr>
        <w:t xml:space="preserve">ee Section </w:t>
      </w:r>
      <w:r w:rsidR="00ED7A7D" w:rsidRPr="000F7276">
        <w:rPr>
          <w:sz w:val="24"/>
          <w:szCs w:val="24"/>
        </w:rPr>
        <w:t>7</w:t>
      </w:r>
      <w:r w:rsidR="007C40A5" w:rsidRPr="000F7276">
        <w:rPr>
          <w:sz w:val="24"/>
          <w:szCs w:val="24"/>
        </w:rPr>
        <w:t xml:space="preserve"> for more detail).</w:t>
      </w:r>
      <w:r w:rsidR="00F07FD8">
        <w:rPr>
          <w:sz w:val="24"/>
          <w:szCs w:val="24"/>
        </w:rPr>
        <w:t xml:space="preserve"> </w:t>
      </w:r>
      <w:r w:rsidR="007E330A" w:rsidRPr="000F7276">
        <w:rPr>
          <w:sz w:val="24"/>
          <w:szCs w:val="24"/>
        </w:rPr>
        <w:t>All the institutions cited above were consulted and provided detailed comments on earlier drafts of this report.</w:t>
      </w:r>
    </w:p>
    <w:p w14:paraId="198B9766" w14:textId="77777777" w:rsidR="00A009E7" w:rsidRDefault="00740887" w:rsidP="00A009E7">
      <w:pPr>
        <w:spacing w:after="240"/>
        <w:rPr>
          <w:sz w:val="24"/>
          <w:szCs w:val="24"/>
        </w:rPr>
      </w:pPr>
      <w:r w:rsidRPr="000F7276">
        <w:rPr>
          <w:i/>
          <w:sz w:val="24"/>
          <w:szCs w:val="24"/>
        </w:rPr>
        <w:t xml:space="preserve">Safeguard </w:t>
      </w:r>
      <w:r w:rsidR="00ED7A7D" w:rsidRPr="000F7276">
        <w:rPr>
          <w:i/>
          <w:sz w:val="24"/>
          <w:szCs w:val="24"/>
        </w:rPr>
        <w:t>Policies</w:t>
      </w:r>
      <w:r w:rsidRPr="000F7276">
        <w:rPr>
          <w:i/>
          <w:sz w:val="24"/>
          <w:szCs w:val="24"/>
        </w:rPr>
        <w:t>.</w:t>
      </w:r>
      <w:r w:rsidRPr="000F7276">
        <w:rPr>
          <w:sz w:val="24"/>
          <w:szCs w:val="24"/>
        </w:rPr>
        <w:t xml:space="preserve"> In general, </w:t>
      </w:r>
      <w:r w:rsidR="00847C97" w:rsidRPr="000F7276">
        <w:rPr>
          <w:sz w:val="24"/>
          <w:szCs w:val="24"/>
        </w:rPr>
        <w:t>the term “</w:t>
      </w:r>
      <w:r w:rsidRPr="000F7276">
        <w:rPr>
          <w:sz w:val="24"/>
          <w:szCs w:val="24"/>
        </w:rPr>
        <w:t>safeguards</w:t>
      </w:r>
      <w:r w:rsidR="00847C97" w:rsidRPr="000F7276">
        <w:rPr>
          <w:sz w:val="24"/>
          <w:szCs w:val="24"/>
        </w:rPr>
        <w:t xml:space="preserve">” in this </w:t>
      </w:r>
      <w:r w:rsidR="006777EB" w:rsidRPr="000F7276">
        <w:rPr>
          <w:sz w:val="24"/>
          <w:szCs w:val="24"/>
        </w:rPr>
        <w:t>review</w:t>
      </w:r>
      <w:r w:rsidRPr="000F7276">
        <w:rPr>
          <w:sz w:val="24"/>
          <w:szCs w:val="24"/>
        </w:rPr>
        <w:t xml:space="preserve"> </w:t>
      </w:r>
      <w:r w:rsidR="00847C97" w:rsidRPr="000F7276">
        <w:rPr>
          <w:sz w:val="24"/>
          <w:szCs w:val="24"/>
        </w:rPr>
        <w:t>refers</w:t>
      </w:r>
      <w:r w:rsidRPr="000F7276">
        <w:rPr>
          <w:sz w:val="24"/>
          <w:szCs w:val="24"/>
        </w:rPr>
        <w:t xml:space="preserve"> to </w:t>
      </w:r>
      <w:r w:rsidR="00847C97" w:rsidRPr="000F7276">
        <w:rPr>
          <w:sz w:val="24"/>
          <w:szCs w:val="24"/>
        </w:rPr>
        <w:t xml:space="preserve">the </w:t>
      </w:r>
      <w:r w:rsidR="009372A3" w:rsidRPr="000F7276">
        <w:rPr>
          <w:sz w:val="24"/>
          <w:szCs w:val="24"/>
        </w:rPr>
        <w:t>“</w:t>
      </w:r>
      <w:r w:rsidR="00095D0D" w:rsidRPr="000F7276">
        <w:rPr>
          <w:sz w:val="24"/>
          <w:szCs w:val="24"/>
        </w:rPr>
        <w:t>do-no-harm</w:t>
      </w:r>
      <w:r w:rsidR="00ED7A7D" w:rsidRPr="000F7276">
        <w:rPr>
          <w:sz w:val="24"/>
          <w:szCs w:val="24"/>
        </w:rPr>
        <w:t>,</w:t>
      </w:r>
      <w:r w:rsidR="009372A3" w:rsidRPr="000F7276">
        <w:rPr>
          <w:sz w:val="24"/>
          <w:szCs w:val="24"/>
        </w:rPr>
        <w:t>”</w:t>
      </w:r>
      <w:r w:rsidR="00095D0D" w:rsidRPr="000F7276">
        <w:rPr>
          <w:sz w:val="24"/>
          <w:szCs w:val="24"/>
        </w:rPr>
        <w:t xml:space="preserve"> </w:t>
      </w:r>
      <w:r w:rsidR="00ED7A7D" w:rsidRPr="000F7276">
        <w:rPr>
          <w:sz w:val="24"/>
          <w:szCs w:val="24"/>
        </w:rPr>
        <w:t xml:space="preserve">and to a lesser extent, the “do good” </w:t>
      </w:r>
      <w:r w:rsidR="00133585" w:rsidRPr="000F7276">
        <w:rPr>
          <w:sz w:val="24"/>
          <w:szCs w:val="24"/>
        </w:rPr>
        <w:t>requirements that apply to</w:t>
      </w:r>
      <w:r w:rsidR="008167CF" w:rsidRPr="000F7276">
        <w:rPr>
          <w:sz w:val="24"/>
          <w:szCs w:val="24"/>
        </w:rPr>
        <w:t xml:space="preserve"> the </w:t>
      </w:r>
      <w:r w:rsidR="00847C97" w:rsidRPr="000F7276">
        <w:rPr>
          <w:sz w:val="24"/>
          <w:szCs w:val="24"/>
        </w:rPr>
        <w:t xml:space="preserve">operational management of environmental and social impacts and risks in </w:t>
      </w:r>
      <w:r w:rsidR="00847C97" w:rsidRPr="000F7276">
        <w:rPr>
          <w:i/>
          <w:sz w:val="24"/>
          <w:szCs w:val="24"/>
        </w:rPr>
        <w:t>projects</w:t>
      </w:r>
      <w:r w:rsidR="00847C97" w:rsidRPr="000F7276">
        <w:rPr>
          <w:sz w:val="24"/>
          <w:szCs w:val="24"/>
        </w:rPr>
        <w:t xml:space="preserve"> financed by MDBs either directly or indirectly through financial intermediaries (FIs)</w:t>
      </w:r>
      <w:r w:rsidR="008750DC" w:rsidRPr="000F7276">
        <w:rPr>
          <w:sz w:val="24"/>
          <w:szCs w:val="24"/>
        </w:rPr>
        <w:t>.</w:t>
      </w:r>
      <w:r w:rsidR="009B5401" w:rsidRPr="000F7276">
        <w:rPr>
          <w:rStyle w:val="FootnoteReference"/>
          <w:sz w:val="24"/>
          <w:szCs w:val="24"/>
        </w:rPr>
        <w:footnoteReference w:id="18"/>
      </w:r>
      <w:r w:rsidR="003F7392" w:rsidRPr="000F7276">
        <w:rPr>
          <w:sz w:val="24"/>
          <w:szCs w:val="24"/>
        </w:rPr>
        <w:t xml:space="preserve"> </w:t>
      </w:r>
      <w:r w:rsidR="00847C97" w:rsidRPr="000F7276">
        <w:rPr>
          <w:sz w:val="24"/>
          <w:szCs w:val="24"/>
        </w:rPr>
        <w:t>MDBs vary with respect to the</w:t>
      </w:r>
      <w:r w:rsidR="006777EB" w:rsidRPr="000F7276">
        <w:rPr>
          <w:sz w:val="24"/>
          <w:szCs w:val="24"/>
        </w:rPr>
        <w:t xml:space="preserve"> </w:t>
      </w:r>
      <w:r w:rsidR="00847C97" w:rsidRPr="000F7276">
        <w:rPr>
          <w:sz w:val="24"/>
          <w:szCs w:val="24"/>
        </w:rPr>
        <w:t>treatment</w:t>
      </w:r>
      <w:r w:rsidR="006777EB" w:rsidRPr="000F7276">
        <w:rPr>
          <w:sz w:val="24"/>
          <w:szCs w:val="24"/>
        </w:rPr>
        <w:t xml:space="preserve"> </w:t>
      </w:r>
      <w:r w:rsidR="005D76DF" w:rsidRPr="000F7276">
        <w:rPr>
          <w:sz w:val="24"/>
          <w:szCs w:val="24"/>
        </w:rPr>
        <w:t>of</w:t>
      </w:r>
      <w:r w:rsidR="00847C97" w:rsidRPr="000F7276">
        <w:rPr>
          <w:sz w:val="24"/>
          <w:szCs w:val="24"/>
        </w:rPr>
        <w:t xml:space="preserve"> these environmental and social impacts </w:t>
      </w:r>
      <w:r w:rsidR="008167CF" w:rsidRPr="000F7276">
        <w:rPr>
          <w:sz w:val="24"/>
          <w:szCs w:val="24"/>
        </w:rPr>
        <w:t xml:space="preserve">and </w:t>
      </w:r>
      <w:r w:rsidR="006777EB" w:rsidRPr="000F7276">
        <w:rPr>
          <w:sz w:val="24"/>
          <w:szCs w:val="24"/>
        </w:rPr>
        <w:t>risks; i</w:t>
      </w:r>
      <w:r w:rsidR="00847C97" w:rsidRPr="000F7276">
        <w:rPr>
          <w:sz w:val="24"/>
          <w:szCs w:val="24"/>
        </w:rPr>
        <w:t>n some cases</w:t>
      </w:r>
      <w:r w:rsidR="006777EB" w:rsidRPr="000F7276">
        <w:rPr>
          <w:sz w:val="24"/>
          <w:szCs w:val="24"/>
        </w:rPr>
        <w:t>,</w:t>
      </w:r>
      <w:r w:rsidR="00847C97" w:rsidRPr="000F7276">
        <w:rPr>
          <w:sz w:val="24"/>
          <w:szCs w:val="24"/>
        </w:rPr>
        <w:t xml:space="preserve"> these issues are treated as “safeguards” and </w:t>
      </w:r>
      <w:r w:rsidR="008167CF" w:rsidRPr="000F7276">
        <w:rPr>
          <w:sz w:val="24"/>
          <w:szCs w:val="24"/>
        </w:rPr>
        <w:t xml:space="preserve">normally </w:t>
      </w:r>
      <w:r w:rsidR="00847C97" w:rsidRPr="000F7276">
        <w:rPr>
          <w:sz w:val="24"/>
          <w:szCs w:val="24"/>
        </w:rPr>
        <w:t>include operatio</w:t>
      </w:r>
      <w:r w:rsidR="0062169A" w:rsidRPr="000F7276">
        <w:rPr>
          <w:sz w:val="24"/>
          <w:szCs w:val="24"/>
        </w:rPr>
        <w:t xml:space="preserve">nal requirements on the project </w:t>
      </w:r>
      <w:r w:rsidR="00847C97" w:rsidRPr="000F7276">
        <w:rPr>
          <w:sz w:val="24"/>
          <w:szCs w:val="24"/>
        </w:rPr>
        <w:t>level</w:t>
      </w:r>
      <w:r w:rsidR="006777EB" w:rsidRPr="000F7276">
        <w:rPr>
          <w:sz w:val="24"/>
          <w:szCs w:val="24"/>
        </w:rPr>
        <w:t>,</w:t>
      </w:r>
      <w:r w:rsidR="00847C97" w:rsidRPr="000F7276">
        <w:rPr>
          <w:sz w:val="24"/>
          <w:szCs w:val="24"/>
        </w:rPr>
        <w:t xml:space="preserve"> whereas other such issues are subject to more generic treatment </w:t>
      </w:r>
      <w:r w:rsidR="008167CF" w:rsidRPr="000F7276">
        <w:rPr>
          <w:sz w:val="24"/>
          <w:szCs w:val="24"/>
        </w:rPr>
        <w:t xml:space="preserve">as </w:t>
      </w:r>
      <w:r w:rsidR="00095D0D" w:rsidRPr="000F7276">
        <w:rPr>
          <w:sz w:val="24"/>
          <w:szCs w:val="24"/>
        </w:rPr>
        <w:t xml:space="preserve">proactive </w:t>
      </w:r>
      <w:r w:rsidR="00847C97" w:rsidRPr="000F7276">
        <w:rPr>
          <w:sz w:val="24"/>
          <w:szCs w:val="24"/>
        </w:rPr>
        <w:t xml:space="preserve">“policies” and “programs” that may or may not be operationalized at the project level. Such </w:t>
      </w:r>
      <w:r w:rsidR="006777EB" w:rsidRPr="000F7276">
        <w:rPr>
          <w:sz w:val="24"/>
          <w:szCs w:val="24"/>
        </w:rPr>
        <w:t xml:space="preserve">distinctions are </w:t>
      </w:r>
      <w:r w:rsidR="00847C97" w:rsidRPr="000F7276">
        <w:rPr>
          <w:sz w:val="24"/>
          <w:szCs w:val="24"/>
        </w:rPr>
        <w:t xml:space="preserve">clarified in this report </w:t>
      </w:r>
      <w:r w:rsidR="00095D0D" w:rsidRPr="000F7276">
        <w:rPr>
          <w:sz w:val="24"/>
          <w:szCs w:val="24"/>
        </w:rPr>
        <w:t>where appropriate</w:t>
      </w:r>
      <w:r w:rsidR="00146EFB" w:rsidRPr="000F7276">
        <w:rPr>
          <w:sz w:val="24"/>
          <w:szCs w:val="24"/>
        </w:rPr>
        <w:t>.</w:t>
      </w:r>
      <w:r w:rsidR="003F7392" w:rsidRPr="000F7276">
        <w:rPr>
          <w:sz w:val="24"/>
          <w:szCs w:val="24"/>
        </w:rPr>
        <w:t xml:space="preserve"> </w:t>
      </w:r>
      <w:r w:rsidR="00ED7A7D" w:rsidRPr="000F7276">
        <w:rPr>
          <w:sz w:val="24"/>
          <w:szCs w:val="24"/>
        </w:rPr>
        <w:t>Although all</w:t>
      </w:r>
      <w:r w:rsidR="003F7392" w:rsidRPr="000F7276">
        <w:rPr>
          <w:sz w:val="24"/>
          <w:szCs w:val="24"/>
        </w:rPr>
        <w:t xml:space="preserve"> </w:t>
      </w:r>
      <w:r w:rsidR="00ED7A7D" w:rsidRPr="000F7276">
        <w:rPr>
          <w:sz w:val="24"/>
          <w:szCs w:val="24"/>
        </w:rPr>
        <w:t>MDBs have policies on Access to Information as well as Independent Accountability Mechanisms that address safeguard-related issues, neither of these aspects of MDB safeguards fall within the scope of the World Bank’s Approach paper to its S</w:t>
      </w:r>
      <w:r w:rsidR="009D3CBD" w:rsidRPr="000F7276">
        <w:rPr>
          <w:sz w:val="24"/>
          <w:szCs w:val="24"/>
        </w:rPr>
        <w:t>RU</w:t>
      </w:r>
      <w:r w:rsidR="00ED7A7D" w:rsidRPr="000F7276">
        <w:rPr>
          <w:sz w:val="24"/>
          <w:szCs w:val="24"/>
        </w:rPr>
        <w:t>. Accordingly they are not included within the scope of th</w:t>
      </w:r>
      <w:r w:rsidR="00E2339B" w:rsidRPr="000F7276">
        <w:rPr>
          <w:sz w:val="24"/>
          <w:szCs w:val="24"/>
        </w:rPr>
        <w:t xml:space="preserve">is </w:t>
      </w:r>
      <w:r w:rsidR="00ED7A7D" w:rsidRPr="000F7276">
        <w:rPr>
          <w:sz w:val="24"/>
          <w:szCs w:val="24"/>
        </w:rPr>
        <w:t>comparative analysis.</w:t>
      </w:r>
    </w:p>
    <w:p w14:paraId="64F8A959" w14:textId="77777777" w:rsidR="00A009E7" w:rsidRDefault="00064E83" w:rsidP="00A009E7">
      <w:pPr>
        <w:spacing w:after="240"/>
        <w:rPr>
          <w:sz w:val="24"/>
          <w:szCs w:val="24"/>
        </w:rPr>
      </w:pPr>
      <w:r w:rsidRPr="000F7276">
        <w:rPr>
          <w:i/>
          <w:iCs/>
          <w:sz w:val="24"/>
          <w:szCs w:val="24"/>
        </w:rPr>
        <w:t>Data Gathering, Assumptions and Limitations.</w:t>
      </w:r>
      <w:r w:rsidR="00A973D9" w:rsidRPr="000F7276">
        <w:rPr>
          <w:i/>
          <w:iCs/>
          <w:sz w:val="24"/>
          <w:szCs w:val="24"/>
        </w:rPr>
        <w:t xml:space="preserve"> </w:t>
      </w:r>
      <w:r w:rsidR="00E01796" w:rsidRPr="000F7276">
        <w:rPr>
          <w:sz w:val="24"/>
          <w:szCs w:val="24"/>
        </w:rPr>
        <w:t xml:space="preserve">This </w:t>
      </w:r>
      <w:r w:rsidR="00E2339B" w:rsidRPr="000F7276">
        <w:rPr>
          <w:sz w:val="24"/>
          <w:szCs w:val="24"/>
        </w:rPr>
        <w:t>report</w:t>
      </w:r>
      <w:r w:rsidR="00E01796" w:rsidRPr="000F7276">
        <w:rPr>
          <w:sz w:val="24"/>
          <w:szCs w:val="24"/>
        </w:rPr>
        <w:t xml:space="preserve"> uses a</w:t>
      </w:r>
      <w:r w:rsidR="00847C97" w:rsidRPr="000F7276">
        <w:rPr>
          <w:sz w:val="24"/>
          <w:szCs w:val="24"/>
        </w:rPr>
        <w:t xml:space="preserve"> straightforward comparative analytic methodology. </w:t>
      </w:r>
      <w:r w:rsidR="009B5401" w:rsidRPr="000F7276">
        <w:rPr>
          <w:sz w:val="24"/>
          <w:szCs w:val="24"/>
        </w:rPr>
        <w:t xml:space="preserve">Citations </w:t>
      </w:r>
      <w:r w:rsidR="001615E4" w:rsidRPr="000F7276">
        <w:rPr>
          <w:sz w:val="24"/>
          <w:szCs w:val="24"/>
        </w:rPr>
        <w:t>are</w:t>
      </w:r>
      <w:r w:rsidR="00847C97" w:rsidRPr="000F7276">
        <w:rPr>
          <w:sz w:val="24"/>
          <w:szCs w:val="24"/>
        </w:rPr>
        <w:t xml:space="preserve"> limited to </w:t>
      </w:r>
      <w:r w:rsidR="009B5401" w:rsidRPr="000F7276">
        <w:rPr>
          <w:sz w:val="24"/>
          <w:szCs w:val="24"/>
        </w:rPr>
        <w:t>the official</w:t>
      </w:r>
      <w:r w:rsidR="001D35A7" w:rsidRPr="000F7276">
        <w:rPr>
          <w:sz w:val="24"/>
          <w:szCs w:val="24"/>
        </w:rPr>
        <w:t xml:space="preserve"> MDB</w:t>
      </w:r>
      <w:r w:rsidR="00FC6017" w:rsidRPr="000F7276">
        <w:rPr>
          <w:sz w:val="24"/>
          <w:szCs w:val="24"/>
        </w:rPr>
        <w:t xml:space="preserve"> documents </w:t>
      </w:r>
      <w:r w:rsidR="009B5401" w:rsidRPr="000F7276">
        <w:rPr>
          <w:sz w:val="24"/>
          <w:szCs w:val="24"/>
        </w:rPr>
        <w:t xml:space="preserve">and </w:t>
      </w:r>
      <w:r w:rsidR="00E01796" w:rsidRPr="000F7276">
        <w:rPr>
          <w:sz w:val="24"/>
          <w:szCs w:val="24"/>
        </w:rPr>
        <w:t xml:space="preserve">explicit </w:t>
      </w:r>
      <w:r w:rsidR="009B5401" w:rsidRPr="000F7276">
        <w:rPr>
          <w:sz w:val="24"/>
          <w:szCs w:val="24"/>
        </w:rPr>
        <w:t xml:space="preserve">statements that set forth respective approaches </w:t>
      </w:r>
      <w:r w:rsidR="00E01796" w:rsidRPr="000F7276">
        <w:rPr>
          <w:sz w:val="24"/>
          <w:szCs w:val="24"/>
        </w:rPr>
        <w:t>to</w:t>
      </w:r>
      <w:r w:rsidR="00B717D4" w:rsidRPr="000F7276">
        <w:rPr>
          <w:sz w:val="24"/>
          <w:szCs w:val="24"/>
        </w:rPr>
        <w:t xml:space="preserve"> and requirements </w:t>
      </w:r>
      <w:r w:rsidR="003C0D9D" w:rsidRPr="000F7276">
        <w:rPr>
          <w:sz w:val="24"/>
          <w:szCs w:val="24"/>
        </w:rPr>
        <w:t xml:space="preserve">for </w:t>
      </w:r>
      <w:r w:rsidR="00B717D4" w:rsidRPr="000F7276">
        <w:rPr>
          <w:sz w:val="24"/>
          <w:szCs w:val="24"/>
        </w:rPr>
        <w:t>managing</w:t>
      </w:r>
      <w:r w:rsidR="009B5401" w:rsidRPr="000F7276">
        <w:rPr>
          <w:sz w:val="24"/>
          <w:szCs w:val="24"/>
        </w:rPr>
        <w:t xml:space="preserve"> environmental and social impacts and risks. </w:t>
      </w:r>
      <w:r w:rsidR="00E01796" w:rsidRPr="000F7276">
        <w:rPr>
          <w:sz w:val="24"/>
          <w:szCs w:val="24"/>
        </w:rPr>
        <w:t>The analysis does not take into account policy interpretation and implementation practices that are outside the official MDB documents, even when these are well established and known to external parties.</w:t>
      </w:r>
      <w:r w:rsidR="003F7392" w:rsidRPr="000F7276">
        <w:rPr>
          <w:sz w:val="24"/>
          <w:szCs w:val="24"/>
        </w:rPr>
        <w:t xml:space="preserve"> </w:t>
      </w:r>
      <w:r w:rsidR="00DD40F5" w:rsidRPr="000F7276">
        <w:rPr>
          <w:sz w:val="24"/>
          <w:szCs w:val="24"/>
        </w:rPr>
        <w:t>The paper does not seek to make qualitative judgments about the relative advantages and disadvantages of the various approaches. Finally, t</w:t>
      </w:r>
      <w:r w:rsidR="00B717D4" w:rsidRPr="000F7276">
        <w:rPr>
          <w:sz w:val="24"/>
          <w:szCs w:val="24"/>
        </w:rPr>
        <w:t xml:space="preserve">his paper focuses on safeguard systems at the policy level and does not include assessment of implementation effectiveness. </w:t>
      </w:r>
    </w:p>
    <w:p w14:paraId="75AF7865" w14:textId="1B3BECD0" w:rsidR="006C04D0" w:rsidRPr="000F7276" w:rsidRDefault="0080683B" w:rsidP="00A009E7">
      <w:pPr>
        <w:pStyle w:val="hhhead1"/>
      </w:pPr>
      <w:bookmarkStart w:id="4" w:name="_Toc419114247"/>
      <w:r w:rsidRPr="000F7276">
        <w:t xml:space="preserve">Architecture and </w:t>
      </w:r>
      <w:r w:rsidR="00795699" w:rsidRPr="000F7276">
        <w:t>Components</w:t>
      </w:r>
      <w:bookmarkEnd w:id="4"/>
      <w:r w:rsidR="003F7392" w:rsidRPr="000F7276">
        <w:t xml:space="preserve"> </w:t>
      </w:r>
    </w:p>
    <w:p w14:paraId="67AABA98" w14:textId="77777777" w:rsidR="00795699" w:rsidRPr="000F7276" w:rsidRDefault="00795699" w:rsidP="00A009E7">
      <w:pPr>
        <w:pStyle w:val="FootnoteText"/>
        <w:spacing w:after="120"/>
        <w:rPr>
          <w:rFonts w:cs="Calibri"/>
          <w:sz w:val="24"/>
          <w:szCs w:val="24"/>
        </w:rPr>
      </w:pPr>
      <w:r w:rsidRPr="000F7276">
        <w:rPr>
          <w:rFonts w:cs="Calibri"/>
          <w:sz w:val="24"/>
          <w:szCs w:val="24"/>
        </w:rPr>
        <w:t>In general</w:t>
      </w:r>
      <w:r w:rsidR="009E2864" w:rsidRPr="000F7276">
        <w:rPr>
          <w:rFonts w:cs="Calibri"/>
          <w:sz w:val="24"/>
          <w:szCs w:val="24"/>
        </w:rPr>
        <w:t>, the</w:t>
      </w:r>
      <w:r w:rsidRPr="000F7276">
        <w:rPr>
          <w:rFonts w:cs="Calibri"/>
          <w:sz w:val="24"/>
          <w:szCs w:val="24"/>
        </w:rPr>
        <w:t xml:space="preserve"> MDB safeguard systems comprise the following components:</w:t>
      </w:r>
    </w:p>
    <w:p w14:paraId="35BE37EB" w14:textId="77777777" w:rsidR="00A009E7" w:rsidRDefault="00795699" w:rsidP="00A009E7">
      <w:pPr>
        <w:pStyle w:val="ListParagraph"/>
        <w:numPr>
          <w:ilvl w:val="0"/>
          <w:numId w:val="14"/>
        </w:numPr>
        <w:spacing w:after="240"/>
        <w:rPr>
          <w:rFonts w:eastAsia="Times New Roman" w:cs="Times New Roman"/>
          <w:b/>
          <w:sz w:val="24"/>
          <w:szCs w:val="24"/>
        </w:rPr>
      </w:pPr>
      <w:r w:rsidRPr="000F7276">
        <w:rPr>
          <w:rFonts w:eastAsia="Times New Roman" w:cs="Times New Roman"/>
          <w:b/>
          <w:sz w:val="24"/>
          <w:szCs w:val="24"/>
        </w:rPr>
        <w:t>An Over-arching Policy Statement</w:t>
      </w:r>
      <w:r w:rsidRPr="000F7276">
        <w:rPr>
          <w:rFonts w:eastAsia="Times New Roman" w:cs="Times New Roman"/>
          <w:sz w:val="24"/>
          <w:szCs w:val="24"/>
        </w:rPr>
        <w:t xml:space="preserve"> setting forth the key </w:t>
      </w:r>
      <w:r w:rsidR="00BA2F38" w:rsidRPr="000F7276">
        <w:rPr>
          <w:rFonts w:eastAsia="Times New Roman" w:cs="Times New Roman"/>
          <w:sz w:val="24"/>
          <w:szCs w:val="24"/>
        </w:rPr>
        <w:t xml:space="preserve">objectives, </w:t>
      </w:r>
      <w:r w:rsidRPr="000F7276">
        <w:rPr>
          <w:rFonts w:eastAsia="Times New Roman" w:cs="Times New Roman"/>
          <w:sz w:val="24"/>
          <w:szCs w:val="24"/>
        </w:rPr>
        <w:t>policies, principles, scope</w:t>
      </w:r>
      <w:r w:rsidR="0062169A" w:rsidRPr="000F7276">
        <w:rPr>
          <w:rFonts w:eastAsia="Times New Roman" w:cs="Times New Roman"/>
          <w:sz w:val="24"/>
          <w:szCs w:val="24"/>
        </w:rPr>
        <w:t>,</w:t>
      </w:r>
      <w:r w:rsidRPr="000F7276">
        <w:rPr>
          <w:rFonts w:eastAsia="Times New Roman" w:cs="Times New Roman"/>
          <w:sz w:val="24"/>
          <w:szCs w:val="24"/>
        </w:rPr>
        <w:t xml:space="preserve"> hierarchy and organizing framework of the institution</w:t>
      </w:r>
      <w:r w:rsidR="00D272B9" w:rsidRPr="000F7276">
        <w:rPr>
          <w:rFonts w:eastAsia="Times New Roman" w:cs="Times New Roman"/>
          <w:sz w:val="24"/>
          <w:szCs w:val="24"/>
        </w:rPr>
        <w:t>’</w:t>
      </w:r>
      <w:r w:rsidRPr="000F7276">
        <w:rPr>
          <w:rFonts w:eastAsia="Times New Roman" w:cs="Times New Roman"/>
          <w:sz w:val="24"/>
          <w:szCs w:val="24"/>
        </w:rPr>
        <w:t>s approach to potential environmental and social impacts and risks of its activities.</w:t>
      </w:r>
      <w:r w:rsidR="003F7392" w:rsidRPr="000F7276">
        <w:rPr>
          <w:rFonts w:eastAsia="Times New Roman" w:cs="Times New Roman"/>
          <w:sz w:val="24"/>
          <w:szCs w:val="24"/>
        </w:rPr>
        <w:t xml:space="preserve"> </w:t>
      </w:r>
      <w:r w:rsidRPr="000F7276">
        <w:rPr>
          <w:rFonts w:eastAsia="Times New Roman" w:cs="Times New Roman"/>
          <w:sz w:val="24"/>
          <w:szCs w:val="24"/>
        </w:rPr>
        <w:t xml:space="preserve">The Policy Statement </w:t>
      </w:r>
      <w:r w:rsidR="003977B0" w:rsidRPr="000F7276">
        <w:rPr>
          <w:rFonts w:eastAsia="Times New Roman" w:cs="Times New Roman"/>
          <w:sz w:val="24"/>
          <w:szCs w:val="24"/>
        </w:rPr>
        <w:t xml:space="preserve">generally applies to the MDB itself, </w:t>
      </w:r>
      <w:r w:rsidR="009D3CBD" w:rsidRPr="000F7276">
        <w:rPr>
          <w:rFonts w:eastAsia="Times New Roman" w:cs="Times New Roman"/>
          <w:sz w:val="24"/>
          <w:szCs w:val="24"/>
        </w:rPr>
        <w:t>articulating</w:t>
      </w:r>
      <w:r w:rsidR="003977B0" w:rsidRPr="000F7276">
        <w:rPr>
          <w:rFonts w:eastAsia="Times New Roman" w:cs="Times New Roman"/>
          <w:sz w:val="24"/>
          <w:szCs w:val="24"/>
        </w:rPr>
        <w:t xml:space="preserve"> the key principles to which it holds itself accountable.</w:t>
      </w:r>
      <w:r w:rsidR="003F7392" w:rsidRPr="000F7276">
        <w:rPr>
          <w:rFonts w:eastAsia="Times New Roman" w:cs="Times New Roman"/>
          <w:sz w:val="24"/>
          <w:szCs w:val="24"/>
        </w:rPr>
        <w:t xml:space="preserve"> </w:t>
      </w:r>
      <w:r w:rsidR="003977B0" w:rsidRPr="000F7276">
        <w:rPr>
          <w:rFonts w:eastAsia="Times New Roman" w:cs="Times New Roman"/>
          <w:sz w:val="24"/>
          <w:szCs w:val="24"/>
        </w:rPr>
        <w:t xml:space="preserve">The content of the policy statement </w:t>
      </w:r>
      <w:r w:rsidRPr="000F7276">
        <w:rPr>
          <w:rFonts w:eastAsia="Times New Roman" w:cs="Times New Roman"/>
          <w:sz w:val="24"/>
          <w:szCs w:val="24"/>
        </w:rPr>
        <w:t>may be aspirational, mandatory</w:t>
      </w:r>
      <w:r w:rsidR="003977B0" w:rsidRPr="000F7276">
        <w:rPr>
          <w:rFonts w:eastAsia="Times New Roman" w:cs="Times New Roman"/>
          <w:sz w:val="24"/>
          <w:szCs w:val="24"/>
        </w:rPr>
        <w:t xml:space="preserve"> or </w:t>
      </w:r>
      <w:r w:rsidR="001109E3" w:rsidRPr="000F7276">
        <w:rPr>
          <w:rFonts w:eastAsia="Times New Roman" w:cs="Times New Roman"/>
          <w:sz w:val="24"/>
          <w:szCs w:val="24"/>
        </w:rPr>
        <w:t>a combination of the two</w:t>
      </w:r>
      <w:r w:rsidR="003977B0" w:rsidRPr="000F7276">
        <w:rPr>
          <w:rFonts w:eastAsia="Times New Roman" w:cs="Times New Roman"/>
          <w:sz w:val="24"/>
          <w:szCs w:val="24"/>
        </w:rPr>
        <w:t>.</w:t>
      </w:r>
      <w:r w:rsidRPr="000F7276">
        <w:rPr>
          <w:rFonts w:eastAsia="Times New Roman" w:cs="Times New Roman"/>
          <w:sz w:val="24"/>
          <w:szCs w:val="24"/>
        </w:rPr>
        <w:t xml:space="preserve"> </w:t>
      </w:r>
    </w:p>
    <w:p w14:paraId="47FCA5AD" w14:textId="77777777" w:rsidR="00A009E7" w:rsidRDefault="00795699" w:rsidP="00A009E7">
      <w:pPr>
        <w:pStyle w:val="ListParagraph"/>
        <w:numPr>
          <w:ilvl w:val="0"/>
          <w:numId w:val="14"/>
        </w:numPr>
        <w:spacing w:after="240"/>
        <w:rPr>
          <w:rFonts w:eastAsia="Times New Roman" w:cs="Times New Roman"/>
          <w:sz w:val="24"/>
          <w:szCs w:val="24"/>
        </w:rPr>
      </w:pPr>
      <w:r w:rsidRPr="000F7276">
        <w:rPr>
          <w:rFonts w:eastAsia="Times New Roman" w:cs="Times New Roman"/>
          <w:b/>
          <w:sz w:val="24"/>
          <w:szCs w:val="24"/>
        </w:rPr>
        <w:t xml:space="preserve">Operational Requirements </w:t>
      </w:r>
      <w:r w:rsidR="00064E83" w:rsidRPr="000F7276">
        <w:rPr>
          <w:rFonts w:eastAsia="Times New Roman" w:cs="Times New Roman"/>
          <w:bCs/>
          <w:sz w:val="24"/>
          <w:szCs w:val="24"/>
        </w:rPr>
        <w:t>for diverse</w:t>
      </w:r>
      <w:r w:rsidRPr="000F7276">
        <w:rPr>
          <w:rFonts w:eastAsia="Times New Roman" w:cs="Times New Roman"/>
          <w:sz w:val="24"/>
          <w:szCs w:val="24"/>
        </w:rPr>
        <w:t xml:space="preserve"> types of lending operations and circumstances. These are normally mandatory in their application to borrowers and other clients</w:t>
      </w:r>
      <w:r w:rsidR="00755AED" w:rsidRPr="000F7276">
        <w:rPr>
          <w:rFonts w:eastAsia="Times New Roman" w:cs="Times New Roman"/>
          <w:sz w:val="24"/>
          <w:szCs w:val="24"/>
        </w:rPr>
        <w:t>.</w:t>
      </w:r>
      <w:r w:rsidRPr="000F7276">
        <w:rPr>
          <w:rFonts w:eastAsia="Times New Roman" w:cs="Times New Roman"/>
          <w:sz w:val="24"/>
          <w:szCs w:val="24"/>
        </w:rPr>
        <w:t xml:space="preserve"> </w:t>
      </w:r>
    </w:p>
    <w:p w14:paraId="6198B80B" w14:textId="77777777" w:rsidR="00A009E7" w:rsidRDefault="00795699" w:rsidP="00A009E7">
      <w:pPr>
        <w:pStyle w:val="ListParagraph"/>
        <w:numPr>
          <w:ilvl w:val="0"/>
          <w:numId w:val="14"/>
        </w:numPr>
        <w:spacing w:after="240"/>
        <w:rPr>
          <w:rFonts w:asciiTheme="minorHAnsi" w:eastAsia="Times New Roman" w:hAnsiTheme="minorHAnsi" w:cs="Times New Roman"/>
          <w:sz w:val="24"/>
          <w:szCs w:val="24"/>
        </w:rPr>
      </w:pPr>
      <w:r w:rsidRPr="000F7276">
        <w:rPr>
          <w:rFonts w:eastAsia="Times New Roman" w:cs="Times New Roman"/>
          <w:b/>
          <w:sz w:val="24"/>
          <w:szCs w:val="24"/>
        </w:rPr>
        <w:t>Environmental and Social Review Procedures</w:t>
      </w:r>
      <w:r w:rsidRPr="000F7276">
        <w:rPr>
          <w:rFonts w:eastAsia="Times New Roman" w:cs="Times New Roman"/>
          <w:sz w:val="24"/>
          <w:szCs w:val="24"/>
        </w:rPr>
        <w:t xml:space="preserve"> that the MDB follows in conducting its due diligence, through preparation, approval, monitoring and supervision of projects as well as in meeting its documentation and disclosure requirements with </w:t>
      </w:r>
      <w:r w:rsidRPr="000F7276">
        <w:rPr>
          <w:rFonts w:asciiTheme="minorHAnsi" w:eastAsia="Times New Roman" w:hAnsiTheme="minorHAnsi" w:cs="Times New Roman"/>
          <w:sz w:val="24"/>
          <w:szCs w:val="24"/>
        </w:rPr>
        <w:t>respect to environmental and social matters.</w:t>
      </w:r>
      <w:r w:rsidR="003F7392" w:rsidRPr="000F7276">
        <w:rPr>
          <w:rFonts w:asciiTheme="minorHAnsi" w:eastAsia="Times New Roman" w:hAnsiTheme="minorHAnsi" w:cs="Times New Roman"/>
          <w:sz w:val="24"/>
          <w:szCs w:val="24"/>
        </w:rPr>
        <w:t xml:space="preserve"> </w:t>
      </w:r>
      <w:r w:rsidRPr="000F7276">
        <w:rPr>
          <w:rFonts w:asciiTheme="minorHAnsi" w:eastAsia="Times New Roman" w:hAnsiTheme="minorHAnsi" w:cs="Times New Roman"/>
          <w:sz w:val="24"/>
          <w:szCs w:val="24"/>
        </w:rPr>
        <w:t xml:space="preserve">Such procedures are normally mandatory for MDB management and staff. </w:t>
      </w:r>
    </w:p>
    <w:p w14:paraId="44442247" w14:textId="77777777" w:rsidR="00A009E7" w:rsidRDefault="00E4048C" w:rsidP="00A009E7">
      <w:pPr>
        <w:pStyle w:val="ListParagraph"/>
        <w:numPr>
          <w:ilvl w:val="0"/>
          <w:numId w:val="14"/>
        </w:numPr>
        <w:spacing w:after="240"/>
        <w:rPr>
          <w:rFonts w:asciiTheme="minorHAnsi" w:eastAsia="Times New Roman" w:hAnsiTheme="minorHAnsi" w:cs="Times New Roman"/>
          <w:sz w:val="24"/>
          <w:szCs w:val="24"/>
        </w:rPr>
      </w:pPr>
      <w:r w:rsidRPr="000F7276">
        <w:rPr>
          <w:rFonts w:asciiTheme="minorHAnsi" w:eastAsia="Times New Roman" w:hAnsiTheme="minorHAnsi" w:cs="Times New Roman"/>
          <w:b/>
          <w:sz w:val="24"/>
          <w:szCs w:val="24"/>
        </w:rPr>
        <w:t>Access to Information Policies</w:t>
      </w:r>
      <w:r w:rsidR="00795699" w:rsidRPr="000F7276">
        <w:rPr>
          <w:rFonts w:asciiTheme="minorHAnsi" w:eastAsia="Times New Roman" w:hAnsiTheme="minorHAnsi" w:cs="Times New Roman"/>
          <w:sz w:val="24"/>
          <w:szCs w:val="24"/>
        </w:rPr>
        <w:t xml:space="preserve"> that apply broadly to information disclosure and public access to information obtained and generated by the MDB.</w:t>
      </w:r>
      <w:r w:rsidR="003F7392" w:rsidRPr="000F7276">
        <w:rPr>
          <w:rFonts w:asciiTheme="minorHAnsi" w:eastAsia="Times New Roman" w:hAnsiTheme="minorHAnsi" w:cs="Times New Roman"/>
          <w:sz w:val="24"/>
          <w:szCs w:val="24"/>
        </w:rPr>
        <w:t xml:space="preserve"> </w:t>
      </w:r>
      <w:r w:rsidR="00795699" w:rsidRPr="000F7276">
        <w:rPr>
          <w:rFonts w:asciiTheme="minorHAnsi" w:eastAsia="Times New Roman" w:hAnsiTheme="minorHAnsi" w:cs="Times New Roman"/>
          <w:sz w:val="24"/>
          <w:szCs w:val="24"/>
        </w:rPr>
        <w:t>Such policies typically include but are not limited to topics related to environmental and social safeguard</w:t>
      </w:r>
      <w:r w:rsidR="00D272B9" w:rsidRPr="000F7276">
        <w:rPr>
          <w:rFonts w:asciiTheme="minorHAnsi" w:eastAsia="Times New Roman" w:hAnsiTheme="minorHAnsi" w:cs="Times New Roman"/>
          <w:sz w:val="24"/>
          <w:szCs w:val="24"/>
        </w:rPr>
        <w:t>s</w:t>
      </w:r>
      <w:r w:rsidR="008609EF" w:rsidRPr="000F7276">
        <w:rPr>
          <w:rFonts w:asciiTheme="minorHAnsi" w:eastAsia="Times New Roman" w:hAnsiTheme="minorHAnsi" w:cs="Times New Roman"/>
          <w:sz w:val="24"/>
          <w:szCs w:val="24"/>
        </w:rPr>
        <w:t>,</w:t>
      </w:r>
      <w:r w:rsidR="00795699" w:rsidRPr="000F7276">
        <w:rPr>
          <w:rFonts w:asciiTheme="minorHAnsi" w:eastAsia="Times New Roman" w:hAnsiTheme="minorHAnsi" w:cs="Times New Roman"/>
          <w:sz w:val="24"/>
          <w:szCs w:val="24"/>
        </w:rPr>
        <w:t xml:space="preserve"> may be implemented either within or independent of an MDB’s safeguard system </w:t>
      </w:r>
      <w:r w:rsidR="008609EF" w:rsidRPr="000F7276">
        <w:rPr>
          <w:rFonts w:asciiTheme="minorHAnsi" w:eastAsia="Times New Roman" w:hAnsiTheme="minorHAnsi" w:cs="Times New Roman"/>
          <w:sz w:val="24"/>
          <w:szCs w:val="24"/>
        </w:rPr>
        <w:t>and</w:t>
      </w:r>
      <w:r w:rsidR="00795699" w:rsidRPr="000F7276">
        <w:rPr>
          <w:rFonts w:asciiTheme="minorHAnsi" w:eastAsia="Times New Roman" w:hAnsiTheme="minorHAnsi" w:cs="Times New Roman"/>
          <w:sz w:val="24"/>
          <w:szCs w:val="24"/>
        </w:rPr>
        <w:t xml:space="preserve"> </w:t>
      </w:r>
      <w:r w:rsidR="008609EF" w:rsidRPr="000F7276">
        <w:rPr>
          <w:rFonts w:asciiTheme="minorHAnsi" w:eastAsia="Times New Roman" w:hAnsiTheme="minorHAnsi" w:cs="Times New Roman"/>
          <w:sz w:val="24"/>
          <w:szCs w:val="24"/>
        </w:rPr>
        <w:t>are normally mandatory for the institution.</w:t>
      </w:r>
      <w:r w:rsidR="009372A3" w:rsidRPr="000F7276">
        <w:rPr>
          <w:rStyle w:val="FootnoteReference"/>
          <w:rFonts w:asciiTheme="minorHAnsi" w:eastAsia="Times New Roman" w:hAnsiTheme="minorHAnsi" w:cs="Times New Roman"/>
          <w:sz w:val="24"/>
          <w:szCs w:val="24"/>
        </w:rPr>
        <w:footnoteReference w:id="19"/>
      </w:r>
    </w:p>
    <w:p w14:paraId="2D5E855F" w14:textId="3AD97AAD" w:rsidR="00C321F1" w:rsidRPr="000F7276" w:rsidRDefault="00795699" w:rsidP="00A009E7">
      <w:pPr>
        <w:pStyle w:val="ListParagraph"/>
        <w:numPr>
          <w:ilvl w:val="0"/>
          <w:numId w:val="14"/>
        </w:numPr>
        <w:rPr>
          <w:rFonts w:asciiTheme="minorHAnsi" w:eastAsia="Times New Roman" w:hAnsiTheme="minorHAnsi" w:cs="Times New Roman"/>
          <w:sz w:val="24"/>
          <w:szCs w:val="24"/>
        </w:rPr>
      </w:pPr>
      <w:r w:rsidRPr="000F7276">
        <w:rPr>
          <w:rFonts w:asciiTheme="minorHAnsi" w:eastAsia="Times New Roman" w:hAnsiTheme="minorHAnsi" w:cs="Times New Roman"/>
          <w:b/>
          <w:sz w:val="24"/>
          <w:szCs w:val="24"/>
        </w:rPr>
        <w:t>Guidelines, sourcebooks, manuals</w:t>
      </w:r>
      <w:r w:rsidRPr="000F7276">
        <w:rPr>
          <w:rFonts w:asciiTheme="minorHAnsi" w:eastAsia="Times New Roman" w:hAnsiTheme="minorHAnsi" w:cs="Times New Roman"/>
          <w:sz w:val="24"/>
          <w:szCs w:val="24"/>
        </w:rPr>
        <w:t xml:space="preserve"> or other materials designed to inform the implementation of “best practice” for borrowers/clients and for the MDB in carrying </w:t>
      </w:r>
      <w:r w:rsidR="008609EF" w:rsidRPr="000F7276">
        <w:rPr>
          <w:rFonts w:asciiTheme="minorHAnsi" w:eastAsia="Times New Roman" w:hAnsiTheme="minorHAnsi" w:cs="Times New Roman"/>
          <w:sz w:val="24"/>
          <w:szCs w:val="24"/>
        </w:rPr>
        <w:t>out safeguard requirements.</w:t>
      </w:r>
      <w:r w:rsidR="001109E3" w:rsidRPr="000F7276">
        <w:rPr>
          <w:rFonts w:asciiTheme="minorHAnsi" w:eastAsia="Times New Roman" w:hAnsiTheme="minorHAnsi" w:cs="Times New Roman"/>
          <w:sz w:val="24"/>
          <w:szCs w:val="24"/>
        </w:rPr>
        <w:t xml:space="preserve"> Such provisions may be strongly recommended but are not normally mandatory unless designated as such in specific agreements between the MDB and the borrower. </w:t>
      </w:r>
    </w:p>
    <w:p w14:paraId="1E2F5A3E" w14:textId="77777777" w:rsidR="00E2339B" w:rsidRPr="000F7276" w:rsidRDefault="00E2339B" w:rsidP="00A009E7">
      <w:pPr>
        <w:autoSpaceDE/>
        <w:autoSpaceDN/>
        <w:adjustRightInd/>
        <w:rPr>
          <w:rFonts w:asciiTheme="minorHAnsi" w:eastAsia="Times New Roman" w:hAnsiTheme="minorHAnsi" w:cs="Times New Roman"/>
          <w:sz w:val="24"/>
          <w:szCs w:val="24"/>
        </w:rPr>
      </w:pPr>
      <w:r w:rsidRPr="000F7276">
        <w:rPr>
          <w:rFonts w:asciiTheme="minorHAnsi" w:eastAsia="Times New Roman" w:hAnsiTheme="minorHAnsi" w:cs="Times New Roman"/>
          <w:sz w:val="24"/>
          <w:szCs w:val="24"/>
        </w:rPr>
        <w:br w:type="page"/>
      </w:r>
    </w:p>
    <w:p w14:paraId="340AD111" w14:textId="77777777" w:rsidR="00A009E7" w:rsidRDefault="00755AED" w:rsidP="00A009E7">
      <w:pPr>
        <w:spacing w:after="240"/>
        <w:rPr>
          <w:rFonts w:asciiTheme="minorHAnsi" w:eastAsia="Times New Roman" w:hAnsiTheme="minorHAnsi" w:cs="Times New Roman"/>
          <w:sz w:val="24"/>
          <w:szCs w:val="24"/>
        </w:rPr>
      </w:pPr>
      <w:r w:rsidRPr="000F7276">
        <w:rPr>
          <w:rFonts w:asciiTheme="minorHAnsi" w:eastAsia="Times New Roman" w:hAnsiTheme="minorHAnsi" w:cs="Times New Roman"/>
          <w:sz w:val="24"/>
          <w:szCs w:val="24"/>
        </w:rPr>
        <w:t>Table 1</w:t>
      </w:r>
      <w:r w:rsidR="00795699" w:rsidRPr="000F7276">
        <w:rPr>
          <w:rFonts w:asciiTheme="minorHAnsi" w:eastAsia="Times New Roman" w:hAnsiTheme="minorHAnsi" w:cs="Times New Roman"/>
          <w:sz w:val="24"/>
          <w:szCs w:val="24"/>
        </w:rPr>
        <w:t xml:space="preserve"> below identifies these components </w:t>
      </w:r>
      <w:r w:rsidR="00A52F02" w:rsidRPr="000F7276">
        <w:rPr>
          <w:rFonts w:asciiTheme="minorHAnsi" w:eastAsia="Times New Roman" w:hAnsiTheme="minorHAnsi" w:cs="Times New Roman"/>
          <w:sz w:val="24"/>
          <w:szCs w:val="24"/>
        </w:rPr>
        <w:t>for</w:t>
      </w:r>
      <w:r w:rsidR="00795699" w:rsidRPr="000F7276">
        <w:rPr>
          <w:rFonts w:asciiTheme="minorHAnsi" w:eastAsia="Times New Roman" w:hAnsiTheme="minorHAnsi" w:cs="Times New Roman"/>
          <w:sz w:val="24"/>
          <w:szCs w:val="24"/>
        </w:rPr>
        <w:t xml:space="preserve"> </w:t>
      </w:r>
      <w:r w:rsidR="00696CB0">
        <w:rPr>
          <w:rFonts w:asciiTheme="minorHAnsi" w:eastAsia="Times New Roman" w:hAnsiTheme="minorHAnsi" w:cs="Times New Roman"/>
          <w:sz w:val="24"/>
          <w:szCs w:val="24"/>
        </w:rPr>
        <w:t xml:space="preserve">the </w:t>
      </w:r>
      <w:r w:rsidR="00795699" w:rsidRPr="000F7276">
        <w:rPr>
          <w:rFonts w:asciiTheme="minorHAnsi" w:eastAsia="Times New Roman" w:hAnsiTheme="minorHAnsi" w:cs="Times New Roman"/>
          <w:sz w:val="24"/>
          <w:szCs w:val="24"/>
        </w:rPr>
        <w:t>safeguard systems</w:t>
      </w:r>
      <w:r w:rsidR="00696CB0">
        <w:rPr>
          <w:rFonts w:asciiTheme="minorHAnsi" w:eastAsia="Times New Roman" w:hAnsiTheme="minorHAnsi" w:cs="Times New Roman"/>
          <w:sz w:val="24"/>
          <w:szCs w:val="24"/>
        </w:rPr>
        <w:t xml:space="preserve"> of each of the MDBs</w:t>
      </w:r>
      <w:r w:rsidR="00A52F02" w:rsidRPr="000F7276">
        <w:rPr>
          <w:rFonts w:asciiTheme="minorHAnsi" w:eastAsia="Times New Roman" w:hAnsiTheme="minorHAnsi" w:cs="Times New Roman"/>
          <w:sz w:val="24"/>
          <w:szCs w:val="24"/>
        </w:rPr>
        <w:t>.</w:t>
      </w:r>
    </w:p>
    <w:p w14:paraId="57E9AB99" w14:textId="04E3D90F" w:rsidR="006C04D0" w:rsidRPr="000F7276" w:rsidRDefault="00795699" w:rsidP="00A009E7">
      <w:pPr>
        <w:pStyle w:val="Header"/>
        <w:keepNext/>
        <w:keepLines/>
        <w:jc w:val="center"/>
        <w:rPr>
          <w:b/>
        </w:rPr>
      </w:pPr>
      <w:r w:rsidRPr="000F7276">
        <w:rPr>
          <w:b/>
        </w:rPr>
        <w:t>Table</w:t>
      </w:r>
      <w:r w:rsidR="00A221A3" w:rsidRPr="000F7276">
        <w:rPr>
          <w:b/>
        </w:rPr>
        <w:t xml:space="preserve"> </w:t>
      </w:r>
      <w:r w:rsidRPr="000F7276">
        <w:rPr>
          <w:b/>
        </w:rPr>
        <w:t>1</w:t>
      </w:r>
      <w:r w:rsidR="008609EF" w:rsidRPr="000F7276">
        <w:rPr>
          <w:b/>
        </w:rPr>
        <w:t>.</w:t>
      </w:r>
      <w:r w:rsidR="003F7392" w:rsidRPr="000F7276">
        <w:rPr>
          <w:b/>
        </w:rPr>
        <w:t xml:space="preserve"> </w:t>
      </w:r>
      <w:r w:rsidRPr="000F7276">
        <w:rPr>
          <w:b/>
        </w:rPr>
        <w:t>Components of MDB Safeguard Systems</w:t>
      </w:r>
    </w:p>
    <w:tbl>
      <w:tblPr>
        <w:tblW w:w="982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96"/>
        <w:gridCol w:w="1565"/>
        <w:gridCol w:w="1734"/>
        <w:gridCol w:w="1658"/>
        <w:gridCol w:w="1586"/>
        <w:gridCol w:w="1789"/>
      </w:tblGrid>
      <w:tr w:rsidR="00DA61A2" w:rsidRPr="000F7276" w14:paraId="27A87AD7" w14:textId="77777777" w:rsidTr="00FF731A">
        <w:trPr>
          <w:cantSplit/>
          <w:tblHeader/>
          <w:jc w:val="center"/>
        </w:trPr>
        <w:tc>
          <w:tcPr>
            <w:tcW w:w="1496" w:type="dxa"/>
            <w:tcBorders>
              <w:bottom w:val="single" w:sz="8" w:space="0" w:color="4F81BD"/>
            </w:tcBorders>
            <w:shd w:val="clear" w:color="auto" w:fill="B8CCE4"/>
          </w:tcPr>
          <w:p w14:paraId="3A68FEB3" w14:textId="77777777" w:rsidR="00795699" w:rsidRPr="000F7276" w:rsidRDefault="00FF731A" w:rsidP="00A009E7">
            <w:pPr>
              <w:pStyle w:val="Header"/>
            </w:pPr>
            <w:r w:rsidRPr="000F7276">
              <w:t xml:space="preserve">   </w:t>
            </w:r>
          </w:p>
        </w:tc>
        <w:tc>
          <w:tcPr>
            <w:tcW w:w="1565" w:type="dxa"/>
            <w:shd w:val="clear" w:color="auto" w:fill="B8CCE4"/>
          </w:tcPr>
          <w:p w14:paraId="68FFE501" w14:textId="77777777" w:rsidR="00795699" w:rsidRPr="000F7276" w:rsidRDefault="00795699" w:rsidP="00A009E7">
            <w:pPr>
              <w:pStyle w:val="Header"/>
              <w:rPr>
                <w:b/>
                <w:sz w:val="20"/>
                <w:szCs w:val="20"/>
              </w:rPr>
            </w:pPr>
            <w:r w:rsidRPr="000F7276">
              <w:rPr>
                <w:rFonts w:eastAsia="Times New Roman" w:cs="Times New Roman"/>
                <w:b/>
                <w:sz w:val="20"/>
                <w:szCs w:val="20"/>
              </w:rPr>
              <w:t>Over-arching Policy Statement</w:t>
            </w:r>
          </w:p>
        </w:tc>
        <w:tc>
          <w:tcPr>
            <w:tcW w:w="1734" w:type="dxa"/>
            <w:shd w:val="clear" w:color="auto" w:fill="B8CCE4"/>
          </w:tcPr>
          <w:p w14:paraId="3C01383F" w14:textId="77777777" w:rsidR="00795699" w:rsidRPr="000F7276" w:rsidRDefault="00795699" w:rsidP="00A009E7">
            <w:pPr>
              <w:pStyle w:val="Header"/>
              <w:rPr>
                <w:sz w:val="20"/>
                <w:szCs w:val="20"/>
              </w:rPr>
            </w:pPr>
            <w:r w:rsidRPr="000F7276">
              <w:rPr>
                <w:rFonts w:eastAsia="Times New Roman" w:cs="Times New Roman"/>
                <w:b/>
                <w:sz w:val="20"/>
                <w:szCs w:val="20"/>
              </w:rPr>
              <w:t>Operational Requirements for Borrowers</w:t>
            </w:r>
            <w:r w:rsidR="00947CF6" w:rsidRPr="000F7276">
              <w:rPr>
                <w:rFonts w:eastAsia="Times New Roman" w:cs="Times New Roman"/>
                <w:b/>
                <w:sz w:val="20"/>
                <w:szCs w:val="20"/>
              </w:rPr>
              <w:t>/Clients</w:t>
            </w:r>
          </w:p>
        </w:tc>
        <w:tc>
          <w:tcPr>
            <w:tcW w:w="1658" w:type="dxa"/>
            <w:shd w:val="clear" w:color="auto" w:fill="B8CCE4"/>
          </w:tcPr>
          <w:p w14:paraId="15D79D69" w14:textId="77777777" w:rsidR="00795699" w:rsidRPr="000F7276" w:rsidRDefault="00795699" w:rsidP="00A009E7">
            <w:pPr>
              <w:pStyle w:val="Header"/>
              <w:rPr>
                <w:sz w:val="20"/>
                <w:szCs w:val="20"/>
              </w:rPr>
            </w:pPr>
            <w:r w:rsidRPr="000F7276">
              <w:rPr>
                <w:rFonts w:eastAsia="Times New Roman" w:cs="Times New Roman"/>
                <w:b/>
                <w:sz w:val="20"/>
                <w:szCs w:val="20"/>
              </w:rPr>
              <w:t>Environmental and Social Review Procedures</w:t>
            </w:r>
          </w:p>
        </w:tc>
        <w:tc>
          <w:tcPr>
            <w:tcW w:w="1586" w:type="dxa"/>
            <w:shd w:val="clear" w:color="auto" w:fill="B8CCE4"/>
          </w:tcPr>
          <w:p w14:paraId="0BBE746E" w14:textId="77777777" w:rsidR="00795699" w:rsidRPr="000F7276" w:rsidRDefault="00795699" w:rsidP="00A009E7">
            <w:pPr>
              <w:pStyle w:val="Header"/>
              <w:rPr>
                <w:rFonts w:eastAsia="Times New Roman" w:cs="Times New Roman"/>
                <w:b/>
                <w:sz w:val="20"/>
                <w:szCs w:val="20"/>
              </w:rPr>
            </w:pPr>
            <w:r w:rsidRPr="000F7276">
              <w:rPr>
                <w:rFonts w:eastAsia="Times New Roman" w:cs="Times New Roman"/>
                <w:b/>
                <w:sz w:val="20"/>
                <w:szCs w:val="20"/>
              </w:rPr>
              <w:t>Access to Information Policy</w:t>
            </w:r>
          </w:p>
        </w:tc>
        <w:tc>
          <w:tcPr>
            <w:tcW w:w="1789" w:type="dxa"/>
            <w:shd w:val="clear" w:color="auto" w:fill="B8CCE4"/>
          </w:tcPr>
          <w:p w14:paraId="248544AE" w14:textId="77777777" w:rsidR="008609EF" w:rsidRPr="000F7276" w:rsidRDefault="00795699" w:rsidP="00A009E7">
            <w:pPr>
              <w:pStyle w:val="Header"/>
              <w:rPr>
                <w:rFonts w:eastAsia="Times New Roman" w:cs="Times New Roman"/>
                <w:b/>
                <w:sz w:val="20"/>
                <w:szCs w:val="20"/>
              </w:rPr>
            </w:pPr>
            <w:r w:rsidRPr="000F7276">
              <w:rPr>
                <w:rFonts w:eastAsia="Times New Roman" w:cs="Times New Roman"/>
                <w:b/>
                <w:sz w:val="20"/>
                <w:szCs w:val="20"/>
              </w:rPr>
              <w:t xml:space="preserve">Guidelines, </w:t>
            </w:r>
            <w:r w:rsidR="003C0D9D" w:rsidRPr="000F7276">
              <w:rPr>
                <w:rFonts w:eastAsia="Times New Roman" w:cs="Times New Roman"/>
                <w:b/>
                <w:sz w:val="20"/>
                <w:szCs w:val="20"/>
              </w:rPr>
              <w:t>S</w:t>
            </w:r>
            <w:r w:rsidRPr="000F7276">
              <w:rPr>
                <w:rFonts w:eastAsia="Times New Roman" w:cs="Times New Roman"/>
                <w:b/>
                <w:sz w:val="20"/>
                <w:szCs w:val="20"/>
              </w:rPr>
              <w:t xml:space="preserve">ourcebooks, </w:t>
            </w:r>
            <w:r w:rsidR="003C0D9D" w:rsidRPr="000F7276">
              <w:rPr>
                <w:rFonts w:eastAsia="Times New Roman" w:cs="Times New Roman"/>
                <w:b/>
                <w:sz w:val="20"/>
                <w:szCs w:val="20"/>
              </w:rPr>
              <w:t>M</w:t>
            </w:r>
            <w:r w:rsidRPr="000F7276">
              <w:rPr>
                <w:rFonts w:eastAsia="Times New Roman" w:cs="Times New Roman"/>
                <w:b/>
                <w:sz w:val="20"/>
                <w:szCs w:val="20"/>
              </w:rPr>
              <w:t>anuals for “</w:t>
            </w:r>
            <w:r w:rsidR="003C0D9D" w:rsidRPr="000F7276">
              <w:rPr>
                <w:rFonts w:eastAsia="Times New Roman" w:cs="Times New Roman"/>
                <w:b/>
                <w:sz w:val="20"/>
                <w:szCs w:val="20"/>
              </w:rPr>
              <w:t>G</w:t>
            </w:r>
            <w:r w:rsidRPr="000F7276">
              <w:rPr>
                <w:rFonts w:eastAsia="Times New Roman" w:cs="Times New Roman"/>
                <w:b/>
                <w:sz w:val="20"/>
                <w:szCs w:val="20"/>
              </w:rPr>
              <w:t xml:space="preserve">ood </w:t>
            </w:r>
            <w:r w:rsidR="003C0D9D" w:rsidRPr="000F7276">
              <w:rPr>
                <w:rFonts w:eastAsia="Times New Roman" w:cs="Times New Roman"/>
                <w:b/>
                <w:sz w:val="20"/>
                <w:szCs w:val="20"/>
              </w:rPr>
              <w:t>P</w:t>
            </w:r>
            <w:r w:rsidRPr="000F7276">
              <w:rPr>
                <w:rFonts w:eastAsia="Times New Roman" w:cs="Times New Roman"/>
                <w:b/>
                <w:sz w:val="20"/>
                <w:szCs w:val="20"/>
              </w:rPr>
              <w:t>ractice”</w:t>
            </w:r>
            <w:r w:rsidR="002E12EC" w:rsidRPr="000F7276">
              <w:rPr>
                <w:rFonts w:eastAsia="Times New Roman" w:cs="Times New Roman"/>
                <w:b/>
                <w:sz w:val="20"/>
                <w:szCs w:val="20"/>
              </w:rPr>
              <w:t xml:space="preserve"> </w:t>
            </w:r>
            <w:r w:rsidR="00064E83" w:rsidRPr="000F7276">
              <w:rPr>
                <w:sz w:val="18"/>
                <w:szCs w:val="20"/>
              </w:rPr>
              <w:t>(selected examples)</w:t>
            </w:r>
          </w:p>
        </w:tc>
      </w:tr>
      <w:tr w:rsidR="00DA61A2" w:rsidRPr="000F7276" w14:paraId="2E711894" w14:textId="77777777" w:rsidTr="00FF731A">
        <w:trPr>
          <w:cantSplit/>
          <w:jc w:val="center"/>
        </w:trPr>
        <w:tc>
          <w:tcPr>
            <w:tcW w:w="1496" w:type="dxa"/>
            <w:tcBorders>
              <w:bottom w:val="single" w:sz="8" w:space="0" w:color="4F81BD"/>
            </w:tcBorders>
            <w:shd w:val="clear" w:color="auto" w:fill="DBE5F1"/>
            <w:vAlign w:val="center"/>
          </w:tcPr>
          <w:p w14:paraId="057D435B" w14:textId="77777777" w:rsidR="00795699" w:rsidRPr="000F7276" w:rsidRDefault="00755AED" w:rsidP="00A009E7">
            <w:pPr>
              <w:pStyle w:val="Header"/>
              <w:rPr>
                <w:b/>
              </w:rPr>
            </w:pPr>
            <w:r w:rsidRPr="000F7276">
              <w:rPr>
                <w:b/>
              </w:rPr>
              <w:t>AfDB (</w:t>
            </w:r>
            <w:r w:rsidR="00795699" w:rsidRPr="000F7276">
              <w:rPr>
                <w:b/>
              </w:rPr>
              <w:t>2013</w:t>
            </w:r>
            <w:r w:rsidRPr="000F7276">
              <w:rPr>
                <w:b/>
              </w:rPr>
              <w:t>)</w:t>
            </w:r>
          </w:p>
        </w:tc>
        <w:tc>
          <w:tcPr>
            <w:tcW w:w="1565" w:type="dxa"/>
            <w:shd w:val="clear" w:color="auto" w:fill="auto"/>
          </w:tcPr>
          <w:p w14:paraId="318DA4D8" w14:textId="77777777" w:rsidR="00795699" w:rsidRPr="000F7276" w:rsidRDefault="00795699" w:rsidP="00A009E7">
            <w:pPr>
              <w:pStyle w:val="Header"/>
              <w:rPr>
                <w:sz w:val="20"/>
                <w:szCs w:val="20"/>
              </w:rPr>
            </w:pPr>
            <w:r w:rsidRPr="000F7276">
              <w:rPr>
                <w:sz w:val="20"/>
                <w:szCs w:val="20"/>
              </w:rPr>
              <w:t>Integrated Safeguard Policy Statement</w:t>
            </w:r>
          </w:p>
          <w:p w14:paraId="21F9C172" w14:textId="77777777" w:rsidR="00795699" w:rsidRPr="000F7276" w:rsidRDefault="00795699" w:rsidP="00A009E7">
            <w:pPr>
              <w:pStyle w:val="Header"/>
              <w:rPr>
                <w:sz w:val="20"/>
                <w:szCs w:val="20"/>
              </w:rPr>
            </w:pPr>
          </w:p>
        </w:tc>
        <w:tc>
          <w:tcPr>
            <w:tcW w:w="1734" w:type="dxa"/>
            <w:shd w:val="clear" w:color="auto" w:fill="auto"/>
          </w:tcPr>
          <w:p w14:paraId="057EF721" w14:textId="77777777" w:rsidR="00795699" w:rsidRPr="000F7276" w:rsidRDefault="00795699" w:rsidP="00A009E7">
            <w:pPr>
              <w:pStyle w:val="Header"/>
              <w:rPr>
                <w:sz w:val="20"/>
                <w:szCs w:val="20"/>
              </w:rPr>
            </w:pPr>
            <w:r w:rsidRPr="000F7276">
              <w:rPr>
                <w:sz w:val="20"/>
                <w:szCs w:val="20"/>
              </w:rPr>
              <w:t>Operational Safeguards</w:t>
            </w:r>
          </w:p>
        </w:tc>
        <w:tc>
          <w:tcPr>
            <w:tcW w:w="1658" w:type="dxa"/>
            <w:shd w:val="clear" w:color="auto" w:fill="auto"/>
          </w:tcPr>
          <w:p w14:paraId="72DB4FC1" w14:textId="77777777" w:rsidR="00795699" w:rsidRPr="000F7276" w:rsidRDefault="00795699" w:rsidP="00A009E7">
            <w:pPr>
              <w:pStyle w:val="Header"/>
              <w:rPr>
                <w:sz w:val="20"/>
                <w:szCs w:val="20"/>
              </w:rPr>
            </w:pPr>
            <w:r w:rsidRPr="000F7276">
              <w:rPr>
                <w:sz w:val="20"/>
                <w:szCs w:val="20"/>
              </w:rPr>
              <w:t>Environmental and Social Assessment Procedures (under revision)</w:t>
            </w:r>
          </w:p>
        </w:tc>
        <w:tc>
          <w:tcPr>
            <w:tcW w:w="1586" w:type="dxa"/>
            <w:shd w:val="clear" w:color="auto" w:fill="auto"/>
          </w:tcPr>
          <w:p w14:paraId="628F83BD" w14:textId="77777777" w:rsidR="00795699" w:rsidRPr="000F7276" w:rsidRDefault="00795699" w:rsidP="00A009E7">
            <w:pPr>
              <w:pStyle w:val="Header"/>
              <w:rPr>
                <w:sz w:val="20"/>
                <w:szCs w:val="20"/>
              </w:rPr>
            </w:pPr>
            <w:r w:rsidRPr="000F7276">
              <w:rPr>
                <w:sz w:val="20"/>
                <w:szCs w:val="20"/>
              </w:rPr>
              <w:t xml:space="preserve">Disclosure and Access to Information Policy (2013) </w:t>
            </w:r>
          </w:p>
        </w:tc>
        <w:tc>
          <w:tcPr>
            <w:tcW w:w="1789" w:type="dxa"/>
            <w:shd w:val="clear" w:color="auto" w:fill="auto"/>
          </w:tcPr>
          <w:p w14:paraId="36BDE7C4" w14:textId="77777777" w:rsidR="00795699" w:rsidRPr="000F7276" w:rsidRDefault="00795699" w:rsidP="00A009E7">
            <w:pPr>
              <w:pStyle w:val="Header"/>
              <w:rPr>
                <w:sz w:val="20"/>
                <w:szCs w:val="20"/>
              </w:rPr>
            </w:pPr>
            <w:r w:rsidRPr="000F7276">
              <w:rPr>
                <w:sz w:val="20"/>
                <w:szCs w:val="20"/>
              </w:rPr>
              <w:t>Guidance Notes (proposed)</w:t>
            </w:r>
          </w:p>
        </w:tc>
      </w:tr>
      <w:tr w:rsidR="00DA61A2" w:rsidRPr="000F7276" w14:paraId="66E96046" w14:textId="77777777" w:rsidTr="00FF731A">
        <w:trPr>
          <w:cantSplit/>
          <w:jc w:val="center"/>
        </w:trPr>
        <w:tc>
          <w:tcPr>
            <w:tcW w:w="1496" w:type="dxa"/>
            <w:shd w:val="clear" w:color="auto" w:fill="DBE5F1"/>
            <w:vAlign w:val="center"/>
          </w:tcPr>
          <w:p w14:paraId="43C8BF74" w14:textId="77777777" w:rsidR="00795699" w:rsidRPr="000F7276" w:rsidRDefault="00755AED" w:rsidP="00A009E7">
            <w:pPr>
              <w:pStyle w:val="Header"/>
              <w:rPr>
                <w:b/>
              </w:rPr>
            </w:pPr>
            <w:r w:rsidRPr="000F7276">
              <w:rPr>
                <w:b/>
              </w:rPr>
              <w:t>ADB (</w:t>
            </w:r>
            <w:r w:rsidR="00795699" w:rsidRPr="000F7276">
              <w:rPr>
                <w:b/>
              </w:rPr>
              <w:t>2009</w:t>
            </w:r>
            <w:r w:rsidRPr="000F7276">
              <w:rPr>
                <w:b/>
              </w:rPr>
              <w:t>)</w:t>
            </w:r>
          </w:p>
        </w:tc>
        <w:tc>
          <w:tcPr>
            <w:tcW w:w="1565" w:type="dxa"/>
            <w:shd w:val="clear" w:color="auto" w:fill="auto"/>
          </w:tcPr>
          <w:p w14:paraId="0765AF3E" w14:textId="77777777" w:rsidR="00795699" w:rsidRPr="000F7276" w:rsidRDefault="00795699" w:rsidP="00A009E7">
            <w:pPr>
              <w:pStyle w:val="Header"/>
              <w:rPr>
                <w:sz w:val="20"/>
                <w:szCs w:val="20"/>
              </w:rPr>
            </w:pPr>
            <w:r w:rsidRPr="000F7276">
              <w:rPr>
                <w:sz w:val="20"/>
                <w:szCs w:val="20"/>
              </w:rPr>
              <w:t>Safeguard Policy Statement</w:t>
            </w:r>
          </w:p>
        </w:tc>
        <w:tc>
          <w:tcPr>
            <w:tcW w:w="1734" w:type="dxa"/>
            <w:shd w:val="clear" w:color="auto" w:fill="auto"/>
          </w:tcPr>
          <w:p w14:paraId="630098CA" w14:textId="77777777" w:rsidR="00795699" w:rsidRPr="000F7276" w:rsidRDefault="00795699" w:rsidP="00A009E7">
            <w:pPr>
              <w:pStyle w:val="Header"/>
              <w:rPr>
                <w:sz w:val="20"/>
                <w:szCs w:val="20"/>
              </w:rPr>
            </w:pPr>
            <w:r w:rsidRPr="000F7276">
              <w:rPr>
                <w:sz w:val="20"/>
                <w:szCs w:val="20"/>
              </w:rPr>
              <w:t>Safeguard Requirements</w:t>
            </w:r>
          </w:p>
          <w:p w14:paraId="28F27139" w14:textId="77777777" w:rsidR="00795699" w:rsidRPr="000F7276" w:rsidRDefault="00795699" w:rsidP="00A009E7">
            <w:pPr>
              <w:pStyle w:val="Header"/>
              <w:rPr>
                <w:sz w:val="20"/>
                <w:szCs w:val="20"/>
              </w:rPr>
            </w:pPr>
          </w:p>
        </w:tc>
        <w:tc>
          <w:tcPr>
            <w:tcW w:w="1658" w:type="dxa"/>
            <w:shd w:val="clear" w:color="auto" w:fill="auto"/>
          </w:tcPr>
          <w:p w14:paraId="77EE6A80" w14:textId="77777777" w:rsidR="00795699" w:rsidRPr="000F7276" w:rsidRDefault="00795699" w:rsidP="00A009E7">
            <w:pPr>
              <w:pStyle w:val="Header"/>
              <w:rPr>
                <w:sz w:val="20"/>
                <w:szCs w:val="20"/>
              </w:rPr>
            </w:pPr>
            <w:r w:rsidRPr="000F7276">
              <w:rPr>
                <w:sz w:val="20"/>
                <w:szCs w:val="20"/>
              </w:rPr>
              <w:t xml:space="preserve">Operations Manual: Internal </w:t>
            </w:r>
            <w:r w:rsidR="005B7F72" w:rsidRPr="000F7276">
              <w:rPr>
                <w:sz w:val="20"/>
                <w:szCs w:val="20"/>
              </w:rPr>
              <w:t>S</w:t>
            </w:r>
            <w:r w:rsidRPr="000F7276">
              <w:rPr>
                <w:sz w:val="20"/>
                <w:szCs w:val="20"/>
              </w:rPr>
              <w:t>afeguard Review Procedures</w:t>
            </w:r>
            <w:r w:rsidR="003F7392" w:rsidRPr="000F7276">
              <w:rPr>
                <w:sz w:val="20"/>
                <w:szCs w:val="20"/>
              </w:rPr>
              <w:t xml:space="preserve"> </w:t>
            </w:r>
          </w:p>
        </w:tc>
        <w:tc>
          <w:tcPr>
            <w:tcW w:w="1586" w:type="dxa"/>
            <w:shd w:val="clear" w:color="auto" w:fill="auto"/>
          </w:tcPr>
          <w:p w14:paraId="1078A5B1" w14:textId="77777777" w:rsidR="00795699" w:rsidRPr="000F7276" w:rsidRDefault="00795699" w:rsidP="00A009E7">
            <w:pPr>
              <w:pStyle w:val="Header"/>
              <w:rPr>
                <w:sz w:val="20"/>
                <w:szCs w:val="20"/>
              </w:rPr>
            </w:pPr>
            <w:r w:rsidRPr="000F7276">
              <w:rPr>
                <w:sz w:val="20"/>
                <w:szCs w:val="20"/>
              </w:rPr>
              <w:t>Public Communications Policy</w:t>
            </w:r>
            <w:r w:rsidR="003F7392" w:rsidRPr="000F7276">
              <w:rPr>
                <w:sz w:val="20"/>
                <w:szCs w:val="20"/>
              </w:rPr>
              <w:t xml:space="preserve"> </w:t>
            </w:r>
            <w:r w:rsidRPr="000F7276">
              <w:rPr>
                <w:sz w:val="20"/>
                <w:szCs w:val="20"/>
              </w:rPr>
              <w:t xml:space="preserve">(2011) </w:t>
            </w:r>
          </w:p>
        </w:tc>
        <w:tc>
          <w:tcPr>
            <w:tcW w:w="1789" w:type="dxa"/>
            <w:shd w:val="clear" w:color="auto" w:fill="auto"/>
          </w:tcPr>
          <w:p w14:paraId="7F792E12" w14:textId="77777777" w:rsidR="00795699" w:rsidRPr="000F7276" w:rsidRDefault="00795699" w:rsidP="00A009E7">
            <w:pPr>
              <w:pStyle w:val="Header"/>
              <w:rPr>
                <w:sz w:val="20"/>
                <w:szCs w:val="20"/>
              </w:rPr>
            </w:pPr>
            <w:r w:rsidRPr="000F7276">
              <w:rPr>
                <w:sz w:val="20"/>
                <w:szCs w:val="20"/>
              </w:rPr>
              <w:t>Sourcebook Materials</w:t>
            </w:r>
          </w:p>
        </w:tc>
      </w:tr>
      <w:tr w:rsidR="00DA61A2" w:rsidRPr="000F7276" w14:paraId="46A848A6" w14:textId="77777777" w:rsidTr="00FF731A">
        <w:trPr>
          <w:jc w:val="center"/>
        </w:trPr>
        <w:tc>
          <w:tcPr>
            <w:tcW w:w="1496" w:type="dxa"/>
            <w:shd w:val="clear" w:color="auto" w:fill="DBE5F1"/>
            <w:vAlign w:val="center"/>
          </w:tcPr>
          <w:p w14:paraId="221F4176" w14:textId="2CB54854" w:rsidR="00795699" w:rsidRPr="000F7276" w:rsidRDefault="00755AED" w:rsidP="00A009E7">
            <w:pPr>
              <w:pStyle w:val="Header"/>
              <w:rPr>
                <w:b/>
              </w:rPr>
            </w:pPr>
            <w:r w:rsidRPr="000F7276">
              <w:rPr>
                <w:b/>
              </w:rPr>
              <w:t>EBRD (</w:t>
            </w:r>
            <w:r w:rsidR="00795699" w:rsidRPr="000F7276">
              <w:rPr>
                <w:b/>
              </w:rPr>
              <w:t>20</w:t>
            </w:r>
            <w:r w:rsidR="00584E3F" w:rsidRPr="000F7276">
              <w:rPr>
                <w:b/>
              </w:rPr>
              <w:t>1</w:t>
            </w:r>
            <w:r w:rsidR="007856BB" w:rsidRPr="000F7276">
              <w:rPr>
                <w:b/>
              </w:rPr>
              <w:t>4</w:t>
            </w:r>
            <w:r w:rsidR="003C0D9D" w:rsidRPr="000F7276">
              <w:rPr>
                <w:b/>
              </w:rPr>
              <w:t>)</w:t>
            </w:r>
            <w:r w:rsidR="007856BB" w:rsidRPr="000F7276">
              <w:rPr>
                <w:b/>
              </w:rPr>
              <w:t xml:space="preserve">; </w:t>
            </w:r>
            <w:r w:rsidR="00696CB0">
              <w:rPr>
                <w:b/>
              </w:rPr>
              <w:t xml:space="preserve">in </w:t>
            </w:r>
            <w:r w:rsidR="007856BB" w:rsidRPr="000F7276">
              <w:rPr>
                <w:b/>
              </w:rPr>
              <w:t xml:space="preserve">force </w:t>
            </w:r>
            <w:r w:rsidR="00696CB0">
              <w:rPr>
                <w:b/>
              </w:rPr>
              <w:t xml:space="preserve">as of </w:t>
            </w:r>
            <w:r w:rsidR="007856BB" w:rsidRPr="000F7276">
              <w:rPr>
                <w:b/>
              </w:rPr>
              <w:t>7 November 2014</w:t>
            </w:r>
            <w:r w:rsidRPr="000F7276">
              <w:rPr>
                <w:b/>
              </w:rPr>
              <w:t>)</w:t>
            </w:r>
          </w:p>
        </w:tc>
        <w:tc>
          <w:tcPr>
            <w:tcW w:w="1565" w:type="dxa"/>
            <w:shd w:val="clear" w:color="auto" w:fill="auto"/>
          </w:tcPr>
          <w:p w14:paraId="241F1227" w14:textId="77777777" w:rsidR="00795699" w:rsidRPr="000F7276" w:rsidRDefault="00795699" w:rsidP="00A009E7">
            <w:pPr>
              <w:pStyle w:val="Header"/>
              <w:rPr>
                <w:sz w:val="20"/>
                <w:szCs w:val="20"/>
              </w:rPr>
            </w:pPr>
            <w:r w:rsidRPr="000F7276">
              <w:rPr>
                <w:sz w:val="20"/>
                <w:szCs w:val="20"/>
              </w:rPr>
              <w:t>Environmental and Social Policy</w:t>
            </w:r>
          </w:p>
        </w:tc>
        <w:tc>
          <w:tcPr>
            <w:tcW w:w="1734" w:type="dxa"/>
            <w:shd w:val="clear" w:color="auto" w:fill="auto"/>
          </w:tcPr>
          <w:p w14:paraId="5708242E" w14:textId="77777777" w:rsidR="00795699" w:rsidRPr="000F7276" w:rsidRDefault="00795699" w:rsidP="00A009E7">
            <w:pPr>
              <w:pStyle w:val="Header"/>
              <w:rPr>
                <w:sz w:val="20"/>
                <w:szCs w:val="20"/>
              </w:rPr>
            </w:pPr>
            <w:r w:rsidRPr="000F7276">
              <w:rPr>
                <w:sz w:val="20"/>
                <w:szCs w:val="20"/>
              </w:rPr>
              <w:t>Performance Requirements</w:t>
            </w:r>
          </w:p>
          <w:p w14:paraId="6E60D386" w14:textId="77777777" w:rsidR="00947CF6" w:rsidRPr="000F7276" w:rsidRDefault="00947CF6" w:rsidP="00A009E7">
            <w:pPr>
              <w:pStyle w:val="Header"/>
              <w:rPr>
                <w:sz w:val="20"/>
                <w:szCs w:val="20"/>
              </w:rPr>
            </w:pPr>
          </w:p>
        </w:tc>
        <w:tc>
          <w:tcPr>
            <w:tcW w:w="1658" w:type="dxa"/>
            <w:shd w:val="clear" w:color="auto" w:fill="auto"/>
          </w:tcPr>
          <w:p w14:paraId="139F9B37" w14:textId="77777777" w:rsidR="00795699" w:rsidRPr="000F7276" w:rsidRDefault="00795699" w:rsidP="00A009E7">
            <w:pPr>
              <w:pStyle w:val="Header"/>
              <w:rPr>
                <w:sz w:val="20"/>
                <w:szCs w:val="20"/>
              </w:rPr>
            </w:pPr>
            <w:r w:rsidRPr="000F7276">
              <w:rPr>
                <w:sz w:val="20"/>
                <w:szCs w:val="20"/>
              </w:rPr>
              <w:t xml:space="preserve">Environmental and Social Procedures </w:t>
            </w:r>
            <w:r w:rsidR="007856BB" w:rsidRPr="000F7276">
              <w:rPr>
                <w:sz w:val="20"/>
                <w:szCs w:val="20"/>
              </w:rPr>
              <w:t>(pending update)</w:t>
            </w:r>
          </w:p>
        </w:tc>
        <w:tc>
          <w:tcPr>
            <w:tcW w:w="1586" w:type="dxa"/>
            <w:shd w:val="clear" w:color="auto" w:fill="auto"/>
          </w:tcPr>
          <w:p w14:paraId="6D12573B" w14:textId="698748C0" w:rsidR="00795699" w:rsidRPr="000F7276" w:rsidRDefault="00795699" w:rsidP="00A009E7">
            <w:pPr>
              <w:pStyle w:val="Header"/>
              <w:rPr>
                <w:sz w:val="20"/>
                <w:szCs w:val="20"/>
              </w:rPr>
            </w:pPr>
            <w:r w:rsidRPr="000F7276">
              <w:rPr>
                <w:sz w:val="20"/>
                <w:szCs w:val="20"/>
              </w:rPr>
              <w:t>Public Information Policy (</w:t>
            </w:r>
            <w:r w:rsidR="007856BB" w:rsidRPr="000F7276">
              <w:rPr>
                <w:sz w:val="20"/>
                <w:szCs w:val="20"/>
              </w:rPr>
              <w:t xml:space="preserve">2014: </w:t>
            </w:r>
            <w:r w:rsidR="00696CB0">
              <w:rPr>
                <w:sz w:val="20"/>
                <w:szCs w:val="20"/>
              </w:rPr>
              <w:t xml:space="preserve">in </w:t>
            </w:r>
            <w:r w:rsidR="007856BB" w:rsidRPr="000F7276">
              <w:rPr>
                <w:sz w:val="20"/>
                <w:szCs w:val="20"/>
              </w:rPr>
              <w:t xml:space="preserve">force </w:t>
            </w:r>
            <w:r w:rsidR="00696CB0">
              <w:rPr>
                <w:sz w:val="20"/>
                <w:szCs w:val="20"/>
              </w:rPr>
              <w:t xml:space="preserve">as of </w:t>
            </w:r>
            <w:r w:rsidR="007856BB" w:rsidRPr="000F7276">
              <w:rPr>
                <w:sz w:val="20"/>
                <w:szCs w:val="20"/>
              </w:rPr>
              <w:t xml:space="preserve">7 November </w:t>
            </w:r>
            <w:r w:rsidRPr="000F7276">
              <w:rPr>
                <w:sz w:val="20"/>
                <w:szCs w:val="20"/>
              </w:rPr>
              <w:t>201</w:t>
            </w:r>
            <w:r w:rsidR="007856BB" w:rsidRPr="000F7276">
              <w:rPr>
                <w:sz w:val="20"/>
                <w:szCs w:val="20"/>
              </w:rPr>
              <w:t>4</w:t>
            </w:r>
            <w:r w:rsidRPr="000F7276">
              <w:rPr>
                <w:sz w:val="20"/>
                <w:szCs w:val="20"/>
              </w:rPr>
              <w:t>)</w:t>
            </w:r>
          </w:p>
        </w:tc>
        <w:tc>
          <w:tcPr>
            <w:tcW w:w="1789" w:type="dxa"/>
            <w:shd w:val="clear" w:color="auto" w:fill="auto"/>
          </w:tcPr>
          <w:p w14:paraId="73A972DC" w14:textId="77777777" w:rsidR="00795699" w:rsidRPr="000F7276" w:rsidRDefault="00795699" w:rsidP="00A009E7">
            <w:pPr>
              <w:pStyle w:val="Header"/>
              <w:rPr>
                <w:sz w:val="20"/>
                <w:szCs w:val="20"/>
              </w:rPr>
            </w:pPr>
            <w:r w:rsidRPr="000F7276">
              <w:rPr>
                <w:sz w:val="20"/>
                <w:szCs w:val="20"/>
              </w:rPr>
              <w:t xml:space="preserve">Guidance for Clients </w:t>
            </w:r>
          </w:p>
        </w:tc>
      </w:tr>
      <w:tr w:rsidR="00DA61A2" w:rsidRPr="000F7276" w14:paraId="17CC0B57" w14:textId="77777777" w:rsidTr="00FF731A">
        <w:trPr>
          <w:cantSplit/>
          <w:jc w:val="center"/>
        </w:trPr>
        <w:tc>
          <w:tcPr>
            <w:tcW w:w="1496" w:type="dxa"/>
            <w:shd w:val="clear" w:color="auto" w:fill="DBE5F1"/>
            <w:vAlign w:val="center"/>
          </w:tcPr>
          <w:p w14:paraId="40F7E358" w14:textId="77777777" w:rsidR="008F718F" w:rsidRPr="000F7276" w:rsidRDefault="008F718F" w:rsidP="00A009E7">
            <w:pPr>
              <w:pStyle w:val="Header"/>
              <w:rPr>
                <w:b/>
              </w:rPr>
            </w:pPr>
            <w:r w:rsidRPr="000F7276">
              <w:rPr>
                <w:b/>
              </w:rPr>
              <w:t>EIB (20</w:t>
            </w:r>
            <w:r w:rsidR="008878F7" w:rsidRPr="000F7276">
              <w:rPr>
                <w:b/>
              </w:rPr>
              <w:t>13</w:t>
            </w:r>
            <w:r w:rsidRPr="000F7276">
              <w:rPr>
                <w:b/>
              </w:rPr>
              <w:t>)</w:t>
            </w:r>
          </w:p>
        </w:tc>
        <w:tc>
          <w:tcPr>
            <w:tcW w:w="1565" w:type="dxa"/>
            <w:shd w:val="clear" w:color="auto" w:fill="auto"/>
          </w:tcPr>
          <w:p w14:paraId="00D9750C" w14:textId="77777777" w:rsidR="008F718F" w:rsidRPr="000F7276" w:rsidRDefault="008F718F" w:rsidP="00A009E7">
            <w:pPr>
              <w:pStyle w:val="Header"/>
              <w:rPr>
                <w:sz w:val="20"/>
                <w:szCs w:val="20"/>
              </w:rPr>
            </w:pPr>
            <w:r w:rsidRPr="000F7276">
              <w:rPr>
                <w:sz w:val="20"/>
                <w:szCs w:val="20"/>
              </w:rPr>
              <w:t>Statement of Environmental and Social Principles and Standards</w:t>
            </w:r>
            <w:r w:rsidR="008878F7" w:rsidRPr="000F7276">
              <w:rPr>
                <w:sz w:val="20"/>
                <w:szCs w:val="20"/>
              </w:rPr>
              <w:t xml:space="preserve"> (2009)</w:t>
            </w:r>
          </w:p>
        </w:tc>
        <w:tc>
          <w:tcPr>
            <w:tcW w:w="1734" w:type="dxa"/>
            <w:shd w:val="clear" w:color="auto" w:fill="auto"/>
          </w:tcPr>
          <w:p w14:paraId="316C0B2D" w14:textId="77777777" w:rsidR="008F718F" w:rsidRPr="000F7276" w:rsidRDefault="008F718F" w:rsidP="00A009E7">
            <w:pPr>
              <w:pStyle w:val="Header"/>
              <w:rPr>
                <w:sz w:val="20"/>
                <w:szCs w:val="20"/>
              </w:rPr>
            </w:pPr>
            <w:r w:rsidRPr="000F7276">
              <w:rPr>
                <w:sz w:val="20"/>
                <w:szCs w:val="20"/>
              </w:rPr>
              <w:t xml:space="preserve">Environmental and Social </w:t>
            </w:r>
            <w:r w:rsidR="008878F7" w:rsidRPr="000F7276">
              <w:rPr>
                <w:sz w:val="20"/>
                <w:szCs w:val="20"/>
              </w:rPr>
              <w:t>Handbook</w:t>
            </w:r>
            <w:r w:rsidRPr="000F7276">
              <w:rPr>
                <w:sz w:val="20"/>
                <w:szCs w:val="20"/>
              </w:rPr>
              <w:t xml:space="preserve"> (2013)</w:t>
            </w:r>
          </w:p>
        </w:tc>
        <w:tc>
          <w:tcPr>
            <w:tcW w:w="1658" w:type="dxa"/>
            <w:shd w:val="clear" w:color="auto" w:fill="auto"/>
          </w:tcPr>
          <w:p w14:paraId="18F59192" w14:textId="77777777" w:rsidR="008F718F" w:rsidRPr="000F7276" w:rsidRDefault="008F718F" w:rsidP="00A009E7">
            <w:pPr>
              <w:pStyle w:val="Header"/>
              <w:rPr>
                <w:sz w:val="20"/>
                <w:szCs w:val="20"/>
              </w:rPr>
            </w:pPr>
            <w:r w:rsidRPr="000F7276">
              <w:rPr>
                <w:sz w:val="20"/>
                <w:szCs w:val="20"/>
              </w:rPr>
              <w:t>Environmental and Social Practices and Procedures (2013)</w:t>
            </w:r>
          </w:p>
        </w:tc>
        <w:tc>
          <w:tcPr>
            <w:tcW w:w="1586" w:type="dxa"/>
            <w:shd w:val="clear" w:color="auto" w:fill="auto"/>
          </w:tcPr>
          <w:p w14:paraId="1FDE5350" w14:textId="77777777" w:rsidR="008F718F" w:rsidRPr="000F7276" w:rsidRDefault="008F718F" w:rsidP="00A009E7">
            <w:pPr>
              <w:pStyle w:val="Header"/>
              <w:rPr>
                <w:sz w:val="20"/>
                <w:szCs w:val="20"/>
              </w:rPr>
            </w:pPr>
            <w:r w:rsidRPr="000F7276">
              <w:rPr>
                <w:sz w:val="20"/>
                <w:szCs w:val="20"/>
              </w:rPr>
              <w:t>Transparency Policy (2011)</w:t>
            </w:r>
          </w:p>
        </w:tc>
        <w:tc>
          <w:tcPr>
            <w:tcW w:w="1789" w:type="dxa"/>
            <w:shd w:val="clear" w:color="auto" w:fill="auto"/>
          </w:tcPr>
          <w:p w14:paraId="3583AE8C" w14:textId="1EBC69AC" w:rsidR="008F718F" w:rsidRPr="000F7276" w:rsidRDefault="00553D8B" w:rsidP="00A009E7">
            <w:pPr>
              <w:pStyle w:val="Header"/>
              <w:rPr>
                <w:sz w:val="20"/>
                <w:szCs w:val="20"/>
              </w:rPr>
            </w:pPr>
            <w:r w:rsidRPr="000F7276">
              <w:rPr>
                <w:sz w:val="20"/>
                <w:szCs w:val="20"/>
              </w:rPr>
              <w:t>Sourcebook on Environmental Law</w:t>
            </w:r>
            <w:r w:rsidR="00696CB0">
              <w:rPr>
                <w:sz w:val="20"/>
                <w:szCs w:val="20"/>
              </w:rPr>
              <w:t>;</w:t>
            </w:r>
            <w:r w:rsidRPr="000F7276">
              <w:rPr>
                <w:sz w:val="20"/>
                <w:szCs w:val="20"/>
              </w:rPr>
              <w:t xml:space="preserve"> </w:t>
            </w:r>
            <w:r w:rsidR="008F718F" w:rsidRPr="000F7276">
              <w:rPr>
                <w:sz w:val="20"/>
                <w:szCs w:val="20"/>
              </w:rPr>
              <w:t>Guidance Notes (Work in Progress)</w:t>
            </w:r>
          </w:p>
        </w:tc>
      </w:tr>
      <w:tr w:rsidR="00DA61A2" w:rsidRPr="000F7276" w14:paraId="7496F959" w14:textId="77777777" w:rsidTr="00FF731A">
        <w:trPr>
          <w:cantSplit/>
          <w:jc w:val="center"/>
        </w:trPr>
        <w:tc>
          <w:tcPr>
            <w:tcW w:w="1496" w:type="dxa"/>
            <w:shd w:val="clear" w:color="auto" w:fill="DBE5F1"/>
            <w:vAlign w:val="center"/>
          </w:tcPr>
          <w:p w14:paraId="09DBB591" w14:textId="77777777" w:rsidR="00795699" w:rsidRPr="000F7276" w:rsidRDefault="00755AED" w:rsidP="00A009E7">
            <w:pPr>
              <w:pStyle w:val="Header"/>
              <w:rPr>
                <w:b/>
              </w:rPr>
            </w:pPr>
            <w:r w:rsidRPr="000F7276">
              <w:rPr>
                <w:b/>
              </w:rPr>
              <w:t>IFC (</w:t>
            </w:r>
            <w:r w:rsidR="00795699" w:rsidRPr="000F7276">
              <w:rPr>
                <w:b/>
              </w:rPr>
              <w:t>2012</w:t>
            </w:r>
            <w:r w:rsidRPr="000F7276">
              <w:rPr>
                <w:b/>
              </w:rPr>
              <w:t>)</w:t>
            </w:r>
          </w:p>
        </w:tc>
        <w:tc>
          <w:tcPr>
            <w:tcW w:w="1565" w:type="dxa"/>
            <w:shd w:val="clear" w:color="auto" w:fill="auto"/>
          </w:tcPr>
          <w:p w14:paraId="4CD12E8D" w14:textId="77777777" w:rsidR="00795699" w:rsidRPr="000F7276" w:rsidRDefault="00795699" w:rsidP="00A009E7">
            <w:pPr>
              <w:pStyle w:val="Header"/>
              <w:rPr>
                <w:sz w:val="20"/>
                <w:szCs w:val="20"/>
              </w:rPr>
            </w:pPr>
            <w:r w:rsidRPr="000F7276">
              <w:rPr>
                <w:sz w:val="20"/>
                <w:szCs w:val="20"/>
              </w:rPr>
              <w:t>Sustainability Policy</w:t>
            </w:r>
          </w:p>
        </w:tc>
        <w:tc>
          <w:tcPr>
            <w:tcW w:w="1734" w:type="dxa"/>
            <w:shd w:val="clear" w:color="auto" w:fill="auto"/>
          </w:tcPr>
          <w:p w14:paraId="0FF3BDE1" w14:textId="77777777" w:rsidR="00B22358" w:rsidRPr="000F7276" w:rsidRDefault="00795699" w:rsidP="00A009E7">
            <w:pPr>
              <w:pStyle w:val="Header"/>
              <w:rPr>
                <w:sz w:val="20"/>
                <w:szCs w:val="20"/>
              </w:rPr>
            </w:pPr>
            <w:r w:rsidRPr="000F7276">
              <w:rPr>
                <w:sz w:val="20"/>
                <w:szCs w:val="20"/>
              </w:rPr>
              <w:t>Performance Standards</w:t>
            </w:r>
          </w:p>
        </w:tc>
        <w:tc>
          <w:tcPr>
            <w:tcW w:w="1658" w:type="dxa"/>
            <w:shd w:val="clear" w:color="auto" w:fill="auto"/>
          </w:tcPr>
          <w:p w14:paraId="14C80E5F" w14:textId="77777777" w:rsidR="00795699" w:rsidRPr="000F7276" w:rsidRDefault="00795699" w:rsidP="00A009E7">
            <w:pPr>
              <w:pStyle w:val="Header"/>
              <w:rPr>
                <w:sz w:val="20"/>
                <w:szCs w:val="20"/>
              </w:rPr>
            </w:pPr>
            <w:r w:rsidRPr="000F7276">
              <w:rPr>
                <w:sz w:val="20"/>
                <w:szCs w:val="20"/>
              </w:rPr>
              <w:t>Environmental and Social Review</w:t>
            </w:r>
            <w:r w:rsidR="003F7392" w:rsidRPr="000F7276">
              <w:rPr>
                <w:sz w:val="20"/>
                <w:szCs w:val="20"/>
              </w:rPr>
              <w:t xml:space="preserve"> </w:t>
            </w:r>
            <w:r w:rsidRPr="000F7276">
              <w:rPr>
                <w:sz w:val="20"/>
                <w:szCs w:val="20"/>
              </w:rPr>
              <w:t>Procedures</w:t>
            </w:r>
          </w:p>
        </w:tc>
        <w:tc>
          <w:tcPr>
            <w:tcW w:w="1586" w:type="dxa"/>
            <w:shd w:val="clear" w:color="auto" w:fill="auto"/>
          </w:tcPr>
          <w:p w14:paraId="59DC1DBD" w14:textId="77777777" w:rsidR="00795699" w:rsidRPr="000F7276" w:rsidRDefault="00722DC8" w:rsidP="00A009E7">
            <w:pPr>
              <w:pStyle w:val="Header"/>
              <w:rPr>
                <w:sz w:val="20"/>
                <w:szCs w:val="20"/>
              </w:rPr>
            </w:pPr>
            <w:r w:rsidRPr="000F7276">
              <w:rPr>
                <w:sz w:val="20"/>
                <w:szCs w:val="20"/>
              </w:rPr>
              <w:t>Access to Information Policy</w:t>
            </w:r>
            <w:r w:rsidR="00795699" w:rsidRPr="000F7276">
              <w:rPr>
                <w:sz w:val="20"/>
                <w:szCs w:val="20"/>
              </w:rPr>
              <w:t xml:space="preserve"> (2012) </w:t>
            </w:r>
          </w:p>
        </w:tc>
        <w:tc>
          <w:tcPr>
            <w:tcW w:w="1789" w:type="dxa"/>
            <w:shd w:val="clear" w:color="auto" w:fill="auto"/>
          </w:tcPr>
          <w:p w14:paraId="6C6DC395" w14:textId="3D2E9B97" w:rsidR="00795699" w:rsidRPr="000F7276" w:rsidRDefault="00795699" w:rsidP="00A009E7">
            <w:pPr>
              <w:pStyle w:val="Header"/>
              <w:rPr>
                <w:sz w:val="20"/>
                <w:szCs w:val="20"/>
              </w:rPr>
            </w:pPr>
            <w:r w:rsidRPr="000F7276">
              <w:rPr>
                <w:sz w:val="20"/>
                <w:szCs w:val="20"/>
              </w:rPr>
              <w:t>Guidance Notes</w:t>
            </w:r>
            <w:r w:rsidR="00696CB0">
              <w:rPr>
                <w:sz w:val="20"/>
                <w:szCs w:val="20"/>
              </w:rPr>
              <w:t>;</w:t>
            </w:r>
          </w:p>
          <w:p w14:paraId="49F528DC" w14:textId="6F291A2D" w:rsidR="00C43144" w:rsidRPr="000F7276" w:rsidRDefault="00C43144" w:rsidP="00A009E7">
            <w:pPr>
              <w:pStyle w:val="Header"/>
              <w:rPr>
                <w:sz w:val="20"/>
                <w:szCs w:val="20"/>
              </w:rPr>
            </w:pPr>
            <w:r w:rsidRPr="000F7276">
              <w:rPr>
                <w:sz w:val="20"/>
                <w:szCs w:val="20"/>
              </w:rPr>
              <w:t>Environment</w:t>
            </w:r>
            <w:r w:rsidR="00433BED">
              <w:rPr>
                <w:sz w:val="20"/>
                <w:szCs w:val="20"/>
              </w:rPr>
              <w:t>al</w:t>
            </w:r>
            <w:r w:rsidRPr="000F7276">
              <w:rPr>
                <w:sz w:val="20"/>
                <w:szCs w:val="20"/>
              </w:rPr>
              <w:t>, Health and Safety Guidelines</w:t>
            </w:r>
            <w:r w:rsidR="00696CB0">
              <w:rPr>
                <w:sz w:val="20"/>
                <w:szCs w:val="20"/>
              </w:rPr>
              <w:t>;</w:t>
            </w:r>
          </w:p>
          <w:p w14:paraId="5D2D51F8" w14:textId="4FF45CF1" w:rsidR="001D001A" w:rsidRPr="000F7276" w:rsidRDefault="001D001A" w:rsidP="00A009E7">
            <w:pPr>
              <w:pStyle w:val="Header"/>
              <w:rPr>
                <w:sz w:val="20"/>
                <w:szCs w:val="20"/>
              </w:rPr>
            </w:pPr>
            <w:r w:rsidRPr="000F7276">
              <w:rPr>
                <w:sz w:val="20"/>
                <w:szCs w:val="20"/>
              </w:rPr>
              <w:t>Interpretation Notes</w:t>
            </w:r>
            <w:r w:rsidR="00696CB0">
              <w:rPr>
                <w:sz w:val="20"/>
                <w:szCs w:val="20"/>
              </w:rPr>
              <w:t>;</w:t>
            </w:r>
          </w:p>
          <w:p w14:paraId="2EAE6CF7" w14:textId="77777777" w:rsidR="00795699" w:rsidRPr="000F7276" w:rsidRDefault="00795699" w:rsidP="00A009E7">
            <w:pPr>
              <w:pStyle w:val="Header"/>
              <w:rPr>
                <w:sz w:val="20"/>
                <w:szCs w:val="20"/>
              </w:rPr>
            </w:pPr>
            <w:r w:rsidRPr="000F7276">
              <w:rPr>
                <w:sz w:val="20"/>
                <w:szCs w:val="20"/>
              </w:rPr>
              <w:t>Good Practice Materials</w:t>
            </w:r>
          </w:p>
        </w:tc>
      </w:tr>
      <w:tr w:rsidR="00DA61A2" w:rsidRPr="000F7276" w14:paraId="645D0C2D" w14:textId="77777777" w:rsidTr="00FF731A">
        <w:trPr>
          <w:cantSplit/>
          <w:jc w:val="center"/>
        </w:trPr>
        <w:tc>
          <w:tcPr>
            <w:tcW w:w="1496" w:type="dxa"/>
            <w:shd w:val="clear" w:color="auto" w:fill="DBE5F1"/>
            <w:vAlign w:val="center"/>
          </w:tcPr>
          <w:p w14:paraId="5EE8BF52" w14:textId="77777777" w:rsidR="00795699" w:rsidRPr="000F7276" w:rsidRDefault="00755AED" w:rsidP="00A009E7">
            <w:pPr>
              <w:pStyle w:val="Header"/>
              <w:rPr>
                <w:b/>
                <w:sz w:val="20"/>
                <w:szCs w:val="20"/>
              </w:rPr>
            </w:pPr>
            <w:r w:rsidRPr="000F7276">
              <w:rPr>
                <w:b/>
              </w:rPr>
              <w:t>IDB</w:t>
            </w:r>
            <w:r w:rsidR="00795699" w:rsidRPr="000F7276">
              <w:rPr>
                <w:b/>
              </w:rPr>
              <w:t xml:space="preserve"> </w:t>
            </w:r>
            <w:r w:rsidRPr="000F7276">
              <w:rPr>
                <w:b/>
              </w:rPr>
              <w:t>(</w:t>
            </w:r>
            <w:r w:rsidR="00795699" w:rsidRPr="000F7276">
              <w:rPr>
                <w:b/>
              </w:rPr>
              <w:t>2006</w:t>
            </w:r>
            <w:r w:rsidRPr="000F7276">
              <w:rPr>
                <w:b/>
              </w:rPr>
              <w:t>)</w:t>
            </w:r>
          </w:p>
        </w:tc>
        <w:tc>
          <w:tcPr>
            <w:tcW w:w="1565" w:type="dxa"/>
            <w:shd w:val="clear" w:color="auto" w:fill="auto"/>
          </w:tcPr>
          <w:p w14:paraId="22008D86" w14:textId="77777777" w:rsidR="008B2D6B" w:rsidRPr="000F7276" w:rsidRDefault="008B2D6B" w:rsidP="00A009E7">
            <w:pPr>
              <w:tabs>
                <w:tab w:val="center" w:pos="4680"/>
                <w:tab w:val="right" w:pos="9360"/>
              </w:tabs>
              <w:rPr>
                <w:sz w:val="20"/>
                <w:szCs w:val="20"/>
              </w:rPr>
            </w:pPr>
            <w:r w:rsidRPr="000F7276">
              <w:rPr>
                <w:sz w:val="20"/>
                <w:szCs w:val="20"/>
              </w:rPr>
              <w:t xml:space="preserve">None. </w:t>
            </w:r>
          </w:p>
          <w:p w14:paraId="0A421444" w14:textId="77777777" w:rsidR="00795699" w:rsidRPr="000F7276" w:rsidRDefault="008B2D6B" w:rsidP="00A009E7">
            <w:pPr>
              <w:pStyle w:val="Header"/>
              <w:rPr>
                <w:sz w:val="20"/>
                <w:szCs w:val="20"/>
              </w:rPr>
            </w:pPr>
            <w:r w:rsidRPr="000F7276">
              <w:rPr>
                <w:sz w:val="20"/>
                <w:szCs w:val="20"/>
              </w:rPr>
              <w:t>Partially included in OP-703</w:t>
            </w:r>
          </w:p>
        </w:tc>
        <w:tc>
          <w:tcPr>
            <w:tcW w:w="1734" w:type="dxa"/>
            <w:shd w:val="clear" w:color="auto" w:fill="auto"/>
          </w:tcPr>
          <w:p w14:paraId="24102C3A" w14:textId="77777777" w:rsidR="00795699" w:rsidRPr="000F7276" w:rsidRDefault="00795699" w:rsidP="00A009E7">
            <w:pPr>
              <w:pStyle w:val="Header"/>
              <w:rPr>
                <w:sz w:val="20"/>
                <w:szCs w:val="20"/>
              </w:rPr>
            </w:pPr>
            <w:r w:rsidRPr="000F7276">
              <w:rPr>
                <w:sz w:val="20"/>
                <w:szCs w:val="20"/>
              </w:rPr>
              <w:t>Operational Policies</w:t>
            </w:r>
          </w:p>
        </w:tc>
        <w:tc>
          <w:tcPr>
            <w:tcW w:w="1658" w:type="dxa"/>
            <w:shd w:val="clear" w:color="auto" w:fill="auto"/>
          </w:tcPr>
          <w:p w14:paraId="1B7D7767" w14:textId="77777777" w:rsidR="00795699" w:rsidRPr="000F7276" w:rsidRDefault="00814F03" w:rsidP="00A009E7">
            <w:pPr>
              <w:pStyle w:val="Header"/>
              <w:rPr>
                <w:sz w:val="20"/>
                <w:szCs w:val="20"/>
              </w:rPr>
            </w:pPr>
            <w:hyperlink r:id="rId11" w:history="1">
              <w:r w:rsidR="00795699" w:rsidRPr="000F7276">
                <w:rPr>
                  <w:rStyle w:val="Hyperlink"/>
                  <w:color w:val="auto"/>
                  <w:sz w:val="20"/>
                  <w:szCs w:val="20"/>
                  <w:u w:val="none"/>
                </w:rPr>
                <w:t xml:space="preserve">Implementation Guidelines for the Environment and Safeguards </w:t>
              </w:r>
              <w:r w:rsidR="008B2D6B" w:rsidRPr="000F7276">
                <w:rPr>
                  <w:rStyle w:val="Hyperlink"/>
                  <w:color w:val="auto"/>
                  <w:sz w:val="20"/>
                  <w:szCs w:val="20"/>
                  <w:u w:val="none"/>
                </w:rPr>
                <w:t xml:space="preserve">Compliance </w:t>
              </w:r>
              <w:r w:rsidR="00795699" w:rsidRPr="000F7276">
                <w:rPr>
                  <w:rStyle w:val="Hyperlink"/>
                  <w:color w:val="auto"/>
                  <w:sz w:val="20"/>
                  <w:szCs w:val="20"/>
                  <w:u w:val="none"/>
                </w:rPr>
                <w:t xml:space="preserve">Policy </w:t>
              </w:r>
            </w:hyperlink>
            <w:r w:rsidR="008B2D6B" w:rsidRPr="000F7276">
              <w:rPr>
                <w:rStyle w:val="Hyperlink"/>
                <w:color w:val="auto"/>
                <w:sz w:val="20"/>
                <w:szCs w:val="20"/>
                <w:u w:val="none"/>
              </w:rPr>
              <w:t>and other safeguard policies</w:t>
            </w:r>
          </w:p>
        </w:tc>
        <w:tc>
          <w:tcPr>
            <w:tcW w:w="1586" w:type="dxa"/>
            <w:shd w:val="clear" w:color="auto" w:fill="auto"/>
          </w:tcPr>
          <w:p w14:paraId="375A6516" w14:textId="77777777" w:rsidR="00795699" w:rsidRPr="000F7276" w:rsidRDefault="00795699" w:rsidP="00A009E7">
            <w:pPr>
              <w:pStyle w:val="Header"/>
              <w:rPr>
                <w:sz w:val="20"/>
                <w:szCs w:val="20"/>
              </w:rPr>
            </w:pPr>
            <w:r w:rsidRPr="000F7276">
              <w:rPr>
                <w:sz w:val="20"/>
                <w:szCs w:val="20"/>
              </w:rPr>
              <w:t>Access to Information Policy (2010)</w:t>
            </w:r>
          </w:p>
        </w:tc>
        <w:tc>
          <w:tcPr>
            <w:tcW w:w="1789" w:type="dxa"/>
            <w:shd w:val="clear" w:color="auto" w:fill="auto"/>
          </w:tcPr>
          <w:p w14:paraId="21E4DF73" w14:textId="77777777" w:rsidR="00795699" w:rsidRPr="000F7276" w:rsidRDefault="00795699" w:rsidP="00A009E7">
            <w:pPr>
              <w:pStyle w:val="Header"/>
              <w:rPr>
                <w:sz w:val="20"/>
                <w:szCs w:val="20"/>
              </w:rPr>
            </w:pPr>
            <w:r w:rsidRPr="000F7276">
              <w:rPr>
                <w:sz w:val="20"/>
                <w:szCs w:val="20"/>
              </w:rPr>
              <w:t>Tools and Guidelines</w:t>
            </w:r>
          </w:p>
        </w:tc>
      </w:tr>
      <w:tr w:rsidR="00DA61A2" w:rsidRPr="000F7276" w14:paraId="7E0D8D80" w14:textId="77777777" w:rsidTr="00FF731A">
        <w:trPr>
          <w:cantSplit/>
          <w:jc w:val="center"/>
        </w:trPr>
        <w:tc>
          <w:tcPr>
            <w:tcW w:w="1496" w:type="dxa"/>
            <w:shd w:val="clear" w:color="auto" w:fill="DBE5F1"/>
            <w:vAlign w:val="center"/>
          </w:tcPr>
          <w:p w14:paraId="60A90C89" w14:textId="77777777" w:rsidR="00795699" w:rsidRPr="000F7276" w:rsidRDefault="00795699" w:rsidP="00A009E7">
            <w:pPr>
              <w:pStyle w:val="Header"/>
              <w:rPr>
                <w:b/>
              </w:rPr>
            </w:pPr>
            <w:r w:rsidRPr="000F7276">
              <w:rPr>
                <w:b/>
              </w:rPr>
              <w:t>World Bank (IBRD/IDA)</w:t>
            </w:r>
          </w:p>
        </w:tc>
        <w:tc>
          <w:tcPr>
            <w:tcW w:w="1565" w:type="dxa"/>
            <w:shd w:val="clear" w:color="auto" w:fill="auto"/>
          </w:tcPr>
          <w:p w14:paraId="5052DD14" w14:textId="77777777" w:rsidR="00795699" w:rsidRPr="000F7276" w:rsidRDefault="00795699" w:rsidP="00A009E7">
            <w:pPr>
              <w:pStyle w:val="Header"/>
              <w:rPr>
                <w:sz w:val="20"/>
                <w:szCs w:val="20"/>
              </w:rPr>
            </w:pPr>
            <w:r w:rsidRPr="000F7276">
              <w:rPr>
                <w:sz w:val="20"/>
                <w:szCs w:val="20"/>
              </w:rPr>
              <w:t>None</w:t>
            </w:r>
          </w:p>
        </w:tc>
        <w:tc>
          <w:tcPr>
            <w:tcW w:w="1734" w:type="dxa"/>
            <w:shd w:val="clear" w:color="auto" w:fill="auto"/>
          </w:tcPr>
          <w:p w14:paraId="15F82508" w14:textId="77777777" w:rsidR="00795699" w:rsidRPr="000F7276" w:rsidRDefault="00795699" w:rsidP="00A009E7">
            <w:pPr>
              <w:pStyle w:val="Header"/>
              <w:rPr>
                <w:sz w:val="20"/>
                <w:szCs w:val="20"/>
              </w:rPr>
            </w:pPr>
            <w:r w:rsidRPr="000F7276">
              <w:rPr>
                <w:sz w:val="20"/>
                <w:szCs w:val="20"/>
              </w:rPr>
              <w:t>Operational Policies</w:t>
            </w:r>
          </w:p>
        </w:tc>
        <w:tc>
          <w:tcPr>
            <w:tcW w:w="1658" w:type="dxa"/>
            <w:shd w:val="clear" w:color="auto" w:fill="auto"/>
          </w:tcPr>
          <w:p w14:paraId="6BB1526F" w14:textId="77777777" w:rsidR="00795699" w:rsidRPr="000F7276" w:rsidRDefault="00795699" w:rsidP="00A009E7">
            <w:pPr>
              <w:pStyle w:val="Header"/>
              <w:rPr>
                <w:sz w:val="20"/>
                <w:szCs w:val="20"/>
              </w:rPr>
            </w:pPr>
            <w:r w:rsidRPr="000F7276">
              <w:rPr>
                <w:sz w:val="20"/>
                <w:szCs w:val="20"/>
              </w:rPr>
              <w:t>Bank Procedures</w:t>
            </w:r>
          </w:p>
        </w:tc>
        <w:tc>
          <w:tcPr>
            <w:tcW w:w="1586" w:type="dxa"/>
            <w:shd w:val="clear" w:color="auto" w:fill="auto"/>
          </w:tcPr>
          <w:p w14:paraId="0CB464D0" w14:textId="77777777" w:rsidR="00795699" w:rsidRPr="000F7276" w:rsidRDefault="00795699" w:rsidP="00A009E7">
            <w:pPr>
              <w:pStyle w:val="Header"/>
              <w:rPr>
                <w:sz w:val="20"/>
                <w:szCs w:val="20"/>
              </w:rPr>
            </w:pPr>
            <w:r w:rsidRPr="000F7276">
              <w:rPr>
                <w:sz w:val="20"/>
                <w:szCs w:val="20"/>
              </w:rPr>
              <w:t>Access to Information Policy (2010)</w:t>
            </w:r>
          </w:p>
        </w:tc>
        <w:tc>
          <w:tcPr>
            <w:tcW w:w="1789" w:type="dxa"/>
            <w:shd w:val="clear" w:color="auto" w:fill="auto"/>
          </w:tcPr>
          <w:p w14:paraId="7F8C3608" w14:textId="350A81FA" w:rsidR="00795699" w:rsidRPr="000F7276" w:rsidRDefault="00795699" w:rsidP="00A009E7">
            <w:pPr>
              <w:pStyle w:val="Header"/>
              <w:rPr>
                <w:sz w:val="20"/>
                <w:szCs w:val="20"/>
              </w:rPr>
            </w:pPr>
            <w:r w:rsidRPr="000F7276">
              <w:rPr>
                <w:sz w:val="20"/>
                <w:szCs w:val="20"/>
              </w:rPr>
              <w:t>Environmen</w:t>
            </w:r>
            <w:r w:rsidR="0009460C" w:rsidRPr="000F7276">
              <w:rPr>
                <w:sz w:val="20"/>
                <w:szCs w:val="20"/>
              </w:rPr>
              <w:t>t</w:t>
            </w:r>
            <w:r w:rsidR="00433BED">
              <w:rPr>
                <w:sz w:val="20"/>
                <w:szCs w:val="20"/>
              </w:rPr>
              <w:t>al</w:t>
            </w:r>
            <w:r w:rsidR="0009460C" w:rsidRPr="000F7276">
              <w:rPr>
                <w:sz w:val="20"/>
                <w:szCs w:val="20"/>
              </w:rPr>
              <w:t>,</w:t>
            </w:r>
            <w:r w:rsidR="00C24E62" w:rsidRPr="000F7276">
              <w:rPr>
                <w:sz w:val="20"/>
                <w:szCs w:val="20"/>
              </w:rPr>
              <w:t xml:space="preserve"> Health and Safety Guidelines</w:t>
            </w:r>
            <w:r w:rsidR="00696CB0">
              <w:rPr>
                <w:sz w:val="20"/>
                <w:szCs w:val="20"/>
              </w:rPr>
              <w:t>;</w:t>
            </w:r>
          </w:p>
          <w:p w14:paraId="4101D322" w14:textId="77777777" w:rsidR="00795699" w:rsidRPr="000F7276" w:rsidRDefault="00795699" w:rsidP="00A009E7">
            <w:pPr>
              <w:pStyle w:val="Header"/>
              <w:rPr>
                <w:sz w:val="20"/>
                <w:szCs w:val="20"/>
              </w:rPr>
            </w:pPr>
            <w:r w:rsidRPr="000F7276">
              <w:rPr>
                <w:sz w:val="20"/>
                <w:szCs w:val="20"/>
              </w:rPr>
              <w:t xml:space="preserve">Involuntary Resettlement </w:t>
            </w:r>
            <w:r w:rsidR="0062169A" w:rsidRPr="000F7276">
              <w:rPr>
                <w:sz w:val="20"/>
                <w:szCs w:val="20"/>
              </w:rPr>
              <w:t>Sourcebook</w:t>
            </w:r>
          </w:p>
        </w:tc>
      </w:tr>
    </w:tbl>
    <w:p w14:paraId="68FA52A5" w14:textId="77777777" w:rsidR="00795699" w:rsidRPr="000F7276" w:rsidRDefault="00795699" w:rsidP="00A009E7">
      <w:pPr>
        <w:pStyle w:val="Header"/>
      </w:pPr>
    </w:p>
    <w:p w14:paraId="0046F59F" w14:textId="77777777" w:rsidR="00A009E7" w:rsidRDefault="0073402F" w:rsidP="00A009E7">
      <w:pPr>
        <w:spacing w:after="240"/>
        <w:rPr>
          <w:sz w:val="24"/>
          <w:szCs w:val="24"/>
        </w:rPr>
      </w:pPr>
      <w:r w:rsidRPr="000F7276">
        <w:rPr>
          <w:sz w:val="24"/>
          <w:szCs w:val="24"/>
        </w:rPr>
        <w:t xml:space="preserve">With respect to their </w:t>
      </w:r>
      <w:r w:rsidR="008609EF" w:rsidRPr="000F7276">
        <w:rPr>
          <w:sz w:val="24"/>
          <w:szCs w:val="24"/>
        </w:rPr>
        <w:t xml:space="preserve">respective </w:t>
      </w:r>
      <w:r w:rsidRPr="000F7276">
        <w:rPr>
          <w:sz w:val="24"/>
          <w:szCs w:val="24"/>
        </w:rPr>
        <w:t>architecture</w:t>
      </w:r>
      <w:r w:rsidR="000F62A5" w:rsidRPr="000F7276">
        <w:rPr>
          <w:sz w:val="24"/>
          <w:szCs w:val="24"/>
        </w:rPr>
        <w:t>s</w:t>
      </w:r>
      <w:r w:rsidRPr="000F7276">
        <w:rPr>
          <w:sz w:val="24"/>
          <w:szCs w:val="24"/>
        </w:rPr>
        <w:t>, s</w:t>
      </w:r>
      <w:r w:rsidR="00AE14E8" w:rsidRPr="000F7276">
        <w:rPr>
          <w:sz w:val="24"/>
          <w:szCs w:val="24"/>
        </w:rPr>
        <w:t>ince 2006, starting with IFC</w:t>
      </w:r>
      <w:r w:rsidR="006B4435" w:rsidRPr="000F7276">
        <w:rPr>
          <w:sz w:val="24"/>
          <w:szCs w:val="24"/>
        </w:rPr>
        <w:t xml:space="preserve">, the MDBs have </w:t>
      </w:r>
      <w:r w:rsidR="00AE14E8" w:rsidRPr="000F7276">
        <w:rPr>
          <w:sz w:val="24"/>
          <w:szCs w:val="24"/>
        </w:rPr>
        <w:t>organized</w:t>
      </w:r>
      <w:r w:rsidR="006B4435" w:rsidRPr="000F7276">
        <w:rPr>
          <w:sz w:val="24"/>
          <w:szCs w:val="24"/>
        </w:rPr>
        <w:t xml:space="preserve"> their environmental and social policies into </w:t>
      </w:r>
      <w:r w:rsidR="00CA3B8A" w:rsidRPr="000F7276">
        <w:rPr>
          <w:sz w:val="24"/>
          <w:szCs w:val="24"/>
        </w:rPr>
        <w:t xml:space="preserve">a </w:t>
      </w:r>
      <w:r w:rsidR="0025728E" w:rsidRPr="000F7276">
        <w:rPr>
          <w:sz w:val="24"/>
          <w:szCs w:val="24"/>
        </w:rPr>
        <w:t xml:space="preserve">safeguard </w:t>
      </w:r>
      <w:r w:rsidR="00CA3B8A" w:rsidRPr="000F7276">
        <w:rPr>
          <w:sz w:val="24"/>
          <w:szCs w:val="24"/>
        </w:rPr>
        <w:t>policy</w:t>
      </w:r>
      <w:r w:rsidR="006B4435" w:rsidRPr="000F7276">
        <w:rPr>
          <w:sz w:val="24"/>
          <w:szCs w:val="24"/>
        </w:rPr>
        <w:t xml:space="preserve"> framework</w:t>
      </w:r>
      <w:r w:rsidR="00AC775B" w:rsidRPr="000F7276">
        <w:rPr>
          <w:sz w:val="24"/>
          <w:szCs w:val="24"/>
        </w:rPr>
        <w:t>, with an umbrella policy on environmental and social sustainability</w:t>
      </w:r>
      <w:r w:rsidR="00C24E62" w:rsidRPr="000F7276">
        <w:rPr>
          <w:sz w:val="24"/>
          <w:szCs w:val="24"/>
        </w:rPr>
        <w:t>.</w:t>
      </w:r>
      <w:r w:rsidR="00430AA1" w:rsidRPr="000F7276">
        <w:rPr>
          <w:sz w:val="24"/>
          <w:szCs w:val="24"/>
        </w:rPr>
        <w:t xml:space="preserve"> </w:t>
      </w:r>
      <w:r w:rsidR="00AD380A" w:rsidRPr="000F7276">
        <w:rPr>
          <w:rFonts w:cs="Arial"/>
          <w:sz w:val="24"/>
          <w:szCs w:val="24"/>
        </w:rPr>
        <w:t>While O</w:t>
      </w:r>
      <w:r w:rsidR="00D43614" w:rsidRPr="000F7276">
        <w:rPr>
          <w:rFonts w:cs="Arial"/>
          <w:sz w:val="24"/>
          <w:szCs w:val="24"/>
        </w:rPr>
        <w:t>P</w:t>
      </w:r>
      <w:r w:rsidR="00AD380A" w:rsidRPr="000F7276">
        <w:rPr>
          <w:rFonts w:cs="Arial"/>
          <w:sz w:val="24"/>
          <w:szCs w:val="24"/>
        </w:rPr>
        <w:t xml:space="preserve"> 4.01 does act as an umbrella policy</w:t>
      </w:r>
      <w:r w:rsidR="0025728E" w:rsidRPr="000F7276">
        <w:rPr>
          <w:rFonts w:cs="Arial"/>
          <w:sz w:val="24"/>
          <w:szCs w:val="24"/>
        </w:rPr>
        <w:t>,</w:t>
      </w:r>
      <w:r w:rsidR="0025728E" w:rsidRPr="000F7276">
        <w:rPr>
          <w:sz w:val="24"/>
          <w:szCs w:val="24"/>
        </w:rPr>
        <w:t xml:space="preserve"> t</w:t>
      </w:r>
      <w:r w:rsidR="0025728E" w:rsidRPr="000F7276">
        <w:rPr>
          <w:rFonts w:cs="Arial"/>
          <w:sz w:val="24"/>
          <w:szCs w:val="24"/>
        </w:rPr>
        <w:t xml:space="preserve">he World Bank continues to lack such an over-arching </w:t>
      </w:r>
      <w:r w:rsidR="00430AA1" w:rsidRPr="000F7276">
        <w:rPr>
          <w:rFonts w:cs="Arial"/>
          <w:sz w:val="24"/>
          <w:szCs w:val="24"/>
        </w:rPr>
        <w:t>“</w:t>
      </w:r>
      <w:r w:rsidR="0025728E" w:rsidRPr="000F7276">
        <w:rPr>
          <w:rFonts w:cs="Arial"/>
          <w:sz w:val="24"/>
          <w:szCs w:val="24"/>
        </w:rPr>
        <w:t>Safeguard Framework" to stratify and integrate its separate Operational Policies pertaining to environmental and social impacts and risks</w:t>
      </w:r>
      <w:r w:rsidR="00430AA1" w:rsidRPr="000F7276">
        <w:rPr>
          <w:rFonts w:cs="Arial"/>
          <w:sz w:val="24"/>
          <w:szCs w:val="24"/>
        </w:rPr>
        <w:t xml:space="preserve"> and to help differentiate the accountability of its OPs from other Bank policy statements.</w:t>
      </w:r>
      <w:r w:rsidR="003F7392" w:rsidRPr="000F7276">
        <w:rPr>
          <w:rFonts w:cs="Arial"/>
          <w:sz w:val="24"/>
          <w:szCs w:val="24"/>
        </w:rPr>
        <w:t xml:space="preserve"> </w:t>
      </w:r>
      <w:r w:rsidR="007E291D" w:rsidRPr="000F7276">
        <w:rPr>
          <w:rFonts w:cs="Arial"/>
          <w:sz w:val="24"/>
          <w:szCs w:val="24"/>
        </w:rPr>
        <w:t xml:space="preserve">The respective </w:t>
      </w:r>
      <w:r w:rsidR="00696CB0">
        <w:rPr>
          <w:rFonts w:cs="Arial"/>
          <w:sz w:val="24"/>
          <w:szCs w:val="24"/>
        </w:rPr>
        <w:t>architecture</w:t>
      </w:r>
      <w:r w:rsidR="008609EF" w:rsidRPr="000F7276">
        <w:rPr>
          <w:rFonts w:cs="Arial"/>
          <w:sz w:val="24"/>
          <w:szCs w:val="24"/>
        </w:rPr>
        <w:t xml:space="preserve"> of</w:t>
      </w:r>
      <w:r w:rsidR="007E291D" w:rsidRPr="000F7276">
        <w:rPr>
          <w:rFonts w:cs="Arial"/>
          <w:sz w:val="24"/>
          <w:szCs w:val="24"/>
        </w:rPr>
        <w:t xml:space="preserve"> each MDB</w:t>
      </w:r>
      <w:r w:rsidR="008609EF" w:rsidRPr="000F7276">
        <w:rPr>
          <w:rFonts w:cs="Arial"/>
          <w:sz w:val="24"/>
          <w:szCs w:val="24"/>
        </w:rPr>
        <w:t>’s</w:t>
      </w:r>
      <w:r w:rsidR="007E291D" w:rsidRPr="000F7276">
        <w:rPr>
          <w:rFonts w:cs="Arial"/>
          <w:sz w:val="24"/>
          <w:szCs w:val="24"/>
        </w:rPr>
        <w:t xml:space="preserve"> safeguard system </w:t>
      </w:r>
      <w:r w:rsidR="00696CB0">
        <w:rPr>
          <w:rFonts w:cs="Arial"/>
          <w:sz w:val="24"/>
          <w:szCs w:val="24"/>
        </w:rPr>
        <w:t xml:space="preserve">is </w:t>
      </w:r>
      <w:r w:rsidR="007E291D" w:rsidRPr="000F7276">
        <w:rPr>
          <w:rFonts w:cs="Arial"/>
          <w:sz w:val="24"/>
          <w:szCs w:val="24"/>
        </w:rPr>
        <w:t xml:space="preserve">presented </w:t>
      </w:r>
      <w:r w:rsidR="008609EF" w:rsidRPr="000F7276">
        <w:rPr>
          <w:rFonts w:cs="Arial"/>
          <w:sz w:val="24"/>
          <w:szCs w:val="24"/>
        </w:rPr>
        <w:t xml:space="preserve">in graphic format </w:t>
      </w:r>
      <w:r w:rsidR="007E291D" w:rsidRPr="000F7276">
        <w:rPr>
          <w:rFonts w:cs="Arial"/>
          <w:sz w:val="24"/>
          <w:szCs w:val="24"/>
        </w:rPr>
        <w:t xml:space="preserve">in </w:t>
      </w:r>
      <w:r w:rsidR="0089232A" w:rsidRPr="000F7276">
        <w:rPr>
          <w:rFonts w:cs="Arial"/>
          <w:sz w:val="24"/>
          <w:szCs w:val="24"/>
        </w:rPr>
        <w:t xml:space="preserve">Annex </w:t>
      </w:r>
      <w:r w:rsidR="00C24E62" w:rsidRPr="000F7276">
        <w:rPr>
          <w:rFonts w:cs="Arial"/>
          <w:sz w:val="24"/>
          <w:szCs w:val="24"/>
        </w:rPr>
        <w:t>1</w:t>
      </w:r>
      <w:r w:rsidR="007E291D" w:rsidRPr="000F7276">
        <w:rPr>
          <w:rFonts w:cs="Arial"/>
          <w:sz w:val="24"/>
          <w:szCs w:val="24"/>
        </w:rPr>
        <w:t xml:space="preserve"> </w:t>
      </w:r>
      <w:r w:rsidR="00C24E62" w:rsidRPr="000F7276">
        <w:rPr>
          <w:rFonts w:cs="Arial"/>
          <w:sz w:val="24"/>
          <w:szCs w:val="24"/>
        </w:rPr>
        <w:t xml:space="preserve">of </w:t>
      </w:r>
      <w:r w:rsidR="007E291D" w:rsidRPr="000F7276">
        <w:rPr>
          <w:rFonts w:cs="Arial"/>
          <w:sz w:val="24"/>
          <w:szCs w:val="24"/>
        </w:rPr>
        <w:t>this report.</w:t>
      </w:r>
      <w:r w:rsidR="00702995" w:rsidRPr="000F7276">
        <w:rPr>
          <w:rStyle w:val="FootnoteReference"/>
          <w:rFonts w:cs="Arial"/>
          <w:sz w:val="24"/>
          <w:szCs w:val="24"/>
        </w:rPr>
        <w:footnoteReference w:id="20"/>
      </w:r>
    </w:p>
    <w:p w14:paraId="2B3AACEC" w14:textId="1E0350FE" w:rsidR="006C04D0" w:rsidRPr="000F7276" w:rsidRDefault="00C24E62" w:rsidP="00A009E7">
      <w:pPr>
        <w:pStyle w:val="hhhead1"/>
      </w:pPr>
      <w:bookmarkStart w:id="5" w:name="_Toc419114248"/>
      <w:r w:rsidRPr="000F7276">
        <w:t>Scope and Application</w:t>
      </w:r>
      <w:bookmarkEnd w:id="5"/>
      <w:r w:rsidRPr="000F7276">
        <w:t xml:space="preserve"> </w:t>
      </w:r>
    </w:p>
    <w:p w14:paraId="52240883" w14:textId="77777777" w:rsidR="00A009E7" w:rsidRDefault="00310774" w:rsidP="00A009E7">
      <w:pPr>
        <w:spacing w:after="240"/>
        <w:rPr>
          <w:sz w:val="24"/>
          <w:szCs w:val="24"/>
        </w:rPr>
      </w:pPr>
      <w:r w:rsidRPr="000F7276">
        <w:rPr>
          <w:sz w:val="24"/>
          <w:szCs w:val="24"/>
        </w:rPr>
        <w:t>In comparing how MDBs apply the various components of their safeguard systems to diverse lending instruments, project structure and circumstances</w:t>
      </w:r>
      <w:r w:rsidR="00017659" w:rsidRPr="000F7276">
        <w:rPr>
          <w:sz w:val="24"/>
          <w:szCs w:val="24"/>
        </w:rPr>
        <w:t>,</w:t>
      </w:r>
      <w:r w:rsidRPr="000F7276">
        <w:rPr>
          <w:sz w:val="24"/>
          <w:szCs w:val="24"/>
        </w:rPr>
        <w:t xml:space="preserve"> it is important to keep in mind the distinction between “safeguard systems” </w:t>
      </w:r>
      <w:r w:rsidR="00017659" w:rsidRPr="000F7276">
        <w:rPr>
          <w:sz w:val="24"/>
          <w:szCs w:val="24"/>
        </w:rPr>
        <w:t>(</w:t>
      </w:r>
      <w:r w:rsidRPr="000F7276">
        <w:rPr>
          <w:sz w:val="24"/>
          <w:szCs w:val="24"/>
        </w:rPr>
        <w:t>in the broad sense of the term</w:t>
      </w:r>
      <w:r w:rsidR="00017659" w:rsidRPr="000F7276">
        <w:rPr>
          <w:sz w:val="24"/>
          <w:szCs w:val="24"/>
        </w:rPr>
        <w:t>)</w:t>
      </w:r>
      <w:r w:rsidRPr="000F7276">
        <w:rPr>
          <w:sz w:val="24"/>
          <w:szCs w:val="24"/>
        </w:rPr>
        <w:t xml:space="preserve"> and “safeguards” </w:t>
      </w:r>
      <w:r w:rsidR="00017659" w:rsidRPr="000F7276">
        <w:rPr>
          <w:sz w:val="24"/>
          <w:szCs w:val="24"/>
        </w:rPr>
        <w:t>(</w:t>
      </w:r>
      <w:r w:rsidRPr="000F7276">
        <w:rPr>
          <w:sz w:val="24"/>
          <w:szCs w:val="24"/>
        </w:rPr>
        <w:t>as applied to individual lending operations</w:t>
      </w:r>
      <w:r w:rsidR="00017659" w:rsidRPr="000F7276">
        <w:rPr>
          <w:sz w:val="24"/>
          <w:szCs w:val="24"/>
        </w:rPr>
        <w:t>)</w:t>
      </w:r>
      <w:r w:rsidRPr="000F7276">
        <w:rPr>
          <w:sz w:val="24"/>
          <w:szCs w:val="24"/>
        </w:rPr>
        <w:t xml:space="preserve">. General statements that an MDB safeguard system applies to “all projects” supported by </w:t>
      </w:r>
      <w:r w:rsidR="00DB219C" w:rsidRPr="000F7276">
        <w:rPr>
          <w:sz w:val="24"/>
          <w:szCs w:val="24"/>
        </w:rPr>
        <w:t>an</w:t>
      </w:r>
      <w:r w:rsidRPr="000F7276">
        <w:rPr>
          <w:sz w:val="24"/>
          <w:szCs w:val="24"/>
        </w:rPr>
        <w:t xml:space="preserve"> MDB </w:t>
      </w:r>
      <w:r w:rsidR="00DB219C" w:rsidRPr="000F7276">
        <w:rPr>
          <w:sz w:val="24"/>
          <w:szCs w:val="24"/>
        </w:rPr>
        <w:t>are subject to various interpretations.</w:t>
      </w:r>
      <w:r w:rsidR="003F7392" w:rsidRPr="000F7276">
        <w:rPr>
          <w:sz w:val="24"/>
          <w:szCs w:val="24"/>
        </w:rPr>
        <w:t xml:space="preserve"> </w:t>
      </w:r>
      <w:r w:rsidR="00DB219C" w:rsidRPr="000F7276">
        <w:rPr>
          <w:sz w:val="24"/>
          <w:szCs w:val="24"/>
        </w:rPr>
        <w:t xml:space="preserve">In some cases, the statement </w:t>
      </w:r>
      <w:r w:rsidR="003F1948" w:rsidRPr="000F7276">
        <w:rPr>
          <w:sz w:val="24"/>
          <w:szCs w:val="24"/>
        </w:rPr>
        <w:t>mean</w:t>
      </w:r>
      <w:r w:rsidR="00DB219C" w:rsidRPr="000F7276">
        <w:rPr>
          <w:sz w:val="24"/>
          <w:szCs w:val="24"/>
        </w:rPr>
        <w:t>s</w:t>
      </w:r>
      <w:r w:rsidR="003F1948" w:rsidRPr="000F7276">
        <w:rPr>
          <w:sz w:val="24"/>
          <w:szCs w:val="24"/>
        </w:rPr>
        <w:t xml:space="preserve"> that </w:t>
      </w:r>
      <w:r w:rsidR="00E2339B" w:rsidRPr="000F7276">
        <w:rPr>
          <w:sz w:val="24"/>
          <w:szCs w:val="24"/>
        </w:rPr>
        <w:t>o</w:t>
      </w:r>
      <w:r w:rsidR="003F1948" w:rsidRPr="000F7276">
        <w:rPr>
          <w:sz w:val="24"/>
          <w:szCs w:val="24"/>
        </w:rPr>
        <w:t xml:space="preserve">perational </w:t>
      </w:r>
      <w:r w:rsidR="00E2339B" w:rsidRPr="000F7276">
        <w:rPr>
          <w:sz w:val="24"/>
          <w:szCs w:val="24"/>
        </w:rPr>
        <w:t>r</w:t>
      </w:r>
      <w:r w:rsidR="001109E3" w:rsidRPr="000F7276">
        <w:rPr>
          <w:sz w:val="24"/>
          <w:szCs w:val="24"/>
        </w:rPr>
        <w:t xml:space="preserve">equirements </w:t>
      </w:r>
      <w:r w:rsidR="003F1948" w:rsidRPr="000F7276">
        <w:rPr>
          <w:sz w:val="24"/>
          <w:szCs w:val="24"/>
        </w:rPr>
        <w:t>appl</w:t>
      </w:r>
      <w:r w:rsidR="00495629" w:rsidRPr="000F7276">
        <w:rPr>
          <w:sz w:val="24"/>
          <w:szCs w:val="24"/>
        </w:rPr>
        <w:t>y</w:t>
      </w:r>
      <w:r w:rsidR="003F1948" w:rsidRPr="000F7276">
        <w:rPr>
          <w:sz w:val="24"/>
          <w:szCs w:val="24"/>
        </w:rPr>
        <w:t xml:space="preserve"> to s</w:t>
      </w:r>
      <w:r w:rsidR="0062169A" w:rsidRPr="000F7276">
        <w:rPr>
          <w:sz w:val="24"/>
          <w:szCs w:val="24"/>
        </w:rPr>
        <w:t>pecific</w:t>
      </w:r>
      <w:r w:rsidR="003F1948" w:rsidRPr="000F7276">
        <w:rPr>
          <w:sz w:val="24"/>
          <w:szCs w:val="24"/>
        </w:rPr>
        <w:t xml:space="preserve"> investment loans (SILs, in World Bank terminology)</w:t>
      </w:r>
      <w:r w:rsidR="001109E3" w:rsidRPr="000F7276">
        <w:rPr>
          <w:sz w:val="24"/>
          <w:szCs w:val="24"/>
        </w:rPr>
        <w:t xml:space="preserve">, with exceptions for </w:t>
      </w:r>
      <w:r w:rsidR="00696CB0">
        <w:rPr>
          <w:sz w:val="24"/>
          <w:szCs w:val="24"/>
        </w:rPr>
        <w:t xml:space="preserve">particular </w:t>
      </w:r>
      <w:r w:rsidR="001109E3" w:rsidRPr="000F7276">
        <w:rPr>
          <w:sz w:val="24"/>
          <w:szCs w:val="24"/>
        </w:rPr>
        <w:t>circumstances such as emergency or disaster lending, technical assistance or lower risk subprojects of FIs</w:t>
      </w:r>
      <w:r w:rsidR="00696CB0">
        <w:rPr>
          <w:sz w:val="24"/>
          <w:szCs w:val="24"/>
        </w:rPr>
        <w:t>,</w:t>
      </w:r>
      <w:r w:rsidR="003F7392" w:rsidRPr="000F7276">
        <w:rPr>
          <w:sz w:val="24"/>
          <w:szCs w:val="24"/>
        </w:rPr>
        <w:t xml:space="preserve"> </w:t>
      </w:r>
      <w:r w:rsidR="00DB219C" w:rsidRPr="000F7276">
        <w:rPr>
          <w:sz w:val="24"/>
          <w:szCs w:val="24"/>
        </w:rPr>
        <w:t xml:space="preserve">but </w:t>
      </w:r>
      <w:r w:rsidR="00696CB0">
        <w:rPr>
          <w:sz w:val="24"/>
          <w:szCs w:val="24"/>
        </w:rPr>
        <w:t xml:space="preserve">do not apply </w:t>
      </w:r>
      <w:r w:rsidR="00DB219C" w:rsidRPr="000F7276">
        <w:rPr>
          <w:sz w:val="24"/>
          <w:szCs w:val="24"/>
        </w:rPr>
        <w:t>to development policy or programmatic lending.</w:t>
      </w:r>
      <w:r w:rsidR="003F7392" w:rsidRPr="000F7276">
        <w:rPr>
          <w:sz w:val="24"/>
          <w:szCs w:val="24"/>
        </w:rPr>
        <w:t xml:space="preserve"> </w:t>
      </w:r>
      <w:r w:rsidR="00DB219C" w:rsidRPr="000F7276">
        <w:rPr>
          <w:sz w:val="24"/>
          <w:szCs w:val="24"/>
        </w:rPr>
        <w:t xml:space="preserve">In other cases, it is </w:t>
      </w:r>
      <w:r w:rsidR="00E2339B" w:rsidRPr="000F7276">
        <w:rPr>
          <w:sz w:val="24"/>
          <w:szCs w:val="24"/>
        </w:rPr>
        <w:t>suggested</w:t>
      </w:r>
      <w:r w:rsidR="00DB219C" w:rsidRPr="000F7276">
        <w:rPr>
          <w:sz w:val="24"/>
          <w:szCs w:val="24"/>
        </w:rPr>
        <w:t xml:space="preserve"> that such </w:t>
      </w:r>
      <w:r w:rsidR="00E2339B" w:rsidRPr="000F7276">
        <w:rPr>
          <w:sz w:val="24"/>
          <w:szCs w:val="24"/>
        </w:rPr>
        <w:t>o</w:t>
      </w:r>
      <w:r w:rsidR="001109E3" w:rsidRPr="000F7276">
        <w:rPr>
          <w:sz w:val="24"/>
          <w:szCs w:val="24"/>
        </w:rPr>
        <w:t xml:space="preserve">perational </w:t>
      </w:r>
      <w:r w:rsidR="00E2339B" w:rsidRPr="000F7276">
        <w:rPr>
          <w:sz w:val="24"/>
          <w:szCs w:val="24"/>
        </w:rPr>
        <w:t>r</w:t>
      </w:r>
      <w:r w:rsidR="001109E3" w:rsidRPr="000F7276">
        <w:rPr>
          <w:sz w:val="24"/>
          <w:szCs w:val="24"/>
        </w:rPr>
        <w:t>equirements</w:t>
      </w:r>
      <w:r w:rsidR="00E2339B" w:rsidRPr="000F7276">
        <w:rPr>
          <w:sz w:val="24"/>
          <w:szCs w:val="24"/>
        </w:rPr>
        <w:t xml:space="preserve"> be</w:t>
      </w:r>
      <w:r w:rsidR="001109E3" w:rsidRPr="000F7276">
        <w:rPr>
          <w:sz w:val="24"/>
          <w:szCs w:val="24"/>
        </w:rPr>
        <w:t xml:space="preserve"> </w:t>
      </w:r>
      <w:r w:rsidR="00DB219C" w:rsidRPr="000F7276">
        <w:rPr>
          <w:sz w:val="24"/>
          <w:szCs w:val="24"/>
        </w:rPr>
        <w:t>appl</w:t>
      </w:r>
      <w:r w:rsidR="00E2339B" w:rsidRPr="000F7276">
        <w:rPr>
          <w:sz w:val="24"/>
          <w:szCs w:val="24"/>
        </w:rPr>
        <w:t>ied</w:t>
      </w:r>
      <w:r w:rsidR="00DB219C" w:rsidRPr="000F7276">
        <w:rPr>
          <w:sz w:val="24"/>
          <w:szCs w:val="24"/>
        </w:rPr>
        <w:t xml:space="preserve"> to all types of lending instruments, including </w:t>
      </w:r>
      <w:r w:rsidR="003F1948" w:rsidRPr="000F7276">
        <w:rPr>
          <w:sz w:val="24"/>
          <w:szCs w:val="24"/>
        </w:rPr>
        <w:t xml:space="preserve">development </w:t>
      </w:r>
      <w:r w:rsidR="001109E3" w:rsidRPr="000F7276">
        <w:rPr>
          <w:sz w:val="24"/>
          <w:szCs w:val="24"/>
        </w:rPr>
        <w:t xml:space="preserve">policy </w:t>
      </w:r>
      <w:r w:rsidR="00DB219C" w:rsidRPr="000F7276">
        <w:rPr>
          <w:sz w:val="24"/>
          <w:szCs w:val="24"/>
        </w:rPr>
        <w:t>and</w:t>
      </w:r>
      <w:r w:rsidR="003F1948" w:rsidRPr="000F7276">
        <w:rPr>
          <w:sz w:val="24"/>
          <w:szCs w:val="24"/>
        </w:rPr>
        <w:t xml:space="preserve"> program</w:t>
      </w:r>
      <w:r w:rsidR="00DB219C" w:rsidRPr="000F7276">
        <w:rPr>
          <w:sz w:val="24"/>
          <w:szCs w:val="24"/>
        </w:rPr>
        <w:t xml:space="preserve">matic </w:t>
      </w:r>
      <w:r w:rsidR="003F1948" w:rsidRPr="000F7276">
        <w:rPr>
          <w:sz w:val="24"/>
          <w:szCs w:val="24"/>
        </w:rPr>
        <w:t xml:space="preserve">lending, </w:t>
      </w:r>
      <w:r w:rsidR="00DB219C" w:rsidRPr="000F7276">
        <w:rPr>
          <w:sz w:val="24"/>
          <w:szCs w:val="24"/>
        </w:rPr>
        <w:t>albeit with procedural differences as warranted by the structure and project cycles of these diverse lending instruments.</w:t>
      </w:r>
      <w:r w:rsidR="003F7392" w:rsidRPr="000F7276">
        <w:rPr>
          <w:sz w:val="24"/>
          <w:szCs w:val="24"/>
        </w:rPr>
        <w:t xml:space="preserve"> </w:t>
      </w:r>
      <w:r w:rsidR="00DB219C" w:rsidRPr="000F7276">
        <w:rPr>
          <w:sz w:val="24"/>
          <w:szCs w:val="24"/>
        </w:rPr>
        <w:t xml:space="preserve">Examples of such procedural differences </w:t>
      </w:r>
      <w:r w:rsidR="0089232A" w:rsidRPr="000F7276">
        <w:rPr>
          <w:sz w:val="24"/>
          <w:szCs w:val="24"/>
        </w:rPr>
        <w:t xml:space="preserve">include </w:t>
      </w:r>
      <w:r w:rsidR="00DB219C" w:rsidRPr="000F7276">
        <w:rPr>
          <w:sz w:val="24"/>
          <w:szCs w:val="24"/>
        </w:rPr>
        <w:t>the use of</w:t>
      </w:r>
      <w:r w:rsidR="003F7392" w:rsidRPr="000F7276">
        <w:rPr>
          <w:sz w:val="24"/>
          <w:szCs w:val="24"/>
        </w:rPr>
        <w:t xml:space="preserve"> </w:t>
      </w:r>
      <w:r w:rsidR="001109E3" w:rsidRPr="000F7276">
        <w:rPr>
          <w:sz w:val="24"/>
          <w:szCs w:val="24"/>
        </w:rPr>
        <w:t xml:space="preserve">strategic environmental and social assessment (SESA), frameworks or various forms of risk assessment </w:t>
      </w:r>
      <w:r w:rsidR="00DD0FED" w:rsidRPr="000F7276">
        <w:rPr>
          <w:sz w:val="24"/>
          <w:szCs w:val="24"/>
        </w:rPr>
        <w:t xml:space="preserve">and management tools </w:t>
      </w:r>
      <w:r w:rsidR="001109E3" w:rsidRPr="000F7276">
        <w:rPr>
          <w:sz w:val="24"/>
          <w:szCs w:val="24"/>
        </w:rPr>
        <w:t xml:space="preserve">in lieu of </w:t>
      </w:r>
      <w:r w:rsidR="0089232A" w:rsidRPr="000F7276">
        <w:rPr>
          <w:sz w:val="24"/>
          <w:szCs w:val="24"/>
        </w:rPr>
        <w:t xml:space="preserve">the </w:t>
      </w:r>
      <w:r w:rsidR="00DD0FED" w:rsidRPr="000F7276">
        <w:rPr>
          <w:sz w:val="24"/>
          <w:szCs w:val="24"/>
        </w:rPr>
        <w:t>site-specific</w:t>
      </w:r>
      <w:r w:rsidR="00DB219C" w:rsidRPr="000F7276">
        <w:rPr>
          <w:sz w:val="24"/>
          <w:szCs w:val="24"/>
        </w:rPr>
        <w:t xml:space="preserve"> impact and risk assessment and management</w:t>
      </w:r>
      <w:r w:rsidR="003F7392" w:rsidRPr="000F7276">
        <w:rPr>
          <w:sz w:val="24"/>
          <w:szCs w:val="24"/>
        </w:rPr>
        <w:t xml:space="preserve"> </w:t>
      </w:r>
      <w:r w:rsidR="001109E3" w:rsidRPr="000F7276">
        <w:rPr>
          <w:sz w:val="24"/>
          <w:szCs w:val="24"/>
        </w:rPr>
        <w:t xml:space="preserve">instruments (such as Environmental Impact Assessment, Resettlement Action Plans </w:t>
      </w:r>
      <w:r w:rsidR="00DD0FED" w:rsidRPr="000F7276">
        <w:rPr>
          <w:sz w:val="24"/>
          <w:szCs w:val="24"/>
        </w:rPr>
        <w:t>and Indigenous Peoples Plans</w:t>
      </w:r>
      <w:r w:rsidR="00DB219C" w:rsidRPr="000F7276">
        <w:rPr>
          <w:sz w:val="24"/>
          <w:szCs w:val="24"/>
        </w:rPr>
        <w:t>)</w:t>
      </w:r>
      <w:r w:rsidR="00DD0FED" w:rsidRPr="000F7276">
        <w:rPr>
          <w:sz w:val="24"/>
          <w:szCs w:val="24"/>
        </w:rPr>
        <w:t xml:space="preserve"> that are</w:t>
      </w:r>
      <w:r w:rsidR="00D31624" w:rsidRPr="000F7276">
        <w:rPr>
          <w:sz w:val="24"/>
          <w:szCs w:val="24"/>
        </w:rPr>
        <w:t xml:space="preserve"> </w:t>
      </w:r>
      <w:r w:rsidR="00DB219C" w:rsidRPr="000F7276">
        <w:rPr>
          <w:sz w:val="24"/>
          <w:szCs w:val="24"/>
        </w:rPr>
        <w:t xml:space="preserve">normally applied to single </w:t>
      </w:r>
      <w:r w:rsidR="00DD0FED" w:rsidRPr="000F7276">
        <w:rPr>
          <w:sz w:val="24"/>
          <w:szCs w:val="24"/>
        </w:rPr>
        <w:t>investment lending projects.</w:t>
      </w:r>
      <w:r w:rsidR="00487487" w:rsidRPr="000F7276">
        <w:rPr>
          <w:sz w:val="24"/>
          <w:szCs w:val="24"/>
        </w:rPr>
        <w:t xml:space="preserve"> </w:t>
      </w:r>
    </w:p>
    <w:p w14:paraId="56D1967B" w14:textId="77777777" w:rsidR="00A009E7" w:rsidRDefault="00150228" w:rsidP="00A009E7">
      <w:pPr>
        <w:pStyle w:val="Default"/>
        <w:spacing w:after="240"/>
      </w:pPr>
      <w:r w:rsidRPr="000F7276">
        <w:rPr>
          <w:rFonts w:ascii="Calibri" w:hAnsi="Calibri"/>
        </w:rPr>
        <w:t xml:space="preserve">In terms of scope, the major difference between the World Bank and its counterpart MDBs is the </w:t>
      </w:r>
      <w:r w:rsidRPr="000F7276">
        <w:rPr>
          <w:rFonts w:ascii="Calibri" w:hAnsi="Calibri" w:cs="Arial"/>
        </w:rPr>
        <w:t>Bank</w:t>
      </w:r>
      <w:r w:rsidR="009D3CBD" w:rsidRPr="000F7276">
        <w:rPr>
          <w:rFonts w:ascii="Calibri" w:hAnsi="Calibri" w:cs="Arial"/>
        </w:rPr>
        <w:t>’s</w:t>
      </w:r>
      <w:r w:rsidRPr="000F7276">
        <w:rPr>
          <w:rFonts w:ascii="Calibri" w:hAnsi="Calibri" w:cs="Arial"/>
        </w:rPr>
        <w:t xml:space="preserve"> application of different safeguard systems to public and private sector</w:t>
      </w:r>
      <w:r w:rsidR="009D3CBD" w:rsidRPr="000F7276">
        <w:rPr>
          <w:rFonts w:ascii="Calibri" w:hAnsi="Calibri" w:cs="Arial"/>
        </w:rPr>
        <w:t>-</w:t>
      </w:r>
      <w:r w:rsidRPr="000F7276">
        <w:rPr>
          <w:rFonts w:ascii="Calibri" w:hAnsi="Calibri" w:cs="Arial"/>
        </w:rPr>
        <w:t xml:space="preserve">led projects, for example using “World Bank Performance Standards” (derived directly from IFC Performance Standards) for the </w:t>
      </w:r>
      <w:r w:rsidRPr="000F7276">
        <w:rPr>
          <w:rFonts w:ascii="Calibri" w:hAnsi="Calibri" w:cs="Times New Roman"/>
        </w:rPr>
        <w:t>projects (or components thereof) that are owned, constructed and/or operated by the private sector</w:t>
      </w:r>
      <w:r w:rsidR="00231715" w:rsidRPr="000F7276">
        <w:rPr>
          <w:rFonts w:ascii="Calibri" w:hAnsi="Calibri" w:cs="Times New Roman"/>
        </w:rPr>
        <w:t>,</w:t>
      </w:r>
      <w:r w:rsidRPr="000F7276">
        <w:rPr>
          <w:rFonts w:ascii="Calibri" w:hAnsi="Calibri" w:cs="Times New Roman"/>
        </w:rPr>
        <w:t xml:space="preserve"> including public</w:t>
      </w:r>
      <w:r w:rsidR="009D3CBD" w:rsidRPr="000F7276">
        <w:rPr>
          <w:rFonts w:ascii="Calibri" w:hAnsi="Calibri" w:cs="Times New Roman"/>
        </w:rPr>
        <w:t>-</w:t>
      </w:r>
      <w:r w:rsidRPr="000F7276">
        <w:rPr>
          <w:rFonts w:ascii="Calibri" w:hAnsi="Calibri" w:cs="Times New Roman"/>
        </w:rPr>
        <w:t>private partnerships.</w:t>
      </w:r>
      <w:r w:rsidR="00E2339B" w:rsidRPr="000F7276">
        <w:rPr>
          <w:rStyle w:val="FootnoteReference"/>
          <w:rFonts w:ascii="Calibri" w:hAnsi="Calibri" w:cs="Times New Roman"/>
        </w:rPr>
        <w:footnoteReference w:id="21"/>
      </w:r>
      <w:r w:rsidR="00C52931" w:rsidRPr="000F7276">
        <w:rPr>
          <w:rFonts w:ascii="Calibri" w:hAnsi="Calibri" w:cs="Times New Roman"/>
        </w:rPr>
        <w:t xml:space="preserve"> </w:t>
      </w:r>
      <w:r w:rsidR="009D3CBD" w:rsidRPr="000F7276">
        <w:rPr>
          <w:rFonts w:ascii="Calibri" w:hAnsi="Calibri" w:cs="Times New Roman"/>
        </w:rPr>
        <w:t xml:space="preserve">It should </w:t>
      </w:r>
      <w:r w:rsidR="00E2339B" w:rsidRPr="000F7276">
        <w:rPr>
          <w:rFonts w:ascii="Calibri" w:hAnsi="Calibri" w:cs="Times New Roman"/>
        </w:rPr>
        <w:t xml:space="preserve">also </w:t>
      </w:r>
      <w:r w:rsidR="009D3CBD" w:rsidRPr="000F7276">
        <w:rPr>
          <w:rFonts w:ascii="Calibri" w:hAnsi="Calibri" w:cs="Times New Roman"/>
        </w:rPr>
        <w:t>be noted</w:t>
      </w:r>
      <w:r w:rsidRPr="000F7276">
        <w:rPr>
          <w:rFonts w:ascii="Calibri" w:hAnsi="Calibri" w:cs="Arial"/>
        </w:rPr>
        <w:t xml:space="preserve"> that the World Bank Group</w:t>
      </w:r>
      <w:r w:rsidR="00064E83" w:rsidRPr="000F7276">
        <w:rPr>
          <w:rFonts w:ascii="Calibri" w:hAnsi="Calibri" w:cs="Arial"/>
        </w:rPr>
        <w:t xml:space="preserve"> consists of separate institutions that serve the public (IBRD/IDA) </w:t>
      </w:r>
      <w:r w:rsidRPr="000F7276">
        <w:rPr>
          <w:rFonts w:ascii="Calibri" w:hAnsi="Calibri" w:cs="Arial"/>
        </w:rPr>
        <w:t>and private (IFC/MIGA)</w:t>
      </w:r>
      <w:r w:rsidR="009D3CBD" w:rsidRPr="000F7276">
        <w:rPr>
          <w:rFonts w:ascii="Calibri" w:hAnsi="Calibri" w:cs="Arial"/>
        </w:rPr>
        <w:t xml:space="preserve"> sectors, respectively.</w:t>
      </w:r>
      <w:r w:rsidRPr="000F7276">
        <w:rPr>
          <w:rFonts w:ascii="Calibri" w:hAnsi="Calibri" w:cs="Arial"/>
        </w:rPr>
        <w:t xml:space="preserve"> </w:t>
      </w:r>
      <w:r w:rsidR="009D3CBD" w:rsidRPr="000F7276">
        <w:rPr>
          <w:rFonts w:ascii="Calibri" w:hAnsi="Calibri" w:cs="Arial"/>
        </w:rPr>
        <w:t>O</w:t>
      </w:r>
      <w:r w:rsidRPr="000F7276">
        <w:rPr>
          <w:rFonts w:ascii="Calibri" w:hAnsi="Calibri" w:cs="Arial"/>
        </w:rPr>
        <w:t>ther MDBs, such as ADB, AfDB</w:t>
      </w:r>
      <w:r w:rsidR="004432FB" w:rsidRPr="000F7276">
        <w:rPr>
          <w:rFonts w:ascii="Calibri" w:hAnsi="Calibri" w:cs="Arial"/>
        </w:rPr>
        <w:t>, EIB</w:t>
      </w:r>
      <w:r w:rsidRPr="000F7276">
        <w:rPr>
          <w:rFonts w:ascii="Calibri" w:hAnsi="Calibri" w:cs="Arial"/>
        </w:rPr>
        <w:t xml:space="preserve"> and IDB, with substantial private sector lending portfolios, apply the same </w:t>
      </w:r>
      <w:r w:rsidR="00E2339B" w:rsidRPr="000F7276">
        <w:rPr>
          <w:rFonts w:ascii="Calibri" w:hAnsi="Calibri" w:cs="Arial"/>
        </w:rPr>
        <w:t>o</w:t>
      </w:r>
      <w:r w:rsidRPr="000F7276">
        <w:rPr>
          <w:rFonts w:ascii="Calibri" w:hAnsi="Calibri" w:cs="Arial"/>
        </w:rPr>
        <w:t xml:space="preserve">perational </w:t>
      </w:r>
      <w:r w:rsidR="00E2339B" w:rsidRPr="000F7276">
        <w:rPr>
          <w:rFonts w:ascii="Calibri" w:hAnsi="Calibri" w:cs="Arial"/>
        </w:rPr>
        <w:t>s</w:t>
      </w:r>
      <w:r w:rsidRPr="000F7276">
        <w:rPr>
          <w:rFonts w:ascii="Calibri" w:hAnsi="Calibri" w:cs="Arial"/>
        </w:rPr>
        <w:t>afeguards to both categories of projects, while adjusting their procedural requirements to the particular circumstances of private sector activities.</w:t>
      </w:r>
      <w:r w:rsidR="003F7392" w:rsidRPr="000F7276">
        <w:rPr>
          <w:rFonts w:ascii="Calibri" w:hAnsi="Calibri" w:cs="Arial"/>
        </w:rPr>
        <w:t xml:space="preserve"> </w:t>
      </w:r>
      <w:r w:rsidRPr="000F7276">
        <w:rPr>
          <w:rFonts w:ascii="Calibri" w:hAnsi="Calibri" w:cs="Arial"/>
        </w:rPr>
        <w:t xml:space="preserve">The same is true </w:t>
      </w:r>
      <w:r w:rsidR="0089232A" w:rsidRPr="000F7276">
        <w:rPr>
          <w:rFonts w:ascii="Calibri" w:hAnsi="Calibri" w:cs="Arial"/>
        </w:rPr>
        <w:t xml:space="preserve">of </w:t>
      </w:r>
      <w:r w:rsidRPr="000F7276">
        <w:rPr>
          <w:rFonts w:ascii="Calibri" w:hAnsi="Calibri" w:cs="Arial"/>
        </w:rPr>
        <w:t xml:space="preserve">EBRD, albeit with a much </w:t>
      </w:r>
      <w:r w:rsidR="0089232A" w:rsidRPr="000F7276">
        <w:rPr>
          <w:rFonts w:ascii="Calibri" w:hAnsi="Calibri" w:cs="Arial"/>
        </w:rPr>
        <w:t xml:space="preserve">smaller </w:t>
      </w:r>
      <w:r w:rsidRPr="000F7276">
        <w:rPr>
          <w:rFonts w:ascii="Calibri" w:hAnsi="Calibri" w:cs="Arial"/>
        </w:rPr>
        <w:t>public sector portfolio.</w:t>
      </w:r>
      <w:r w:rsidR="003F7392" w:rsidRPr="000F7276">
        <w:rPr>
          <w:rFonts w:ascii="Calibri" w:hAnsi="Calibri" w:cs="Arial"/>
        </w:rPr>
        <w:t xml:space="preserve"> </w:t>
      </w:r>
    </w:p>
    <w:p w14:paraId="6966E0C4" w14:textId="336AC4A1" w:rsidR="00A009E7" w:rsidRDefault="00E626F6" w:rsidP="00A009E7">
      <w:pPr>
        <w:spacing w:after="240"/>
        <w:rPr>
          <w:sz w:val="24"/>
          <w:szCs w:val="24"/>
        </w:rPr>
      </w:pPr>
      <w:r w:rsidRPr="000F7276">
        <w:rPr>
          <w:sz w:val="24"/>
          <w:szCs w:val="24"/>
        </w:rPr>
        <w:t>Table 2</w:t>
      </w:r>
      <w:r w:rsidR="00495629" w:rsidRPr="000F7276">
        <w:rPr>
          <w:sz w:val="24"/>
          <w:szCs w:val="24"/>
        </w:rPr>
        <w:t xml:space="preserve"> below</w:t>
      </w:r>
      <w:r w:rsidRPr="000F7276">
        <w:rPr>
          <w:sz w:val="24"/>
          <w:szCs w:val="24"/>
        </w:rPr>
        <w:t xml:space="preserve"> provides some illustrative examples of how various MDB safeguard systems apply their </w:t>
      </w:r>
      <w:r w:rsidR="00E2339B" w:rsidRPr="000F7276">
        <w:rPr>
          <w:sz w:val="24"/>
          <w:szCs w:val="24"/>
        </w:rPr>
        <w:t>operational requirements</w:t>
      </w:r>
      <w:r w:rsidRPr="000F7276">
        <w:rPr>
          <w:sz w:val="24"/>
          <w:szCs w:val="24"/>
        </w:rPr>
        <w:t xml:space="preserve"> to diverse lending instruments, project structures and circumstances.</w:t>
      </w:r>
      <w:r w:rsidR="003F7392" w:rsidRPr="000F7276">
        <w:rPr>
          <w:sz w:val="24"/>
          <w:szCs w:val="24"/>
        </w:rPr>
        <w:t xml:space="preserve"> </w:t>
      </w:r>
      <w:r w:rsidRPr="000F7276">
        <w:rPr>
          <w:sz w:val="24"/>
          <w:szCs w:val="24"/>
        </w:rPr>
        <w:t xml:space="preserve">In general, </w:t>
      </w:r>
      <w:r w:rsidR="003F1948" w:rsidRPr="000F7276">
        <w:rPr>
          <w:sz w:val="24"/>
          <w:szCs w:val="24"/>
        </w:rPr>
        <w:t xml:space="preserve">MDBs tend to make </w:t>
      </w:r>
      <w:r w:rsidRPr="000F7276">
        <w:rPr>
          <w:sz w:val="24"/>
          <w:szCs w:val="24"/>
        </w:rPr>
        <w:t>relatively</w:t>
      </w:r>
      <w:r w:rsidR="003F1948" w:rsidRPr="000F7276">
        <w:rPr>
          <w:sz w:val="24"/>
          <w:szCs w:val="24"/>
        </w:rPr>
        <w:t xml:space="preserve"> clear distinctions between aspirational, mandatory and guidance policies and procedures.</w:t>
      </w:r>
      <w:r w:rsidR="003F7392" w:rsidRPr="000F7276">
        <w:rPr>
          <w:sz w:val="24"/>
          <w:szCs w:val="24"/>
        </w:rPr>
        <w:t xml:space="preserve"> </w:t>
      </w:r>
      <w:r w:rsidR="003F1948" w:rsidRPr="000F7276">
        <w:rPr>
          <w:sz w:val="24"/>
          <w:szCs w:val="24"/>
        </w:rPr>
        <w:t xml:space="preserve">Accordingly, the individual components of </w:t>
      </w:r>
      <w:r w:rsidR="008878F7" w:rsidRPr="000F7276">
        <w:rPr>
          <w:sz w:val="24"/>
          <w:szCs w:val="24"/>
        </w:rPr>
        <w:t xml:space="preserve">MDB </w:t>
      </w:r>
      <w:r w:rsidR="003F1948" w:rsidRPr="000F7276">
        <w:rPr>
          <w:sz w:val="24"/>
          <w:szCs w:val="24"/>
        </w:rPr>
        <w:t xml:space="preserve">safeguard systems are subject to </w:t>
      </w:r>
      <w:r w:rsidR="008878F7" w:rsidRPr="000F7276">
        <w:rPr>
          <w:sz w:val="24"/>
          <w:szCs w:val="24"/>
        </w:rPr>
        <w:t>varying</w:t>
      </w:r>
      <w:r w:rsidR="003F1948" w:rsidRPr="000F7276">
        <w:rPr>
          <w:sz w:val="24"/>
          <w:szCs w:val="24"/>
        </w:rPr>
        <w:t xml:space="preserve"> degrees of accountability with respect to institutional governance.</w:t>
      </w:r>
      <w:r w:rsidRPr="000F7276">
        <w:rPr>
          <w:sz w:val="24"/>
          <w:szCs w:val="24"/>
        </w:rPr>
        <w:t xml:space="preserve"> </w:t>
      </w:r>
    </w:p>
    <w:p w14:paraId="46C9EFBA" w14:textId="77777777" w:rsidR="00A009E7" w:rsidRDefault="00A009E7">
      <w:pPr>
        <w:autoSpaceDE/>
        <w:autoSpaceDN/>
        <w:adjustRightInd/>
        <w:rPr>
          <w:b/>
          <w:bCs/>
        </w:rPr>
      </w:pPr>
      <w:r>
        <w:rPr>
          <w:b/>
          <w:bCs/>
        </w:rPr>
        <w:br w:type="page"/>
      </w:r>
    </w:p>
    <w:p w14:paraId="069612EA" w14:textId="4B48E6C5" w:rsidR="0030214A" w:rsidRPr="000F7276" w:rsidRDefault="00D97766" w:rsidP="00A009E7">
      <w:pPr>
        <w:keepNext/>
        <w:keepLines/>
        <w:jc w:val="center"/>
        <w:rPr>
          <w:b/>
          <w:bCs/>
        </w:rPr>
      </w:pPr>
      <w:r w:rsidRPr="000F7276">
        <w:rPr>
          <w:b/>
          <w:bCs/>
        </w:rPr>
        <w:t>Table</w:t>
      </w:r>
      <w:r w:rsidR="00A221A3" w:rsidRPr="000F7276">
        <w:rPr>
          <w:b/>
          <w:bCs/>
        </w:rPr>
        <w:t xml:space="preserve"> </w:t>
      </w:r>
      <w:r w:rsidRPr="000F7276">
        <w:rPr>
          <w:b/>
          <w:bCs/>
        </w:rPr>
        <w:t>2.</w:t>
      </w:r>
      <w:r w:rsidR="003F7392" w:rsidRPr="000F7276">
        <w:rPr>
          <w:b/>
          <w:bCs/>
        </w:rPr>
        <w:t xml:space="preserve"> </w:t>
      </w:r>
      <w:r w:rsidR="000562B7" w:rsidRPr="000F7276">
        <w:rPr>
          <w:b/>
          <w:bCs/>
        </w:rPr>
        <w:t xml:space="preserve">Application of MDB Safeguard Systems to </w:t>
      </w:r>
      <w:r w:rsidR="002E12EC" w:rsidRPr="000F7276">
        <w:rPr>
          <w:b/>
          <w:bCs/>
        </w:rPr>
        <w:t>D</w:t>
      </w:r>
      <w:r w:rsidR="000562B7" w:rsidRPr="000F7276">
        <w:rPr>
          <w:b/>
          <w:bCs/>
        </w:rPr>
        <w:t xml:space="preserve">iverse Lending Instruments, </w:t>
      </w:r>
      <w:r w:rsidR="00696CB0">
        <w:rPr>
          <w:b/>
          <w:bCs/>
        </w:rPr>
        <w:br/>
      </w:r>
      <w:r w:rsidR="000562B7" w:rsidRPr="000F7276">
        <w:rPr>
          <w:b/>
          <w:bCs/>
        </w:rPr>
        <w:t>Project Structures and Circumstances</w:t>
      </w:r>
    </w:p>
    <w:tbl>
      <w:tblPr>
        <w:tblW w:w="947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250"/>
        <w:gridCol w:w="1530"/>
        <w:gridCol w:w="1939"/>
        <w:gridCol w:w="1737"/>
        <w:gridCol w:w="1544"/>
        <w:gridCol w:w="1473"/>
      </w:tblGrid>
      <w:tr w:rsidR="00DA61A2" w:rsidRPr="000F7276" w14:paraId="3D94CBD3" w14:textId="77777777" w:rsidTr="008504F5">
        <w:trPr>
          <w:jc w:val="center"/>
        </w:trPr>
        <w:tc>
          <w:tcPr>
            <w:tcW w:w="1250" w:type="dxa"/>
            <w:tcBorders>
              <w:bottom w:val="single" w:sz="8" w:space="0" w:color="4F81BD"/>
            </w:tcBorders>
            <w:shd w:val="clear" w:color="auto" w:fill="B8CCE4"/>
          </w:tcPr>
          <w:p w14:paraId="466052FB" w14:textId="77777777" w:rsidR="0030214A" w:rsidRPr="000F7276" w:rsidRDefault="0030214A" w:rsidP="00A009E7">
            <w:pPr>
              <w:keepNext/>
              <w:keepLines/>
              <w:rPr>
                <w:sz w:val="18"/>
                <w:szCs w:val="18"/>
              </w:rPr>
            </w:pPr>
          </w:p>
        </w:tc>
        <w:tc>
          <w:tcPr>
            <w:tcW w:w="1530" w:type="dxa"/>
            <w:shd w:val="clear" w:color="auto" w:fill="B8CCE4"/>
          </w:tcPr>
          <w:p w14:paraId="785C34F5" w14:textId="77777777" w:rsidR="0030214A" w:rsidRPr="000F7276" w:rsidRDefault="00DA4114" w:rsidP="00A009E7">
            <w:pPr>
              <w:keepNext/>
              <w:keepLines/>
              <w:rPr>
                <w:b/>
                <w:sz w:val="18"/>
                <w:szCs w:val="18"/>
              </w:rPr>
            </w:pPr>
            <w:r w:rsidRPr="000F7276">
              <w:rPr>
                <w:b/>
                <w:sz w:val="18"/>
                <w:szCs w:val="18"/>
              </w:rPr>
              <w:t>Clear distinction between aspirational, mandatory and guidance policies and procedures</w:t>
            </w:r>
          </w:p>
        </w:tc>
        <w:tc>
          <w:tcPr>
            <w:tcW w:w="1939" w:type="dxa"/>
            <w:shd w:val="clear" w:color="auto" w:fill="B8CCE4"/>
          </w:tcPr>
          <w:p w14:paraId="046889AD" w14:textId="6D9A783F" w:rsidR="0030214A" w:rsidRPr="000F7276" w:rsidRDefault="00DA4114" w:rsidP="00A009E7">
            <w:pPr>
              <w:keepNext/>
              <w:keepLines/>
              <w:rPr>
                <w:sz w:val="18"/>
                <w:szCs w:val="18"/>
              </w:rPr>
            </w:pPr>
            <w:r w:rsidRPr="000F7276">
              <w:rPr>
                <w:b/>
                <w:sz w:val="18"/>
                <w:szCs w:val="18"/>
              </w:rPr>
              <w:t>Differential application to diverse financing instruments</w:t>
            </w:r>
            <w:r w:rsidR="00A009E7">
              <w:rPr>
                <w:rStyle w:val="FootnoteReference"/>
                <w:b/>
                <w:sz w:val="18"/>
                <w:szCs w:val="18"/>
              </w:rPr>
              <w:footnoteReference w:id="22"/>
            </w:r>
          </w:p>
        </w:tc>
        <w:tc>
          <w:tcPr>
            <w:tcW w:w="1737" w:type="dxa"/>
            <w:shd w:val="clear" w:color="auto" w:fill="B8CCE4"/>
          </w:tcPr>
          <w:p w14:paraId="39767043" w14:textId="77777777" w:rsidR="0030214A" w:rsidRPr="000F7276" w:rsidRDefault="00DA4114" w:rsidP="00A009E7">
            <w:pPr>
              <w:keepNext/>
              <w:keepLines/>
              <w:rPr>
                <w:b/>
                <w:sz w:val="18"/>
                <w:szCs w:val="18"/>
              </w:rPr>
            </w:pPr>
            <w:r w:rsidRPr="000F7276">
              <w:rPr>
                <w:b/>
                <w:sz w:val="18"/>
                <w:szCs w:val="18"/>
              </w:rPr>
              <w:t>Differential application among Investment Lending instruments and circumstances</w:t>
            </w:r>
            <w:r w:rsidRPr="000F7276">
              <w:rPr>
                <w:rStyle w:val="FootnoteReference"/>
                <w:b/>
                <w:sz w:val="18"/>
                <w:szCs w:val="18"/>
              </w:rPr>
              <w:footnoteReference w:id="23"/>
            </w:r>
          </w:p>
        </w:tc>
        <w:tc>
          <w:tcPr>
            <w:tcW w:w="1544" w:type="dxa"/>
            <w:shd w:val="clear" w:color="auto" w:fill="B8CCE4"/>
          </w:tcPr>
          <w:p w14:paraId="0FBD9FF2" w14:textId="77777777" w:rsidR="0030214A" w:rsidRPr="000F7276" w:rsidRDefault="00DA4114" w:rsidP="00A009E7">
            <w:pPr>
              <w:keepNext/>
              <w:keepLines/>
              <w:rPr>
                <w:sz w:val="18"/>
                <w:szCs w:val="18"/>
              </w:rPr>
            </w:pPr>
            <w:r w:rsidRPr="000F7276">
              <w:rPr>
                <w:b/>
                <w:sz w:val="18"/>
                <w:szCs w:val="18"/>
              </w:rPr>
              <w:t>Same set of safeguard requirements applied to public and private sector</w:t>
            </w:r>
            <w:r w:rsidRPr="000F7276">
              <w:rPr>
                <w:rStyle w:val="FootnoteReference"/>
                <w:b/>
                <w:sz w:val="18"/>
                <w:szCs w:val="18"/>
              </w:rPr>
              <w:footnoteReference w:id="24"/>
            </w:r>
          </w:p>
        </w:tc>
        <w:tc>
          <w:tcPr>
            <w:tcW w:w="1473" w:type="dxa"/>
            <w:shd w:val="clear" w:color="auto" w:fill="B8CCE4"/>
          </w:tcPr>
          <w:p w14:paraId="78ADC613" w14:textId="77777777" w:rsidR="0030214A" w:rsidRPr="000F7276" w:rsidRDefault="00DA4114" w:rsidP="00A009E7">
            <w:pPr>
              <w:keepNext/>
              <w:keepLines/>
              <w:rPr>
                <w:b/>
                <w:sz w:val="18"/>
                <w:szCs w:val="18"/>
              </w:rPr>
            </w:pPr>
            <w:r w:rsidRPr="000F7276">
              <w:rPr>
                <w:b/>
                <w:sz w:val="18"/>
                <w:szCs w:val="18"/>
              </w:rPr>
              <w:t>Clarity between Bank and Borrower responsibilities</w:t>
            </w:r>
          </w:p>
        </w:tc>
      </w:tr>
      <w:tr w:rsidR="00DA61A2" w:rsidRPr="000F7276" w14:paraId="201AE616" w14:textId="77777777" w:rsidTr="008504F5">
        <w:trPr>
          <w:jc w:val="center"/>
        </w:trPr>
        <w:tc>
          <w:tcPr>
            <w:tcW w:w="1250" w:type="dxa"/>
            <w:tcBorders>
              <w:bottom w:val="single" w:sz="8" w:space="0" w:color="4F81BD"/>
            </w:tcBorders>
            <w:shd w:val="clear" w:color="auto" w:fill="DBE5F1"/>
          </w:tcPr>
          <w:p w14:paraId="105C407C" w14:textId="77777777" w:rsidR="00495629" w:rsidRPr="000F7276" w:rsidRDefault="00DA4114" w:rsidP="00A009E7">
            <w:pPr>
              <w:rPr>
                <w:b/>
                <w:sz w:val="20"/>
                <w:szCs w:val="20"/>
              </w:rPr>
            </w:pPr>
            <w:r w:rsidRPr="000F7276">
              <w:rPr>
                <w:b/>
                <w:sz w:val="20"/>
                <w:szCs w:val="20"/>
              </w:rPr>
              <w:t>ADB</w:t>
            </w:r>
          </w:p>
        </w:tc>
        <w:tc>
          <w:tcPr>
            <w:tcW w:w="1530" w:type="dxa"/>
            <w:shd w:val="clear" w:color="auto" w:fill="auto"/>
          </w:tcPr>
          <w:p w14:paraId="3E229EED" w14:textId="77777777" w:rsidR="00DA4114" w:rsidRPr="000F7276" w:rsidRDefault="00DA4114" w:rsidP="00A009E7">
            <w:pPr>
              <w:jc w:val="center"/>
              <w:rPr>
                <w:sz w:val="20"/>
                <w:szCs w:val="20"/>
              </w:rPr>
            </w:pPr>
            <w:r w:rsidRPr="000F7276">
              <w:rPr>
                <w:sz w:val="20"/>
                <w:szCs w:val="20"/>
              </w:rPr>
              <w:t>Yes</w:t>
            </w:r>
          </w:p>
        </w:tc>
        <w:tc>
          <w:tcPr>
            <w:tcW w:w="1939" w:type="dxa"/>
            <w:shd w:val="clear" w:color="auto" w:fill="auto"/>
          </w:tcPr>
          <w:p w14:paraId="5137C7AF" w14:textId="77777777" w:rsidR="00DA4114" w:rsidRPr="000F7276" w:rsidRDefault="00DA4114" w:rsidP="00A009E7">
            <w:pPr>
              <w:jc w:val="center"/>
              <w:rPr>
                <w:sz w:val="20"/>
                <w:szCs w:val="20"/>
              </w:rPr>
            </w:pPr>
            <w:r w:rsidRPr="000F7276">
              <w:rPr>
                <w:sz w:val="20"/>
                <w:szCs w:val="20"/>
              </w:rPr>
              <w:t>Yes</w:t>
            </w:r>
          </w:p>
        </w:tc>
        <w:tc>
          <w:tcPr>
            <w:tcW w:w="1737" w:type="dxa"/>
            <w:shd w:val="clear" w:color="auto" w:fill="auto"/>
          </w:tcPr>
          <w:p w14:paraId="63F45964" w14:textId="77777777" w:rsidR="00495629" w:rsidRPr="000F7276" w:rsidRDefault="00DA4114" w:rsidP="00A009E7">
            <w:pPr>
              <w:jc w:val="center"/>
              <w:rPr>
                <w:sz w:val="20"/>
                <w:szCs w:val="20"/>
              </w:rPr>
            </w:pPr>
            <w:r w:rsidRPr="000F7276">
              <w:rPr>
                <w:sz w:val="20"/>
                <w:szCs w:val="20"/>
              </w:rPr>
              <w:t>Yes</w:t>
            </w:r>
            <w:r w:rsidR="005E2DEF" w:rsidRPr="000F7276">
              <w:rPr>
                <w:rStyle w:val="FootnoteReference"/>
                <w:sz w:val="20"/>
                <w:szCs w:val="20"/>
              </w:rPr>
              <w:footnoteReference w:id="25"/>
            </w:r>
          </w:p>
        </w:tc>
        <w:tc>
          <w:tcPr>
            <w:tcW w:w="1544" w:type="dxa"/>
            <w:shd w:val="clear" w:color="auto" w:fill="auto"/>
          </w:tcPr>
          <w:p w14:paraId="301642D9" w14:textId="77777777" w:rsidR="00DA4114" w:rsidRPr="000F7276" w:rsidRDefault="00DA4114" w:rsidP="00A009E7">
            <w:pPr>
              <w:jc w:val="center"/>
              <w:rPr>
                <w:sz w:val="20"/>
                <w:szCs w:val="20"/>
              </w:rPr>
            </w:pPr>
            <w:r w:rsidRPr="000F7276">
              <w:rPr>
                <w:sz w:val="20"/>
                <w:szCs w:val="20"/>
              </w:rPr>
              <w:t>Yes</w:t>
            </w:r>
          </w:p>
        </w:tc>
        <w:tc>
          <w:tcPr>
            <w:tcW w:w="1473" w:type="dxa"/>
            <w:shd w:val="clear" w:color="auto" w:fill="auto"/>
          </w:tcPr>
          <w:p w14:paraId="610F396D" w14:textId="77777777" w:rsidR="00DA4114" w:rsidRPr="000F7276" w:rsidRDefault="00DA4114" w:rsidP="00A009E7">
            <w:pPr>
              <w:jc w:val="center"/>
              <w:rPr>
                <w:sz w:val="20"/>
                <w:szCs w:val="20"/>
              </w:rPr>
            </w:pPr>
            <w:r w:rsidRPr="000F7276">
              <w:rPr>
                <w:sz w:val="20"/>
                <w:szCs w:val="20"/>
              </w:rPr>
              <w:t>Yes</w:t>
            </w:r>
          </w:p>
        </w:tc>
      </w:tr>
      <w:tr w:rsidR="00DA61A2" w:rsidRPr="000F7276" w14:paraId="6A95052B" w14:textId="77777777" w:rsidTr="008504F5">
        <w:trPr>
          <w:jc w:val="center"/>
        </w:trPr>
        <w:tc>
          <w:tcPr>
            <w:tcW w:w="1250" w:type="dxa"/>
            <w:shd w:val="clear" w:color="auto" w:fill="DBE5F1"/>
          </w:tcPr>
          <w:p w14:paraId="42F9AB84" w14:textId="77777777" w:rsidR="00DA4114" w:rsidRPr="000F7276" w:rsidRDefault="00DA4114" w:rsidP="00A009E7">
            <w:pPr>
              <w:rPr>
                <w:b/>
                <w:sz w:val="20"/>
                <w:szCs w:val="20"/>
              </w:rPr>
            </w:pPr>
            <w:r w:rsidRPr="000F7276">
              <w:rPr>
                <w:b/>
                <w:sz w:val="20"/>
                <w:szCs w:val="20"/>
              </w:rPr>
              <w:t>AfDB</w:t>
            </w:r>
          </w:p>
        </w:tc>
        <w:tc>
          <w:tcPr>
            <w:tcW w:w="1530" w:type="dxa"/>
            <w:shd w:val="clear" w:color="auto" w:fill="auto"/>
          </w:tcPr>
          <w:p w14:paraId="7F35B267" w14:textId="77777777" w:rsidR="00495629" w:rsidRPr="000F7276" w:rsidRDefault="00DA4114" w:rsidP="00A009E7">
            <w:pPr>
              <w:jc w:val="center"/>
              <w:rPr>
                <w:sz w:val="20"/>
                <w:szCs w:val="20"/>
              </w:rPr>
            </w:pPr>
            <w:r w:rsidRPr="000F7276">
              <w:rPr>
                <w:sz w:val="20"/>
                <w:szCs w:val="20"/>
              </w:rPr>
              <w:t>Yes</w:t>
            </w:r>
          </w:p>
        </w:tc>
        <w:tc>
          <w:tcPr>
            <w:tcW w:w="1939" w:type="dxa"/>
            <w:shd w:val="clear" w:color="auto" w:fill="auto"/>
          </w:tcPr>
          <w:p w14:paraId="4A0A1640" w14:textId="77777777" w:rsidR="00DA4114" w:rsidRPr="000F7276" w:rsidRDefault="009234A2" w:rsidP="00A009E7">
            <w:pPr>
              <w:jc w:val="center"/>
              <w:rPr>
                <w:sz w:val="20"/>
                <w:szCs w:val="20"/>
              </w:rPr>
            </w:pPr>
            <w:r w:rsidRPr="000F7276">
              <w:rPr>
                <w:sz w:val="20"/>
                <w:szCs w:val="20"/>
              </w:rPr>
              <w:t>Yes</w:t>
            </w:r>
            <w:r w:rsidRPr="000F7276">
              <w:rPr>
                <w:rStyle w:val="FootnoteReference"/>
                <w:sz w:val="20"/>
                <w:szCs w:val="20"/>
              </w:rPr>
              <w:footnoteReference w:id="26"/>
            </w:r>
          </w:p>
        </w:tc>
        <w:tc>
          <w:tcPr>
            <w:tcW w:w="1737" w:type="dxa"/>
            <w:shd w:val="clear" w:color="auto" w:fill="auto"/>
          </w:tcPr>
          <w:p w14:paraId="00046068" w14:textId="77777777" w:rsidR="00DA4114" w:rsidRPr="000F7276" w:rsidRDefault="00DA4114" w:rsidP="00A009E7">
            <w:pPr>
              <w:jc w:val="center"/>
              <w:rPr>
                <w:sz w:val="20"/>
                <w:szCs w:val="20"/>
              </w:rPr>
            </w:pPr>
            <w:r w:rsidRPr="000F7276">
              <w:rPr>
                <w:sz w:val="20"/>
                <w:szCs w:val="20"/>
              </w:rPr>
              <w:t>Yes</w:t>
            </w:r>
          </w:p>
        </w:tc>
        <w:tc>
          <w:tcPr>
            <w:tcW w:w="1544" w:type="dxa"/>
            <w:shd w:val="clear" w:color="auto" w:fill="auto"/>
          </w:tcPr>
          <w:p w14:paraId="42F33060" w14:textId="77777777" w:rsidR="00DA4114" w:rsidRPr="000F7276" w:rsidRDefault="00DA4114" w:rsidP="00A009E7">
            <w:pPr>
              <w:jc w:val="center"/>
              <w:rPr>
                <w:sz w:val="20"/>
                <w:szCs w:val="20"/>
              </w:rPr>
            </w:pPr>
            <w:r w:rsidRPr="000F7276">
              <w:rPr>
                <w:sz w:val="20"/>
                <w:szCs w:val="20"/>
              </w:rPr>
              <w:t>Yes</w:t>
            </w:r>
          </w:p>
        </w:tc>
        <w:tc>
          <w:tcPr>
            <w:tcW w:w="1473" w:type="dxa"/>
            <w:shd w:val="clear" w:color="auto" w:fill="auto"/>
          </w:tcPr>
          <w:p w14:paraId="0693AE5E" w14:textId="77777777" w:rsidR="00DA4114" w:rsidRPr="000F7276" w:rsidRDefault="00DA4114" w:rsidP="00A009E7">
            <w:pPr>
              <w:jc w:val="center"/>
              <w:rPr>
                <w:sz w:val="20"/>
                <w:szCs w:val="20"/>
              </w:rPr>
            </w:pPr>
            <w:r w:rsidRPr="000F7276">
              <w:rPr>
                <w:sz w:val="20"/>
                <w:szCs w:val="20"/>
              </w:rPr>
              <w:t>Yes</w:t>
            </w:r>
          </w:p>
        </w:tc>
      </w:tr>
      <w:tr w:rsidR="00DA61A2" w:rsidRPr="000F7276" w14:paraId="18C12CFE" w14:textId="77777777" w:rsidTr="008504F5">
        <w:trPr>
          <w:jc w:val="center"/>
        </w:trPr>
        <w:tc>
          <w:tcPr>
            <w:tcW w:w="1250" w:type="dxa"/>
            <w:shd w:val="clear" w:color="auto" w:fill="DBE5F1"/>
          </w:tcPr>
          <w:p w14:paraId="71F42539" w14:textId="77777777" w:rsidR="00DA4114" w:rsidRPr="000F7276" w:rsidRDefault="00DA4114" w:rsidP="00A009E7">
            <w:pPr>
              <w:rPr>
                <w:b/>
                <w:sz w:val="20"/>
                <w:szCs w:val="20"/>
              </w:rPr>
            </w:pPr>
            <w:r w:rsidRPr="000F7276">
              <w:rPr>
                <w:b/>
                <w:sz w:val="20"/>
                <w:szCs w:val="20"/>
              </w:rPr>
              <w:t>EBRD</w:t>
            </w:r>
          </w:p>
        </w:tc>
        <w:tc>
          <w:tcPr>
            <w:tcW w:w="1530" w:type="dxa"/>
            <w:shd w:val="clear" w:color="auto" w:fill="auto"/>
          </w:tcPr>
          <w:p w14:paraId="3E44FD69" w14:textId="77777777" w:rsidR="00DA4114" w:rsidRPr="000F7276" w:rsidRDefault="00DA4114" w:rsidP="00A009E7">
            <w:pPr>
              <w:jc w:val="center"/>
              <w:rPr>
                <w:rFonts w:cs="Arial"/>
                <w:sz w:val="20"/>
                <w:szCs w:val="20"/>
              </w:rPr>
            </w:pPr>
            <w:r w:rsidRPr="000F7276">
              <w:rPr>
                <w:rFonts w:cs="Arial"/>
                <w:sz w:val="20"/>
                <w:szCs w:val="20"/>
              </w:rPr>
              <w:t>Ye</w:t>
            </w:r>
            <w:r w:rsidR="00495629" w:rsidRPr="000F7276">
              <w:rPr>
                <w:rFonts w:cs="Arial"/>
                <w:sz w:val="20"/>
                <w:szCs w:val="20"/>
              </w:rPr>
              <w:t>s</w:t>
            </w:r>
          </w:p>
        </w:tc>
        <w:tc>
          <w:tcPr>
            <w:tcW w:w="1939" w:type="dxa"/>
            <w:shd w:val="clear" w:color="auto" w:fill="auto"/>
          </w:tcPr>
          <w:p w14:paraId="77BA68CD" w14:textId="77777777" w:rsidR="00DA4114" w:rsidRPr="000F7276" w:rsidRDefault="00DA4114" w:rsidP="00A009E7">
            <w:pPr>
              <w:jc w:val="center"/>
              <w:rPr>
                <w:sz w:val="20"/>
                <w:szCs w:val="20"/>
              </w:rPr>
            </w:pPr>
            <w:r w:rsidRPr="000F7276">
              <w:rPr>
                <w:sz w:val="20"/>
                <w:szCs w:val="20"/>
              </w:rPr>
              <w:t>N/A</w:t>
            </w:r>
            <w:r w:rsidRPr="000F7276">
              <w:rPr>
                <w:rStyle w:val="FootnoteReference"/>
                <w:sz w:val="20"/>
                <w:szCs w:val="20"/>
              </w:rPr>
              <w:footnoteReference w:id="27"/>
            </w:r>
          </w:p>
        </w:tc>
        <w:tc>
          <w:tcPr>
            <w:tcW w:w="1737" w:type="dxa"/>
            <w:shd w:val="clear" w:color="auto" w:fill="auto"/>
          </w:tcPr>
          <w:p w14:paraId="45538180" w14:textId="77777777" w:rsidR="00DA4114" w:rsidRPr="000F7276" w:rsidRDefault="00DA4114" w:rsidP="00A009E7">
            <w:pPr>
              <w:jc w:val="center"/>
              <w:rPr>
                <w:sz w:val="20"/>
                <w:szCs w:val="20"/>
              </w:rPr>
            </w:pPr>
            <w:r w:rsidRPr="000F7276">
              <w:rPr>
                <w:sz w:val="20"/>
                <w:szCs w:val="20"/>
              </w:rPr>
              <w:t>Yes</w:t>
            </w:r>
            <w:r w:rsidRPr="000F7276">
              <w:rPr>
                <w:rStyle w:val="FootnoteReference"/>
                <w:sz w:val="20"/>
                <w:szCs w:val="20"/>
              </w:rPr>
              <w:footnoteReference w:id="28"/>
            </w:r>
          </w:p>
        </w:tc>
        <w:tc>
          <w:tcPr>
            <w:tcW w:w="1544" w:type="dxa"/>
            <w:shd w:val="clear" w:color="auto" w:fill="auto"/>
          </w:tcPr>
          <w:p w14:paraId="2F9BDD40" w14:textId="77777777" w:rsidR="00DA4114" w:rsidRPr="000F7276" w:rsidRDefault="00DA4114" w:rsidP="00A009E7">
            <w:pPr>
              <w:jc w:val="center"/>
              <w:rPr>
                <w:sz w:val="20"/>
                <w:szCs w:val="20"/>
              </w:rPr>
            </w:pPr>
            <w:r w:rsidRPr="000F7276">
              <w:rPr>
                <w:sz w:val="20"/>
                <w:szCs w:val="20"/>
              </w:rPr>
              <w:t>Yes</w:t>
            </w:r>
            <w:r w:rsidRPr="000F7276">
              <w:rPr>
                <w:rStyle w:val="FootnoteReference"/>
                <w:sz w:val="20"/>
                <w:szCs w:val="20"/>
              </w:rPr>
              <w:footnoteReference w:id="29"/>
            </w:r>
          </w:p>
        </w:tc>
        <w:tc>
          <w:tcPr>
            <w:tcW w:w="1473" w:type="dxa"/>
            <w:shd w:val="clear" w:color="auto" w:fill="auto"/>
          </w:tcPr>
          <w:p w14:paraId="09839A40" w14:textId="77777777" w:rsidR="00DA4114" w:rsidRPr="000F7276" w:rsidRDefault="00DA4114" w:rsidP="00A009E7">
            <w:pPr>
              <w:jc w:val="center"/>
              <w:rPr>
                <w:sz w:val="20"/>
                <w:szCs w:val="20"/>
              </w:rPr>
            </w:pPr>
            <w:r w:rsidRPr="000F7276">
              <w:rPr>
                <w:sz w:val="20"/>
                <w:szCs w:val="20"/>
              </w:rPr>
              <w:t>Yes</w:t>
            </w:r>
          </w:p>
        </w:tc>
      </w:tr>
      <w:tr w:rsidR="00DA61A2" w:rsidRPr="000F7276" w14:paraId="17ABB4D1" w14:textId="77777777" w:rsidTr="008504F5">
        <w:trPr>
          <w:jc w:val="center"/>
        </w:trPr>
        <w:tc>
          <w:tcPr>
            <w:tcW w:w="1250" w:type="dxa"/>
            <w:shd w:val="clear" w:color="auto" w:fill="DBE5F1"/>
          </w:tcPr>
          <w:p w14:paraId="45E7D867" w14:textId="77777777" w:rsidR="004432FB" w:rsidRPr="000F7276" w:rsidRDefault="004432FB" w:rsidP="00A009E7">
            <w:pPr>
              <w:rPr>
                <w:b/>
                <w:sz w:val="20"/>
                <w:szCs w:val="20"/>
              </w:rPr>
            </w:pPr>
            <w:r w:rsidRPr="000F7276">
              <w:rPr>
                <w:b/>
                <w:sz w:val="20"/>
                <w:szCs w:val="20"/>
              </w:rPr>
              <w:t>EIB</w:t>
            </w:r>
          </w:p>
        </w:tc>
        <w:tc>
          <w:tcPr>
            <w:tcW w:w="1530" w:type="dxa"/>
            <w:shd w:val="clear" w:color="auto" w:fill="auto"/>
          </w:tcPr>
          <w:p w14:paraId="6A65AFDF" w14:textId="77777777" w:rsidR="004432FB" w:rsidRPr="000F7276" w:rsidRDefault="004432FB" w:rsidP="00A009E7">
            <w:pPr>
              <w:pStyle w:val="Default"/>
              <w:jc w:val="center"/>
              <w:rPr>
                <w:rFonts w:ascii="Calibri" w:hAnsi="Calibri" w:cs="Arial"/>
                <w:color w:val="auto"/>
                <w:sz w:val="20"/>
                <w:szCs w:val="20"/>
              </w:rPr>
            </w:pPr>
            <w:r w:rsidRPr="000F7276">
              <w:rPr>
                <w:rFonts w:ascii="Calibri" w:hAnsi="Calibri" w:cs="Arial"/>
                <w:color w:val="auto"/>
                <w:sz w:val="20"/>
                <w:szCs w:val="20"/>
              </w:rPr>
              <w:t>Yes</w:t>
            </w:r>
          </w:p>
        </w:tc>
        <w:tc>
          <w:tcPr>
            <w:tcW w:w="1939" w:type="dxa"/>
            <w:shd w:val="clear" w:color="auto" w:fill="auto"/>
          </w:tcPr>
          <w:p w14:paraId="5A18F0A7" w14:textId="77777777" w:rsidR="004432FB" w:rsidRPr="000F7276" w:rsidRDefault="004432FB" w:rsidP="00A009E7">
            <w:pPr>
              <w:jc w:val="center"/>
              <w:rPr>
                <w:sz w:val="20"/>
                <w:szCs w:val="20"/>
              </w:rPr>
            </w:pPr>
            <w:r w:rsidRPr="000F7276">
              <w:rPr>
                <w:sz w:val="20"/>
                <w:szCs w:val="20"/>
              </w:rPr>
              <w:t>N/A</w:t>
            </w:r>
            <w:r w:rsidR="00D53C6C" w:rsidRPr="000F7276">
              <w:rPr>
                <w:rStyle w:val="FootnoteReference"/>
                <w:sz w:val="20"/>
                <w:szCs w:val="20"/>
              </w:rPr>
              <w:footnoteReference w:id="30"/>
            </w:r>
          </w:p>
        </w:tc>
        <w:tc>
          <w:tcPr>
            <w:tcW w:w="1737" w:type="dxa"/>
            <w:shd w:val="clear" w:color="auto" w:fill="auto"/>
          </w:tcPr>
          <w:p w14:paraId="09D50D10" w14:textId="77777777" w:rsidR="004432FB" w:rsidRPr="000F7276" w:rsidRDefault="004432FB" w:rsidP="00A009E7">
            <w:pPr>
              <w:jc w:val="center"/>
              <w:rPr>
                <w:sz w:val="20"/>
                <w:szCs w:val="20"/>
              </w:rPr>
            </w:pPr>
            <w:r w:rsidRPr="000F7276">
              <w:rPr>
                <w:sz w:val="20"/>
                <w:szCs w:val="20"/>
              </w:rPr>
              <w:t>Yes</w:t>
            </w:r>
          </w:p>
        </w:tc>
        <w:tc>
          <w:tcPr>
            <w:tcW w:w="1544" w:type="dxa"/>
            <w:shd w:val="clear" w:color="auto" w:fill="auto"/>
          </w:tcPr>
          <w:p w14:paraId="4D62E2D9" w14:textId="77777777" w:rsidR="004432FB" w:rsidRPr="000F7276" w:rsidRDefault="004432FB" w:rsidP="00A009E7">
            <w:pPr>
              <w:jc w:val="center"/>
              <w:rPr>
                <w:sz w:val="20"/>
                <w:szCs w:val="20"/>
              </w:rPr>
            </w:pPr>
            <w:r w:rsidRPr="000F7276">
              <w:rPr>
                <w:sz w:val="20"/>
                <w:szCs w:val="20"/>
              </w:rPr>
              <w:t>Yes</w:t>
            </w:r>
          </w:p>
        </w:tc>
        <w:tc>
          <w:tcPr>
            <w:tcW w:w="1473" w:type="dxa"/>
            <w:shd w:val="clear" w:color="auto" w:fill="auto"/>
          </w:tcPr>
          <w:p w14:paraId="65A575F9" w14:textId="77777777" w:rsidR="004432FB" w:rsidRPr="000F7276" w:rsidRDefault="004432FB" w:rsidP="00A009E7">
            <w:pPr>
              <w:jc w:val="center"/>
              <w:rPr>
                <w:sz w:val="20"/>
                <w:szCs w:val="20"/>
              </w:rPr>
            </w:pPr>
            <w:r w:rsidRPr="000F7276">
              <w:rPr>
                <w:sz w:val="20"/>
                <w:szCs w:val="20"/>
              </w:rPr>
              <w:t>Yes</w:t>
            </w:r>
          </w:p>
        </w:tc>
      </w:tr>
      <w:tr w:rsidR="00DA61A2" w:rsidRPr="000F7276" w14:paraId="6F54E94E" w14:textId="77777777" w:rsidTr="008504F5">
        <w:trPr>
          <w:jc w:val="center"/>
        </w:trPr>
        <w:tc>
          <w:tcPr>
            <w:tcW w:w="1250" w:type="dxa"/>
            <w:shd w:val="clear" w:color="auto" w:fill="DBE5F1"/>
          </w:tcPr>
          <w:p w14:paraId="314463DC" w14:textId="77777777" w:rsidR="00DA4114" w:rsidRPr="000F7276" w:rsidRDefault="00DA4114" w:rsidP="00A009E7">
            <w:pPr>
              <w:rPr>
                <w:b/>
                <w:sz w:val="20"/>
                <w:szCs w:val="20"/>
              </w:rPr>
            </w:pPr>
            <w:r w:rsidRPr="000F7276">
              <w:rPr>
                <w:b/>
                <w:sz w:val="20"/>
                <w:szCs w:val="20"/>
              </w:rPr>
              <w:t>IDB</w:t>
            </w:r>
          </w:p>
        </w:tc>
        <w:tc>
          <w:tcPr>
            <w:tcW w:w="1530" w:type="dxa"/>
            <w:shd w:val="clear" w:color="auto" w:fill="auto"/>
          </w:tcPr>
          <w:p w14:paraId="27B7AFA9" w14:textId="77777777" w:rsidR="00DA4114" w:rsidRPr="000F7276" w:rsidRDefault="00DA4114" w:rsidP="00A009E7">
            <w:pPr>
              <w:pStyle w:val="Default"/>
              <w:jc w:val="center"/>
              <w:rPr>
                <w:rFonts w:ascii="Calibri" w:hAnsi="Calibri"/>
                <w:color w:val="auto"/>
                <w:sz w:val="20"/>
                <w:szCs w:val="20"/>
              </w:rPr>
            </w:pPr>
            <w:r w:rsidRPr="000F7276">
              <w:rPr>
                <w:rFonts w:ascii="Calibri" w:hAnsi="Calibri" w:cs="Arial"/>
                <w:color w:val="auto"/>
                <w:sz w:val="20"/>
                <w:szCs w:val="20"/>
              </w:rPr>
              <w:t>Yes</w:t>
            </w:r>
          </w:p>
        </w:tc>
        <w:tc>
          <w:tcPr>
            <w:tcW w:w="1939" w:type="dxa"/>
            <w:shd w:val="clear" w:color="auto" w:fill="auto"/>
          </w:tcPr>
          <w:p w14:paraId="4CDABDD6" w14:textId="77777777" w:rsidR="00DA4114" w:rsidRPr="000F7276" w:rsidRDefault="00DA4114" w:rsidP="00A009E7">
            <w:pPr>
              <w:jc w:val="center"/>
              <w:rPr>
                <w:sz w:val="20"/>
                <w:szCs w:val="20"/>
              </w:rPr>
            </w:pPr>
            <w:r w:rsidRPr="000F7276">
              <w:rPr>
                <w:sz w:val="20"/>
                <w:szCs w:val="20"/>
              </w:rPr>
              <w:t>Yes</w:t>
            </w:r>
          </w:p>
        </w:tc>
        <w:tc>
          <w:tcPr>
            <w:tcW w:w="1737" w:type="dxa"/>
            <w:shd w:val="clear" w:color="auto" w:fill="auto"/>
          </w:tcPr>
          <w:p w14:paraId="7EB1939B" w14:textId="77777777" w:rsidR="00DA4114" w:rsidRPr="000F7276" w:rsidRDefault="00DA4114" w:rsidP="00A009E7">
            <w:pPr>
              <w:jc w:val="center"/>
              <w:rPr>
                <w:sz w:val="20"/>
                <w:szCs w:val="20"/>
              </w:rPr>
            </w:pPr>
            <w:r w:rsidRPr="000F7276">
              <w:rPr>
                <w:sz w:val="20"/>
                <w:szCs w:val="20"/>
              </w:rPr>
              <w:t>Yes</w:t>
            </w:r>
          </w:p>
        </w:tc>
        <w:tc>
          <w:tcPr>
            <w:tcW w:w="1544" w:type="dxa"/>
            <w:shd w:val="clear" w:color="auto" w:fill="auto"/>
          </w:tcPr>
          <w:p w14:paraId="148BD65D" w14:textId="02971340" w:rsidR="00DA4114" w:rsidRPr="000F7276" w:rsidRDefault="00DA4114" w:rsidP="00A009E7">
            <w:pPr>
              <w:jc w:val="center"/>
              <w:rPr>
                <w:sz w:val="20"/>
                <w:szCs w:val="20"/>
              </w:rPr>
            </w:pPr>
            <w:r w:rsidRPr="000F7276">
              <w:rPr>
                <w:sz w:val="20"/>
                <w:szCs w:val="20"/>
              </w:rPr>
              <w:t>Yes</w:t>
            </w:r>
            <w:r w:rsidRPr="000F7276">
              <w:rPr>
                <w:rStyle w:val="FootnoteReference"/>
                <w:sz w:val="20"/>
                <w:szCs w:val="20"/>
              </w:rPr>
              <w:footnoteReference w:id="31"/>
            </w:r>
          </w:p>
        </w:tc>
        <w:tc>
          <w:tcPr>
            <w:tcW w:w="1473" w:type="dxa"/>
            <w:shd w:val="clear" w:color="auto" w:fill="auto"/>
          </w:tcPr>
          <w:p w14:paraId="53AB57D2" w14:textId="77777777" w:rsidR="00DA4114" w:rsidRPr="000F7276" w:rsidRDefault="00DA4114" w:rsidP="00A009E7">
            <w:pPr>
              <w:jc w:val="center"/>
              <w:rPr>
                <w:sz w:val="20"/>
                <w:szCs w:val="20"/>
              </w:rPr>
            </w:pPr>
            <w:r w:rsidRPr="000F7276">
              <w:rPr>
                <w:sz w:val="20"/>
                <w:szCs w:val="20"/>
              </w:rPr>
              <w:t>Yes</w:t>
            </w:r>
          </w:p>
        </w:tc>
      </w:tr>
      <w:tr w:rsidR="00DA61A2" w:rsidRPr="000F7276" w14:paraId="5EDBA004" w14:textId="77777777" w:rsidTr="008504F5">
        <w:trPr>
          <w:jc w:val="center"/>
        </w:trPr>
        <w:tc>
          <w:tcPr>
            <w:tcW w:w="1250" w:type="dxa"/>
            <w:shd w:val="clear" w:color="auto" w:fill="DBE5F1"/>
          </w:tcPr>
          <w:p w14:paraId="27874342" w14:textId="77777777" w:rsidR="00DA4114" w:rsidRPr="000F7276" w:rsidRDefault="00DA4114" w:rsidP="00A009E7">
            <w:pPr>
              <w:rPr>
                <w:b/>
                <w:sz w:val="20"/>
                <w:szCs w:val="20"/>
              </w:rPr>
            </w:pPr>
            <w:r w:rsidRPr="000F7276">
              <w:rPr>
                <w:b/>
                <w:sz w:val="20"/>
                <w:szCs w:val="20"/>
              </w:rPr>
              <w:t>IFC</w:t>
            </w:r>
          </w:p>
        </w:tc>
        <w:tc>
          <w:tcPr>
            <w:tcW w:w="1530" w:type="dxa"/>
            <w:shd w:val="clear" w:color="auto" w:fill="auto"/>
          </w:tcPr>
          <w:p w14:paraId="0B2C0070" w14:textId="77777777" w:rsidR="00495629" w:rsidRPr="000F7276" w:rsidRDefault="00DA4114" w:rsidP="00A009E7">
            <w:pPr>
              <w:jc w:val="center"/>
              <w:rPr>
                <w:sz w:val="20"/>
                <w:szCs w:val="20"/>
              </w:rPr>
            </w:pPr>
            <w:r w:rsidRPr="000F7276">
              <w:rPr>
                <w:sz w:val="20"/>
                <w:szCs w:val="20"/>
              </w:rPr>
              <w:t>Yes</w:t>
            </w:r>
          </w:p>
        </w:tc>
        <w:tc>
          <w:tcPr>
            <w:tcW w:w="1939" w:type="dxa"/>
            <w:shd w:val="clear" w:color="auto" w:fill="auto"/>
          </w:tcPr>
          <w:p w14:paraId="32198AC7" w14:textId="77777777" w:rsidR="00DA4114" w:rsidRPr="000F7276" w:rsidRDefault="00DA4114" w:rsidP="00A009E7">
            <w:pPr>
              <w:jc w:val="center"/>
              <w:rPr>
                <w:sz w:val="20"/>
                <w:szCs w:val="20"/>
              </w:rPr>
            </w:pPr>
            <w:r w:rsidRPr="000F7276">
              <w:rPr>
                <w:sz w:val="20"/>
                <w:szCs w:val="20"/>
              </w:rPr>
              <w:t>N/A</w:t>
            </w:r>
            <w:r w:rsidRPr="000F7276">
              <w:rPr>
                <w:rStyle w:val="FootnoteReference"/>
                <w:sz w:val="20"/>
                <w:szCs w:val="20"/>
              </w:rPr>
              <w:footnoteReference w:id="32"/>
            </w:r>
          </w:p>
        </w:tc>
        <w:tc>
          <w:tcPr>
            <w:tcW w:w="1737" w:type="dxa"/>
            <w:shd w:val="clear" w:color="auto" w:fill="auto"/>
          </w:tcPr>
          <w:p w14:paraId="18EDAFB7" w14:textId="77777777" w:rsidR="00DA4114" w:rsidRPr="000F7276" w:rsidRDefault="00DA4114" w:rsidP="00A009E7">
            <w:pPr>
              <w:jc w:val="center"/>
              <w:rPr>
                <w:sz w:val="20"/>
                <w:szCs w:val="20"/>
              </w:rPr>
            </w:pPr>
            <w:r w:rsidRPr="000F7276">
              <w:rPr>
                <w:sz w:val="20"/>
                <w:szCs w:val="20"/>
              </w:rPr>
              <w:t>Yes</w:t>
            </w:r>
            <w:r w:rsidRPr="000F7276">
              <w:rPr>
                <w:rStyle w:val="FootnoteReference"/>
                <w:sz w:val="20"/>
                <w:szCs w:val="20"/>
              </w:rPr>
              <w:footnoteReference w:id="33"/>
            </w:r>
          </w:p>
        </w:tc>
        <w:tc>
          <w:tcPr>
            <w:tcW w:w="1544" w:type="dxa"/>
            <w:shd w:val="clear" w:color="auto" w:fill="auto"/>
          </w:tcPr>
          <w:p w14:paraId="717AB487" w14:textId="77777777" w:rsidR="00DA4114" w:rsidRPr="000F7276" w:rsidRDefault="00DA4114" w:rsidP="00A009E7">
            <w:pPr>
              <w:jc w:val="center"/>
              <w:rPr>
                <w:sz w:val="20"/>
                <w:szCs w:val="20"/>
              </w:rPr>
            </w:pPr>
            <w:r w:rsidRPr="000F7276">
              <w:rPr>
                <w:sz w:val="20"/>
                <w:szCs w:val="20"/>
              </w:rPr>
              <w:t>N/A</w:t>
            </w:r>
          </w:p>
        </w:tc>
        <w:tc>
          <w:tcPr>
            <w:tcW w:w="1473" w:type="dxa"/>
            <w:shd w:val="clear" w:color="auto" w:fill="auto"/>
          </w:tcPr>
          <w:p w14:paraId="0B6C8FF7" w14:textId="77777777" w:rsidR="00DA4114" w:rsidRPr="000F7276" w:rsidRDefault="00DA4114" w:rsidP="00A009E7">
            <w:pPr>
              <w:jc w:val="center"/>
              <w:rPr>
                <w:sz w:val="20"/>
                <w:szCs w:val="20"/>
              </w:rPr>
            </w:pPr>
            <w:r w:rsidRPr="000F7276">
              <w:rPr>
                <w:sz w:val="20"/>
                <w:szCs w:val="20"/>
              </w:rPr>
              <w:t>Yes</w:t>
            </w:r>
          </w:p>
        </w:tc>
      </w:tr>
      <w:tr w:rsidR="00DA61A2" w:rsidRPr="000F7276" w14:paraId="22A7A137" w14:textId="77777777" w:rsidTr="008504F5">
        <w:trPr>
          <w:jc w:val="center"/>
        </w:trPr>
        <w:tc>
          <w:tcPr>
            <w:tcW w:w="1250" w:type="dxa"/>
            <w:shd w:val="clear" w:color="auto" w:fill="DBE5F1"/>
          </w:tcPr>
          <w:p w14:paraId="2A969684" w14:textId="77777777" w:rsidR="00DA4114" w:rsidRPr="000F7276" w:rsidRDefault="00DA4114" w:rsidP="00A009E7">
            <w:pPr>
              <w:rPr>
                <w:b/>
                <w:sz w:val="20"/>
                <w:szCs w:val="20"/>
              </w:rPr>
            </w:pPr>
            <w:r w:rsidRPr="000F7276">
              <w:rPr>
                <w:b/>
                <w:sz w:val="20"/>
                <w:szCs w:val="20"/>
              </w:rPr>
              <w:t>World Bank (IBRD/IDA)</w:t>
            </w:r>
          </w:p>
        </w:tc>
        <w:tc>
          <w:tcPr>
            <w:tcW w:w="1530" w:type="dxa"/>
            <w:shd w:val="clear" w:color="auto" w:fill="auto"/>
          </w:tcPr>
          <w:p w14:paraId="6E19105B" w14:textId="77777777" w:rsidR="00DA4114" w:rsidRPr="000F7276" w:rsidRDefault="00DA4114" w:rsidP="00A009E7">
            <w:pPr>
              <w:jc w:val="center"/>
              <w:rPr>
                <w:sz w:val="20"/>
                <w:szCs w:val="20"/>
              </w:rPr>
            </w:pPr>
            <w:r w:rsidRPr="000F7276">
              <w:rPr>
                <w:sz w:val="20"/>
                <w:szCs w:val="20"/>
              </w:rPr>
              <w:t>Yes</w:t>
            </w:r>
          </w:p>
        </w:tc>
        <w:tc>
          <w:tcPr>
            <w:tcW w:w="1939" w:type="dxa"/>
            <w:shd w:val="clear" w:color="auto" w:fill="auto"/>
          </w:tcPr>
          <w:p w14:paraId="52955B0F" w14:textId="77777777" w:rsidR="00DA4114" w:rsidRPr="000F7276" w:rsidRDefault="00DA4114" w:rsidP="00A009E7">
            <w:pPr>
              <w:jc w:val="center"/>
              <w:rPr>
                <w:sz w:val="20"/>
                <w:szCs w:val="20"/>
              </w:rPr>
            </w:pPr>
            <w:r w:rsidRPr="000F7276">
              <w:rPr>
                <w:sz w:val="20"/>
                <w:szCs w:val="20"/>
              </w:rPr>
              <w:t>Yes</w:t>
            </w:r>
            <w:r w:rsidRPr="000F7276">
              <w:rPr>
                <w:rStyle w:val="FootnoteReference"/>
                <w:sz w:val="20"/>
                <w:szCs w:val="20"/>
              </w:rPr>
              <w:footnoteReference w:id="34"/>
            </w:r>
          </w:p>
        </w:tc>
        <w:tc>
          <w:tcPr>
            <w:tcW w:w="1737" w:type="dxa"/>
            <w:shd w:val="clear" w:color="auto" w:fill="auto"/>
          </w:tcPr>
          <w:p w14:paraId="46D32CC9" w14:textId="77777777" w:rsidR="00DA4114" w:rsidRPr="000F7276" w:rsidRDefault="00DA4114" w:rsidP="00A009E7">
            <w:pPr>
              <w:jc w:val="center"/>
              <w:rPr>
                <w:sz w:val="20"/>
                <w:szCs w:val="20"/>
              </w:rPr>
            </w:pPr>
            <w:r w:rsidRPr="000F7276">
              <w:rPr>
                <w:sz w:val="20"/>
                <w:szCs w:val="20"/>
              </w:rPr>
              <w:t>Yes</w:t>
            </w:r>
            <w:r w:rsidRPr="000F7276">
              <w:rPr>
                <w:rStyle w:val="FootnoteReference"/>
                <w:sz w:val="20"/>
                <w:szCs w:val="20"/>
              </w:rPr>
              <w:footnoteReference w:id="35"/>
            </w:r>
          </w:p>
        </w:tc>
        <w:tc>
          <w:tcPr>
            <w:tcW w:w="1544" w:type="dxa"/>
            <w:shd w:val="clear" w:color="auto" w:fill="auto"/>
          </w:tcPr>
          <w:p w14:paraId="2E69E8CC" w14:textId="77777777" w:rsidR="00DA4114" w:rsidRPr="000F7276" w:rsidRDefault="00DA4114" w:rsidP="00A009E7">
            <w:pPr>
              <w:jc w:val="center"/>
              <w:rPr>
                <w:sz w:val="20"/>
                <w:szCs w:val="20"/>
              </w:rPr>
            </w:pPr>
            <w:r w:rsidRPr="000F7276">
              <w:rPr>
                <w:sz w:val="20"/>
                <w:szCs w:val="20"/>
              </w:rPr>
              <w:t>No</w:t>
            </w:r>
            <w:r w:rsidRPr="000F7276">
              <w:rPr>
                <w:rStyle w:val="FootnoteReference"/>
                <w:sz w:val="20"/>
                <w:szCs w:val="20"/>
              </w:rPr>
              <w:footnoteReference w:id="36"/>
            </w:r>
          </w:p>
        </w:tc>
        <w:tc>
          <w:tcPr>
            <w:tcW w:w="1473" w:type="dxa"/>
            <w:shd w:val="clear" w:color="auto" w:fill="auto"/>
          </w:tcPr>
          <w:p w14:paraId="3014A26B" w14:textId="77777777" w:rsidR="00DA4114" w:rsidRPr="000F7276" w:rsidRDefault="00DA4114" w:rsidP="00A009E7">
            <w:pPr>
              <w:jc w:val="center"/>
              <w:rPr>
                <w:sz w:val="20"/>
                <w:szCs w:val="20"/>
              </w:rPr>
            </w:pPr>
            <w:r w:rsidRPr="000F7276">
              <w:rPr>
                <w:sz w:val="20"/>
                <w:szCs w:val="20"/>
              </w:rPr>
              <w:t>Yes</w:t>
            </w:r>
            <w:r w:rsidR="00231715" w:rsidRPr="000F7276">
              <w:rPr>
                <w:sz w:val="20"/>
                <w:szCs w:val="20"/>
              </w:rPr>
              <w:t xml:space="preserve"> </w:t>
            </w:r>
            <w:r w:rsidR="00DD0FED" w:rsidRPr="000F7276">
              <w:rPr>
                <w:sz w:val="20"/>
                <w:szCs w:val="20"/>
              </w:rPr>
              <w:t xml:space="preserve">- limited </w:t>
            </w:r>
            <w:r w:rsidRPr="000F7276">
              <w:rPr>
                <w:rStyle w:val="FootnoteReference"/>
                <w:sz w:val="20"/>
                <w:szCs w:val="20"/>
              </w:rPr>
              <w:footnoteReference w:id="37"/>
            </w:r>
          </w:p>
        </w:tc>
      </w:tr>
    </w:tbl>
    <w:p w14:paraId="14BBB8C1" w14:textId="77777777" w:rsidR="00A009E7" w:rsidRDefault="00E4048C" w:rsidP="00A009E7">
      <w:pPr>
        <w:keepNext/>
        <w:keepLines/>
        <w:spacing w:before="240" w:after="240"/>
        <w:rPr>
          <w:b/>
          <w:sz w:val="24"/>
          <w:szCs w:val="24"/>
        </w:rPr>
      </w:pPr>
      <w:r w:rsidRPr="001375F3">
        <w:rPr>
          <w:b/>
          <w:sz w:val="24"/>
          <w:szCs w:val="24"/>
        </w:rPr>
        <w:t>Development and Programmatic Lending</w:t>
      </w:r>
    </w:p>
    <w:p w14:paraId="4FA7100A" w14:textId="138A61C4" w:rsidR="00A009E7" w:rsidRDefault="00E626F6" w:rsidP="00A009E7">
      <w:pPr>
        <w:spacing w:after="240"/>
        <w:rPr>
          <w:sz w:val="24"/>
          <w:szCs w:val="24"/>
        </w:rPr>
      </w:pPr>
      <w:r w:rsidRPr="000F7276">
        <w:rPr>
          <w:sz w:val="24"/>
          <w:szCs w:val="24"/>
        </w:rPr>
        <w:t>With the exceptions of EBRD and IFC</w:t>
      </w:r>
      <w:r w:rsidR="00946FD8" w:rsidRPr="000F7276">
        <w:rPr>
          <w:sz w:val="24"/>
          <w:szCs w:val="24"/>
        </w:rPr>
        <w:t>, which</w:t>
      </w:r>
      <w:r w:rsidRPr="000F7276">
        <w:rPr>
          <w:sz w:val="24"/>
          <w:szCs w:val="24"/>
        </w:rPr>
        <w:t xml:space="preserve"> do not engage in </w:t>
      </w:r>
      <w:r w:rsidR="00EA2D54" w:rsidRPr="000F7276">
        <w:rPr>
          <w:sz w:val="24"/>
          <w:szCs w:val="24"/>
        </w:rPr>
        <w:t>“</w:t>
      </w:r>
      <w:r w:rsidRPr="000F7276">
        <w:rPr>
          <w:sz w:val="24"/>
          <w:szCs w:val="24"/>
        </w:rPr>
        <w:t>development policy</w:t>
      </w:r>
      <w:r w:rsidR="00EA2D54" w:rsidRPr="000F7276">
        <w:rPr>
          <w:sz w:val="24"/>
          <w:szCs w:val="24"/>
        </w:rPr>
        <w:t>”</w:t>
      </w:r>
      <w:r w:rsidRPr="000F7276">
        <w:rPr>
          <w:sz w:val="24"/>
          <w:szCs w:val="24"/>
        </w:rPr>
        <w:t xml:space="preserve"> or </w:t>
      </w:r>
      <w:r w:rsidR="00EA2D54" w:rsidRPr="000F7276">
        <w:rPr>
          <w:sz w:val="24"/>
          <w:szCs w:val="24"/>
        </w:rPr>
        <w:t>“</w:t>
      </w:r>
      <w:r w:rsidRPr="000F7276">
        <w:rPr>
          <w:sz w:val="24"/>
          <w:szCs w:val="24"/>
        </w:rPr>
        <w:t>program</w:t>
      </w:r>
      <w:r w:rsidR="00311EA1" w:rsidRPr="000F7276">
        <w:rPr>
          <w:sz w:val="24"/>
          <w:szCs w:val="24"/>
        </w:rPr>
        <w:t>matic</w:t>
      </w:r>
      <w:r w:rsidRPr="000F7276">
        <w:rPr>
          <w:sz w:val="24"/>
          <w:szCs w:val="24"/>
        </w:rPr>
        <w:t xml:space="preserve"> lending</w:t>
      </w:r>
      <w:r w:rsidR="00EA2D54" w:rsidRPr="000F7276">
        <w:rPr>
          <w:sz w:val="24"/>
          <w:szCs w:val="24"/>
        </w:rPr>
        <w:t>”</w:t>
      </w:r>
      <w:r w:rsidRPr="000F7276">
        <w:rPr>
          <w:sz w:val="24"/>
          <w:szCs w:val="24"/>
        </w:rPr>
        <w:t xml:space="preserve"> (as these terms are defined by the World Bank), all other MDBs apply different safeguard instruments </w:t>
      </w:r>
      <w:r w:rsidR="00B36720" w:rsidRPr="000F7276">
        <w:rPr>
          <w:sz w:val="24"/>
          <w:szCs w:val="24"/>
        </w:rPr>
        <w:t>for</w:t>
      </w:r>
      <w:r w:rsidRPr="000F7276">
        <w:rPr>
          <w:sz w:val="24"/>
          <w:szCs w:val="24"/>
        </w:rPr>
        <w:t xml:space="preserve"> development</w:t>
      </w:r>
      <w:r w:rsidR="00EA2D54" w:rsidRPr="000F7276">
        <w:rPr>
          <w:sz w:val="24"/>
          <w:szCs w:val="24"/>
        </w:rPr>
        <w:t xml:space="preserve"> policy</w:t>
      </w:r>
      <w:r w:rsidR="00D97766" w:rsidRPr="000F7276">
        <w:rPr>
          <w:sz w:val="24"/>
          <w:szCs w:val="24"/>
        </w:rPr>
        <w:t xml:space="preserve"> and</w:t>
      </w:r>
      <w:r w:rsidRPr="000F7276">
        <w:rPr>
          <w:sz w:val="24"/>
          <w:szCs w:val="24"/>
        </w:rPr>
        <w:t xml:space="preserve"> program</w:t>
      </w:r>
      <w:r w:rsidR="00311EA1" w:rsidRPr="000F7276">
        <w:rPr>
          <w:sz w:val="24"/>
          <w:szCs w:val="24"/>
        </w:rPr>
        <w:t xml:space="preserve">matic </w:t>
      </w:r>
      <w:r w:rsidR="00B36720" w:rsidRPr="000F7276">
        <w:rPr>
          <w:sz w:val="24"/>
          <w:szCs w:val="24"/>
        </w:rPr>
        <w:t xml:space="preserve">lending than for </w:t>
      </w:r>
      <w:r w:rsidRPr="000F7276">
        <w:rPr>
          <w:sz w:val="24"/>
          <w:szCs w:val="24"/>
        </w:rPr>
        <w:t>investment lending.</w:t>
      </w:r>
      <w:r w:rsidR="003F7392" w:rsidRPr="000F7276">
        <w:rPr>
          <w:sz w:val="24"/>
          <w:szCs w:val="24"/>
        </w:rPr>
        <w:t xml:space="preserve"> </w:t>
      </w:r>
      <w:r w:rsidR="00844039" w:rsidRPr="000F7276">
        <w:rPr>
          <w:sz w:val="24"/>
          <w:szCs w:val="24"/>
        </w:rPr>
        <w:t>However, the World Bank takes a more formalized approach to these distinctions.</w:t>
      </w:r>
    </w:p>
    <w:p w14:paraId="6461033E" w14:textId="77777777" w:rsidR="00A009E7" w:rsidRDefault="00E4048C" w:rsidP="00A009E7">
      <w:pPr>
        <w:spacing w:after="240"/>
        <w:ind w:firstLine="360"/>
        <w:rPr>
          <w:i/>
          <w:sz w:val="24"/>
          <w:szCs w:val="24"/>
        </w:rPr>
      </w:pPr>
      <w:r w:rsidRPr="000F7276">
        <w:rPr>
          <w:i/>
          <w:sz w:val="24"/>
          <w:szCs w:val="24"/>
        </w:rPr>
        <w:t>Policy</w:t>
      </w:r>
      <w:r w:rsidR="00487487" w:rsidRPr="000F7276">
        <w:rPr>
          <w:i/>
          <w:sz w:val="24"/>
          <w:szCs w:val="24"/>
        </w:rPr>
        <w:t xml:space="preserve">–Based </w:t>
      </w:r>
      <w:r w:rsidRPr="000F7276">
        <w:rPr>
          <w:i/>
          <w:sz w:val="24"/>
          <w:szCs w:val="24"/>
        </w:rPr>
        <w:t>Lending</w:t>
      </w:r>
    </w:p>
    <w:p w14:paraId="6AB76FBC" w14:textId="77777777" w:rsidR="00A009E7" w:rsidRDefault="00C1791D" w:rsidP="00A009E7">
      <w:pPr>
        <w:pStyle w:val="ListParagraph"/>
        <w:numPr>
          <w:ilvl w:val="0"/>
          <w:numId w:val="14"/>
        </w:numPr>
        <w:spacing w:after="240"/>
        <w:rPr>
          <w:rFonts w:cs="Arial"/>
          <w:sz w:val="24"/>
          <w:szCs w:val="24"/>
        </w:rPr>
      </w:pPr>
      <w:r w:rsidRPr="000F7276">
        <w:rPr>
          <w:sz w:val="24"/>
          <w:szCs w:val="24"/>
        </w:rPr>
        <w:t>F</w:t>
      </w:r>
      <w:r w:rsidR="00B36720" w:rsidRPr="000F7276">
        <w:rPr>
          <w:sz w:val="24"/>
          <w:szCs w:val="24"/>
        </w:rPr>
        <w:t xml:space="preserve">or </w:t>
      </w:r>
      <w:r w:rsidR="00722DC8" w:rsidRPr="000F7276">
        <w:rPr>
          <w:sz w:val="24"/>
          <w:szCs w:val="24"/>
        </w:rPr>
        <w:t>policy-</w:t>
      </w:r>
      <w:r w:rsidR="00487487" w:rsidRPr="000F7276">
        <w:rPr>
          <w:sz w:val="24"/>
          <w:szCs w:val="24"/>
        </w:rPr>
        <w:t>based lending</w:t>
      </w:r>
      <w:r w:rsidR="00D97766" w:rsidRPr="000F7276">
        <w:rPr>
          <w:sz w:val="24"/>
          <w:szCs w:val="24"/>
        </w:rPr>
        <w:t>,</w:t>
      </w:r>
      <w:r w:rsidR="00487487" w:rsidRPr="000F7276">
        <w:rPr>
          <w:sz w:val="24"/>
          <w:szCs w:val="24"/>
        </w:rPr>
        <w:t xml:space="preserve"> </w:t>
      </w:r>
      <w:r w:rsidR="00B36720" w:rsidRPr="000F7276">
        <w:rPr>
          <w:sz w:val="24"/>
          <w:szCs w:val="24"/>
        </w:rPr>
        <w:t>the</w:t>
      </w:r>
      <w:r w:rsidR="00702995" w:rsidRPr="000F7276">
        <w:rPr>
          <w:sz w:val="24"/>
          <w:szCs w:val="24"/>
        </w:rPr>
        <w:t xml:space="preserve"> </w:t>
      </w:r>
      <w:r w:rsidR="00E4048C" w:rsidRPr="000F7276">
        <w:rPr>
          <w:b/>
          <w:sz w:val="24"/>
          <w:szCs w:val="24"/>
        </w:rPr>
        <w:t>World Bank</w:t>
      </w:r>
      <w:r w:rsidRPr="000F7276">
        <w:rPr>
          <w:sz w:val="24"/>
          <w:szCs w:val="24"/>
        </w:rPr>
        <w:t xml:space="preserve"> </w:t>
      </w:r>
      <w:r w:rsidR="00B36720" w:rsidRPr="000F7276">
        <w:rPr>
          <w:sz w:val="24"/>
          <w:szCs w:val="24"/>
        </w:rPr>
        <w:t>applies the provisions of OP 8.60</w:t>
      </w:r>
      <w:r w:rsidR="00487487" w:rsidRPr="000F7276">
        <w:rPr>
          <w:sz w:val="24"/>
          <w:szCs w:val="24"/>
        </w:rPr>
        <w:t xml:space="preserve"> </w:t>
      </w:r>
      <w:r w:rsidR="00D97766" w:rsidRPr="000F7276">
        <w:rPr>
          <w:sz w:val="24"/>
          <w:szCs w:val="24"/>
        </w:rPr>
        <w:t>(</w:t>
      </w:r>
      <w:r w:rsidR="00487487" w:rsidRPr="000F7276">
        <w:rPr>
          <w:sz w:val="24"/>
          <w:szCs w:val="24"/>
        </w:rPr>
        <w:t xml:space="preserve">Development </w:t>
      </w:r>
      <w:r w:rsidR="00487487" w:rsidRPr="008504F5">
        <w:rPr>
          <w:rFonts w:eastAsia="Times New Roman" w:cs="Times New Roman"/>
          <w:sz w:val="24"/>
          <w:szCs w:val="24"/>
        </w:rPr>
        <w:t>Policy</w:t>
      </w:r>
      <w:r w:rsidR="00487487" w:rsidRPr="000F7276">
        <w:rPr>
          <w:sz w:val="24"/>
          <w:szCs w:val="24"/>
        </w:rPr>
        <w:t xml:space="preserve"> Lending</w:t>
      </w:r>
      <w:r w:rsidR="00D97766" w:rsidRPr="000F7276">
        <w:rPr>
          <w:sz w:val="24"/>
          <w:szCs w:val="24"/>
        </w:rPr>
        <w:t>),</w:t>
      </w:r>
      <w:r w:rsidR="00B36720" w:rsidRPr="000F7276">
        <w:rPr>
          <w:sz w:val="24"/>
          <w:szCs w:val="24"/>
        </w:rPr>
        <w:t xml:space="preserve"> which require</w:t>
      </w:r>
      <w:r w:rsidRPr="000F7276">
        <w:rPr>
          <w:sz w:val="24"/>
          <w:szCs w:val="24"/>
        </w:rPr>
        <w:t>s the Bank to “</w:t>
      </w:r>
      <w:r w:rsidR="00E4048C" w:rsidRPr="000F7276">
        <w:rPr>
          <w:rFonts w:cs="Arial"/>
          <w:sz w:val="24"/>
          <w:szCs w:val="24"/>
        </w:rPr>
        <w:t>determine… whether specific country policies supported by the operation are likely to cause significant effects on the country’s environment, forests, and other natural resources” or to have “significant poverty and social consequences, especially on poor people and vulnerable groups.” Where such significant effects are foreseen</w:t>
      </w:r>
      <w:r w:rsidR="00D97766" w:rsidRPr="000F7276">
        <w:rPr>
          <w:rFonts w:cs="Arial"/>
          <w:sz w:val="24"/>
          <w:szCs w:val="24"/>
        </w:rPr>
        <w:t>,</w:t>
      </w:r>
      <w:r w:rsidR="00E4048C" w:rsidRPr="000F7276">
        <w:rPr>
          <w:rFonts w:cs="Arial"/>
          <w:sz w:val="24"/>
          <w:szCs w:val="24"/>
        </w:rPr>
        <w:t xml:space="preserve"> “the Bank summarizes relevant analytic knowledge of these effects and of the borrower’s systems for reducing adverse effects and enhancing positive effects…. If there are significant gaps in the analysis or shortcomings in the borrower’s systems, the Bank describes in the </w:t>
      </w:r>
      <w:r w:rsidR="00D97766" w:rsidRPr="000F7276">
        <w:rPr>
          <w:rFonts w:cs="Arial"/>
          <w:sz w:val="24"/>
          <w:szCs w:val="24"/>
        </w:rPr>
        <w:t>‘</w:t>
      </w:r>
      <w:r w:rsidR="00E4048C" w:rsidRPr="000F7276">
        <w:rPr>
          <w:rFonts w:cs="Arial"/>
          <w:sz w:val="24"/>
          <w:szCs w:val="24"/>
        </w:rPr>
        <w:t>Program Document</w:t>
      </w:r>
      <w:r w:rsidR="00D97766" w:rsidRPr="000F7276">
        <w:rPr>
          <w:rFonts w:cs="Arial"/>
          <w:sz w:val="24"/>
          <w:szCs w:val="24"/>
        </w:rPr>
        <w:t>’</w:t>
      </w:r>
      <w:r w:rsidR="00E4048C" w:rsidRPr="000F7276">
        <w:rPr>
          <w:rFonts w:cs="Arial"/>
          <w:sz w:val="24"/>
          <w:szCs w:val="24"/>
        </w:rPr>
        <w:t xml:space="preserve"> how such gaps or shortcomings would be addressed before or during program implementation, as appropriate.”</w:t>
      </w:r>
    </w:p>
    <w:p w14:paraId="1E3F8B65" w14:textId="05E690FC" w:rsidR="003654F3" w:rsidRPr="003654F3" w:rsidRDefault="003654F3" w:rsidP="00A009E7">
      <w:pPr>
        <w:pStyle w:val="ListParagraph"/>
        <w:numPr>
          <w:ilvl w:val="0"/>
          <w:numId w:val="14"/>
        </w:numPr>
        <w:spacing w:after="240"/>
        <w:rPr>
          <w:sz w:val="24"/>
          <w:szCs w:val="24"/>
        </w:rPr>
      </w:pPr>
      <w:r w:rsidRPr="003654F3">
        <w:rPr>
          <w:rFonts w:cs="Arial"/>
          <w:sz w:val="24"/>
          <w:szCs w:val="24"/>
        </w:rPr>
        <w:t xml:space="preserve">For Policy-Based Lending, </w:t>
      </w:r>
      <w:r w:rsidRPr="003654F3">
        <w:rPr>
          <w:rFonts w:cs="Arial"/>
          <w:b/>
          <w:sz w:val="24"/>
          <w:szCs w:val="24"/>
        </w:rPr>
        <w:t>ADB</w:t>
      </w:r>
      <w:r w:rsidRPr="003654F3">
        <w:rPr>
          <w:rFonts w:cs="Arial"/>
          <w:sz w:val="24"/>
          <w:szCs w:val="24"/>
        </w:rPr>
        <w:t xml:space="preserve"> requires that the environment and social impacts of policy actions associated with policy-based loans be evaluated, and that appropriate mitigation measures be identified and incorporated as loan covenants. The environmental and social assessments focus on the policy actions to be supported by the policy-based loan. A matrix of potential environmental and social impacts of each policy action, together with appropriate mitigation measures, is prepared. A strategic environmental assessment and social assessments, which facilitate systematic evaluation of the environmental and social impacts of a policy, plan, or program and its alternatives, may be usefully applied.</w:t>
      </w:r>
      <w:r>
        <w:rPr>
          <w:rFonts w:eastAsia="Times New Roman"/>
        </w:rPr>
        <w:t xml:space="preserve"> </w:t>
      </w:r>
    </w:p>
    <w:p w14:paraId="470BA5A2" w14:textId="06D35C5D" w:rsidR="00A009E7" w:rsidRDefault="00E4048C" w:rsidP="00A009E7">
      <w:pPr>
        <w:pStyle w:val="ListParagraph"/>
        <w:numPr>
          <w:ilvl w:val="0"/>
          <w:numId w:val="14"/>
        </w:numPr>
        <w:spacing w:after="240"/>
        <w:rPr>
          <w:sz w:val="24"/>
          <w:szCs w:val="24"/>
        </w:rPr>
      </w:pPr>
      <w:r w:rsidRPr="008504F5">
        <w:rPr>
          <w:rFonts w:cs="NBDFEE+TimesNewRoman,Bold"/>
          <w:b/>
          <w:bCs/>
          <w:sz w:val="24"/>
          <w:szCs w:val="24"/>
        </w:rPr>
        <w:t>IDB</w:t>
      </w:r>
      <w:r w:rsidRPr="008504F5">
        <w:rPr>
          <w:rFonts w:cs="NBDFEE+TimesNewRoman,Bold"/>
          <w:bCs/>
          <w:sz w:val="24"/>
          <w:szCs w:val="24"/>
        </w:rPr>
        <w:t>’</w:t>
      </w:r>
      <w:r w:rsidR="00B92F33" w:rsidRPr="008504F5">
        <w:rPr>
          <w:rFonts w:cs="NBDFEE+TimesNewRoman,Bold"/>
          <w:bCs/>
          <w:sz w:val="24"/>
          <w:szCs w:val="24"/>
        </w:rPr>
        <w:t xml:space="preserve">s </w:t>
      </w:r>
      <w:r w:rsidR="00B92F33" w:rsidRPr="008504F5">
        <w:rPr>
          <w:sz w:val="24"/>
          <w:szCs w:val="24"/>
        </w:rPr>
        <w:t>Environmental</w:t>
      </w:r>
      <w:r w:rsidR="00B92F33" w:rsidRPr="008504F5">
        <w:rPr>
          <w:rFonts w:cs="NBDFEE+TimesNewRoman,Bold"/>
          <w:bCs/>
          <w:sz w:val="24"/>
          <w:szCs w:val="24"/>
        </w:rPr>
        <w:t xml:space="preserve"> and Safeguard Compliance Policy states that “[f]or policy-based loans</w:t>
      </w:r>
      <w:r w:rsidR="00D97766" w:rsidRPr="008504F5">
        <w:rPr>
          <w:rFonts w:cs="NBDFEE+TimesNewRoman,Bold"/>
          <w:bCs/>
          <w:sz w:val="24"/>
          <w:szCs w:val="24"/>
        </w:rPr>
        <w:t>,</w:t>
      </w:r>
      <w:r w:rsidR="00F92F85">
        <w:rPr>
          <w:rFonts w:cs="NBDFEE+TimesNewRoman,Bold"/>
          <w:bCs/>
          <w:sz w:val="24"/>
          <w:szCs w:val="24"/>
        </w:rPr>
        <w:t>”</w:t>
      </w:r>
      <w:r w:rsidR="00B92F33" w:rsidRPr="008504F5">
        <w:rPr>
          <w:rFonts w:cs="NBDFEE+TimesNewRoman,Bold"/>
          <w:b/>
          <w:bCs/>
          <w:sz w:val="24"/>
          <w:szCs w:val="24"/>
        </w:rPr>
        <w:t xml:space="preserve"> </w:t>
      </w:r>
      <w:r w:rsidR="00064E83" w:rsidRPr="008504F5">
        <w:rPr>
          <w:rFonts w:cs="NBDFEE+TimesNewRoman,Bold"/>
          <w:b/>
          <w:bCs/>
          <w:sz w:val="24"/>
          <w:szCs w:val="24"/>
        </w:rPr>
        <w:t>IDB</w:t>
      </w:r>
      <w:r w:rsidR="00064E83" w:rsidRPr="008504F5">
        <w:rPr>
          <w:rFonts w:cs="NBDFEE+TimesNewRoman,Bold"/>
          <w:bCs/>
          <w:sz w:val="24"/>
          <w:szCs w:val="24"/>
        </w:rPr>
        <w:t xml:space="preserve"> “analyze[s] during the design phase whether specific country policies and/or instituti</w:t>
      </w:r>
      <w:r w:rsidR="00064E83" w:rsidRPr="00F92F85">
        <w:rPr>
          <w:rFonts w:cs="NBDFEE+TimesNewRoman,Bold"/>
          <w:bCs/>
          <w:sz w:val="24"/>
          <w:szCs w:val="24"/>
        </w:rPr>
        <w:t>o</w:t>
      </w:r>
      <w:r w:rsidR="00B92F33" w:rsidRPr="008504F5">
        <w:rPr>
          <w:sz w:val="24"/>
          <w:szCs w:val="24"/>
        </w:rPr>
        <w:t>nal changes supported by the operation will have significant and direct effects on the country’s environment and natural resources. The appropriate sequence of actions and conditions to ensure environmental [and social] sustainability are reflected in the corresponding action plan, as required</w:t>
      </w:r>
      <w:r w:rsidR="002E062B" w:rsidRPr="008504F5">
        <w:rPr>
          <w:sz w:val="24"/>
          <w:szCs w:val="24"/>
        </w:rPr>
        <w:t>.</w:t>
      </w:r>
      <w:r w:rsidR="00D97766" w:rsidRPr="008504F5">
        <w:rPr>
          <w:sz w:val="24"/>
          <w:szCs w:val="24"/>
        </w:rPr>
        <w:t>”</w:t>
      </w:r>
      <w:r w:rsidR="00B92F33" w:rsidRPr="008504F5">
        <w:rPr>
          <w:sz w:val="24"/>
          <w:szCs w:val="24"/>
        </w:rPr>
        <w:t xml:space="preserve"> </w:t>
      </w:r>
    </w:p>
    <w:p w14:paraId="78E8E77C" w14:textId="59F0DBAA" w:rsidR="00A009E7" w:rsidRDefault="00E4048C" w:rsidP="00A009E7">
      <w:pPr>
        <w:pStyle w:val="ListParagraph"/>
        <w:numPr>
          <w:ilvl w:val="0"/>
          <w:numId w:val="9"/>
        </w:numPr>
        <w:spacing w:after="240"/>
        <w:rPr>
          <w:sz w:val="24"/>
          <w:szCs w:val="24"/>
        </w:rPr>
      </w:pPr>
      <w:r w:rsidRPr="000F7276">
        <w:rPr>
          <w:b/>
          <w:sz w:val="24"/>
          <w:szCs w:val="24"/>
        </w:rPr>
        <w:t>AfDB</w:t>
      </w:r>
      <w:r w:rsidR="00785E7E" w:rsidRPr="000F7276">
        <w:rPr>
          <w:sz w:val="24"/>
          <w:szCs w:val="24"/>
        </w:rPr>
        <w:t xml:space="preserve"> applies “appropriate environmental and social due diligence” to its</w:t>
      </w:r>
      <w:r w:rsidR="000B44A9">
        <w:rPr>
          <w:sz w:val="24"/>
          <w:szCs w:val="24"/>
        </w:rPr>
        <w:t xml:space="preserve"> policy-</w:t>
      </w:r>
      <w:r w:rsidR="00EC5D65" w:rsidRPr="000F7276">
        <w:rPr>
          <w:sz w:val="24"/>
          <w:szCs w:val="24"/>
        </w:rPr>
        <w:t xml:space="preserve">based loans through categorization and the use of </w:t>
      </w:r>
      <w:r w:rsidR="00973D46">
        <w:rPr>
          <w:sz w:val="24"/>
          <w:szCs w:val="24"/>
        </w:rPr>
        <w:t>SESA</w:t>
      </w:r>
      <w:r w:rsidR="00EC5D65" w:rsidRPr="000F7276">
        <w:rPr>
          <w:sz w:val="24"/>
          <w:szCs w:val="24"/>
        </w:rPr>
        <w:t>.</w:t>
      </w:r>
    </w:p>
    <w:p w14:paraId="5D304A5D" w14:textId="77777777" w:rsidR="00A009E7" w:rsidRDefault="00D97766" w:rsidP="00A009E7">
      <w:pPr>
        <w:pStyle w:val="Default"/>
        <w:keepNext/>
        <w:keepLines/>
        <w:spacing w:after="240"/>
        <w:ind w:firstLine="360"/>
        <w:rPr>
          <w:rFonts w:ascii="Calibri" w:hAnsi="Calibri" w:cs="NBDFEE+TimesNewRoman,Bold"/>
          <w:bCs/>
          <w:i/>
          <w:color w:val="auto"/>
        </w:rPr>
      </w:pPr>
      <w:r w:rsidRPr="000F7276">
        <w:rPr>
          <w:rFonts w:ascii="Calibri" w:hAnsi="Calibri" w:cs="NBDFEE+TimesNewRoman,Bold"/>
          <w:bCs/>
          <w:i/>
          <w:color w:val="auto"/>
        </w:rPr>
        <w:t>Programmatic Lending</w:t>
      </w:r>
    </w:p>
    <w:p w14:paraId="7498526D" w14:textId="353B8CC6" w:rsidR="00A009E7" w:rsidRDefault="00EC5D65" w:rsidP="00A009E7">
      <w:pPr>
        <w:pStyle w:val="ListParagraph"/>
        <w:numPr>
          <w:ilvl w:val="0"/>
          <w:numId w:val="9"/>
        </w:numPr>
        <w:spacing w:after="240"/>
        <w:rPr>
          <w:sz w:val="24"/>
          <w:szCs w:val="24"/>
        </w:rPr>
      </w:pPr>
      <w:r w:rsidRPr="000F7276">
        <w:rPr>
          <w:sz w:val="24"/>
          <w:szCs w:val="24"/>
        </w:rPr>
        <w:t xml:space="preserve">For programmatic lending, </w:t>
      </w:r>
      <w:r w:rsidR="00D97766" w:rsidRPr="000F7276">
        <w:rPr>
          <w:sz w:val="24"/>
          <w:szCs w:val="24"/>
        </w:rPr>
        <w:t xml:space="preserve">since 2012, </w:t>
      </w:r>
      <w:r w:rsidRPr="000F7276">
        <w:rPr>
          <w:sz w:val="24"/>
          <w:szCs w:val="24"/>
        </w:rPr>
        <w:t xml:space="preserve">the </w:t>
      </w:r>
      <w:r w:rsidR="00E4048C" w:rsidRPr="000F7276">
        <w:rPr>
          <w:b/>
          <w:sz w:val="24"/>
          <w:szCs w:val="24"/>
        </w:rPr>
        <w:t>World Bank</w:t>
      </w:r>
      <w:r w:rsidRPr="000F7276">
        <w:rPr>
          <w:sz w:val="24"/>
          <w:szCs w:val="24"/>
        </w:rPr>
        <w:t xml:space="preserve"> has applied the provisions of OP 9.00</w:t>
      </w:r>
      <w:r w:rsidR="000029CD" w:rsidRPr="000F7276">
        <w:rPr>
          <w:sz w:val="24"/>
          <w:szCs w:val="24"/>
        </w:rPr>
        <w:t xml:space="preserve"> (Program-for-Results Financing)</w:t>
      </w:r>
      <w:r w:rsidRPr="000F7276">
        <w:rPr>
          <w:sz w:val="24"/>
          <w:szCs w:val="24"/>
        </w:rPr>
        <w:t xml:space="preserve"> in lieu of its Operational Policies</w:t>
      </w:r>
      <w:r w:rsidR="00487487" w:rsidRPr="000F7276">
        <w:rPr>
          <w:sz w:val="24"/>
          <w:szCs w:val="24"/>
        </w:rPr>
        <w:t xml:space="preserve"> </w:t>
      </w:r>
      <w:r w:rsidRPr="000F7276">
        <w:rPr>
          <w:sz w:val="24"/>
          <w:szCs w:val="24"/>
        </w:rPr>
        <w:t>on safeguards.</w:t>
      </w:r>
      <w:r w:rsidR="003F7392" w:rsidRPr="000F7276">
        <w:rPr>
          <w:sz w:val="24"/>
          <w:szCs w:val="24"/>
        </w:rPr>
        <w:t xml:space="preserve"> </w:t>
      </w:r>
      <w:r w:rsidRPr="000F7276">
        <w:rPr>
          <w:sz w:val="24"/>
          <w:szCs w:val="24"/>
        </w:rPr>
        <w:t>These provisions require that the Bank undertake an “E</w:t>
      </w:r>
      <w:r w:rsidR="00E4048C" w:rsidRPr="000F7276">
        <w:rPr>
          <w:rFonts w:eastAsia="Times New Roman" w:cs="Arial"/>
          <w:iCs/>
          <w:sz w:val="24"/>
          <w:szCs w:val="24"/>
        </w:rPr>
        <w:t>nvironmental and Social Systems Assessment</w:t>
      </w:r>
      <w:r w:rsidRPr="000F7276">
        <w:rPr>
          <w:rFonts w:eastAsia="Times New Roman" w:cs="Arial"/>
          <w:iCs/>
          <w:sz w:val="24"/>
          <w:szCs w:val="24"/>
        </w:rPr>
        <w:t>”</w:t>
      </w:r>
      <w:r w:rsidR="00E4048C" w:rsidRPr="000F7276">
        <w:rPr>
          <w:rFonts w:eastAsia="Times New Roman" w:cs="Arial"/>
          <w:sz w:val="24"/>
          <w:szCs w:val="24"/>
        </w:rPr>
        <w:t xml:space="preserve"> of potential impacts and risk</w:t>
      </w:r>
      <w:r w:rsidR="00487487" w:rsidRPr="000F7276">
        <w:rPr>
          <w:rFonts w:eastAsia="Times New Roman" w:cs="Arial"/>
          <w:sz w:val="24"/>
          <w:szCs w:val="24"/>
        </w:rPr>
        <w:t xml:space="preserve">s </w:t>
      </w:r>
      <w:r w:rsidR="00E4048C" w:rsidRPr="000F7276">
        <w:rPr>
          <w:rFonts w:eastAsia="Times New Roman" w:cs="Arial"/>
          <w:sz w:val="24"/>
          <w:szCs w:val="24"/>
        </w:rPr>
        <w:t xml:space="preserve">that may be associated with the program as specified in the OP and to incorporate the results of the </w:t>
      </w:r>
      <w:r w:rsidR="00973D46">
        <w:rPr>
          <w:rFonts w:eastAsia="Times New Roman" w:cs="Arial"/>
          <w:sz w:val="24"/>
          <w:szCs w:val="24"/>
        </w:rPr>
        <w:t xml:space="preserve">assessment </w:t>
      </w:r>
      <w:r w:rsidR="00E4048C" w:rsidRPr="000F7276">
        <w:rPr>
          <w:rFonts w:eastAsia="Times New Roman" w:cs="Arial"/>
          <w:sz w:val="24"/>
          <w:szCs w:val="24"/>
        </w:rPr>
        <w:t xml:space="preserve">into an </w:t>
      </w:r>
      <w:r w:rsidRPr="000F7276">
        <w:rPr>
          <w:rFonts w:eastAsia="Times New Roman" w:cs="Arial"/>
          <w:sz w:val="24"/>
          <w:szCs w:val="24"/>
        </w:rPr>
        <w:t>“</w:t>
      </w:r>
      <w:r w:rsidR="00487487" w:rsidRPr="000F7276">
        <w:rPr>
          <w:rFonts w:eastAsia="Times New Roman" w:cs="Arial"/>
          <w:sz w:val="24"/>
          <w:szCs w:val="24"/>
        </w:rPr>
        <w:t>I</w:t>
      </w:r>
      <w:r w:rsidR="00E4048C" w:rsidRPr="000F7276">
        <w:rPr>
          <w:rFonts w:eastAsia="Times New Roman" w:cs="Arial"/>
          <w:sz w:val="24"/>
          <w:szCs w:val="24"/>
        </w:rPr>
        <w:t xml:space="preserve">ntegrated </w:t>
      </w:r>
      <w:r w:rsidR="00487487" w:rsidRPr="000F7276">
        <w:rPr>
          <w:rFonts w:eastAsia="Times New Roman" w:cs="Arial"/>
          <w:sz w:val="24"/>
          <w:szCs w:val="24"/>
        </w:rPr>
        <w:t>R</w:t>
      </w:r>
      <w:r w:rsidR="00E4048C" w:rsidRPr="000F7276">
        <w:rPr>
          <w:rFonts w:eastAsia="Times New Roman" w:cs="Arial"/>
          <w:sz w:val="24"/>
          <w:szCs w:val="24"/>
        </w:rPr>
        <w:t xml:space="preserve">isk </w:t>
      </w:r>
      <w:r w:rsidR="00F06CA4" w:rsidRPr="000F7276">
        <w:rPr>
          <w:rFonts w:eastAsia="Times New Roman" w:cs="Arial"/>
          <w:sz w:val="24"/>
          <w:szCs w:val="24"/>
        </w:rPr>
        <w:t>A</w:t>
      </w:r>
      <w:r w:rsidR="00E4048C" w:rsidRPr="000F7276">
        <w:rPr>
          <w:rFonts w:eastAsia="Times New Roman" w:cs="Arial"/>
          <w:sz w:val="24"/>
          <w:szCs w:val="24"/>
        </w:rPr>
        <w:t>ssessment</w:t>
      </w:r>
      <w:r w:rsidRPr="000F7276">
        <w:rPr>
          <w:rFonts w:eastAsia="Times New Roman" w:cs="Arial"/>
          <w:sz w:val="24"/>
          <w:szCs w:val="24"/>
        </w:rPr>
        <w:t>”</w:t>
      </w:r>
      <w:r w:rsidR="00487487" w:rsidRPr="000F7276">
        <w:rPr>
          <w:rFonts w:eastAsia="Times New Roman" w:cs="Arial"/>
          <w:sz w:val="24"/>
          <w:szCs w:val="24"/>
        </w:rPr>
        <w:t xml:space="preserve"> and “Action Plan.”</w:t>
      </w:r>
    </w:p>
    <w:p w14:paraId="066EB4C0" w14:textId="77777777" w:rsidR="003654F3" w:rsidRPr="003654F3" w:rsidRDefault="003654F3" w:rsidP="003654F3">
      <w:pPr>
        <w:pStyle w:val="ListParagraph"/>
        <w:numPr>
          <w:ilvl w:val="0"/>
          <w:numId w:val="9"/>
        </w:numPr>
        <w:rPr>
          <w:sz w:val="24"/>
          <w:szCs w:val="24"/>
        </w:rPr>
      </w:pPr>
      <w:r w:rsidRPr="003654F3">
        <w:rPr>
          <w:sz w:val="24"/>
          <w:szCs w:val="24"/>
        </w:rPr>
        <w:t xml:space="preserve">For Results-Based Lending Program, </w:t>
      </w:r>
      <w:r w:rsidRPr="003654F3">
        <w:rPr>
          <w:b/>
          <w:sz w:val="24"/>
          <w:szCs w:val="24"/>
        </w:rPr>
        <w:t>ADB</w:t>
      </w:r>
      <w:r w:rsidRPr="003654F3">
        <w:rPr>
          <w:sz w:val="24"/>
          <w:szCs w:val="24"/>
        </w:rPr>
        <w:t xml:space="preserve"> undertakes an assessment of the current government program safeguard system for managing environmental and social impacts and risks, and prepare a program safeguard system assessment report. Focusing on the Safeguard Policy Statement (SPS) policy principles that are likely to apply to the program, ADB carries out a diagnostic assessment of applicable relevant laws, regulations, rules and procedures for managing and mitigating the environmental and social safeguards impacts of the Results-Based Lending program. </w:t>
      </w:r>
    </w:p>
    <w:p w14:paraId="40CCC095" w14:textId="6018CACB" w:rsidR="00A009E7" w:rsidRDefault="00E4048C" w:rsidP="00973D46">
      <w:pPr>
        <w:pStyle w:val="Default"/>
        <w:numPr>
          <w:ilvl w:val="0"/>
          <w:numId w:val="10"/>
        </w:numPr>
        <w:jc w:val="both"/>
        <w:rPr>
          <w:rFonts w:ascii="Calibri" w:hAnsi="Calibri"/>
          <w:color w:val="auto"/>
        </w:rPr>
      </w:pPr>
      <w:r w:rsidRPr="000F7276">
        <w:rPr>
          <w:rFonts w:ascii="Calibri" w:hAnsi="Calibri" w:cs="Arial"/>
          <w:b/>
          <w:color w:val="auto"/>
        </w:rPr>
        <w:t>IDB</w:t>
      </w:r>
      <w:r w:rsidRPr="000F7276">
        <w:rPr>
          <w:rFonts w:ascii="Calibri" w:hAnsi="Calibri" w:cs="Arial"/>
          <w:color w:val="auto"/>
        </w:rPr>
        <w:t xml:space="preserve"> requires</w:t>
      </w:r>
      <w:r w:rsidR="000B44A9">
        <w:rPr>
          <w:rFonts w:ascii="Calibri" w:hAnsi="Calibri" w:cs="Arial"/>
          <w:color w:val="auto"/>
        </w:rPr>
        <w:t>,</w:t>
      </w:r>
      <w:r w:rsidRPr="000F7276">
        <w:rPr>
          <w:rFonts w:ascii="Calibri" w:hAnsi="Calibri" w:cs="Arial"/>
          <w:color w:val="auto"/>
        </w:rPr>
        <w:t xml:space="preserve"> for l</w:t>
      </w:r>
      <w:r w:rsidRPr="000F7276">
        <w:rPr>
          <w:rFonts w:ascii="Calibri" w:hAnsi="Calibri" w:cs="NBDFEE+TimesNewRoman,Bold"/>
          <w:bCs/>
          <w:color w:val="auto"/>
        </w:rPr>
        <w:t>oans that are based on performance criteria (analogous to the Bank’s OP 9.00</w:t>
      </w:r>
      <w:r w:rsidR="00487487" w:rsidRPr="000F7276">
        <w:rPr>
          <w:rFonts w:ascii="Calibri" w:hAnsi="Calibri" w:cs="NBDFEE+TimesNewRoman,Bold"/>
          <w:bCs/>
          <w:color w:val="auto"/>
        </w:rPr>
        <w:t>)</w:t>
      </w:r>
      <w:r w:rsidR="000029CD" w:rsidRPr="000F7276">
        <w:rPr>
          <w:rFonts w:ascii="Calibri" w:hAnsi="Calibri" w:cs="NBDFEE+TimesNewRoman,Bold"/>
          <w:bCs/>
          <w:color w:val="auto"/>
        </w:rPr>
        <w:t>,</w:t>
      </w:r>
      <w:r w:rsidR="00487487" w:rsidRPr="000F7276">
        <w:rPr>
          <w:rFonts w:ascii="Calibri" w:hAnsi="Calibri" w:cs="NBDFEE+TimesNewRoman,Bold"/>
          <w:bCs/>
          <w:color w:val="auto"/>
        </w:rPr>
        <w:t xml:space="preserve"> </w:t>
      </w:r>
      <w:r w:rsidRPr="000F7276">
        <w:rPr>
          <w:rFonts w:ascii="Calibri" w:hAnsi="Calibri"/>
          <w:color w:val="auto"/>
        </w:rPr>
        <w:t>early environmental and capacity assessments</w:t>
      </w:r>
      <w:r w:rsidR="000029CD" w:rsidRPr="000F7276">
        <w:rPr>
          <w:rFonts w:ascii="Calibri" w:hAnsi="Calibri"/>
          <w:color w:val="auto"/>
        </w:rPr>
        <w:t xml:space="preserve"> </w:t>
      </w:r>
      <w:r w:rsidR="000B44A9">
        <w:rPr>
          <w:rFonts w:ascii="Calibri" w:hAnsi="Calibri"/>
          <w:color w:val="auto"/>
        </w:rPr>
        <w:t xml:space="preserve">to </w:t>
      </w:r>
      <w:r w:rsidR="000029CD" w:rsidRPr="000F7276">
        <w:rPr>
          <w:rFonts w:ascii="Calibri" w:hAnsi="Calibri"/>
          <w:color w:val="auto"/>
        </w:rPr>
        <w:t>be undertaken</w:t>
      </w:r>
      <w:r w:rsidRPr="000F7276">
        <w:rPr>
          <w:rFonts w:ascii="Calibri" w:hAnsi="Calibri"/>
          <w:color w:val="auto"/>
        </w:rPr>
        <w:t xml:space="preserve"> at the sector and program level, on a case-by-case basis, according to the nature of the program and the sector</w:t>
      </w:r>
      <w:r w:rsidR="000029CD" w:rsidRPr="000F7276">
        <w:rPr>
          <w:rFonts w:ascii="Calibri" w:hAnsi="Calibri"/>
          <w:color w:val="auto"/>
        </w:rPr>
        <w:t>.</w:t>
      </w:r>
    </w:p>
    <w:p w14:paraId="785B4995" w14:textId="77777777" w:rsidR="00A009E7" w:rsidRDefault="00E4048C" w:rsidP="00A009E7">
      <w:pPr>
        <w:pStyle w:val="ListParagraph"/>
        <w:numPr>
          <w:ilvl w:val="0"/>
          <w:numId w:val="10"/>
        </w:numPr>
        <w:spacing w:after="240"/>
        <w:rPr>
          <w:b/>
          <w:sz w:val="24"/>
          <w:szCs w:val="24"/>
        </w:rPr>
      </w:pPr>
      <w:r w:rsidRPr="000F7276">
        <w:rPr>
          <w:rFonts w:cs="Arial"/>
          <w:b/>
          <w:sz w:val="24"/>
          <w:szCs w:val="24"/>
        </w:rPr>
        <w:t>AfDB</w:t>
      </w:r>
      <w:r w:rsidRPr="000F7276">
        <w:rPr>
          <w:rFonts w:cs="Arial"/>
          <w:sz w:val="24"/>
          <w:szCs w:val="24"/>
        </w:rPr>
        <w:t xml:space="preserve"> </w:t>
      </w:r>
      <w:r w:rsidR="00702995" w:rsidRPr="000F7276">
        <w:rPr>
          <w:rFonts w:cs="Arial"/>
          <w:sz w:val="24"/>
          <w:szCs w:val="24"/>
        </w:rPr>
        <w:t>appl</w:t>
      </w:r>
      <w:r w:rsidR="00785E7E" w:rsidRPr="000F7276">
        <w:rPr>
          <w:rFonts w:cs="Arial"/>
          <w:sz w:val="24"/>
          <w:szCs w:val="24"/>
        </w:rPr>
        <w:t>ies</w:t>
      </w:r>
      <w:r w:rsidR="00702995" w:rsidRPr="000F7276">
        <w:rPr>
          <w:rFonts w:cs="Arial"/>
          <w:sz w:val="24"/>
          <w:szCs w:val="24"/>
        </w:rPr>
        <w:t xml:space="preserve"> “Strategic Environmental and </w:t>
      </w:r>
      <w:r w:rsidR="00776825" w:rsidRPr="000F7276">
        <w:rPr>
          <w:rFonts w:cs="Arial"/>
          <w:sz w:val="24"/>
          <w:szCs w:val="24"/>
        </w:rPr>
        <w:t>S</w:t>
      </w:r>
      <w:r w:rsidR="00702995" w:rsidRPr="000F7276">
        <w:rPr>
          <w:rFonts w:cs="Arial"/>
          <w:sz w:val="24"/>
          <w:szCs w:val="24"/>
        </w:rPr>
        <w:t xml:space="preserve">ocial Assessment for its …program-based lending </w:t>
      </w:r>
      <w:r w:rsidR="00487487" w:rsidRPr="000F7276">
        <w:rPr>
          <w:rFonts w:cs="Arial"/>
          <w:sz w:val="24"/>
          <w:szCs w:val="24"/>
        </w:rPr>
        <w:t>operations</w:t>
      </w:r>
      <w:r w:rsidR="00702995" w:rsidRPr="000F7276">
        <w:rPr>
          <w:rFonts w:cs="Arial"/>
          <w:sz w:val="24"/>
          <w:szCs w:val="24"/>
        </w:rPr>
        <w:t xml:space="preserve"> when there are high levels of </w:t>
      </w:r>
      <w:r w:rsidR="00487487" w:rsidRPr="000F7276">
        <w:rPr>
          <w:rFonts w:cs="Arial"/>
          <w:sz w:val="24"/>
          <w:szCs w:val="24"/>
        </w:rPr>
        <w:t>environmental</w:t>
      </w:r>
      <w:r w:rsidR="00702995" w:rsidRPr="000F7276">
        <w:rPr>
          <w:rFonts w:cs="Arial"/>
          <w:sz w:val="24"/>
          <w:szCs w:val="24"/>
        </w:rPr>
        <w:t xml:space="preserve"> and social risk.”</w:t>
      </w:r>
    </w:p>
    <w:p w14:paraId="129930CD" w14:textId="77777777" w:rsidR="00A009E7" w:rsidRDefault="00E4048C" w:rsidP="00A009E7">
      <w:pPr>
        <w:spacing w:after="240"/>
        <w:rPr>
          <w:b/>
          <w:sz w:val="24"/>
          <w:szCs w:val="24"/>
        </w:rPr>
      </w:pPr>
      <w:r w:rsidRPr="001375F3">
        <w:rPr>
          <w:b/>
          <w:sz w:val="24"/>
          <w:szCs w:val="24"/>
        </w:rPr>
        <w:t>Investment Lending</w:t>
      </w:r>
    </w:p>
    <w:p w14:paraId="70EE4FA9" w14:textId="77777777" w:rsidR="00A009E7" w:rsidRDefault="000029CD" w:rsidP="00A009E7">
      <w:pPr>
        <w:pStyle w:val="ListParagraph"/>
        <w:spacing w:after="240"/>
        <w:ind w:left="0"/>
        <w:rPr>
          <w:sz w:val="24"/>
          <w:szCs w:val="24"/>
        </w:rPr>
      </w:pPr>
      <w:r w:rsidRPr="000F7276">
        <w:rPr>
          <w:sz w:val="24"/>
          <w:szCs w:val="24"/>
        </w:rPr>
        <w:t>For</w:t>
      </w:r>
      <w:r w:rsidR="003F1948" w:rsidRPr="000F7276">
        <w:rPr>
          <w:sz w:val="24"/>
          <w:szCs w:val="24"/>
        </w:rPr>
        <w:t xml:space="preserve"> investment lending</w:t>
      </w:r>
      <w:r w:rsidR="0072472A" w:rsidRPr="000F7276">
        <w:rPr>
          <w:sz w:val="24"/>
          <w:szCs w:val="24"/>
        </w:rPr>
        <w:t>, MDBs</w:t>
      </w:r>
      <w:r w:rsidR="00B36720" w:rsidRPr="000F7276">
        <w:rPr>
          <w:sz w:val="24"/>
          <w:szCs w:val="24"/>
        </w:rPr>
        <w:t xml:space="preserve"> follow </w:t>
      </w:r>
      <w:r w:rsidR="003F1948" w:rsidRPr="000F7276">
        <w:rPr>
          <w:sz w:val="24"/>
          <w:szCs w:val="24"/>
        </w:rPr>
        <w:t xml:space="preserve">diverse approaches with respect to the application of </w:t>
      </w:r>
      <w:r w:rsidR="00946FD8" w:rsidRPr="000F7276">
        <w:rPr>
          <w:sz w:val="24"/>
          <w:szCs w:val="24"/>
        </w:rPr>
        <w:t>o</w:t>
      </w:r>
      <w:r w:rsidR="003F1948" w:rsidRPr="000F7276">
        <w:rPr>
          <w:sz w:val="24"/>
          <w:szCs w:val="24"/>
        </w:rPr>
        <w:t xml:space="preserve">perational </w:t>
      </w:r>
      <w:r w:rsidR="00946FD8" w:rsidRPr="000F7276">
        <w:rPr>
          <w:sz w:val="24"/>
          <w:szCs w:val="24"/>
        </w:rPr>
        <w:t>s</w:t>
      </w:r>
      <w:r w:rsidR="003F1948" w:rsidRPr="000F7276">
        <w:rPr>
          <w:sz w:val="24"/>
          <w:szCs w:val="24"/>
        </w:rPr>
        <w:t xml:space="preserve">afeguards to </w:t>
      </w:r>
      <w:r w:rsidR="00487487" w:rsidRPr="000F7276">
        <w:rPr>
          <w:sz w:val="24"/>
          <w:szCs w:val="24"/>
        </w:rPr>
        <w:t>various project structures and circumstances</w:t>
      </w:r>
      <w:r w:rsidRPr="000F7276">
        <w:rPr>
          <w:sz w:val="24"/>
          <w:szCs w:val="24"/>
        </w:rPr>
        <w:t>, such as</w:t>
      </w:r>
      <w:r w:rsidR="00487487" w:rsidRPr="000F7276">
        <w:rPr>
          <w:sz w:val="24"/>
          <w:szCs w:val="24"/>
        </w:rPr>
        <w:t xml:space="preserve">: </w:t>
      </w:r>
      <w:r w:rsidR="003F1948" w:rsidRPr="000F7276">
        <w:rPr>
          <w:sz w:val="24"/>
          <w:szCs w:val="24"/>
        </w:rPr>
        <w:t>new or existing operations</w:t>
      </w:r>
      <w:r w:rsidR="0072472A" w:rsidRPr="000F7276">
        <w:rPr>
          <w:sz w:val="24"/>
          <w:szCs w:val="24"/>
        </w:rPr>
        <w:t xml:space="preserve">; </w:t>
      </w:r>
      <w:r w:rsidR="00F06CA4" w:rsidRPr="000F7276">
        <w:rPr>
          <w:sz w:val="24"/>
          <w:szCs w:val="24"/>
        </w:rPr>
        <w:t>FIs</w:t>
      </w:r>
      <w:r w:rsidR="0072472A" w:rsidRPr="000F7276">
        <w:rPr>
          <w:sz w:val="24"/>
          <w:szCs w:val="24"/>
        </w:rPr>
        <w:t>; “associated facilities</w:t>
      </w:r>
      <w:r w:rsidR="00946FD8" w:rsidRPr="000F7276">
        <w:rPr>
          <w:sz w:val="24"/>
          <w:szCs w:val="24"/>
        </w:rPr>
        <w:t>;</w:t>
      </w:r>
      <w:r w:rsidR="003F1948" w:rsidRPr="000F7276">
        <w:rPr>
          <w:sz w:val="24"/>
          <w:szCs w:val="24"/>
        </w:rPr>
        <w:t>” emergency assistance lending</w:t>
      </w:r>
      <w:r w:rsidR="0072472A" w:rsidRPr="000F7276">
        <w:rPr>
          <w:sz w:val="24"/>
          <w:szCs w:val="24"/>
        </w:rPr>
        <w:t>; co</w:t>
      </w:r>
      <w:r w:rsidR="003F1948" w:rsidRPr="000F7276">
        <w:rPr>
          <w:sz w:val="24"/>
          <w:szCs w:val="24"/>
        </w:rPr>
        <w:t>-financing operations</w:t>
      </w:r>
      <w:r w:rsidR="0072472A" w:rsidRPr="000F7276">
        <w:rPr>
          <w:sz w:val="24"/>
          <w:szCs w:val="24"/>
        </w:rPr>
        <w:t>; technical</w:t>
      </w:r>
      <w:r w:rsidR="003F1948" w:rsidRPr="000F7276">
        <w:rPr>
          <w:sz w:val="24"/>
          <w:szCs w:val="24"/>
        </w:rPr>
        <w:t xml:space="preserve"> assistance and trust funds</w:t>
      </w:r>
      <w:r w:rsidR="0072472A" w:rsidRPr="000F7276">
        <w:rPr>
          <w:sz w:val="24"/>
          <w:szCs w:val="24"/>
        </w:rPr>
        <w:t>,</w:t>
      </w:r>
      <w:r w:rsidR="00487487" w:rsidRPr="000F7276">
        <w:rPr>
          <w:sz w:val="24"/>
          <w:szCs w:val="24"/>
        </w:rPr>
        <w:t xml:space="preserve"> as well as the allocation of Bank-Borrower roles and responsibilities</w:t>
      </w:r>
      <w:r w:rsidR="00E91F66" w:rsidRPr="000F7276">
        <w:rPr>
          <w:sz w:val="24"/>
          <w:szCs w:val="24"/>
        </w:rPr>
        <w:t xml:space="preserve"> appropriate for </w:t>
      </w:r>
      <w:r w:rsidR="0072472A" w:rsidRPr="000F7276">
        <w:rPr>
          <w:sz w:val="24"/>
          <w:szCs w:val="24"/>
        </w:rPr>
        <w:t>each project</w:t>
      </w:r>
      <w:r w:rsidR="00E91F66" w:rsidRPr="000F7276">
        <w:rPr>
          <w:sz w:val="24"/>
          <w:szCs w:val="24"/>
        </w:rPr>
        <w:t xml:space="preserve"> structure or </w:t>
      </w:r>
      <w:r w:rsidR="007952F4">
        <w:rPr>
          <w:sz w:val="24"/>
          <w:szCs w:val="24"/>
        </w:rPr>
        <w:t>circumstance</w:t>
      </w:r>
      <w:r w:rsidR="00E91F66" w:rsidRPr="000F7276">
        <w:rPr>
          <w:sz w:val="24"/>
          <w:szCs w:val="24"/>
        </w:rPr>
        <w:t>.</w:t>
      </w:r>
      <w:r w:rsidR="003F7392" w:rsidRPr="000F7276">
        <w:rPr>
          <w:sz w:val="24"/>
          <w:szCs w:val="24"/>
        </w:rPr>
        <w:t xml:space="preserve"> </w:t>
      </w:r>
      <w:r w:rsidR="00487487" w:rsidRPr="000F7276">
        <w:rPr>
          <w:sz w:val="24"/>
          <w:szCs w:val="24"/>
        </w:rPr>
        <w:t>S</w:t>
      </w:r>
      <w:r w:rsidR="002153E4" w:rsidRPr="000F7276">
        <w:rPr>
          <w:sz w:val="24"/>
          <w:szCs w:val="24"/>
        </w:rPr>
        <w:t>ome illustrative approaches are indicated here with respect to the application of safeguard instruments:</w:t>
      </w:r>
    </w:p>
    <w:p w14:paraId="30EB7A22" w14:textId="77777777" w:rsidR="00A009E7" w:rsidRDefault="00E4048C" w:rsidP="00A009E7">
      <w:pPr>
        <w:pStyle w:val="Default"/>
        <w:spacing w:after="240"/>
        <w:ind w:firstLine="360"/>
        <w:rPr>
          <w:rFonts w:ascii="Calibri" w:hAnsi="Calibri" w:cs="NBDFEE+TimesNewRoman,Bold"/>
          <w:bCs/>
          <w:i/>
          <w:color w:val="auto"/>
        </w:rPr>
      </w:pPr>
      <w:r w:rsidRPr="000F7276">
        <w:rPr>
          <w:rFonts w:ascii="Calibri" w:hAnsi="Calibri" w:cs="NBDFEE+TimesNewRoman,Bold"/>
          <w:bCs/>
          <w:i/>
          <w:color w:val="auto"/>
        </w:rPr>
        <w:t xml:space="preserve">Pre-Existing Operations </w:t>
      </w:r>
    </w:p>
    <w:p w14:paraId="0B3FE48C" w14:textId="0172EC9A" w:rsidR="00C321F1" w:rsidRPr="000F7276" w:rsidRDefault="0072472A" w:rsidP="00A009E7">
      <w:pPr>
        <w:pStyle w:val="ListParagraph"/>
        <w:numPr>
          <w:ilvl w:val="0"/>
          <w:numId w:val="9"/>
        </w:numPr>
        <w:rPr>
          <w:sz w:val="24"/>
          <w:szCs w:val="24"/>
        </w:rPr>
      </w:pPr>
      <w:r w:rsidRPr="000F7276">
        <w:rPr>
          <w:sz w:val="24"/>
          <w:szCs w:val="24"/>
        </w:rPr>
        <w:t>Focus</w:t>
      </w:r>
      <w:r w:rsidR="003A0EF2" w:rsidRPr="000F7276">
        <w:rPr>
          <w:sz w:val="24"/>
          <w:szCs w:val="24"/>
        </w:rPr>
        <w:t xml:space="preserve"> on assessment and remediation of existing environmental or social impacts, risks and liabilities</w:t>
      </w:r>
      <w:r w:rsidR="008A3F59" w:rsidRPr="000F7276">
        <w:rPr>
          <w:sz w:val="24"/>
          <w:szCs w:val="24"/>
        </w:rPr>
        <w:t>;</w:t>
      </w:r>
    </w:p>
    <w:p w14:paraId="2D2F821D" w14:textId="77777777" w:rsidR="00C321F1" w:rsidRPr="000F7276" w:rsidRDefault="003A0EF2" w:rsidP="00A009E7">
      <w:pPr>
        <w:pStyle w:val="ListParagraph"/>
        <w:numPr>
          <w:ilvl w:val="0"/>
          <w:numId w:val="9"/>
        </w:numPr>
        <w:rPr>
          <w:sz w:val="24"/>
          <w:szCs w:val="24"/>
        </w:rPr>
      </w:pPr>
      <w:r w:rsidRPr="000F7276">
        <w:rPr>
          <w:sz w:val="24"/>
          <w:szCs w:val="24"/>
        </w:rPr>
        <w:t xml:space="preserve">Audits used in place </w:t>
      </w:r>
      <w:r w:rsidR="00F06CA4" w:rsidRPr="000F7276">
        <w:rPr>
          <w:sz w:val="24"/>
          <w:szCs w:val="24"/>
        </w:rPr>
        <w:t xml:space="preserve">of </w:t>
      </w:r>
      <w:r w:rsidR="0072472A" w:rsidRPr="000F7276">
        <w:rPr>
          <w:sz w:val="24"/>
          <w:szCs w:val="24"/>
        </w:rPr>
        <w:t>Environmental Impact Assessment (</w:t>
      </w:r>
      <w:r w:rsidRPr="000F7276">
        <w:rPr>
          <w:sz w:val="24"/>
          <w:szCs w:val="24"/>
        </w:rPr>
        <w:t>EIA</w:t>
      </w:r>
      <w:r w:rsidR="0072472A" w:rsidRPr="000F7276">
        <w:rPr>
          <w:sz w:val="24"/>
          <w:szCs w:val="24"/>
        </w:rPr>
        <w:t>)</w:t>
      </w:r>
      <w:r w:rsidRPr="000F7276">
        <w:rPr>
          <w:sz w:val="24"/>
          <w:szCs w:val="24"/>
        </w:rPr>
        <w:t>, with full EIA under certain circumstances</w:t>
      </w:r>
      <w:r w:rsidR="008A3F59" w:rsidRPr="000F7276">
        <w:rPr>
          <w:sz w:val="24"/>
          <w:szCs w:val="24"/>
        </w:rPr>
        <w:t>;</w:t>
      </w:r>
    </w:p>
    <w:p w14:paraId="129F4F4E" w14:textId="77777777" w:rsidR="00C321F1" w:rsidRPr="000F7276" w:rsidRDefault="00487487" w:rsidP="00A009E7">
      <w:pPr>
        <w:pStyle w:val="ListParagraph"/>
        <w:numPr>
          <w:ilvl w:val="0"/>
          <w:numId w:val="9"/>
        </w:numPr>
        <w:rPr>
          <w:sz w:val="24"/>
          <w:szCs w:val="24"/>
        </w:rPr>
      </w:pPr>
      <w:r w:rsidRPr="000F7276">
        <w:rPr>
          <w:sz w:val="24"/>
          <w:szCs w:val="24"/>
        </w:rPr>
        <w:t>Additional</w:t>
      </w:r>
      <w:r w:rsidR="002153E4" w:rsidRPr="000F7276">
        <w:rPr>
          <w:sz w:val="24"/>
          <w:szCs w:val="24"/>
        </w:rPr>
        <w:t xml:space="preserve"> </w:t>
      </w:r>
      <w:r w:rsidR="003A0EF2" w:rsidRPr="000F7276">
        <w:rPr>
          <w:sz w:val="24"/>
          <w:szCs w:val="24"/>
        </w:rPr>
        <w:t xml:space="preserve">requirements </w:t>
      </w:r>
      <w:r w:rsidR="00F06CA4" w:rsidRPr="000F7276">
        <w:rPr>
          <w:sz w:val="24"/>
          <w:szCs w:val="24"/>
        </w:rPr>
        <w:t xml:space="preserve">possibly </w:t>
      </w:r>
      <w:r w:rsidR="003A0EF2" w:rsidRPr="000F7276">
        <w:rPr>
          <w:sz w:val="24"/>
          <w:szCs w:val="24"/>
        </w:rPr>
        <w:t>imposed for “legacy projects,” including supple</w:t>
      </w:r>
      <w:r w:rsidR="0072472A" w:rsidRPr="000F7276">
        <w:rPr>
          <w:sz w:val="24"/>
          <w:szCs w:val="24"/>
        </w:rPr>
        <w:t>mental reporting and monitoring</w:t>
      </w:r>
      <w:r w:rsidR="008A3F59" w:rsidRPr="000F7276">
        <w:rPr>
          <w:sz w:val="24"/>
          <w:szCs w:val="24"/>
        </w:rPr>
        <w:t xml:space="preserve">; </w:t>
      </w:r>
    </w:p>
    <w:p w14:paraId="5E3E39BA" w14:textId="77777777" w:rsidR="00A009E7" w:rsidRDefault="00067CFE" w:rsidP="00A009E7">
      <w:pPr>
        <w:pStyle w:val="ListParagraph"/>
        <w:numPr>
          <w:ilvl w:val="0"/>
          <w:numId w:val="9"/>
        </w:numPr>
        <w:spacing w:after="240"/>
        <w:rPr>
          <w:sz w:val="24"/>
          <w:szCs w:val="24"/>
        </w:rPr>
      </w:pPr>
      <w:r w:rsidRPr="000F7276">
        <w:rPr>
          <w:sz w:val="24"/>
          <w:szCs w:val="24"/>
        </w:rPr>
        <w:t xml:space="preserve">Existing </w:t>
      </w:r>
      <w:r w:rsidR="003A0EF2" w:rsidRPr="000F7276">
        <w:rPr>
          <w:sz w:val="24"/>
          <w:szCs w:val="24"/>
        </w:rPr>
        <w:t xml:space="preserve">Category A projects </w:t>
      </w:r>
      <w:r w:rsidR="00F06CA4" w:rsidRPr="000F7276">
        <w:rPr>
          <w:sz w:val="24"/>
          <w:szCs w:val="24"/>
        </w:rPr>
        <w:t xml:space="preserve">possibly </w:t>
      </w:r>
      <w:r w:rsidR="003A0EF2" w:rsidRPr="000F7276">
        <w:rPr>
          <w:sz w:val="24"/>
          <w:szCs w:val="24"/>
        </w:rPr>
        <w:t xml:space="preserve">subject to longer </w:t>
      </w:r>
      <w:r w:rsidR="002153E4" w:rsidRPr="000F7276">
        <w:rPr>
          <w:sz w:val="24"/>
          <w:szCs w:val="24"/>
        </w:rPr>
        <w:t xml:space="preserve">public </w:t>
      </w:r>
      <w:r w:rsidR="003A0EF2" w:rsidRPr="000F7276">
        <w:rPr>
          <w:sz w:val="24"/>
          <w:szCs w:val="24"/>
        </w:rPr>
        <w:t>disc</w:t>
      </w:r>
      <w:r w:rsidR="0072472A" w:rsidRPr="000F7276">
        <w:rPr>
          <w:sz w:val="24"/>
          <w:szCs w:val="24"/>
        </w:rPr>
        <w:t>losure prior to Board approval</w:t>
      </w:r>
      <w:r w:rsidR="00F06CA4" w:rsidRPr="000F7276">
        <w:rPr>
          <w:sz w:val="24"/>
          <w:szCs w:val="24"/>
        </w:rPr>
        <w:t>.</w:t>
      </w:r>
    </w:p>
    <w:p w14:paraId="7F4CAA43" w14:textId="77777777" w:rsidR="00A009E7" w:rsidRDefault="00E4048C" w:rsidP="00A009E7">
      <w:pPr>
        <w:pStyle w:val="Default"/>
        <w:spacing w:after="240"/>
        <w:ind w:firstLine="360"/>
        <w:rPr>
          <w:rFonts w:ascii="Calibri" w:hAnsi="Calibri" w:cs="NBDFEE+TimesNewRoman,Bold"/>
          <w:bCs/>
          <w:i/>
          <w:color w:val="auto"/>
        </w:rPr>
      </w:pPr>
      <w:r w:rsidRPr="000F7276">
        <w:rPr>
          <w:rFonts w:ascii="Calibri" w:hAnsi="Calibri" w:cs="NBDFEE+TimesNewRoman,Bold"/>
          <w:bCs/>
          <w:i/>
          <w:color w:val="auto"/>
        </w:rPr>
        <w:t>Financial Intermediaries (FIs)</w:t>
      </w:r>
    </w:p>
    <w:p w14:paraId="7CCC622D" w14:textId="14398FC1" w:rsidR="00C321F1" w:rsidRPr="000F7276" w:rsidRDefault="0072472A" w:rsidP="00A009E7">
      <w:pPr>
        <w:numPr>
          <w:ilvl w:val="0"/>
          <w:numId w:val="11"/>
        </w:numPr>
        <w:spacing w:after="120"/>
        <w:rPr>
          <w:sz w:val="24"/>
          <w:szCs w:val="24"/>
        </w:rPr>
      </w:pPr>
      <w:r w:rsidRPr="000F7276">
        <w:rPr>
          <w:sz w:val="24"/>
          <w:szCs w:val="24"/>
        </w:rPr>
        <w:t xml:space="preserve">Focus on capacity </w:t>
      </w:r>
      <w:r w:rsidR="00E4048C" w:rsidRPr="000F7276">
        <w:rPr>
          <w:sz w:val="24"/>
          <w:szCs w:val="24"/>
        </w:rPr>
        <w:t>of FI and portfolio risk:</w:t>
      </w:r>
    </w:p>
    <w:p w14:paraId="47DF61B1" w14:textId="77777777" w:rsidR="00C321F1" w:rsidRPr="000F7276" w:rsidRDefault="00E4048C" w:rsidP="00A009E7">
      <w:pPr>
        <w:pStyle w:val="ListParagraph"/>
        <w:numPr>
          <w:ilvl w:val="0"/>
          <w:numId w:val="15"/>
        </w:numPr>
        <w:rPr>
          <w:sz w:val="24"/>
          <w:szCs w:val="24"/>
        </w:rPr>
      </w:pPr>
      <w:r w:rsidRPr="000F7276">
        <w:rPr>
          <w:sz w:val="24"/>
          <w:szCs w:val="24"/>
        </w:rPr>
        <w:t xml:space="preserve">Assessment of FI capacity to assess and manage EA </w:t>
      </w:r>
      <w:r w:rsidR="00F06CA4" w:rsidRPr="000F7276">
        <w:rPr>
          <w:sz w:val="24"/>
          <w:szCs w:val="24"/>
        </w:rPr>
        <w:t>subproj</w:t>
      </w:r>
      <w:r w:rsidRPr="000F7276">
        <w:rPr>
          <w:sz w:val="24"/>
          <w:szCs w:val="24"/>
        </w:rPr>
        <w:t>ect impacts and risks</w:t>
      </w:r>
      <w:r w:rsidR="008A3F59" w:rsidRPr="000F7276">
        <w:rPr>
          <w:sz w:val="24"/>
          <w:szCs w:val="24"/>
        </w:rPr>
        <w:t>;</w:t>
      </w:r>
    </w:p>
    <w:p w14:paraId="5FB39B31" w14:textId="77777777" w:rsidR="00C321F1" w:rsidRPr="000F7276" w:rsidRDefault="008A3F59" w:rsidP="00A009E7">
      <w:pPr>
        <w:pStyle w:val="ListParagraph"/>
        <w:numPr>
          <w:ilvl w:val="0"/>
          <w:numId w:val="15"/>
        </w:numPr>
        <w:spacing w:after="120"/>
        <w:rPr>
          <w:sz w:val="24"/>
          <w:szCs w:val="24"/>
        </w:rPr>
      </w:pPr>
      <w:r w:rsidRPr="000F7276">
        <w:rPr>
          <w:sz w:val="24"/>
          <w:szCs w:val="24"/>
        </w:rPr>
        <w:t xml:space="preserve">Most </w:t>
      </w:r>
      <w:r w:rsidR="00E4048C" w:rsidRPr="000F7276">
        <w:rPr>
          <w:sz w:val="24"/>
          <w:szCs w:val="24"/>
        </w:rPr>
        <w:t>Category A a</w:t>
      </w:r>
      <w:r w:rsidR="0072472A" w:rsidRPr="000F7276">
        <w:rPr>
          <w:sz w:val="24"/>
          <w:szCs w:val="24"/>
        </w:rPr>
        <w:t xml:space="preserve">nd </w:t>
      </w:r>
      <w:r w:rsidR="00F06CA4" w:rsidRPr="000F7276">
        <w:rPr>
          <w:sz w:val="24"/>
          <w:szCs w:val="24"/>
        </w:rPr>
        <w:t xml:space="preserve">some </w:t>
      </w:r>
      <w:r w:rsidR="0072472A" w:rsidRPr="000F7276">
        <w:rPr>
          <w:sz w:val="24"/>
          <w:szCs w:val="24"/>
        </w:rPr>
        <w:t xml:space="preserve">high risk </w:t>
      </w:r>
      <w:r w:rsidR="00946FD8" w:rsidRPr="000F7276">
        <w:rPr>
          <w:sz w:val="24"/>
          <w:szCs w:val="24"/>
        </w:rPr>
        <w:t xml:space="preserve">Category </w:t>
      </w:r>
      <w:r w:rsidR="0072472A" w:rsidRPr="000F7276">
        <w:rPr>
          <w:sz w:val="24"/>
          <w:szCs w:val="24"/>
        </w:rPr>
        <w:t xml:space="preserve">B subprojects are </w:t>
      </w:r>
      <w:r w:rsidR="00E4048C" w:rsidRPr="000F7276">
        <w:rPr>
          <w:sz w:val="24"/>
          <w:szCs w:val="24"/>
        </w:rPr>
        <w:t xml:space="preserve">subject to MDB prior review </w:t>
      </w:r>
      <w:r w:rsidRPr="000F7276">
        <w:rPr>
          <w:sz w:val="24"/>
          <w:szCs w:val="24"/>
        </w:rPr>
        <w:t xml:space="preserve">and/or expert review </w:t>
      </w:r>
      <w:r w:rsidR="00E4048C" w:rsidRPr="000F7276">
        <w:rPr>
          <w:sz w:val="24"/>
          <w:szCs w:val="24"/>
        </w:rPr>
        <w:t xml:space="preserve">and </w:t>
      </w:r>
      <w:r w:rsidRPr="000F7276">
        <w:rPr>
          <w:sz w:val="24"/>
          <w:szCs w:val="24"/>
        </w:rPr>
        <w:t>clearance</w:t>
      </w:r>
      <w:r w:rsidR="00F06CA4" w:rsidRPr="000F7276">
        <w:rPr>
          <w:sz w:val="24"/>
          <w:szCs w:val="24"/>
        </w:rPr>
        <w:t>.</w:t>
      </w:r>
    </w:p>
    <w:p w14:paraId="0855831E" w14:textId="77777777" w:rsidR="00C321F1" w:rsidRPr="000F7276" w:rsidRDefault="00E4048C" w:rsidP="00A009E7">
      <w:pPr>
        <w:numPr>
          <w:ilvl w:val="0"/>
          <w:numId w:val="12"/>
        </w:numPr>
        <w:spacing w:after="120"/>
        <w:rPr>
          <w:sz w:val="24"/>
          <w:szCs w:val="24"/>
        </w:rPr>
      </w:pPr>
      <w:r w:rsidRPr="000F7276">
        <w:rPr>
          <w:sz w:val="24"/>
          <w:szCs w:val="24"/>
        </w:rPr>
        <w:t>FIs are required to:</w:t>
      </w:r>
    </w:p>
    <w:p w14:paraId="5393C0FB" w14:textId="19CFE17B" w:rsidR="00C321F1" w:rsidRPr="000F7276" w:rsidRDefault="00E4048C" w:rsidP="00A009E7">
      <w:pPr>
        <w:pStyle w:val="ListParagraph"/>
        <w:numPr>
          <w:ilvl w:val="0"/>
          <w:numId w:val="15"/>
        </w:numPr>
        <w:rPr>
          <w:sz w:val="24"/>
          <w:szCs w:val="24"/>
        </w:rPr>
      </w:pPr>
      <w:r w:rsidRPr="000F7276">
        <w:rPr>
          <w:sz w:val="24"/>
          <w:szCs w:val="24"/>
        </w:rPr>
        <w:t xml:space="preserve">Establish </w:t>
      </w:r>
      <w:r w:rsidR="008A3F59" w:rsidRPr="000F7276">
        <w:rPr>
          <w:sz w:val="24"/>
          <w:szCs w:val="24"/>
        </w:rPr>
        <w:t xml:space="preserve">an </w:t>
      </w:r>
      <w:r w:rsidR="007952F4">
        <w:rPr>
          <w:sz w:val="24"/>
          <w:szCs w:val="24"/>
        </w:rPr>
        <w:t xml:space="preserve">environmental and social management system </w:t>
      </w:r>
      <w:r w:rsidRPr="000F7276">
        <w:rPr>
          <w:sz w:val="24"/>
          <w:szCs w:val="24"/>
        </w:rPr>
        <w:t xml:space="preserve"> </w:t>
      </w:r>
      <w:r w:rsidR="008A3F59" w:rsidRPr="000F7276">
        <w:rPr>
          <w:sz w:val="24"/>
          <w:szCs w:val="24"/>
        </w:rPr>
        <w:t>commensurate with portfolio risk and</w:t>
      </w:r>
      <w:r w:rsidR="00DB219C" w:rsidRPr="000F7276">
        <w:rPr>
          <w:sz w:val="24"/>
          <w:szCs w:val="24"/>
        </w:rPr>
        <w:t xml:space="preserve"> </w:t>
      </w:r>
      <w:r w:rsidRPr="000F7276">
        <w:rPr>
          <w:sz w:val="24"/>
          <w:szCs w:val="24"/>
        </w:rPr>
        <w:t xml:space="preserve">acceptable to </w:t>
      </w:r>
      <w:r w:rsidR="008A3F59" w:rsidRPr="000F7276">
        <w:rPr>
          <w:sz w:val="24"/>
          <w:szCs w:val="24"/>
        </w:rPr>
        <w:t xml:space="preserve">the </w:t>
      </w:r>
      <w:r w:rsidRPr="000F7276">
        <w:rPr>
          <w:sz w:val="24"/>
          <w:szCs w:val="24"/>
        </w:rPr>
        <w:t>MDB</w:t>
      </w:r>
      <w:r w:rsidR="008A3F59" w:rsidRPr="000F7276">
        <w:rPr>
          <w:sz w:val="24"/>
          <w:szCs w:val="24"/>
        </w:rPr>
        <w:t>;</w:t>
      </w:r>
    </w:p>
    <w:p w14:paraId="665F4808" w14:textId="77777777" w:rsidR="00C321F1" w:rsidRPr="000F7276" w:rsidRDefault="00E4048C" w:rsidP="00A009E7">
      <w:pPr>
        <w:pStyle w:val="ListParagraph"/>
        <w:numPr>
          <w:ilvl w:val="0"/>
          <w:numId w:val="15"/>
        </w:numPr>
        <w:rPr>
          <w:sz w:val="24"/>
          <w:szCs w:val="24"/>
        </w:rPr>
      </w:pPr>
      <w:r w:rsidRPr="000F7276">
        <w:rPr>
          <w:sz w:val="24"/>
          <w:szCs w:val="24"/>
        </w:rPr>
        <w:t xml:space="preserve">Screen </w:t>
      </w:r>
      <w:r w:rsidR="00F06CA4" w:rsidRPr="000F7276">
        <w:rPr>
          <w:sz w:val="24"/>
          <w:szCs w:val="24"/>
        </w:rPr>
        <w:t>subproj</w:t>
      </w:r>
      <w:r w:rsidRPr="000F7276">
        <w:rPr>
          <w:sz w:val="24"/>
          <w:szCs w:val="24"/>
        </w:rPr>
        <w:t>ects</w:t>
      </w:r>
      <w:r w:rsidR="008A3F59" w:rsidRPr="000F7276">
        <w:rPr>
          <w:sz w:val="24"/>
          <w:szCs w:val="24"/>
        </w:rPr>
        <w:t>;</w:t>
      </w:r>
      <w:r w:rsidRPr="000F7276">
        <w:rPr>
          <w:sz w:val="24"/>
          <w:szCs w:val="24"/>
        </w:rPr>
        <w:t xml:space="preserve"> </w:t>
      </w:r>
    </w:p>
    <w:p w14:paraId="705B357E" w14:textId="4F326B8A" w:rsidR="00C321F1" w:rsidRPr="000F7276" w:rsidRDefault="00E4048C" w:rsidP="00A009E7">
      <w:pPr>
        <w:pStyle w:val="ListParagraph"/>
        <w:numPr>
          <w:ilvl w:val="0"/>
          <w:numId w:val="15"/>
        </w:numPr>
        <w:rPr>
          <w:sz w:val="24"/>
          <w:szCs w:val="24"/>
        </w:rPr>
      </w:pPr>
      <w:r w:rsidRPr="000F7276">
        <w:rPr>
          <w:sz w:val="24"/>
          <w:szCs w:val="24"/>
        </w:rPr>
        <w:t xml:space="preserve">Ensure sub-borrowers carry out </w:t>
      </w:r>
      <w:r w:rsidR="007952F4">
        <w:rPr>
          <w:sz w:val="24"/>
          <w:szCs w:val="24"/>
        </w:rPr>
        <w:t xml:space="preserve">an </w:t>
      </w:r>
      <w:r w:rsidRPr="000F7276">
        <w:rPr>
          <w:sz w:val="24"/>
          <w:szCs w:val="24"/>
        </w:rPr>
        <w:t xml:space="preserve">appropriate level of EA </w:t>
      </w:r>
      <w:r w:rsidR="00776825" w:rsidRPr="000F7276">
        <w:rPr>
          <w:sz w:val="24"/>
          <w:szCs w:val="24"/>
        </w:rPr>
        <w:t xml:space="preserve">and implement adequate mitigation measures </w:t>
      </w:r>
      <w:r w:rsidRPr="000F7276">
        <w:rPr>
          <w:sz w:val="24"/>
          <w:szCs w:val="24"/>
        </w:rPr>
        <w:t xml:space="preserve">for each </w:t>
      </w:r>
      <w:r w:rsidR="00F06CA4" w:rsidRPr="000F7276">
        <w:rPr>
          <w:sz w:val="24"/>
          <w:szCs w:val="24"/>
        </w:rPr>
        <w:t>subproj</w:t>
      </w:r>
      <w:r w:rsidRPr="000F7276">
        <w:rPr>
          <w:sz w:val="24"/>
          <w:szCs w:val="24"/>
        </w:rPr>
        <w:t>ect</w:t>
      </w:r>
      <w:r w:rsidR="008A3F59" w:rsidRPr="000F7276">
        <w:rPr>
          <w:sz w:val="24"/>
          <w:szCs w:val="24"/>
        </w:rPr>
        <w:t>;</w:t>
      </w:r>
    </w:p>
    <w:p w14:paraId="762013C3" w14:textId="77777777" w:rsidR="00C321F1" w:rsidRPr="000F7276" w:rsidRDefault="00E4048C" w:rsidP="00A009E7">
      <w:pPr>
        <w:pStyle w:val="ListParagraph"/>
        <w:numPr>
          <w:ilvl w:val="0"/>
          <w:numId w:val="15"/>
        </w:numPr>
        <w:rPr>
          <w:sz w:val="24"/>
          <w:szCs w:val="24"/>
        </w:rPr>
      </w:pPr>
      <w:r w:rsidRPr="000F7276">
        <w:rPr>
          <w:sz w:val="24"/>
          <w:szCs w:val="24"/>
        </w:rPr>
        <w:t xml:space="preserve">Certify and verify through monitoring that </w:t>
      </w:r>
      <w:r w:rsidR="008A3F59" w:rsidRPr="000F7276">
        <w:rPr>
          <w:sz w:val="24"/>
          <w:szCs w:val="24"/>
        </w:rPr>
        <w:t xml:space="preserve">each </w:t>
      </w:r>
      <w:r w:rsidRPr="000F7276">
        <w:rPr>
          <w:sz w:val="24"/>
          <w:szCs w:val="24"/>
        </w:rPr>
        <w:t xml:space="preserve">subproject meets national requirements and </w:t>
      </w:r>
      <w:r w:rsidR="008A3F59" w:rsidRPr="000F7276">
        <w:rPr>
          <w:sz w:val="24"/>
          <w:szCs w:val="24"/>
        </w:rPr>
        <w:t xml:space="preserve">applicable </w:t>
      </w:r>
      <w:r w:rsidRPr="000F7276">
        <w:rPr>
          <w:sz w:val="24"/>
          <w:szCs w:val="24"/>
        </w:rPr>
        <w:t>MDB</w:t>
      </w:r>
      <w:r w:rsidR="002153E4" w:rsidRPr="000F7276">
        <w:rPr>
          <w:sz w:val="24"/>
          <w:szCs w:val="24"/>
        </w:rPr>
        <w:t xml:space="preserve"> </w:t>
      </w:r>
      <w:r w:rsidRPr="000F7276">
        <w:rPr>
          <w:sz w:val="24"/>
          <w:szCs w:val="24"/>
        </w:rPr>
        <w:t>requirements</w:t>
      </w:r>
      <w:r w:rsidR="008A3F59" w:rsidRPr="000F7276">
        <w:rPr>
          <w:sz w:val="24"/>
          <w:szCs w:val="24"/>
        </w:rPr>
        <w:t>;</w:t>
      </w:r>
    </w:p>
    <w:p w14:paraId="47A31CBF" w14:textId="77777777" w:rsidR="00C321F1" w:rsidRPr="000F7276" w:rsidRDefault="00E4048C" w:rsidP="00A009E7">
      <w:pPr>
        <w:pStyle w:val="ListParagraph"/>
        <w:numPr>
          <w:ilvl w:val="0"/>
          <w:numId w:val="15"/>
        </w:numPr>
        <w:spacing w:after="120"/>
        <w:rPr>
          <w:sz w:val="24"/>
          <w:szCs w:val="24"/>
        </w:rPr>
      </w:pPr>
      <w:r w:rsidRPr="000F7276">
        <w:rPr>
          <w:sz w:val="24"/>
          <w:szCs w:val="24"/>
        </w:rPr>
        <w:t xml:space="preserve">Report annually to </w:t>
      </w:r>
      <w:r w:rsidR="008A3F59" w:rsidRPr="000F7276">
        <w:rPr>
          <w:sz w:val="24"/>
          <w:szCs w:val="24"/>
        </w:rPr>
        <w:t xml:space="preserve">the </w:t>
      </w:r>
      <w:r w:rsidRPr="000F7276">
        <w:rPr>
          <w:sz w:val="24"/>
          <w:szCs w:val="24"/>
        </w:rPr>
        <w:t>MDB on implementation and results</w:t>
      </w:r>
      <w:r w:rsidR="00F06CA4" w:rsidRPr="000F7276">
        <w:rPr>
          <w:sz w:val="24"/>
          <w:szCs w:val="24"/>
        </w:rPr>
        <w:t>.</w:t>
      </w:r>
    </w:p>
    <w:p w14:paraId="41C0D608" w14:textId="77777777" w:rsidR="00A009E7" w:rsidRDefault="00E4048C" w:rsidP="00A009E7">
      <w:pPr>
        <w:numPr>
          <w:ilvl w:val="0"/>
          <w:numId w:val="12"/>
        </w:numPr>
        <w:spacing w:after="240"/>
        <w:rPr>
          <w:sz w:val="24"/>
          <w:szCs w:val="24"/>
        </w:rPr>
      </w:pPr>
      <w:r w:rsidRPr="000F7276">
        <w:rPr>
          <w:sz w:val="24"/>
          <w:szCs w:val="24"/>
        </w:rPr>
        <w:t>MDBs monitor</w:t>
      </w:r>
      <w:r w:rsidR="0072472A" w:rsidRPr="000F7276">
        <w:rPr>
          <w:sz w:val="24"/>
          <w:szCs w:val="24"/>
        </w:rPr>
        <w:t xml:space="preserve"> FI performance</w:t>
      </w:r>
      <w:r w:rsidRPr="000F7276">
        <w:rPr>
          <w:sz w:val="24"/>
          <w:szCs w:val="24"/>
        </w:rPr>
        <w:t xml:space="preserve"> and require time-bound remediation where necessary</w:t>
      </w:r>
      <w:r w:rsidR="00F06CA4" w:rsidRPr="000F7276">
        <w:rPr>
          <w:sz w:val="24"/>
          <w:szCs w:val="24"/>
        </w:rPr>
        <w:t>.</w:t>
      </w:r>
    </w:p>
    <w:p w14:paraId="2E49695C" w14:textId="77777777" w:rsidR="00A009E7" w:rsidRDefault="00E4048C" w:rsidP="00A009E7">
      <w:pPr>
        <w:pStyle w:val="Default"/>
        <w:spacing w:after="240"/>
        <w:ind w:firstLine="360"/>
        <w:rPr>
          <w:rFonts w:ascii="Calibri" w:hAnsi="Calibri" w:cs="NBDFEE+TimesNewRoman,Bold"/>
          <w:bCs/>
          <w:i/>
          <w:color w:val="auto"/>
        </w:rPr>
      </w:pPr>
      <w:r w:rsidRPr="000F7276">
        <w:rPr>
          <w:rFonts w:ascii="Calibri" w:hAnsi="Calibri" w:cs="NBDFEE+TimesNewRoman,Bold"/>
          <w:bCs/>
          <w:i/>
          <w:color w:val="auto"/>
        </w:rPr>
        <w:t>Emergency and Disaster Relief Lending</w:t>
      </w:r>
    </w:p>
    <w:p w14:paraId="22700AAD" w14:textId="1DDFD05E" w:rsidR="00C321F1" w:rsidRPr="000F7276" w:rsidRDefault="003A0EF2" w:rsidP="00A009E7">
      <w:pPr>
        <w:numPr>
          <w:ilvl w:val="0"/>
          <w:numId w:val="13"/>
        </w:numPr>
        <w:rPr>
          <w:sz w:val="24"/>
          <w:szCs w:val="24"/>
        </w:rPr>
      </w:pPr>
      <w:r w:rsidRPr="000F7276">
        <w:rPr>
          <w:sz w:val="24"/>
          <w:szCs w:val="24"/>
        </w:rPr>
        <w:t>MDB EA requirements (e.g.</w:t>
      </w:r>
      <w:r w:rsidR="00F06CA4" w:rsidRPr="000F7276">
        <w:rPr>
          <w:sz w:val="24"/>
          <w:szCs w:val="24"/>
        </w:rPr>
        <w:t>,</w:t>
      </w:r>
      <w:r w:rsidRPr="000F7276">
        <w:rPr>
          <w:sz w:val="24"/>
          <w:szCs w:val="24"/>
        </w:rPr>
        <w:t xml:space="preserve"> OP</w:t>
      </w:r>
      <w:r w:rsidR="002B0650" w:rsidRPr="000F7276">
        <w:rPr>
          <w:sz w:val="24"/>
          <w:szCs w:val="24"/>
        </w:rPr>
        <w:t xml:space="preserve"> </w:t>
      </w:r>
      <w:r w:rsidRPr="000F7276">
        <w:rPr>
          <w:sz w:val="24"/>
          <w:szCs w:val="24"/>
        </w:rPr>
        <w:t>4.01) “normally apply</w:t>
      </w:r>
      <w:r w:rsidR="008A3F59" w:rsidRPr="000F7276">
        <w:rPr>
          <w:sz w:val="24"/>
          <w:szCs w:val="24"/>
        </w:rPr>
        <w:t>;</w:t>
      </w:r>
      <w:r w:rsidRPr="000F7276">
        <w:rPr>
          <w:sz w:val="24"/>
          <w:szCs w:val="24"/>
        </w:rPr>
        <w:t>”</w:t>
      </w:r>
    </w:p>
    <w:p w14:paraId="3F56556E" w14:textId="77777777" w:rsidR="00C321F1" w:rsidRPr="000F7276" w:rsidRDefault="003A0EF2" w:rsidP="00A009E7">
      <w:pPr>
        <w:numPr>
          <w:ilvl w:val="0"/>
          <w:numId w:val="13"/>
        </w:numPr>
        <w:rPr>
          <w:sz w:val="24"/>
          <w:szCs w:val="24"/>
        </w:rPr>
      </w:pPr>
      <w:r w:rsidRPr="000F7276">
        <w:rPr>
          <w:sz w:val="24"/>
          <w:szCs w:val="24"/>
        </w:rPr>
        <w:t>“Fast track” environmental screening and permitting used until situation has stabilized to permit normal compliance measures</w:t>
      </w:r>
      <w:r w:rsidR="008A3F59" w:rsidRPr="000F7276">
        <w:rPr>
          <w:sz w:val="24"/>
          <w:szCs w:val="24"/>
        </w:rPr>
        <w:t>;</w:t>
      </w:r>
      <w:r w:rsidR="00947CF6" w:rsidRPr="000F7276">
        <w:rPr>
          <w:rStyle w:val="FootnoteReference"/>
          <w:sz w:val="24"/>
          <w:szCs w:val="24"/>
        </w:rPr>
        <w:footnoteReference w:id="38"/>
      </w:r>
    </w:p>
    <w:p w14:paraId="6E183AD8" w14:textId="77777777" w:rsidR="00C321F1" w:rsidRPr="000F7276" w:rsidRDefault="003A0EF2" w:rsidP="00A009E7">
      <w:pPr>
        <w:numPr>
          <w:ilvl w:val="0"/>
          <w:numId w:val="13"/>
        </w:numPr>
        <w:rPr>
          <w:sz w:val="24"/>
          <w:szCs w:val="24"/>
        </w:rPr>
      </w:pPr>
      <w:r w:rsidRPr="000F7276">
        <w:rPr>
          <w:sz w:val="24"/>
          <w:szCs w:val="24"/>
        </w:rPr>
        <w:t>In “urgent cases” with capacity constraints</w:t>
      </w:r>
      <w:r w:rsidR="0072472A" w:rsidRPr="000F7276">
        <w:rPr>
          <w:sz w:val="24"/>
          <w:szCs w:val="24"/>
        </w:rPr>
        <w:t>,</w:t>
      </w:r>
      <w:r w:rsidRPr="000F7276">
        <w:rPr>
          <w:sz w:val="24"/>
          <w:szCs w:val="24"/>
        </w:rPr>
        <w:t xml:space="preserve"> safeguard measures may be “deferred from preparation to implementation phase</w:t>
      </w:r>
      <w:r w:rsidR="008A3F59" w:rsidRPr="000F7276">
        <w:rPr>
          <w:sz w:val="24"/>
          <w:szCs w:val="24"/>
        </w:rPr>
        <w:t>;</w:t>
      </w:r>
      <w:r w:rsidRPr="000F7276">
        <w:rPr>
          <w:sz w:val="24"/>
          <w:szCs w:val="24"/>
        </w:rPr>
        <w:t>”</w:t>
      </w:r>
    </w:p>
    <w:p w14:paraId="32966129" w14:textId="77777777" w:rsidR="00C321F1" w:rsidRPr="000F7276" w:rsidRDefault="003A0EF2" w:rsidP="00A009E7">
      <w:pPr>
        <w:numPr>
          <w:ilvl w:val="0"/>
          <w:numId w:val="13"/>
        </w:numPr>
        <w:rPr>
          <w:sz w:val="24"/>
          <w:szCs w:val="24"/>
        </w:rPr>
      </w:pPr>
      <w:r w:rsidRPr="000F7276">
        <w:rPr>
          <w:sz w:val="24"/>
          <w:szCs w:val="24"/>
        </w:rPr>
        <w:t>Where standard safeguard measures are untimely, “a framework approach” is prepared to facilitate “procedural flexibility” in the applica</w:t>
      </w:r>
      <w:r w:rsidR="0072472A" w:rsidRPr="000F7276">
        <w:rPr>
          <w:sz w:val="24"/>
          <w:szCs w:val="24"/>
        </w:rPr>
        <w:t>tion of safeguard requirements</w:t>
      </w:r>
      <w:r w:rsidR="008A3F59" w:rsidRPr="000F7276">
        <w:rPr>
          <w:sz w:val="24"/>
          <w:szCs w:val="24"/>
        </w:rPr>
        <w:t>;</w:t>
      </w:r>
    </w:p>
    <w:p w14:paraId="48B9E88A" w14:textId="77777777" w:rsidR="00A009E7" w:rsidRDefault="003A0EF2" w:rsidP="00A009E7">
      <w:pPr>
        <w:numPr>
          <w:ilvl w:val="0"/>
          <w:numId w:val="13"/>
        </w:numPr>
        <w:spacing w:after="240"/>
        <w:rPr>
          <w:sz w:val="24"/>
          <w:szCs w:val="24"/>
        </w:rPr>
      </w:pPr>
      <w:r w:rsidRPr="000F7276">
        <w:rPr>
          <w:sz w:val="24"/>
          <w:szCs w:val="24"/>
        </w:rPr>
        <w:t>In some cases</w:t>
      </w:r>
      <w:r w:rsidR="0072472A" w:rsidRPr="000F7276">
        <w:rPr>
          <w:sz w:val="24"/>
          <w:szCs w:val="24"/>
        </w:rPr>
        <w:t>,</w:t>
      </w:r>
      <w:r w:rsidRPr="000F7276">
        <w:rPr>
          <w:sz w:val="24"/>
          <w:szCs w:val="24"/>
        </w:rPr>
        <w:t xml:space="preserve"> “short term emergency relief is …specific</w:t>
      </w:r>
      <w:r w:rsidR="0072472A" w:rsidRPr="000F7276">
        <w:rPr>
          <w:sz w:val="24"/>
          <w:szCs w:val="24"/>
        </w:rPr>
        <w:t>ally exempted” from safeguards</w:t>
      </w:r>
      <w:r w:rsidR="0059080A" w:rsidRPr="000F7276">
        <w:rPr>
          <w:sz w:val="24"/>
          <w:szCs w:val="24"/>
        </w:rPr>
        <w:t>.</w:t>
      </w:r>
    </w:p>
    <w:p w14:paraId="613685CF" w14:textId="77777777" w:rsidR="00A009E7" w:rsidRDefault="0072472A" w:rsidP="00A009E7">
      <w:pPr>
        <w:pStyle w:val="Default"/>
        <w:spacing w:after="240"/>
        <w:ind w:firstLine="360"/>
        <w:rPr>
          <w:rFonts w:ascii="Calibri" w:hAnsi="Calibri" w:cs="NBDFEE+TimesNewRoman,Bold"/>
          <w:bCs/>
          <w:i/>
          <w:color w:val="auto"/>
        </w:rPr>
      </w:pPr>
      <w:r w:rsidRPr="000F7276">
        <w:rPr>
          <w:rFonts w:ascii="Calibri" w:hAnsi="Calibri" w:cs="NBDFEE+TimesNewRoman,Bold"/>
          <w:bCs/>
          <w:i/>
          <w:color w:val="auto"/>
        </w:rPr>
        <w:t>Co-financing</w:t>
      </w:r>
    </w:p>
    <w:p w14:paraId="63987A9B" w14:textId="1F1AC64F" w:rsidR="00C321F1" w:rsidRPr="000F7276" w:rsidRDefault="00E4048C" w:rsidP="00A009E7">
      <w:pPr>
        <w:numPr>
          <w:ilvl w:val="0"/>
          <w:numId w:val="13"/>
        </w:numPr>
        <w:rPr>
          <w:sz w:val="24"/>
          <w:szCs w:val="24"/>
        </w:rPr>
      </w:pPr>
      <w:r w:rsidRPr="000F7276">
        <w:rPr>
          <w:sz w:val="24"/>
          <w:szCs w:val="24"/>
        </w:rPr>
        <w:t>“Most stringent approach</w:t>
      </w:r>
      <w:r w:rsidR="00BC05E5" w:rsidRPr="000F7276">
        <w:rPr>
          <w:sz w:val="24"/>
          <w:szCs w:val="24"/>
        </w:rPr>
        <w:t>:</w:t>
      </w:r>
      <w:r w:rsidRPr="000F7276">
        <w:rPr>
          <w:sz w:val="24"/>
          <w:szCs w:val="24"/>
        </w:rPr>
        <w:t>” requires application of “the more stringent of the applicable safeguard requirements</w:t>
      </w:r>
      <w:r w:rsidR="008A3F59" w:rsidRPr="000F7276">
        <w:rPr>
          <w:sz w:val="24"/>
          <w:szCs w:val="24"/>
        </w:rPr>
        <w:t>;</w:t>
      </w:r>
      <w:r w:rsidRPr="000F7276">
        <w:rPr>
          <w:sz w:val="24"/>
          <w:szCs w:val="24"/>
        </w:rPr>
        <w:t>”</w:t>
      </w:r>
    </w:p>
    <w:p w14:paraId="6BA46911" w14:textId="2DC2A756" w:rsidR="00C321F1" w:rsidRPr="000F7276" w:rsidRDefault="00E4048C" w:rsidP="00A009E7">
      <w:pPr>
        <w:numPr>
          <w:ilvl w:val="0"/>
          <w:numId w:val="13"/>
        </w:numPr>
        <w:rPr>
          <w:sz w:val="24"/>
          <w:szCs w:val="24"/>
        </w:rPr>
      </w:pPr>
      <w:r w:rsidRPr="000F7276">
        <w:rPr>
          <w:sz w:val="24"/>
          <w:szCs w:val="24"/>
        </w:rPr>
        <w:t xml:space="preserve">“Harmonization” with other MDBs through single environmental </w:t>
      </w:r>
      <w:r w:rsidR="007952F4">
        <w:rPr>
          <w:sz w:val="24"/>
          <w:szCs w:val="24"/>
        </w:rPr>
        <w:t xml:space="preserve">and social </w:t>
      </w:r>
      <w:r w:rsidRPr="000F7276">
        <w:rPr>
          <w:sz w:val="24"/>
          <w:szCs w:val="24"/>
        </w:rPr>
        <w:t>assessment and planning process, unified documentation, consultation and disclosure requirements</w:t>
      </w:r>
      <w:r w:rsidR="008A3F59" w:rsidRPr="000F7276">
        <w:rPr>
          <w:sz w:val="24"/>
          <w:szCs w:val="24"/>
        </w:rPr>
        <w:t>;</w:t>
      </w:r>
    </w:p>
    <w:p w14:paraId="1D5FAC6F" w14:textId="77777777" w:rsidR="0030214A" w:rsidRPr="000F7276" w:rsidRDefault="00E4048C" w:rsidP="00A009E7">
      <w:pPr>
        <w:numPr>
          <w:ilvl w:val="0"/>
          <w:numId w:val="13"/>
        </w:numPr>
        <w:rPr>
          <w:sz w:val="24"/>
          <w:szCs w:val="24"/>
        </w:rPr>
      </w:pPr>
      <w:r w:rsidRPr="000F7276">
        <w:rPr>
          <w:sz w:val="24"/>
          <w:szCs w:val="24"/>
        </w:rPr>
        <w:t>“Collaboration</w:t>
      </w:r>
      <w:r w:rsidR="008E38F9" w:rsidRPr="000F7276">
        <w:rPr>
          <w:sz w:val="24"/>
          <w:szCs w:val="24"/>
        </w:rPr>
        <w:t>” with client and co-financiers</w:t>
      </w:r>
      <w:r w:rsidRPr="000F7276">
        <w:rPr>
          <w:sz w:val="24"/>
          <w:szCs w:val="24"/>
        </w:rPr>
        <w:t xml:space="preserve"> through</w:t>
      </w:r>
      <w:r w:rsidR="00BC05E5" w:rsidRPr="000F7276">
        <w:rPr>
          <w:sz w:val="24"/>
          <w:szCs w:val="24"/>
        </w:rPr>
        <w:t xml:space="preserve"> Memorandum of Understanding (</w:t>
      </w:r>
      <w:r w:rsidRPr="000F7276">
        <w:rPr>
          <w:sz w:val="24"/>
          <w:szCs w:val="24"/>
        </w:rPr>
        <w:t>MOU</w:t>
      </w:r>
      <w:r w:rsidR="00BC05E5" w:rsidRPr="000F7276">
        <w:rPr>
          <w:sz w:val="24"/>
          <w:szCs w:val="24"/>
        </w:rPr>
        <w:t>)</w:t>
      </w:r>
      <w:r w:rsidRPr="000F7276">
        <w:rPr>
          <w:sz w:val="24"/>
          <w:szCs w:val="24"/>
        </w:rPr>
        <w:t xml:space="preserve"> or other common approach process</w:t>
      </w:r>
      <w:r w:rsidR="008A3F59" w:rsidRPr="000F7276">
        <w:rPr>
          <w:sz w:val="24"/>
          <w:szCs w:val="24"/>
        </w:rPr>
        <w:t>;</w:t>
      </w:r>
    </w:p>
    <w:p w14:paraId="50F4694E" w14:textId="77777777" w:rsidR="00A009E7" w:rsidRDefault="00B81249" w:rsidP="00A009E7">
      <w:pPr>
        <w:numPr>
          <w:ilvl w:val="0"/>
          <w:numId w:val="13"/>
        </w:numPr>
        <w:spacing w:after="240"/>
        <w:rPr>
          <w:sz w:val="24"/>
          <w:szCs w:val="24"/>
        </w:rPr>
      </w:pPr>
      <w:r>
        <w:rPr>
          <w:sz w:val="24"/>
          <w:szCs w:val="24"/>
        </w:rPr>
        <w:t>Use of g</w:t>
      </w:r>
      <w:r w:rsidR="007B46AF" w:rsidRPr="000F7276">
        <w:rPr>
          <w:sz w:val="24"/>
          <w:szCs w:val="24"/>
        </w:rPr>
        <w:t xml:space="preserve">ap analysis </w:t>
      </w:r>
      <w:r>
        <w:rPr>
          <w:sz w:val="24"/>
          <w:szCs w:val="24"/>
        </w:rPr>
        <w:t xml:space="preserve">and gap filling </w:t>
      </w:r>
      <w:r w:rsidR="005D6B1B">
        <w:rPr>
          <w:sz w:val="24"/>
          <w:szCs w:val="24"/>
        </w:rPr>
        <w:t>measures for projects co-financed an MDB and an FI</w:t>
      </w:r>
      <w:r w:rsidR="00067CFE" w:rsidRPr="000F7276">
        <w:rPr>
          <w:sz w:val="24"/>
          <w:szCs w:val="24"/>
        </w:rPr>
        <w:t>.</w:t>
      </w:r>
    </w:p>
    <w:p w14:paraId="729FA397" w14:textId="77777777" w:rsidR="00A009E7" w:rsidRDefault="003A0EF2" w:rsidP="00A009E7">
      <w:pPr>
        <w:pStyle w:val="Default"/>
        <w:spacing w:after="240"/>
        <w:ind w:firstLine="360"/>
        <w:rPr>
          <w:rFonts w:cs="NBDFEE+TimesNewRoman,Bold"/>
          <w:bCs/>
          <w:i/>
        </w:rPr>
      </w:pPr>
      <w:r w:rsidRPr="000F7276">
        <w:rPr>
          <w:rFonts w:ascii="Calibri" w:hAnsi="Calibri" w:cs="NBDFEE+TimesNewRoman,Bold"/>
          <w:bCs/>
          <w:i/>
          <w:color w:val="auto"/>
        </w:rPr>
        <w:t>Compliance with National Law and International Agreements</w:t>
      </w:r>
    </w:p>
    <w:p w14:paraId="6267FF7F" w14:textId="4B78C162" w:rsidR="00C321F1" w:rsidRPr="000F7276" w:rsidRDefault="00E4048C" w:rsidP="00A009E7">
      <w:pPr>
        <w:numPr>
          <w:ilvl w:val="0"/>
          <w:numId w:val="13"/>
        </w:numPr>
        <w:rPr>
          <w:sz w:val="24"/>
          <w:szCs w:val="24"/>
        </w:rPr>
      </w:pPr>
      <w:r w:rsidRPr="000F7276">
        <w:rPr>
          <w:sz w:val="24"/>
          <w:szCs w:val="24"/>
        </w:rPr>
        <w:t>EA and/or project</w:t>
      </w:r>
      <w:r w:rsidR="003F7392" w:rsidRPr="000F7276">
        <w:rPr>
          <w:sz w:val="24"/>
          <w:szCs w:val="24"/>
        </w:rPr>
        <w:t xml:space="preserve"> </w:t>
      </w:r>
      <w:r w:rsidR="003A0EF2" w:rsidRPr="000F7276">
        <w:rPr>
          <w:sz w:val="24"/>
          <w:szCs w:val="24"/>
        </w:rPr>
        <w:t xml:space="preserve">must </w:t>
      </w:r>
      <w:r w:rsidRPr="000F7276">
        <w:rPr>
          <w:sz w:val="24"/>
          <w:szCs w:val="24"/>
        </w:rPr>
        <w:t>comply with the host country’s social and environmental laws and regulations</w:t>
      </w:r>
      <w:r w:rsidR="008A3F59" w:rsidRPr="000F7276">
        <w:rPr>
          <w:sz w:val="24"/>
          <w:szCs w:val="24"/>
        </w:rPr>
        <w:t>;</w:t>
      </w:r>
      <w:r w:rsidRPr="000F7276">
        <w:rPr>
          <w:sz w:val="24"/>
          <w:szCs w:val="24"/>
        </w:rPr>
        <w:t xml:space="preserve"> </w:t>
      </w:r>
    </w:p>
    <w:p w14:paraId="4AC1A32C" w14:textId="77777777" w:rsidR="00C321F1" w:rsidRPr="000F7276" w:rsidRDefault="00E4048C" w:rsidP="00A009E7">
      <w:pPr>
        <w:numPr>
          <w:ilvl w:val="0"/>
          <w:numId w:val="13"/>
        </w:numPr>
        <w:rPr>
          <w:sz w:val="24"/>
          <w:szCs w:val="24"/>
        </w:rPr>
      </w:pPr>
      <w:r w:rsidRPr="000F7276">
        <w:rPr>
          <w:sz w:val="24"/>
          <w:szCs w:val="24"/>
        </w:rPr>
        <w:t>Projects must comply with more stringent of host country law or MDB requirements</w:t>
      </w:r>
      <w:r w:rsidR="008A3F59" w:rsidRPr="000F7276">
        <w:rPr>
          <w:sz w:val="24"/>
          <w:szCs w:val="24"/>
        </w:rPr>
        <w:t>;</w:t>
      </w:r>
    </w:p>
    <w:p w14:paraId="019DA861" w14:textId="77777777" w:rsidR="00C321F1" w:rsidRPr="000F7276" w:rsidRDefault="00E4048C" w:rsidP="00A009E7">
      <w:pPr>
        <w:numPr>
          <w:ilvl w:val="0"/>
          <w:numId w:val="13"/>
        </w:numPr>
        <w:rPr>
          <w:sz w:val="24"/>
          <w:szCs w:val="24"/>
        </w:rPr>
      </w:pPr>
      <w:r w:rsidRPr="000F7276">
        <w:rPr>
          <w:sz w:val="24"/>
          <w:szCs w:val="24"/>
        </w:rPr>
        <w:t>Projects must conform with the terms stipulated in the Financing Agreement, “regardless of any law to the contrary in the territory of a Project Member State</w:t>
      </w:r>
      <w:r w:rsidR="008A3F59" w:rsidRPr="000F7276">
        <w:rPr>
          <w:sz w:val="24"/>
          <w:szCs w:val="24"/>
        </w:rPr>
        <w:t>;</w:t>
      </w:r>
      <w:r w:rsidRPr="000F7276">
        <w:rPr>
          <w:sz w:val="24"/>
          <w:szCs w:val="24"/>
        </w:rPr>
        <w:t>”</w:t>
      </w:r>
    </w:p>
    <w:p w14:paraId="1851391A" w14:textId="2AE20489" w:rsidR="00C321F1" w:rsidRPr="000F7276" w:rsidRDefault="00E4048C" w:rsidP="00A009E7">
      <w:pPr>
        <w:numPr>
          <w:ilvl w:val="0"/>
          <w:numId w:val="13"/>
        </w:numPr>
        <w:rPr>
          <w:sz w:val="24"/>
          <w:szCs w:val="24"/>
        </w:rPr>
      </w:pPr>
      <w:r w:rsidRPr="000F7276">
        <w:rPr>
          <w:sz w:val="24"/>
          <w:szCs w:val="24"/>
        </w:rPr>
        <w:t>“The Bank does not finance activities that would co</w:t>
      </w:r>
      <w:r w:rsidR="007952F4">
        <w:rPr>
          <w:sz w:val="24"/>
          <w:szCs w:val="24"/>
        </w:rPr>
        <w:t>ntravene …country obligations …</w:t>
      </w:r>
      <w:r w:rsidRPr="000F7276">
        <w:rPr>
          <w:sz w:val="24"/>
          <w:szCs w:val="24"/>
        </w:rPr>
        <w:t>under relevant international treaties and agreements, as identified during the EA</w:t>
      </w:r>
      <w:r w:rsidR="008A3F59" w:rsidRPr="000F7276">
        <w:rPr>
          <w:sz w:val="24"/>
          <w:szCs w:val="24"/>
        </w:rPr>
        <w:t>;</w:t>
      </w:r>
      <w:r w:rsidRPr="000F7276">
        <w:rPr>
          <w:sz w:val="24"/>
          <w:szCs w:val="24"/>
        </w:rPr>
        <w:t>”</w:t>
      </w:r>
    </w:p>
    <w:p w14:paraId="37EAF0C1" w14:textId="77777777" w:rsidR="00A009E7" w:rsidRDefault="00E4048C" w:rsidP="00A009E7">
      <w:pPr>
        <w:pStyle w:val="ListParagraph"/>
        <w:numPr>
          <w:ilvl w:val="0"/>
          <w:numId w:val="21"/>
        </w:numPr>
        <w:autoSpaceDE/>
        <w:autoSpaceDN/>
        <w:adjustRightInd/>
        <w:spacing w:after="240"/>
        <w:rPr>
          <w:sz w:val="24"/>
          <w:szCs w:val="24"/>
        </w:rPr>
      </w:pPr>
      <w:r w:rsidRPr="000F7276">
        <w:rPr>
          <w:sz w:val="24"/>
          <w:szCs w:val="24"/>
        </w:rPr>
        <w:t>“The Bank will require the borrower….to ensure that the project is designed and carried out in compliance with …national obligations…under ratified Multilateral Environmental Agreements.”</w:t>
      </w:r>
      <w:r w:rsidR="00C90FFA" w:rsidRPr="000F7276">
        <w:rPr>
          <w:rStyle w:val="FootnoteReference"/>
          <w:sz w:val="24"/>
          <w:szCs w:val="24"/>
        </w:rPr>
        <w:footnoteReference w:id="39"/>
      </w:r>
    </w:p>
    <w:p w14:paraId="06CC37EF" w14:textId="7153D3A2" w:rsidR="006C04D0" w:rsidRPr="000F7276" w:rsidRDefault="00E4048C" w:rsidP="00A009E7">
      <w:pPr>
        <w:pStyle w:val="hhhead1"/>
      </w:pPr>
      <w:bookmarkStart w:id="6" w:name="_Toc419114249"/>
      <w:r w:rsidRPr="000F7276">
        <w:t>Thematic Coverage</w:t>
      </w:r>
      <w:bookmarkEnd w:id="6"/>
      <w:r w:rsidRPr="000F7276">
        <w:t xml:space="preserve"> </w:t>
      </w:r>
    </w:p>
    <w:p w14:paraId="600748C1" w14:textId="77777777" w:rsidR="00A009E7" w:rsidRDefault="007D6915" w:rsidP="00A009E7">
      <w:pPr>
        <w:spacing w:after="240"/>
        <w:rPr>
          <w:sz w:val="24"/>
          <w:szCs w:val="24"/>
        </w:rPr>
      </w:pPr>
      <w:r w:rsidRPr="000F7276">
        <w:rPr>
          <w:rFonts w:cs="Times New Roman"/>
          <w:sz w:val="24"/>
          <w:szCs w:val="24"/>
        </w:rPr>
        <w:t>This</w:t>
      </w:r>
      <w:r w:rsidR="00472D0D" w:rsidRPr="000F7276">
        <w:rPr>
          <w:rFonts w:cs="Times New Roman"/>
          <w:sz w:val="24"/>
          <w:szCs w:val="24"/>
        </w:rPr>
        <w:t xml:space="preserve"> analysis </w:t>
      </w:r>
      <w:r w:rsidRPr="000F7276">
        <w:rPr>
          <w:rFonts w:cs="Times New Roman"/>
          <w:sz w:val="24"/>
          <w:szCs w:val="24"/>
        </w:rPr>
        <w:t>covers the</w:t>
      </w:r>
      <w:r w:rsidR="00472D0D" w:rsidRPr="000F7276">
        <w:rPr>
          <w:rFonts w:cs="Times New Roman"/>
          <w:sz w:val="24"/>
          <w:szCs w:val="24"/>
        </w:rPr>
        <w:t xml:space="preserve"> environmental and social issues that are already part of the </w:t>
      </w:r>
      <w:r w:rsidR="007F7F11" w:rsidRPr="000F7276">
        <w:rPr>
          <w:rFonts w:cs="Times New Roman"/>
          <w:sz w:val="24"/>
          <w:szCs w:val="24"/>
        </w:rPr>
        <w:t xml:space="preserve">World Bank’s OPs as well as the “emerging areas” identified within the </w:t>
      </w:r>
      <w:r w:rsidR="00BC05E5" w:rsidRPr="000F7276">
        <w:rPr>
          <w:rFonts w:cs="Times New Roman"/>
          <w:sz w:val="24"/>
          <w:szCs w:val="24"/>
        </w:rPr>
        <w:t xml:space="preserve">SRU </w:t>
      </w:r>
      <w:r w:rsidRPr="000F7276">
        <w:rPr>
          <w:rFonts w:cs="Times New Roman"/>
          <w:sz w:val="24"/>
          <w:szCs w:val="24"/>
        </w:rPr>
        <w:t>process that are not currently covered by the OPs (i.e.</w:t>
      </w:r>
      <w:r w:rsidR="003D1B4C" w:rsidRPr="000F7276">
        <w:rPr>
          <w:rFonts w:cs="Times New Roman"/>
          <w:sz w:val="24"/>
          <w:szCs w:val="24"/>
        </w:rPr>
        <w:t>,</w:t>
      </w:r>
      <w:r w:rsidRPr="000F7276">
        <w:rPr>
          <w:rFonts w:cs="Times New Roman"/>
          <w:sz w:val="24"/>
          <w:szCs w:val="24"/>
        </w:rPr>
        <w:t xml:space="preserve"> </w:t>
      </w:r>
      <w:r w:rsidR="007952F4">
        <w:rPr>
          <w:rFonts w:cs="Times New Roman"/>
          <w:sz w:val="24"/>
          <w:szCs w:val="24"/>
        </w:rPr>
        <w:t>human rights;</w:t>
      </w:r>
      <w:r w:rsidR="00E3112B" w:rsidRPr="000F7276">
        <w:rPr>
          <w:rFonts w:cs="Times New Roman"/>
          <w:sz w:val="24"/>
          <w:szCs w:val="24"/>
        </w:rPr>
        <w:t xml:space="preserve"> labor and</w:t>
      </w:r>
      <w:r w:rsidR="007952F4">
        <w:rPr>
          <w:rFonts w:cs="Times New Roman"/>
          <w:sz w:val="24"/>
          <w:szCs w:val="24"/>
        </w:rPr>
        <w:t xml:space="preserve"> occupational health and safety; gender; disability;</w:t>
      </w:r>
      <w:r w:rsidR="00E3112B" w:rsidRPr="000F7276">
        <w:rPr>
          <w:rFonts w:cs="Times New Roman"/>
          <w:sz w:val="24"/>
          <w:szCs w:val="24"/>
        </w:rPr>
        <w:t xml:space="preserve"> the free, prior, and informed consent</w:t>
      </w:r>
      <w:r w:rsidRPr="000F7276">
        <w:rPr>
          <w:rFonts w:cs="Times New Roman"/>
          <w:sz w:val="24"/>
          <w:szCs w:val="24"/>
        </w:rPr>
        <w:t xml:space="preserve"> (FPIC)</w:t>
      </w:r>
      <w:r w:rsidR="007952F4">
        <w:rPr>
          <w:rFonts w:cs="Times New Roman"/>
          <w:sz w:val="24"/>
          <w:szCs w:val="24"/>
        </w:rPr>
        <w:t xml:space="preserve"> of Indigenous Peoples;</w:t>
      </w:r>
      <w:r w:rsidR="00E3112B" w:rsidRPr="000F7276">
        <w:rPr>
          <w:rFonts w:cs="Times New Roman"/>
          <w:sz w:val="24"/>
          <w:szCs w:val="24"/>
        </w:rPr>
        <w:t xml:space="preserve"> la</w:t>
      </w:r>
      <w:r w:rsidR="007952F4">
        <w:rPr>
          <w:rFonts w:cs="Times New Roman"/>
          <w:sz w:val="24"/>
          <w:szCs w:val="24"/>
        </w:rPr>
        <w:t>nd tenure and natural resources;</w:t>
      </w:r>
      <w:r w:rsidR="00E3112B" w:rsidRPr="000F7276">
        <w:rPr>
          <w:rFonts w:cs="Times New Roman"/>
          <w:sz w:val="24"/>
          <w:szCs w:val="24"/>
        </w:rPr>
        <w:t xml:space="preserve"> and climate change)</w:t>
      </w:r>
      <w:r w:rsidRPr="000F7276">
        <w:rPr>
          <w:rFonts w:cs="Times New Roman"/>
          <w:sz w:val="24"/>
          <w:szCs w:val="24"/>
        </w:rPr>
        <w:t xml:space="preserve"> </w:t>
      </w:r>
      <w:r w:rsidRPr="000F7276">
        <w:rPr>
          <w:sz w:val="24"/>
          <w:szCs w:val="24"/>
        </w:rPr>
        <w:t>(World Bank, 201</w:t>
      </w:r>
      <w:r w:rsidR="003D1B4C" w:rsidRPr="000F7276">
        <w:rPr>
          <w:sz w:val="24"/>
          <w:szCs w:val="24"/>
        </w:rPr>
        <w:t>2</w:t>
      </w:r>
      <w:r w:rsidRPr="000F7276">
        <w:rPr>
          <w:sz w:val="24"/>
          <w:szCs w:val="24"/>
        </w:rPr>
        <w:t>).</w:t>
      </w:r>
      <w:r w:rsidR="003F7392" w:rsidRPr="000F7276">
        <w:rPr>
          <w:sz w:val="24"/>
          <w:szCs w:val="24"/>
        </w:rPr>
        <w:t xml:space="preserve"> </w:t>
      </w:r>
      <w:r w:rsidR="00E66173" w:rsidRPr="000F7276">
        <w:rPr>
          <w:sz w:val="24"/>
          <w:szCs w:val="24"/>
        </w:rPr>
        <w:t>For a detailed matrix comparing MDB thematic coverage of safeguard-related issue</w:t>
      </w:r>
      <w:r w:rsidR="00BC05E5" w:rsidRPr="000F7276">
        <w:rPr>
          <w:sz w:val="24"/>
          <w:szCs w:val="24"/>
        </w:rPr>
        <w:t>s</w:t>
      </w:r>
      <w:r w:rsidR="00E66173" w:rsidRPr="000F7276">
        <w:rPr>
          <w:sz w:val="24"/>
          <w:szCs w:val="24"/>
        </w:rPr>
        <w:t xml:space="preserve">, see Annex 2 of this report. </w:t>
      </w:r>
    </w:p>
    <w:p w14:paraId="2ED6C923" w14:textId="77777777" w:rsidR="00A009E7" w:rsidRDefault="001D3907" w:rsidP="00A009E7">
      <w:pPr>
        <w:spacing w:after="240"/>
        <w:rPr>
          <w:rFonts w:cs="Times New Roman"/>
          <w:sz w:val="24"/>
          <w:szCs w:val="24"/>
        </w:rPr>
      </w:pPr>
      <w:r w:rsidRPr="000F7276">
        <w:rPr>
          <w:rFonts w:cs="Times New Roman"/>
          <w:sz w:val="24"/>
          <w:szCs w:val="24"/>
        </w:rPr>
        <w:t>In broad terms,</w:t>
      </w:r>
      <w:r w:rsidR="00472D0D" w:rsidRPr="000F7276">
        <w:rPr>
          <w:rFonts w:cs="Times New Roman"/>
          <w:sz w:val="24"/>
          <w:szCs w:val="24"/>
        </w:rPr>
        <w:t xml:space="preserve"> the analysis finds that there is </w:t>
      </w:r>
      <w:r w:rsidRPr="000F7276">
        <w:rPr>
          <w:rFonts w:cs="Times New Roman"/>
          <w:sz w:val="24"/>
          <w:szCs w:val="24"/>
        </w:rPr>
        <w:t>a general</w:t>
      </w:r>
      <w:r w:rsidR="00472D0D" w:rsidRPr="000F7276">
        <w:rPr>
          <w:rFonts w:cs="Times New Roman"/>
          <w:sz w:val="24"/>
          <w:szCs w:val="24"/>
        </w:rPr>
        <w:t xml:space="preserve"> consistency among MDB safeguard systems</w:t>
      </w:r>
      <w:r w:rsidR="00131E57" w:rsidRPr="000F7276">
        <w:rPr>
          <w:rFonts w:cs="Times New Roman"/>
          <w:sz w:val="24"/>
          <w:szCs w:val="24"/>
        </w:rPr>
        <w:t>,</w:t>
      </w:r>
      <w:r w:rsidR="00472D0D" w:rsidRPr="000F7276">
        <w:rPr>
          <w:rFonts w:cs="Times New Roman"/>
          <w:sz w:val="24"/>
          <w:szCs w:val="24"/>
        </w:rPr>
        <w:t xml:space="preserve"> with respect to thematic coverage of safeguard issues</w:t>
      </w:r>
      <w:r w:rsidR="00975A1C" w:rsidRPr="000F7276">
        <w:rPr>
          <w:rFonts w:cs="Times New Roman"/>
          <w:sz w:val="24"/>
          <w:szCs w:val="24"/>
        </w:rPr>
        <w:t xml:space="preserve"> (Table </w:t>
      </w:r>
      <w:r w:rsidR="0072472A" w:rsidRPr="000F7276">
        <w:rPr>
          <w:rFonts w:cs="Times New Roman"/>
          <w:sz w:val="24"/>
          <w:szCs w:val="24"/>
        </w:rPr>
        <w:t>3</w:t>
      </w:r>
      <w:r w:rsidR="00975A1C" w:rsidRPr="000F7276">
        <w:rPr>
          <w:rFonts w:cs="Times New Roman"/>
          <w:sz w:val="24"/>
          <w:szCs w:val="24"/>
        </w:rPr>
        <w:t>)</w:t>
      </w:r>
      <w:r w:rsidR="003075E8" w:rsidRPr="000F7276">
        <w:rPr>
          <w:rFonts w:cs="Times New Roman"/>
          <w:sz w:val="24"/>
          <w:szCs w:val="24"/>
        </w:rPr>
        <w:t xml:space="preserve">. </w:t>
      </w:r>
      <w:r w:rsidR="00131E57" w:rsidRPr="000F7276">
        <w:rPr>
          <w:rFonts w:cs="Times New Roman"/>
          <w:sz w:val="24"/>
          <w:szCs w:val="24"/>
        </w:rPr>
        <w:t xml:space="preserve">There are nuances to be found regarding the </w:t>
      </w:r>
      <w:r w:rsidR="005D6B1B">
        <w:rPr>
          <w:rFonts w:cs="Times New Roman"/>
          <w:sz w:val="24"/>
          <w:szCs w:val="24"/>
        </w:rPr>
        <w:t>context</w:t>
      </w:r>
      <w:r w:rsidR="00131E57" w:rsidRPr="000F7276">
        <w:rPr>
          <w:rFonts w:cs="Times New Roman"/>
          <w:sz w:val="24"/>
          <w:szCs w:val="24"/>
        </w:rPr>
        <w:t xml:space="preserve"> and extent to which these issues are addressed in the respective systems. Some issues are addressed at the strategic or policy levels, while others are addressed within the scope of an MDB’s operational safeguard system. These distinctions are clarified in </w:t>
      </w:r>
      <w:r w:rsidR="00B422BB" w:rsidRPr="000F7276">
        <w:rPr>
          <w:rFonts w:cs="Times New Roman"/>
          <w:sz w:val="24"/>
          <w:szCs w:val="24"/>
        </w:rPr>
        <w:t xml:space="preserve">Table </w:t>
      </w:r>
      <w:r w:rsidR="0072472A" w:rsidRPr="000F7276">
        <w:rPr>
          <w:rFonts w:cs="Times New Roman"/>
          <w:sz w:val="24"/>
          <w:szCs w:val="24"/>
        </w:rPr>
        <w:t>3</w:t>
      </w:r>
      <w:r w:rsidR="00131E57" w:rsidRPr="000F7276">
        <w:rPr>
          <w:rFonts w:cs="Times New Roman"/>
          <w:sz w:val="24"/>
          <w:szCs w:val="24"/>
        </w:rPr>
        <w:t xml:space="preserve">. </w:t>
      </w:r>
    </w:p>
    <w:p w14:paraId="081DCF37" w14:textId="127F0B07" w:rsidR="003075E8" w:rsidRPr="000F7276" w:rsidRDefault="00131E57" w:rsidP="00A009E7">
      <w:pPr>
        <w:spacing w:after="120"/>
        <w:rPr>
          <w:rFonts w:cs="Times New Roman"/>
          <w:sz w:val="24"/>
          <w:szCs w:val="24"/>
        </w:rPr>
      </w:pPr>
      <w:r w:rsidRPr="000F7276">
        <w:rPr>
          <w:rFonts w:cs="Times New Roman"/>
          <w:sz w:val="24"/>
          <w:szCs w:val="24"/>
        </w:rPr>
        <w:t>With th</w:t>
      </w:r>
      <w:r w:rsidR="0080683B" w:rsidRPr="000F7276">
        <w:rPr>
          <w:rFonts w:cs="Times New Roman"/>
          <w:sz w:val="24"/>
          <w:szCs w:val="24"/>
        </w:rPr>
        <w:t>e above</w:t>
      </w:r>
      <w:r w:rsidRPr="000F7276">
        <w:rPr>
          <w:rFonts w:cs="Times New Roman"/>
          <w:sz w:val="24"/>
          <w:szCs w:val="24"/>
        </w:rPr>
        <w:t xml:space="preserve"> caveat, </w:t>
      </w:r>
      <w:r w:rsidR="006464AC" w:rsidRPr="000F7276">
        <w:rPr>
          <w:rFonts w:cs="Times New Roman"/>
          <w:sz w:val="24"/>
          <w:szCs w:val="24"/>
        </w:rPr>
        <w:t xml:space="preserve">the Bank and its counterpart </w:t>
      </w:r>
      <w:r w:rsidR="003075E8" w:rsidRPr="000F7276">
        <w:rPr>
          <w:rFonts w:cs="Times New Roman"/>
          <w:sz w:val="24"/>
          <w:szCs w:val="24"/>
        </w:rPr>
        <w:t xml:space="preserve">MDBs </w:t>
      </w:r>
      <w:r w:rsidR="0080683B" w:rsidRPr="000F7276">
        <w:rPr>
          <w:rFonts w:cs="Times New Roman"/>
          <w:sz w:val="24"/>
          <w:szCs w:val="24"/>
        </w:rPr>
        <w:t xml:space="preserve">generally </w:t>
      </w:r>
      <w:r w:rsidR="003075E8" w:rsidRPr="000F7276">
        <w:rPr>
          <w:rFonts w:cs="Times New Roman"/>
          <w:sz w:val="24"/>
          <w:szCs w:val="24"/>
        </w:rPr>
        <w:t>cover the following thematic issues</w:t>
      </w:r>
      <w:r w:rsidR="006464AC" w:rsidRPr="000F7276">
        <w:rPr>
          <w:rFonts w:cs="Times New Roman"/>
          <w:sz w:val="24"/>
          <w:szCs w:val="24"/>
        </w:rPr>
        <w:t xml:space="preserve"> as part of their respective safeguard systems</w:t>
      </w:r>
      <w:r w:rsidR="003075E8" w:rsidRPr="000F7276">
        <w:rPr>
          <w:rFonts w:cs="Times New Roman"/>
          <w:sz w:val="24"/>
          <w:szCs w:val="24"/>
        </w:rPr>
        <w:t xml:space="preserve">: </w:t>
      </w:r>
    </w:p>
    <w:p w14:paraId="7AA319F7" w14:textId="77777777" w:rsidR="003075E8" w:rsidRPr="000F7276" w:rsidRDefault="003075E8" w:rsidP="00A009E7">
      <w:pPr>
        <w:pStyle w:val="ListParagraph"/>
        <w:numPr>
          <w:ilvl w:val="0"/>
          <w:numId w:val="2"/>
        </w:numPr>
        <w:autoSpaceDE/>
        <w:autoSpaceDN/>
        <w:adjustRightInd/>
        <w:spacing w:before="40" w:after="80"/>
        <w:rPr>
          <w:rFonts w:cs="Times New Roman"/>
          <w:sz w:val="24"/>
          <w:szCs w:val="24"/>
        </w:rPr>
      </w:pPr>
      <w:r w:rsidRPr="000F7276">
        <w:rPr>
          <w:sz w:val="24"/>
          <w:szCs w:val="24"/>
        </w:rPr>
        <w:t xml:space="preserve">Environmental and </w:t>
      </w:r>
      <w:r w:rsidR="00140C40" w:rsidRPr="000F7276">
        <w:rPr>
          <w:sz w:val="24"/>
          <w:szCs w:val="24"/>
        </w:rPr>
        <w:t xml:space="preserve">Social </w:t>
      </w:r>
      <w:r w:rsidRPr="000F7276">
        <w:rPr>
          <w:sz w:val="24"/>
          <w:szCs w:val="24"/>
        </w:rPr>
        <w:t>Assessment and Management</w:t>
      </w:r>
      <w:r w:rsidR="008A3F59" w:rsidRPr="000F7276">
        <w:rPr>
          <w:sz w:val="24"/>
          <w:szCs w:val="24"/>
        </w:rPr>
        <w:t>;</w:t>
      </w:r>
    </w:p>
    <w:p w14:paraId="5E280048" w14:textId="77777777" w:rsidR="006464AC" w:rsidRPr="000F7276" w:rsidRDefault="006464AC" w:rsidP="00A009E7">
      <w:pPr>
        <w:pStyle w:val="ListParagraph"/>
        <w:numPr>
          <w:ilvl w:val="0"/>
          <w:numId w:val="2"/>
        </w:numPr>
        <w:autoSpaceDE/>
        <w:autoSpaceDN/>
        <w:adjustRightInd/>
        <w:spacing w:before="40" w:after="80"/>
        <w:rPr>
          <w:rFonts w:cs="Times New Roman"/>
          <w:sz w:val="24"/>
          <w:szCs w:val="24"/>
        </w:rPr>
      </w:pPr>
      <w:r w:rsidRPr="000F7276">
        <w:rPr>
          <w:sz w:val="24"/>
          <w:szCs w:val="24"/>
        </w:rPr>
        <w:t>Strategic Environmental Assessment</w:t>
      </w:r>
      <w:r w:rsidR="008A3F59" w:rsidRPr="000F7276">
        <w:rPr>
          <w:sz w:val="24"/>
          <w:szCs w:val="24"/>
        </w:rPr>
        <w:t>;</w:t>
      </w:r>
    </w:p>
    <w:p w14:paraId="3F9FA532" w14:textId="77777777" w:rsidR="006464AC" w:rsidRPr="000F7276" w:rsidRDefault="006464AC" w:rsidP="00A009E7">
      <w:pPr>
        <w:pStyle w:val="ListParagraph"/>
        <w:numPr>
          <w:ilvl w:val="0"/>
          <w:numId w:val="2"/>
        </w:numPr>
        <w:autoSpaceDE/>
        <w:autoSpaceDN/>
        <w:adjustRightInd/>
        <w:spacing w:before="40" w:after="80"/>
        <w:rPr>
          <w:rFonts w:cs="Times New Roman"/>
          <w:sz w:val="24"/>
          <w:szCs w:val="24"/>
        </w:rPr>
      </w:pPr>
      <w:r w:rsidRPr="000F7276">
        <w:rPr>
          <w:sz w:val="24"/>
          <w:szCs w:val="24"/>
        </w:rPr>
        <w:t>Protection of Natural Habitats</w:t>
      </w:r>
      <w:r w:rsidR="008A3F59" w:rsidRPr="000F7276">
        <w:rPr>
          <w:sz w:val="24"/>
          <w:szCs w:val="24"/>
        </w:rPr>
        <w:t>;</w:t>
      </w:r>
    </w:p>
    <w:p w14:paraId="6A913D3D" w14:textId="77777777" w:rsidR="003075E8" w:rsidRPr="000F7276" w:rsidRDefault="003075E8" w:rsidP="00A009E7">
      <w:pPr>
        <w:pStyle w:val="ListParagraph"/>
        <w:numPr>
          <w:ilvl w:val="0"/>
          <w:numId w:val="2"/>
        </w:numPr>
        <w:autoSpaceDE/>
        <w:autoSpaceDN/>
        <w:adjustRightInd/>
        <w:spacing w:before="40" w:after="80"/>
        <w:rPr>
          <w:rFonts w:cs="Times New Roman"/>
          <w:sz w:val="24"/>
          <w:szCs w:val="24"/>
        </w:rPr>
      </w:pPr>
      <w:r w:rsidRPr="000F7276">
        <w:rPr>
          <w:sz w:val="24"/>
          <w:szCs w:val="24"/>
        </w:rPr>
        <w:t>Pollution Prevention and Abatement (environmental health and safety guidelines, chemicals management, pest management)</w:t>
      </w:r>
      <w:r w:rsidR="008A3F59" w:rsidRPr="000F7276">
        <w:rPr>
          <w:sz w:val="24"/>
          <w:szCs w:val="24"/>
        </w:rPr>
        <w:t>;</w:t>
      </w:r>
    </w:p>
    <w:p w14:paraId="60E73156" w14:textId="77777777" w:rsidR="003075E8" w:rsidRPr="000F7276" w:rsidRDefault="003075E8" w:rsidP="00A009E7">
      <w:pPr>
        <w:pStyle w:val="ListParagraph"/>
        <w:numPr>
          <w:ilvl w:val="0"/>
          <w:numId w:val="2"/>
        </w:numPr>
        <w:autoSpaceDE/>
        <w:autoSpaceDN/>
        <w:adjustRightInd/>
        <w:spacing w:before="40" w:after="80"/>
        <w:rPr>
          <w:rFonts w:cs="Times New Roman"/>
          <w:sz w:val="24"/>
          <w:szCs w:val="24"/>
        </w:rPr>
      </w:pPr>
      <w:r w:rsidRPr="000F7276">
        <w:rPr>
          <w:sz w:val="24"/>
          <w:szCs w:val="24"/>
        </w:rPr>
        <w:t>Physical Cultural Resources</w:t>
      </w:r>
      <w:r w:rsidR="008A3F59" w:rsidRPr="000F7276">
        <w:rPr>
          <w:sz w:val="24"/>
          <w:szCs w:val="24"/>
        </w:rPr>
        <w:t>;</w:t>
      </w:r>
    </w:p>
    <w:p w14:paraId="205CAAD4" w14:textId="77777777" w:rsidR="003075E8" w:rsidRPr="000F7276" w:rsidRDefault="003075E8" w:rsidP="00A009E7">
      <w:pPr>
        <w:pStyle w:val="ListParagraph"/>
        <w:numPr>
          <w:ilvl w:val="0"/>
          <w:numId w:val="2"/>
        </w:numPr>
        <w:autoSpaceDE/>
        <w:autoSpaceDN/>
        <w:adjustRightInd/>
        <w:spacing w:before="40" w:after="80"/>
        <w:rPr>
          <w:rFonts w:cs="Times New Roman"/>
          <w:b/>
          <w:sz w:val="24"/>
          <w:szCs w:val="24"/>
        </w:rPr>
      </w:pPr>
      <w:r w:rsidRPr="000F7276">
        <w:rPr>
          <w:sz w:val="24"/>
          <w:szCs w:val="24"/>
        </w:rPr>
        <w:t>Land Acquisition and Tenure</w:t>
      </w:r>
      <w:r w:rsidR="00E6570D" w:rsidRPr="000F7276">
        <w:rPr>
          <w:sz w:val="24"/>
          <w:szCs w:val="24"/>
        </w:rPr>
        <w:t xml:space="preserve"> and</w:t>
      </w:r>
      <w:r w:rsidRPr="000F7276">
        <w:rPr>
          <w:sz w:val="24"/>
          <w:szCs w:val="24"/>
        </w:rPr>
        <w:t xml:space="preserve"> Involuntary Resettlement</w:t>
      </w:r>
      <w:r w:rsidR="008A3F59" w:rsidRPr="000F7276">
        <w:rPr>
          <w:sz w:val="24"/>
          <w:szCs w:val="24"/>
        </w:rPr>
        <w:t>;</w:t>
      </w:r>
      <w:r w:rsidRPr="000F7276">
        <w:rPr>
          <w:sz w:val="24"/>
          <w:szCs w:val="24"/>
        </w:rPr>
        <w:t xml:space="preserve"> </w:t>
      </w:r>
      <w:r w:rsidR="00BC05E5" w:rsidRPr="000F7276">
        <w:rPr>
          <w:sz w:val="24"/>
          <w:szCs w:val="24"/>
        </w:rPr>
        <w:t>and</w:t>
      </w:r>
    </w:p>
    <w:p w14:paraId="1E1240CA" w14:textId="77777777" w:rsidR="007856BB" w:rsidRPr="000F7276" w:rsidRDefault="003075E8" w:rsidP="00655041">
      <w:pPr>
        <w:pStyle w:val="ListParagraph"/>
        <w:numPr>
          <w:ilvl w:val="0"/>
          <w:numId w:val="2"/>
        </w:numPr>
        <w:autoSpaceDE/>
        <w:autoSpaceDN/>
        <w:adjustRightInd/>
        <w:spacing w:before="40" w:after="240"/>
        <w:ind w:left="994"/>
        <w:contextualSpacing w:val="0"/>
        <w:rPr>
          <w:rFonts w:cs="Times New Roman"/>
          <w:b/>
          <w:sz w:val="24"/>
          <w:szCs w:val="24"/>
        </w:rPr>
      </w:pPr>
      <w:r w:rsidRPr="000F7276">
        <w:rPr>
          <w:sz w:val="24"/>
          <w:szCs w:val="24"/>
        </w:rPr>
        <w:t>Indigenous Peoples</w:t>
      </w:r>
      <w:r w:rsidR="0059080A" w:rsidRPr="000F7276">
        <w:rPr>
          <w:sz w:val="24"/>
          <w:szCs w:val="24"/>
        </w:rPr>
        <w:t>.</w:t>
      </w:r>
    </w:p>
    <w:p w14:paraId="3D4C3A95" w14:textId="3607E7C1" w:rsidR="003075E8" w:rsidRPr="000F7276" w:rsidRDefault="006464AC" w:rsidP="00A009E7">
      <w:pPr>
        <w:spacing w:after="120"/>
        <w:rPr>
          <w:rFonts w:cs="Times New Roman"/>
          <w:sz w:val="24"/>
          <w:szCs w:val="24"/>
        </w:rPr>
      </w:pPr>
      <w:r w:rsidRPr="000F7276">
        <w:rPr>
          <w:rFonts w:cs="Times New Roman"/>
          <w:sz w:val="24"/>
          <w:szCs w:val="24"/>
        </w:rPr>
        <w:t>Relative to the World Bank’s existing OP</w:t>
      </w:r>
      <w:r w:rsidR="00067CFE" w:rsidRPr="000F7276">
        <w:rPr>
          <w:rFonts w:cs="Times New Roman"/>
          <w:sz w:val="24"/>
          <w:szCs w:val="24"/>
        </w:rPr>
        <w:t>s</w:t>
      </w:r>
      <w:r w:rsidRPr="000F7276">
        <w:rPr>
          <w:rFonts w:cs="Times New Roman"/>
          <w:sz w:val="24"/>
          <w:szCs w:val="24"/>
        </w:rPr>
        <w:t xml:space="preserve">, other MDBs provide thematic </w:t>
      </w:r>
      <w:r w:rsidR="00BA1236" w:rsidRPr="000F7276">
        <w:rPr>
          <w:rFonts w:cs="Times New Roman"/>
          <w:sz w:val="24"/>
          <w:szCs w:val="24"/>
        </w:rPr>
        <w:t xml:space="preserve">and/or more detailed </w:t>
      </w:r>
      <w:r w:rsidRPr="000F7276">
        <w:rPr>
          <w:rFonts w:cs="Times New Roman"/>
          <w:sz w:val="24"/>
          <w:szCs w:val="24"/>
        </w:rPr>
        <w:t>coverage of the following environmental and social impacts and risks</w:t>
      </w:r>
      <w:r w:rsidR="0059080A" w:rsidRPr="000F7276">
        <w:rPr>
          <w:rFonts w:cs="Times New Roman"/>
          <w:sz w:val="24"/>
          <w:szCs w:val="24"/>
        </w:rPr>
        <w:t>:</w:t>
      </w:r>
      <w:r w:rsidR="006E493C" w:rsidRPr="000F7276">
        <w:rPr>
          <w:rStyle w:val="FootnoteReference"/>
          <w:rFonts w:cs="Times New Roman"/>
          <w:sz w:val="24"/>
          <w:szCs w:val="24"/>
        </w:rPr>
        <w:footnoteReference w:id="40"/>
      </w:r>
    </w:p>
    <w:p w14:paraId="30703E9F" w14:textId="54A748D8" w:rsidR="006464AC" w:rsidRPr="000F7276" w:rsidRDefault="006464AC" w:rsidP="00A009E7">
      <w:pPr>
        <w:pStyle w:val="ListParagraph"/>
        <w:numPr>
          <w:ilvl w:val="0"/>
          <w:numId w:val="2"/>
        </w:numPr>
        <w:autoSpaceDE/>
        <w:autoSpaceDN/>
        <w:adjustRightInd/>
        <w:spacing w:before="40" w:after="80"/>
        <w:rPr>
          <w:sz w:val="24"/>
          <w:szCs w:val="24"/>
        </w:rPr>
      </w:pPr>
      <w:r w:rsidRPr="000F7276">
        <w:rPr>
          <w:sz w:val="24"/>
          <w:szCs w:val="24"/>
        </w:rPr>
        <w:t>Biodiversity, ecosystem services and</w:t>
      </w:r>
      <w:r w:rsidR="003F7392" w:rsidRPr="000F7276">
        <w:rPr>
          <w:sz w:val="24"/>
          <w:szCs w:val="24"/>
        </w:rPr>
        <w:t xml:space="preserve"> </w:t>
      </w:r>
      <w:r w:rsidRPr="000F7276">
        <w:rPr>
          <w:sz w:val="24"/>
          <w:szCs w:val="24"/>
        </w:rPr>
        <w:t>natural resource management</w:t>
      </w:r>
      <w:r w:rsidR="00924AF7" w:rsidRPr="000F7276">
        <w:rPr>
          <w:sz w:val="24"/>
          <w:szCs w:val="24"/>
        </w:rPr>
        <w:t xml:space="preserve"> (</w:t>
      </w:r>
      <w:r w:rsidR="005E2DEF" w:rsidRPr="000F7276">
        <w:rPr>
          <w:sz w:val="24"/>
          <w:szCs w:val="24"/>
        </w:rPr>
        <w:t>ADB,</w:t>
      </w:r>
      <w:r w:rsidR="00C815D3" w:rsidRPr="000F7276">
        <w:rPr>
          <w:sz w:val="24"/>
          <w:szCs w:val="24"/>
        </w:rPr>
        <w:t xml:space="preserve"> </w:t>
      </w:r>
      <w:r w:rsidR="00924AF7" w:rsidRPr="000F7276">
        <w:rPr>
          <w:sz w:val="24"/>
          <w:szCs w:val="24"/>
        </w:rPr>
        <w:t>AfDB, EBRD, EIB, IFC)</w:t>
      </w:r>
      <w:r w:rsidR="008A3F59" w:rsidRPr="000F7276">
        <w:rPr>
          <w:sz w:val="24"/>
          <w:szCs w:val="24"/>
        </w:rPr>
        <w:t>;</w:t>
      </w:r>
    </w:p>
    <w:p w14:paraId="5D1F2118" w14:textId="77777777" w:rsidR="006464AC" w:rsidRPr="000F7276" w:rsidRDefault="006464AC" w:rsidP="00A009E7">
      <w:pPr>
        <w:pStyle w:val="ListParagraph"/>
        <w:numPr>
          <w:ilvl w:val="0"/>
          <w:numId w:val="2"/>
        </w:numPr>
        <w:autoSpaceDE/>
        <w:autoSpaceDN/>
        <w:adjustRightInd/>
        <w:spacing w:before="40" w:after="80"/>
        <w:rPr>
          <w:sz w:val="24"/>
          <w:szCs w:val="24"/>
        </w:rPr>
      </w:pPr>
      <w:r w:rsidRPr="000F7276">
        <w:rPr>
          <w:sz w:val="24"/>
          <w:szCs w:val="24"/>
        </w:rPr>
        <w:t>Climate change</w:t>
      </w:r>
      <w:r w:rsidR="00924AF7" w:rsidRPr="000F7276">
        <w:rPr>
          <w:sz w:val="24"/>
          <w:szCs w:val="24"/>
        </w:rPr>
        <w:t xml:space="preserve"> (AfDB, EBRD, EIB, IFC)</w:t>
      </w:r>
      <w:r w:rsidR="008A3F59" w:rsidRPr="000F7276">
        <w:rPr>
          <w:sz w:val="24"/>
          <w:szCs w:val="24"/>
        </w:rPr>
        <w:t>;</w:t>
      </w:r>
    </w:p>
    <w:p w14:paraId="0E456C90" w14:textId="77777777" w:rsidR="006464AC" w:rsidRPr="000F7276" w:rsidRDefault="003075E8" w:rsidP="00A009E7">
      <w:pPr>
        <w:pStyle w:val="ListParagraph"/>
        <w:numPr>
          <w:ilvl w:val="0"/>
          <w:numId w:val="2"/>
        </w:numPr>
        <w:autoSpaceDE/>
        <w:autoSpaceDN/>
        <w:adjustRightInd/>
        <w:spacing w:before="40" w:after="80"/>
        <w:rPr>
          <w:sz w:val="24"/>
          <w:szCs w:val="24"/>
        </w:rPr>
      </w:pPr>
      <w:r w:rsidRPr="000F7276">
        <w:rPr>
          <w:sz w:val="24"/>
          <w:szCs w:val="24"/>
        </w:rPr>
        <w:t xml:space="preserve">Community Health and Safety </w:t>
      </w:r>
      <w:r w:rsidR="00924AF7" w:rsidRPr="000F7276">
        <w:rPr>
          <w:sz w:val="24"/>
          <w:szCs w:val="24"/>
        </w:rPr>
        <w:t>(EBRD,</w:t>
      </w:r>
      <w:r w:rsidR="003C3FE7" w:rsidRPr="000F7276">
        <w:rPr>
          <w:sz w:val="24"/>
          <w:szCs w:val="24"/>
        </w:rPr>
        <w:t xml:space="preserve"> </w:t>
      </w:r>
      <w:r w:rsidR="00EA2D54" w:rsidRPr="000F7276">
        <w:rPr>
          <w:sz w:val="24"/>
          <w:szCs w:val="24"/>
        </w:rPr>
        <w:t>EIB,</w:t>
      </w:r>
      <w:r w:rsidR="00924AF7" w:rsidRPr="000F7276">
        <w:rPr>
          <w:sz w:val="24"/>
          <w:szCs w:val="24"/>
        </w:rPr>
        <w:t xml:space="preserve"> IFC</w:t>
      </w:r>
      <w:r w:rsidR="006E493C" w:rsidRPr="000F7276">
        <w:rPr>
          <w:sz w:val="24"/>
          <w:szCs w:val="24"/>
        </w:rPr>
        <w:t>)</w:t>
      </w:r>
      <w:r w:rsidR="008A3F59" w:rsidRPr="000F7276">
        <w:rPr>
          <w:sz w:val="24"/>
          <w:szCs w:val="24"/>
        </w:rPr>
        <w:t>;</w:t>
      </w:r>
    </w:p>
    <w:p w14:paraId="186297CC" w14:textId="77777777" w:rsidR="00EA301D" w:rsidRPr="000F7276" w:rsidRDefault="00EA301D" w:rsidP="00A009E7">
      <w:pPr>
        <w:pStyle w:val="ListParagraph"/>
        <w:numPr>
          <w:ilvl w:val="0"/>
          <w:numId w:val="2"/>
        </w:numPr>
        <w:autoSpaceDE/>
        <w:autoSpaceDN/>
        <w:adjustRightInd/>
        <w:spacing w:before="40" w:after="80"/>
        <w:rPr>
          <w:sz w:val="24"/>
          <w:szCs w:val="24"/>
        </w:rPr>
      </w:pPr>
      <w:r w:rsidRPr="000F7276">
        <w:rPr>
          <w:sz w:val="24"/>
          <w:szCs w:val="24"/>
        </w:rPr>
        <w:t>Disability</w:t>
      </w:r>
      <w:r w:rsidR="00924AF7" w:rsidRPr="000F7276">
        <w:rPr>
          <w:sz w:val="24"/>
          <w:szCs w:val="24"/>
        </w:rPr>
        <w:t xml:space="preserve"> </w:t>
      </w:r>
      <w:r w:rsidR="00972EE8" w:rsidRPr="000F7276">
        <w:rPr>
          <w:sz w:val="24"/>
          <w:szCs w:val="24"/>
        </w:rPr>
        <w:t xml:space="preserve">and Health </w:t>
      </w:r>
      <w:r w:rsidR="00924AF7" w:rsidRPr="000F7276">
        <w:rPr>
          <w:sz w:val="24"/>
          <w:szCs w:val="24"/>
        </w:rPr>
        <w:t>(AfDB</w:t>
      </w:r>
      <w:r w:rsidR="003C3FE7" w:rsidRPr="000F7276">
        <w:rPr>
          <w:sz w:val="24"/>
          <w:szCs w:val="24"/>
        </w:rPr>
        <w:t>,</w:t>
      </w:r>
      <w:r w:rsidR="00972EE8" w:rsidRPr="000F7276">
        <w:rPr>
          <w:rStyle w:val="FootnoteReference"/>
          <w:sz w:val="24"/>
          <w:szCs w:val="24"/>
        </w:rPr>
        <w:footnoteReference w:id="41"/>
      </w:r>
      <w:r w:rsidR="00776011" w:rsidRPr="000F7276">
        <w:rPr>
          <w:sz w:val="24"/>
          <w:szCs w:val="24"/>
        </w:rPr>
        <w:t xml:space="preserve"> EBRD,</w:t>
      </w:r>
      <w:r w:rsidR="003C3FE7" w:rsidRPr="000F7276">
        <w:rPr>
          <w:sz w:val="24"/>
          <w:szCs w:val="24"/>
        </w:rPr>
        <w:t xml:space="preserve"> </w:t>
      </w:r>
      <w:r w:rsidR="00776011" w:rsidRPr="000F7276">
        <w:rPr>
          <w:sz w:val="24"/>
          <w:szCs w:val="24"/>
        </w:rPr>
        <w:t>IFC)</w:t>
      </w:r>
      <w:r w:rsidR="008A3F59" w:rsidRPr="000F7276">
        <w:rPr>
          <w:sz w:val="24"/>
          <w:szCs w:val="24"/>
        </w:rPr>
        <w:t>;</w:t>
      </w:r>
    </w:p>
    <w:p w14:paraId="19662B87" w14:textId="77777777" w:rsidR="006464AC" w:rsidRPr="000F7276" w:rsidRDefault="003C3FE7" w:rsidP="00A009E7">
      <w:pPr>
        <w:pStyle w:val="ListParagraph"/>
        <w:numPr>
          <w:ilvl w:val="0"/>
          <w:numId w:val="2"/>
        </w:numPr>
        <w:autoSpaceDE/>
        <w:autoSpaceDN/>
        <w:adjustRightInd/>
        <w:spacing w:before="40" w:after="80"/>
        <w:rPr>
          <w:rFonts w:asciiTheme="minorHAnsi" w:hAnsiTheme="minorHAnsi"/>
          <w:sz w:val="24"/>
          <w:szCs w:val="24"/>
        </w:rPr>
      </w:pPr>
      <w:r w:rsidRPr="000F7276">
        <w:rPr>
          <w:rFonts w:asciiTheme="minorHAnsi" w:hAnsiTheme="minorHAnsi"/>
          <w:sz w:val="24"/>
          <w:szCs w:val="24"/>
        </w:rPr>
        <w:t>FPIC</w:t>
      </w:r>
      <w:r w:rsidR="003F7392" w:rsidRPr="000F7276">
        <w:rPr>
          <w:rFonts w:asciiTheme="minorHAnsi" w:hAnsiTheme="minorHAnsi"/>
          <w:sz w:val="24"/>
          <w:szCs w:val="24"/>
        </w:rPr>
        <w:t xml:space="preserve"> </w:t>
      </w:r>
      <w:r w:rsidR="004E1971" w:rsidRPr="000F7276">
        <w:rPr>
          <w:rFonts w:asciiTheme="minorHAnsi" w:hAnsiTheme="minorHAnsi"/>
          <w:sz w:val="24"/>
          <w:szCs w:val="24"/>
        </w:rPr>
        <w:t xml:space="preserve">and </w:t>
      </w:r>
      <w:r w:rsidR="00483D11" w:rsidRPr="000F7276">
        <w:rPr>
          <w:rFonts w:asciiTheme="minorHAnsi" w:hAnsiTheme="minorHAnsi"/>
          <w:sz w:val="24"/>
          <w:szCs w:val="24"/>
        </w:rPr>
        <w:t>/</w:t>
      </w:r>
      <w:r w:rsidR="004E1971" w:rsidRPr="000F7276">
        <w:rPr>
          <w:rFonts w:asciiTheme="minorHAnsi" w:hAnsiTheme="minorHAnsi"/>
          <w:sz w:val="24"/>
          <w:szCs w:val="24"/>
        </w:rPr>
        <w:t xml:space="preserve">or </w:t>
      </w:r>
      <w:r w:rsidR="008A3F59" w:rsidRPr="000F7276">
        <w:rPr>
          <w:rFonts w:asciiTheme="minorHAnsi" w:hAnsiTheme="minorHAnsi"/>
          <w:sz w:val="24"/>
          <w:szCs w:val="24"/>
        </w:rPr>
        <w:t xml:space="preserve">reference to the </w:t>
      </w:r>
      <w:r w:rsidR="004E1971" w:rsidRPr="000F7276">
        <w:rPr>
          <w:rFonts w:asciiTheme="minorHAnsi" w:hAnsiTheme="minorHAnsi"/>
          <w:sz w:val="24"/>
          <w:szCs w:val="24"/>
        </w:rPr>
        <w:t xml:space="preserve">UN General Assembly Resolution on the Rights of </w:t>
      </w:r>
      <w:r w:rsidR="00483D11" w:rsidRPr="000F7276">
        <w:rPr>
          <w:rFonts w:asciiTheme="minorHAnsi" w:hAnsiTheme="minorHAnsi"/>
          <w:sz w:val="24"/>
          <w:szCs w:val="24"/>
        </w:rPr>
        <w:t>Indigenous Peoples</w:t>
      </w:r>
      <w:r w:rsidR="006F0EBC" w:rsidRPr="000F7276">
        <w:rPr>
          <w:rStyle w:val="FootnoteReference"/>
          <w:rFonts w:asciiTheme="minorHAnsi" w:hAnsiTheme="minorHAnsi"/>
          <w:sz w:val="24"/>
          <w:szCs w:val="24"/>
        </w:rPr>
        <w:footnoteReference w:id="42"/>
      </w:r>
      <w:r w:rsidR="006817C8" w:rsidRPr="000F7276">
        <w:rPr>
          <w:rFonts w:asciiTheme="minorHAnsi" w:hAnsiTheme="minorHAnsi"/>
          <w:sz w:val="24"/>
          <w:szCs w:val="24"/>
        </w:rPr>
        <w:t xml:space="preserve"> (</w:t>
      </w:r>
      <w:r w:rsidR="005E2DEF" w:rsidRPr="000F7276">
        <w:rPr>
          <w:rFonts w:asciiTheme="minorHAnsi" w:hAnsiTheme="minorHAnsi"/>
          <w:sz w:val="24"/>
          <w:szCs w:val="24"/>
        </w:rPr>
        <w:t>ADB,</w:t>
      </w:r>
      <w:r w:rsidRPr="000F7276">
        <w:rPr>
          <w:rFonts w:asciiTheme="minorHAnsi" w:hAnsiTheme="minorHAnsi"/>
          <w:sz w:val="24"/>
          <w:szCs w:val="24"/>
        </w:rPr>
        <w:t xml:space="preserve"> </w:t>
      </w:r>
      <w:r w:rsidR="006817C8" w:rsidRPr="000F7276">
        <w:rPr>
          <w:rFonts w:asciiTheme="minorHAnsi" w:hAnsiTheme="minorHAnsi"/>
          <w:sz w:val="24"/>
          <w:szCs w:val="24"/>
        </w:rPr>
        <w:t>EBRD, EIB</w:t>
      </w:r>
      <w:r w:rsidR="00E527AF" w:rsidRPr="000F7276">
        <w:rPr>
          <w:rFonts w:asciiTheme="minorHAnsi" w:hAnsiTheme="minorHAnsi"/>
          <w:sz w:val="24"/>
          <w:szCs w:val="24"/>
        </w:rPr>
        <w:t xml:space="preserve">, </w:t>
      </w:r>
      <w:r w:rsidR="00173111" w:rsidRPr="000F7276">
        <w:rPr>
          <w:rFonts w:asciiTheme="minorHAnsi" w:hAnsiTheme="minorHAnsi"/>
          <w:sz w:val="24"/>
          <w:szCs w:val="24"/>
        </w:rPr>
        <w:t>IDB</w:t>
      </w:r>
      <w:r w:rsidR="0059080A" w:rsidRPr="000F7276">
        <w:rPr>
          <w:rFonts w:asciiTheme="minorHAnsi" w:hAnsiTheme="minorHAnsi"/>
          <w:sz w:val="24"/>
          <w:szCs w:val="24"/>
        </w:rPr>
        <w:t>,</w:t>
      </w:r>
      <w:r w:rsidR="00173111" w:rsidRPr="000F7276">
        <w:rPr>
          <w:rStyle w:val="FootnoteReference"/>
          <w:rFonts w:asciiTheme="minorHAnsi" w:hAnsiTheme="minorHAnsi"/>
          <w:sz w:val="24"/>
          <w:szCs w:val="24"/>
        </w:rPr>
        <w:footnoteReference w:id="43"/>
      </w:r>
      <w:r w:rsidR="00B759C4" w:rsidRPr="000F7276">
        <w:rPr>
          <w:rFonts w:asciiTheme="minorHAnsi" w:hAnsiTheme="minorHAnsi"/>
          <w:sz w:val="24"/>
          <w:szCs w:val="24"/>
        </w:rPr>
        <w:t xml:space="preserve"> IFC)</w:t>
      </w:r>
      <w:r w:rsidR="008A3F59" w:rsidRPr="000F7276">
        <w:rPr>
          <w:rFonts w:asciiTheme="minorHAnsi" w:hAnsiTheme="minorHAnsi"/>
          <w:sz w:val="24"/>
          <w:szCs w:val="24"/>
        </w:rPr>
        <w:t>;</w:t>
      </w:r>
      <w:r w:rsidR="000B687A" w:rsidRPr="000F7276">
        <w:rPr>
          <w:rFonts w:asciiTheme="minorHAnsi" w:hAnsiTheme="minorHAnsi"/>
          <w:sz w:val="24"/>
          <w:szCs w:val="24"/>
        </w:rPr>
        <w:t xml:space="preserve"> </w:t>
      </w:r>
    </w:p>
    <w:p w14:paraId="7FA09947" w14:textId="77777777" w:rsidR="002046B8" w:rsidRPr="000F7276" w:rsidRDefault="006464AC" w:rsidP="00A009E7">
      <w:pPr>
        <w:pStyle w:val="ListParagraph"/>
        <w:numPr>
          <w:ilvl w:val="0"/>
          <w:numId w:val="2"/>
        </w:numPr>
        <w:autoSpaceDE/>
        <w:autoSpaceDN/>
        <w:adjustRightInd/>
        <w:spacing w:before="40" w:after="80"/>
        <w:rPr>
          <w:rFonts w:asciiTheme="minorHAnsi" w:hAnsiTheme="minorHAnsi"/>
          <w:sz w:val="24"/>
          <w:szCs w:val="24"/>
          <w:lang w:val="de-DE"/>
        </w:rPr>
      </w:pPr>
      <w:r w:rsidRPr="000F7276">
        <w:rPr>
          <w:rFonts w:asciiTheme="minorHAnsi" w:hAnsiTheme="minorHAnsi"/>
          <w:sz w:val="24"/>
          <w:szCs w:val="24"/>
          <w:lang w:val="de-DE"/>
        </w:rPr>
        <w:t xml:space="preserve">Gender </w:t>
      </w:r>
      <w:r w:rsidR="006E493C" w:rsidRPr="000F7276">
        <w:rPr>
          <w:rFonts w:asciiTheme="minorHAnsi" w:hAnsiTheme="minorHAnsi"/>
          <w:sz w:val="24"/>
          <w:szCs w:val="24"/>
          <w:lang w:val="de-DE"/>
        </w:rPr>
        <w:t xml:space="preserve">(ADB, AfDB, </w:t>
      </w:r>
      <w:r w:rsidR="00FF646A" w:rsidRPr="000F7276">
        <w:rPr>
          <w:rFonts w:asciiTheme="minorHAnsi" w:hAnsiTheme="minorHAnsi"/>
          <w:sz w:val="24"/>
          <w:szCs w:val="24"/>
          <w:lang w:val="de-DE"/>
        </w:rPr>
        <w:t xml:space="preserve">EBRD, </w:t>
      </w:r>
      <w:r w:rsidR="00022377" w:rsidRPr="000F7276">
        <w:rPr>
          <w:rFonts w:asciiTheme="minorHAnsi" w:hAnsiTheme="minorHAnsi"/>
          <w:sz w:val="24"/>
          <w:szCs w:val="24"/>
          <w:lang w:val="de-DE"/>
        </w:rPr>
        <w:t xml:space="preserve">IDB, </w:t>
      </w:r>
      <w:r w:rsidR="006E493C" w:rsidRPr="000F7276">
        <w:rPr>
          <w:rFonts w:asciiTheme="minorHAnsi" w:hAnsiTheme="minorHAnsi"/>
          <w:sz w:val="24"/>
          <w:szCs w:val="24"/>
          <w:lang w:val="de-DE"/>
        </w:rPr>
        <w:t>IFC)</w:t>
      </w:r>
      <w:r w:rsidR="003C3FE7" w:rsidRPr="000F7276">
        <w:rPr>
          <w:rFonts w:asciiTheme="minorHAnsi" w:hAnsiTheme="minorHAnsi"/>
          <w:sz w:val="24"/>
          <w:szCs w:val="24"/>
          <w:lang w:val="de-DE"/>
        </w:rPr>
        <w:t>;</w:t>
      </w:r>
      <w:r w:rsidR="00BA2F38" w:rsidRPr="000F7276">
        <w:rPr>
          <w:rFonts w:asciiTheme="minorHAnsi" w:hAnsiTheme="minorHAnsi"/>
          <w:sz w:val="24"/>
          <w:szCs w:val="24"/>
          <w:lang w:val="de-DE"/>
        </w:rPr>
        <w:t xml:space="preserve"> </w:t>
      </w:r>
    </w:p>
    <w:p w14:paraId="4F2544AF" w14:textId="1D9D5386" w:rsidR="007856BB" w:rsidRPr="000F7276" w:rsidRDefault="00BA2F38" w:rsidP="00A009E7">
      <w:pPr>
        <w:pStyle w:val="ListParagraph"/>
        <w:numPr>
          <w:ilvl w:val="0"/>
          <w:numId w:val="2"/>
        </w:numPr>
        <w:autoSpaceDE/>
        <w:autoSpaceDN/>
        <w:adjustRightInd/>
        <w:spacing w:before="40" w:after="80"/>
        <w:rPr>
          <w:rFonts w:asciiTheme="minorHAnsi" w:hAnsiTheme="minorHAnsi"/>
          <w:sz w:val="24"/>
          <w:szCs w:val="24"/>
        </w:rPr>
      </w:pPr>
      <w:r w:rsidRPr="000F7276">
        <w:rPr>
          <w:rFonts w:asciiTheme="minorHAnsi" w:hAnsiTheme="minorHAnsi"/>
          <w:sz w:val="24"/>
          <w:szCs w:val="24"/>
        </w:rPr>
        <w:t>Sexual Orientation</w:t>
      </w:r>
      <w:r w:rsidR="007856BB" w:rsidRPr="000F7276">
        <w:rPr>
          <w:rFonts w:asciiTheme="minorHAnsi" w:hAnsiTheme="minorHAnsi"/>
          <w:sz w:val="24"/>
          <w:szCs w:val="24"/>
        </w:rPr>
        <w:t xml:space="preserve"> and Gender Identity</w:t>
      </w:r>
      <w:r w:rsidRPr="000F7276">
        <w:rPr>
          <w:rFonts w:asciiTheme="minorHAnsi" w:hAnsiTheme="minorHAnsi"/>
          <w:sz w:val="24"/>
          <w:szCs w:val="24"/>
        </w:rPr>
        <w:t xml:space="preserve"> (</w:t>
      </w:r>
      <w:r w:rsidR="00972EE8" w:rsidRPr="000F7276">
        <w:rPr>
          <w:rFonts w:asciiTheme="minorHAnsi" w:hAnsiTheme="minorHAnsi"/>
          <w:sz w:val="24"/>
          <w:szCs w:val="24"/>
        </w:rPr>
        <w:t xml:space="preserve">AfDB, </w:t>
      </w:r>
      <w:r w:rsidRPr="000F7276">
        <w:rPr>
          <w:rFonts w:asciiTheme="minorHAnsi" w:hAnsiTheme="minorHAnsi"/>
          <w:sz w:val="24"/>
          <w:szCs w:val="24"/>
        </w:rPr>
        <w:t>EBRD</w:t>
      </w:r>
      <w:r w:rsidR="00972EE8" w:rsidRPr="000F7276">
        <w:rPr>
          <w:rFonts w:asciiTheme="minorHAnsi" w:hAnsiTheme="minorHAnsi"/>
          <w:sz w:val="24"/>
          <w:szCs w:val="24"/>
        </w:rPr>
        <w:t>);</w:t>
      </w:r>
      <w:r w:rsidR="00717B60" w:rsidRPr="000F7276">
        <w:rPr>
          <w:rFonts w:asciiTheme="minorHAnsi" w:hAnsiTheme="minorHAnsi"/>
          <w:sz w:val="24"/>
          <w:szCs w:val="24"/>
        </w:rPr>
        <w:t xml:space="preserve"> </w:t>
      </w:r>
      <w:r w:rsidR="006464AC" w:rsidRPr="000F7276">
        <w:rPr>
          <w:rFonts w:asciiTheme="minorHAnsi" w:hAnsiTheme="minorHAnsi"/>
          <w:sz w:val="24"/>
          <w:szCs w:val="24"/>
        </w:rPr>
        <w:t>Human Rights</w:t>
      </w:r>
      <w:r w:rsidR="006F0EBC" w:rsidRPr="000F7276">
        <w:rPr>
          <w:rFonts w:asciiTheme="minorHAnsi" w:hAnsiTheme="minorHAnsi"/>
          <w:sz w:val="24"/>
          <w:szCs w:val="24"/>
        </w:rPr>
        <w:t xml:space="preserve"> </w:t>
      </w:r>
      <w:r w:rsidR="006E493C" w:rsidRPr="000F7276">
        <w:rPr>
          <w:rFonts w:asciiTheme="minorHAnsi" w:hAnsiTheme="minorHAnsi"/>
          <w:sz w:val="24"/>
          <w:szCs w:val="24"/>
        </w:rPr>
        <w:t>(</w:t>
      </w:r>
      <w:r w:rsidR="00752F4C" w:rsidRPr="000F7276">
        <w:rPr>
          <w:rFonts w:asciiTheme="minorHAnsi" w:hAnsiTheme="minorHAnsi"/>
          <w:sz w:val="24"/>
          <w:szCs w:val="24"/>
        </w:rPr>
        <w:t xml:space="preserve">AfDB, EBRD, </w:t>
      </w:r>
      <w:r w:rsidR="006E493C" w:rsidRPr="000F7276">
        <w:rPr>
          <w:rFonts w:asciiTheme="minorHAnsi" w:hAnsiTheme="minorHAnsi"/>
          <w:sz w:val="24"/>
          <w:szCs w:val="24"/>
        </w:rPr>
        <w:t>EIB</w:t>
      </w:r>
      <w:r w:rsidR="00B7680C" w:rsidRPr="000F7276">
        <w:rPr>
          <w:rFonts w:asciiTheme="minorHAnsi" w:hAnsiTheme="minorHAnsi"/>
          <w:sz w:val="24"/>
          <w:szCs w:val="24"/>
        </w:rPr>
        <w:t>, IFC</w:t>
      </w:r>
      <w:r w:rsidR="009E5100" w:rsidRPr="000F7276">
        <w:rPr>
          <w:rFonts w:asciiTheme="minorHAnsi" w:hAnsiTheme="minorHAnsi"/>
          <w:sz w:val="24"/>
          <w:szCs w:val="24"/>
        </w:rPr>
        <w:t>, and IDB</w:t>
      </w:r>
      <w:r w:rsidR="004469A4">
        <w:rPr>
          <w:rFonts w:asciiTheme="minorHAnsi" w:hAnsiTheme="minorHAnsi"/>
          <w:sz w:val="24"/>
          <w:szCs w:val="24"/>
        </w:rPr>
        <w:t>);</w:t>
      </w:r>
      <w:r w:rsidR="004469A4">
        <w:rPr>
          <w:rStyle w:val="FootnoteReference"/>
          <w:rFonts w:asciiTheme="minorHAnsi" w:hAnsiTheme="minorHAnsi"/>
          <w:sz w:val="24"/>
          <w:szCs w:val="24"/>
        </w:rPr>
        <w:footnoteReference w:id="44"/>
      </w:r>
    </w:p>
    <w:p w14:paraId="63C8CC35" w14:textId="77777777" w:rsidR="00924AF7" w:rsidRPr="000F7276" w:rsidRDefault="005E314A" w:rsidP="00A009E7">
      <w:pPr>
        <w:pStyle w:val="ListParagraph"/>
        <w:numPr>
          <w:ilvl w:val="0"/>
          <w:numId w:val="2"/>
        </w:numPr>
        <w:autoSpaceDE/>
        <w:autoSpaceDN/>
        <w:adjustRightInd/>
        <w:spacing w:before="40" w:after="80"/>
        <w:rPr>
          <w:sz w:val="24"/>
          <w:szCs w:val="24"/>
        </w:rPr>
      </w:pPr>
      <w:r w:rsidRPr="000F7276">
        <w:rPr>
          <w:sz w:val="24"/>
          <w:szCs w:val="24"/>
        </w:rPr>
        <w:t>Vulnerability and Impoverishment (EBRD, EIB, IDB, IFC)</w:t>
      </w:r>
      <w:r w:rsidR="0059080A" w:rsidRPr="000F7276">
        <w:rPr>
          <w:sz w:val="24"/>
          <w:szCs w:val="24"/>
        </w:rPr>
        <w:t>;</w:t>
      </w:r>
    </w:p>
    <w:p w14:paraId="294EF6E8" w14:textId="77777777" w:rsidR="006464AC" w:rsidRPr="000F7276" w:rsidRDefault="005E314A" w:rsidP="00A009E7">
      <w:pPr>
        <w:pStyle w:val="ListParagraph"/>
        <w:numPr>
          <w:ilvl w:val="0"/>
          <w:numId w:val="2"/>
        </w:numPr>
        <w:autoSpaceDE/>
        <w:autoSpaceDN/>
        <w:adjustRightInd/>
        <w:spacing w:before="40" w:after="80"/>
        <w:rPr>
          <w:sz w:val="24"/>
          <w:szCs w:val="24"/>
        </w:rPr>
      </w:pPr>
      <w:r w:rsidRPr="000F7276">
        <w:rPr>
          <w:sz w:val="24"/>
          <w:szCs w:val="24"/>
        </w:rPr>
        <w:t>Labor and Working Conditions (AfDB, EBRD,</w:t>
      </w:r>
      <w:r w:rsidR="00120C95" w:rsidRPr="000F7276">
        <w:rPr>
          <w:sz w:val="24"/>
          <w:szCs w:val="24"/>
        </w:rPr>
        <w:t xml:space="preserve"> </w:t>
      </w:r>
      <w:r w:rsidRPr="000F7276">
        <w:rPr>
          <w:sz w:val="24"/>
          <w:szCs w:val="24"/>
        </w:rPr>
        <w:t>EIB, IFC)</w:t>
      </w:r>
      <w:r w:rsidR="0059080A" w:rsidRPr="000F7276">
        <w:rPr>
          <w:sz w:val="24"/>
          <w:szCs w:val="24"/>
        </w:rPr>
        <w:t>;</w:t>
      </w:r>
    </w:p>
    <w:p w14:paraId="5562DA1A" w14:textId="77777777" w:rsidR="00924AF7" w:rsidRPr="000F7276" w:rsidRDefault="005E314A" w:rsidP="00A009E7">
      <w:pPr>
        <w:pStyle w:val="ListParagraph"/>
        <w:numPr>
          <w:ilvl w:val="0"/>
          <w:numId w:val="2"/>
        </w:numPr>
        <w:autoSpaceDE/>
        <w:autoSpaceDN/>
        <w:adjustRightInd/>
        <w:spacing w:before="40" w:after="80"/>
        <w:rPr>
          <w:sz w:val="24"/>
          <w:szCs w:val="24"/>
          <w:u w:val="single"/>
        </w:rPr>
      </w:pPr>
      <w:r w:rsidRPr="000F7276">
        <w:rPr>
          <w:sz w:val="24"/>
          <w:szCs w:val="24"/>
        </w:rPr>
        <w:t>Stakeholder Engagement (EBRD, EIB)</w:t>
      </w:r>
      <w:r w:rsidR="0059080A" w:rsidRPr="000F7276">
        <w:rPr>
          <w:sz w:val="24"/>
          <w:szCs w:val="24"/>
        </w:rPr>
        <w:t>;</w:t>
      </w:r>
      <w:r w:rsidR="003C3FE7" w:rsidRPr="000F7276">
        <w:rPr>
          <w:sz w:val="24"/>
          <w:szCs w:val="24"/>
        </w:rPr>
        <w:t xml:space="preserve"> and</w:t>
      </w:r>
    </w:p>
    <w:p w14:paraId="6C541009" w14:textId="77777777" w:rsidR="00A009E7" w:rsidRDefault="005E314A" w:rsidP="00A009E7">
      <w:pPr>
        <w:pStyle w:val="ListParagraph"/>
        <w:numPr>
          <w:ilvl w:val="0"/>
          <w:numId w:val="2"/>
        </w:numPr>
        <w:autoSpaceDE/>
        <w:autoSpaceDN/>
        <w:adjustRightInd/>
        <w:spacing w:before="40" w:after="240"/>
        <w:rPr>
          <w:sz w:val="24"/>
          <w:szCs w:val="24"/>
          <w:u w:val="single"/>
        </w:rPr>
      </w:pPr>
      <w:r w:rsidRPr="000F7276">
        <w:rPr>
          <w:sz w:val="24"/>
          <w:szCs w:val="24"/>
        </w:rPr>
        <w:t>Resource Efficiency (IFC, EBRD, EIB)</w:t>
      </w:r>
      <w:r w:rsidR="0059080A" w:rsidRPr="000F7276">
        <w:rPr>
          <w:sz w:val="24"/>
          <w:szCs w:val="24"/>
        </w:rPr>
        <w:t>.</w:t>
      </w:r>
    </w:p>
    <w:p w14:paraId="3E4B2426" w14:textId="00EF0309" w:rsidR="006C04D0" w:rsidRPr="000F7276" w:rsidRDefault="00904F75" w:rsidP="00A009E7">
      <w:pPr>
        <w:pStyle w:val="hhhead1"/>
      </w:pPr>
      <w:bookmarkStart w:id="7" w:name="_Toc419114250"/>
      <w:r w:rsidRPr="000F7276">
        <w:t xml:space="preserve">Categorical </w:t>
      </w:r>
      <w:r w:rsidR="0077169C" w:rsidRPr="000F7276">
        <w:t>Exclusion</w:t>
      </w:r>
      <w:r w:rsidR="00015AA9" w:rsidRPr="000F7276">
        <w:t xml:space="preserve">s and </w:t>
      </w:r>
      <w:r w:rsidR="006F4234" w:rsidRPr="000F7276">
        <w:t>P</w:t>
      </w:r>
      <w:r w:rsidR="00015AA9" w:rsidRPr="000F7276">
        <w:t>rohibitions</w:t>
      </w:r>
      <w:bookmarkEnd w:id="7"/>
      <w:r w:rsidR="003F7392" w:rsidRPr="000F7276">
        <w:t xml:space="preserve"> </w:t>
      </w:r>
    </w:p>
    <w:p w14:paraId="3B1779FA" w14:textId="77777777" w:rsidR="00A009E7" w:rsidRDefault="0077169C" w:rsidP="00A009E7">
      <w:pPr>
        <w:autoSpaceDE/>
        <w:autoSpaceDN/>
        <w:adjustRightInd/>
        <w:spacing w:after="240"/>
        <w:rPr>
          <w:sz w:val="24"/>
          <w:szCs w:val="24"/>
        </w:rPr>
      </w:pPr>
      <w:r w:rsidRPr="000F7276">
        <w:rPr>
          <w:sz w:val="24"/>
          <w:szCs w:val="24"/>
        </w:rPr>
        <w:t>With the exception of the World Bank, th</w:t>
      </w:r>
      <w:r w:rsidR="00AD14E1" w:rsidRPr="000F7276">
        <w:rPr>
          <w:sz w:val="24"/>
          <w:szCs w:val="24"/>
        </w:rPr>
        <w:t xml:space="preserve">e MDBs included in this report </w:t>
      </w:r>
      <w:r w:rsidRPr="000F7276">
        <w:rPr>
          <w:sz w:val="24"/>
          <w:szCs w:val="24"/>
        </w:rPr>
        <w:t>have issued, as an integral part of their environmental and social safeguard policies or frameworks, categorical “exclusions” or similar lists of “prohibited” projects, activities and products that they will not support either through direct investment and/or indirectly through FIs.</w:t>
      </w:r>
      <w:r w:rsidRPr="000F7276">
        <w:rPr>
          <w:rStyle w:val="FootnoteReference"/>
          <w:sz w:val="24"/>
          <w:szCs w:val="24"/>
        </w:rPr>
        <w:footnoteReference w:id="45"/>
      </w:r>
    </w:p>
    <w:p w14:paraId="75359462" w14:textId="77777777" w:rsidR="00A009E7" w:rsidRDefault="0077169C" w:rsidP="00A009E7">
      <w:pPr>
        <w:keepNext/>
        <w:keepLines/>
        <w:spacing w:after="240"/>
        <w:rPr>
          <w:b/>
          <w:sz w:val="24"/>
          <w:szCs w:val="24"/>
        </w:rPr>
      </w:pPr>
      <w:r w:rsidRPr="001375F3">
        <w:rPr>
          <w:b/>
          <w:sz w:val="24"/>
          <w:szCs w:val="24"/>
        </w:rPr>
        <w:t>Institutional Analysis</w:t>
      </w:r>
    </w:p>
    <w:p w14:paraId="0F30B2B1" w14:textId="77777777" w:rsidR="00A009E7" w:rsidRDefault="0077169C" w:rsidP="00A009E7">
      <w:pPr>
        <w:spacing w:after="240"/>
      </w:pPr>
      <w:r w:rsidRPr="000F7276">
        <w:rPr>
          <w:sz w:val="24"/>
          <w:szCs w:val="24"/>
        </w:rPr>
        <w:t>The following provides a brief summary of each MDB’s approach to categorical exclusions and prohibitions.</w:t>
      </w:r>
      <w:r w:rsidR="003F7392" w:rsidRPr="000F7276">
        <w:rPr>
          <w:sz w:val="24"/>
          <w:szCs w:val="24"/>
        </w:rPr>
        <w:t xml:space="preserve"> </w:t>
      </w:r>
      <w:r w:rsidR="00D05BFC" w:rsidRPr="000F7276">
        <w:rPr>
          <w:sz w:val="24"/>
          <w:szCs w:val="24"/>
        </w:rPr>
        <w:t>This analysis focuses on categorical exclusions that are explicitly cited in MDBs’ stand-alone “lists” of “excluded” or “prohibited” activities, products and or services.</w:t>
      </w:r>
      <w:r w:rsidR="003F7392" w:rsidRPr="000F7276">
        <w:rPr>
          <w:sz w:val="24"/>
          <w:szCs w:val="24"/>
        </w:rPr>
        <w:t xml:space="preserve"> </w:t>
      </w:r>
      <w:r w:rsidR="00D05BFC" w:rsidRPr="000F7276">
        <w:rPr>
          <w:sz w:val="24"/>
          <w:szCs w:val="24"/>
        </w:rPr>
        <w:t>These lists are designed to supplement categorical exclusions stated elsewhere in MDB safeguard systems such as policies, operational safeguards and procurement</w:t>
      </w:r>
      <w:r w:rsidR="00684C3A" w:rsidRPr="000F7276">
        <w:rPr>
          <w:sz w:val="24"/>
          <w:szCs w:val="24"/>
        </w:rPr>
        <w:t>.</w:t>
      </w:r>
      <w:r w:rsidR="00507654" w:rsidRPr="000F7276">
        <w:rPr>
          <w:rStyle w:val="FootnoteReference"/>
          <w:sz w:val="24"/>
          <w:szCs w:val="24"/>
        </w:rPr>
        <w:footnoteReference w:id="46"/>
      </w:r>
      <w:r w:rsidR="003F7392" w:rsidRPr="000F7276">
        <w:rPr>
          <w:sz w:val="24"/>
          <w:szCs w:val="24"/>
        </w:rPr>
        <w:t xml:space="preserve"> </w:t>
      </w:r>
      <w:r w:rsidR="00D05BFC" w:rsidRPr="000F7276">
        <w:rPr>
          <w:sz w:val="24"/>
          <w:szCs w:val="24"/>
        </w:rPr>
        <w:t>All MDBs, with the exception of the World Bank</w:t>
      </w:r>
      <w:r w:rsidR="004C7B4A" w:rsidRPr="000F7276">
        <w:rPr>
          <w:sz w:val="24"/>
          <w:szCs w:val="24"/>
        </w:rPr>
        <w:t>,</w:t>
      </w:r>
      <w:r w:rsidR="00D05BFC" w:rsidRPr="000F7276">
        <w:rPr>
          <w:sz w:val="24"/>
          <w:szCs w:val="24"/>
        </w:rPr>
        <w:t xml:space="preserve"> have such formal lists</w:t>
      </w:r>
      <w:r w:rsidR="00507654" w:rsidRPr="000F7276">
        <w:rPr>
          <w:sz w:val="24"/>
          <w:szCs w:val="24"/>
        </w:rPr>
        <w:t xml:space="preserve"> </w:t>
      </w:r>
      <w:r w:rsidR="00684C3A" w:rsidRPr="000F7276">
        <w:rPr>
          <w:sz w:val="24"/>
          <w:szCs w:val="24"/>
        </w:rPr>
        <w:t>as described below</w:t>
      </w:r>
      <w:r w:rsidR="004C7B4A" w:rsidRPr="000F7276">
        <w:rPr>
          <w:sz w:val="24"/>
          <w:szCs w:val="24"/>
        </w:rPr>
        <w:t>,</w:t>
      </w:r>
      <w:r w:rsidR="00684C3A" w:rsidRPr="000F7276">
        <w:rPr>
          <w:sz w:val="24"/>
          <w:szCs w:val="24"/>
        </w:rPr>
        <w:t xml:space="preserve"> </w:t>
      </w:r>
      <w:r w:rsidR="004C7B4A" w:rsidRPr="000F7276">
        <w:rPr>
          <w:sz w:val="24"/>
          <w:szCs w:val="24"/>
        </w:rPr>
        <w:t xml:space="preserve">which </w:t>
      </w:r>
      <w:r w:rsidR="00684C3A" w:rsidRPr="000F7276">
        <w:rPr>
          <w:sz w:val="24"/>
          <w:szCs w:val="24"/>
        </w:rPr>
        <w:t xml:space="preserve">are either structurally </w:t>
      </w:r>
      <w:r w:rsidR="00507654" w:rsidRPr="000F7276">
        <w:rPr>
          <w:sz w:val="24"/>
          <w:szCs w:val="24"/>
        </w:rPr>
        <w:t xml:space="preserve">incorporated into </w:t>
      </w:r>
      <w:r w:rsidR="00684C3A" w:rsidRPr="000F7276">
        <w:rPr>
          <w:sz w:val="24"/>
          <w:szCs w:val="24"/>
        </w:rPr>
        <w:t>their safeguard frameworks or cited by reference in such frameworks.</w:t>
      </w:r>
      <w:r w:rsidR="003F7392" w:rsidRPr="000F7276">
        <w:rPr>
          <w:sz w:val="24"/>
          <w:szCs w:val="24"/>
        </w:rPr>
        <w:t xml:space="preserve"> </w:t>
      </w:r>
      <w:r w:rsidR="00684C3A" w:rsidRPr="000F7276">
        <w:rPr>
          <w:sz w:val="24"/>
          <w:szCs w:val="24"/>
        </w:rPr>
        <w:t>However, many MDBs continue to use operational safeguards and/or procurement policy to articulate and implement various exclusions and prohibitions.</w:t>
      </w:r>
      <w:r w:rsidR="00A142A5" w:rsidRPr="000F7276">
        <w:rPr>
          <w:rStyle w:val="FootnoteReference"/>
          <w:sz w:val="24"/>
          <w:szCs w:val="24"/>
        </w:rPr>
        <w:footnoteReference w:id="47"/>
      </w:r>
      <w:r w:rsidR="00684C3A" w:rsidRPr="000F7276">
        <w:rPr>
          <w:sz w:val="24"/>
          <w:szCs w:val="24"/>
        </w:rPr>
        <w:t xml:space="preserve"> Accordingly, as this analysis is limited to stand-alone exclusion or prohibition lists, it</w:t>
      </w:r>
      <w:r w:rsidR="00684C3A" w:rsidRPr="000F7276">
        <w:rPr>
          <w:rFonts w:asciiTheme="minorHAnsi" w:hAnsiTheme="minorHAnsi"/>
          <w:sz w:val="24"/>
          <w:szCs w:val="24"/>
        </w:rPr>
        <w:t xml:space="preserve"> is not intended to be exhaustive and </w:t>
      </w:r>
      <w:r w:rsidR="00684C3A" w:rsidRPr="000F7276">
        <w:rPr>
          <w:rFonts w:asciiTheme="minorHAnsi" w:eastAsia="Times New Roman" w:hAnsiTheme="minorHAnsi"/>
          <w:sz w:val="24"/>
          <w:szCs w:val="24"/>
        </w:rPr>
        <w:t>the absence of a particular product or activity from its exclusion or prohibition list does not mean that the MDB does not exclude or prohibit the activity elsewhere in its safeguard framework or in its procurement policy.</w:t>
      </w:r>
    </w:p>
    <w:p w14:paraId="7863C806" w14:textId="77777777" w:rsidR="00A009E7" w:rsidRDefault="0077169C" w:rsidP="00A009E7">
      <w:pPr>
        <w:spacing w:after="240"/>
        <w:rPr>
          <w:sz w:val="24"/>
          <w:szCs w:val="24"/>
        </w:rPr>
      </w:pPr>
      <w:r w:rsidRPr="000F7276">
        <w:rPr>
          <w:b/>
          <w:sz w:val="24"/>
          <w:szCs w:val="24"/>
        </w:rPr>
        <w:t>World Bank</w:t>
      </w:r>
      <w:r w:rsidR="00A221A3" w:rsidRPr="000F7276">
        <w:rPr>
          <w:b/>
          <w:sz w:val="24"/>
          <w:szCs w:val="24"/>
        </w:rPr>
        <w:t>.</w:t>
      </w:r>
      <w:r w:rsidR="003F7392" w:rsidRPr="000F7276">
        <w:rPr>
          <w:sz w:val="24"/>
          <w:szCs w:val="24"/>
        </w:rPr>
        <w:t xml:space="preserve"> </w:t>
      </w:r>
      <w:r w:rsidRPr="000F7276">
        <w:rPr>
          <w:sz w:val="24"/>
          <w:szCs w:val="24"/>
        </w:rPr>
        <w:t xml:space="preserve">As stated above, </w:t>
      </w:r>
      <w:r w:rsidR="0064296C">
        <w:rPr>
          <w:sz w:val="24"/>
          <w:szCs w:val="24"/>
        </w:rPr>
        <w:t>the OPs</w:t>
      </w:r>
      <w:r w:rsidRPr="000F7276">
        <w:rPr>
          <w:sz w:val="24"/>
          <w:szCs w:val="24"/>
        </w:rPr>
        <w:t xml:space="preserve"> for environmental and social safeguards do not include or reference a consolidated list of activities or products that are categorically excluded or prohibited from inclusion in Bank-supported investment lending projects.</w:t>
      </w:r>
      <w:r w:rsidR="003F7392" w:rsidRPr="000F7276">
        <w:rPr>
          <w:sz w:val="24"/>
          <w:szCs w:val="24"/>
        </w:rPr>
        <w:t xml:space="preserve"> </w:t>
      </w:r>
      <w:r w:rsidRPr="000F7276">
        <w:rPr>
          <w:sz w:val="24"/>
          <w:szCs w:val="24"/>
        </w:rPr>
        <w:t xml:space="preserve">In some instances the OPs applicable to investment lending may prohibit the Bank </w:t>
      </w:r>
      <w:r w:rsidR="004C7B4A" w:rsidRPr="000F7276">
        <w:rPr>
          <w:sz w:val="24"/>
          <w:szCs w:val="24"/>
        </w:rPr>
        <w:t xml:space="preserve">from </w:t>
      </w:r>
      <w:r w:rsidRPr="000F7276">
        <w:rPr>
          <w:sz w:val="24"/>
          <w:szCs w:val="24"/>
        </w:rPr>
        <w:t>supporting and/or the borrower from undertaking projects that result in specified adverse environmental or social impacts.</w:t>
      </w:r>
      <w:r w:rsidRPr="000F7276">
        <w:rPr>
          <w:rStyle w:val="FootnoteReference"/>
          <w:sz w:val="24"/>
          <w:szCs w:val="24"/>
        </w:rPr>
        <w:footnoteReference w:id="48"/>
      </w:r>
      <w:r w:rsidRPr="000F7276">
        <w:rPr>
          <w:sz w:val="24"/>
          <w:szCs w:val="24"/>
        </w:rPr>
        <w:t xml:space="preserve"> However, these prohibitions apply only if the particular OP is </w:t>
      </w:r>
      <w:r w:rsidR="00BC1853" w:rsidRPr="000F7276">
        <w:rPr>
          <w:sz w:val="24"/>
          <w:szCs w:val="24"/>
        </w:rPr>
        <w:t>applied</w:t>
      </w:r>
      <w:r w:rsidRPr="000F7276">
        <w:rPr>
          <w:sz w:val="24"/>
          <w:szCs w:val="24"/>
        </w:rPr>
        <w:t>, whereas other MDB exclusions and prohibitions apply under all circumstances.</w:t>
      </w:r>
    </w:p>
    <w:p w14:paraId="675D8201" w14:textId="77777777" w:rsidR="00A009E7" w:rsidRDefault="00507654" w:rsidP="00A009E7">
      <w:pPr>
        <w:spacing w:after="240"/>
        <w:rPr>
          <w:sz w:val="24"/>
          <w:szCs w:val="24"/>
        </w:rPr>
      </w:pPr>
      <w:r w:rsidRPr="000F7276">
        <w:rPr>
          <w:sz w:val="24"/>
          <w:szCs w:val="24"/>
        </w:rPr>
        <w:t xml:space="preserve">Alone among MDBs included in this review, the </w:t>
      </w:r>
      <w:r w:rsidR="0077169C" w:rsidRPr="000F7276">
        <w:rPr>
          <w:sz w:val="24"/>
          <w:szCs w:val="24"/>
        </w:rPr>
        <w:t xml:space="preserve">World Bank </w:t>
      </w:r>
      <w:r w:rsidRPr="000F7276">
        <w:rPr>
          <w:sz w:val="24"/>
          <w:szCs w:val="24"/>
        </w:rPr>
        <w:t xml:space="preserve">has not issued a formal list of excluded or prohibited activities related to environmental and social safeguards but has </w:t>
      </w:r>
      <w:r w:rsidR="0077169C" w:rsidRPr="000F7276">
        <w:rPr>
          <w:sz w:val="24"/>
          <w:szCs w:val="24"/>
        </w:rPr>
        <w:t xml:space="preserve">relied on </w:t>
      </w:r>
      <w:r w:rsidRPr="000F7276">
        <w:rPr>
          <w:sz w:val="24"/>
          <w:szCs w:val="24"/>
        </w:rPr>
        <w:t xml:space="preserve">its </w:t>
      </w:r>
      <w:r w:rsidR="0077169C" w:rsidRPr="000F7276">
        <w:rPr>
          <w:sz w:val="24"/>
          <w:szCs w:val="24"/>
        </w:rPr>
        <w:t>Policy on Procurement</w:t>
      </w:r>
      <w:r w:rsidR="003F7392" w:rsidRPr="000F7276">
        <w:rPr>
          <w:rStyle w:val="FootnoteReference"/>
          <w:sz w:val="24"/>
          <w:szCs w:val="24"/>
        </w:rPr>
        <w:t xml:space="preserve"> </w:t>
      </w:r>
      <w:r w:rsidRPr="000F7276">
        <w:rPr>
          <w:sz w:val="24"/>
          <w:szCs w:val="24"/>
        </w:rPr>
        <w:t>as well as the</w:t>
      </w:r>
      <w:r w:rsidRPr="000F7276">
        <w:rPr>
          <w:rFonts w:asciiTheme="minorHAnsi" w:hAnsiTheme="minorHAnsi" w:cs="HelveticaNeue-Light"/>
          <w:color w:val="000000"/>
          <w:sz w:val="24"/>
          <w:szCs w:val="24"/>
        </w:rPr>
        <w:t xml:space="preserve"> “Multilateral Development Bank Harmonised Conditions of Contract for Construction for Building and Engineering Works Designed by </w:t>
      </w:r>
      <w:r w:rsidR="00684C3A" w:rsidRPr="000F7276">
        <w:rPr>
          <w:rFonts w:asciiTheme="minorHAnsi" w:hAnsiTheme="minorHAnsi" w:cs="HelveticaNeue-Light"/>
          <w:color w:val="000000"/>
          <w:sz w:val="24"/>
          <w:szCs w:val="24"/>
        </w:rPr>
        <w:t>t</w:t>
      </w:r>
      <w:r w:rsidRPr="000F7276">
        <w:rPr>
          <w:rFonts w:asciiTheme="minorHAnsi" w:hAnsiTheme="minorHAnsi" w:cs="HelveticaNeue-Light"/>
          <w:color w:val="000000"/>
          <w:sz w:val="24"/>
          <w:szCs w:val="24"/>
        </w:rPr>
        <w:t>he Employer” (June 2010)</w:t>
      </w:r>
      <w:r w:rsidR="0077169C" w:rsidRPr="000F7276">
        <w:rPr>
          <w:rStyle w:val="FootnoteReference"/>
          <w:sz w:val="24"/>
          <w:szCs w:val="24"/>
        </w:rPr>
        <w:footnoteReference w:id="49"/>
      </w:r>
      <w:r w:rsidR="0077169C" w:rsidRPr="000F7276">
        <w:rPr>
          <w:sz w:val="24"/>
          <w:szCs w:val="24"/>
        </w:rPr>
        <w:t xml:space="preserve"> </w:t>
      </w:r>
      <w:r w:rsidRPr="000F7276">
        <w:rPr>
          <w:sz w:val="24"/>
          <w:szCs w:val="24"/>
        </w:rPr>
        <w:t xml:space="preserve">and </w:t>
      </w:r>
      <w:r w:rsidR="00684C3A" w:rsidRPr="000F7276">
        <w:rPr>
          <w:sz w:val="24"/>
          <w:szCs w:val="24"/>
        </w:rPr>
        <w:t xml:space="preserve">its </w:t>
      </w:r>
      <w:r w:rsidRPr="000F7276">
        <w:rPr>
          <w:sz w:val="24"/>
          <w:szCs w:val="24"/>
        </w:rPr>
        <w:t xml:space="preserve">operational safeguard </w:t>
      </w:r>
      <w:r w:rsidR="00684C3A" w:rsidRPr="000F7276">
        <w:rPr>
          <w:sz w:val="24"/>
          <w:szCs w:val="24"/>
        </w:rPr>
        <w:t>requirements</w:t>
      </w:r>
      <w:r w:rsidRPr="000F7276">
        <w:rPr>
          <w:sz w:val="24"/>
          <w:szCs w:val="24"/>
        </w:rPr>
        <w:t xml:space="preserve"> to articulate and implement its categorical exclusions and prohibitions.</w:t>
      </w:r>
      <w:r w:rsidR="003F7392" w:rsidRPr="000F7276">
        <w:rPr>
          <w:sz w:val="24"/>
          <w:szCs w:val="24"/>
        </w:rPr>
        <w:t xml:space="preserve"> </w:t>
      </w:r>
    </w:p>
    <w:p w14:paraId="116592B0" w14:textId="77777777" w:rsidR="00A009E7" w:rsidRDefault="00684C3A" w:rsidP="00A009E7">
      <w:pPr>
        <w:spacing w:after="240"/>
        <w:rPr>
          <w:rFonts w:asciiTheme="minorHAnsi" w:hAnsiTheme="minorHAnsi"/>
        </w:rPr>
      </w:pPr>
      <w:r w:rsidRPr="000F7276">
        <w:rPr>
          <w:sz w:val="24"/>
          <w:szCs w:val="24"/>
        </w:rPr>
        <w:t xml:space="preserve">For example, </w:t>
      </w:r>
      <w:r w:rsidR="0077169C" w:rsidRPr="000F7276">
        <w:rPr>
          <w:sz w:val="24"/>
          <w:szCs w:val="24"/>
        </w:rPr>
        <w:t xml:space="preserve">Bank OP 8.60 Development Policy Lending (DPL) refers </w:t>
      </w:r>
      <w:r w:rsidR="00AE3180" w:rsidRPr="000F7276">
        <w:rPr>
          <w:sz w:val="24"/>
          <w:szCs w:val="24"/>
        </w:rPr>
        <w:t xml:space="preserve">to </w:t>
      </w:r>
      <w:r w:rsidR="0077169C" w:rsidRPr="000F7276">
        <w:rPr>
          <w:sz w:val="24"/>
          <w:szCs w:val="24"/>
        </w:rPr>
        <w:t>“excluded expenditures,</w:t>
      </w:r>
      <w:r w:rsidR="00015AA9" w:rsidRPr="000F7276">
        <w:rPr>
          <w:sz w:val="24"/>
          <w:szCs w:val="24"/>
        </w:rPr>
        <w:t>”</w:t>
      </w:r>
      <w:r w:rsidR="0077169C" w:rsidRPr="000F7276">
        <w:rPr>
          <w:rStyle w:val="FootnoteReference"/>
          <w:sz w:val="24"/>
          <w:szCs w:val="24"/>
        </w:rPr>
        <w:footnoteReference w:id="50"/>
      </w:r>
      <w:r w:rsidR="003F7392" w:rsidRPr="000F7276">
        <w:rPr>
          <w:sz w:val="24"/>
          <w:szCs w:val="24"/>
        </w:rPr>
        <w:t xml:space="preserve"> </w:t>
      </w:r>
      <w:r w:rsidR="0077169C" w:rsidRPr="000F7276">
        <w:rPr>
          <w:sz w:val="24"/>
          <w:szCs w:val="24"/>
        </w:rPr>
        <w:t xml:space="preserve">but these exclusions apply only to borrower procurement under DPLs and not to </w:t>
      </w:r>
      <w:r w:rsidR="00AE3180" w:rsidRPr="000F7276">
        <w:rPr>
          <w:sz w:val="24"/>
          <w:szCs w:val="24"/>
        </w:rPr>
        <w:t>I</w:t>
      </w:r>
      <w:r w:rsidR="0077169C" w:rsidRPr="000F7276">
        <w:rPr>
          <w:sz w:val="24"/>
          <w:szCs w:val="24"/>
        </w:rPr>
        <w:t xml:space="preserve">nvestment </w:t>
      </w:r>
      <w:r w:rsidR="00AE3180" w:rsidRPr="000F7276">
        <w:rPr>
          <w:sz w:val="24"/>
          <w:szCs w:val="24"/>
        </w:rPr>
        <w:t>L</w:t>
      </w:r>
      <w:r w:rsidR="0077169C" w:rsidRPr="000F7276">
        <w:rPr>
          <w:sz w:val="24"/>
          <w:szCs w:val="24"/>
        </w:rPr>
        <w:t>ending.</w:t>
      </w:r>
      <w:r w:rsidR="003F7392" w:rsidRPr="000F7276">
        <w:rPr>
          <w:sz w:val="24"/>
          <w:szCs w:val="24"/>
        </w:rPr>
        <w:t xml:space="preserve"> </w:t>
      </w:r>
      <w:r w:rsidR="0077169C" w:rsidRPr="000F7276">
        <w:rPr>
          <w:sz w:val="24"/>
          <w:szCs w:val="24"/>
        </w:rPr>
        <w:t xml:space="preserve">Bank OP 4.76 </w:t>
      </w:r>
      <w:r w:rsidR="00904F75" w:rsidRPr="000F7276">
        <w:rPr>
          <w:sz w:val="24"/>
          <w:szCs w:val="24"/>
        </w:rPr>
        <w:t>(</w:t>
      </w:r>
      <w:r w:rsidR="0077169C" w:rsidRPr="000F7276">
        <w:rPr>
          <w:sz w:val="24"/>
          <w:szCs w:val="24"/>
        </w:rPr>
        <w:t>1999</w:t>
      </w:r>
      <w:r w:rsidR="00AE3180" w:rsidRPr="000F7276">
        <w:rPr>
          <w:sz w:val="24"/>
          <w:szCs w:val="24"/>
        </w:rPr>
        <w:t>)</w:t>
      </w:r>
      <w:r w:rsidR="0077169C" w:rsidRPr="000F7276">
        <w:rPr>
          <w:sz w:val="24"/>
          <w:szCs w:val="24"/>
        </w:rPr>
        <w:t xml:space="preserve"> states that “[t]he Bank does not [with specified exceptions</w:t>
      </w:r>
      <w:r w:rsidR="0077169C" w:rsidRPr="000F7276">
        <w:rPr>
          <w:rStyle w:val="FootnoteReference"/>
          <w:sz w:val="24"/>
          <w:szCs w:val="24"/>
        </w:rPr>
        <w:footnoteReference w:id="51"/>
      </w:r>
      <w:r w:rsidR="0077169C" w:rsidRPr="000F7276">
        <w:rPr>
          <w:sz w:val="24"/>
          <w:szCs w:val="24"/>
        </w:rPr>
        <w:t>] lend directly for investment in, or guarantee investments or loans for tobacco production, processing or marketing….To the extent practicable, the Bank does not lend indirectly for tobacco production activities, although [such] support….may occur as an inseparable part of a project that has a broader set of objectives and outcomes (e.g.</w:t>
      </w:r>
      <w:r w:rsidR="00AE3180" w:rsidRPr="000F7276">
        <w:rPr>
          <w:sz w:val="24"/>
          <w:szCs w:val="24"/>
        </w:rPr>
        <w:t>,</w:t>
      </w:r>
      <w:r w:rsidR="0077169C" w:rsidRPr="000F7276">
        <w:rPr>
          <w:sz w:val="24"/>
          <w:szCs w:val="24"/>
        </w:rPr>
        <w:t xml:space="preserve"> rural </w:t>
      </w:r>
      <w:r w:rsidR="0064296C">
        <w:rPr>
          <w:rFonts w:asciiTheme="minorHAnsi" w:hAnsiTheme="minorHAnsi"/>
        </w:rPr>
        <w:t>roads).”</w:t>
      </w:r>
      <w:r w:rsidR="0077169C" w:rsidRPr="000F7276">
        <w:rPr>
          <w:rStyle w:val="FootnoteReference"/>
          <w:rFonts w:asciiTheme="minorHAnsi" w:hAnsiTheme="minorHAnsi"/>
        </w:rPr>
        <w:footnoteReference w:id="52"/>
      </w:r>
      <w:r w:rsidR="003F7392" w:rsidRPr="000F7276">
        <w:rPr>
          <w:rFonts w:asciiTheme="minorHAnsi" w:hAnsiTheme="minorHAnsi"/>
        </w:rPr>
        <w:t xml:space="preserve"> </w:t>
      </w:r>
    </w:p>
    <w:p w14:paraId="5A1D0C7F" w14:textId="61460C55" w:rsidR="00A009E7" w:rsidRDefault="0077169C" w:rsidP="00A009E7">
      <w:pPr>
        <w:spacing w:after="240"/>
        <w:rPr>
          <w:rFonts w:cs="Arial"/>
          <w:sz w:val="24"/>
          <w:szCs w:val="24"/>
        </w:rPr>
      </w:pPr>
      <w:r w:rsidRPr="000F7276">
        <w:rPr>
          <w:b/>
          <w:sz w:val="24"/>
          <w:szCs w:val="24"/>
        </w:rPr>
        <w:t>ADB</w:t>
      </w:r>
      <w:r w:rsidRPr="000F7276">
        <w:rPr>
          <w:sz w:val="24"/>
          <w:szCs w:val="24"/>
        </w:rPr>
        <w:t xml:space="preserve"> stat</w:t>
      </w:r>
      <w:r w:rsidR="004F289C">
        <w:rPr>
          <w:sz w:val="24"/>
          <w:szCs w:val="24"/>
        </w:rPr>
        <w:t>es in its SPS</w:t>
      </w:r>
      <w:r w:rsidRPr="000F7276">
        <w:rPr>
          <w:sz w:val="24"/>
          <w:szCs w:val="24"/>
        </w:rPr>
        <w:t xml:space="preserve"> that it “</w:t>
      </w:r>
      <w:r w:rsidRPr="000F7276">
        <w:rPr>
          <w:rFonts w:cs="Arial"/>
          <w:sz w:val="24"/>
          <w:szCs w:val="24"/>
        </w:rPr>
        <w:t>will not finance activities on the prohibited investment activities list.”</w:t>
      </w:r>
      <w:r w:rsidRPr="000F7276">
        <w:rPr>
          <w:rStyle w:val="FootnoteReference"/>
          <w:rFonts w:cs="Arial"/>
          <w:sz w:val="24"/>
          <w:szCs w:val="24"/>
        </w:rPr>
        <w:footnoteReference w:id="53"/>
      </w:r>
      <w:r w:rsidR="003F7392" w:rsidRPr="000F7276">
        <w:rPr>
          <w:rFonts w:cs="Arial"/>
          <w:sz w:val="24"/>
          <w:szCs w:val="24"/>
        </w:rPr>
        <w:t xml:space="preserve"> </w:t>
      </w:r>
      <w:r w:rsidRPr="000F7276">
        <w:rPr>
          <w:rFonts w:cs="Arial"/>
          <w:sz w:val="24"/>
          <w:szCs w:val="24"/>
        </w:rPr>
        <w:t>With respect to FIs, the SPS states that the “screening established under the [FI’s Environmental and Social Management System] will ensure that</w:t>
      </w:r>
      <w:r w:rsidR="003F7392" w:rsidRPr="000F7276">
        <w:rPr>
          <w:rFonts w:cs="Arial"/>
          <w:sz w:val="24"/>
          <w:szCs w:val="24"/>
        </w:rPr>
        <w:t xml:space="preserve"> </w:t>
      </w:r>
      <w:r w:rsidRPr="000F7276">
        <w:rPr>
          <w:rFonts w:cs="Arial"/>
          <w:sz w:val="24"/>
          <w:szCs w:val="24"/>
        </w:rPr>
        <w:t>all subprojects are screened against the prohibited activities list (Appendix 5)…[and] that subprojects involving …activities included in the</w:t>
      </w:r>
      <w:r w:rsidR="003F7392" w:rsidRPr="000F7276">
        <w:rPr>
          <w:rFonts w:cs="Arial"/>
          <w:sz w:val="24"/>
          <w:szCs w:val="24"/>
        </w:rPr>
        <w:t xml:space="preserve"> </w:t>
      </w:r>
      <w:r w:rsidRPr="000F7276">
        <w:rPr>
          <w:rFonts w:cs="Arial"/>
          <w:sz w:val="24"/>
          <w:szCs w:val="24"/>
        </w:rPr>
        <w:t>prohibited investment activities list do not quality for FI support using ADB funds…</w:t>
      </w:r>
      <w:r w:rsidR="00D10A9A" w:rsidRPr="000F7276">
        <w:rPr>
          <w:rFonts w:cs="Arial"/>
          <w:sz w:val="24"/>
          <w:szCs w:val="24"/>
        </w:rPr>
        <w:t>.</w:t>
      </w:r>
      <w:r w:rsidRPr="000F7276">
        <w:rPr>
          <w:rFonts w:cs="Arial"/>
          <w:sz w:val="24"/>
          <w:szCs w:val="24"/>
        </w:rPr>
        <w:t>”</w:t>
      </w:r>
      <w:r w:rsidRPr="000F7276">
        <w:rPr>
          <w:rStyle w:val="FootnoteReference"/>
          <w:rFonts w:cs="Arial"/>
          <w:sz w:val="24"/>
          <w:szCs w:val="24"/>
        </w:rPr>
        <w:footnoteReference w:id="54"/>
      </w:r>
    </w:p>
    <w:p w14:paraId="5898144A" w14:textId="77777777" w:rsidR="00A009E7" w:rsidRDefault="0077169C" w:rsidP="00A009E7">
      <w:pPr>
        <w:spacing w:after="240"/>
        <w:rPr>
          <w:sz w:val="24"/>
          <w:szCs w:val="24"/>
        </w:rPr>
      </w:pPr>
      <w:r w:rsidRPr="000F7276">
        <w:rPr>
          <w:b/>
          <w:sz w:val="24"/>
          <w:szCs w:val="24"/>
        </w:rPr>
        <w:t>AfDB</w:t>
      </w:r>
      <w:r w:rsidRPr="000F7276">
        <w:rPr>
          <w:sz w:val="24"/>
          <w:szCs w:val="24"/>
        </w:rPr>
        <w:t xml:space="preserve"> issued a “Negative List” in 2008 as part of its “Revised [Procurement] Policy on Expenditures Eligible for Bank Group Financing.</w:t>
      </w:r>
      <w:r w:rsidR="00AE3180" w:rsidRPr="000F7276">
        <w:rPr>
          <w:sz w:val="24"/>
          <w:szCs w:val="24"/>
        </w:rPr>
        <w:t>”</w:t>
      </w:r>
      <w:r w:rsidR="003F7392" w:rsidRPr="000F7276">
        <w:rPr>
          <w:sz w:val="24"/>
          <w:szCs w:val="24"/>
        </w:rPr>
        <w:t xml:space="preserve"> </w:t>
      </w:r>
      <w:r w:rsidRPr="000F7276">
        <w:rPr>
          <w:sz w:val="24"/>
          <w:szCs w:val="24"/>
        </w:rPr>
        <w:t xml:space="preserve">AfDB subsequently incorporated the Negative List into the ISS and supplemented it with additional </w:t>
      </w:r>
      <w:r w:rsidR="00015AA9" w:rsidRPr="000F7276">
        <w:rPr>
          <w:sz w:val="24"/>
          <w:szCs w:val="24"/>
        </w:rPr>
        <w:t xml:space="preserve">specified </w:t>
      </w:r>
      <w:r w:rsidRPr="000F7276">
        <w:rPr>
          <w:sz w:val="24"/>
          <w:szCs w:val="24"/>
        </w:rPr>
        <w:t>exclusions of “public and private investment in activities and products…</w:t>
      </w:r>
      <w:r w:rsidR="00904F75" w:rsidRPr="000F7276">
        <w:rPr>
          <w:sz w:val="24"/>
          <w:szCs w:val="24"/>
        </w:rPr>
        <w:t>.</w:t>
      </w:r>
      <w:r w:rsidRPr="000F7276">
        <w:rPr>
          <w:sz w:val="24"/>
          <w:szCs w:val="24"/>
        </w:rPr>
        <w:t xml:space="preserve"> that are harmful to the physical and social environment.”</w:t>
      </w:r>
      <w:r w:rsidRPr="000F7276">
        <w:rPr>
          <w:rStyle w:val="FootnoteReference"/>
          <w:sz w:val="24"/>
          <w:szCs w:val="24"/>
        </w:rPr>
        <w:footnoteReference w:id="55"/>
      </w:r>
      <w:r w:rsidRPr="000F7276">
        <w:rPr>
          <w:sz w:val="24"/>
          <w:szCs w:val="24"/>
        </w:rPr>
        <w:t xml:space="preserve"> </w:t>
      </w:r>
    </w:p>
    <w:p w14:paraId="24E6BAAA" w14:textId="27754300" w:rsidR="0077169C" w:rsidRPr="000F7276" w:rsidRDefault="0077169C" w:rsidP="00A009E7">
      <w:pPr>
        <w:rPr>
          <w:sz w:val="24"/>
          <w:szCs w:val="24"/>
        </w:rPr>
      </w:pPr>
      <w:r w:rsidRPr="000F7276">
        <w:rPr>
          <w:b/>
          <w:sz w:val="24"/>
          <w:szCs w:val="24"/>
        </w:rPr>
        <w:t>EIB’s</w:t>
      </w:r>
      <w:r w:rsidRPr="000F7276">
        <w:rPr>
          <w:sz w:val="24"/>
          <w:szCs w:val="24"/>
        </w:rPr>
        <w:t xml:space="preserve"> “List</w:t>
      </w:r>
      <w:r w:rsidR="00684C3A" w:rsidRPr="000F7276">
        <w:rPr>
          <w:sz w:val="24"/>
          <w:szCs w:val="24"/>
        </w:rPr>
        <w:t xml:space="preserve"> of Excluded Activities</w:t>
      </w:r>
      <w:r w:rsidRPr="000F7276">
        <w:rPr>
          <w:sz w:val="24"/>
          <w:szCs w:val="24"/>
        </w:rPr>
        <w:t xml:space="preserve">” </w:t>
      </w:r>
      <w:r w:rsidR="00684C3A" w:rsidRPr="000F7276">
        <w:rPr>
          <w:sz w:val="24"/>
          <w:szCs w:val="24"/>
        </w:rPr>
        <w:t xml:space="preserve">(List) </w:t>
      </w:r>
      <w:r w:rsidRPr="000F7276">
        <w:rPr>
          <w:sz w:val="24"/>
          <w:szCs w:val="24"/>
        </w:rPr>
        <w:t>issued on April 22, 2013</w:t>
      </w:r>
      <w:r w:rsidR="00904F75" w:rsidRPr="000F7276">
        <w:rPr>
          <w:sz w:val="24"/>
          <w:szCs w:val="24"/>
        </w:rPr>
        <w:t>,</w:t>
      </w:r>
      <w:r w:rsidRPr="000F7276">
        <w:rPr>
          <w:sz w:val="24"/>
          <w:szCs w:val="24"/>
        </w:rPr>
        <w:t xml:space="preserve"> refers to “activities excluded from EIB </w:t>
      </w:r>
      <w:r w:rsidR="00684C3A" w:rsidRPr="000F7276">
        <w:rPr>
          <w:sz w:val="24"/>
          <w:szCs w:val="24"/>
        </w:rPr>
        <w:t xml:space="preserve">[direct] </w:t>
      </w:r>
      <w:r w:rsidRPr="000F7276">
        <w:rPr>
          <w:sz w:val="24"/>
          <w:szCs w:val="24"/>
        </w:rPr>
        <w:t xml:space="preserve">lending” </w:t>
      </w:r>
      <w:r w:rsidR="00684C3A" w:rsidRPr="000F7276">
        <w:rPr>
          <w:sz w:val="24"/>
          <w:szCs w:val="24"/>
        </w:rPr>
        <w:t>as well as</w:t>
      </w:r>
      <w:r w:rsidR="003F7392" w:rsidRPr="000F7276">
        <w:rPr>
          <w:sz w:val="24"/>
          <w:szCs w:val="24"/>
        </w:rPr>
        <w:t xml:space="preserve"> </w:t>
      </w:r>
      <w:r w:rsidRPr="000F7276">
        <w:rPr>
          <w:sz w:val="24"/>
          <w:szCs w:val="24"/>
        </w:rPr>
        <w:t xml:space="preserve">to </w:t>
      </w:r>
      <w:r w:rsidR="00AE3180" w:rsidRPr="000F7276">
        <w:rPr>
          <w:sz w:val="24"/>
          <w:szCs w:val="24"/>
        </w:rPr>
        <w:t>“</w:t>
      </w:r>
      <w:r w:rsidRPr="000F7276">
        <w:rPr>
          <w:sz w:val="24"/>
          <w:szCs w:val="24"/>
        </w:rPr>
        <w:t>intermediated operations (including through funds)</w:t>
      </w:r>
      <w:r w:rsidR="00684C3A" w:rsidRPr="000F7276">
        <w:rPr>
          <w:sz w:val="24"/>
          <w:szCs w:val="24"/>
        </w:rPr>
        <w:t>.</w:t>
      </w:r>
      <w:r w:rsidRPr="000F7276">
        <w:rPr>
          <w:sz w:val="24"/>
          <w:szCs w:val="24"/>
        </w:rPr>
        <w:t>”</w:t>
      </w:r>
      <w:r w:rsidR="003F7392" w:rsidRPr="000F7276">
        <w:rPr>
          <w:sz w:val="24"/>
          <w:szCs w:val="24"/>
        </w:rPr>
        <w:t xml:space="preserve"> </w:t>
      </w:r>
      <w:r w:rsidR="00684C3A" w:rsidRPr="000F7276">
        <w:rPr>
          <w:sz w:val="24"/>
          <w:szCs w:val="24"/>
        </w:rPr>
        <w:t xml:space="preserve">In addition, EIB’s List states that additional exclusions apply subject to </w:t>
      </w:r>
      <w:r w:rsidR="00D10A9A" w:rsidRPr="000F7276">
        <w:rPr>
          <w:sz w:val="24"/>
          <w:szCs w:val="24"/>
        </w:rPr>
        <w:t>“</w:t>
      </w:r>
      <w:r w:rsidR="00684C3A" w:rsidRPr="000F7276">
        <w:rPr>
          <w:sz w:val="24"/>
          <w:szCs w:val="24"/>
        </w:rPr>
        <w:t>EU Parliament and Council decisions as well as various EU partnership agreements” as well as “</w:t>
      </w:r>
      <w:r w:rsidRPr="000F7276">
        <w:rPr>
          <w:sz w:val="24"/>
          <w:szCs w:val="24"/>
        </w:rPr>
        <w:t>on the basis of [agreed] side letters.”</w:t>
      </w:r>
      <w:r w:rsidRPr="000F7276">
        <w:rPr>
          <w:rStyle w:val="FootnoteReference"/>
          <w:sz w:val="24"/>
          <w:szCs w:val="24"/>
        </w:rPr>
        <w:footnoteReference w:id="56"/>
      </w:r>
      <w:r w:rsidR="003F7392" w:rsidRPr="000F7276">
        <w:rPr>
          <w:sz w:val="24"/>
          <w:szCs w:val="24"/>
        </w:rPr>
        <w:t xml:space="preserve"> </w:t>
      </w:r>
    </w:p>
    <w:p w14:paraId="4293E11A" w14:textId="77777777" w:rsidR="0077169C" w:rsidRPr="000F7276" w:rsidRDefault="0077169C" w:rsidP="00A009E7">
      <w:pPr>
        <w:rPr>
          <w:sz w:val="24"/>
          <w:szCs w:val="24"/>
        </w:rPr>
      </w:pPr>
      <w:r w:rsidRPr="000F7276">
        <w:rPr>
          <w:sz w:val="24"/>
          <w:szCs w:val="24"/>
        </w:rPr>
        <w:t xml:space="preserve"> </w:t>
      </w:r>
    </w:p>
    <w:p w14:paraId="45FF0857" w14:textId="592A50C0" w:rsidR="00A009E7" w:rsidRDefault="0077169C" w:rsidP="00A009E7">
      <w:pPr>
        <w:pStyle w:val="Default"/>
        <w:spacing w:after="240"/>
        <w:rPr>
          <w:rFonts w:asciiTheme="minorHAnsi" w:hAnsiTheme="minorHAnsi"/>
        </w:rPr>
      </w:pPr>
      <w:r w:rsidRPr="000F7276">
        <w:rPr>
          <w:rFonts w:asciiTheme="minorHAnsi" w:hAnsiTheme="minorHAnsi"/>
          <w:b/>
        </w:rPr>
        <w:t>EBRD’s</w:t>
      </w:r>
      <w:r w:rsidRPr="000F7276">
        <w:rPr>
          <w:rFonts w:asciiTheme="minorHAnsi" w:hAnsiTheme="minorHAnsi"/>
        </w:rPr>
        <w:t xml:space="preserve"> “Environmental and Social Exclusion List</w:t>
      </w:r>
      <w:r w:rsidR="00331009">
        <w:rPr>
          <w:rFonts w:asciiTheme="minorHAnsi" w:hAnsiTheme="minorHAnsi"/>
        </w:rPr>
        <w:t xml:space="preserve">,” </w:t>
      </w:r>
      <w:r w:rsidRPr="000F7276">
        <w:rPr>
          <w:rFonts w:asciiTheme="minorHAnsi" w:hAnsiTheme="minorHAnsi"/>
        </w:rPr>
        <w:t>A</w:t>
      </w:r>
      <w:r w:rsidR="004868B5" w:rsidRPr="000F7276">
        <w:rPr>
          <w:rFonts w:asciiTheme="minorHAnsi" w:hAnsiTheme="minorHAnsi"/>
        </w:rPr>
        <w:t xml:space="preserve">ppendix I of the </w:t>
      </w:r>
      <w:r w:rsidR="00331009">
        <w:rPr>
          <w:rFonts w:asciiTheme="minorHAnsi" w:hAnsiTheme="minorHAnsi"/>
        </w:rPr>
        <w:t>Environmental and Social Policy (</w:t>
      </w:r>
      <w:r w:rsidR="004868B5" w:rsidRPr="000F7276">
        <w:rPr>
          <w:rFonts w:asciiTheme="minorHAnsi" w:hAnsiTheme="minorHAnsi"/>
        </w:rPr>
        <w:t>ESP</w:t>
      </w:r>
      <w:r w:rsidRPr="000F7276">
        <w:rPr>
          <w:rFonts w:asciiTheme="minorHAnsi" w:hAnsiTheme="minorHAnsi"/>
        </w:rPr>
        <w:t>)</w:t>
      </w:r>
      <w:r w:rsidR="00331009">
        <w:rPr>
          <w:rFonts w:asciiTheme="minorHAnsi" w:hAnsiTheme="minorHAnsi"/>
        </w:rPr>
        <w:t>,</w:t>
      </w:r>
      <w:r w:rsidRPr="000F7276">
        <w:rPr>
          <w:rFonts w:asciiTheme="minorHAnsi" w:hAnsiTheme="minorHAnsi"/>
        </w:rPr>
        <w:t xml:space="preserve"> states that “EBRD will not knowingly finance, </w:t>
      </w:r>
      <w:r w:rsidR="00835603" w:rsidRPr="000F7276">
        <w:rPr>
          <w:rFonts w:asciiTheme="minorHAnsi" w:hAnsiTheme="minorHAnsi"/>
        </w:rPr>
        <w:t>directly</w:t>
      </w:r>
      <w:r w:rsidRPr="000F7276">
        <w:rPr>
          <w:rFonts w:asciiTheme="minorHAnsi" w:hAnsiTheme="minorHAnsi"/>
          <w:i/>
        </w:rPr>
        <w:t xml:space="preserve"> </w:t>
      </w:r>
      <w:r w:rsidRPr="000F7276">
        <w:rPr>
          <w:rFonts w:asciiTheme="minorHAnsi" w:hAnsiTheme="minorHAnsi"/>
        </w:rPr>
        <w:t>or indirectly, projects involving the following…</w:t>
      </w:r>
      <w:r w:rsidR="00112EBB" w:rsidRPr="000F7276">
        <w:rPr>
          <w:rFonts w:asciiTheme="minorHAnsi" w:hAnsiTheme="minorHAnsi"/>
        </w:rPr>
        <w:t>.</w:t>
      </w:r>
      <w:r w:rsidRPr="000F7276">
        <w:rPr>
          <w:rFonts w:asciiTheme="minorHAnsi" w:hAnsiTheme="minorHAnsi"/>
        </w:rPr>
        <w:t>”</w:t>
      </w:r>
      <w:r w:rsidR="003F7392" w:rsidRPr="000F7276">
        <w:rPr>
          <w:rFonts w:asciiTheme="minorHAnsi" w:hAnsiTheme="minorHAnsi"/>
        </w:rPr>
        <w:t xml:space="preserve"> </w:t>
      </w:r>
      <w:r w:rsidR="00D917D4" w:rsidRPr="000F7276">
        <w:rPr>
          <w:rFonts w:asciiTheme="minorHAnsi" w:hAnsiTheme="minorHAnsi"/>
        </w:rPr>
        <w:t>In addition, EBRD has published on its website a list of other types of projects it does not finance, such as defense sector, tobacco, etc., although these are not</w:t>
      </w:r>
      <w:r w:rsidR="00E6570D" w:rsidRPr="000F7276">
        <w:rPr>
          <w:rFonts w:asciiTheme="minorHAnsi" w:hAnsiTheme="minorHAnsi"/>
        </w:rPr>
        <w:t xml:space="preserve"> cited </w:t>
      </w:r>
      <w:r w:rsidR="00D917D4" w:rsidRPr="000F7276">
        <w:rPr>
          <w:rFonts w:asciiTheme="minorHAnsi" w:hAnsiTheme="minorHAnsi"/>
        </w:rPr>
        <w:t>in the Exclusion List</w:t>
      </w:r>
      <w:r w:rsidR="00E6570D" w:rsidRPr="000F7276">
        <w:rPr>
          <w:rFonts w:asciiTheme="minorHAnsi" w:hAnsiTheme="minorHAnsi"/>
        </w:rPr>
        <w:t xml:space="preserve"> accompanying the ESP.</w:t>
      </w:r>
      <w:r w:rsidR="00D10A9A" w:rsidRPr="000F7276">
        <w:rPr>
          <w:rStyle w:val="FootnoteReference"/>
          <w:rFonts w:asciiTheme="minorHAnsi" w:hAnsiTheme="minorHAnsi"/>
        </w:rPr>
        <w:footnoteReference w:id="57"/>
      </w:r>
    </w:p>
    <w:p w14:paraId="013A27A4" w14:textId="2E9AEF42" w:rsidR="00A009E7" w:rsidRDefault="0077169C" w:rsidP="00A009E7">
      <w:pPr>
        <w:spacing w:after="240"/>
        <w:rPr>
          <w:rFonts w:cs="TimesNewRoman"/>
          <w:sz w:val="24"/>
          <w:szCs w:val="24"/>
        </w:rPr>
      </w:pPr>
      <w:r w:rsidRPr="000F7276">
        <w:rPr>
          <w:b/>
          <w:sz w:val="24"/>
          <w:szCs w:val="24"/>
        </w:rPr>
        <w:t>IDB</w:t>
      </w:r>
      <w:r w:rsidR="00655041">
        <w:rPr>
          <w:b/>
          <w:sz w:val="24"/>
          <w:szCs w:val="24"/>
        </w:rPr>
        <w:t>’s</w:t>
      </w:r>
      <w:r w:rsidRPr="000F7276">
        <w:rPr>
          <w:sz w:val="24"/>
          <w:szCs w:val="24"/>
        </w:rPr>
        <w:t xml:space="preserve"> “Exclusion List” applies to four separate categories of projects or operation</w:t>
      </w:r>
      <w:r w:rsidR="00904F75" w:rsidRPr="000F7276">
        <w:rPr>
          <w:sz w:val="24"/>
          <w:szCs w:val="24"/>
        </w:rPr>
        <w:t>s, but does not appear to apply to direct lending to public sector borrowers</w:t>
      </w:r>
      <w:r w:rsidR="00585507" w:rsidRPr="000F7276">
        <w:rPr>
          <w:sz w:val="24"/>
          <w:szCs w:val="24"/>
        </w:rPr>
        <w:t>:</w:t>
      </w:r>
      <w:r w:rsidR="00904F75" w:rsidRPr="000F7276">
        <w:rPr>
          <w:sz w:val="24"/>
          <w:szCs w:val="24"/>
        </w:rPr>
        <w:t xml:space="preserve"> (1)</w:t>
      </w:r>
      <w:r w:rsidRPr="000F7276">
        <w:rPr>
          <w:sz w:val="24"/>
          <w:szCs w:val="24"/>
        </w:rPr>
        <w:t xml:space="preserve"> non-sovereign guaranteed</w:t>
      </w:r>
      <w:r w:rsidR="003F7392" w:rsidRPr="000F7276">
        <w:rPr>
          <w:sz w:val="24"/>
          <w:szCs w:val="24"/>
        </w:rPr>
        <w:t xml:space="preserve"> </w:t>
      </w:r>
      <w:r w:rsidR="00904F75" w:rsidRPr="000F7276">
        <w:rPr>
          <w:sz w:val="24"/>
          <w:szCs w:val="24"/>
        </w:rPr>
        <w:t>loans</w:t>
      </w:r>
      <w:r w:rsidR="00AE3180" w:rsidRPr="000F7276">
        <w:rPr>
          <w:sz w:val="24"/>
          <w:szCs w:val="24"/>
        </w:rPr>
        <w:t>;</w:t>
      </w:r>
      <w:r w:rsidR="00E54C5C" w:rsidRPr="000F7276">
        <w:rPr>
          <w:rStyle w:val="FootnoteReference"/>
          <w:sz w:val="24"/>
          <w:szCs w:val="24"/>
        </w:rPr>
        <w:footnoteReference w:id="58"/>
      </w:r>
      <w:r w:rsidR="00904F75" w:rsidRPr="000F7276">
        <w:rPr>
          <w:sz w:val="24"/>
          <w:szCs w:val="24"/>
        </w:rPr>
        <w:t xml:space="preserve"> (2) </w:t>
      </w:r>
      <w:r w:rsidRPr="000F7276">
        <w:rPr>
          <w:sz w:val="24"/>
          <w:szCs w:val="24"/>
        </w:rPr>
        <w:t>trade finance operations</w:t>
      </w:r>
      <w:r w:rsidR="00585507" w:rsidRPr="000F7276">
        <w:rPr>
          <w:sz w:val="24"/>
          <w:szCs w:val="24"/>
        </w:rPr>
        <w:t>;</w:t>
      </w:r>
      <w:r w:rsidRPr="000F7276">
        <w:rPr>
          <w:sz w:val="24"/>
          <w:szCs w:val="24"/>
        </w:rPr>
        <w:t xml:space="preserve"> </w:t>
      </w:r>
      <w:r w:rsidR="00904F75" w:rsidRPr="000F7276">
        <w:rPr>
          <w:sz w:val="24"/>
          <w:szCs w:val="24"/>
        </w:rPr>
        <w:t>(3)</w:t>
      </w:r>
      <w:r w:rsidR="003F7392" w:rsidRPr="000F7276">
        <w:rPr>
          <w:sz w:val="24"/>
          <w:szCs w:val="24"/>
        </w:rPr>
        <w:t xml:space="preserve"> </w:t>
      </w:r>
      <w:r w:rsidRPr="000F7276">
        <w:rPr>
          <w:sz w:val="24"/>
          <w:szCs w:val="24"/>
        </w:rPr>
        <w:t>projects financed by the Inter-American Investment Corporation (IIC)</w:t>
      </w:r>
      <w:r w:rsidR="00904F75" w:rsidRPr="000F7276">
        <w:rPr>
          <w:sz w:val="24"/>
          <w:szCs w:val="24"/>
        </w:rPr>
        <w:t>:</w:t>
      </w:r>
      <w:r w:rsidRPr="000F7276">
        <w:rPr>
          <w:sz w:val="24"/>
          <w:szCs w:val="24"/>
        </w:rPr>
        <w:t xml:space="preserve"> and </w:t>
      </w:r>
      <w:r w:rsidR="00904F75" w:rsidRPr="000F7276">
        <w:rPr>
          <w:sz w:val="24"/>
          <w:szCs w:val="24"/>
        </w:rPr>
        <w:t xml:space="preserve">(4) projects financed by the </w:t>
      </w:r>
      <w:r w:rsidRPr="000F7276">
        <w:rPr>
          <w:sz w:val="24"/>
          <w:szCs w:val="24"/>
        </w:rPr>
        <w:t>Multilateral Investment Fund.</w:t>
      </w:r>
      <w:r w:rsidR="003F7392" w:rsidRPr="000F7276">
        <w:rPr>
          <w:sz w:val="24"/>
          <w:szCs w:val="24"/>
        </w:rPr>
        <w:t xml:space="preserve"> </w:t>
      </w:r>
      <w:r w:rsidRPr="000F7276">
        <w:rPr>
          <w:sz w:val="24"/>
          <w:szCs w:val="24"/>
        </w:rPr>
        <w:t xml:space="preserve">In addition IDB </w:t>
      </w:r>
      <w:r w:rsidR="00E54C5C" w:rsidRPr="000F7276">
        <w:rPr>
          <w:sz w:val="24"/>
          <w:szCs w:val="24"/>
        </w:rPr>
        <w:t xml:space="preserve">policy </w:t>
      </w:r>
      <w:r w:rsidRPr="000F7276">
        <w:rPr>
          <w:sz w:val="24"/>
          <w:szCs w:val="24"/>
        </w:rPr>
        <w:t xml:space="preserve">states that </w:t>
      </w:r>
      <w:r w:rsidR="00E54C5C" w:rsidRPr="000F7276">
        <w:rPr>
          <w:sz w:val="24"/>
          <w:szCs w:val="24"/>
        </w:rPr>
        <w:t>Bank procurement procedures will include a Bank-approved exclusion list of environmentally harmful products.</w:t>
      </w:r>
      <w:r w:rsidR="00E54C5C" w:rsidRPr="000F7276">
        <w:rPr>
          <w:rStyle w:val="FootnoteReference"/>
          <w:sz w:val="24"/>
          <w:szCs w:val="24"/>
        </w:rPr>
        <w:footnoteReference w:id="59"/>
      </w:r>
      <w:r w:rsidR="003F7392" w:rsidRPr="000F7276">
        <w:rPr>
          <w:sz w:val="24"/>
          <w:szCs w:val="24"/>
        </w:rPr>
        <w:t xml:space="preserve"> </w:t>
      </w:r>
      <w:r w:rsidRPr="000F7276">
        <w:rPr>
          <w:sz w:val="24"/>
          <w:szCs w:val="24"/>
        </w:rPr>
        <w:t>“Category C projects financed directly by IDB may require …</w:t>
      </w:r>
      <w:r w:rsidRPr="000F7276">
        <w:rPr>
          <w:rFonts w:cs="TimesNewRoman"/>
          <w:sz w:val="24"/>
          <w:szCs w:val="24"/>
        </w:rPr>
        <w:t xml:space="preserve"> compliance with exclusion lists.”</w:t>
      </w:r>
      <w:r w:rsidRPr="000F7276">
        <w:rPr>
          <w:rStyle w:val="FootnoteReference"/>
          <w:rFonts w:cs="TimesNewRoman"/>
          <w:sz w:val="24"/>
          <w:szCs w:val="24"/>
        </w:rPr>
        <w:footnoteReference w:id="60"/>
      </w:r>
      <w:r w:rsidRPr="000F7276">
        <w:rPr>
          <w:rFonts w:cs="TimesNewRoman"/>
          <w:sz w:val="24"/>
          <w:szCs w:val="24"/>
        </w:rPr>
        <w:t xml:space="preserve"> </w:t>
      </w:r>
    </w:p>
    <w:p w14:paraId="002F8266" w14:textId="77777777" w:rsidR="00A009E7" w:rsidRDefault="00120C95" w:rsidP="00A009E7">
      <w:pPr>
        <w:pStyle w:val="FootnoteText"/>
        <w:spacing w:after="240"/>
        <w:rPr>
          <w:rFonts w:cs="TimesNewRoman"/>
          <w:sz w:val="24"/>
          <w:szCs w:val="24"/>
        </w:rPr>
      </w:pPr>
      <w:r w:rsidRPr="000F7276">
        <w:rPr>
          <w:b/>
          <w:sz w:val="24"/>
          <w:szCs w:val="24"/>
        </w:rPr>
        <w:t xml:space="preserve">IFC’s </w:t>
      </w:r>
      <w:r w:rsidRPr="000F7276">
        <w:rPr>
          <w:sz w:val="24"/>
          <w:szCs w:val="24"/>
        </w:rPr>
        <w:t>Policy</w:t>
      </w:r>
      <w:r w:rsidR="0077169C" w:rsidRPr="000F7276">
        <w:rPr>
          <w:sz w:val="24"/>
          <w:szCs w:val="24"/>
        </w:rPr>
        <w:t xml:space="preserve"> on Environmental and Social Sustainability states that </w:t>
      </w:r>
      <w:r w:rsidR="00064E83" w:rsidRPr="000F7276">
        <w:rPr>
          <w:sz w:val="24"/>
          <w:szCs w:val="24"/>
        </w:rPr>
        <w:t>“[t</w:t>
      </w:r>
      <w:r w:rsidR="00585507" w:rsidRPr="000F7276">
        <w:rPr>
          <w:sz w:val="24"/>
          <w:szCs w:val="24"/>
        </w:rPr>
        <w:t>]</w:t>
      </w:r>
      <w:r w:rsidR="00064E83" w:rsidRPr="000F7276">
        <w:rPr>
          <w:sz w:val="24"/>
          <w:szCs w:val="24"/>
        </w:rPr>
        <w:t>here</w:t>
      </w:r>
      <w:r w:rsidR="0077169C" w:rsidRPr="000F7276">
        <w:rPr>
          <w:sz w:val="24"/>
          <w:szCs w:val="24"/>
        </w:rPr>
        <w:t xml:space="preserve"> are several types of activities that IFC does not support, either through its investments or advisory services.</w:t>
      </w:r>
      <w:r w:rsidR="003F7392" w:rsidRPr="000F7276">
        <w:rPr>
          <w:sz w:val="24"/>
          <w:szCs w:val="24"/>
        </w:rPr>
        <w:t xml:space="preserve"> </w:t>
      </w:r>
      <w:r w:rsidR="0077169C" w:rsidRPr="000F7276">
        <w:rPr>
          <w:sz w:val="24"/>
          <w:szCs w:val="24"/>
        </w:rPr>
        <w:t>These activities are set out in the IFC Exclusion List.”</w:t>
      </w:r>
      <w:r w:rsidR="0077169C" w:rsidRPr="000F7276">
        <w:rPr>
          <w:rStyle w:val="FootnoteReference"/>
          <w:sz w:val="24"/>
          <w:szCs w:val="24"/>
        </w:rPr>
        <w:footnoteReference w:id="61"/>
      </w:r>
      <w:r w:rsidR="0077169C" w:rsidRPr="000F7276">
        <w:rPr>
          <w:sz w:val="24"/>
          <w:szCs w:val="24"/>
        </w:rPr>
        <w:t xml:space="preserve"> The IFC “Exclusion List” applies to all IFC financing</w:t>
      </w:r>
      <w:r w:rsidR="00C815D3" w:rsidRPr="000F7276">
        <w:rPr>
          <w:sz w:val="24"/>
          <w:szCs w:val="24"/>
        </w:rPr>
        <w:t xml:space="preserve"> </w:t>
      </w:r>
      <w:r w:rsidR="0077169C" w:rsidRPr="000F7276">
        <w:rPr>
          <w:sz w:val="24"/>
          <w:szCs w:val="24"/>
        </w:rPr>
        <w:t>with di</w:t>
      </w:r>
      <w:r w:rsidR="00EF7AE5" w:rsidRPr="000F7276">
        <w:rPr>
          <w:sz w:val="24"/>
          <w:szCs w:val="24"/>
        </w:rPr>
        <w:t>verse</w:t>
      </w:r>
      <w:r w:rsidR="0077169C" w:rsidRPr="000F7276">
        <w:rPr>
          <w:sz w:val="24"/>
          <w:szCs w:val="24"/>
        </w:rPr>
        <w:t xml:space="preserve"> supplemental exclusions applicable</w:t>
      </w:r>
      <w:r w:rsidR="003F7392" w:rsidRPr="000F7276">
        <w:rPr>
          <w:sz w:val="24"/>
          <w:szCs w:val="24"/>
        </w:rPr>
        <w:t xml:space="preserve"> </w:t>
      </w:r>
      <w:r w:rsidR="0077169C" w:rsidRPr="000F7276">
        <w:rPr>
          <w:sz w:val="24"/>
          <w:szCs w:val="24"/>
        </w:rPr>
        <w:t>to the following three categories of indirect lending: (i) all financial intermediaries; (ii) microfinance activities; and (iii) trade finance projects.</w:t>
      </w:r>
    </w:p>
    <w:p w14:paraId="522D1ED1" w14:textId="77777777" w:rsidR="00A009E7" w:rsidRDefault="0077169C" w:rsidP="00A009E7">
      <w:pPr>
        <w:spacing w:after="240"/>
        <w:rPr>
          <w:rFonts w:cs="TimesNewRoman"/>
          <w:sz w:val="24"/>
          <w:szCs w:val="24"/>
        </w:rPr>
      </w:pPr>
      <w:r w:rsidRPr="000F7276">
        <w:rPr>
          <w:rFonts w:cs="TimesNewRoman"/>
          <w:sz w:val="24"/>
          <w:szCs w:val="24"/>
        </w:rPr>
        <w:t xml:space="preserve">Annex </w:t>
      </w:r>
      <w:r w:rsidR="00FE0895" w:rsidRPr="000F7276">
        <w:rPr>
          <w:rFonts w:cs="TimesNewRoman"/>
          <w:sz w:val="24"/>
          <w:szCs w:val="24"/>
        </w:rPr>
        <w:t>3</w:t>
      </w:r>
      <w:r w:rsidRPr="000F7276">
        <w:rPr>
          <w:rFonts w:cs="TimesNewRoman"/>
          <w:sz w:val="24"/>
          <w:szCs w:val="24"/>
        </w:rPr>
        <w:t xml:space="preserve"> of this report contains a Table comparing the exclusion lists of all </w:t>
      </w:r>
      <w:r w:rsidR="002F70BF" w:rsidRPr="000F7276">
        <w:rPr>
          <w:rFonts w:cs="TimesNewRoman"/>
          <w:sz w:val="24"/>
          <w:szCs w:val="24"/>
        </w:rPr>
        <w:t xml:space="preserve">six </w:t>
      </w:r>
      <w:r w:rsidRPr="000F7276">
        <w:rPr>
          <w:rFonts w:cs="TimesNewRoman"/>
          <w:sz w:val="24"/>
          <w:szCs w:val="24"/>
        </w:rPr>
        <w:t>MDBs</w:t>
      </w:r>
      <w:r w:rsidR="00904F75" w:rsidRPr="000F7276">
        <w:rPr>
          <w:rFonts w:cs="TimesNewRoman"/>
          <w:sz w:val="24"/>
          <w:szCs w:val="24"/>
        </w:rPr>
        <w:t>,</w:t>
      </w:r>
      <w:r w:rsidRPr="000F7276">
        <w:rPr>
          <w:rFonts w:cs="TimesNewRoman"/>
          <w:sz w:val="24"/>
          <w:szCs w:val="24"/>
        </w:rPr>
        <w:t xml:space="preserve"> indicating the category of investment vehicles to which they apply.</w:t>
      </w:r>
    </w:p>
    <w:p w14:paraId="3F107F0A" w14:textId="77777777" w:rsidR="00A009E7" w:rsidRDefault="0077169C" w:rsidP="00A009E7">
      <w:pPr>
        <w:keepNext/>
        <w:keepLines/>
        <w:spacing w:after="240"/>
        <w:rPr>
          <w:rFonts w:cs="TimesNewRoman"/>
          <w:b/>
          <w:sz w:val="24"/>
          <w:szCs w:val="24"/>
        </w:rPr>
      </w:pPr>
      <w:r w:rsidRPr="001375F3">
        <w:rPr>
          <w:rFonts w:cs="TimesNewRoman"/>
          <w:b/>
          <w:sz w:val="24"/>
          <w:szCs w:val="24"/>
        </w:rPr>
        <w:t>Thematic Analysis</w:t>
      </w:r>
    </w:p>
    <w:p w14:paraId="02FFE29C" w14:textId="77777777" w:rsidR="00A009E7" w:rsidRDefault="0077169C" w:rsidP="00A009E7">
      <w:pPr>
        <w:spacing w:after="240"/>
        <w:rPr>
          <w:rFonts w:cs="TimesNewRoman"/>
          <w:sz w:val="24"/>
          <w:szCs w:val="24"/>
        </w:rPr>
      </w:pPr>
      <w:r w:rsidRPr="000F7276">
        <w:rPr>
          <w:rFonts w:cs="TimesNewRoman"/>
          <w:sz w:val="24"/>
          <w:szCs w:val="24"/>
        </w:rPr>
        <w:t>Aside from a few references to generic exclusions based on general inconsistency with safeguard policies</w:t>
      </w:r>
      <w:r w:rsidR="00F63478" w:rsidRPr="000F7276">
        <w:rPr>
          <w:rFonts w:cs="TimesNewRoman"/>
          <w:sz w:val="24"/>
          <w:szCs w:val="24"/>
        </w:rPr>
        <w:t>,</w:t>
      </w:r>
      <w:r w:rsidRPr="000F7276">
        <w:rPr>
          <w:rFonts w:cs="TimesNewRoman"/>
          <w:sz w:val="24"/>
          <w:szCs w:val="24"/>
        </w:rPr>
        <w:t xml:space="preserve"> the targets of MDB categorical exclusion policies may be grouped into the following four categories:</w:t>
      </w:r>
      <w:r w:rsidR="003F7392" w:rsidRPr="000F7276">
        <w:rPr>
          <w:rFonts w:cs="TimesNewRoman"/>
          <w:sz w:val="24"/>
          <w:szCs w:val="24"/>
        </w:rPr>
        <w:t xml:space="preserve"> </w:t>
      </w:r>
      <w:r w:rsidRPr="000F7276">
        <w:rPr>
          <w:rFonts w:cs="TimesNewRoman"/>
          <w:sz w:val="24"/>
          <w:szCs w:val="24"/>
        </w:rPr>
        <w:t>(1) Biodiversity;</w:t>
      </w:r>
      <w:r w:rsidR="003F7392" w:rsidRPr="000F7276">
        <w:rPr>
          <w:rFonts w:cs="TimesNewRoman"/>
          <w:sz w:val="24"/>
          <w:szCs w:val="24"/>
        </w:rPr>
        <w:t xml:space="preserve"> </w:t>
      </w:r>
      <w:r w:rsidRPr="000F7276">
        <w:rPr>
          <w:rFonts w:cs="TimesNewRoman"/>
          <w:sz w:val="24"/>
          <w:szCs w:val="24"/>
        </w:rPr>
        <w:t>(2) Social Impact and Risk; (</w:t>
      </w:r>
      <w:r w:rsidR="00904F75" w:rsidRPr="000F7276">
        <w:rPr>
          <w:rFonts w:cs="TimesNewRoman"/>
          <w:sz w:val="24"/>
          <w:szCs w:val="24"/>
        </w:rPr>
        <w:t xml:space="preserve"> </w:t>
      </w:r>
      <w:r w:rsidRPr="000F7276">
        <w:rPr>
          <w:rFonts w:cs="TimesNewRoman"/>
          <w:sz w:val="24"/>
          <w:szCs w:val="24"/>
        </w:rPr>
        <w:t xml:space="preserve">3) Products; and (4) Commerce. The exclusions are listed in </w:t>
      </w:r>
      <w:r w:rsidR="00CD06A0" w:rsidRPr="000F7276">
        <w:rPr>
          <w:rFonts w:cs="TimesNewRoman"/>
          <w:sz w:val="24"/>
          <w:szCs w:val="24"/>
        </w:rPr>
        <w:t xml:space="preserve">the </w:t>
      </w:r>
      <w:r w:rsidRPr="000F7276">
        <w:rPr>
          <w:rFonts w:cs="TimesNewRoman"/>
          <w:sz w:val="24"/>
          <w:szCs w:val="24"/>
        </w:rPr>
        <w:t xml:space="preserve">order in which they are most widely </w:t>
      </w:r>
      <w:r w:rsidR="00F63478" w:rsidRPr="000F7276">
        <w:rPr>
          <w:rFonts w:cs="TimesNewRoman"/>
          <w:sz w:val="24"/>
          <w:szCs w:val="24"/>
        </w:rPr>
        <w:t>adopted</w:t>
      </w:r>
      <w:r w:rsidRPr="000F7276">
        <w:rPr>
          <w:rFonts w:cs="TimesNewRoman"/>
          <w:sz w:val="24"/>
          <w:szCs w:val="24"/>
        </w:rPr>
        <w:t>,</w:t>
      </w:r>
      <w:r w:rsidRPr="000F7276">
        <w:rPr>
          <w:rStyle w:val="FootnoteReference"/>
          <w:rFonts w:cs="TimesNewRoman"/>
          <w:sz w:val="24"/>
          <w:szCs w:val="24"/>
        </w:rPr>
        <w:footnoteReference w:id="62"/>
      </w:r>
      <w:r w:rsidRPr="000F7276">
        <w:rPr>
          <w:rFonts w:cs="TimesNewRoman"/>
          <w:sz w:val="24"/>
          <w:szCs w:val="24"/>
        </w:rPr>
        <w:t xml:space="preserve"> with variations regarding application to diverse direct and indirect lending instruments.</w:t>
      </w:r>
    </w:p>
    <w:p w14:paraId="31CEDD2D" w14:textId="77777777" w:rsidR="00A009E7" w:rsidRDefault="0077169C" w:rsidP="00A009E7">
      <w:pPr>
        <w:pStyle w:val="ListParagraph"/>
        <w:numPr>
          <w:ilvl w:val="0"/>
          <w:numId w:val="18"/>
        </w:numPr>
        <w:spacing w:after="240"/>
        <w:contextualSpacing w:val="0"/>
        <w:rPr>
          <w:rFonts w:cs="TimesNewRoman"/>
          <w:i/>
          <w:sz w:val="24"/>
          <w:szCs w:val="24"/>
        </w:rPr>
      </w:pPr>
      <w:r w:rsidRPr="001375F3">
        <w:rPr>
          <w:rFonts w:cs="TimesNewRoman"/>
          <w:i/>
          <w:sz w:val="24"/>
          <w:szCs w:val="24"/>
        </w:rPr>
        <w:t>Biodiversity Exclusions</w:t>
      </w:r>
    </w:p>
    <w:p w14:paraId="2B6FFDF1" w14:textId="2DA51978" w:rsidR="00C321F1" w:rsidRPr="000F7276" w:rsidRDefault="0077169C" w:rsidP="00A009E7">
      <w:pPr>
        <w:pStyle w:val="ListParagraph"/>
        <w:numPr>
          <w:ilvl w:val="0"/>
          <w:numId w:val="17"/>
        </w:numPr>
        <w:tabs>
          <w:tab w:val="left" w:pos="990"/>
        </w:tabs>
        <w:ind w:left="990" w:hanging="270"/>
        <w:rPr>
          <w:sz w:val="24"/>
          <w:szCs w:val="24"/>
        </w:rPr>
      </w:pPr>
      <w:r w:rsidRPr="000F7276">
        <w:rPr>
          <w:sz w:val="24"/>
          <w:szCs w:val="24"/>
        </w:rPr>
        <w:t>Commercial logging operations or the purchase of logging equipment for use in primary tropical moist forests or old-growth forests (ADB, AfDB, IDB, IFC);</w:t>
      </w:r>
    </w:p>
    <w:p w14:paraId="026DD382" w14:textId="70AE60E1" w:rsidR="00C321F1" w:rsidRPr="000F7276" w:rsidRDefault="0077169C" w:rsidP="00A009E7">
      <w:pPr>
        <w:pStyle w:val="ListParagraph"/>
        <w:numPr>
          <w:ilvl w:val="0"/>
          <w:numId w:val="17"/>
        </w:numPr>
        <w:tabs>
          <w:tab w:val="left" w:pos="990"/>
        </w:tabs>
        <w:ind w:left="990" w:hanging="270"/>
        <w:rPr>
          <w:sz w:val="24"/>
          <w:szCs w:val="24"/>
        </w:rPr>
      </w:pPr>
      <w:r w:rsidRPr="000F7276">
        <w:rPr>
          <w:sz w:val="24"/>
          <w:szCs w:val="24"/>
        </w:rPr>
        <w:t xml:space="preserve">Driftnet fishing in the marine environment using nets of </w:t>
      </w:r>
      <w:r w:rsidR="008C42D1" w:rsidRPr="000F7276">
        <w:rPr>
          <w:sz w:val="24"/>
          <w:szCs w:val="24"/>
        </w:rPr>
        <w:t>2.5 km</w:t>
      </w:r>
      <w:r w:rsidR="009E1489" w:rsidRPr="000F7276">
        <w:rPr>
          <w:sz w:val="24"/>
          <w:szCs w:val="24"/>
        </w:rPr>
        <w:t xml:space="preserve"> or more </w:t>
      </w:r>
      <w:r w:rsidR="008C42D1" w:rsidRPr="000F7276">
        <w:rPr>
          <w:sz w:val="24"/>
          <w:szCs w:val="24"/>
        </w:rPr>
        <w:t>in length</w:t>
      </w:r>
      <w:r w:rsidR="005E314A" w:rsidRPr="000F7276">
        <w:rPr>
          <w:rStyle w:val="FootnoteReference"/>
          <w:sz w:val="24"/>
          <w:szCs w:val="24"/>
        </w:rPr>
        <w:footnoteReference w:id="63"/>
      </w:r>
      <w:r w:rsidR="008C42D1" w:rsidRPr="000F7276">
        <w:rPr>
          <w:sz w:val="24"/>
          <w:szCs w:val="24"/>
        </w:rPr>
        <w:t xml:space="preserve"> (ADB,</w:t>
      </w:r>
      <w:r w:rsidR="008C42D1" w:rsidRPr="000F7276">
        <w:rPr>
          <w:rStyle w:val="FootnoteReference"/>
          <w:sz w:val="24"/>
          <w:szCs w:val="24"/>
        </w:rPr>
        <w:footnoteReference w:id="64"/>
      </w:r>
      <w:r w:rsidR="005E314A" w:rsidRPr="000F7276">
        <w:rPr>
          <w:sz w:val="24"/>
          <w:szCs w:val="24"/>
        </w:rPr>
        <w:t xml:space="preserve"> EBRD, </w:t>
      </w:r>
      <w:r w:rsidR="00173111" w:rsidRPr="000F7276">
        <w:rPr>
          <w:sz w:val="24"/>
          <w:szCs w:val="24"/>
        </w:rPr>
        <w:t>IDB,</w:t>
      </w:r>
      <w:r w:rsidRPr="000F7276">
        <w:rPr>
          <w:sz w:val="24"/>
          <w:szCs w:val="24"/>
        </w:rPr>
        <w:t xml:space="preserve"> IFC)</w:t>
      </w:r>
      <w:r w:rsidR="00CD06A0" w:rsidRPr="000F7276">
        <w:rPr>
          <w:sz w:val="24"/>
          <w:szCs w:val="24"/>
        </w:rPr>
        <w:t>;</w:t>
      </w:r>
    </w:p>
    <w:p w14:paraId="4A57C43E" w14:textId="77777777" w:rsidR="00C321F1" w:rsidRPr="000F7276" w:rsidRDefault="00C815D3" w:rsidP="00A009E7">
      <w:pPr>
        <w:pStyle w:val="ListParagraph"/>
        <w:numPr>
          <w:ilvl w:val="0"/>
          <w:numId w:val="17"/>
        </w:numPr>
        <w:tabs>
          <w:tab w:val="left" w:pos="990"/>
        </w:tabs>
        <w:ind w:left="990" w:hanging="270"/>
        <w:rPr>
          <w:sz w:val="24"/>
          <w:szCs w:val="24"/>
        </w:rPr>
      </w:pPr>
      <w:r w:rsidRPr="000F7276">
        <w:rPr>
          <w:sz w:val="24"/>
          <w:szCs w:val="24"/>
        </w:rPr>
        <w:t>S</w:t>
      </w:r>
      <w:r w:rsidR="0077169C" w:rsidRPr="000F7276">
        <w:rPr>
          <w:sz w:val="24"/>
          <w:szCs w:val="24"/>
        </w:rPr>
        <w:t xml:space="preserve">ignificant degradation of </w:t>
      </w:r>
      <w:r w:rsidR="00E54C5C" w:rsidRPr="000F7276">
        <w:rPr>
          <w:sz w:val="24"/>
          <w:szCs w:val="24"/>
        </w:rPr>
        <w:t>critical natural habitats (protected areas, parks and high conservation areas)</w:t>
      </w:r>
      <w:r w:rsidR="0077169C" w:rsidRPr="000F7276">
        <w:rPr>
          <w:sz w:val="24"/>
          <w:szCs w:val="24"/>
        </w:rPr>
        <w:t xml:space="preserve"> (IDB</w:t>
      </w:r>
      <w:r w:rsidR="00CD06A0" w:rsidRPr="000F7276">
        <w:rPr>
          <w:sz w:val="24"/>
          <w:szCs w:val="24"/>
        </w:rPr>
        <w:t>);</w:t>
      </w:r>
      <w:r w:rsidR="00684C3A" w:rsidRPr="000F7276">
        <w:rPr>
          <w:rStyle w:val="FootnoteReference"/>
          <w:sz w:val="24"/>
          <w:szCs w:val="24"/>
        </w:rPr>
        <w:footnoteReference w:id="65"/>
      </w:r>
      <w:r w:rsidR="006027C7" w:rsidRPr="000F7276">
        <w:rPr>
          <w:sz w:val="24"/>
          <w:szCs w:val="24"/>
        </w:rPr>
        <w:t xml:space="preserve"> and</w:t>
      </w:r>
    </w:p>
    <w:p w14:paraId="0CF2D2AE" w14:textId="77777777" w:rsidR="00A009E7" w:rsidRDefault="00684C3A" w:rsidP="00A009E7">
      <w:pPr>
        <w:pStyle w:val="ListParagraph"/>
        <w:numPr>
          <w:ilvl w:val="0"/>
          <w:numId w:val="17"/>
        </w:numPr>
        <w:tabs>
          <w:tab w:val="left" w:pos="990"/>
        </w:tabs>
        <w:spacing w:after="240"/>
        <w:ind w:left="990" w:hanging="270"/>
        <w:rPr>
          <w:sz w:val="24"/>
          <w:szCs w:val="24"/>
        </w:rPr>
      </w:pPr>
      <w:r w:rsidRPr="000F7276">
        <w:rPr>
          <w:sz w:val="24"/>
          <w:szCs w:val="24"/>
        </w:rPr>
        <w:t>Genetically modified organisms (EIB</w:t>
      </w:r>
      <w:r w:rsidR="00CD06A0" w:rsidRPr="000F7276">
        <w:rPr>
          <w:sz w:val="24"/>
          <w:szCs w:val="24"/>
        </w:rPr>
        <w:t>)</w:t>
      </w:r>
      <w:r w:rsidR="006027C7" w:rsidRPr="000F7276">
        <w:rPr>
          <w:sz w:val="24"/>
          <w:szCs w:val="24"/>
        </w:rPr>
        <w:t>.</w:t>
      </w:r>
      <w:r w:rsidR="00001DEC" w:rsidRPr="000F7276">
        <w:rPr>
          <w:rStyle w:val="FootnoteReference"/>
          <w:sz w:val="24"/>
          <w:szCs w:val="24"/>
        </w:rPr>
        <w:footnoteReference w:id="66"/>
      </w:r>
    </w:p>
    <w:p w14:paraId="7F32812A" w14:textId="6807C3E3" w:rsidR="00C321F1" w:rsidRPr="001375F3" w:rsidRDefault="0077169C" w:rsidP="00655041">
      <w:pPr>
        <w:pStyle w:val="ListParagraph"/>
        <w:numPr>
          <w:ilvl w:val="0"/>
          <w:numId w:val="18"/>
        </w:numPr>
        <w:tabs>
          <w:tab w:val="left" w:pos="990"/>
          <w:tab w:val="left" w:pos="3980"/>
        </w:tabs>
        <w:spacing w:before="240" w:after="240"/>
        <w:contextualSpacing w:val="0"/>
        <w:rPr>
          <w:i/>
          <w:sz w:val="24"/>
          <w:szCs w:val="24"/>
        </w:rPr>
      </w:pPr>
      <w:r w:rsidRPr="001375F3">
        <w:rPr>
          <w:i/>
          <w:sz w:val="24"/>
          <w:szCs w:val="24"/>
        </w:rPr>
        <w:t>Social Exclusions</w:t>
      </w:r>
    </w:p>
    <w:p w14:paraId="356645C5" w14:textId="77777777" w:rsidR="00C321F1" w:rsidRPr="000F7276" w:rsidRDefault="0077169C" w:rsidP="00A009E7">
      <w:pPr>
        <w:pStyle w:val="ListParagraph"/>
        <w:numPr>
          <w:ilvl w:val="0"/>
          <w:numId w:val="19"/>
        </w:numPr>
        <w:tabs>
          <w:tab w:val="left" w:pos="990"/>
          <w:tab w:val="left" w:pos="3980"/>
        </w:tabs>
        <w:ind w:hanging="995"/>
        <w:rPr>
          <w:sz w:val="24"/>
          <w:szCs w:val="24"/>
        </w:rPr>
      </w:pPr>
      <w:r w:rsidRPr="000F7276">
        <w:rPr>
          <w:sz w:val="24"/>
          <w:szCs w:val="24"/>
        </w:rPr>
        <w:t>Harmful or exploitative forms of child labor (ADB, AfDB,</w:t>
      </w:r>
      <w:r w:rsidR="00EA2D54" w:rsidRPr="000F7276">
        <w:rPr>
          <w:sz w:val="24"/>
          <w:szCs w:val="24"/>
        </w:rPr>
        <w:t xml:space="preserve"> </w:t>
      </w:r>
      <w:r w:rsidRPr="000F7276">
        <w:rPr>
          <w:sz w:val="24"/>
          <w:szCs w:val="24"/>
        </w:rPr>
        <w:t>IDB, IFC</w:t>
      </w:r>
      <w:r w:rsidR="00684C3A" w:rsidRPr="000F7276">
        <w:rPr>
          <w:sz w:val="24"/>
          <w:szCs w:val="24"/>
        </w:rPr>
        <w:t>)</w:t>
      </w:r>
      <w:r w:rsidR="00CD06A0" w:rsidRPr="000F7276">
        <w:rPr>
          <w:sz w:val="24"/>
          <w:szCs w:val="24"/>
        </w:rPr>
        <w:t>;</w:t>
      </w:r>
    </w:p>
    <w:p w14:paraId="2F8F68FD" w14:textId="77777777" w:rsidR="00C321F1" w:rsidRPr="000F7276" w:rsidRDefault="0077169C" w:rsidP="00A009E7">
      <w:pPr>
        <w:pStyle w:val="ListParagraph"/>
        <w:numPr>
          <w:ilvl w:val="0"/>
          <w:numId w:val="19"/>
        </w:numPr>
        <w:tabs>
          <w:tab w:val="left" w:pos="990"/>
          <w:tab w:val="left" w:pos="3980"/>
        </w:tabs>
        <w:ind w:hanging="995"/>
        <w:rPr>
          <w:sz w:val="24"/>
          <w:szCs w:val="24"/>
        </w:rPr>
      </w:pPr>
      <w:r w:rsidRPr="000F7276">
        <w:rPr>
          <w:sz w:val="24"/>
          <w:szCs w:val="24"/>
        </w:rPr>
        <w:t>Harmful or exploitative forms of forced labor (ADB, AfDB,</w:t>
      </w:r>
      <w:r w:rsidR="003F7392" w:rsidRPr="000F7276">
        <w:rPr>
          <w:sz w:val="24"/>
          <w:szCs w:val="24"/>
        </w:rPr>
        <w:t xml:space="preserve"> </w:t>
      </w:r>
      <w:r w:rsidRPr="000F7276">
        <w:rPr>
          <w:sz w:val="24"/>
          <w:szCs w:val="24"/>
        </w:rPr>
        <w:t>IDB, IFC)</w:t>
      </w:r>
      <w:r w:rsidR="00CD06A0" w:rsidRPr="000F7276">
        <w:rPr>
          <w:sz w:val="24"/>
          <w:szCs w:val="24"/>
        </w:rPr>
        <w:t>;</w:t>
      </w:r>
    </w:p>
    <w:p w14:paraId="2BBB8442" w14:textId="77777777" w:rsidR="00C321F1" w:rsidRPr="000F7276" w:rsidRDefault="0077169C" w:rsidP="00A009E7">
      <w:pPr>
        <w:pStyle w:val="ListParagraph"/>
        <w:numPr>
          <w:ilvl w:val="0"/>
          <w:numId w:val="19"/>
        </w:numPr>
        <w:tabs>
          <w:tab w:val="left" w:pos="990"/>
          <w:tab w:val="left" w:pos="3980"/>
        </w:tabs>
        <w:ind w:hanging="995"/>
        <w:rPr>
          <w:sz w:val="24"/>
          <w:szCs w:val="24"/>
        </w:rPr>
      </w:pPr>
      <w:r w:rsidRPr="000F7276">
        <w:rPr>
          <w:sz w:val="24"/>
          <w:szCs w:val="24"/>
        </w:rPr>
        <w:t>Gambling, casinos</w:t>
      </w:r>
      <w:r w:rsidR="00684C3A" w:rsidRPr="000F7276">
        <w:rPr>
          <w:sz w:val="24"/>
          <w:szCs w:val="24"/>
        </w:rPr>
        <w:t>,</w:t>
      </w:r>
      <w:r w:rsidRPr="000F7276">
        <w:rPr>
          <w:sz w:val="24"/>
          <w:szCs w:val="24"/>
        </w:rPr>
        <w:t xml:space="preserve"> and enterprises (ADB, </w:t>
      </w:r>
      <w:r w:rsidR="001637D8" w:rsidRPr="000F7276">
        <w:rPr>
          <w:sz w:val="24"/>
          <w:szCs w:val="24"/>
        </w:rPr>
        <w:t xml:space="preserve">EBRD, </w:t>
      </w:r>
      <w:r w:rsidR="00580067" w:rsidRPr="000F7276">
        <w:rPr>
          <w:sz w:val="24"/>
          <w:szCs w:val="24"/>
        </w:rPr>
        <w:t>EIB</w:t>
      </w:r>
      <w:r w:rsidR="006027C7" w:rsidRPr="000F7276">
        <w:rPr>
          <w:sz w:val="24"/>
          <w:szCs w:val="24"/>
        </w:rPr>
        <w:t>,</w:t>
      </w:r>
      <w:r w:rsidR="00684C3A" w:rsidRPr="000F7276">
        <w:rPr>
          <w:rStyle w:val="FootnoteReference"/>
          <w:sz w:val="24"/>
          <w:szCs w:val="24"/>
        </w:rPr>
        <w:footnoteReference w:id="67"/>
      </w:r>
      <w:r w:rsidR="00580067" w:rsidRPr="000F7276">
        <w:rPr>
          <w:sz w:val="24"/>
          <w:szCs w:val="24"/>
        </w:rPr>
        <w:t xml:space="preserve"> </w:t>
      </w:r>
      <w:r w:rsidRPr="000F7276">
        <w:rPr>
          <w:sz w:val="24"/>
          <w:szCs w:val="24"/>
        </w:rPr>
        <w:t>IDB, IFC)</w:t>
      </w:r>
      <w:r w:rsidR="00CD06A0" w:rsidRPr="000F7276">
        <w:rPr>
          <w:sz w:val="24"/>
          <w:szCs w:val="24"/>
        </w:rPr>
        <w:t>;</w:t>
      </w:r>
    </w:p>
    <w:p w14:paraId="53CDA35B" w14:textId="77777777" w:rsidR="00C321F1" w:rsidRPr="000F7276" w:rsidRDefault="00684C3A" w:rsidP="00A009E7">
      <w:pPr>
        <w:pStyle w:val="ListParagraph"/>
        <w:numPr>
          <w:ilvl w:val="0"/>
          <w:numId w:val="19"/>
        </w:numPr>
        <w:tabs>
          <w:tab w:val="left" w:pos="990"/>
          <w:tab w:val="left" w:pos="3980"/>
        </w:tabs>
        <w:ind w:hanging="995"/>
        <w:rPr>
          <w:sz w:val="24"/>
          <w:szCs w:val="24"/>
        </w:rPr>
      </w:pPr>
      <w:r w:rsidRPr="000F7276">
        <w:rPr>
          <w:sz w:val="24"/>
          <w:szCs w:val="24"/>
        </w:rPr>
        <w:t>Sex trade and related infrastructure, services and media (EIB)</w:t>
      </w:r>
      <w:r w:rsidR="00CD06A0" w:rsidRPr="000F7276">
        <w:rPr>
          <w:sz w:val="24"/>
          <w:szCs w:val="24"/>
        </w:rPr>
        <w:t>;</w:t>
      </w:r>
    </w:p>
    <w:p w14:paraId="1300A990" w14:textId="77777777" w:rsidR="00C321F1" w:rsidRPr="000F7276" w:rsidRDefault="00684C3A" w:rsidP="00A009E7">
      <w:pPr>
        <w:pStyle w:val="ListParagraph"/>
        <w:numPr>
          <w:ilvl w:val="0"/>
          <w:numId w:val="19"/>
        </w:numPr>
        <w:tabs>
          <w:tab w:val="left" w:pos="990"/>
          <w:tab w:val="left" w:pos="3980"/>
        </w:tabs>
        <w:ind w:hanging="995"/>
        <w:rPr>
          <w:sz w:val="24"/>
          <w:szCs w:val="24"/>
        </w:rPr>
      </w:pPr>
      <w:r w:rsidRPr="000F7276">
        <w:rPr>
          <w:sz w:val="24"/>
          <w:szCs w:val="24"/>
        </w:rPr>
        <w:t>Abortion clinics (EIB</w:t>
      </w:r>
      <w:r w:rsidR="00F50319" w:rsidRPr="000F7276">
        <w:rPr>
          <w:sz w:val="24"/>
          <w:szCs w:val="24"/>
        </w:rPr>
        <w:t>)</w:t>
      </w:r>
      <w:r w:rsidR="006027C7" w:rsidRPr="000F7276">
        <w:rPr>
          <w:sz w:val="24"/>
          <w:szCs w:val="24"/>
        </w:rPr>
        <w:t>;</w:t>
      </w:r>
      <w:r w:rsidR="00001DEC" w:rsidRPr="000F7276">
        <w:rPr>
          <w:rStyle w:val="FootnoteReference"/>
          <w:sz w:val="24"/>
          <w:szCs w:val="24"/>
        </w:rPr>
        <w:footnoteReference w:id="68"/>
      </w:r>
      <w:r w:rsidR="006027C7" w:rsidRPr="000F7276">
        <w:rPr>
          <w:sz w:val="24"/>
          <w:szCs w:val="24"/>
        </w:rPr>
        <w:t xml:space="preserve"> </w:t>
      </w:r>
    </w:p>
    <w:p w14:paraId="1B75A213" w14:textId="77777777" w:rsidR="00C321F1" w:rsidRPr="000F7276" w:rsidRDefault="00684C3A" w:rsidP="00A009E7">
      <w:pPr>
        <w:pStyle w:val="ListParagraph"/>
        <w:numPr>
          <w:ilvl w:val="0"/>
          <w:numId w:val="19"/>
        </w:numPr>
        <w:tabs>
          <w:tab w:val="left" w:pos="990"/>
          <w:tab w:val="left" w:pos="3980"/>
        </w:tabs>
        <w:ind w:hanging="995"/>
        <w:rPr>
          <w:sz w:val="24"/>
          <w:szCs w:val="24"/>
        </w:rPr>
      </w:pPr>
      <w:r w:rsidRPr="000F7276">
        <w:rPr>
          <w:sz w:val="24"/>
          <w:szCs w:val="24"/>
        </w:rPr>
        <w:t>Animal testing (EIB</w:t>
      </w:r>
      <w:r w:rsidR="00F50319" w:rsidRPr="000F7276">
        <w:rPr>
          <w:sz w:val="24"/>
          <w:szCs w:val="24"/>
        </w:rPr>
        <w:t>)</w:t>
      </w:r>
      <w:r w:rsidR="006027C7" w:rsidRPr="000F7276">
        <w:rPr>
          <w:sz w:val="24"/>
          <w:szCs w:val="24"/>
        </w:rPr>
        <w:t>;</w:t>
      </w:r>
      <w:r w:rsidRPr="000F7276">
        <w:rPr>
          <w:rStyle w:val="FootnoteReference"/>
          <w:sz w:val="24"/>
          <w:szCs w:val="24"/>
        </w:rPr>
        <w:footnoteReference w:id="69"/>
      </w:r>
    </w:p>
    <w:p w14:paraId="0AD7858D" w14:textId="4B7B3798" w:rsidR="00C321F1" w:rsidRPr="000F7276" w:rsidRDefault="0077169C" w:rsidP="00A009E7">
      <w:pPr>
        <w:pStyle w:val="ListParagraph"/>
        <w:numPr>
          <w:ilvl w:val="0"/>
          <w:numId w:val="19"/>
        </w:numPr>
        <w:tabs>
          <w:tab w:val="left" w:pos="990"/>
          <w:tab w:val="left" w:pos="3980"/>
        </w:tabs>
        <w:ind w:left="990" w:hanging="270"/>
        <w:rPr>
          <w:sz w:val="24"/>
          <w:szCs w:val="24"/>
        </w:rPr>
      </w:pPr>
      <w:r w:rsidRPr="000F7276">
        <w:rPr>
          <w:sz w:val="24"/>
          <w:szCs w:val="24"/>
        </w:rPr>
        <w:t>Projects resulting in limiting peoples’ individual rights and freedom in violation of human rights (EIB</w:t>
      </w:r>
      <w:r w:rsidR="000F7276" w:rsidRPr="000F7276">
        <w:rPr>
          <w:sz w:val="24"/>
          <w:szCs w:val="24"/>
        </w:rPr>
        <w:t>);</w:t>
      </w:r>
      <w:r w:rsidR="00A72CF5" w:rsidRPr="000F7276">
        <w:rPr>
          <w:rStyle w:val="FootnoteReference"/>
          <w:sz w:val="24"/>
          <w:szCs w:val="24"/>
        </w:rPr>
        <w:footnoteReference w:id="70"/>
      </w:r>
    </w:p>
    <w:p w14:paraId="092B331D" w14:textId="77777777" w:rsidR="00C321F1" w:rsidRPr="000F7276" w:rsidRDefault="00684C3A" w:rsidP="00A009E7">
      <w:pPr>
        <w:pStyle w:val="ListParagraph"/>
        <w:numPr>
          <w:ilvl w:val="0"/>
          <w:numId w:val="19"/>
        </w:numPr>
        <w:tabs>
          <w:tab w:val="left" w:pos="990"/>
          <w:tab w:val="left" w:pos="3980"/>
        </w:tabs>
        <w:ind w:left="990" w:hanging="270"/>
        <w:rPr>
          <w:sz w:val="24"/>
          <w:szCs w:val="24"/>
        </w:rPr>
      </w:pPr>
      <w:r w:rsidRPr="000F7276">
        <w:rPr>
          <w:sz w:val="24"/>
          <w:szCs w:val="24"/>
        </w:rPr>
        <w:t>Projects with a political or religious content (EIB)</w:t>
      </w:r>
      <w:r w:rsidR="00F50319" w:rsidRPr="000F7276">
        <w:rPr>
          <w:sz w:val="24"/>
          <w:szCs w:val="24"/>
        </w:rPr>
        <w:t>;</w:t>
      </w:r>
    </w:p>
    <w:p w14:paraId="59549E8C" w14:textId="77777777" w:rsidR="00C321F1" w:rsidRPr="000F7276" w:rsidRDefault="0077169C" w:rsidP="00A009E7">
      <w:pPr>
        <w:pStyle w:val="ListParagraph"/>
        <w:numPr>
          <w:ilvl w:val="0"/>
          <w:numId w:val="19"/>
        </w:numPr>
        <w:tabs>
          <w:tab w:val="left" w:pos="990"/>
          <w:tab w:val="left" w:pos="3980"/>
        </w:tabs>
        <w:ind w:left="990" w:hanging="270"/>
        <w:rPr>
          <w:sz w:val="24"/>
          <w:szCs w:val="24"/>
        </w:rPr>
      </w:pPr>
      <w:r w:rsidRPr="000F7276">
        <w:rPr>
          <w:sz w:val="24"/>
          <w:szCs w:val="24"/>
        </w:rPr>
        <w:t>Discriminatory labor practices (IDB)</w:t>
      </w:r>
      <w:r w:rsidR="00F50319" w:rsidRPr="000F7276">
        <w:rPr>
          <w:sz w:val="24"/>
          <w:szCs w:val="24"/>
        </w:rPr>
        <w:t>;</w:t>
      </w:r>
    </w:p>
    <w:p w14:paraId="1E5357D9" w14:textId="77777777" w:rsidR="00C321F1" w:rsidRPr="000F7276" w:rsidRDefault="0077169C" w:rsidP="00A009E7">
      <w:pPr>
        <w:pStyle w:val="ListParagraph"/>
        <w:numPr>
          <w:ilvl w:val="0"/>
          <w:numId w:val="19"/>
        </w:numPr>
        <w:tabs>
          <w:tab w:val="left" w:pos="990"/>
          <w:tab w:val="left" w:pos="3980"/>
        </w:tabs>
        <w:ind w:left="990" w:hanging="270"/>
        <w:rPr>
          <w:sz w:val="24"/>
          <w:szCs w:val="24"/>
        </w:rPr>
      </w:pPr>
      <w:r w:rsidRPr="000F7276">
        <w:rPr>
          <w:sz w:val="24"/>
          <w:szCs w:val="24"/>
        </w:rPr>
        <w:t>Labor practices that prevent employees from freely exercising their right to association and collective bargaining</w:t>
      </w:r>
      <w:r w:rsidR="003F7392" w:rsidRPr="000F7276">
        <w:rPr>
          <w:sz w:val="24"/>
          <w:szCs w:val="24"/>
        </w:rPr>
        <w:t xml:space="preserve"> </w:t>
      </w:r>
      <w:r w:rsidRPr="000F7276">
        <w:rPr>
          <w:sz w:val="24"/>
          <w:szCs w:val="24"/>
        </w:rPr>
        <w:t>(IDB)</w:t>
      </w:r>
      <w:r w:rsidR="00F50319" w:rsidRPr="000F7276">
        <w:rPr>
          <w:sz w:val="24"/>
          <w:szCs w:val="24"/>
        </w:rPr>
        <w:t>;</w:t>
      </w:r>
    </w:p>
    <w:p w14:paraId="7E5DE463" w14:textId="77777777" w:rsidR="00C321F1" w:rsidRPr="000F7276" w:rsidRDefault="0077169C" w:rsidP="00A009E7">
      <w:pPr>
        <w:pStyle w:val="ListParagraph"/>
        <w:numPr>
          <w:ilvl w:val="0"/>
          <w:numId w:val="19"/>
        </w:numPr>
        <w:tabs>
          <w:tab w:val="left" w:pos="990"/>
          <w:tab w:val="left" w:pos="3980"/>
        </w:tabs>
        <w:ind w:hanging="995"/>
        <w:rPr>
          <w:sz w:val="24"/>
          <w:szCs w:val="24"/>
        </w:rPr>
      </w:pPr>
      <w:r w:rsidRPr="000F7276">
        <w:rPr>
          <w:sz w:val="24"/>
          <w:szCs w:val="24"/>
        </w:rPr>
        <w:t>Non-compliance with workers’ fundamental principles and rights at work (IDB)</w:t>
      </w:r>
      <w:r w:rsidR="00F50319" w:rsidRPr="000F7276">
        <w:rPr>
          <w:sz w:val="24"/>
          <w:szCs w:val="24"/>
        </w:rPr>
        <w:t>;</w:t>
      </w:r>
    </w:p>
    <w:p w14:paraId="730FB1E2" w14:textId="77777777" w:rsidR="00C321F1" w:rsidRPr="000F7276" w:rsidRDefault="0077169C" w:rsidP="00A009E7">
      <w:pPr>
        <w:pStyle w:val="ListParagraph"/>
        <w:numPr>
          <w:ilvl w:val="0"/>
          <w:numId w:val="19"/>
        </w:numPr>
        <w:tabs>
          <w:tab w:val="left" w:pos="990"/>
          <w:tab w:val="left" w:pos="3980"/>
        </w:tabs>
        <w:ind w:hanging="995"/>
        <w:rPr>
          <w:sz w:val="24"/>
          <w:szCs w:val="24"/>
        </w:rPr>
      </w:pPr>
      <w:r w:rsidRPr="000F7276">
        <w:rPr>
          <w:sz w:val="24"/>
          <w:szCs w:val="24"/>
        </w:rPr>
        <w:t>Ethically or morally controversial projects (EIB)</w:t>
      </w:r>
      <w:r w:rsidR="00F50319" w:rsidRPr="000F7276">
        <w:rPr>
          <w:sz w:val="24"/>
          <w:szCs w:val="24"/>
        </w:rPr>
        <w:t>;</w:t>
      </w:r>
    </w:p>
    <w:p w14:paraId="3C28181F" w14:textId="77777777" w:rsidR="00C321F1" w:rsidRPr="000F7276" w:rsidRDefault="00173111" w:rsidP="00A009E7">
      <w:pPr>
        <w:pStyle w:val="ListParagraph"/>
        <w:numPr>
          <w:ilvl w:val="0"/>
          <w:numId w:val="19"/>
        </w:numPr>
        <w:tabs>
          <w:tab w:val="left" w:pos="990"/>
          <w:tab w:val="left" w:pos="3980"/>
        </w:tabs>
        <w:ind w:left="990" w:hanging="270"/>
        <w:rPr>
          <w:sz w:val="24"/>
          <w:szCs w:val="24"/>
        </w:rPr>
      </w:pPr>
      <w:r w:rsidRPr="000F7276">
        <w:rPr>
          <w:sz w:val="24"/>
          <w:szCs w:val="24"/>
        </w:rPr>
        <w:t>Involuntary Resettlement of indigenous or other low-income ethnic minorities in rural areas without their informed consent</w:t>
      </w:r>
      <w:r w:rsidR="00E54C5C" w:rsidRPr="000F7276">
        <w:rPr>
          <w:sz w:val="24"/>
          <w:szCs w:val="24"/>
        </w:rPr>
        <w:t xml:space="preserve"> (</w:t>
      </w:r>
      <w:r w:rsidR="001637D8" w:rsidRPr="000F7276">
        <w:rPr>
          <w:sz w:val="24"/>
          <w:szCs w:val="24"/>
        </w:rPr>
        <w:t xml:space="preserve">EBRD, </w:t>
      </w:r>
      <w:r w:rsidR="00E54C5C" w:rsidRPr="000F7276">
        <w:rPr>
          <w:sz w:val="24"/>
          <w:szCs w:val="24"/>
        </w:rPr>
        <w:t>ID</w:t>
      </w:r>
      <w:r w:rsidRPr="000F7276">
        <w:rPr>
          <w:sz w:val="24"/>
          <w:szCs w:val="24"/>
        </w:rPr>
        <w:t>B)</w:t>
      </w:r>
      <w:r w:rsidR="00F50319" w:rsidRPr="000F7276">
        <w:rPr>
          <w:sz w:val="24"/>
          <w:szCs w:val="24"/>
        </w:rPr>
        <w:t>;</w:t>
      </w:r>
      <w:r w:rsidR="006027C7" w:rsidRPr="000F7276">
        <w:rPr>
          <w:sz w:val="24"/>
          <w:szCs w:val="24"/>
        </w:rPr>
        <w:t xml:space="preserve"> and</w:t>
      </w:r>
    </w:p>
    <w:p w14:paraId="5743A241" w14:textId="77777777" w:rsidR="00A009E7" w:rsidRDefault="005E24D2" w:rsidP="00655041">
      <w:pPr>
        <w:pStyle w:val="ListParagraph"/>
        <w:numPr>
          <w:ilvl w:val="0"/>
          <w:numId w:val="19"/>
        </w:numPr>
        <w:tabs>
          <w:tab w:val="left" w:pos="990"/>
          <w:tab w:val="left" w:pos="3980"/>
        </w:tabs>
        <w:spacing w:after="240"/>
        <w:ind w:left="994" w:hanging="274"/>
        <w:contextualSpacing w:val="0"/>
        <w:rPr>
          <w:sz w:val="24"/>
          <w:szCs w:val="24"/>
        </w:rPr>
      </w:pPr>
      <w:r w:rsidRPr="000F7276">
        <w:rPr>
          <w:sz w:val="24"/>
          <w:szCs w:val="24"/>
        </w:rPr>
        <w:t>Production or</w:t>
      </w:r>
      <w:r w:rsidR="0077169C" w:rsidRPr="000F7276">
        <w:rPr>
          <w:sz w:val="24"/>
          <w:szCs w:val="24"/>
        </w:rPr>
        <w:t xml:space="preserve"> activities that </w:t>
      </w:r>
      <w:r w:rsidR="00E54C5C" w:rsidRPr="000F7276">
        <w:rPr>
          <w:sz w:val="24"/>
          <w:szCs w:val="24"/>
        </w:rPr>
        <w:t xml:space="preserve">have potentially significant adverse impacts that carry a high degree of risk to the physical, territorial or cultural integrity of </w:t>
      </w:r>
      <w:r w:rsidR="0077169C" w:rsidRPr="000F7276">
        <w:rPr>
          <w:sz w:val="24"/>
          <w:szCs w:val="24"/>
        </w:rPr>
        <w:t xml:space="preserve">Indigenous Peoples, without the </w:t>
      </w:r>
      <w:r w:rsidR="00E54C5C" w:rsidRPr="000F7276">
        <w:rPr>
          <w:sz w:val="24"/>
          <w:szCs w:val="24"/>
        </w:rPr>
        <w:t xml:space="preserve">agreement </w:t>
      </w:r>
      <w:r w:rsidR="0077169C" w:rsidRPr="000F7276">
        <w:rPr>
          <w:sz w:val="24"/>
          <w:szCs w:val="24"/>
        </w:rPr>
        <w:t xml:space="preserve">of such peoples </w:t>
      </w:r>
      <w:r w:rsidR="00E54C5C" w:rsidRPr="000F7276">
        <w:rPr>
          <w:sz w:val="24"/>
          <w:szCs w:val="24"/>
        </w:rPr>
        <w:t xml:space="preserve">to the project and measures to address the adverse impacts </w:t>
      </w:r>
      <w:r w:rsidR="0077169C" w:rsidRPr="000F7276">
        <w:rPr>
          <w:sz w:val="24"/>
          <w:szCs w:val="24"/>
        </w:rPr>
        <w:t>(IDB</w:t>
      </w:r>
      <w:r w:rsidR="00715471" w:rsidRPr="000F7276">
        <w:rPr>
          <w:sz w:val="24"/>
          <w:szCs w:val="24"/>
        </w:rPr>
        <w:t>, IFC</w:t>
      </w:r>
      <w:r w:rsidR="00F50319" w:rsidRPr="000F7276">
        <w:rPr>
          <w:sz w:val="24"/>
          <w:szCs w:val="24"/>
        </w:rPr>
        <w:t>)</w:t>
      </w:r>
      <w:r w:rsidR="006027C7" w:rsidRPr="000F7276">
        <w:rPr>
          <w:sz w:val="24"/>
          <w:szCs w:val="24"/>
        </w:rPr>
        <w:t>.</w:t>
      </w:r>
      <w:r w:rsidR="00D3136F" w:rsidRPr="000F7276">
        <w:rPr>
          <w:rStyle w:val="FootnoteReference"/>
          <w:sz w:val="24"/>
          <w:szCs w:val="24"/>
        </w:rPr>
        <w:footnoteReference w:id="71"/>
      </w:r>
    </w:p>
    <w:p w14:paraId="20767E07" w14:textId="77777777" w:rsidR="00A009E7" w:rsidRDefault="0077169C" w:rsidP="00655041">
      <w:pPr>
        <w:pStyle w:val="ListParagraph"/>
        <w:numPr>
          <w:ilvl w:val="0"/>
          <w:numId w:val="18"/>
        </w:numPr>
        <w:tabs>
          <w:tab w:val="left" w:pos="990"/>
          <w:tab w:val="left" w:pos="3980"/>
        </w:tabs>
        <w:spacing w:before="240" w:after="240"/>
        <w:contextualSpacing w:val="0"/>
        <w:rPr>
          <w:i/>
          <w:sz w:val="24"/>
          <w:szCs w:val="24"/>
        </w:rPr>
      </w:pPr>
      <w:r w:rsidRPr="001375F3">
        <w:rPr>
          <w:i/>
          <w:sz w:val="24"/>
          <w:szCs w:val="24"/>
        </w:rPr>
        <w:t>Product Exclusions (applying to the production, use</w:t>
      </w:r>
      <w:r w:rsidR="00F50319" w:rsidRPr="001375F3">
        <w:rPr>
          <w:i/>
          <w:sz w:val="24"/>
          <w:szCs w:val="24"/>
        </w:rPr>
        <w:t xml:space="preserve"> </w:t>
      </w:r>
      <w:r w:rsidRPr="001375F3">
        <w:rPr>
          <w:i/>
          <w:sz w:val="24"/>
          <w:szCs w:val="24"/>
        </w:rPr>
        <w:t>and/or trade in) the following:</w:t>
      </w:r>
    </w:p>
    <w:p w14:paraId="6BBB4389" w14:textId="58B4859B" w:rsidR="00C321F1" w:rsidRPr="000F7276" w:rsidRDefault="0077169C" w:rsidP="00A009E7">
      <w:pPr>
        <w:pStyle w:val="ListParagraph"/>
        <w:numPr>
          <w:ilvl w:val="0"/>
          <w:numId w:val="19"/>
        </w:numPr>
        <w:tabs>
          <w:tab w:val="left" w:pos="990"/>
          <w:tab w:val="left" w:pos="3980"/>
        </w:tabs>
        <w:ind w:left="990" w:hanging="270"/>
        <w:rPr>
          <w:sz w:val="24"/>
          <w:szCs w:val="24"/>
        </w:rPr>
      </w:pPr>
      <w:r w:rsidRPr="000F7276">
        <w:rPr>
          <w:sz w:val="24"/>
          <w:szCs w:val="24"/>
        </w:rPr>
        <w:t xml:space="preserve">Weapons or munitions (ADB, AfDB, </w:t>
      </w:r>
      <w:r w:rsidR="001637D8" w:rsidRPr="000F7276">
        <w:rPr>
          <w:sz w:val="24"/>
          <w:szCs w:val="24"/>
        </w:rPr>
        <w:t xml:space="preserve">EBRD, </w:t>
      </w:r>
      <w:r w:rsidRPr="000F7276">
        <w:rPr>
          <w:sz w:val="24"/>
          <w:szCs w:val="24"/>
        </w:rPr>
        <w:t>EIB</w:t>
      </w:r>
      <w:r w:rsidR="006027C7" w:rsidRPr="000F7276">
        <w:rPr>
          <w:sz w:val="24"/>
          <w:szCs w:val="24"/>
        </w:rPr>
        <w:t>,</w:t>
      </w:r>
      <w:r w:rsidR="00684C3A" w:rsidRPr="000F7276">
        <w:rPr>
          <w:rStyle w:val="FootnoteReference"/>
          <w:sz w:val="24"/>
          <w:szCs w:val="24"/>
        </w:rPr>
        <w:footnoteReference w:id="72"/>
      </w:r>
      <w:r w:rsidRPr="000F7276">
        <w:rPr>
          <w:sz w:val="24"/>
          <w:szCs w:val="24"/>
        </w:rPr>
        <w:t xml:space="preserve"> IDB, IFC)</w:t>
      </w:r>
      <w:r w:rsidR="00F50319" w:rsidRPr="000F7276">
        <w:rPr>
          <w:sz w:val="24"/>
          <w:szCs w:val="24"/>
        </w:rPr>
        <w:t>;</w:t>
      </w:r>
    </w:p>
    <w:p w14:paraId="0A1ABE3B" w14:textId="77777777" w:rsidR="00C321F1" w:rsidRPr="000F7276" w:rsidRDefault="0077169C" w:rsidP="00A009E7">
      <w:pPr>
        <w:pStyle w:val="ListParagraph"/>
        <w:numPr>
          <w:ilvl w:val="0"/>
          <w:numId w:val="19"/>
        </w:numPr>
        <w:tabs>
          <w:tab w:val="left" w:pos="990"/>
          <w:tab w:val="left" w:pos="3980"/>
        </w:tabs>
        <w:ind w:left="990" w:hanging="270"/>
        <w:rPr>
          <w:sz w:val="24"/>
          <w:szCs w:val="24"/>
        </w:rPr>
      </w:pPr>
      <w:r w:rsidRPr="000F7276">
        <w:rPr>
          <w:sz w:val="24"/>
          <w:szCs w:val="24"/>
        </w:rPr>
        <w:t>Unbonded asbestos fibers (ADB, AfDB, EBRD</w:t>
      </w:r>
      <w:r w:rsidR="006027C7" w:rsidRPr="000F7276">
        <w:rPr>
          <w:sz w:val="24"/>
          <w:szCs w:val="24"/>
        </w:rPr>
        <w:t>,</w:t>
      </w:r>
      <w:r w:rsidR="004868B5" w:rsidRPr="000F7276">
        <w:rPr>
          <w:rStyle w:val="FootnoteReference"/>
          <w:sz w:val="24"/>
          <w:szCs w:val="24"/>
        </w:rPr>
        <w:footnoteReference w:id="73"/>
      </w:r>
      <w:r w:rsidRPr="000F7276">
        <w:rPr>
          <w:sz w:val="24"/>
          <w:szCs w:val="24"/>
        </w:rPr>
        <w:t xml:space="preserve"> IDB, IFC)</w:t>
      </w:r>
      <w:r w:rsidR="00F50319" w:rsidRPr="000F7276">
        <w:rPr>
          <w:sz w:val="24"/>
          <w:szCs w:val="24"/>
        </w:rPr>
        <w:t>;</w:t>
      </w:r>
    </w:p>
    <w:p w14:paraId="3F00A0CB" w14:textId="77777777" w:rsidR="00C321F1" w:rsidRPr="000F7276" w:rsidRDefault="0077169C" w:rsidP="00A009E7">
      <w:pPr>
        <w:pStyle w:val="ListParagraph"/>
        <w:numPr>
          <w:ilvl w:val="0"/>
          <w:numId w:val="19"/>
        </w:numPr>
        <w:tabs>
          <w:tab w:val="left" w:pos="990"/>
          <w:tab w:val="left" w:pos="3980"/>
        </w:tabs>
        <w:ind w:hanging="995"/>
        <w:rPr>
          <w:sz w:val="24"/>
          <w:szCs w:val="24"/>
        </w:rPr>
      </w:pPr>
      <w:r w:rsidRPr="000F7276">
        <w:rPr>
          <w:sz w:val="24"/>
          <w:szCs w:val="24"/>
        </w:rPr>
        <w:t>Alcoholic beverages (ADB, AfDB,</w:t>
      </w:r>
      <w:r w:rsidR="00C815D3" w:rsidRPr="000F7276">
        <w:rPr>
          <w:sz w:val="24"/>
          <w:szCs w:val="24"/>
        </w:rPr>
        <w:t xml:space="preserve"> </w:t>
      </w:r>
      <w:r w:rsidRPr="000F7276">
        <w:rPr>
          <w:sz w:val="24"/>
          <w:szCs w:val="24"/>
        </w:rPr>
        <w:t>IFC)</w:t>
      </w:r>
      <w:r w:rsidR="00F50319" w:rsidRPr="000F7276">
        <w:rPr>
          <w:sz w:val="24"/>
          <w:szCs w:val="24"/>
        </w:rPr>
        <w:t>;</w:t>
      </w:r>
    </w:p>
    <w:p w14:paraId="4A087A61" w14:textId="6172E753" w:rsidR="00C321F1" w:rsidRPr="00655041" w:rsidRDefault="0077169C" w:rsidP="00226039">
      <w:pPr>
        <w:pStyle w:val="ListParagraph"/>
        <w:numPr>
          <w:ilvl w:val="0"/>
          <w:numId w:val="19"/>
        </w:numPr>
        <w:tabs>
          <w:tab w:val="left" w:pos="990"/>
          <w:tab w:val="left" w:pos="1838"/>
          <w:tab w:val="left" w:pos="3980"/>
        </w:tabs>
        <w:ind w:hanging="995"/>
      </w:pPr>
      <w:r w:rsidRPr="00655041">
        <w:rPr>
          <w:sz w:val="24"/>
          <w:szCs w:val="24"/>
        </w:rPr>
        <w:t>Tobacco (ADB, AfDB,</w:t>
      </w:r>
      <w:r w:rsidR="001637D8" w:rsidRPr="00655041">
        <w:rPr>
          <w:sz w:val="24"/>
          <w:szCs w:val="24"/>
        </w:rPr>
        <w:t xml:space="preserve"> EBRD,</w:t>
      </w:r>
      <w:r w:rsidRPr="00655041">
        <w:rPr>
          <w:sz w:val="24"/>
          <w:szCs w:val="24"/>
        </w:rPr>
        <w:t xml:space="preserve"> </w:t>
      </w:r>
      <w:r w:rsidR="00580067" w:rsidRPr="00655041">
        <w:rPr>
          <w:sz w:val="24"/>
          <w:szCs w:val="24"/>
        </w:rPr>
        <w:t>EIB</w:t>
      </w:r>
      <w:r w:rsidR="00684C3A" w:rsidRPr="00655041">
        <w:rPr>
          <w:sz w:val="24"/>
          <w:szCs w:val="24"/>
        </w:rPr>
        <w:t>,</w:t>
      </w:r>
      <w:r w:rsidR="00684C3A" w:rsidRPr="000F7276">
        <w:rPr>
          <w:rStyle w:val="FootnoteReference"/>
          <w:sz w:val="24"/>
          <w:szCs w:val="24"/>
        </w:rPr>
        <w:footnoteReference w:id="74"/>
      </w:r>
      <w:r w:rsidR="00485CAF" w:rsidRPr="00655041">
        <w:rPr>
          <w:sz w:val="24"/>
          <w:szCs w:val="24"/>
        </w:rPr>
        <w:t xml:space="preserve"> </w:t>
      </w:r>
      <w:r w:rsidRPr="00655041">
        <w:rPr>
          <w:sz w:val="24"/>
          <w:szCs w:val="24"/>
        </w:rPr>
        <w:t>IDB, IFC)</w:t>
      </w:r>
      <w:r w:rsidR="00F50319" w:rsidRPr="00655041">
        <w:rPr>
          <w:sz w:val="24"/>
          <w:szCs w:val="24"/>
        </w:rPr>
        <w:t>;</w:t>
      </w:r>
    </w:p>
    <w:p w14:paraId="356909A3" w14:textId="77777777" w:rsidR="00C321F1" w:rsidRPr="000F7276" w:rsidRDefault="0077169C" w:rsidP="00A009E7">
      <w:pPr>
        <w:pStyle w:val="ListParagraph"/>
        <w:numPr>
          <w:ilvl w:val="0"/>
          <w:numId w:val="19"/>
        </w:numPr>
        <w:tabs>
          <w:tab w:val="left" w:pos="990"/>
          <w:tab w:val="left" w:pos="3980"/>
        </w:tabs>
        <w:ind w:left="990" w:hanging="270"/>
        <w:rPr>
          <w:sz w:val="24"/>
          <w:szCs w:val="24"/>
        </w:rPr>
      </w:pPr>
      <w:r w:rsidRPr="000F7276">
        <w:rPr>
          <w:sz w:val="24"/>
          <w:szCs w:val="24"/>
        </w:rPr>
        <w:t>Radioactive materials including nuclear reactors and components thereof</w:t>
      </w:r>
      <w:r w:rsidRPr="000F7276">
        <w:rPr>
          <w:rStyle w:val="FootnoteReference"/>
          <w:sz w:val="24"/>
          <w:szCs w:val="24"/>
        </w:rPr>
        <w:footnoteReference w:id="75"/>
      </w:r>
      <w:r w:rsidRPr="000F7276">
        <w:rPr>
          <w:sz w:val="24"/>
          <w:szCs w:val="24"/>
        </w:rPr>
        <w:t xml:space="preserve"> (ADB, AfDB,</w:t>
      </w:r>
      <w:r w:rsidR="003F7392" w:rsidRPr="000F7276">
        <w:rPr>
          <w:sz w:val="24"/>
          <w:szCs w:val="24"/>
        </w:rPr>
        <w:t xml:space="preserve"> </w:t>
      </w:r>
      <w:r w:rsidR="00684C3A" w:rsidRPr="000F7276">
        <w:rPr>
          <w:sz w:val="24"/>
          <w:szCs w:val="24"/>
        </w:rPr>
        <w:t>EIB</w:t>
      </w:r>
      <w:r w:rsidR="006027C7" w:rsidRPr="000F7276">
        <w:rPr>
          <w:sz w:val="24"/>
          <w:szCs w:val="24"/>
        </w:rPr>
        <w:t>,</w:t>
      </w:r>
      <w:r w:rsidR="00001DEC" w:rsidRPr="000F7276">
        <w:rPr>
          <w:rStyle w:val="FootnoteReference"/>
          <w:sz w:val="24"/>
          <w:szCs w:val="24"/>
        </w:rPr>
        <w:footnoteReference w:id="76"/>
      </w:r>
      <w:r w:rsidR="00684C3A" w:rsidRPr="000F7276">
        <w:rPr>
          <w:sz w:val="24"/>
          <w:szCs w:val="24"/>
        </w:rPr>
        <w:t xml:space="preserve"> </w:t>
      </w:r>
      <w:r w:rsidRPr="000F7276">
        <w:rPr>
          <w:sz w:val="24"/>
          <w:szCs w:val="24"/>
        </w:rPr>
        <w:t>IDB, IFC)</w:t>
      </w:r>
      <w:r w:rsidR="00F50319" w:rsidRPr="000F7276">
        <w:rPr>
          <w:sz w:val="24"/>
          <w:szCs w:val="24"/>
        </w:rPr>
        <w:t>;</w:t>
      </w:r>
      <w:r w:rsidRPr="000F7276">
        <w:rPr>
          <w:sz w:val="24"/>
          <w:szCs w:val="24"/>
        </w:rPr>
        <w:t xml:space="preserve"> </w:t>
      </w:r>
    </w:p>
    <w:p w14:paraId="19A38324" w14:textId="77777777" w:rsidR="00C321F1" w:rsidRPr="000F7276" w:rsidRDefault="0077169C" w:rsidP="00A009E7">
      <w:pPr>
        <w:pStyle w:val="ListParagraph"/>
        <w:numPr>
          <w:ilvl w:val="0"/>
          <w:numId w:val="19"/>
        </w:numPr>
        <w:tabs>
          <w:tab w:val="left" w:pos="990"/>
          <w:tab w:val="left" w:pos="3980"/>
        </w:tabs>
        <w:ind w:left="990" w:hanging="270"/>
        <w:rPr>
          <w:rFonts w:asciiTheme="minorHAnsi" w:hAnsiTheme="minorHAnsi"/>
          <w:sz w:val="24"/>
          <w:szCs w:val="24"/>
        </w:rPr>
      </w:pPr>
      <w:r w:rsidRPr="000F7276">
        <w:rPr>
          <w:rFonts w:asciiTheme="minorHAnsi" w:hAnsiTheme="minorHAnsi"/>
          <w:sz w:val="24"/>
          <w:szCs w:val="24"/>
        </w:rPr>
        <w:t>Ozone dep</w:t>
      </w:r>
      <w:r w:rsidR="00E54C5C" w:rsidRPr="000F7276">
        <w:rPr>
          <w:rFonts w:asciiTheme="minorHAnsi" w:hAnsiTheme="minorHAnsi"/>
          <w:sz w:val="24"/>
          <w:szCs w:val="24"/>
        </w:rPr>
        <w:t xml:space="preserve">leting </w:t>
      </w:r>
      <w:r w:rsidRPr="000F7276">
        <w:rPr>
          <w:rFonts w:asciiTheme="minorHAnsi" w:hAnsiTheme="minorHAnsi"/>
          <w:sz w:val="24"/>
          <w:szCs w:val="24"/>
        </w:rPr>
        <w:t>substances subject to international phase out (</w:t>
      </w:r>
      <w:r w:rsidR="00D60C42" w:rsidRPr="000F7276">
        <w:rPr>
          <w:rFonts w:asciiTheme="minorHAnsi" w:hAnsiTheme="minorHAnsi"/>
          <w:sz w:val="24"/>
          <w:szCs w:val="24"/>
        </w:rPr>
        <w:t xml:space="preserve">ADB, </w:t>
      </w:r>
      <w:r w:rsidRPr="000F7276">
        <w:rPr>
          <w:rFonts w:asciiTheme="minorHAnsi" w:hAnsiTheme="minorHAnsi"/>
          <w:sz w:val="24"/>
          <w:szCs w:val="24"/>
        </w:rPr>
        <w:t>EBRD,</w:t>
      </w:r>
      <w:r w:rsidR="00580067" w:rsidRPr="000F7276">
        <w:rPr>
          <w:rFonts w:asciiTheme="minorHAnsi" w:hAnsiTheme="minorHAnsi"/>
          <w:sz w:val="24"/>
          <w:szCs w:val="24"/>
        </w:rPr>
        <w:t xml:space="preserve"> </w:t>
      </w:r>
      <w:r w:rsidRPr="000F7276">
        <w:rPr>
          <w:rFonts w:asciiTheme="minorHAnsi" w:hAnsiTheme="minorHAnsi"/>
          <w:sz w:val="24"/>
          <w:szCs w:val="24"/>
        </w:rPr>
        <w:t>IDB, IFC)</w:t>
      </w:r>
      <w:r w:rsidR="00F50319" w:rsidRPr="000F7276">
        <w:rPr>
          <w:rFonts w:asciiTheme="minorHAnsi" w:hAnsiTheme="minorHAnsi"/>
          <w:sz w:val="24"/>
          <w:szCs w:val="24"/>
        </w:rPr>
        <w:t>;</w:t>
      </w:r>
    </w:p>
    <w:p w14:paraId="30EAB626" w14:textId="77777777" w:rsidR="00C321F1" w:rsidRPr="000F7276" w:rsidRDefault="0077169C" w:rsidP="00A009E7">
      <w:pPr>
        <w:pStyle w:val="ListParagraph"/>
        <w:numPr>
          <w:ilvl w:val="0"/>
          <w:numId w:val="19"/>
        </w:numPr>
        <w:tabs>
          <w:tab w:val="left" w:pos="990"/>
          <w:tab w:val="left" w:pos="3980"/>
        </w:tabs>
        <w:ind w:left="990" w:hanging="270"/>
        <w:rPr>
          <w:rFonts w:asciiTheme="minorHAnsi" w:hAnsiTheme="minorHAnsi"/>
          <w:sz w:val="24"/>
          <w:szCs w:val="24"/>
        </w:rPr>
      </w:pPr>
      <w:r w:rsidRPr="000F7276">
        <w:rPr>
          <w:rFonts w:asciiTheme="minorHAnsi" w:hAnsiTheme="minorHAnsi"/>
          <w:sz w:val="24"/>
          <w:szCs w:val="24"/>
        </w:rPr>
        <w:t xml:space="preserve">Significant or commercial scale volume of </w:t>
      </w:r>
      <w:r w:rsidR="004868B5" w:rsidRPr="000F7276">
        <w:rPr>
          <w:rFonts w:asciiTheme="minorHAnsi" w:hAnsiTheme="minorHAnsi"/>
          <w:sz w:val="24"/>
          <w:szCs w:val="24"/>
        </w:rPr>
        <w:t>“</w:t>
      </w:r>
      <w:r w:rsidRPr="000F7276">
        <w:rPr>
          <w:rFonts w:asciiTheme="minorHAnsi" w:hAnsiTheme="minorHAnsi"/>
          <w:sz w:val="24"/>
          <w:szCs w:val="24"/>
        </w:rPr>
        <w:t>hazardous chemicals</w:t>
      </w:r>
      <w:r w:rsidR="004868B5" w:rsidRPr="000F7276">
        <w:rPr>
          <w:rFonts w:asciiTheme="minorHAnsi" w:hAnsiTheme="minorHAnsi"/>
          <w:sz w:val="24"/>
          <w:szCs w:val="24"/>
        </w:rPr>
        <w:t>”</w:t>
      </w:r>
      <w:r w:rsidRPr="000F7276">
        <w:rPr>
          <w:rFonts w:asciiTheme="minorHAnsi" w:hAnsiTheme="minorHAnsi"/>
          <w:sz w:val="24"/>
          <w:szCs w:val="24"/>
        </w:rPr>
        <w:t xml:space="preserve"> (</w:t>
      </w:r>
      <w:r w:rsidR="00D60C42" w:rsidRPr="000F7276">
        <w:rPr>
          <w:rFonts w:asciiTheme="minorHAnsi" w:hAnsiTheme="minorHAnsi"/>
          <w:sz w:val="24"/>
          <w:szCs w:val="24"/>
        </w:rPr>
        <w:t>ADB,</w:t>
      </w:r>
      <w:r w:rsidR="00D60C42" w:rsidRPr="000F7276">
        <w:rPr>
          <w:rStyle w:val="FootnoteReference"/>
          <w:rFonts w:asciiTheme="minorHAnsi" w:hAnsiTheme="minorHAnsi"/>
          <w:sz w:val="24"/>
          <w:szCs w:val="24"/>
        </w:rPr>
        <w:footnoteReference w:id="77"/>
      </w:r>
      <w:r w:rsidR="00D60C42" w:rsidRPr="000F7276">
        <w:rPr>
          <w:rFonts w:asciiTheme="minorHAnsi" w:hAnsiTheme="minorHAnsi"/>
          <w:sz w:val="24"/>
          <w:szCs w:val="24"/>
        </w:rPr>
        <w:t xml:space="preserve"> </w:t>
      </w:r>
      <w:r w:rsidRPr="000F7276">
        <w:rPr>
          <w:rFonts w:asciiTheme="minorHAnsi" w:hAnsiTheme="minorHAnsi"/>
          <w:sz w:val="24"/>
          <w:szCs w:val="24"/>
        </w:rPr>
        <w:t>IDB, IFC)</w:t>
      </w:r>
      <w:r w:rsidR="00F50319" w:rsidRPr="000F7276">
        <w:rPr>
          <w:rFonts w:asciiTheme="minorHAnsi" w:hAnsiTheme="minorHAnsi"/>
          <w:sz w:val="24"/>
          <w:szCs w:val="24"/>
        </w:rPr>
        <w:t>;</w:t>
      </w:r>
    </w:p>
    <w:p w14:paraId="375AA0E1" w14:textId="77777777" w:rsidR="00C321F1" w:rsidRPr="000F7276" w:rsidRDefault="0077169C" w:rsidP="00A009E7">
      <w:pPr>
        <w:pStyle w:val="ListParagraph"/>
        <w:numPr>
          <w:ilvl w:val="0"/>
          <w:numId w:val="19"/>
        </w:numPr>
        <w:autoSpaceDE/>
        <w:autoSpaceDN/>
        <w:adjustRightInd/>
        <w:spacing w:after="200"/>
        <w:ind w:left="994" w:hanging="274"/>
        <w:rPr>
          <w:rFonts w:asciiTheme="minorHAnsi" w:hAnsiTheme="minorHAnsi"/>
          <w:sz w:val="24"/>
          <w:szCs w:val="24"/>
        </w:rPr>
      </w:pPr>
      <w:r w:rsidRPr="000F7276">
        <w:rPr>
          <w:rFonts w:asciiTheme="minorHAnsi" w:hAnsiTheme="minorHAnsi"/>
          <w:sz w:val="24"/>
          <w:szCs w:val="24"/>
        </w:rPr>
        <w:t xml:space="preserve">Persistent organic pollutants </w:t>
      </w:r>
      <w:r w:rsidR="00F50319" w:rsidRPr="000F7276">
        <w:rPr>
          <w:rFonts w:asciiTheme="minorHAnsi" w:hAnsiTheme="minorHAnsi"/>
          <w:sz w:val="24"/>
          <w:szCs w:val="24"/>
        </w:rPr>
        <w:t>p</w:t>
      </w:r>
      <w:r w:rsidRPr="000F7276">
        <w:rPr>
          <w:rFonts w:asciiTheme="minorHAnsi" w:hAnsiTheme="minorHAnsi"/>
          <w:sz w:val="24"/>
          <w:szCs w:val="24"/>
        </w:rPr>
        <w:t>roduction and trade in products containing</w:t>
      </w:r>
      <w:r w:rsidR="003F7392" w:rsidRPr="000F7276">
        <w:rPr>
          <w:rFonts w:asciiTheme="minorHAnsi" w:hAnsiTheme="minorHAnsi"/>
          <w:sz w:val="24"/>
          <w:szCs w:val="24"/>
        </w:rPr>
        <w:t xml:space="preserve"> </w:t>
      </w:r>
      <w:r w:rsidR="00684C3A" w:rsidRPr="000F7276">
        <w:rPr>
          <w:rFonts w:asciiTheme="minorHAnsi" w:hAnsiTheme="minorHAnsi"/>
          <w:sz w:val="24"/>
          <w:szCs w:val="24"/>
        </w:rPr>
        <w:t>p</w:t>
      </w:r>
      <w:r w:rsidRPr="000F7276">
        <w:rPr>
          <w:rFonts w:asciiTheme="minorHAnsi" w:hAnsiTheme="minorHAnsi"/>
          <w:bCs/>
          <w:sz w:val="24"/>
          <w:szCs w:val="24"/>
        </w:rPr>
        <w:t>olychlorinated</w:t>
      </w:r>
      <w:r w:rsidRPr="000F7276">
        <w:rPr>
          <w:rFonts w:asciiTheme="minorHAnsi" w:hAnsiTheme="minorHAnsi"/>
          <w:b/>
          <w:bCs/>
          <w:sz w:val="24"/>
          <w:szCs w:val="24"/>
        </w:rPr>
        <w:t xml:space="preserve"> </w:t>
      </w:r>
      <w:r w:rsidRPr="000F7276">
        <w:rPr>
          <w:rFonts w:asciiTheme="minorHAnsi" w:hAnsiTheme="minorHAnsi"/>
          <w:bCs/>
          <w:sz w:val="24"/>
          <w:szCs w:val="24"/>
        </w:rPr>
        <w:t>biphenyls (PCBs)</w:t>
      </w:r>
      <w:r w:rsidRPr="000F7276">
        <w:rPr>
          <w:rFonts w:asciiTheme="minorHAnsi" w:hAnsiTheme="minorHAnsi"/>
          <w:sz w:val="24"/>
          <w:szCs w:val="24"/>
        </w:rPr>
        <w:t xml:space="preserve"> (</w:t>
      </w:r>
      <w:r w:rsidR="0055533A" w:rsidRPr="000F7276">
        <w:rPr>
          <w:rFonts w:asciiTheme="minorHAnsi" w:hAnsiTheme="minorHAnsi"/>
          <w:sz w:val="24"/>
          <w:szCs w:val="24"/>
        </w:rPr>
        <w:t xml:space="preserve">ADB, </w:t>
      </w:r>
      <w:r w:rsidR="004868B5" w:rsidRPr="000F7276">
        <w:rPr>
          <w:rFonts w:asciiTheme="minorHAnsi" w:hAnsiTheme="minorHAnsi"/>
          <w:sz w:val="24"/>
          <w:szCs w:val="24"/>
        </w:rPr>
        <w:t xml:space="preserve">EBRD, </w:t>
      </w:r>
      <w:r w:rsidRPr="000F7276">
        <w:rPr>
          <w:rFonts w:asciiTheme="minorHAnsi" w:hAnsiTheme="minorHAnsi"/>
          <w:sz w:val="24"/>
          <w:szCs w:val="24"/>
        </w:rPr>
        <w:t>IDB</w:t>
      </w:r>
      <w:r w:rsidR="00F677A5" w:rsidRPr="000F7276">
        <w:rPr>
          <w:rFonts w:asciiTheme="minorHAnsi" w:hAnsiTheme="minorHAnsi"/>
          <w:sz w:val="24"/>
          <w:szCs w:val="24"/>
        </w:rPr>
        <w:t>, IFC</w:t>
      </w:r>
      <w:r w:rsidRPr="000F7276">
        <w:rPr>
          <w:rFonts w:asciiTheme="minorHAnsi" w:hAnsiTheme="minorHAnsi"/>
          <w:sz w:val="24"/>
          <w:szCs w:val="24"/>
        </w:rPr>
        <w:t>)</w:t>
      </w:r>
      <w:r w:rsidR="00F50319" w:rsidRPr="000F7276">
        <w:rPr>
          <w:rFonts w:asciiTheme="minorHAnsi" w:hAnsiTheme="minorHAnsi"/>
          <w:sz w:val="24"/>
          <w:szCs w:val="24"/>
        </w:rPr>
        <w:t>;</w:t>
      </w:r>
    </w:p>
    <w:p w14:paraId="2ADA9FBF" w14:textId="77777777" w:rsidR="00C321F1" w:rsidRPr="000F7276" w:rsidRDefault="00715471" w:rsidP="00A009E7">
      <w:pPr>
        <w:pStyle w:val="ListParagraph"/>
        <w:numPr>
          <w:ilvl w:val="0"/>
          <w:numId w:val="19"/>
        </w:numPr>
        <w:tabs>
          <w:tab w:val="left" w:pos="990"/>
          <w:tab w:val="left" w:pos="3980"/>
        </w:tabs>
        <w:ind w:left="990" w:hanging="270"/>
        <w:rPr>
          <w:rFonts w:asciiTheme="minorHAnsi" w:hAnsiTheme="minorHAnsi"/>
          <w:sz w:val="24"/>
          <w:szCs w:val="24"/>
        </w:rPr>
      </w:pPr>
      <w:r w:rsidRPr="000F7276">
        <w:rPr>
          <w:rFonts w:asciiTheme="minorHAnsi" w:eastAsia="Times New Roman" w:hAnsiTheme="minorHAnsi" w:cs="Arial"/>
          <w:sz w:val="24"/>
          <w:szCs w:val="24"/>
        </w:rPr>
        <w:t xml:space="preserve">Production </w:t>
      </w:r>
      <w:r w:rsidR="00064E83" w:rsidRPr="000F7276">
        <w:rPr>
          <w:sz w:val="24"/>
          <w:szCs w:val="24"/>
        </w:rPr>
        <w:t>or</w:t>
      </w:r>
      <w:r w:rsidRPr="000F7276">
        <w:rPr>
          <w:rFonts w:asciiTheme="minorHAnsi" w:eastAsia="Times New Roman" w:hAnsiTheme="minorHAnsi" w:cs="Arial"/>
          <w:sz w:val="24"/>
          <w:szCs w:val="24"/>
        </w:rPr>
        <w:t xml:space="preserve"> trade in wood or other forestry products other than from sustainably managed forests</w:t>
      </w:r>
      <w:r w:rsidR="00D3136F" w:rsidRPr="000F7276">
        <w:rPr>
          <w:rFonts w:asciiTheme="minorHAnsi" w:eastAsia="Times New Roman" w:hAnsiTheme="minorHAnsi" w:cs="Arial"/>
          <w:sz w:val="24"/>
          <w:szCs w:val="24"/>
        </w:rPr>
        <w:t xml:space="preserve"> (IFC)</w:t>
      </w:r>
      <w:r w:rsidR="00F50319" w:rsidRPr="000F7276">
        <w:rPr>
          <w:rFonts w:asciiTheme="minorHAnsi" w:eastAsia="Times New Roman" w:hAnsiTheme="minorHAnsi" w:cs="Arial"/>
          <w:sz w:val="24"/>
          <w:szCs w:val="24"/>
        </w:rPr>
        <w:t>;</w:t>
      </w:r>
      <w:r w:rsidR="00CE4791" w:rsidRPr="000F7276">
        <w:rPr>
          <w:rFonts w:asciiTheme="minorHAnsi" w:eastAsia="Times New Roman" w:hAnsiTheme="minorHAnsi" w:cs="Arial"/>
          <w:sz w:val="24"/>
          <w:szCs w:val="24"/>
        </w:rPr>
        <w:t xml:space="preserve"> and</w:t>
      </w:r>
    </w:p>
    <w:p w14:paraId="74225968" w14:textId="77777777" w:rsidR="00A009E7" w:rsidRDefault="0077169C" w:rsidP="00655041">
      <w:pPr>
        <w:pStyle w:val="ListParagraph"/>
        <w:numPr>
          <w:ilvl w:val="0"/>
          <w:numId w:val="19"/>
        </w:numPr>
        <w:tabs>
          <w:tab w:val="left" w:pos="990"/>
          <w:tab w:val="left" w:pos="3980"/>
        </w:tabs>
        <w:spacing w:after="240"/>
        <w:ind w:left="994" w:hanging="274"/>
        <w:contextualSpacing w:val="0"/>
        <w:rPr>
          <w:rFonts w:asciiTheme="minorHAnsi" w:hAnsiTheme="minorHAnsi"/>
          <w:sz w:val="24"/>
          <w:szCs w:val="24"/>
        </w:rPr>
      </w:pPr>
      <w:r w:rsidRPr="000F7276">
        <w:rPr>
          <w:rFonts w:asciiTheme="minorHAnsi" w:hAnsiTheme="minorHAnsi"/>
          <w:sz w:val="24"/>
          <w:szCs w:val="24"/>
        </w:rPr>
        <w:t>Platinum, pearls, precious stones, gold and related products and other “luxury consumer goods” (AfDB</w:t>
      </w:r>
      <w:r w:rsidR="00684C3A" w:rsidRPr="000F7276">
        <w:rPr>
          <w:rFonts w:asciiTheme="minorHAnsi" w:hAnsiTheme="minorHAnsi"/>
          <w:sz w:val="24"/>
          <w:szCs w:val="24"/>
        </w:rPr>
        <w:t>)</w:t>
      </w:r>
      <w:r w:rsidR="00F50319" w:rsidRPr="000F7276">
        <w:rPr>
          <w:rFonts w:asciiTheme="minorHAnsi" w:hAnsiTheme="minorHAnsi"/>
          <w:sz w:val="24"/>
          <w:szCs w:val="24"/>
        </w:rPr>
        <w:t>.</w:t>
      </w:r>
    </w:p>
    <w:p w14:paraId="24095B2D" w14:textId="77777777" w:rsidR="00A009E7" w:rsidRDefault="0077169C" w:rsidP="00655041">
      <w:pPr>
        <w:pStyle w:val="ListParagraph"/>
        <w:numPr>
          <w:ilvl w:val="0"/>
          <w:numId w:val="18"/>
        </w:numPr>
        <w:tabs>
          <w:tab w:val="left" w:pos="990"/>
          <w:tab w:val="left" w:pos="3980"/>
        </w:tabs>
        <w:spacing w:before="240" w:after="240"/>
        <w:contextualSpacing w:val="0"/>
        <w:rPr>
          <w:i/>
          <w:sz w:val="24"/>
          <w:szCs w:val="24"/>
        </w:rPr>
      </w:pPr>
      <w:r w:rsidRPr="001375F3">
        <w:rPr>
          <w:i/>
          <w:sz w:val="24"/>
          <w:szCs w:val="24"/>
        </w:rPr>
        <w:t>Commercial exclusions.</w:t>
      </w:r>
      <w:r w:rsidR="003F7392" w:rsidRPr="001375F3">
        <w:rPr>
          <w:i/>
          <w:sz w:val="24"/>
          <w:szCs w:val="24"/>
        </w:rPr>
        <w:t xml:space="preserve"> </w:t>
      </w:r>
      <w:r w:rsidRPr="001375F3">
        <w:rPr>
          <w:i/>
          <w:sz w:val="24"/>
          <w:szCs w:val="24"/>
        </w:rPr>
        <w:t>These exclusions refer primarily to commerce (and to a lesser extent production)</w:t>
      </w:r>
      <w:r w:rsidRPr="001375F3">
        <w:rPr>
          <w:i/>
          <w:sz w:val="28"/>
          <w:szCs w:val="24"/>
        </w:rPr>
        <w:t xml:space="preserve"> </w:t>
      </w:r>
      <w:r w:rsidRPr="001375F3">
        <w:rPr>
          <w:i/>
          <w:sz w:val="24"/>
          <w:szCs w:val="24"/>
        </w:rPr>
        <w:t>of the following products and activities:</w:t>
      </w:r>
    </w:p>
    <w:p w14:paraId="1BC0D74A" w14:textId="64CCE8BC" w:rsidR="00C321F1" w:rsidRPr="000F7276" w:rsidRDefault="0077169C" w:rsidP="00A009E7">
      <w:pPr>
        <w:pStyle w:val="ListParagraph"/>
        <w:numPr>
          <w:ilvl w:val="0"/>
          <w:numId w:val="20"/>
        </w:numPr>
        <w:tabs>
          <w:tab w:val="left" w:pos="990"/>
          <w:tab w:val="left" w:pos="3980"/>
        </w:tabs>
        <w:ind w:left="990" w:hanging="270"/>
        <w:rPr>
          <w:sz w:val="24"/>
          <w:szCs w:val="24"/>
        </w:rPr>
      </w:pPr>
      <w:r w:rsidRPr="000F7276">
        <w:rPr>
          <w:sz w:val="24"/>
          <w:szCs w:val="24"/>
        </w:rPr>
        <w:t>Any product or activity deemed illegal under host country laws or regulations (ADB, AfDB, EIB, EBRD, IDB, IFC)</w:t>
      </w:r>
      <w:r w:rsidR="00F50319" w:rsidRPr="000F7276">
        <w:rPr>
          <w:sz w:val="24"/>
          <w:szCs w:val="24"/>
        </w:rPr>
        <w:t>;</w:t>
      </w:r>
    </w:p>
    <w:p w14:paraId="500FFAF0" w14:textId="77777777" w:rsidR="00C321F1" w:rsidRPr="000F7276" w:rsidRDefault="0077169C" w:rsidP="00A009E7">
      <w:pPr>
        <w:pStyle w:val="ListParagraph"/>
        <w:numPr>
          <w:ilvl w:val="0"/>
          <w:numId w:val="20"/>
        </w:numPr>
        <w:tabs>
          <w:tab w:val="left" w:pos="990"/>
          <w:tab w:val="left" w:pos="3980"/>
        </w:tabs>
        <w:ind w:left="990" w:hanging="270"/>
        <w:rPr>
          <w:sz w:val="24"/>
          <w:szCs w:val="24"/>
        </w:rPr>
      </w:pPr>
      <w:r w:rsidRPr="000F7276">
        <w:rPr>
          <w:sz w:val="24"/>
          <w:szCs w:val="24"/>
        </w:rPr>
        <w:t>Any product or activity deemed illegal under international conventions and agreements (ADB, AfDB, EBRD, IDB, IFC)</w:t>
      </w:r>
      <w:r w:rsidR="00F50319" w:rsidRPr="000F7276">
        <w:rPr>
          <w:sz w:val="24"/>
          <w:szCs w:val="24"/>
        </w:rPr>
        <w:t>;</w:t>
      </w:r>
    </w:p>
    <w:p w14:paraId="101AA6DA" w14:textId="79133351" w:rsidR="00C321F1" w:rsidRPr="000F7276" w:rsidRDefault="00064E83" w:rsidP="00A009E7">
      <w:pPr>
        <w:pStyle w:val="ListParagraph"/>
        <w:numPr>
          <w:ilvl w:val="0"/>
          <w:numId w:val="19"/>
        </w:numPr>
        <w:tabs>
          <w:tab w:val="left" w:pos="990"/>
          <w:tab w:val="left" w:pos="3980"/>
        </w:tabs>
        <w:ind w:left="990" w:hanging="270"/>
        <w:rPr>
          <w:sz w:val="24"/>
          <w:szCs w:val="24"/>
        </w:rPr>
      </w:pPr>
      <w:r w:rsidRPr="000F7276">
        <w:rPr>
          <w:rFonts w:asciiTheme="minorHAnsi" w:eastAsia="Times New Roman" w:hAnsiTheme="minorHAnsi" w:cs="Arial"/>
          <w:sz w:val="24"/>
          <w:szCs w:val="24"/>
        </w:rPr>
        <w:t>Any</w:t>
      </w:r>
      <w:r w:rsidR="0077169C" w:rsidRPr="000F7276">
        <w:rPr>
          <w:sz w:val="24"/>
          <w:szCs w:val="24"/>
        </w:rPr>
        <w:t xml:space="preserve"> product or activity </w:t>
      </w:r>
      <w:r w:rsidR="004868B5" w:rsidRPr="000F7276">
        <w:rPr>
          <w:sz w:val="24"/>
          <w:szCs w:val="24"/>
        </w:rPr>
        <w:t>(such as pharmaceuticals, pesticides/herbicides and other hazardous substances</w:t>
      </w:r>
      <w:r w:rsidR="00F669B8">
        <w:rPr>
          <w:sz w:val="24"/>
          <w:szCs w:val="24"/>
        </w:rPr>
        <w:t>)</w:t>
      </w:r>
      <w:r w:rsidR="004868B5" w:rsidRPr="000F7276">
        <w:rPr>
          <w:sz w:val="24"/>
          <w:szCs w:val="24"/>
        </w:rPr>
        <w:t xml:space="preserve"> </w:t>
      </w:r>
      <w:r w:rsidR="0077169C" w:rsidRPr="000F7276">
        <w:rPr>
          <w:sz w:val="24"/>
          <w:szCs w:val="24"/>
        </w:rPr>
        <w:t>subject to international phase out or bans (ADB, AfDB, EBRD, IDB, IFC)</w:t>
      </w:r>
      <w:r w:rsidR="00F50319" w:rsidRPr="000F7276">
        <w:rPr>
          <w:sz w:val="24"/>
          <w:szCs w:val="24"/>
        </w:rPr>
        <w:t>;</w:t>
      </w:r>
    </w:p>
    <w:p w14:paraId="697FAE9E" w14:textId="77777777" w:rsidR="00C321F1" w:rsidRPr="000F7276" w:rsidRDefault="0077169C" w:rsidP="00A009E7">
      <w:pPr>
        <w:pStyle w:val="ListParagraph"/>
        <w:numPr>
          <w:ilvl w:val="0"/>
          <w:numId w:val="20"/>
        </w:numPr>
        <w:tabs>
          <w:tab w:val="left" w:pos="990"/>
          <w:tab w:val="left" w:pos="3980"/>
        </w:tabs>
        <w:rPr>
          <w:sz w:val="24"/>
          <w:szCs w:val="24"/>
        </w:rPr>
      </w:pPr>
      <w:r w:rsidRPr="000F7276">
        <w:rPr>
          <w:sz w:val="24"/>
          <w:szCs w:val="24"/>
        </w:rPr>
        <w:t>Wildlife or wildlife products regulated under CITES (</w:t>
      </w:r>
      <w:r w:rsidR="0055533A" w:rsidRPr="000F7276">
        <w:rPr>
          <w:sz w:val="24"/>
          <w:szCs w:val="24"/>
        </w:rPr>
        <w:t xml:space="preserve">ADB, </w:t>
      </w:r>
      <w:r w:rsidRPr="000F7276">
        <w:rPr>
          <w:sz w:val="24"/>
          <w:szCs w:val="24"/>
        </w:rPr>
        <w:t>AfDB, EBRD,</w:t>
      </w:r>
      <w:r w:rsidR="00580067" w:rsidRPr="000F7276">
        <w:rPr>
          <w:sz w:val="24"/>
          <w:szCs w:val="24"/>
        </w:rPr>
        <w:t xml:space="preserve"> </w:t>
      </w:r>
      <w:r w:rsidRPr="000F7276">
        <w:rPr>
          <w:sz w:val="24"/>
          <w:szCs w:val="24"/>
        </w:rPr>
        <w:t>IDB</w:t>
      </w:r>
      <w:r w:rsidR="00684C3A" w:rsidRPr="000F7276">
        <w:rPr>
          <w:sz w:val="24"/>
          <w:szCs w:val="24"/>
        </w:rPr>
        <w:t>,</w:t>
      </w:r>
      <w:r w:rsidRPr="000F7276">
        <w:rPr>
          <w:sz w:val="24"/>
          <w:szCs w:val="24"/>
        </w:rPr>
        <w:t xml:space="preserve"> IFC)</w:t>
      </w:r>
      <w:r w:rsidR="00F50319" w:rsidRPr="000F7276">
        <w:rPr>
          <w:sz w:val="24"/>
          <w:szCs w:val="24"/>
        </w:rPr>
        <w:t>;</w:t>
      </w:r>
    </w:p>
    <w:p w14:paraId="625AD0CB" w14:textId="77777777" w:rsidR="00C321F1" w:rsidRPr="000F7276" w:rsidRDefault="00210FBA" w:rsidP="00A009E7">
      <w:pPr>
        <w:pStyle w:val="ListParagraph"/>
        <w:numPr>
          <w:ilvl w:val="0"/>
          <w:numId w:val="20"/>
        </w:numPr>
        <w:tabs>
          <w:tab w:val="left" w:pos="990"/>
          <w:tab w:val="left" w:pos="3980"/>
        </w:tabs>
        <w:rPr>
          <w:sz w:val="24"/>
          <w:szCs w:val="24"/>
        </w:rPr>
      </w:pPr>
      <w:r w:rsidRPr="000F7276">
        <w:rPr>
          <w:sz w:val="24"/>
          <w:szCs w:val="24"/>
        </w:rPr>
        <w:t>Transboundary movements of w</w:t>
      </w:r>
      <w:r w:rsidR="0077169C" w:rsidRPr="000F7276">
        <w:rPr>
          <w:sz w:val="24"/>
          <w:szCs w:val="24"/>
        </w:rPr>
        <w:t xml:space="preserve">aste products </w:t>
      </w:r>
      <w:r w:rsidRPr="000F7276">
        <w:rPr>
          <w:sz w:val="24"/>
          <w:szCs w:val="24"/>
        </w:rPr>
        <w:t xml:space="preserve">prohibited under international law </w:t>
      </w:r>
      <w:r w:rsidR="0077169C" w:rsidRPr="000F7276">
        <w:rPr>
          <w:sz w:val="24"/>
          <w:szCs w:val="24"/>
        </w:rPr>
        <w:t>(</w:t>
      </w:r>
      <w:r w:rsidR="00AB5455" w:rsidRPr="000F7276">
        <w:rPr>
          <w:sz w:val="24"/>
          <w:szCs w:val="24"/>
        </w:rPr>
        <w:t xml:space="preserve">ADB, </w:t>
      </w:r>
      <w:r w:rsidR="0077169C" w:rsidRPr="000F7276">
        <w:rPr>
          <w:sz w:val="24"/>
          <w:szCs w:val="24"/>
        </w:rPr>
        <w:t>EBRD, IDB)</w:t>
      </w:r>
      <w:r w:rsidR="00F50319" w:rsidRPr="000F7276">
        <w:rPr>
          <w:sz w:val="24"/>
          <w:szCs w:val="24"/>
        </w:rPr>
        <w:t>;</w:t>
      </w:r>
    </w:p>
    <w:p w14:paraId="5108DD14" w14:textId="77777777" w:rsidR="00C321F1" w:rsidRPr="000F7276" w:rsidRDefault="0077169C" w:rsidP="00A009E7">
      <w:pPr>
        <w:pStyle w:val="ListParagraph"/>
        <w:numPr>
          <w:ilvl w:val="0"/>
          <w:numId w:val="20"/>
        </w:numPr>
        <w:tabs>
          <w:tab w:val="left" w:pos="990"/>
          <w:tab w:val="left" w:pos="3980"/>
        </w:tabs>
        <w:ind w:left="990" w:hanging="270"/>
        <w:rPr>
          <w:sz w:val="24"/>
          <w:szCs w:val="24"/>
        </w:rPr>
      </w:pPr>
      <w:r w:rsidRPr="000F7276">
        <w:rPr>
          <w:sz w:val="24"/>
          <w:szCs w:val="24"/>
        </w:rPr>
        <w:t>Goods without required export or import licenses or other evidence of authorization of transit fr</w:t>
      </w:r>
      <w:r w:rsidR="00F50319" w:rsidRPr="000F7276">
        <w:rPr>
          <w:sz w:val="24"/>
          <w:szCs w:val="24"/>
        </w:rPr>
        <w:t>o</w:t>
      </w:r>
      <w:r w:rsidRPr="000F7276">
        <w:rPr>
          <w:sz w:val="24"/>
          <w:szCs w:val="24"/>
        </w:rPr>
        <w:t>m the relevant countries of export, import and if applicable, transit (EBRD)</w:t>
      </w:r>
      <w:r w:rsidR="00F50319" w:rsidRPr="000F7276">
        <w:rPr>
          <w:sz w:val="24"/>
          <w:szCs w:val="24"/>
        </w:rPr>
        <w:t>;</w:t>
      </w:r>
    </w:p>
    <w:p w14:paraId="6ECBB654" w14:textId="77777777" w:rsidR="00A009E7" w:rsidRDefault="0077169C" w:rsidP="00A009E7">
      <w:pPr>
        <w:pStyle w:val="ListParagraph"/>
        <w:numPr>
          <w:ilvl w:val="0"/>
          <w:numId w:val="20"/>
        </w:numPr>
        <w:tabs>
          <w:tab w:val="left" w:pos="990"/>
          <w:tab w:val="left" w:pos="3980"/>
        </w:tabs>
        <w:spacing w:after="240"/>
        <w:ind w:left="990" w:hanging="270"/>
        <w:rPr>
          <w:sz w:val="24"/>
          <w:szCs w:val="24"/>
        </w:rPr>
      </w:pPr>
      <w:r w:rsidRPr="000F7276">
        <w:rPr>
          <w:sz w:val="24"/>
          <w:szCs w:val="24"/>
        </w:rPr>
        <w:t>Shipment of oil or other hazardous substances in tankers which do not comply with International Maritime Organization Requirements (EBRD</w:t>
      </w:r>
      <w:r w:rsidR="00F50319" w:rsidRPr="000F7276">
        <w:rPr>
          <w:sz w:val="24"/>
          <w:szCs w:val="24"/>
        </w:rPr>
        <w:t>).</w:t>
      </w:r>
      <w:r w:rsidR="00B35A47" w:rsidRPr="000F7276">
        <w:rPr>
          <w:rStyle w:val="FootnoteReference"/>
          <w:sz w:val="24"/>
          <w:szCs w:val="24"/>
        </w:rPr>
        <w:footnoteReference w:id="78"/>
      </w:r>
    </w:p>
    <w:p w14:paraId="57DF5AB6" w14:textId="15FB8FE3" w:rsidR="006C04D0" w:rsidRPr="000F7276" w:rsidRDefault="006C04D0" w:rsidP="00A009E7">
      <w:pPr>
        <w:tabs>
          <w:tab w:val="left" w:pos="990"/>
          <w:tab w:val="left" w:pos="3980"/>
        </w:tabs>
        <w:ind w:left="720"/>
        <w:rPr>
          <w:sz w:val="24"/>
          <w:szCs w:val="24"/>
        </w:rPr>
      </w:pPr>
    </w:p>
    <w:p w14:paraId="2EA7EBCF" w14:textId="6087DAE7" w:rsidR="008609EF" w:rsidRPr="000F7276" w:rsidRDefault="00517664" w:rsidP="00A009E7">
      <w:pPr>
        <w:pStyle w:val="hhhead1"/>
      </w:pPr>
      <w:bookmarkStart w:id="8" w:name="_Toc387300893"/>
      <w:bookmarkStart w:id="9" w:name="_Toc387300894"/>
      <w:bookmarkStart w:id="10" w:name="_Toc387300895"/>
      <w:bookmarkStart w:id="11" w:name="_Toc419114251"/>
      <w:bookmarkEnd w:id="8"/>
      <w:bookmarkEnd w:id="9"/>
      <w:bookmarkEnd w:id="10"/>
      <w:r w:rsidRPr="000F7276">
        <w:rPr>
          <w:rFonts w:cs="Times New Roman"/>
        </w:rPr>
        <w:t xml:space="preserve">COMPARISON OF </w:t>
      </w:r>
      <w:r w:rsidR="00E4048C" w:rsidRPr="000F7276">
        <w:rPr>
          <w:rFonts w:cs="Times New Roman"/>
        </w:rPr>
        <w:t>Operational</w:t>
      </w:r>
      <w:r w:rsidR="00081048" w:rsidRPr="000F7276">
        <w:rPr>
          <w:rFonts w:cs="Times New Roman"/>
        </w:rPr>
        <w:t xml:space="preserve"> </w:t>
      </w:r>
      <w:r w:rsidR="00E4048C" w:rsidRPr="000F7276">
        <w:t>Safeguard</w:t>
      </w:r>
      <w:r w:rsidR="00015AA9" w:rsidRPr="000F7276">
        <w:t>s</w:t>
      </w:r>
      <w:r w:rsidR="00E4048C" w:rsidRPr="000F7276">
        <w:t xml:space="preserve"> App</w:t>
      </w:r>
      <w:r w:rsidR="00015AA9" w:rsidRPr="000F7276">
        <w:t>licable to borrowers</w:t>
      </w:r>
      <w:bookmarkEnd w:id="11"/>
    </w:p>
    <w:p w14:paraId="7B0E290E" w14:textId="50956267" w:rsidR="00C321F1" w:rsidRPr="000F7276" w:rsidRDefault="00F02EAC" w:rsidP="00A009E7">
      <w:pPr>
        <w:pStyle w:val="ListParagraph"/>
        <w:keepNext/>
        <w:keepLines/>
        <w:numPr>
          <w:ilvl w:val="0"/>
          <w:numId w:val="16"/>
        </w:numPr>
        <w:spacing w:after="240"/>
        <w:ind w:left="490" w:hanging="490"/>
        <w:rPr>
          <w:rFonts w:cs="Times New Roman"/>
          <w:b/>
          <w:sz w:val="24"/>
          <w:szCs w:val="24"/>
        </w:rPr>
      </w:pPr>
      <w:r w:rsidRPr="000F7276">
        <w:rPr>
          <w:rFonts w:cs="Times New Roman"/>
          <w:b/>
          <w:sz w:val="24"/>
          <w:szCs w:val="24"/>
        </w:rPr>
        <w:t>Objectives</w:t>
      </w:r>
      <w:r w:rsidR="00914147" w:rsidRPr="000F7276">
        <w:rPr>
          <w:rFonts w:cs="Times New Roman"/>
          <w:b/>
          <w:sz w:val="24"/>
          <w:szCs w:val="24"/>
        </w:rPr>
        <w:t xml:space="preserve"> and Scope of this Review</w:t>
      </w:r>
    </w:p>
    <w:p w14:paraId="698F90A0" w14:textId="77777777" w:rsidR="00A009E7" w:rsidRDefault="00D00612" w:rsidP="00A009E7">
      <w:pPr>
        <w:tabs>
          <w:tab w:val="left" w:pos="0"/>
        </w:tabs>
        <w:autoSpaceDE/>
        <w:autoSpaceDN/>
        <w:adjustRightInd/>
        <w:spacing w:after="240"/>
        <w:contextualSpacing/>
        <w:rPr>
          <w:rFonts w:cs="Calibri"/>
          <w:sz w:val="24"/>
          <w:szCs w:val="24"/>
        </w:rPr>
      </w:pPr>
      <w:r w:rsidRPr="00F669B8">
        <w:rPr>
          <w:rFonts w:cs="Times New Roman"/>
          <w:bCs/>
          <w:noProof/>
          <w:sz w:val="24"/>
          <w:szCs w:val="24"/>
        </w:rPr>
        <mc:AlternateContent>
          <mc:Choice Requires="wps">
            <w:drawing>
              <wp:anchor distT="45720" distB="45720" distL="114300" distR="114300" simplePos="0" relativeHeight="251659776" behindDoc="0" locked="0" layoutInCell="1" allowOverlap="1" wp14:anchorId="593FF874" wp14:editId="658C303F">
                <wp:simplePos x="0" y="0"/>
                <wp:positionH relativeFrom="margin">
                  <wp:align>right</wp:align>
                </wp:positionH>
                <wp:positionV relativeFrom="margin">
                  <wp:posOffset>2547620</wp:posOffset>
                </wp:positionV>
                <wp:extent cx="3185160" cy="3687445"/>
                <wp:effectExtent l="0" t="0" r="152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3687445"/>
                        </a:xfrm>
                        <a:prstGeom prst="rect">
                          <a:avLst/>
                        </a:prstGeom>
                        <a:solidFill>
                          <a:srgbClr val="FFFFFF"/>
                        </a:solidFill>
                        <a:ln w="15875">
                          <a:solidFill>
                            <a:srgbClr val="000000"/>
                          </a:solidFill>
                          <a:miter lim="800000"/>
                          <a:headEnd/>
                          <a:tailEnd/>
                        </a:ln>
                      </wps:spPr>
                      <wps:txbx>
                        <w:txbxContent>
                          <w:p w14:paraId="01A6DEE5" w14:textId="77777777" w:rsidR="00CF59E1" w:rsidRPr="000F7276" w:rsidRDefault="00CF59E1" w:rsidP="00F669B8">
                            <w:pPr>
                              <w:jc w:val="center"/>
                              <w:rPr>
                                <w:rFonts w:cs="Calibri"/>
                                <w:b/>
                                <w:bCs/>
                                <w:sz w:val="20"/>
                                <w:szCs w:val="20"/>
                              </w:rPr>
                            </w:pPr>
                            <w:r w:rsidRPr="000F7276">
                              <w:rPr>
                                <w:rFonts w:cs="Calibri"/>
                                <w:b/>
                                <w:bCs/>
                                <w:sz w:val="20"/>
                                <w:szCs w:val="20"/>
                              </w:rPr>
                              <w:t>Box 2. World Bank Safeguard Policies</w:t>
                            </w:r>
                          </w:p>
                          <w:p w14:paraId="79C1B12F" w14:textId="1BABB4E7" w:rsidR="00CF59E1" w:rsidRPr="000F7276" w:rsidRDefault="00CF59E1" w:rsidP="00F669B8">
                            <w:pPr>
                              <w:pStyle w:val="ListParagraph"/>
                              <w:numPr>
                                <w:ilvl w:val="0"/>
                                <w:numId w:val="4"/>
                              </w:numPr>
                              <w:autoSpaceDE/>
                              <w:autoSpaceDN/>
                              <w:adjustRightInd/>
                              <w:ind w:left="187" w:hanging="187"/>
                              <w:contextualSpacing w:val="0"/>
                              <w:rPr>
                                <w:sz w:val="20"/>
                                <w:szCs w:val="20"/>
                              </w:rPr>
                            </w:pPr>
                            <w:r w:rsidRPr="000F7276">
                              <w:rPr>
                                <w:rFonts w:cs="Calibri"/>
                                <w:sz w:val="20"/>
                                <w:szCs w:val="20"/>
                              </w:rPr>
                              <w:t>OP 4.01, Environmental Assessment was issued in January 1999 and has been incrementally revised through 2012, although the majority of its provisions</w:t>
                            </w:r>
                            <w:r>
                              <w:rPr>
                                <w:rFonts w:cs="Calibri"/>
                                <w:sz w:val="20"/>
                                <w:szCs w:val="20"/>
                              </w:rPr>
                              <w:t xml:space="preserve"> were already in place in 1999;</w:t>
                            </w:r>
                          </w:p>
                          <w:p w14:paraId="16B7488C" w14:textId="77777777" w:rsidR="00CF59E1" w:rsidRPr="000F7276" w:rsidRDefault="00CF59E1" w:rsidP="00F669B8">
                            <w:pPr>
                              <w:pStyle w:val="ListParagraph"/>
                              <w:numPr>
                                <w:ilvl w:val="0"/>
                                <w:numId w:val="4"/>
                              </w:numPr>
                              <w:autoSpaceDE/>
                              <w:autoSpaceDN/>
                              <w:adjustRightInd/>
                              <w:ind w:left="187" w:hanging="187"/>
                              <w:contextualSpacing w:val="0"/>
                              <w:rPr>
                                <w:sz w:val="20"/>
                                <w:szCs w:val="20"/>
                              </w:rPr>
                            </w:pPr>
                            <w:r w:rsidRPr="000F7276">
                              <w:rPr>
                                <w:rFonts w:cs="Calibri"/>
                                <w:sz w:val="20"/>
                                <w:szCs w:val="20"/>
                              </w:rPr>
                              <w:t xml:space="preserve">OP 4.04, Natural Habitats, was issued in June 2001; </w:t>
                            </w:r>
                          </w:p>
                          <w:p w14:paraId="1066D43E" w14:textId="77777777" w:rsidR="00CF59E1" w:rsidRPr="000F7276" w:rsidRDefault="00CF59E1" w:rsidP="00F669B8">
                            <w:pPr>
                              <w:pStyle w:val="ListParagraph"/>
                              <w:numPr>
                                <w:ilvl w:val="0"/>
                                <w:numId w:val="4"/>
                              </w:numPr>
                              <w:autoSpaceDE/>
                              <w:autoSpaceDN/>
                              <w:adjustRightInd/>
                              <w:ind w:left="187" w:hanging="187"/>
                              <w:contextualSpacing w:val="0"/>
                              <w:rPr>
                                <w:sz w:val="20"/>
                                <w:szCs w:val="20"/>
                              </w:rPr>
                            </w:pPr>
                            <w:r w:rsidRPr="000F7276">
                              <w:rPr>
                                <w:rFonts w:cs="Calibri"/>
                                <w:sz w:val="20"/>
                                <w:szCs w:val="20"/>
                              </w:rPr>
                              <w:t xml:space="preserve">OP 4.09, Pest Management, was issued in December 1998 with minor revisions in 2004; </w:t>
                            </w:r>
                          </w:p>
                          <w:p w14:paraId="53E8F689" w14:textId="77777777" w:rsidR="00CF59E1" w:rsidRPr="000F7276" w:rsidRDefault="00CF59E1" w:rsidP="00F669B8">
                            <w:pPr>
                              <w:pStyle w:val="ListParagraph"/>
                              <w:numPr>
                                <w:ilvl w:val="0"/>
                                <w:numId w:val="4"/>
                              </w:numPr>
                              <w:autoSpaceDE/>
                              <w:autoSpaceDN/>
                              <w:adjustRightInd/>
                              <w:ind w:left="187" w:hanging="187"/>
                              <w:contextualSpacing w:val="0"/>
                              <w:rPr>
                                <w:sz w:val="20"/>
                                <w:szCs w:val="20"/>
                              </w:rPr>
                            </w:pPr>
                            <w:r w:rsidRPr="000F7276">
                              <w:rPr>
                                <w:rFonts w:cs="Calibri"/>
                                <w:sz w:val="20"/>
                                <w:szCs w:val="20"/>
                              </w:rPr>
                              <w:t xml:space="preserve">OP 4.37, Safety of Dams, was issued in October 2001; </w:t>
                            </w:r>
                          </w:p>
                          <w:p w14:paraId="2B46BF76" w14:textId="77777777" w:rsidR="00CF59E1" w:rsidRPr="000F7276" w:rsidRDefault="00CF59E1" w:rsidP="00F669B8">
                            <w:pPr>
                              <w:pStyle w:val="ListParagraph"/>
                              <w:numPr>
                                <w:ilvl w:val="0"/>
                                <w:numId w:val="4"/>
                              </w:numPr>
                              <w:autoSpaceDE/>
                              <w:autoSpaceDN/>
                              <w:adjustRightInd/>
                              <w:ind w:left="187" w:hanging="187"/>
                              <w:contextualSpacing w:val="0"/>
                              <w:rPr>
                                <w:sz w:val="20"/>
                                <w:szCs w:val="20"/>
                              </w:rPr>
                            </w:pPr>
                            <w:r w:rsidRPr="000F7276">
                              <w:rPr>
                                <w:rFonts w:cs="Calibri"/>
                                <w:sz w:val="20"/>
                                <w:szCs w:val="20"/>
                              </w:rPr>
                              <w:t xml:space="preserve">OP 4.36, Forests, was issued in November 2002; </w:t>
                            </w:r>
                          </w:p>
                          <w:p w14:paraId="542BD59A" w14:textId="77777777" w:rsidR="00CF59E1" w:rsidRPr="000F7276" w:rsidRDefault="00CF59E1" w:rsidP="00F669B8">
                            <w:pPr>
                              <w:pStyle w:val="ListParagraph"/>
                              <w:numPr>
                                <w:ilvl w:val="0"/>
                                <w:numId w:val="4"/>
                              </w:numPr>
                              <w:autoSpaceDE/>
                              <w:autoSpaceDN/>
                              <w:adjustRightInd/>
                              <w:ind w:left="187" w:hanging="187"/>
                              <w:contextualSpacing w:val="0"/>
                              <w:rPr>
                                <w:b/>
                                <w:sz w:val="20"/>
                                <w:szCs w:val="20"/>
                              </w:rPr>
                            </w:pPr>
                            <w:r w:rsidRPr="000F7276">
                              <w:rPr>
                                <w:rFonts w:cs="Calibri"/>
                                <w:sz w:val="20"/>
                                <w:szCs w:val="20"/>
                              </w:rPr>
                              <w:t xml:space="preserve">OP 4.12, Involuntary Resettlement, was issued in December 2001 and revised in </w:t>
                            </w:r>
                            <w:r w:rsidRPr="000F7276">
                              <w:rPr>
                                <w:rStyle w:val="Strong"/>
                                <w:rFonts w:cs="Calibri"/>
                                <w:b w:val="0"/>
                                <w:color w:val="000000"/>
                                <w:sz w:val="20"/>
                                <w:szCs w:val="20"/>
                              </w:rPr>
                              <w:t>August 2004 to ensure consistency with the requirements of</w:t>
                            </w:r>
                            <w:r w:rsidRPr="000F7276">
                              <w:rPr>
                                <w:rFonts w:cs="Calibri"/>
                                <w:b/>
                                <w:sz w:val="20"/>
                                <w:szCs w:val="20"/>
                              </w:rPr>
                              <w:t xml:space="preserve"> </w:t>
                            </w:r>
                            <w:hyperlink r:id="rId12" w:history="1">
                              <w:r w:rsidRPr="000F7276">
                                <w:rPr>
                                  <w:rStyle w:val="Strong"/>
                                  <w:rFonts w:cs="Calibri"/>
                                  <w:b w:val="0"/>
                                  <w:sz w:val="20"/>
                                  <w:szCs w:val="20"/>
                                </w:rPr>
                                <w:t>OP</w:t>
                              </w:r>
                            </w:hyperlink>
                            <w:r w:rsidRPr="000F7276">
                              <w:rPr>
                                <w:rStyle w:val="Strong"/>
                                <w:rFonts w:cs="Calibri"/>
                                <w:b w:val="0"/>
                                <w:color w:val="000000"/>
                                <w:sz w:val="20"/>
                                <w:szCs w:val="20"/>
                              </w:rPr>
                              <w:t xml:space="preserve"> 8.60; revised in March 2007 to reflect the issuance of</w:t>
                            </w:r>
                            <w:r w:rsidRPr="000F7276">
                              <w:rPr>
                                <w:rFonts w:cs="Calibri"/>
                                <w:b/>
                                <w:color w:val="000000"/>
                                <w:sz w:val="20"/>
                                <w:szCs w:val="20"/>
                              </w:rPr>
                              <w:t xml:space="preserve"> </w:t>
                            </w:r>
                            <w:hyperlink r:id="rId13" w:history="1">
                              <w:r w:rsidRPr="000F7276">
                                <w:rPr>
                                  <w:rStyle w:val="Strong"/>
                                  <w:rFonts w:cs="Calibri"/>
                                  <w:b w:val="0"/>
                                  <w:sz w:val="20"/>
                                  <w:szCs w:val="20"/>
                                </w:rPr>
                                <w:t>OP</w:t>
                              </w:r>
                            </w:hyperlink>
                            <w:r w:rsidRPr="000F7276">
                              <w:rPr>
                                <w:rStyle w:val="Strong"/>
                                <w:rFonts w:cs="Calibri"/>
                                <w:b w:val="0"/>
                                <w:color w:val="000000"/>
                                <w:sz w:val="20"/>
                                <w:szCs w:val="20"/>
                              </w:rPr>
                              <w:t xml:space="preserve"> 8.00, Rapid Response to Crises and Emergencies, updated in February 2011 to clarify the Use of Escrow Accounts in order to Help Reduce Delays in Implementation of Resettlement, and Clarification of Funding of Grievance Mechanisms.</w:t>
                            </w:r>
                            <w:r w:rsidRPr="000F7276">
                              <w:rPr>
                                <w:rFonts w:cs="Calibri"/>
                                <w:b/>
                                <w:sz w:val="20"/>
                                <w:szCs w:val="20"/>
                              </w:rPr>
                              <w:t xml:space="preserve"> </w:t>
                            </w:r>
                          </w:p>
                          <w:p w14:paraId="3A88B6F6" w14:textId="77777777" w:rsidR="00CF59E1" w:rsidRPr="00D00612" w:rsidRDefault="00CF59E1" w:rsidP="00F669B8">
                            <w:pPr>
                              <w:pStyle w:val="ListParagraph"/>
                              <w:numPr>
                                <w:ilvl w:val="0"/>
                                <w:numId w:val="4"/>
                              </w:numPr>
                              <w:autoSpaceDE/>
                              <w:autoSpaceDN/>
                              <w:adjustRightInd/>
                              <w:ind w:left="187" w:hanging="187"/>
                              <w:contextualSpacing w:val="0"/>
                              <w:rPr>
                                <w:sz w:val="20"/>
                                <w:szCs w:val="20"/>
                              </w:rPr>
                            </w:pPr>
                            <w:r w:rsidRPr="000F7276">
                              <w:rPr>
                                <w:rFonts w:cs="Calibri"/>
                                <w:sz w:val="20"/>
                                <w:szCs w:val="20"/>
                              </w:rPr>
                              <w:t xml:space="preserve">OP 4.10, Indigenous Peoples, was issued in July 2005; and </w:t>
                            </w:r>
                          </w:p>
                          <w:p w14:paraId="0F5E65EE" w14:textId="29DFBC7B" w:rsidR="00CF59E1" w:rsidRPr="00D00612" w:rsidRDefault="00CF59E1" w:rsidP="00F669B8">
                            <w:pPr>
                              <w:pStyle w:val="ListParagraph"/>
                              <w:numPr>
                                <w:ilvl w:val="0"/>
                                <w:numId w:val="4"/>
                              </w:numPr>
                              <w:autoSpaceDE/>
                              <w:autoSpaceDN/>
                              <w:adjustRightInd/>
                              <w:ind w:left="187" w:hanging="187"/>
                              <w:contextualSpacing w:val="0"/>
                              <w:rPr>
                                <w:sz w:val="20"/>
                                <w:szCs w:val="20"/>
                              </w:rPr>
                            </w:pPr>
                            <w:r w:rsidRPr="00D00612">
                              <w:rPr>
                                <w:rFonts w:cs="Calibri"/>
                                <w:sz w:val="20"/>
                                <w:szCs w:val="20"/>
                              </w:rPr>
                              <w:t>OP 4.11, Physical Cultural Resources, was issued in July 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FF874" id="_x0000_t202" coordsize="21600,21600" o:spt="202" path="m,l,21600r21600,l21600,xe">
                <v:stroke joinstyle="miter"/>
                <v:path gradientshapeok="t" o:connecttype="rect"/>
              </v:shapetype>
              <v:shape id="Text Box 2" o:spid="_x0000_s1029" type="#_x0000_t202" style="position:absolute;margin-left:199.6pt;margin-top:200.6pt;width:250.8pt;height:290.3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" strokeweight="1.25pt">
                <v:textbox>
                  <w:txbxContent>
                    <w:p w14:paraId="01A6DEE5" w14:textId="77777777" w:rsidR="00CF59E1" w:rsidRPr="000F7276" w:rsidRDefault="00CF59E1" w:rsidP="00F669B8">
                      <w:pPr>
                        <w:jc w:val="center"/>
                        <w:rPr>
                          <w:rFonts w:cs="Calibri"/>
                          <w:b/>
                          <w:bCs/>
                          <w:sz w:val="20"/>
                          <w:szCs w:val="20"/>
                        </w:rPr>
                      </w:pPr>
                      <w:r w:rsidRPr="000F7276">
                        <w:rPr>
                          <w:rFonts w:cs="Calibri"/>
                          <w:b/>
                          <w:bCs/>
                          <w:sz w:val="20"/>
                          <w:szCs w:val="20"/>
                        </w:rPr>
                        <w:t>Box 2. World Bank Safeguard Policies</w:t>
                      </w:r>
                    </w:p>
                    <w:p w14:paraId="79C1B12F" w14:textId="1BABB4E7" w:rsidR="00CF59E1" w:rsidRPr="000F7276" w:rsidRDefault="00CF59E1" w:rsidP="00F669B8">
                      <w:pPr>
                        <w:pStyle w:val="ListParagraph"/>
                        <w:numPr>
                          <w:ilvl w:val="0"/>
                          <w:numId w:val="4"/>
                        </w:numPr>
                        <w:autoSpaceDE/>
                        <w:autoSpaceDN/>
                        <w:adjustRightInd/>
                        <w:ind w:left="187" w:hanging="187"/>
                        <w:contextualSpacing w:val="0"/>
                        <w:rPr>
                          <w:sz w:val="20"/>
                          <w:szCs w:val="20"/>
                        </w:rPr>
                      </w:pPr>
                      <w:r w:rsidRPr="000F7276">
                        <w:rPr>
                          <w:rFonts w:cs="Calibri"/>
                          <w:sz w:val="20"/>
                          <w:szCs w:val="20"/>
                        </w:rPr>
                        <w:t>OP 4.01, Environmental Assessment was issued in January 1999 and has been incrementally revised through 2012, although the majority of its provisions</w:t>
                      </w:r>
                      <w:r>
                        <w:rPr>
                          <w:rFonts w:cs="Calibri"/>
                          <w:sz w:val="20"/>
                          <w:szCs w:val="20"/>
                        </w:rPr>
                        <w:t xml:space="preserve"> were already in place in 1999;</w:t>
                      </w:r>
                    </w:p>
                    <w:p w14:paraId="16B7488C" w14:textId="77777777" w:rsidR="00CF59E1" w:rsidRPr="000F7276" w:rsidRDefault="00CF59E1" w:rsidP="00F669B8">
                      <w:pPr>
                        <w:pStyle w:val="ListParagraph"/>
                        <w:numPr>
                          <w:ilvl w:val="0"/>
                          <w:numId w:val="4"/>
                        </w:numPr>
                        <w:autoSpaceDE/>
                        <w:autoSpaceDN/>
                        <w:adjustRightInd/>
                        <w:ind w:left="187" w:hanging="187"/>
                        <w:contextualSpacing w:val="0"/>
                        <w:rPr>
                          <w:sz w:val="20"/>
                          <w:szCs w:val="20"/>
                        </w:rPr>
                      </w:pPr>
                      <w:r w:rsidRPr="000F7276">
                        <w:rPr>
                          <w:rFonts w:cs="Calibri"/>
                          <w:sz w:val="20"/>
                          <w:szCs w:val="20"/>
                        </w:rPr>
                        <w:t xml:space="preserve">OP 4.04, Natural Habitats, was issued in June 2001; </w:t>
                      </w:r>
                    </w:p>
                    <w:p w14:paraId="1066D43E" w14:textId="77777777" w:rsidR="00CF59E1" w:rsidRPr="000F7276" w:rsidRDefault="00CF59E1" w:rsidP="00F669B8">
                      <w:pPr>
                        <w:pStyle w:val="ListParagraph"/>
                        <w:numPr>
                          <w:ilvl w:val="0"/>
                          <w:numId w:val="4"/>
                        </w:numPr>
                        <w:autoSpaceDE/>
                        <w:autoSpaceDN/>
                        <w:adjustRightInd/>
                        <w:ind w:left="187" w:hanging="187"/>
                        <w:contextualSpacing w:val="0"/>
                        <w:rPr>
                          <w:sz w:val="20"/>
                          <w:szCs w:val="20"/>
                        </w:rPr>
                      </w:pPr>
                      <w:r w:rsidRPr="000F7276">
                        <w:rPr>
                          <w:rFonts w:cs="Calibri"/>
                          <w:sz w:val="20"/>
                          <w:szCs w:val="20"/>
                        </w:rPr>
                        <w:t xml:space="preserve">OP 4.09, Pest Management, was issued in December 1998 with minor revisions in 2004; </w:t>
                      </w:r>
                    </w:p>
                    <w:p w14:paraId="53E8F689" w14:textId="77777777" w:rsidR="00CF59E1" w:rsidRPr="000F7276" w:rsidRDefault="00CF59E1" w:rsidP="00F669B8">
                      <w:pPr>
                        <w:pStyle w:val="ListParagraph"/>
                        <w:numPr>
                          <w:ilvl w:val="0"/>
                          <w:numId w:val="4"/>
                        </w:numPr>
                        <w:autoSpaceDE/>
                        <w:autoSpaceDN/>
                        <w:adjustRightInd/>
                        <w:ind w:left="187" w:hanging="187"/>
                        <w:contextualSpacing w:val="0"/>
                        <w:rPr>
                          <w:sz w:val="20"/>
                          <w:szCs w:val="20"/>
                        </w:rPr>
                      </w:pPr>
                      <w:r w:rsidRPr="000F7276">
                        <w:rPr>
                          <w:rFonts w:cs="Calibri"/>
                          <w:sz w:val="20"/>
                          <w:szCs w:val="20"/>
                        </w:rPr>
                        <w:t xml:space="preserve">OP 4.37, Safety of Dams, was issued in October 2001; </w:t>
                      </w:r>
                    </w:p>
                    <w:p w14:paraId="2B46BF76" w14:textId="77777777" w:rsidR="00CF59E1" w:rsidRPr="000F7276" w:rsidRDefault="00CF59E1" w:rsidP="00F669B8">
                      <w:pPr>
                        <w:pStyle w:val="ListParagraph"/>
                        <w:numPr>
                          <w:ilvl w:val="0"/>
                          <w:numId w:val="4"/>
                        </w:numPr>
                        <w:autoSpaceDE/>
                        <w:autoSpaceDN/>
                        <w:adjustRightInd/>
                        <w:ind w:left="187" w:hanging="187"/>
                        <w:contextualSpacing w:val="0"/>
                        <w:rPr>
                          <w:sz w:val="20"/>
                          <w:szCs w:val="20"/>
                        </w:rPr>
                      </w:pPr>
                      <w:r w:rsidRPr="000F7276">
                        <w:rPr>
                          <w:rFonts w:cs="Calibri"/>
                          <w:sz w:val="20"/>
                          <w:szCs w:val="20"/>
                        </w:rPr>
                        <w:t xml:space="preserve">OP 4.36, Forests, was issued in November 2002; </w:t>
                      </w:r>
                    </w:p>
                    <w:p w14:paraId="542BD59A" w14:textId="77777777" w:rsidR="00CF59E1" w:rsidRPr="000F7276" w:rsidRDefault="00CF59E1" w:rsidP="00F669B8">
                      <w:pPr>
                        <w:pStyle w:val="ListParagraph"/>
                        <w:numPr>
                          <w:ilvl w:val="0"/>
                          <w:numId w:val="4"/>
                        </w:numPr>
                        <w:autoSpaceDE/>
                        <w:autoSpaceDN/>
                        <w:adjustRightInd/>
                        <w:ind w:left="187" w:hanging="187"/>
                        <w:contextualSpacing w:val="0"/>
                        <w:rPr>
                          <w:b/>
                          <w:sz w:val="20"/>
                          <w:szCs w:val="20"/>
                        </w:rPr>
                      </w:pPr>
                      <w:r w:rsidRPr="000F7276">
                        <w:rPr>
                          <w:rFonts w:cs="Calibri"/>
                          <w:sz w:val="20"/>
                          <w:szCs w:val="20"/>
                        </w:rPr>
                        <w:t xml:space="preserve">OP 4.12, Involuntary Resettlement, was issued in December 2001 and revised in </w:t>
                      </w:r>
                      <w:r w:rsidRPr="000F7276">
                        <w:rPr>
                          <w:rStyle w:val="Strong"/>
                          <w:rFonts w:cs="Calibri"/>
                          <w:b w:val="0"/>
                          <w:color w:val="000000"/>
                          <w:sz w:val="20"/>
                          <w:szCs w:val="20"/>
                        </w:rPr>
                        <w:t>August 2004 to ensure consistency with the requirements of</w:t>
                      </w:r>
                      <w:r w:rsidRPr="000F7276">
                        <w:rPr>
                          <w:rFonts w:cs="Calibri"/>
                          <w:b/>
                          <w:sz w:val="20"/>
                          <w:szCs w:val="20"/>
                        </w:rPr>
                        <w:t xml:space="preserve"> </w:t>
                      </w:r>
                      <w:hyperlink r:id="rId14" w:history="1">
                        <w:r w:rsidRPr="000F7276">
                          <w:rPr>
                            <w:rStyle w:val="Strong"/>
                            <w:rFonts w:cs="Calibri"/>
                            <w:b w:val="0"/>
                            <w:sz w:val="20"/>
                            <w:szCs w:val="20"/>
                          </w:rPr>
                          <w:t>OP</w:t>
                        </w:r>
                      </w:hyperlink>
                      <w:r w:rsidRPr="000F7276">
                        <w:rPr>
                          <w:rStyle w:val="Strong"/>
                          <w:rFonts w:cs="Calibri"/>
                          <w:b w:val="0"/>
                          <w:color w:val="000000"/>
                          <w:sz w:val="20"/>
                          <w:szCs w:val="20"/>
                        </w:rPr>
                        <w:t xml:space="preserve"> 8.60; revised in March 2007 to reflect the issuance of</w:t>
                      </w:r>
                      <w:r w:rsidRPr="000F7276">
                        <w:rPr>
                          <w:rFonts w:cs="Calibri"/>
                          <w:b/>
                          <w:color w:val="000000"/>
                          <w:sz w:val="20"/>
                          <w:szCs w:val="20"/>
                        </w:rPr>
                        <w:t xml:space="preserve"> </w:t>
                      </w:r>
                      <w:hyperlink r:id="rId15" w:history="1">
                        <w:r w:rsidRPr="000F7276">
                          <w:rPr>
                            <w:rStyle w:val="Strong"/>
                            <w:rFonts w:cs="Calibri"/>
                            <w:b w:val="0"/>
                            <w:sz w:val="20"/>
                            <w:szCs w:val="20"/>
                          </w:rPr>
                          <w:t>OP</w:t>
                        </w:r>
                      </w:hyperlink>
                      <w:r w:rsidRPr="000F7276">
                        <w:rPr>
                          <w:rStyle w:val="Strong"/>
                          <w:rFonts w:cs="Calibri"/>
                          <w:b w:val="0"/>
                          <w:color w:val="000000"/>
                          <w:sz w:val="20"/>
                          <w:szCs w:val="20"/>
                        </w:rPr>
                        <w:t xml:space="preserve"> 8.00, Rapid Response to Crises and Emergencies, updated in February 2011 to clarify the Use of Escrow Accounts in order to Help Reduce Delays in Implementation of Resettlement, and Clarification of Funding of Grievance Mechanisms.</w:t>
                      </w:r>
                      <w:r w:rsidRPr="000F7276">
                        <w:rPr>
                          <w:rFonts w:cs="Calibri"/>
                          <w:b/>
                          <w:sz w:val="20"/>
                          <w:szCs w:val="20"/>
                        </w:rPr>
                        <w:t xml:space="preserve"> </w:t>
                      </w:r>
                    </w:p>
                    <w:p w14:paraId="3A88B6F6" w14:textId="77777777" w:rsidR="00CF59E1" w:rsidRPr="00D00612" w:rsidRDefault="00CF59E1" w:rsidP="00F669B8">
                      <w:pPr>
                        <w:pStyle w:val="ListParagraph"/>
                        <w:numPr>
                          <w:ilvl w:val="0"/>
                          <w:numId w:val="4"/>
                        </w:numPr>
                        <w:autoSpaceDE/>
                        <w:autoSpaceDN/>
                        <w:adjustRightInd/>
                        <w:ind w:left="187" w:hanging="187"/>
                        <w:contextualSpacing w:val="0"/>
                        <w:rPr>
                          <w:sz w:val="20"/>
                          <w:szCs w:val="20"/>
                        </w:rPr>
                      </w:pPr>
                      <w:r w:rsidRPr="000F7276">
                        <w:rPr>
                          <w:rFonts w:cs="Calibri"/>
                          <w:sz w:val="20"/>
                          <w:szCs w:val="20"/>
                        </w:rPr>
                        <w:t xml:space="preserve">OP 4.10, Indigenous Peoples, was issued in July 2005; and </w:t>
                      </w:r>
                    </w:p>
                    <w:p w14:paraId="0F5E65EE" w14:textId="29DFBC7B" w:rsidR="00CF59E1" w:rsidRPr="00D00612" w:rsidRDefault="00CF59E1" w:rsidP="00F669B8">
                      <w:pPr>
                        <w:pStyle w:val="ListParagraph"/>
                        <w:numPr>
                          <w:ilvl w:val="0"/>
                          <w:numId w:val="4"/>
                        </w:numPr>
                        <w:autoSpaceDE/>
                        <w:autoSpaceDN/>
                        <w:adjustRightInd/>
                        <w:ind w:left="187" w:hanging="187"/>
                        <w:contextualSpacing w:val="0"/>
                        <w:rPr>
                          <w:sz w:val="20"/>
                          <w:szCs w:val="20"/>
                        </w:rPr>
                      </w:pPr>
                      <w:r w:rsidRPr="00D00612">
                        <w:rPr>
                          <w:rFonts w:cs="Calibri"/>
                          <w:sz w:val="20"/>
                          <w:szCs w:val="20"/>
                        </w:rPr>
                        <w:t>OP 4.11, Physical Cultural Resources, was issued in July 2006.</w:t>
                      </w:r>
                    </w:p>
                  </w:txbxContent>
                </v:textbox>
                <w10:wrap type="square" anchorx="margin" anchory="margin"/>
              </v:shape>
            </w:pict>
          </mc:Fallback>
        </mc:AlternateContent>
      </w:r>
      <w:r w:rsidR="00064E83" w:rsidRPr="000F7276">
        <w:rPr>
          <w:rFonts w:cs="Times New Roman"/>
          <w:bCs/>
          <w:sz w:val="24"/>
          <w:szCs w:val="24"/>
        </w:rPr>
        <w:t>An</w:t>
      </w:r>
      <w:r w:rsidR="00C60A39" w:rsidRPr="000F7276">
        <w:rPr>
          <w:rFonts w:cs="Times New Roman"/>
          <w:bCs/>
          <w:sz w:val="24"/>
          <w:szCs w:val="24"/>
        </w:rPr>
        <w:t>other</w:t>
      </w:r>
      <w:r w:rsidR="00064E83" w:rsidRPr="000F7276">
        <w:rPr>
          <w:rFonts w:cs="Times New Roman"/>
          <w:bCs/>
          <w:sz w:val="24"/>
          <w:szCs w:val="24"/>
        </w:rPr>
        <w:t xml:space="preserve"> objective of the review is to</w:t>
      </w:r>
      <w:r w:rsidR="00F02EAC" w:rsidRPr="000F7276">
        <w:rPr>
          <w:rFonts w:cs="Calibri"/>
          <w:sz w:val="24"/>
          <w:szCs w:val="24"/>
        </w:rPr>
        <w:t xml:space="preserve"> identity “innovative” </w:t>
      </w:r>
      <w:r w:rsidR="00F02EAC" w:rsidRPr="000F7276">
        <w:rPr>
          <w:rFonts w:cs="Calibri"/>
          <w:i/>
          <w:sz w:val="24"/>
          <w:szCs w:val="24"/>
        </w:rPr>
        <w:t>operational requirements</w:t>
      </w:r>
      <w:r w:rsidR="00F02EAC" w:rsidRPr="000F7276">
        <w:rPr>
          <w:rFonts w:cs="Calibri"/>
          <w:sz w:val="24"/>
          <w:szCs w:val="24"/>
        </w:rPr>
        <w:t xml:space="preserve"> that have been adopted by the Bank’s major MDB counterparts since 2006,</w:t>
      </w:r>
      <w:r w:rsidR="00F02EAC" w:rsidRPr="000F7276">
        <w:rPr>
          <w:rFonts w:cs="Calibri"/>
          <w:sz w:val="24"/>
          <w:szCs w:val="24"/>
          <w:vertAlign w:val="superscript"/>
        </w:rPr>
        <w:footnoteReference w:id="79"/>
      </w:r>
      <w:r w:rsidR="00F02EAC" w:rsidRPr="000F7276">
        <w:rPr>
          <w:rFonts w:cs="Calibri"/>
          <w:sz w:val="24"/>
          <w:szCs w:val="24"/>
        </w:rPr>
        <w:t xml:space="preserve"> when the Bank issued the most recent of its eight Operational Policies (OPs) relating to environmental and social safeguards </w:t>
      </w:r>
      <w:r w:rsidR="00C60A39" w:rsidRPr="000F7276">
        <w:rPr>
          <w:rFonts w:cs="Calibri"/>
          <w:sz w:val="24"/>
          <w:szCs w:val="24"/>
        </w:rPr>
        <w:t xml:space="preserve">(see Box 2). The word </w:t>
      </w:r>
      <w:r w:rsidR="00F02EAC" w:rsidRPr="000F7276">
        <w:rPr>
          <w:rFonts w:cs="Calibri"/>
          <w:sz w:val="24"/>
          <w:szCs w:val="24"/>
        </w:rPr>
        <w:t>“</w:t>
      </w:r>
      <w:r w:rsidR="00C60A39" w:rsidRPr="000F7276">
        <w:rPr>
          <w:rFonts w:cs="Calibri"/>
          <w:sz w:val="24"/>
          <w:szCs w:val="24"/>
        </w:rPr>
        <w:t>i</w:t>
      </w:r>
      <w:r w:rsidR="00F02EAC" w:rsidRPr="000F7276">
        <w:rPr>
          <w:rFonts w:cs="Calibri"/>
          <w:sz w:val="24"/>
          <w:szCs w:val="24"/>
        </w:rPr>
        <w:t>nnovati</w:t>
      </w:r>
      <w:r w:rsidR="00C60A39" w:rsidRPr="000F7276">
        <w:rPr>
          <w:rFonts w:cs="Calibri"/>
          <w:sz w:val="24"/>
          <w:szCs w:val="24"/>
        </w:rPr>
        <w:t>ve</w:t>
      </w:r>
      <w:r w:rsidR="00F02EAC" w:rsidRPr="000F7276">
        <w:rPr>
          <w:rFonts w:cs="Calibri"/>
          <w:sz w:val="24"/>
          <w:szCs w:val="24"/>
        </w:rPr>
        <w:t xml:space="preserve">” </w:t>
      </w:r>
      <w:r w:rsidR="00C60A39" w:rsidRPr="000F7276">
        <w:rPr>
          <w:rFonts w:cs="Calibri"/>
          <w:sz w:val="24"/>
          <w:szCs w:val="24"/>
        </w:rPr>
        <w:t>as used here assumes that MDBs have taken existing Bank OPs into account when revising their respective environmental and social safeguard requirements applicable to borrowers. The requirements cited below are deemed “innovative” in relation to corresponding existing Bank safeguard requirements, as well as in relation to previous versions of these MDBs’ safeguard provisions.</w:t>
      </w:r>
      <w:r w:rsidR="000E6B3D" w:rsidRPr="000F7276">
        <w:rPr>
          <w:rFonts w:cs="Calibri"/>
          <w:sz w:val="24"/>
          <w:szCs w:val="24"/>
        </w:rPr>
        <w:t xml:space="preserve"> </w:t>
      </w:r>
      <w:r w:rsidR="00F145F9" w:rsidRPr="000F7276">
        <w:rPr>
          <w:rFonts w:cs="Calibri"/>
          <w:sz w:val="24"/>
          <w:szCs w:val="24"/>
        </w:rPr>
        <w:t>Use of the word “innovative”</w:t>
      </w:r>
      <w:r w:rsidR="00112EBB" w:rsidRPr="000F7276">
        <w:rPr>
          <w:rFonts w:cs="Calibri"/>
          <w:sz w:val="24"/>
          <w:szCs w:val="24"/>
        </w:rPr>
        <w:t xml:space="preserve"> </w:t>
      </w:r>
      <w:r w:rsidR="00F145F9" w:rsidRPr="000F7276">
        <w:rPr>
          <w:rFonts w:cs="Calibri"/>
          <w:sz w:val="24"/>
          <w:szCs w:val="24"/>
        </w:rPr>
        <w:t>in this context</w:t>
      </w:r>
      <w:r w:rsidR="00C60A39" w:rsidRPr="000F7276">
        <w:rPr>
          <w:rFonts w:cs="Calibri"/>
          <w:sz w:val="24"/>
          <w:szCs w:val="24"/>
        </w:rPr>
        <w:t xml:space="preserve"> is not intended to convey any value judgment as to whether the provisions cited are more protective of the environment or </w:t>
      </w:r>
      <w:r w:rsidR="00C05728" w:rsidRPr="000F7276">
        <w:rPr>
          <w:rFonts w:cs="Calibri"/>
          <w:sz w:val="24"/>
          <w:szCs w:val="24"/>
        </w:rPr>
        <w:t>project affec</w:t>
      </w:r>
      <w:r w:rsidR="00C60A39" w:rsidRPr="000F7276">
        <w:rPr>
          <w:rFonts w:cs="Calibri"/>
          <w:sz w:val="24"/>
          <w:szCs w:val="24"/>
        </w:rPr>
        <w:t>ted people than the corresponding provisions of the Bank’s OPs</w:t>
      </w:r>
      <w:r w:rsidR="00F145F9" w:rsidRPr="000F7276">
        <w:rPr>
          <w:rFonts w:cs="Calibri"/>
          <w:sz w:val="24"/>
          <w:szCs w:val="24"/>
        </w:rPr>
        <w:t>, as Bank OPs contain a number of unique provisions not replicated by other MDBs or included in this analysis</w:t>
      </w:r>
      <w:r w:rsidR="00C60A39" w:rsidRPr="000F7276">
        <w:rPr>
          <w:rFonts w:cs="Calibri"/>
          <w:sz w:val="24"/>
          <w:szCs w:val="24"/>
        </w:rPr>
        <w:t xml:space="preserve">. Likewise no value judgments are </w:t>
      </w:r>
      <w:r w:rsidR="00F145F9" w:rsidRPr="000F7276">
        <w:rPr>
          <w:rFonts w:cs="Calibri"/>
          <w:sz w:val="24"/>
          <w:szCs w:val="24"/>
        </w:rPr>
        <w:t>stated or implied as</w:t>
      </w:r>
      <w:r w:rsidR="00C60A39" w:rsidRPr="000F7276">
        <w:rPr>
          <w:rFonts w:cs="Calibri"/>
          <w:sz w:val="24"/>
          <w:szCs w:val="24"/>
        </w:rPr>
        <w:t xml:space="preserve"> to the transactional feasibility of these provisions, borrower and/or MDB compliance with them or the results of their application.</w:t>
      </w:r>
    </w:p>
    <w:p w14:paraId="410E8852" w14:textId="77777777" w:rsidR="00A009E7" w:rsidRDefault="00BF6CDC" w:rsidP="00A009E7">
      <w:pPr>
        <w:spacing w:after="240"/>
        <w:rPr>
          <w:rFonts w:cs="Calibri"/>
          <w:sz w:val="24"/>
          <w:szCs w:val="24"/>
        </w:rPr>
      </w:pPr>
      <w:r w:rsidRPr="000F7276">
        <w:rPr>
          <w:rFonts w:cs="Times New Roman"/>
          <w:sz w:val="24"/>
          <w:szCs w:val="24"/>
        </w:rPr>
        <w:t xml:space="preserve">This section </w:t>
      </w:r>
      <w:r w:rsidR="004E3313" w:rsidRPr="000F7276">
        <w:rPr>
          <w:rFonts w:cs="Times New Roman"/>
          <w:sz w:val="24"/>
          <w:szCs w:val="24"/>
        </w:rPr>
        <w:t xml:space="preserve">focuses </w:t>
      </w:r>
      <w:r w:rsidR="001A251D" w:rsidRPr="000F7276">
        <w:rPr>
          <w:rFonts w:cs="Times New Roman"/>
          <w:sz w:val="24"/>
          <w:szCs w:val="24"/>
        </w:rPr>
        <w:t xml:space="preserve">exclusively </w:t>
      </w:r>
      <w:r w:rsidR="004E3313" w:rsidRPr="000F7276">
        <w:rPr>
          <w:rFonts w:cs="Times New Roman"/>
          <w:sz w:val="24"/>
          <w:szCs w:val="24"/>
        </w:rPr>
        <w:t>on</w:t>
      </w:r>
      <w:r w:rsidRPr="000F7276">
        <w:rPr>
          <w:rFonts w:cs="Times New Roman"/>
          <w:sz w:val="24"/>
          <w:szCs w:val="24"/>
        </w:rPr>
        <w:t xml:space="preserve"> </w:t>
      </w:r>
      <w:r w:rsidR="00F02EAC" w:rsidRPr="000F7276">
        <w:rPr>
          <w:rFonts w:cs="Times New Roman"/>
          <w:sz w:val="24"/>
          <w:szCs w:val="24"/>
        </w:rPr>
        <w:t xml:space="preserve">the </w:t>
      </w:r>
      <w:r w:rsidR="00CC10D5" w:rsidRPr="000F7276">
        <w:rPr>
          <w:rFonts w:cs="Times New Roman"/>
          <w:sz w:val="24"/>
          <w:szCs w:val="24"/>
        </w:rPr>
        <w:t>operational</w:t>
      </w:r>
      <w:r w:rsidR="00DB42A9" w:rsidRPr="000F7276">
        <w:rPr>
          <w:rFonts w:cs="Times New Roman"/>
          <w:sz w:val="24"/>
          <w:szCs w:val="24"/>
        </w:rPr>
        <w:t xml:space="preserve"> </w:t>
      </w:r>
      <w:r w:rsidR="00CC10D5" w:rsidRPr="000F7276">
        <w:rPr>
          <w:rFonts w:cs="Times New Roman"/>
          <w:sz w:val="24"/>
          <w:szCs w:val="24"/>
        </w:rPr>
        <w:t>safeguard</w:t>
      </w:r>
      <w:r w:rsidR="00F02EAC" w:rsidRPr="000F7276">
        <w:rPr>
          <w:rFonts w:cs="Times New Roman"/>
          <w:sz w:val="24"/>
          <w:szCs w:val="24"/>
        </w:rPr>
        <w:t>s</w:t>
      </w:r>
      <w:r w:rsidR="002E5378" w:rsidRPr="000F7276">
        <w:rPr>
          <w:rStyle w:val="FootnoteReference"/>
          <w:rFonts w:cs="Times New Roman"/>
          <w:sz w:val="24"/>
          <w:szCs w:val="24"/>
        </w:rPr>
        <w:footnoteReference w:id="80"/>
      </w:r>
      <w:r w:rsidR="00D00612">
        <w:rPr>
          <w:rFonts w:cs="Times New Roman"/>
          <w:sz w:val="24"/>
          <w:szCs w:val="24"/>
        </w:rPr>
        <w:t xml:space="preserve"> </w:t>
      </w:r>
      <w:r w:rsidR="00E91F66" w:rsidRPr="000F7276">
        <w:rPr>
          <w:rFonts w:cs="Times New Roman"/>
          <w:sz w:val="24"/>
          <w:szCs w:val="24"/>
        </w:rPr>
        <w:t xml:space="preserve">of </w:t>
      </w:r>
      <w:r w:rsidR="00CE4791" w:rsidRPr="000F7276">
        <w:rPr>
          <w:rFonts w:cs="Times New Roman"/>
          <w:sz w:val="24"/>
          <w:szCs w:val="24"/>
        </w:rPr>
        <w:t>public sector</w:t>
      </w:r>
      <w:r w:rsidR="00E91F66" w:rsidRPr="000F7276">
        <w:rPr>
          <w:rFonts w:cs="Times New Roman"/>
          <w:sz w:val="24"/>
          <w:szCs w:val="24"/>
        </w:rPr>
        <w:t xml:space="preserve"> oriented MDBs (ADB, AfDB</w:t>
      </w:r>
      <w:r w:rsidR="00FB1C65" w:rsidRPr="000F7276">
        <w:rPr>
          <w:rFonts w:cs="Times New Roman"/>
          <w:sz w:val="24"/>
          <w:szCs w:val="24"/>
        </w:rPr>
        <w:t>, EIB</w:t>
      </w:r>
      <w:r w:rsidR="00E91F66" w:rsidRPr="000F7276">
        <w:rPr>
          <w:rFonts w:cs="Times New Roman"/>
          <w:sz w:val="24"/>
          <w:szCs w:val="24"/>
        </w:rPr>
        <w:t xml:space="preserve"> and IDB)</w:t>
      </w:r>
      <w:r w:rsidR="001A251D" w:rsidRPr="000F7276">
        <w:rPr>
          <w:rFonts w:cs="Times New Roman"/>
          <w:sz w:val="24"/>
          <w:szCs w:val="24"/>
        </w:rPr>
        <w:t>.</w:t>
      </w:r>
      <w:r w:rsidR="00E91F66" w:rsidRPr="000F7276">
        <w:rPr>
          <w:rFonts w:cs="Times New Roman"/>
          <w:sz w:val="24"/>
          <w:szCs w:val="24"/>
        </w:rPr>
        <w:t xml:space="preserve"> </w:t>
      </w:r>
      <w:r w:rsidR="001A251D" w:rsidRPr="000F7276">
        <w:rPr>
          <w:rFonts w:cs="Calibri"/>
          <w:sz w:val="24"/>
          <w:szCs w:val="24"/>
        </w:rPr>
        <w:t xml:space="preserve">It does not include institutions that provide most of their support directly to the private sector, such as EBRD, or the Bank’s own private sector affiliates, the IFC and the Multilateral Investment Guarantee Agency (MIGA). The decision to limit the scope of this section of the report </w:t>
      </w:r>
      <w:r w:rsidR="001564C6" w:rsidRPr="000F7276">
        <w:rPr>
          <w:rFonts w:cs="Calibri"/>
          <w:sz w:val="24"/>
          <w:szCs w:val="24"/>
        </w:rPr>
        <w:t xml:space="preserve">to </w:t>
      </w:r>
      <w:r w:rsidR="00CE4791" w:rsidRPr="000F7276">
        <w:rPr>
          <w:rFonts w:cs="Calibri"/>
          <w:sz w:val="24"/>
          <w:szCs w:val="24"/>
        </w:rPr>
        <w:t>public sector</w:t>
      </w:r>
      <w:r w:rsidR="001A251D" w:rsidRPr="000F7276">
        <w:rPr>
          <w:rFonts w:cs="Calibri"/>
          <w:sz w:val="24"/>
          <w:szCs w:val="24"/>
        </w:rPr>
        <w:t xml:space="preserve"> oriented MDBs was made in order to identify safeguard requirements that have been applied to </w:t>
      </w:r>
      <w:r w:rsidR="00835603" w:rsidRPr="000F7276">
        <w:rPr>
          <w:rFonts w:cs="Calibri"/>
          <w:sz w:val="24"/>
          <w:szCs w:val="24"/>
        </w:rPr>
        <w:t>public sector</w:t>
      </w:r>
      <w:r w:rsidR="001A251D" w:rsidRPr="000F7276">
        <w:rPr>
          <w:rFonts w:cs="Calibri"/>
          <w:sz w:val="24"/>
          <w:szCs w:val="24"/>
        </w:rPr>
        <w:t xml:space="preserve"> clients</w:t>
      </w:r>
      <w:r w:rsidR="00D00612">
        <w:rPr>
          <w:rFonts w:cs="Calibri"/>
          <w:sz w:val="24"/>
          <w:szCs w:val="24"/>
        </w:rPr>
        <w:t>,</w:t>
      </w:r>
      <w:r w:rsidR="001A251D" w:rsidRPr="000F7276">
        <w:rPr>
          <w:rFonts w:cs="Calibri"/>
          <w:sz w:val="24"/>
          <w:szCs w:val="24"/>
        </w:rPr>
        <w:t xml:space="preserve"> who comprise the World Bank’s core clientele</w:t>
      </w:r>
      <w:r w:rsidR="00D00612">
        <w:rPr>
          <w:rFonts w:cs="Calibri"/>
          <w:sz w:val="24"/>
          <w:szCs w:val="24"/>
        </w:rPr>
        <w:t>,</w:t>
      </w:r>
      <w:r w:rsidR="001A251D" w:rsidRPr="000F7276">
        <w:rPr>
          <w:rFonts w:cs="Calibri"/>
          <w:sz w:val="24"/>
          <w:szCs w:val="24"/>
        </w:rPr>
        <w:t xml:space="preserve"> as distinct from</w:t>
      </w:r>
      <w:r w:rsidR="00B47D4B" w:rsidRPr="000F7276">
        <w:rPr>
          <w:rFonts w:cs="Calibri"/>
          <w:sz w:val="24"/>
          <w:szCs w:val="24"/>
        </w:rPr>
        <w:t xml:space="preserve"> </w:t>
      </w:r>
      <w:r w:rsidR="0038049C" w:rsidRPr="000F7276">
        <w:rPr>
          <w:rFonts w:cs="Calibri"/>
          <w:sz w:val="24"/>
          <w:szCs w:val="24"/>
        </w:rPr>
        <w:t>the private sector clients of IFC</w:t>
      </w:r>
      <w:r w:rsidR="00F155D0" w:rsidRPr="000F7276">
        <w:rPr>
          <w:rFonts w:cs="Calibri"/>
          <w:sz w:val="24"/>
          <w:szCs w:val="24"/>
        </w:rPr>
        <w:t>/MIGA</w:t>
      </w:r>
      <w:r w:rsidR="00F155D0" w:rsidRPr="000F7276">
        <w:rPr>
          <w:rStyle w:val="FootnoteReference"/>
          <w:rFonts w:cs="Calibri"/>
          <w:sz w:val="24"/>
          <w:szCs w:val="24"/>
        </w:rPr>
        <w:footnoteReference w:id="81"/>
      </w:r>
      <w:r w:rsidR="00F155D0" w:rsidRPr="000F7276">
        <w:rPr>
          <w:rFonts w:cs="Calibri"/>
          <w:sz w:val="24"/>
          <w:szCs w:val="24"/>
        </w:rPr>
        <w:t xml:space="preserve"> </w:t>
      </w:r>
      <w:r w:rsidR="0038049C" w:rsidRPr="000F7276">
        <w:rPr>
          <w:rFonts w:cs="Calibri"/>
          <w:sz w:val="24"/>
          <w:szCs w:val="24"/>
        </w:rPr>
        <w:t>and EBRD</w:t>
      </w:r>
      <w:r w:rsidR="001564C6" w:rsidRPr="000F7276">
        <w:rPr>
          <w:rFonts w:cs="Calibri"/>
          <w:sz w:val="24"/>
          <w:szCs w:val="24"/>
        </w:rPr>
        <w:t>.</w:t>
      </w:r>
      <w:r w:rsidR="000A3688" w:rsidRPr="000F7276">
        <w:rPr>
          <w:rStyle w:val="FootnoteReference"/>
          <w:rFonts w:cs="Calibri"/>
          <w:sz w:val="24"/>
          <w:szCs w:val="24"/>
        </w:rPr>
        <w:footnoteReference w:id="82"/>
      </w:r>
      <w:r w:rsidR="003F7392" w:rsidRPr="000F7276">
        <w:rPr>
          <w:rFonts w:cs="Calibri"/>
          <w:sz w:val="24"/>
          <w:szCs w:val="24"/>
        </w:rPr>
        <w:t xml:space="preserve"> </w:t>
      </w:r>
    </w:p>
    <w:p w14:paraId="0C53BB7C" w14:textId="43AC38DE" w:rsidR="00F02EAC" w:rsidRPr="000F7276" w:rsidRDefault="00C60A39" w:rsidP="00A009E7">
      <w:pPr>
        <w:autoSpaceDE/>
        <w:autoSpaceDN/>
        <w:adjustRightInd/>
        <w:spacing w:after="200"/>
        <w:rPr>
          <w:rFonts w:cs="Calibri"/>
          <w:sz w:val="24"/>
          <w:szCs w:val="24"/>
        </w:rPr>
      </w:pPr>
      <w:r w:rsidRPr="000F7276">
        <w:rPr>
          <w:rFonts w:cs="Calibri"/>
          <w:sz w:val="24"/>
          <w:szCs w:val="24"/>
        </w:rPr>
        <w:t>I</w:t>
      </w:r>
      <w:r w:rsidR="00F02EAC" w:rsidRPr="000F7276">
        <w:rPr>
          <w:rFonts w:cs="Calibri"/>
          <w:sz w:val="24"/>
          <w:szCs w:val="24"/>
        </w:rPr>
        <w:t xml:space="preserve">t is important to note that in an equal number of instances, the Bank’s OPs include operational requirements that are absent from the operational safeguards of the counterpart MDBs or, if they are included, are narrower in scope or less prescriptive than those of the Bank. However, since the objective of this review is to inform the </w:t>
      </w:r>
      <w:r w:rsidR="001A251D" w:rsidRPr="000F7276">
        <w:rPr>
          <w:rFonts w:cs="Calibri"/>
          <w:sz w:val="24"/>
          <w:szCs w:val="24"/>
        </w:rPr>
        <w:t xml:space="preserve">World Bank </w:t>
      </w:r>
      <w:r w:rsidRPr="000F7276">
        <w:rPr>
          <w:rFonts w:cs="Calibri"/>
          <w:sz w:val="24"/>
          <w:szCs w:val="24"/>
        </w:rPr>
        <w:t>SRU</w:t>
      </w:r>
      <w:r w:rsidR="00F02EAC" w:rsidRPr="000F7276">
        <w:rPr>
          <w:rFonts w:cs="Calibri"/>
          <w:sz w:val="24"/>
          <w:szCs w:val="24"/>
        </w:rPr>
        <w:t xml:space="preserve"> process, it does not </w:t>
      </w:r>
      <w:r w:rsidR="001A251D" w:rsidRPr="000F7276">
        <w:rPr>
          <w:rFonts w:cs="Calibri"/>
          <w:sz w:val="24"/>
          <w:szCs w:val="24"/>
        </w:rPr>
        <w:t>focus on</w:t>
      </w:r>
      <w:r w:rsidR="00F02EAC" w:rsidRPr="000F7276">
        <w:rPr>
          <w:rFonts w:cs="Calibri"/>
          <w:sz w:val="24"/>
          <w:szCs w:val="24"/>
        </w:rPr>
        <w:t xml:space="preserve"> those </w:t>
      </w:r>
      <w:r w:rsidR="001A251D" w:rsidRPr="000F7276">
        <w:rPr>
          <w:rFonts w:cs="Calibri"/>
          <w:sz w:val="24"/>
          <w:szCs w:val="24"/>
        </w:rPr>
        <w:t xml:space="preserve">operational </w:t>
      </w:r>
      <w:r w:rsidR="00F02EAC" w:rsidRPr="000F7276">
        <w:rPr>
          <w:rFonts w:cs="Calibri"/>
          <w:sz w:val="24"/>
          <w:szCs w:val="24"/>
        </w:rPr>
        <w:t>safeguard provisions that are unique to the Bank</w:t>
      </w:r>
      <w:r w:rsidR="001A251D" w:rsidRPr="000F7276">
        <w:rPr>
          <w:rFonts w:cs="Calibri"/>
          <w:sz w:val="24"/>
          <w:szCs w:val="24"/>
        </w:rPr>
        <w:t>.</w:t>
      </w:r>
      <w:r w:rsidR="003F7392" w:rsidRPr="000F7276">
        <w:rPr>
          <w:rFonts w:cs="Calibri"/>
          <w:sz w:val="24"/>
          <w:szCs w:val="24"/>
        </w:rPr>
        <w:t xml:space="preserve"> </w:t>
      </w:r>
      <w:r w:rsidR="00F02EAC" w:rsidRPr="000F7276">
        <w:rPr>
          <w:rFonts w:cs="Calibri"/>
          <w:sz w:val="24"/>
          <w:szCs w:val="24"/>
        </w:rPr>
        <w:t xml:space="preserve">Accordingly, this report should not be considered as a </w:t>
      </w:r>
      <w:r w:rsidR="001A251D" w:rsidRPr="000F7276">
        <w:rPr>
          <w:rFonts w:cs="Calibri"/>
          <w:sz w:val="24"/>
          <w:szCs w:val="24"/>
        </w:rPr>
        <w:t>comprehensive “comparative</w:t>
      </w:r>
      <w:r w:rsidR="003F7392" w:rsidRPr="000F7276">
        <w:rPr>
          <w:rFonts w:cs="Calibri"/>
          <w:sz w:val="24"/>
          <w:szCs w:val="24"/>
        </w:rPr>
        <w:t xml:space="preserve"> </w:t>
      </w:r>
      <w:r w:rsidR="001A251D" w:rsidRPr="000F7276">
        <w:rPr>
          <w:rFonts w:cs="Calibri"/>
          <w:sz w:val="24"/>
          <w:szCs w:val="24"/>
        </w:rPr>
        <w:t>analysis” of Bank and counterpart MDB operational safeguard requirements.</w:t>
      </w:r>
      <w:r w:rsidR="003F089E" w:rsidRPr="000F7276">
        <w:rPr>
          <w:rFonts w:cs="Calibri"/>
          <w:sz w:val="24"/>
          <w:szCs w:val="24"/>
        </w:rPr>
        <w:t xml:space="preserve"> (A textual comparison of the findings is presented in matrix format in A</w:t>
      </w:r>
      <w:r w:rsidR="00D00612">
        <w:rPr>
          <w:rFonts w:cs="Calibri"/>
          <w:sz w:val="24"/>
          <w:szCs w:val="24"/>
        </w:rPr>
        <w:t>nnex 4 of this report</w:t>
      </w:r>
      <w:r w:rsidR="003F089E" w:rsidRPr="000F7276">
        <w:rPr>
          <w:rFonts w:cs="Calibri"/>
          <w:sz w:val="24"/>
          <w:szCs w:val="24"/>
        </w:rPr>
        <w:t>.)</w:t>
      </w:r>
    </w:p>
    <w:p w14:paraId="034C325B" w14:textId="77777777" w:rsidR="00C321F1" w:rsidRPr="000F7276" w:rsidRDefault="00F021DF" w:rsidP="00A009E7">
      <w:pPr>
        <w:pStyle w:val="ListParagraph"/>
        <w:numPr>
          <w:ilvl w:val="0"/>
          <w:numId w:val="16"/>
        </w:numPr>
        <w:autoSpaceDE/>
        <w:autoSpaceDN/>
        <w:adjustRightInd/>
        <w:spacing w:after="200"/>
        <w:ind w:hanging="495"/>
        <w:rPr>
          <w:rFonts w:cs="Calibri"/>
          <w:b/>
          <w:sz w:val="24"/>
          <w:szCs w:val="24"/>
        </w:rPr>
      </w:pPr>
      <w:r w:rsidRPr="000F7276">
        <w:rPr>
          <w:rFonts w:cs="Calibri"/>
          <w:b/>
          <w:sz w:val="24"/>
          <w:szCs w:val="24"/>
        </w:rPr>
        <w:t>Findings</w:t>
      </w:r>
    </w:p>
    <w:p w14:paraId="1D348A47" w14:textId="77777777" w:rsidR="00E91F66" w:rsidRPr="000F7276" w:rsidRDefault="00AD02F7" w:rsidP="00A009E7">
      <w:pPr>
        <w:autoSpaceDE/>
        <w:autoSpaceDN/>
        <w:adjustRightInd/>
        <w:spacing w:after="200"/>
        <w:rPr>
          <w:rFonts w:cs="Calibri"/>
          <w:sz w:val="24"/>
          <w:szCs w:val="24"/>
        </w:rPr>
      </w:pPr>
      <w:r w:rsidRPr="000F7276">
        <w:rPr>
          <w:rFonts w:cs="Times New Roman"/>
          <w:sz w:val="24"/>
          <w:szCs w:val="24"/>
        </w:rPr>
        <w:t xml:space="preserve">The </w:t>
      </w:r>
      <w:r w:rsidR="001A251D" w:rsidRPr="000F7276">
        <w:rPr>
          <w:rFonts w:cs="Times New Roman"/>
          <w:sz w:val="24"/>
          <w:szCs w:val="24"/>
        </w:rPr>
        <w:t>environmental and social issues</w:t>
      </w:r>
      <w:r w:rsidRPr="000F7276">
        <w:rPr>
          <w:rFonts w:cs="Times New Roman"/>
          <w:sz w:val="24"/>
          <w:szCs w:val="24"/>
        </w:rPr>
        <w:t xml:space="preserve"> </w:t>
      </w:r>
      <w:r w:rsidR="00E54C5C" w:rsidRPr="000F7276">
        <w:rPr>
          <w:rFonts w:cs="Times New Roman"/>
          <w:sz w:val="24"/>
          <w:szCs w:val="24"/>
        </w:rPr>
        <w:t xml:space="preserve">addressed </w:t>
      </w:r>
      <w:r w:rsidRPr="000F7276">
        <w:rPr>
          <w:rFonts w:cs="Times New Roman"/>
          <w:sz w:val="24"/>
          <w:szCs w:val="24"/>
        </w:rPr>
        <w:t>by ADB</w:t>
      </w:r>
      <w:r w:rsidR="00FB1C65" w:rsidRPr="000F7276">
        <w:rPr>
          <w:rFonts w:cs="Times New Roman"/>
          <w:sz w:val="24"/>
          <w:szCs w:val="24"/>
        </w:rPr>
        <w:t>, EIB</w:t>
      </w:r>
      <w:r w:rsidRPr="000F7276">
        <w:rPr>
          <w:rFonts w:cs="Times New Roman"/>
          <w:sz w:val="24"/>
          <w:szCs w:val="24"/>
        </w:rPr>
        <w:t xml:space="preserve"> and I</w:t>
      </w:r>
      <w:r w:rsidR="00CC10D5" w:rsidRPr="000F7276">
        <w:rPr>
          <w:rFonts w:cs="Times New Roman"/>
          <w:sz w:val="24"/>
          <w:szCs w:val="24"/>
        </w:rPr>
        <w:t>DB are substantially the same as those of the World Bank. With respect to AfDB</w:t>
      </w:r>
      <w:r w:rsidR="00FB1C65" w:rsidRPr="000F7276">
        <w:rPr>
          <w:rFonts w:cs="Times New Roman"/>
          <w:sz w:val="24"/>
          <w:szCs w:val="24"/>
        </w:rPr>
        <w:t xml:space="preserve"> and EIB</w:t>
      </w:r>
      <w:r w:rsidR="00CC10D5" w:rsidRPr="000F7276">
        <w:rPr>
          <w:rFonts w:cs="Times New Roman"/>
          <w:sz w:val="24"/>
          <w:szCs w:val="24"/>
        </w:rPr>
        <w:t>, substantial portions of Operational Safeguard (OS) 5</w:t>
      </w:r>
      <w:r w:rsidR="00FB1C65" w:rsidRPr="000F7276">
        <w:rPr>
          <w:rFonts w:cs="Times New Roman"/>
          <w:sz w:val="24"/>
          <w:szCs w:val="24"/>
        </w:rPr>
        <w:t xml:space="preserve"> and EIB Standards 8 and 9</w:t>
      </w:r>
      <w:r w:rsidR="00CC10D5" w:rsidRPr="000F7276">
        <w:rPr>
          <w:rFonts w:cs="Times New Roman"/>
          <w:sz w:val="24"/>
          <w:szCs w:val="24"/>
        </w:rPr>
        <w:t xml:space="preserve"> </w:t>
      </w:r>
      <w:r w:rsidR="00C63FBA" w:rsidRPr="000F7276">
        <w:rPr>
          <w:rFonts w:cs="Times New Roman"/>
          <w:sz w:val="24"/>
          <w:szCs w:val="24"/>
        </w:rPr>
        <w:t>(</w:t>
      </w:r>
      <w:r w:rsidR="00CC10D5" w:rsidRPr="000F7276">
        <w:rPr>
          <w:rFonts w:cs="Times New Roman"/>
          <w:sz w:val="24"/>
          <w:szCs w:val="24"/>
        </w:rPr>
        <w:t>Labor Conditions, Health and Safety</w:t>
      </w:r>
      <w:r w:rsidR="00C63FBA" w:rsidRPr="000F7276">
        <w:rPr>
          <w:rFonts w:cs="Times New Roman"/>
          <w:sz w:val="24"/>
          <w:szCs w:val="24"/>
        </w:rPr>
        <w:t>)</w:t>
      </w:r>
      <w:r w:rsidR="00CC10D5" w:rsidRPr="000F7276">
        <w:rPr>
          <w:rFonts w:cs="Times New Roman"/>
          <w:sz w:val="24"/>
          <w:szCs w:val="24"/>
        </w:rPr>
        <w:t xml:space="preserve"> are outside the scope of the World Bank OPs and, accordingly, are </w:t>
      </w:r>
      <w:r w:rsidR="001A251D" w:rsidRPr="000F7276">
        <w:rPr>
          <w:rFonts w:cs="Times New Roman"/>
          <w:sz w:val="24"/>
          <w:szCs w:val="24"/>
        </w:rPr>
        <w:t xml:space="preserve">addressed in the comparison of thematic coverage (Section </w:t>
      </w:r>
      <w:r w:rsidR="004558B0" w:rsidRPr="000F7276">
        <w:rPr>
          <w:rFonts w:cs="Times New Roman"/>
          <w:sz w:val="24"/>
          <w:szCs w:val="24"/>
        </w:rPr>
        <w:t>5 and Annex 2 of this report)</w:t>
      </w:r>
      <w:r w:rsidR="00CC10D5" w:rsidRPr="000F7276">
        <w:rPr>
          <w:rFonts w:cs="Times New Roman"/>
          <w:sz w:val="24"/>
          <w:szCs w:val="24"/>
        </w:rPr>
        <w:t>.</w:t>
      </w:r>
      <w:r w:rsidR="006A603D" w:rsidRPr="000F7276">
        <w:rPr>
          <w:rFonts w:cs="Calibri"/>
          <w:sz w:val="24"/>
          <w:szCs w:val="24"/>
        </w:rPr>
        <w:t xml:space="preserve"> </w:t>
      </w:r>
    </w:p>
    <w:p w14:paraId="75634FFE" w14:textId="77777777" w:rsidR="00A009E7" w:rsidRDefault="00C63FBA" w:rsidP="00A009E7">
      <w:pPr>
        <w:spacing w:after="240"/>
        <w:rPr>
          <w:sz w:val="24"/>
          <w:szCs w:val="24"/>
        </w:rPr>
      </w:pPr>
      <w:r w:rsidRPr="000F7276">
        <w:rPr>
          <w:sz w:val="24"/>
          <w:szCs w:val="24"/>
        </w:rPr>
        <w:t>The following</w:t>
      </w:r>
      <w:r w:rsidR="004D48DA" w:rsidRPr="000F7276">
        <w:rPr>
          <w:sz w:val="24"/>
          <w:szCs w:val="24"/>
        </w:rPr>
        <w:t xml:space="preserve"> Table</w:t>
      </w:r>
      <w:r w:rsidR="00466A44" w:rsidRPr="000F7276">
        <w:rPr>
          <w:sz w:val="24"/>
          <w:szCs w:val="24"/>
        </w:rPr>
        <w:t xml:space="preserve"> summarizes the main findings of this detailed comparative review. The corresponding operational safeguard requirements of </w:t>
      </w:r>
      <w:r w:rsidR="00E91F66" w:rsidRPr="000F7276">
        <w:rPr>
          <w:sz w:val="24"/>
          <w:szCs w:val="24"/>
        </w:rPr>
        <w:t xml:space="preserve">the World Bank and the alternative or incremental safeguard requirements of the other </w:t>
      </w:r>
      <w:r w:rsidR="00466A44" w:rsidRPr="000F7276">
        <w:rPr>
          <w:sz w:val="24"/>
          <w:szCs w:val="24"/>
        </w:rPr>
        <w:t>MDB</w:t>
      </w:r>
      <w:r w:rsidR="00E91F66" w:rsidRPr="000F7276">
        <w:rPr>
          <w:sz w:val="24"/>
          <w:szCs w:val="24"/>
        </w:rPr>
        <w:t>s</w:t>
      </w:r>
      <w:r w:rsidR="00466A44" w:rsidRPr="000F7276">
        <w:rPr>
          <w:sz w:val="24"/>
          <w:szCs w:val="24"/>
        </w:rPr>
        <w:t xml:space="preserve"> are cited verbatim in </w:t>
      </w:r>
      <w:r w:rsidR="00AF07A4" w:rsidRPr="000F7276">
        <w:rPr>
          <w:sz w:val="24"/>
          <w:szCs w:val="24"/>
        </w:rPr>
        <w:t xml:space="preserve">Annex </w:t>
      </w:r>
      <w:r w:rsidR="002E5378" w:rsidRPr="000F7276">
        <w:rPr>
          <w:sz w:val="24"/>
          <w:szCs w:val="24"/>
        </w:rPr>
        <w:t>4</w:t>
      </w:r>
      <w:r w:rsidR="00466A44" w:rsidRPr="000F7276">
        <w:rPr>
          <w:sz w:val="24"/>
          <w:szCs w:val="24"/>
        </w:rPr>
        <w:t>, for those seeking a more detailed perspective</w:t>
      </w:r>
      <w:r w:rsidR="002E5378" w:rsidRPr="000F7276">
        <w:rPr>
          <w:sz w:val="24"/>
          <w:szCs w:val="24"/>
        </w:rPr>
        <w:t>,</w:t>
      </w:r>
      <w:r w:rsidR="00227739" w:rsidRPr="000F7276">
        <w:rPr>
          <w:sz w:val="24"/>
          <w:szCs w:val="24"/>
        </w:rPr>
        <w:t xml:space="preserve"> </w:t>
      </w:r>
      <w:r w:rsidR="00120C95" w:rsidRPr="000F7276">
        <w:rPr>
          <w:sz w:val="24"/>
          <w:szCs w:val="24"/>
        </w:rPr>
        <w:t>w</w:t>
      </w:r>
      <w:r w:rsidR="002E5378" w:rsidRPr="000F7276">
        <w:rPr>
          <w:sz w:val="24"/>
          <w:szCs w:val="24"/>
        </w:rPr>
        <w:t>ith direct citations from MDB operational safeguard requirements</w:t>
      </w:r>
      <w:r w:rsidR="00466A44" w:rsidRPr="000F7276">
        <w:rPr>
          <w:sz w:val="24"/>
          <w:szCs w:val="24"/>
        </w:rPr>
        <w:t>.</w:t>
      </w:r>
    </w:p>
    <w:p w14:paraId="79BCF8EE" w14:textId="65908C4D" w:rsidR="0030214A" w:rsidRPr="000F7276" w:rsidRDefault="000E7410" w:rsidP="00A009E7">
      <w:pPr>
        <w:autoSpaceDE/>
        <w:autoSpaceDN/>
        <w:adjustRightInd/>
        <w:jc w:val="center"/>
        <w:rPr>
          <w:b/>
          <w:bCs/>
        </w:rPr>
      </w:pPr>
      <w:r w:rsidRPr="000F7276">
        <w:rPr>
          <w:b/>
          <w:bCs/>
        </w:rPr>
        <w:t xml:space="preserve">Table </w:t>
      </w:r>
      <w:r w:rsidR="00A221A3" w:rsidRPr="000F7276">
        <w:rPr>
          <w:b/>
          <w:bCs/>
        </w:rPr>
        <w:t>3</w:t>
      </w:r>
      <w:r w:rsidR="004A334E" w:rsidRPr="000F7276">
        <w:rPr>
          <w:b/>
          <w:bCs/>
        </w:rPr>
        <w:t xml:space="preserve">. </w:t>
      </w:r>
      <w:r w:rsidRPr="000F7276">
        <w:rPr>
          <w:b/>
          <w:bCs/>
        </w:rPr>
        <w:t xml:space="preserve">Summary of </w:t>
      </w:r>
      <w:r w:rsidR="00C60A39" w:rsidRPr="000F7276">
        <w:rPr>
          <w:b/>
          <w:bCs/>
        </w:rPr>
        <w:t>Innovative</w:t>
      </w:r>
      <w:r w:rsidR="00E91F66" w:rsidRPr="000F7276">
        <w:rPr>
          <w:b/>
          <w:bCs/>
        </w:rPr>
        <w:t xml:space="preserve"> MDB </w:t>
      </w:r>
      <w:r w:rsidRPr="000F7276">
        <w:rPr>
          <w:b/>
          <w:bCs/>
        </w:rPr>
        <w:t xml:space="preserve">Operational Safeguard </w:t>
      </w:r>
      <w:r w:rsidR="00E91F66" w:rsidRPr="000F7276">
        <w:rPr>
          <w:b/>
          <w:bCs/>
        </w:rPr>
        <w:t xml:space="preserve">Requirements </w:t>
      </w:r>
      <w:r w:rsidR="00C60A39" w:rsidRPr="000F7276">
        <w:rPr>
          <w:b/>
          <w:bCs/>
        </w:rPr>
        <w:t xml:space="preserve">Applicable to Borrowers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4"/>
      </w:tblGrid>
      <w:tr w:rsidR="00670476" w:rsidRPr="000F7276" w14:paraId="53EBB7EC" w14:textId="77777777" w:rsidTr="002B20C3">
        <w:trPr>
          <w:jc w:val="center"/>
        </w:trPr>
        <w:tc>
          <w:tcPr>
            <w:tcW w:w="9324" w:type="dxa"/>
            <w:shd w:val="clear" w:color="auto" w:fill="C6D9F1"/>
          </w:tcPr>
          <w:p w14:paraId="61A6B7F2" w14:textId="77777777" w:rsidR="00431F03" w:rsidRPr="000F7276" w:rsidRDefault="00C60A39" w:rsidP="00A009E7">
            <w:pPr>
              <w:autoSpaceDE/>
              <w:autoSpaceDN/>
              <w:adjustRightInd/>
              <w:ind w:left="285" w:hanging="15"/>
              <w:rPr>
                <w:rFonts w:cs="Arial"/>
                <w:b/>
              </w:rPr>
            </w:pPr>
            <w:r w:rsidRPr="000F7276">
              <w:rPr>
                <w:rFonts w:cs="Arial"/>
                <w:b/>
              </w:rPr>
              <w:t xml:space="preserve">World Bank </w:t>
            </w:r>
            <w:r w:rsidR="00670476" w:rsidRPr="000F7276">
              <w:rPr>
                <w:rFonts w:cs="Arial"/>
                <w:b/>
              </w:rPr>
              <w:t>OP 4.01 Environmental Assessment</w:t>
            </w:r>
            <w:r w:rsidR="000B1E3D" w:rsidRPr="000F7276">
              <w:rPr>
                <w:rFonts w:cs="Arial"/>
                <w:b/>
              </w:rPr>
              <w:t xml:space="preserve"> (EA)</w:t>
            </w:r>
          </w:p>
        </w:tc>
      </w:tr>
      <w:tr w:rsidR="00670476" w:rsidRPr="000F7276" w14:paraId="6C117D56" w14:textId="77777777" w:rsidTr="002B20C3">
        <w:trPr>
          <w:jc w:val="center"/>
        </w:trPr>
        <w:tc>
          <w:tcPr>
            <w:tcW w:w="9324" w:type="dxa"/>
            <w:shd w:val="clear" w:color="auto" w:fill="auto"/>
          </w:tcPr>
          <w:p w14:paraId="14FBBFFD" w14:textId="77777777" w:rsidR="00C321F1" w:rsidRPr="000F7276" w:rsidRDefault="00670476" w:rsidP="00A009E7">
            <w:pPr>
              <w:numPr>
                <w:ilvl w:val="0"/>
                <w:numId w:val="6"/>
              </w:numPr>
              <w:autoSpaceDE/>
              <w:autoSpaceDN/>
              <w:adjustRightInd/>
              <w:ind w:left="360"/>
              <w:rPr>
                <w:rFonts w:cs="Arial"/>
              </w:rPr>
            </w:pPr>
            <w:r w:rsidRPr="000F7276">
              <w:rPr>
                <w:rFonts w:cs="Arial"/>
              </w:rPr>
              <w:t>EA process to incorporate/address (when appropriate):</w:t>
            </w:r>
          </w:p>
          <w:p w14:paraId="583353B8" w14:textId="1408925F" w:rsidR="00C321F1" w:rsidRPr="00D00612" w:rsidRDefault="00517664" w:rsidP="00A009E7">
            <w:pPr>
              <w:numPr>
                <w:ilvl w:val="0"/>
                <w:numId w:val="7"/>
              </w:numPr>
              <w:tabs>
                <w:tab w:val="left" w:pos="720"/>
              </w:tabs>
              <w:autoSpaceDE/>
              <w:autoSpaceDN/>
              <w:adjustRightInd/>
              <w:ind w:left="697" w:hanging="337"/>
              <w:rPr>
                <w:rFonts w:cs="Arial"/>
                <w:sz w:val="18"/>
              </w:rPr>
            </w:pPr>
            <w:r w:rsidRPr="000F7276">
              <w:rPr>
                <w:rFonts w:cs="Arial"/>
              </w:rPr>
              <w:t xml:space="preserve">more </w:t>
            </w:r>
            <w:r w:rsidR="00670476" w:rsidRPr="000F7276">
              <w:rPr>
                <w:rFonts w:cs="Arial"/>
              </w:rPr>
              <w:t>explicit definitions of “associated” and “cumulative” impacts</w:t>
            </w:r>
            <w:r w:rsidR="005E44C6" w:rsidRPr="000F7276">
              <w:rPr>
                <w:rFonts w:cs="Arial"/>
              </w:rPr>
              <w:t xml:space="preserve"> (ADB, AfDB,</w:t>
            </w:r>
            <w:r w:rsidR="00FB1C65" w:rsidRPr="000F7276">
              <w:rPr>
                <w:rFonts w:cs="Arial"/>
              </w:rPr>
              <w:t xml:space="preserve"> EIB</w:t>
            </w:r>
            <w:r w:rsidR="002B20C3" w:rsidRPr="000F7276">
              <w:rPr>
                <w:rFonts w:cs="Arial"/>
              </w:rPr>
              <w:t>,</w:t>
            </w:r>
            <w:r w:rsidR="005E44C6" w:rsidRPr="000F7276">
              <w:rPr>
                <w:rFonts w:cs="Arial"/>
              </w:rPr>
              <w:t xml:space="preserve"> IDB)</w:t>
            </w:r>
            <w:r w:rsidR="00E20370">
              <w:rPr>
                <w:rFonts w:cs="Arial"/>
              </w:rPr>
              <w:t>;</w:t>
            </w:r>
          </w:p>
          <w:p w14:paraId="441FA4C4" w14:textId="3E57CCFB" w:rsidR="00C321F1" w:rsidRPr="00D00612" w:rsidRDefault="00574543" w:rsidP="00A009E7">
            <w:pPr>
              <w:numPr>
                <w:ilvl w:val="0"/>
                <w:numId w:val="7"/>
              </w:numPr>
              <w:tabs>
                <w:tab w:val="left" w:pos="720"/>
              </w:tabs>
              <w:autoSpaceDE/>
              <w:autoSpaceDN/>
              <w:adjustRightInd/>
              <w:ind w:left="697" w:hanging="337"/>
              <w:rPr>
                <w:rFonts w:cs="Arial"/>
                <w:sz w:val="18"/>
              </w:rPr>
            </w:pPr>
            <w:r w:rsidRPr="000F7276">
              <w:rPr>
                <w:rFonts w:cs="Arial"/>
              </w:rPr>
              <w:t xml:space="preserve">use of specific methodology for </w:t>
            </w:r>
            <w:r w:rsidR="00E5660C" w:rsidRPr="000F7276">
              <w:rPr>
                <w:rFonts w:cs="Arial"/>
              </w:rPr>
              <w:t>screening for “climate change risk” to projects</w:t>
            </w:r>
            <w:r w:rsidR="0037296B" w:rsidRPr="000F7276">
              <w:rPr>
                <w:rFonts w:cs="Arial"/>
              </w:rPr>
              <w:t xml:space="preserve"> </w:t>
            </w:r>
            <w:r w:rsidR="00E5660C" w:rsidRPr="000F7276">
              <w:rPr>
                <w:rFonts w:cs="Arial"/>
              </w:rPr>
              <w:t>(AfDB</w:t>
            </w:r>
            <w:r w:rsidR="00AF07A4" w:rsidRPr="000F7276">
              <w:rPr>
                <w:rFonts w:cs="Arial"/>
              </w:rPr>
              <w:t>);</w:t>
            </w:r>
            <w:r w:rsidR="00E5660C" w:rsidRPr="000F7276">
              <w:rPr>
                <w:rStyle w:val="FootnoteReference"/>
                <w:rFonts w:cs="Arial"/>
              </w:rPr>
              <w:footnoteReference w:id="83"/>
            </w:r>
            <w:r w:rsidR="00AF07A4" w:rsidRPr="000F7276">
              <w:rPr>
                <w:rFonts w:cs="Arial"/>
              </w:rPr>
              <w:t xml:space="preserve"> </w:t>
            </w:r>
            <w:r w:rsidR="00FB7DF2" w:rsidRPr="000F7276">
              <w:rPr>
                <w:rFonts w:cs="Arial"/>
              </w:rPr>
              <w:t>g</w:t>
            </w:r>
            <w:r w:rsidR="007D7387" w:rsidRPr="000F7276">
              <w:rPr>
                <w:rFonts w:cs="Arial"/>
              </w:rPr>
              <w:t>reenhouse gas (</w:t>
            </w:r>
            <w:r w:rsidR="00670476" w:rsidRPr="000F7276">
              <w:rPr>
                <w:rFonts w:cs="Arial"/>
              </w:rPr>
              <w:t>GHG</w:t>
            </w:r>
            <w:r w:rsidR="007D7387" w:rsidRPr="000F7276">
              <w:rPr>
                <w:rFonts w:cs="Arial"/>
              </w:rPr>
              <w:t>)</w:t>
            </w:r>
            <w:r w:rsidR="00670476" w:rsidRPr="000F7276">
              <w:rPr>
                <w:rFonts w:cs="Arial"/>
              </w:rPr>
              <w:t xml:space="preserve"> emissions </w:t>
            </w:r>
            <w:r w:rsidR="00E9513D" w:rsidRPr="000F7276">
              <w:rPr>
                <w:rFonts w:cs="Arial"/>
              </w:rPr>
              <w:t>monitoring and reporting requirements</w:t>
            </w:r>
            <w:r w:rsidR="003F7392" w:rsidRPr="000F7276">
              <w:rPr>
                <w:rFonts w:cs="Arial"/>
              </w:rPr>
              <w:t xml:space="preserve"> </w:t>
            </w:r>
            <w:r w:rsidR="005E44C6" w:rsidRPr="000F7276">
              <w:rPr>
                <w:rFonts w:cs="Arial"/>
              </w:rPr>
              <w:t>(ADB, AfDB,</w:t>
            </w:r>
            <w:r w:rsidR="00FB1C65" w:rsidRPr="000F7276">
              <w:rPr>
                <w:rFonts w:cs="Arial"/>
              </w:rPr>
              <w:t xml:space="preserve"> EIB</w:t>
            </w:r>
            <w:r w:rsidR="00E54C5C" w:rsidRPr="000F7276">
              <w:rPr>
                <w:rFonts w:cs="Arial"/>
              </w:rPr>
              <w:t>,</w:t>
            </w:r>
            <w:r w:rsidR="005E44C6" w:rsidRPr="000F7276">
              <w:rPr>
                <w:rFonts w:cs="Arial"/>
              </w:rPr>
              <w:t xml:space="preserve"> IDB)</w:t>
            </w:r>
            <w:r w:rsidR="00E54C5C" w:rsidRPr="000F7276">
              <w:rPr>
                <w:rFonts w:cs="Arial"/>
              </w:rPr>
              <w:t>;</w:t>
            </w:r>
          </w:p>
          <w:p w14:paraId="0D00D4C3" w14:textId="495F992B" w:rsidR="00C321F1" w:rsidRPr="00D00612" w:rsidRDefault="00574543" w:rsidP="00A009E7">
            <w:pPr>
              <w:numPr>
                <w:ilvl w:val="0"/>
                <w:numId w:val="7"/>
              </w:numPr>
              <w:tabs>
                <w:tab w:val="left" w:pos="720"/>
              </w:tabs>
              <w:autoSpaceDE/>
              <w:autoSpaceDN/>
              <w:adjustRightInd/>
              <w:ind w:left="697" w:hanging="337"/>
              <w:rPr>
                <w:rFonts w:cs="Arial"/>
                <w:sz w:val="18"/>
              </w:rPr>
            </w:pPr>
            <w:r w:rsidRPr="000F7276">
              <w:rPr>
                <w:rFonts w:cs="Arial"/>
              </w:rPr>
              <w:t>more explicit reference to</w:t>
            </w:r>
            <w:r w:rsidR="007D7387" w:rsidRPr="000F7276">
              <w:rPr>
                <w:rFonts w:cs="Arial"/>
              </w:rPr>
              <w:t xml:space="preserve"> </w:t>
            </w:r>
            <w:r w:rsidR="00670476" w:rsidRPr="000F7276">
              <w:rPr>
                <w:rFonts w:cs="Arial"/>
              </w:rPr>
              <w:t>socio-economic impacts, including vulnerable groups, gender issues, surrounding communities and poverty conditions</w:t>
            </w:r>
            <w:r w:rsidR="005E44C6" w:rsidRPr="000F7276">
              <w:rPr>
                <w:rFonts w:cs="Arial"/>
              </w:rPr>
              <w:t xml:space="preserve"> (ADB, AfDB</w:t>
            </w:r>
            <w:r w:rsidR="00E5660C" w:rsidRPr="000F7276">
              <w:rPr>
                <w:rFonts w:cs="Arial"/>
              </w:rPr>
              <w:t>,</w:t>
            </w:r>
            <w:r w:rsidR="00FB1C65" w:rsidRPr="000F7276">
              <w:rPr>
                <w:rFonts w:cs="Arial"/>
              </w:rPr>
              <w:t xml:space="preserve"> EIB</w:t>
            </w:r>
            <w:r w:rsidR="005E44C6" w:rsidRPr="000F7276">
              <w:rPr>
                <w:rFonts w:cs="Arial"/>
              </w:rPr>
              <w:t>)</w:t>
            </w:r>
            <w:r w:rsidR="00E54C5C" w:rsidRPr="000F7276">
              <w:rPr>
                <w:rFonts w:cs="Arial"/>
              </w:rPr>
              <w:t>;</w:t>
            </w:r>
          </w:p>
          <w:p w14:paraId="73EF0358" w14:textId="38967A8F" w:rsidR="00C321F1" w:rsidRPr="00D00612" w:rsidRDefault="00D00612" w:rsidP="00A009E7">
            <w:pPr>
              <w:numPr>
                <w:ilvl w:val="0"/>
                <w:numId w:val="7"/>
              </w:numPr>
              <w:tabs>
                <w:tab w:val="left" w:pos="720"/>
              </w:tabs>
              <w:autoSpaceDE/>
              <w:autoSpaceDN/>
              <w:adjustRightInd/>
              <w:ind w:hanging="720"/>
              <w:rPr>
                <w:rFonts w:cs="Arial"/>
                <w:sz w:val="18"/>
              </w:rPr>
            </w:pPr>
            <w:r>
              <w:rPr>
                <w:rFonts w:cs="Calibri"/>
              </w:rPr>
              <w:t>e</w:t>
            </w:r>
            <w:r w:rsidR="007D7387" w:rsidRPr="000F7276">
              <w:rPr>
                <w:rFonts w:cs="Calibri"/>
              </w:rPr>
              <w:t xml:space="preserve">xplicit </w:t>
            </w:r>
            <w:r w:rsidR="00670476" w:rsidRPr="000F7276">
              <w:rPr>
                <w:rFonts w:cs="Calibri"/>
              </w:rPr>
              <w:t>framework for consultation with affected transboundary parties</w:t>
            </w:r>
            <w:r w:rsidR="00FB1C65" w:rsidRPr="000F7276">
              <w:rPr>
                <w:rFonts w:cs="Calibri"/>
              </w:rPr>
              <w:t xml:space="preserve"> (</w:t>
            </w:r>
            <w:r w:rsidR="0055533A" w:rsidRPr="000F7276">
              <w:rPr>
                <w:rFonts w:cs="Calibri"/>
              </w:rPr>
              <w:t xml:space="preserve">ADB, </w:t>
            </w:r>
            <w:r w:rsidR="00FB1C65" w:rsidRPr="000F7276">
              <w:rPr>
                <w:rFonts w:cs="Calibri"/>
              </w:rPr>
              <w:t>EIB)</w:t>
            </w:r>
            <w:r w:rsidR="00E54C5C" w:rsidRPr="000F7276">
              <w:rPr>
                <w:rFonts w:cs="Calibri"/>
              </w:rPr>
              <w:t>;</w:t>
            </w:r>
          </w:p>
          <w:p w14:paraId="33604440" w14:textId="2D662822" w:rsidR="00C321F1" w:rsidRPr="000F7276" w:rsidRDefault="00E02A78" w:rsidP="00A009E7">
            <w:pPr>
              <w:numPr>
                <w:ilvl w:val="0"/>
                <w:numId w:val="6"/>
              </w:numPr>
              <w:autoSpaceDE/>
              <w:autoSpaceDN/>
              <w:adjustRightInd/>
              <w:ind w:left="360"/>
              <w:rPr>
                <w:rFonts w:cs="Arial"/>
              </w:rPr>
            </w:pPr>
            <w:r w:rsidRPr="000F7276">
              <w:rPr>
                <w:rFonts w:cs="Arial"/>
              </w:rPr>
              <w:t xml:space="preserve">Detailed </w:t>
            </w:r>
            <w:r w:rsidR="00BF1EAF" w:rsidRPr="000F7276">
              <w:rPr>
                <w:rFonts w:cs="Arial"/>
              </w:rPr>
              <w:t>requirements</w:t>
            </w:r>
            <w:r w:rsidR="000B1E3D" w:rsidRPr="000F7276">
              <w:rPr>
                <w:rFonts w:cs="Arial"/>
              </w:rPr>
              <w:t xml:space="preserve"> for conduct of SEA</w:t>
            </w:r>
            <w:r w:rsidR="003F7392" w:rsidRPr="000F7276">
              <w:rPr>
                <w:rFonts w:cs="Arial"/>
              </w:rPr>
              <w:t xml:space="preserve"> </w:t>
            </w:r>
            <w:r w:rsidR="005777F5" w:rsidRPr="000F7276">
              <w:rPr>
                <w:rFonts w:cs="Arial"/>
              </w:rPr>
              <w:t>(ADB,</w:t>
            </w:r>
            <w:r w:rsidR="00FB1C65" w:rsidRPr="000F7276">
              <w:rPr>
                <w:rFonts w:cs="Arial"/>
              </w:rPr>
              <w:t>EIB,</w:t>
            </w:r>
            <w:r w:rsidR="005777F5" w:rsidRPr="000F7276">
              <w:rPr>
                <w:rFonts w:cs="Arial"/>
              </w:rPr>
              <w:t xml:space="preserve"> IDB</w:t>
            </w:r>
            <w:r w:rsidR="00AF07A4" w:rsidRPr="000F7276">
              <w:rPr>
                <w:rFonts w:cs="Arial"/>
              </w:rPr>
              <w:t>);</w:t>
            </w:r>
          </w:p>
          <w:p w14:paraId="6A11C8AF" w14:textId="77777777" w:rsidR="00C321F1" w:rsidRPr="000F7276" w:rsidRDefault="00F250C8" w:rsidP="00A009E7">
            <w:pPr>
              <w:numPr>
                <w:ilvl w:val="0"/>
                <w:numId w:val="6"/>
              </w:numPr>
              <w:autoSpaceDE/>
              <w:autoSpaceDN/>
              <w:adjustRightInd/>
              <w:ind w:left="360"/>
              <w:rPr>
                <w:rFonts w:cs="Arial"/>
              </w:rPr>
            </w:pPr>
            <w:r w:rsidRPr="000F7276">
              <w:rPr>
                <w:rFonts w:cs="Arial"/>
              </w:rPr>
              <w:t>“Free, prior and informed engagement” [FPIE] as a standard for public consultation and participation (EIB)</w:t>
            </w:r>
            <w:r w:rsidR="00AF07A4" w:rsidRPr="000F7276">
              <w:rPr>
                <w:rFonts w:cs="Arial"/>
              </w:rPr>
              <w:t>;</w:t>
            </w:r>
            <w:r w:rsidR="00064E83" w:rsidRPr="000F7276">
              <w:rPr>
                <w:rStyle w:val="FootnoteReference"/>
              </w:rPr>
              <w:footnoteReference w:id="84"/>
            </w:r>
          </w:p>
          <w:p w14:paraId="474CC78D" w14:textId="46063E7E" w:rsidR="00C321F1" w:rsidRPr="000F7276" w:rsidRDefault="00670476" w:rsidP="00A009E7">
            <w:pPr>
              <w:numPr>
                <w:ilvl w:val="0"/>
                <w:numId w:val="6"/>
              </w:numPr>
              <w:autoSpaceDE/>
              <w:autoSpaceDN/>
              <w:adjustRightInd/>
              <w:ind w:left="360"/>
              <w:rPr>
                <w:rFonts w:cs="Arial"/>
              </w:rPr>
            </w:pPr>
            <w:r w:rsidRPr="000F7276">
              <w:rPr>
                <w:rFonts w:cs="Arial"/>
              </w:rPr>
              <w:t xml:space="preserve">EA and EMP </w:t>
            </w:r>
            <w:r w:rsidR="00906DE3" w:rsidRPr="000F7276">
              <w:rPr>
                <w:rFonts w:cs="Arial"/>
              </w:rPr>
              <w:t xml:space="preserve">must be </w:t>
            </w:r>
            <w:r w:rsidRPr="000F7276">
              <w:rPr>
                <w:rFonts w:cs="Arial"/>
              </w:rPr>
              <w:t xml:space="preserve">in </w:t>
            </w:r>
            <w:r w:rsidR="005777F5" w:rsidRPr="000F7276">
              <w:rPr>
                <w:rFonts w:cs="Arial"/>
              </w:rPr>
              <w:t xml:space="preserve">full </w:t>
            </w:r>
            <w:r w:rsidRPr="000F7276">
              <w:rPr>
                <w:rFonts w:cs="Arial"/>
                <w:i/>
              </w:rPr>
              <w:t>compliance with</w:t>
            </w:r>
            <w:r w:rsidRPr="000F7276">
              <w:rPr>
                <w:rFonts w:cs="Arial"/>
              </w:rPr>
              <w:t xml:space="preserve"> country laws and regulations</w:t>
            </w:r>
            <w:r w:rsidR="001E5961" w:rsidRPr="000F7276">
              <w:rPr>
                <w:rFonts w:cs="Arial"/>
              </w:rPr>
              <w:t xml:space="preserve"> </w:t>
            </w:r>
            <w:r w:rsidR="005777F5" w:rsidRPr="000F7276">
              <w:rPr>
                <w:rFonts w:cs="Arial"/>
              </w:rPr>
              <w:t>(</w:t>
            </w:r>
            <w:r w:rsidR="001E5961" w:rsidRPr="000F7276">
              <w:rPr>
                <w:rFonts w:cs="Arial"/>
              </w:rPr>
              <w:t>as well as a country’s international obligations</w:t>
            </w:r>
            <w:r w:rsidR="005777F5" w:rsidRPr="000F7276">
              <w:rPr>
                <w:rFonts w:cs="Arial"/>
              </w:rPr>
              <w:t>) (ADB, AfDB</w:t>
            </w:r>
            <w:r w:rsidR="00FB1C65" w:rsidRPr="000F7276">
              <w:rPr>
                <w:rFonts w:cs="Arial"/>
              </w:rPr>
              <w:t>, EIB</w:t>
            </w:r>
            <w:r w:rsidR="005777F5" w:rsidRPr="000F7276">
              <w:rPr>
                <w:rFonts w:cs="Arial"/>
              </w:rPr>
              <w:t>)</w:t>
            </w:r>
            <w:r w:rsidR="00AF07A4" w:rsidRPr="000F7276">
              <w:rPr>
                <w:rFonts w:cs="Arial"/>
              </w:rPr>
              <w:t>;</w:t>
            </w:r>
            <w:r w:rsidR="00F04ECB" w:rsidRPr="000F7276">
              <w:rPr>
                <w:rStyle w:val="FootnoteReference"/>
                <w:rFonts w:cs="Arial"/>
              </w:rPr>
              <w:footnoteReference w:id="85"/>
            </w:r>
          </w:p>
          <w:p w14:paraId="67904E3A" w14:textId="0B93BD8D" w:rsidR="00C321F1" w:rsidRPr="000F7276" w:rsidRDefault="005777F5" w:rsidP="00A009E7">
            <w:pPr>
              <w:numPr>
                <w:ilvl w:val="0"/>
                <w:numId w:val="6"/>
              </w:numPr>
              <w:autoSpaceDE/>
              <w:autoSpaceDN/>
              <w:adjustRightInd/>
              <w:ind w:left="360"/>
              <w:rPr>
                <w:rFonts w:cs="Arial"/>
              </w:rPr>
            </w:pPr>
            <w:r w:rsidRPr="000F7276">
              <w:rPr>
                <w:rFonts w:cs="Arial"/>
              </w:rPr>
              <w:t>“Precautionary approach” to all environmental impacts</w:t>
            </w:r>
            <w:r w:rsidR="00064E83" w:rsidRPr="000F7276">
              <w:rPr>
                <w:rStyle w:val="FootnoteReference"/>
              </w:rPr>
              <w:footnoteReference w:id="86"/>
            </w:r>
            <w:r w:rsidRPr="000F7276">
              <w:rPr>
                <w:rFonts w:cs="Arial"/>
              </w:rPr>
              <w:t xml:space="preserve"> (</w:t>
            </w:r>
            <w:r w:rsidR="0055533A" w:rsidRPr="000F7276">
              <w:rPr>
                <w:rFonts w:cs="Arial"/>
              </w:rPr>
              <w:t xml:space="preserve">ADB, </w:t>
            </w:r>
            <w:r w:rsidRPr="000F7276">
              <w:rPr>
                <w:rFonts w:cs="Arial"/>
              </w:rPr>
              <w:t>IDB</w:t>
            </w:r>
            <w:r w:rsidR="00FB1C65" w:rsidRPr="000F7276">
              <w:rPr>
                <w:rFonts w:cs="Arial"/>
              </w:rPr>
              <w:t>, EIB</w:t>
            </w:r>
            <w:r w:rsidRPr="000F7276">
              <w:rPr>
                <w:rFonts w:cs="Arial"/>
              </w:rPr>
              <w:t>)</w:t>
            </w:r>
            <w:r w:rsidR="00AF07A4" w:rsidRPr="000F7276">
              <w:rPr>
                <w:rFonts w:cs="Arial"/>
              </w:rPr>
              <w:t>;</w:t>
            </w:r>
          </w:p>
          <w:p w14:paraId="2615F764" w14:textId="1FA72DCF" w:rsidR="00C321F1" w:rsidRPr="000F7276" w:rsidRDefault="00E95000" w:rsidP="00A009E7">
            <w:pPr>
              <w:numPr>
                <w:ilvl w:val="0"/>
                <w:numId w:val="6"/>
              </w:numPr>
              <w:autoSpaceDE/>
              <w:autoSpaceDN/>
              <w:adjustRightInd/>
              <w:ind w:left="360"/>
              <w:rPr>
                <w:rFonts w:cs="Arial"/>
              </w:rPr>
            </w:pPr>
            <w:r w:rsidRPr="000F7276">
              <w:rPr>
                <w:rFonts w:cs="Arial"/>
              </w:rPr>
              <w:t>I</w:t>
            </w:r>
            <w:r w:rsidR="001E5961" w:rsidRPr="000F7276">
              <w:rPr>
                <w:rFonts w:cs="Arial"/>
              </w:rPr>
              <w:t xml:space="preserve">mpact </w:t>
            </w:r>
            <w:r w:rsidRPr="000F7276">
              <w:rPr>
                <w:rFonts w:cs="Arial"/>
              </w:rPr>
              <w:t xml:space="preserve">assessment </w:t>
            </w:r>
            <w:r w:rsidR="001E5961" w:rsidRPr="000F7276">
              <w:rPr>
                <w:rFonts w:cs="Arial"/>
              </w:rPr>
              <w:t xml:space="preserve">of pollutants on environmental carrying capacity, land use, surrounding </w:t>
            </w:r>
            <w:r w:rsidR="00FB572D" w:rsidRPr="000F7276">
              <w:rPr>
                <w:rFonts w:cs="Arial"/>
              </w:rPr>
              <w:t xml:space="preserve"> </w:t>
            </w:r>
            <w:r w:rsidR="001E5961" w:rsidRPr="000F7276">
              <w:rPr>
                <w:rFonts w:cs="Arial"/>
              </w:rPr>
              <w:t>communities, poverty conditions, and transboundary receptors</w:t>
            </w:r>
            <w:r w:rsidR="005777F5" w:rsidRPr="000F7276">
              <w:rPr>
                <w:rFonts w:cs="Arial"/>
              </w:rPr>
              <w:t xml:space="preserve"> (AfDB</w:t>
            </w:r>
            <w:r w:rsidR="00FB1C65" w:rsidRPr="000F7276">
              <w:rPr>
                <w:rFonts w:cs="Arial"/>
              </w:rPr>
              <w:t>, in part EIB</w:t>
            </w:r>
            <w:r w:rsidR="005777F5" w:rsidRPr="000F7276">
              <w:rPr>
                <w:rFonts w:cs="Arial"/>
              </w:rPr>
              <w:t>)</w:t>
            </w:r>
            <w:r w:rsidR="00AF07A4" w:rsidRPr="000F7276">
              <w:rPr>
                <w:rFonts w:cs="Arial"/>
              </w:rPr>
              <w:t>;</w:t>
            </w:r>
          </w:p>
          <w:p w14:paraId="33C07585" w14:textId="053D89AC" w:rsidR="00C321F1" w:rsidRPr="000F7276" w:rsidRDefault="004315D7" w:rsidP="00A009E7">
            <w:pPr>
              <w:numPr>
                <w:ilvl w:val="0"/>
                <w:numId w:val="6"/>
              </w:numPr>
              <w:autoSpaceDE/>
              <w:autoSpaceDN/>
              <w:adjustRightInd/>
              <w:ind w:left="360"/>
              <w:rPr>
                <w:rFonts w:cs="Arial"/>
              </w:rPr>
            </w:pPr>
            <w:r w:rsidRPr="000F7276">
              <w:rPr>
                <w:rFonts w:cs="Arial"/>
              </w:rPr>
              <w:t xml:space="preserve">Periodic monitoring report and </w:t>
            </w:r>
            <w:r w:rsidR="00BC35A9" w:rsidRPr="000F7276">
              <w:rPr>
                <w:rFonts w:cs="Arial"/>
              </w:rPr>
              <w:t>corrective actions</w:t>
            </w:r>
            <w:r w:rsidR="005777F5" w:rsidRPr="000F7276">
              <w:rPr>
                <w:rFonts w:cs="Arial"/>
              </w:rPr>
              <w:t xml:space="preserve"> </w:t>
            </w:r>
            <w:r w:rsidR="00A809F9" w:rsidRPr="000F7276">
              <w:rPr>
                <w:rFonts w:cs="Arial"/>
              </w:rPr>
              <w:t xml:space="preserve">required by EMP </w:t>
            </w:r>
            <w:r w:rsidR="00E95000" w:rsidRPr="000F7276">
              <w:rPr>
                <w:rFonts w:cs="Arial"/>
              </w:rPr>
              <w:t xml:space="preserve">documented and disclosed </w:t>
            </w:r>
            <w:r w:rsidR="005777F5" w:rsidRPr="000F7276">
              <w:rPr>
                <w:rFonts w:cs="Arial"/>
              </w:rPr>
              <w:t>(ADB)</w:t>
            </w:r>
            <w:r w:rsidR="00AF07A4" w:rsidRPr="000F7276">
              <w:rPr>
                <w:rFonts w:cs="Arial"/>
              </w:rPr>
              <w:t>;</w:t>
            </w:r>
          </w:p>
          <w:p w14:paraId="79694003" w14:textId="77777777" w:rsidR="00C321F1" w:rsidRPr="000F7276" w:rsidRDefault="00BC35A9" w:rsidP="00A009E7">
            <w:pPr>
              <w:numPr>
                <w:ilvl w:val="0"/>
                <w:numId w:val="6"/>
              </w:numPr>
              <w:autoSpaceDE/>
              <w:autoSpaceDN/>
              <w:adjustRightInd/>
              <w:ind w:left="360"/>
              <w:rPr>
                <w:rFonts w:cs="Arial"/>
              </w:rPr>
            </w:pPr>
            <w:r w:rsidRPr="000F7276">
              <w:rPr>
                <w:rFonts w:cs="Arial"/>
              </w:rPr>
              <w:t>Inclu</w:t>
            </w:r>
            <w:r w:rsidR="00E95000" w:rsidRPr="000F7276">
              <w:rPr>
                <w:rFonts w:cs="Arial"/>
              </w:rPr>
              <w:t>sion of</w:t>
            </w:r>
            <w:r w:rsidRPr="000F7276">
              <w:rPr>
                <w:rFonts w:cs="Arial"/>
              </w:rPr>
              <w:t xml:space="preserve"> affected parties in monitoring</w:t>
            </w:r>
            <w:r w:rsidR="003F7392" w:rsidRPr="000F7276">
              <w:rPr>
                <w:rFonts w:cs="Arial"/>
              </w:rPr>
              <w:t xml:space="preserve"> </w:t>
            </w:r>
            <w:r w:rsidRPr="000F7276">
              <w:rPr>
                <w:rFonts w:cs="Arial"/>
              </w:rPr>
              <w:t>ESMP</w:t>
            </w:r>
            <w:r w:rsidR="005777F5" w:rsidRPr="000F7276">
              <w:rPr>
                <w:rFonts w:cs="Arial"/>
              </w:rPr>
              <w:t xml:space="preserve"> (ADB</w:t>
            </w:r>
            <w:r w:rsidR="00FB1C65" w:rsidRPr="000F7276">
              <w:rPr>
                <w:rFonts w:cs="Arial"/>
              </w:rPr>
              <w:t>, EIB for specific aspects of ESMP</w:t>
            </w:r>
            <w:r w:rsidR="005777F5" w:rsidRPr="000F7276">
              <w:rPr>
                <w:rFonts w:cs="Arial"/>
              </w:rPr>
              <w:t>)</w:t>
            </w:r>
            <w:r w:rsidR="00AF07A4" w:rsidRPr="000F7276">
              <w:rPr>
                <w:rFonts w:cs="Arial"/>
              </w:rPr>
              <w:t>;</w:t>
            </w:r>
          </w:p>
          <w:p w14:paraId="55C9A4FB" w14:textId="72B39CB9" w:rsidR="00C321F1" w:rsidRPr="000F7276" w:rsidRDefault="00E95000" w:rsidP="00A009E7">
            <w:pPr>
              <w:numPr>
                <w:ilvl w:val="0"/>
                <w:numId w:val="6"/>
              </w:numPr>
              <w:autoSpaceDE/>
              <w:autoSpaceDN/>
              <w:adjustRightInd/>
              <w:ind w:left="360"/>
              <w:rPr>
                <w:rFonts w:cs="Arial"/>
              </w:rPr>
            </w:pPr>
            <w:r w:rsidRPr="000F7276">
              <w:rPr>
                <w:rFonts w:cs="Arial"/>
              </w:rPr>
              <w:t>A</w:t>
            </w:r>
            <w:r w:rsidR="006F78AF" w:rsidRPr="000F7276">
              <w:rPr>
                <w:rFonts w:cs="Arial"/>
              </w:rPr>
              <w:t xml:space="preserve">ffected parties </w:t>
            </w:r>
            <w:r w:rsidRPr="000F7276">
              <w:rPr>
                <w:rFonts w:cs="Arial"/>
              </w:rPr>
              <w:t xml:space="preserve">kept </w:t>
            </w:r>
            <w:r w:rsidR="006F78AF" w:rsidRPr="000F7276">
              <w:rPr>
                <w:rFonts w:cs="Arial"/>
              </w:rPr>
              <w:t xml:space="preserve">informed of project-related environmental and social mitigation measures as defined in the </w:t>
            </w:r>
            <w:r w:rsidR="00E20370">
              <w:rPr>
                <w:rFonts w:cs="Arial"/>
              </w:rPr>
              <w:t>ESMP</w:t>
            </w:r>
            <w:r w:rsidR="006F78AF" w:rsidRPr="000F7276">
              <w:rPr>
                <w:rFonts w:cs="Arial"/>
              </w:rPr>
              <w:t xml:space="preserve"> (IDB)</w:t>
            </w:r>
            <w:r w:rsidR="00AF07A4" w:rsidRPr="000F7276">
              <w:rPr>
                <w:rFonts w:cs="Arial"/>
              </w:rPr>
              <w:t>;</w:t>
            </w:r>
          </w:p>
          <w:p w14:paraId="33CB0E9F" w14:textId="3DDB7741" w:rsidR="00C321F1" w:rsidRPr="000F7276" w:rsidRDefault="00670476" w:rsidP="00A009E7">
            <w:pPr>
              <w:numPr>
                <w:ilvl w:val="0"/>
                <w:numId w:val="6"/>
              </w:numPr>
              <w:autoSpaceDE/>
              <w:autoSpaceDN/>
              <w:adjustRightInd/>
              <w:ind w:left="360"/>
              <w:rPr>
                <w:rFonts w:cs="Arial"/>
              </w:rPr>
            </w:pPr>
            <w:r w:rsidRPr="000F7276">
              <w:rPr>
                <w:rFonts w:cs="Arial"/>
              </w:rPr>
              <w:t xml:space="preserve">Grievance </w:t>
            </w:r>
            <w:r w:rsidR="00BF1EAF" w:rsidRPr="000F7276">
              <w:rPr>
                <w:rFonts w:cs="Arial"/>
              </w:rPr>
              <w:t xml:space="preserve">redress </w:t>
            </w:r>
            <w:r w:rsidRPr="000F7276">
              <w:rPr>
                <w:rFonts w:cs="Arial"/>
              </w:rPr>
              <w:t>mechanism</w:t>
            </w:r>
            <w:r w:rsidR="00BF1EAF" w:rsidRPr="000F7276">
              <w:rPr>
                <w:rFonts w:cs="Arial"/>
              </w:rPr>
              <w:t xml:space="preserve"> (GRM)</w:t>
            </w:r>
            <w:r w:rsidRPr="000F7276">
              <w:rPr>
                <w:rFonts w:cs="Arial"/>
              </w:rPr>
              <w:t xml:space="preserve"> during the entire project cycle to facilitate resolution of affected peoples’ grievances regarding the environmental and social performance of the project</w:t>
            </w:r>
            <w:r w:rsidR="005777F5" w:rsidRPr="000F7276">
              <w:rPr>
                <w:rFonts w:cs="Arial"/>
              </w:rPr>
              <w:t xml:space="preserve"> (</w:t>
            </w:r>
            <w:r w:rsidR="0055533A" w:rsidRPr="000F7276">
              <w:rPr>
                <w:rFonts w:cs="Arial"/>
              </w:rPr>
              <w:t xml:space="preserve">ADB, </w:t>
            </w:r>
            <w:r w:rsidR="005777F5" w:rsidRPr="000F7276">
              <w:rPr>
                <w:rFonts w:cs="Arial"/>
              </w:rPr>
              <w:t>AfDB</w:t>
            </w:r>
            <w:r w:rsidR="004A1F8E" w:rsidRPr="000F7276">
              <w:rPr>
                <w:rFonts w:cs="Arial"/>
              </w:rPr>
              <w:t>, EIB</w:t>
            </w:r>
            <w:r w:rsidR="006F78AF" w:rsidRPr="000F7276">
              <w:rPr>
                <w:rFonts w:cs="Arial"/>
              </w:rPr>
              <w:t>, IDB</w:t>
            </w:r>
            <w:r w:rsidR="005777F5" w:rsidRPr="000F7276">
              <w:rPr>
                <w:rFonts w:cs="Arial"/>
              </w:rPr>
              <w:t>)</w:t>
            </w:r>
            <w:r w:rsidR="00AF07A4" w:rsidRPr="000F7276">
              <w:rPr>
                <w:rFonts w:cs="Arial"/>
              </w:rPr>
              <w:t>;</w:t>
            </w:r>
          </w:p>
          <w:p w14:paraId="0FFCB0A6" w14:textId="62DB6D4D" w:rsidR="00157457" w:rsidRPr="001375F3" w:rsidRDefault="006F78AF" w:rsidP="00A009E7">
            <w:pPr>
              <w:numPr>
                <w:ilvl w:val="0"/>
                <w:numId w:val="6"/>
              </w:numPr>
              <w:autoSpaceDE/>
              <w:autoSpaceDN/>
              <w:adjustRightInd/>
              <w:ind w:left="360"/>
              <w:rPr>
                <w:rFonts w:cs="Arial"/>
              </w:rPr>
            </w:pPr>
            <w:r w:rsidRPr="000F7276">
              <w:rPr>
                <w:rFonts w:cs="Arial"/>
              </w:rPr>
              <w:t>Disaster Risk Assessment (IDB)</w:t>
            </w:r>
            <w:r w:rsidR="00AF07A4" w:rsidRPr="000F7276">
              <w:rPr>
                <w:rFonts w:cs="Arial"/>
              </w:rPr>
              <w:t>.</w:t>
            </w:r>
            <w:r w:rsidR="00064E83" w:rsidRPr="000F7276">
              <w:rPr>
                <w:vertAlign w:val="superscript"/>
              </w:rPr>
              <w:footnoteReference w:id="87"/>
            </w:r>
          </w:p>
        </w:tc>
      </w:tr>
      <w:tr w:rsidR="00670476" w:rsidRPr="000F7276" w14:paraId="4C701A4F" w14:textId="77777777" w:rsidTr="002B20C3">
        <w:trPr>
          <w:jc w:val="center"/>
        </w:trPr>
        <w:tc>
          <w:tcPr>
            <w:tcW w:w="9324" w:type="dxa"/>
            <w:shd w:val="clear" w:color="auto" w:fill="C6D9F1"/>
          </w:tcPr>
          <w:p w14:paraId="76022C72" w14:textId="77777777" w:rsidR="00431F03" w:rsidRPr="000F7276" w:rsidRDefault="00C60A39" w:rsidP="00A009E7">
            <w:pPr>
              <w:keepNext/>
              <w:keepLines/>
              <w:autoSpaceDE/>
              <w:autoSpaceDN/>
              <w:adjustRightInd/>
              <w:ind w:left="288" w:hanging="14"/>
              <w:rPr>
                <w:rFonts w:cs="Arial"/>
                <w:b/>
              </w:rPr>
            </w:pPr>
            <w:r w:rsidRPr="000F7276">
              <w:rPr>
                <w:rFonts w:cs="Arial"/>
                <w:b/>
              </w:rPr>
              <w:t xml:space="preserve">World Bank </w:t>
            </w:r>
            <w:r w:rsidR="00670476" w:rsidRPr="000F7276">
              <w:rPr>
                <w:rFonts w:cs="Arial"/>
                <w:b/>
              </w:rPr>
              <w:t xml:space="preserve">OP 4.04 Natural Habitats </w:t>
            </w:r>
          </w:p>
        </w:tc>
      </w:tr>
      <w:tr w:rsidR="00670476" w:rsidRPr="000F7276" w14:paraId="57D83135" w14:textId="77777777" w:rsidTr="002B20C3">
        <w:trPr>
          <w:trHeight w:val="89"/>
          <w:jc w:val="center"/>
        </w:trPr>
        <w:tc>
          <w:tcPr>
            <w:tcW w:w="9324" w:type="dxa"/>
            <w:shd w:val="clear" w:color="auto" w:fill="auto"/>
          </w:tcPr>
          <w:p w14:paraId="03AE1D26" w14:textId="60217BDC" w:rsidR="00C321F1" w:rsidRPr="000F7276" w:rsidRDefault="00D97C4A" w:rsidP="00A009E7">
            <w:pPr>
              <w:numPr>
                <w:ilvl w:val="0"/>
                <w:numId w:val="6"/>
              </w:numPr>
              <w:autoSpaceDE/>
              <w:autoSpaceDN/>
              <w:adjustRightInd/>
              <w:ind w:left="360"/>
              <w:rPr>
                <w:rFonts w:cs="Arial"/>
              </w:rPr>
            </w:pPr>
            <w:r w:rsidRPr="000F7276">
              <w:rPr>
                <w:rFonts w:cs="Arial"/>
              </w:rPr>
              <w:t>More</w:t>
            </w:r>
            <w:r w:rsidR="00A63861" w:rsidRPr="000F7276">
              <w:rPr>
                <w:rFonts w:cs="Arial"/>
              </w:rPr>
              <w:t xml:space="preserve"> specific provisions regarding</w:t>
            </w:r>
            <w:r w:rsidR="00BC35A9" w:rsidRPr="000F7276">
              <w:rPr>
                <w:rFonts w:cs="Arial"/>
              </w:rPr>
              <w:t xml:space="preserve"> ecosystem services necessary for subsistence purposes</w:t>
            </w:r>
            <w:r w:rsidR="003F7392" w:rsidRPr="000F7276">
              <w:rPr>
                <w:rFonts w:cs="Arial"/>
              </w:rPr>
              <w:t xml:space="preserve"> </w:t>
            </w:r>
            <w:r w:rsidR="00BC35A9" w:rsidRPr="000F7276">
              <w:rPr>
                <w:rFonts w:cs="Arial"/>
              </w:rPr>
              <w:t xml:space="preserve">and extraction </w:t>
            </w:r>
            <w:r w:rsidR="00F12F82" w:rsidRPr="000F7276">
              <w:rPr>
                <w:rFonts w:cs="Arial"/>
              </w:rPr>
              <w:t xml:space="preserve">of </w:t>
            </w:r>
            <w:r w:rsidR="00BC35A9" w:rsidRPr="000F7276">
              <w:rPr>
                <w:rFonts w:cs="Arial"/>
              </w:rPr>
              <w:t>renewable natural resources, and</w:t>
            </w:r>
            <w:r w:rsidR="0055533A" w:rsidRPr="000F7276">
              <w:rPr>
                <w:rFonts w:cs="Arial"/>
              </w:rPr>
              <w:t>/or</w:t>
            </w:r>
            <w:r w:rsidR="00BC35A9" w:rsidRPr="000F7276">
              <w:rPr>
                <w:rFonts w:cs="Arial"/>
              </w:rPr>
              <w:t xml:space="preserve"> use and commercialization of indigenous knowledge as</w:t>
            </w:r>
            <w:r w:rsidR="003F7392" w:rsidRPr="000F7276">
              <w:rPr>
                <w:rFonts w:cs="Arial"/>
              </w:rPr>
              <w:t xml:space="preserve"> </w:t>
            </w:r>
            <w:r w:rsidR="00BC1853" w:rsidRPr="000F7276">
              <w:rPr>
                <w:rFonts w:cs="Arial"/>
              </w:rPr>
              <w:t>the basis</w:t>
            </w:r>
            <w:r w:rsidR="00BC35A9" w:rsidRPr="000F7276">
              <w:rPr>
                <w:rFonts w:cs="Arial"/>
              </w:rPr>
              <w:t xml:space="preserve"> for application of safeguard policy</w:t>
            </w:r>
            <w:r w:rsidR="003F7392" w:rsidRPr="000F7276">
              <w:rPr>
                <w:rFonts w:cs="Arial"/>
              </w:rPr>
              <w:t xml:space="preserve"> </w:t>
            </w:r>
            <w:r w:rsidR="00BC35A9" w:rsidRPr="000F7276">
              <w:rPr>
                <w:rFonts w:cs="Arial"/>
              </w:rPr>
              <w:t>(</w:t>
            </w:r>
            <w:r w:rsidR="0055533A" w:rsidRPr="000F7276">
              <w:rPr>
                <w:rFonts w:cs="Arial"/>
              </w:rPr>
              <w:t xml:space="preserve">ADB, </w:t>
            </w:r>
            <w:r w:rsidR="00BC35A9" w:rsidRPr="000F7276">
              <w:rPr>
                <w:rFonts w:cs="Arial"/>
              </w:rPr>
              <w:t>AfDB)</w:t>
            </w:r>
            <w:r w:rsidR="00F12F82" w:rsidRPr="000F7276">
              <w:rPr>
                <w:rFonts w:cs="Arial"/>
              </w:rPr>
              <w:t>;</w:t>
            </w:r>
            <w:r w:rsidR="00A63861" w:rsidRPr="000F7276">
              <w:rPr>
                <w:rStyle w:val="FootnoteReference"/>
                <w:rFonts w:cs="Arial"/>
              </w:rPr>
              <w:footnoteReference w:id="88"/>
            </w:r>
          </w:p>
          <w:p w14:paraId="49A0E31E" w14:textId="77777777" w:rsidR="00C321F1" w:rsidRPr="000F7276" w:rsidRDefault="00670476" w:rsidP="00A009E7">
            <w:pPr>
              <w:numPr>
                <w:ilvl w:val="0"/>
                <w:numId w:val="6"/>
              </w:numPr>
              <w:autoSpaceDE/>
              <w:autoSpaceDN/>
              <w:adjustRightInd/>
              <w:ind w:left="360"/>
              <w:rPr>
                <w:rFonts w:cs="Arial"/>
              </w:rPr>
            </w:pPr>
            <w:r w:rsidRPr="000F7276">
              <w:rPr>
                <w:rFonts w:cs="Arial"/>
              </w:rPr>
              <w:t>Use of a refined three-fold categorization of habitats</w:t>
            </w:r>
            <w:r w:rsidR="00E95000" w:rsidRPr="000F7276">
              <w:rPr>
                <w:rFonts w:cs="Arial"/>
              </w:rPr>
              <w:t>(ADB);</w:t>
            </w:r>
            <w:r w:rsidR="005777F5" w:rsidRPr="000F7276">
              <w:rPr>
                <w:rStyle w:val="FootnoteReference"/>
                <w:rFonts w:cs="Arial"/>
              </w:rPr>
              <w:footnoteReference w:id="89"/>
            </w:r>
            <w:r w:rsidR="0055533A" w:rsidRPr="000F7276">
              <w:rPr>
                <w:rFonts w:cs="Arial"/>
              </w:rPr>
              <w:t xml:space="preserve"> </w:t>
            </w:r>
          </w:p>
          <w:p w14:paraId="3C35C519" w14:textId="77777777" w:rsidR="00C321F1" w:rsidRPr="000F7276" w:rsidRDefault="005D3542" w:rsidP="00A009E7">
            <w:pPr>
              <w:numPr>
                <w:ilvl w:val="0"/>
                <w:numId w:val="6"/>
              </w:numPr>
              <w:tabs>
                <w:tab w:val="left" w:pos="702"/>
                <w:tab w:val="left" w:pos="1620"/>
              </w:tabs>
              <w:autoSpaceDE/>
              <w:autoSpaceDN/>
              <w:adjustRightInd/>
              <w:ind w:left="360"/>
              <w:rPr>
                <w:rFonts w:cs="Arial"/>
              </w:rPr>
            </w:pPr>
            <w:r w:rsidRPr="000F7276">
              <w:rPr>
                <w:rFonts w:cs="Arial"/>
              </w:rPr>
              <w:t xml:space="preserve">Broader definition </w:t>
            </w:r>
            <w:r w:rsidR="00B47D4B" w:rsidRPr="000F7276">
              <w:rPr>
                <w:rFonts w:cs="Arial"/>
              </w:rPr>
              <w:t>of “</w:t>
            </w:r>
            <w:r w:rsidRPr="000F7276">
              <w:rPr>
                <w:rFonts w:cs="Arial"/>
              </w:rPr>
              <w:t>critical habitats</w:t>
            </w:r>
            <w:r w:rsidR="00AC21D3" w:rsidRPr="000F7276">
              <w:rPr>
                <w:rFonts w:cs="Arial"/>
              </w:rPr>
              <w:t>” to include “</w:t>
            </w:r>
            <w:r w:rsidR="00DC70CF" w:rsidRPr="000F7276">
              <w:rPr>
                <w:rFonts w:cs="Calibri"/>
                <w:i/>
              </w:rPr>
              <w:t>globally significant concentrations</w:t>
            </w:r>
            <w:r w:rsidR="00DC70CF" w:rsidRPr="000F7276">
              <w:rPr>
                <w:rFonts w:cs="Calibri"/>
              </w:rPr>
              <w:t xml:space="preserve"> of migratory species and/or </w:t>
            </w:r>
            <w:r w:rsidR="00DC70CF" w:rsidRPr="000F7276">
              <w:rPr>
                <w:rFonts w:cs="Calibri"/>
                <w:i/>
              </w:rPr>
              <w:t>congregatory species</w:t>
            </w:r>
            <w:r w:rsidR="00C47E53" w:rsidRPr="000F7276">
              <w:rPr>
                <w:rFonts w:cs="Calibri"/>
                <w:i/>
              </w:rPr>
              <w:t>;”</w:t>
            </w:r>
            <w:r w:rsidR="00DC70CF" w:rsidRPr="000F7276">
              <w:rPr>
                <w:rFonts w:cs="Arial"/>
              </w:rPr>
              <w:t xml:space="preserve"> </w:t>
            </w:r>
            <w:r w:rsidR="00F12F82" w:rsidRPr="000F7276">
              <w:rPr>
                <w:rFonts w:cs="Arial"/>
              </w:rPr>
              <w:t>“</w:t>
            </w:r>
            <w:r w:rsidR="00AC21D3" w:rsidRPr="000F7276">
              <w:rPr>
                <w:rFonts w:cs="Arial"/>
                <w:i/>
              </w:rPr>
              <w:t>r</w:t>
            </w:r>
            <w:r w:rsidR="00AC21D3" w:rsidRPr="000F7276">
              <w:rPr>
                <w:rFonts w:cs="Calibri"/>
                <w:i/>
              </w:rPr>
              <w:t>egionally significant</w:t>
            </w:r>
            <w:r w:rsidR="00AC21D3" w:rsidRPr="000F7276">
              <w:rPr>
                <w:rFonts w:cs="Calibri"/>
              </w:rPr>
              <w:t xml:space="preserve"> and/or highly threatened or unique ecosystems</w:t>
            </w:r>
            <w:r w:rsidR="00F12F82" w:rsidRPr="000F7276">
              <w:rPr>
                <w:rFonts w:cs="Calibri"/>
              </w:rPr>
              <w:t>;</w:t>
            </w:r>
            <w:r w:rsidR="00C47E53" w:rsidRPr="000F7276">
              <w:rPr>
                <w:rFonts w:cs="Calibri"/>
              </w:rPr>
              <w:t>”</w:t>
            </w:r>
            <w:r w:rsidR="00AC21D3" w:rsidRPr="000F7276">
              <w:rPr>
                <w:rFonts w:cs="Calibri"/>
              </w:rPr>
              <w:t xml:space="preserve"> areas that are associated with </w:t>
            </w:r>
            <w:r w:rsidR="00F12F82" w:rsidRPr="000F7276">
              <w:rPr>
                <w:rFonts w:cs="Calibri"/>
              </w:rPr>
              <w:t>“</w:t>
            </w:r>
            <w:r w:rsidR="00AC21D3" w:rsidRPr="000F7276">
              <w:rPr>
                <w:rFonts w:cs="Calibri"/>
                <w:i/>
              </w:rPr>
              <w:t>key evolutionary</w:t>
            </w:r>
            <w:r w:rsidR="00AC21D3" w:rsidRPr="000F7276">
              <w:rPr>
                <w:rFonts w:cs="Calibri"/>
              </w:rPr>
              <w:t xml:space="preserve"> </w:t>
            </w:r>
            <w:r w:rsidR="00AC21D3" w:rsidRPr="000F7276">
              <w:rPr>
                <w:rFonts w:cs="Calibri"/>
                <w:i/>
              </w:rPr>
              <w:t>processes</w:t>
            </w:r>
            <w:r w:rsidR="00E95000" w:rsidRPr="000F7276">
              <w:rPr>
                <w:rFonts w:cs="Calibri"/>
                <w:i/>
              </w:rPr>
              <w:t>;</w:t>
            </w:r>
            <w:r w:rsidR="00C47E53" w:rsidRPr="000F7276">
              <w:rPr>
                <w:rFonts w:cs="Calibri"/>
                <w:i/>
              </w:rPr>
              <w:t>”</w:t>
            </w:r>
            <w:r w:rsidR="00AC21D3" w:rsidRPr="000F7276">
              <w:rPr>
                <w:rFonts w:cs="Calibri"/>
              </w:rPr>
              <w:t xml:space="preserve"> areas that are important to species that are </w:t>
            </w:r>
            <w:r w:rsidR="00C47E53" w:rsidRPr="000F7276">
              <w:rPr>
                <w:rFonts w:cs="Calibri"/>
              </w:rPr>
              <w:t>“</w:t>
            </w:r>
            <w:r w:rsidR="00AC21D3" w:rsidRPr="000F7276">
              <w:rPr>
                <w:rFonts w:cs="Calibri"/>
                <w:i/>
              </w:rPr>
              <w:t>vital to ecosystems</w:t>
            </w:r>
            <w:r w:rsidR="00AC21D3" w:rsidRPr="000F7276">
              <w:rPr>
                <w:rFonts w:cs="Calibri"/>
              </w:rPr>
              <w:t>,</w:t>
            </w:r>
            <w:r w:rsidR="00C47E53" w:rsidRPr="000F7276">
              <w:rPr>
                <w:rFonts w:cs="Calibri"/>
              </w:rPr>
              <w:t>”</w:t>
            </w:r>
            <w:r w:rsidR="00AC21D3" w:rsidRPr="000F7276">
              <w:rPr>
                <w:rFonts w:cs="Calibri"/>
              </w:rPr>
              <w:t xml:space="preserve"> such as </w:t>
            </w:r>
            <w:r w:rsidR="00C47E53" w:rsidRPr="000F7276">
              <w:rPr>
                <w:rFonts w:cs="Calibri"/>
              </w:rPr>
              <w:t>“</w:t>
            </w:r>
            <w:r w:rsidR="00AC21D3" w:rsidRPr="000F7276">
              <w:rPr>
                <w:rFonts w:cs="Calibri"/>
                <w:i/>
              </w:rPr>
              <w:t>keystone species</w:t>
            </w:r>
            <w:r w:rsidR="00AC21D3" w:rsidRPr="000F7276">
              <w:rPr>
                <w:rFonts w:cs="Calibri"/>
              </w:rPr>
              <w:t>;</w:t>
            </w:r>
            <w:r w:rsidR="00F12F82" w:rsidRPr="000F7276">
              <w:rPr>
                <w:rFonts w:cs="Calibri"/>
              </w:rPr>
              <w:t>”</w:t>
            </w:r>
            <w:r w:rsidR="00AC21D3" w:rsidRPr="000F7276">
              <w:rPr>
                <w:rFonts w:cs="Calibri"/>
              </w:rPr>
              <w:t xml:space="preserve"> and areas that </w:t>
            </w:r>
            <w:r w:rsidR="00C47E53" w:rsidRPr="000F7276">
              <w:rPr>
                <w:rFonts w:cs="Calibri"/>
              </w:rPr>
              <w:t>‘’s</w:t>
            </w:r>
            <w:r w:rsidR="00AC21D3" w:rsidRPr="000F7276">
              <w:rPr>
                <w:rFonts w:cs="Calibri"/>
                <w:i/>
              </w:rPr>
              <w:t>upply ecological networks</w:t>
            </w:r>
            <w:r w:rsidR="00C47E53" w:rsidRPr="000F7276">
              <w:rPr>
                <w:rFonts w:cs="Calibri"/>
                <w:i/>
              </w:rPr>
              <w:t>’’</w:t>
            </w:r>
            <w:r w:rsidR="00F30BA7" w:rsidRPr="000F7276">
              <w:rPr>
                <w:rFonts w:cs="Calibri"/>
                <w:i/>
              </w:rPr>
              <w:t>(</w:t>
            </w:r>
            <w:r w:rsidR="00173111" w:rsidRPr="000F7276">
              <w:rPr>
                <w:rFonts w:cs="Calibri"/>
              </w:rPr>
              <w:t>ADB,</w:t>
            </w:r>
            <w:r w:rsidR="00D4130E" w:rsidRPr="000F7276">
              <w:rPr>
                <w:rFonts w:cs="Calibri"/>
                <w:i/>
              </w:rPr>
              <w:t xml:space="preserve"> </w:t>
            </w:r>
            <w:r w:rsidR="00F30BA7" w:rsidRPr="000F7276">
              <w:rPr>
                <w:rFonts w:cs="Calibri"/>
              </w:rPr>
              <w:t>AfDB</w:t>
            </w:r>
            <w:r w:rsidR="004C460A" w:rsidRPr="000F7276">
              <w:rPr>
                <w:rFonts w:cs="Calibri"/>
                <w:iCs/>
              </w:rPr>
              <w:t>)</w:t>
            </w:r>
            <w:r w:rsidR="00064E83" w:rsidRPr="000F7276">
              <w:rPr>
                <w:rFonts w:cs="Calibri"/>
                <w:iCs/>
              </w:rPr>
              <w:t>;</w:t>
            </w:r>
          </w:p>
          <w:p w14:paraId="75D729B1" w14:textId="77777777" w:rsidR="00C321F1" w:rsidRPr="000F7276" w:rsidRDefault="0056343E" w:rsidP="00A009E7">
            <w:pPr>
              <w:numPr>
                <w:ilvl w:val="0"/>
                <w:numId w:val="6"/>
              </w:numPr>
              <w:tabs>
                <w:tab w:val="left" w:pos="702"/>
                <w:tab w:val="left" w:pos="1620"/>
              </w:tabs>
              <w:autoSpaceDE/>
              <w:autoSpaceDN/>
              <w:adjustRightInd/>
              <w:ind w:left="360"/>
              <w:rPr>
                <w:rFonts w:cs="Arial"/>
              </w:rPr>
            </w:pPr>
            <w:r w:rsidRPr="000F7276">
              <w:rPr>
                <w:rFonts w:cs="Calibri"/>
              </w:rPr>
              <w:t>Authorization to support projects in areas of “critical habitat” if specified conditions are met</w:t>
            </w:r>
            <w:r w:rsidR="003F7392" w:rsidRPr="000F7276">
              <w:rPr>
                <w:rFonts w:cs="Calibri"/>
              </w:rPr>
              <w:t>.</w:t>
            </w:r>
            <w:r w:rsidRPr="000F7276">
              <w:rPr>
                <w:rFonts w:cs="Calibri"/>
              </w:rPr>
              <w:t xml:space="preserve"> (</w:t>
            </w:r>
            <w:r w:rsidR="0055533A" w:rsidRPr="000F7276">
              <w:rPr>
                <w:rFonts w:cs="Calibri"/>
              </w:rPr>
              <w:t xml:space="preserve">ADB, </w:t>
            </w:r>
            <w:r w:rsidRPr="000F7276">
              <w:rPr>
                <w:rFonts w:cs="Calibri"/>
              </w:rPr>
              <w:t>AfDB)</w:t>
            </w:r>
            <w:r w:rsidR="00F12F82" w:rsidRPr="000F7276">
              <w:rPr>
                <w:rFonts w:cs="Calibri"/>
              </w:rPr>
              <w:t>;</w:t>
            </w:r>
          </w:p>
          <w:p w14:paraId="5A6774CB" w14:textId="77777777" w:rsidR="00C321F1" w:rsidRPr="000F7276" w:rsidRDefault="00932929" w:rsidP="00A009E7">
            <w:pPr>
              <w:numPr>
                <w:ilvl w:val="0"/>
                <w:numId w:val="6"/>
              </w:numPr>
              <w:tabs>
                <w:tab w:val="left" w:pos="702"/>
                <w:tab w:val="left" w:pos="1620"/>
              </w:tabs>
              <w:autoSpaceDE/>
              <w:autoSpaceDN/>
              <w:adjustRightInd/>
              <w:ind w:left="360"/>
              <w:rPr>
                <w:rFonts w:cs="Arial"/>
              </w:rPr>
            </w:pPr>
            <w:r w:rsidRPr="000F7276">
              <w:rPr>
                <w:rFonts w:cs="Arial"/>
              </w:rPr>
              <w:t xml:space="preserve">Borrower </w:t>
            </w:r>
            <w:r w:rsidR="00E95000" w:rsidRPr="000F7276">
              <w:rPr>
                <w:rFonts w:cs="Arial"/>
              </w:rPr>
              <w:t xml:space="preserve">to </w:t>
            </w:r>
            <w:r w:rsidRPr="000F7276">
              <w:rPr>
                <w:rFonts w:cs="Arial"/>
              </w:rPr>
              <w:t>comply with national and local regulations and consult with relevant stakeholders where such regulations permit projects to encroach on legally</w:t>
            </w:r>
            <w:r w:rsidR="003F7392" w:rsidRPr="000F7276">
              <w:rPr>
                <w:rFonts w:cs="Arial"/>
              </w:rPr>
              <w:t xml:space="preserve"> </w:t>
            </w:r>
            <w:r w:rsidRPr="000F7276">
              <w:rPr>
                <w:rFonts w:cs="Arial"/>
              </w:rPr>
              <w:t>or internationally recognized areas or are</w:t>
            </w:r>
            <w:r w:rsidR="006F78AF" w:rsidRPr="000F7276">
              <w:rPr>
                <w:rFonts w:cs="Arial"/>
              </w:rPr>
              <w:t>as</w:t>
            </w:r>
            <w:r w:rsidRPr="000F7276">
              <w:rPr>
                <w:rFonts w:cs="Arial"/>
              </w:rPr>
              <w:t xml:space="preserve"> proposed for protection or international recognition (AfDB)</w:t>
            </w:r>
            <w:r w:rsidR="00F12F82" w:rsidRPr="000F7276">
              <w:rPr>
                <w:rFonts w:cs="Arial"/>
              </w:rPr>
              <w:t>;</w:t>
            </w:r>
          </w:p>
          <w:p w14:paraId="4DF87593" w14:textId="6E9CFA95" w:rsidR="00C321F1" w:rsidRPr="000F7276" w:rsidRDefault="00670476" w:rsidP="00A009E7">
            <w:pPr>
              <w:numPr>
                <w:ilvl w:val="0"/>
                <w:numId w:val="6"/>
              </w:numPr>
              <w:tabs>
                <w:tab w:val="left" w:pos="702"/>
                <w:tab w:val="left" w:pos="1620"/>
              </w:tabs>
              <w:autoSpaceDE/>
              <w:autoSpaceDN/>
              <w:adjustRightInd/>
              <w:ind w:left="360"/>
              <w:rPr>
                <w:rFonts w:cs="Arial"/>
              </w:rPr>
            </w:pPr>
            <w:r w:rsidRPr="000F7276">
              <w:rPr>
                <w:rFonts w:cs="Arial"/>
              </w:rPr>
              <w:t>Special attention to “major threats to biodiversity” (i.e.</w:t>
            </w:r>
            <w:r w:rsidR="00E23998">
              <w:rPr>
                <w:rFonts w:cs="Arial"/>
              </w:rPr>
              <w:t>,</w:t>
            </w:r>
            <w:r w:rsidR="002F70BF" w:rsidRPr="000F7276">
              <w:rPr>
                <w:rFonts w:cs="Arial"/>
              </w:rPr>
              <w:t xml:space="preserve"> </w:t>
            </w:r>
            <w:r w:rsidRPr="000F7276">
              <w:rPr>
                <w:rFonts w:cs="Arial"/>
              </w:rPr>
              <w:t>wildlife poaching and harvesting of indigenous ornamental flora and fauna)</w:t>
            </w:r>
            <w:r w:rsidR="00EC3D44" w:rsidRPr="000F7276">
              <w:rPr>
                <w:rFonts w:cs="Arial"/>
              </w:rPr>
              <w:t xml:space="preserve"> (ADB</w:t>
            </w:r>
            <w:r w:rsidR="004A1F8E" w:rsidRPr="000F7276">
              <w:rPr>
                <w:rFonts w:cs="Arial"/>
              </w:rPr>
              <w:t>, EIB</w:t>
            </w:r>
            <w:r w:rsidR="00EC3D44" w:rsidRPr="000F7276">
              <w:rPr>
                <w:rFonts w:cs="Arial"/>
              </w:rPr>
              <w:t>)</w:t>
            </w:r>
            <w:r w:rsidR="00F12F82" w:rsidRPr="000F7276">
              <w:rPr>
                <w:rFonts w:cs="Arial"/>
              </w:rPr>
              <w:t>;</w:t>
            </w:r>
          </w:p>
          <w:p w14:paraId="4FC35C79" w14:textId="7528CB70" w:rsidR="00C321F1" w:rsidRPr="000F7276" w:rsidRDefault="00DE72D4" w:rsidP="00A009E7">
            <w:pPr>
              <w:numPr>
                <w:ilvl w:val="0"/>
                <w:numId w:val="6"/>
              </w:numPr>
              <w:autoSpaceDE/>
              <w:autoSpaceDN/>
              <w:adjustRightInd/>
              <w:ind w:left="360"/>
              <w:rPr>
                <w:rFonts w:cs="Arial"/>
              </w:rPr>
            </w:pPr>
            <w:r w:rsidRPr="000F7276">
              <w:rPr>
                <w:rFonts w:cs="Arial"/>
              </w:rPr>
              <w:t xml:space="preserve">Biodiversity </w:t>
            </w:r>
            <w:r w:rsidR="006A3E46" w:rsidRPr="000F7276">
              <w:rPr>
                <w:rFonts w:cs="Arial"/>
              </w:rPr>
              <w:t>I</w:t>
            </w:r>
            <w:r w:rsidRPr="000F7276">
              <w:rPr>
                <w:rFonts w:cs="Arial"/>
              </w:rPr>
              <w:t xml:space="preserve">mpact </w:t>
            </w:r>
            <w:r w:rsidR="00E23998">
              <w:rPr>
                <w:rFonts w:cs="Arial"/>
              </w:rPr>
              <w:t>A</w:t>
            </w:r>
            <w:r w:rsidRPr="000F7276">
              <w:rPr>
                <w:rFonts w:cs="Arial"/>
              </w:rPr>
              <w:t xml:space="preserve">ssessment </w:t>
            </w:r>
            <w:r w:rsidR="00E95000" w:rsidRPr="000F7276">
              <w:rPr>
                <w:rFonts w:cs="Arial"/>
              </w:rPr>
              <w:t xml:space="preserve">to </w:t>
            </w:r>
            <w:r w:rsidRPr="000F7276">
              <w:rPr>
                <w:rFonts w:cs="Arial"/>
              </w:rPr>
              <w:t>offer a comprehensive picture of the likely direct, indirect, induced and cumulative impacts of the operation on habitats, species and ecosystems (EIB)</w:t>
            </w:r>
            <w:r w:rsidR="00F12F82" w:rsidRPr="000F7276">
              <w:rPr>
                <w:rFonts w:cs="Arial"/>
              </w:rPr>
              <w:t>;</w:t>
            </w:r>
          </w:p>
          <w:p w14:paraId="14BF6028" w14:textId="77777777" w:rsidR="00C321F1" w:rsidRPr="000F7276" w:rsidRDefault="006A3E46" w:rsidP="00A009E7">
            <w:pPr>
              <w:numPr>
                <w:ilvl w:val="0"/>
                <w:numId w:val="6"/>
              </w:numPr>
              <w:autoSpaceDE/>
              <w:autoSpaceDN/>
              <w:adjustRightInd/>
              <w:ind w:left="360"/>
              <w:rPr>
                <w:rFonts w:cs="Arial"/>
              </w:rPr>
            </w:pPr>
            <w:r w:rsidRPr="000F7276">
              <w:rPr>
                <w:rFonts w:cs="Arial"/>
              </w:rPr>
              <w:t xml:space="preserve">Biodiversity Management Plan </w:t>
            </w:r>
            <w:r w:rsidR="00E95000" w:rsidRPr="000F7276">
              <w:rPr>
                <w:rFonts w:cs="Arial"/>
              </w:rPr>
              <w:t xml:space="preserve">to </w:t>
            </w:r>
            <w:r w:rsidRPr="000F7276">
              <w:rPr>
                <w:rFonts w:cs="Arial"/>
              </w:rPr>
              <w:t>specify proposed measures of avoidance, minimization and compensation for biodiversity impacts (EIB)</w:t>
            </w:r>
            <w:r w:rsidR="00F12F82" w:rsidRPr="000F7276">
              <w:rPr>
                <w:rFonts w:cs="Arial"/>
              </w:rPr>
              <w:t>;</w:t>
            </w:r>
          </w:p>
          <w:p w14:paraId="0CD89BFA" w14:textId="3F32D51A" w:rsidR="00C321F1" w:rsidRPr="000F7276" w:rsidRDefault="006A3E46" w:rsidP="00A009E7">
            <w:pPr>
              <w:numPr>
                <w:ilvl w:val="0"/>
                <w:numId w:val="6"/>
              </w:numPr>
              <w:autoSpaceDE/>
              <w:autoSpaceDN/>
              <w:adjustRightInd/>
              <w:ind w:left="360"/>
              <w:rPr>
                <w:rFonts w:cs="Arial"/>
              </w:rPr>
            </w:pPr>
            <w:r w:rsidRPr="000F7276">
              <w:rPr>
                <w:rFonts w:cs="Arial"/>
              </w:rPr>
              <w:t>Where offsets are proposed, a</w:t>
            </w:r>
            <w:r w:rsidR="0097729F" w:rsidRPr="000F7276">
              <w:rPr>
                <w:rFonts w:cs="Arial"/>
              </w:rPr>
              <w:t xml:space="preserve"> separate</w:t>
            </w:r>
            <w:r w:rsidRPr="000F7276">
              <w:rPr>
                <w:rFonts w:cs="Arial"/>
              </w:rPr>
              <w:t xml:space="preserve"> Offset Implementation and Management Plan </w:t>
            </w:r>
            <w:r w:rsidR="00E95000" w:rsidRPr="000F7276">
              <w:rPr>
                <w:rFonts w:cs="Arial"/>
              </w:rPr>
              <w:t xml:space="preserve">to </w:t>
            </w:r>
            <w:r w:rsidRPr="000F7276">
              <w:rPr>
                <w:rFonts w:cs="Arial"/>
              </w:rPr>
              <w:t>be developed (</w:t>
            </w:r>
            <w:r w:rsidR="0055533A" w:rsidRPr="000F7276">
              <w:rPr>
                <w:rFonts w:cs="Arial"/>
              </w:rPr>
              <w:t xml:space="preserve">ADB, </w:t>
            </w:r>
            <w:r w:rsidRPr="000F7276">
              <w:rPr>
                <w:rFonts w:cs="Arial"/>
              </w:rPr>
              <w:t>EIB</w:t>
            </w:r>
            <w:r w:rsidR="00BD010D" w:rsidRPr="000F7276">
              <w:rPr>
                <w:rFonts w:cs="Arial"/>
              </w:rPr>
              <w:t>, AfDB</w:t>
            </w:r>
            <w:r w:rsidRPr="000F7276">
              <w:rPr>
                <w:rFonts w:cs="Arial"/>
              </w:rPr>
              <w:t>)</w:t>
            </w:r>
            <w:r w:rsidR="00F12F82" w:rsidRPr="000F7276">
              <w:rPr>
                <w:rFonts w:cs="Arial"/>
              </w:rPr>
              <w:t>;</w:t>
            </w:r>
            <w:r w:rsidR="0097729F" w:rsidRPr="000F7276">
              <w:rPr>
                <w:rStyle w:val="FootnoteReference"/>
                <w:rFonts w:cs="Arial"/>
              </w:rPr>
              <w:footnoteReference w:id="90"/>
            </w:r>
          </w:p>
          <w:p w14:paraId="6CE47732" w14:textId="77777777" w:rsidR="00C321F1" w:rsidRPr="000F7276" w:rsidRDefault="00D132BC" w:rsidP="00A009E7">
            <w:pPr>
              <w:numPr>
                <w:ilvl w:val="0"/>
                <w:numId w:val="6"/>
              </w:numPr>
              <w:autoSpaceDE/>
              <w:autoSpaceDN/>
              <w:adjustRightInd/>
              <w:ind w:left="360"/>
              <w:rPr>
                <w:rFonts w:cs="Arial"/>
              </w:rPr>
            </w:pPr>
            <w:r w:rsidRPr="000F7276">
              <w:rPr>
                <w:rFonts w:cs="Arial"/>
              </w:rPr>
              <w:t xml:space="preserve">Assessment of the value and prioritization of specified “ecosystem services” </w:t>
            </w:r>
            <w:r w:rsidR="00E95000" w:rsidRPr="000F7276">
              <w:rPr>
                <w:rFonts w:cs="Arial"/>
              </w:rPr>
              <w:t xml:space="preserve">for </w:t>
            </w:r>
            <w:r w:rsidRPr="000F7276">
              <w:rPr>
                <w:rFonts w:cs="Arial"/>
              </w:rPr>
              <w:t>affected communities</w:t>
            </w:r>
            <w:r w:rsidR="003F7392" w:rsidRPr="000F7276">
              <w:rPr>
                <w:rFonts w:cs="Arial"/>
              </w:rPr>
              <w:t xml:space="preserve"> </w:t>
            </w:r>
            <w:r w:rsidRPr="000F7276">
              <w:rPr>
                <w:rFonts w:cs="Arial"/>
              </w:rPr>
              <w:t>(</w:t>
            </w:r>
            <w:r w:rsidR="00D4130E" w:rsidRPr="000F7276">
              <w:rPr>
                <w:rFonts w:cs="Arial"/>
              </w:rPr>
              <w:t xml:space="preserve">ADB, </w:t>
            </w:r>
            <w:r w:rsidRPr="000F7276">
              <w:rPr>
                <w:rFonts w:cs="Arial"/>
              </w:rPr>
              <w:t xml:space="preserve">AfDB, </w:t>
            </w:r>
            <w:r w:rsidR="004A1F8E" w:rsidRPr="000F7276">
              <w:rPr>
                <w:rFonts w:cs="Arial"/>
              </w:rPr>
              <w:t xml:space="preserve">EIB, </w:t>
            </w:r>
            <w:r w:rsidRPr="000F7276">
              <w:rPr>
                <w:rFonts w:cs="Arial"/>
              </w:rPr>
              <w:t>IDB)</w:t>
            </w:r>
            <w:r w:rsidR="00F12F82" w:rsidRPr="000F7276">
              <w:rPr>
                <w:rFonts w:cs="Arial"/>
              </w:rPr>
              <w:t>;</w:t>
            </w:r>
          </w:p>
          <w:p w14:paraId="13BDADE8" w14:textId="1C26138D" w:rsidR="00C321F1" w:rsidRPr="000F7276" w:rsidRDefault="0097729F" w:rsidP="00A009E7">
            <w:pPr>
              <w:numPr>
                <w:ilvl w:val="0"/>
                <w:numId w:val="6"/>
              </w:numPr>
              <w:autoSpaceDE/>
              <w:autoSpaceDN/>
              <w:adjustRightInd/>
              <w:ind w:left="360"/>
              <w:rPr>
                <w:rFonts w:cs="Arial"/>
              </w:rPr>
            </w:pPr>
            <w:r w:rsidRPr="000F7276">
              <w:rPr>
                <w:rFonts w:cs="Arial"/>
              </w:rPr>
              <w:t>More express requirement regarding a</w:t>
            </w:r>
            <w:r w:rsidR="00670476" w:rsidRPr="000F7276">
              <w:rPr>
                <w:rFonts w:cs="Arial"/>
              </w:rPr>
              <w:t>ssessment and management of</w:t>
            </w:r>
            <w:r w:rsidR="00BC35A9" w:rsidRPr="000F7276">
              <w:rPr>
                <w:rFonts w:cs="Arial"/>
              </w:rPr>
              <w:t xml:space="preserve"> “</w:t>
            </w:r>
            <w:r w:rsidR="00670476" w:rsidRPr="000F7276">
              <w:rPr>
                <w:rFonts w:cs="Arial"/>
              </w:rPr>
              <w:t xml:space="preserve"> environmental flows</w:t>
            </w:r>
            <w:r w:rsidR="00BC35A9" w:rsidRPr="000F7276">
              <w:rPr>
                <w:rFonts w:cs="Arial"/>
              </w:rPr>
              <w:t>”</w:t>
            </w:r>
            <w:r w:rsidR="00670476" w:rsidRPr="000F7276">
              <w:rPr>
                <w:rFonts w:cs="Arial"/>
              </w:rPr>
              <w:t xml:space="preserve"> in relation to their impacts on upstream and downstream biodiversity and ecosystem functions</w:t>
            </w:r>
            <w:r w:rsidR="00EC3D44" w:rsidRPr="000F7276">
              <w:rPr>
                <w:rFonts w:cs="Arial"/>
              </w:rPr>
              <w:t xml:space="preserve"> (AfDB, </w:t>
            </w:r>
            <w:r w:rsidR="004A1F8E" w:rsidRPr="000F7276">
              <w:rPr>
                <w:rFonts w:cs="Arial"/>
              </w:rPr>
              <w:t>EIB,</w:t>
            </w:r>
            <w:r w:rsidR="00EC3D44" w:rsidRPr="000F7276">
              <w:rPr>
                <w:rFonts w:cs="Arial"/>
              </w:rPr>
              <w:t>IDB)</w:t>
            </w:r>
            <w:r w:rsidR="00F12F82" w:rsidRPr="000F7276">
              <w:rPr>
                <w:rFonts w:cs="Arial"/>
              </w:rPr>
              <w:t>;</w:t>
            </w:r>
            <w:r w:rsidRPr="000F7276">
              <w:rPr>
                <w:rStyle w:val="FootnoteReference"/>
                <w:rFonts w:cs="Arial"/>
              </w:rPr>
              <w:footnoteReference w:id="91"/>
            </w:r>
          </w:p>
          <w:p w14:paraId="6EC550C1" w14:textId="77777777" w:rsidR="00C321F1" w:rsidRPr="000F7276" w:rsidRDefault="009E03A7" w:rsidP="00A009E7">
            <w:pPr>
              <w:numPr>
                <w:ilvl w:val="0"/>
                <w:numId w:val="6"/>
              </w:numPr>
              <w:autoSpaceDE/>
              <w:autoSpaceDN/>
              <w:adjustRightInd/>
              <w:ind w:left="360"/>
              <w:rPr>
                <w:rFonts w:cs="Arial"/>
              </w:rPr>
            </w:pPr>
            <w:r w:rsidRPr="000F7276">
              <w:rPr>
                <w:rFonts w:cs="Arial"/>
              </w:rPr>
              <w:t xml:space="preserve">Landscape or seascape level impact assessment of </w:t>
            </w:r>
            <w:r w:rsidR="00670476" w:rsidRPr="000F7276">
              <w:rPr>
                <w:rFonts w:cs="Arial"/>
              </w:rPr>
              <w:t xml:space="preserve">projects located </w:t>
            </w:r>
            <w:r w:rsidR="00BC35A9" w:rsidRPr="000F7276">
              <w:rPr>
                <w:rFonts w:cs="Arial"/>
              </w:rPr>
              <w:t>“</w:t>
            </w:r>
            <w:r w:rsidR="00670476" w:rsidRPr="000F7276">
              <w:rPr>
                <w:rFonts w:cs="Arial"/>
              </w:rPr>
              <w:t>in or near</w:t>
            </w:r>
            <w:r w:rsidR="00BC35A9" w:rsidRPr="000F7276">
              <w:rPr>
                <w:rFonts w:cs="Arial"/>
              </w:rPr>
              <w:t>”</w:t>
            </w:r>
            <w:r w:rsidR="00670476" w:rsidRPr="000F7276">
              <w:rPr>
                <w:rFonts w:cs="Arial"/>
              </w:rPr>
              <w:t xml:space="preserve"> a natural or critical habitat or near a legally protected or internationally recognized area</w:t>
            </w:r>
            <w:r w:rsidRPr="000F7276">
              <w:rPr>
                <w:rFonts w:cs="Arial"/>
              </w:rPr>
              <w:t xml:space="preserve"> (AfDB</w:t>
            </w:r>
            <w:r w:rsidR="004A1F8E" w:rsidRPr="000F7276">
              <w:rPr>
                <w:rFonts w:cs="Arial"/>
              </w:rPr>
              <w:t>, EIB</w:t>
            </w:r>
            <w:r w:rsidRPr="000F7276">
              <w:rPr>
                <w:rFonts w:cs="Arial"/>
              </w:rPr>
              <w:t>)</w:t>
            </w:r>
            <w:r w:rsidR="00F12F82" w:rsidRPr="000F7276">
              <w:rPr>
                <w:rFonts w:cs="Arial"/>
              </w:rPr>
              <w:t>;</w:t>
            </w:r>
          </w:p>
          <w:p w14:paraId="22B7F427" w14:textId="6B0191B7" w:rsidR="00C321F1" w:rsidRPr="000F7276" w:rsidRDefault="00D132BC" w:rsidP="00A009E7">
            <w:pPr>
              <w:numPr>
                <w:ilvl w:val="0"/>
                <w:numId w:val="6"/>
              </w:numPr>
              <w:autoSpaceDE/>
              <w:autoSpaceDN/>
              <w:adjustRightInd/>
              <w:ind w:left="360"/>
              <w:rPr>
                <w:rFonts w:cs="Arial"/>
              </w:rPr>
            </w:pPr>
            <w:r w:rsidRPr="000F7276">
              <w:rPr>
                <w:rFonts w:cs="Arial"/>
              </w:rPr>
              <w:t xml:space="preserve">“Net benefit” or </w:t>
            </w:r>
            <w:r w:rsidR="00E23998">
              <w:rPr>
                <w:rFonts w:cs="Arial"/>
              </w:rPr>
              <w:t>“</w:t>
            </w:r>
            <w:r w:rsidRPr="000F7276">
              <w:rPr>
                <w:rFonts w:cs="Arial"/>
              </w:rPr>
              <w:t>no net loss” of biodiversity as criteria for offsets</w:t>
            </w:r>
            <w:r w:rsidR="003F7392" w:rsidRPr="000F7276">
              <w:rPr>
                <w:rFonts w:cs="Arial"/>
              </w:rPr>
              <w:t xml:space="preserve"> </w:t>
            </w:r>
            <w:r w:rsidR="009E03A7" w:rsidRPr="000F7276">
              <w:rPr>
                <w:rFonts w:cs="Arial"/>
              </w:rPr>
              <w:t>(</w:t>
            </w:r>
            <w:r w:rsidR="0055533A" w:rsidRPr="000F7276">
              <w:rPr>
                <w:rFonts w:cs="Arial"/>
              </w:rPr>
              <w:t>ADB,</w:t>
            </w:r>
            <w:r w:rsidR="00B47D4B" w:rsidRPr="000F7276">
              <w:rPr>
                <w:rFonts w:cs="Arial"/>
              </w:rPr>
              <w:t xml:space="preserve"> </w:t>
            </w:r>
            <w:r w:rsidR="009E03A7" w:rsidRPr="000F7276">
              <w:rPr>
                <w:rFonts w:cs="Arial"/>
              </w:rPr>
              <w:t>AfDB</w:t>
            </w:r>
            <w:r w:rsidR="004A1F8E" w:rsidRPr="000F7276">
              <w:rPr>
                <w:rFonts w:cs="Arial"/>
              </w:rPr>
              <w:t>, EIB</w:t>
            </w:r>
            <w:r w:rsidR="009E03A7" w:rsidRPr="000F7276">
              <w:rPr>
                <w:rFonts w:cs="Arial"/>
              </w:rPr>
              <w:t>)</w:t>
            </w:r>
            <w:r w:rsidR="00F12F82" w:rsidRPr="000F7276">
              <w:rPr>
                <w:rFonts w:cs="Arial"/>
              </w:rPr>
              <w:t>;</w:t>
            </w:r>
            <w:r w:rsidRPr="000F7276">
              <w:rPr>
                <w:rFonts w:cs="Arial"/>
              </w:rPr>
              <w:t xml:space="preserve"> </w:t>
            </w:r>
          </w:p>
          <w:p w14:paraId="061E2F59" w14:textId="77777777" w:rsidR="00C321F1" w:rsidRPr="000F7276" w:rsidRDefault="0055533A" w:rsidP="00A009E7">
            <w:pPr>
              <w:numPr>
                <w:ilvl w:val="0"/>
                <w:numId w:val="6"/>
              </w:numPr>
              <w:autoSpaceDE/>
              <w:autoSpaceDN/>
              <w:adjustRightInd/>
              <w:ind w:left="360"/>
              <w:rPr>
                <w:rFonts w:cs="Times New Roman"/>
                <w:b/>
                <w:u w:val="single"/>
              </w:rPr>
            </w:pPr>
            <w:r w:rsidRPr="000F7276">
              <w:rPr>
                <w:rFonts w:cs="Arial"/>
              </w:rPr>
              <w:t>Requirement or p</w:t>
            </w:r>
            <w:r w:rsidR="00ED3F54" w:rsidRPr="000F7276">
              <w:rPr>
                <w:rFonts w:cs="Arial"/>
              </w:rPr>
              <w:t>reference for u</w:t>
            </w:r>
            <w:r w:rsidR="009E03A7" w:rsidRPr="000F7276">
              <w:rPr>
                <w:rFonts w:cs="Arial"/>
              </w:rPr>
              <w:t>se of internationally recognized system of</w:t>
            </w:r>
            <w:r w:rsidR="003F7392" w:rsidRPr="000F7276">
              <w:rPr>
                <w:rFonts w:cs="Arial"/>
              </w:rPr>
              <w:t xml:space="preserve"> </w:t>
            </w:r>
            <w:r w:rsidR="001E5961" w:rsidRPr="000F7276">
              <w:rPr>
                <w:rFonts w:cs="Calibri"/>
              </w:rPr>
              <w:t xml:space="preserve">certification for </w:t>
            </w:r>
            <w:r w:rsidR="009E03A7" w:rsidRPr="000F7276">
              <w:rPr>
                <w:rFonts w:cs="Calibri"/>
              </w:rPr>
              <w:t xml:space="preserve">use of </w:t>
            </w:r>
            <w:r w:rsidR="001E5961" w:rsidRPr="000F7276">
              <w:rPr>
                <w:rFonts w:cs="Calibri"/>
              </w:rPr>
              <w:t>renewable natural resources</w:t>
            </w:r>
            <w:r w:rsidR="00C45CE9" w:rsidRPr="000F7276">
              <w:rPr>
                <w:rFonts w:cs="Calibri"/>
              </w:rPr>
              <w:t xml:space="preserve"> (ADB, AfDB);</w:t>
            </w:r>
            <w:r w:rsidR="001E5961" w:rsidRPr="000F7276">
              <w:rPr>
                <w:rFonts w:cs="Calibri"/>
                <w:vertAlign w:val="superscript"/>
              </w:rPr>
              <w:footnoteReference w:id="92"/>
            </w:r>
            <w:r w:rsidR="001E5961" w:rsidRPr="000F7276">
              <w:rPr>
                <w:rFonts w:cs="Calibri"/>
              </w:rPr>
              <w:t xml:space="preserve"> </w:t>
            </w:r>
          </w:p>
          <w:p w14:paraId="7DCAD102" w14:textId="49B4BA2D" w:rsidR="00C321F1" w:rsidRPr="000F7276" w:rsidRDefault="006A3E46" w:rsidP="00A009E7">
            <w:pPr>
              <w:numPr>
                <w:ilvl w:val="0"/>
                <w:numId w:val="6"/>
              </w:numPr>
              <w:autoSpaceDE/>
              <w:autoSpaceDN/>
              <w:adjustRightInd/>
              <w:ind w:left="360"/>
              <w:rPr>
                <w:rFonts w:ascii="Cambria" w:eastAsia="MS Gothic" w:hAnsi="Cambria" w:cs="Arial"/>
                <w:b/>
                <w:bCs/>
                <w:color w:val="4F81BD"/>
                <w:sz w:val="26"/>
                <w:szCs w:val="26"/>
              </w:rPr>
            </w:pPr>
            <w:r w:rsidRPr="000F7276">
              <w:rPr>
                <w:rFonts w:cs="Arial"/>
              </w:rPr>
              <w:t>Supply chain</w:t>
            </w:r>
            <w:r w:rsidR="000062DE" w:rsidRPr="000F7276">
              <w:rPr>
                <w:rFonts w:cs="Arial"/>
              </w:rPr>
              <w:t xml:space="preserve"> management </w:t>
            </w:r>
            <w:r w:rsidRPr="000F7276">
              <w:rPr>
                <w:rFonts w:cs="Arial"/>
              </w:rPr>
              <w:t xml:space="preserve">of </w:t>
            </w:r>
            <w:r w:rsidR="000062DE" w:rsidRPr="000F7276">
              <w:rPr>
                <w:rFonts w:cs="Arial"/>
              </w:rPr>
              <w:t xml:space="preserve">living resources </w:t>
            </w:r>
            <w:r w:rsidR="00F17243" w:rsidRPr="000F7276">
              <w:rPr>
                <w:rFonts w:cs="Arial"/>
              </w:rPr>
              <w:t>(</w:t>
            </w:r>
            <w:r w:rsidR="000062DE" w:rsidRPr="000F7276">
              <w:rPr>
                <w:rFonts w:cs="Arial"/>
              </w:rPr>
              <w:t>AfDB</w:t>
            </w:r>
            <w:r w:rsidR="0034796B" w:rsidRPr="000F7276">
              <w:rPr>
                <w:rFonts w:cs="Arial"/>
              </w:rPr>
              <w:t>,</w:t>
            </w:r>
            <w:r w:rsidR="000062DE" w:rsidRPr="000F7276">
              <w:rPr>
                <w:rFonts w:cs="Calibri"/>
              </w:rPr>
              <w:t xml:space="preserve"> EIB</w:t>
            </w:r>
            <w:r w:rsidR="006F78AF" w:rsidRPr="000F7276">
              <w:rPr>
                <w:rFonts w:cs="Calibri"/>
              </w:rPr>
              <w:t>)</w:t>
            </w:r>
            <w:r w:rsidR="0034796B" w:rsidRPr="000F7276">
              <w:rPr>
                <w:rFonts w:cs="Calibri"/>
              </w:rPr>
              <w:t>;</w:t>
            </w:r>
            <w:r w:rsidR="00B762D2" w:rsidRPr="000F7276">
              <w:rPr>
                <w:rFonts w:cs="Calibri"/>
              </w:rPr>
              <w:t xml:space="preserve"> </w:t>
            </w:r>
          </w:p>
          <w:p w14:paraId="68C139ED" w14:textId="0281B7B3" w:rsidR="00723C61" w:rsidRPr="001375F3" w:rsidRDefault="002717F9" w:rsidP="00A009E7">
            <w:pPr>
              <w:numPr>
                <w:ilvl w:val="0"/>
                <w:numId w:val="6"/>
              </w:numPr>
              <w:autoSpaceDE/>
              <w:autoSpaceDN/>
              <w:adjustRightInd/>
              <w:ind w:left="360"/>
              <w:rPr>
                <w:rFonts w:ascii="Cambria" w:eastAsia="MS Gothic" w:hAnsi="Cambria" w:cs="Arial"/>
                <w:b/>
                <w:bCs/>
                <w:color w:val="4F81BD"/>
                <w:sz w:val="26"/>
                <w:szCs w:val="26"/>
              </w:rPr>
            </w:pPr>
            <w:r w:rsidRPr="000F7276">
              <w:rPr>
                <w:rFonts w:cs="Arial"/>
              </w:rPr>
              <w:t xml:space="preserve">Direct reference to </w:t>
            </w:r>
            <w:r w:rsidR="00907D25" w:rsidRPr="000F7276">
              <w:rPr>
                <w:rFonts w:cs="Arial"/>
              </w:rPr>
              <w:t>specific</w:t>
            </w:r>
            <w:r w:rsidRPr="000F7276">
              <w:rPr>
                <w:rFonts w:cs="Arial"/>
              </w:rPr>
              <w:t xml:space="preserve"> Multilateral Environmental Agreements</w:t>
            </w:r>
            <w:r w:rsidR="00492D98" w:rsidRPr="000F7276">
              <w:rPr>
                <w:rStyle w:val="FootnoteReference"/>
                <w:rFonts w:cs="Arial"/>
              </w:rPr>
              <w:footnoteReference w:id="93"/>
            </w:r>
            <w:r w:rsidR="00EC3D44" w:rsidRPr="000F7276">
              <w:rPr>
                <w:rFonts w:cs="Arial"/>
              </w:rPr>
              <w:t xml:space="preserve"> (</w:t>
            </w:r>
            <w:r w:rsidR="0055533A" w:rsidRPr="000F7276">
              <w:rPr>
                <w:rFonts w:cs="Arial"/>
              </w:rPr>
              <w:t>ADB,</w:t>
            </w:r>
            <w:r w:rsidR="00B47D4B" w:rsidRPr="000F7276">
              <w:rPr>
                <w:rFonts w:cs="Arial"/>
              </w:rPr>
              <w:t xml:space="preserve"> </w:t>
            </w:r>
            <w:r w:rsidR="00EC3D44" w:rsidRPr="000F7276">
              <w:rPr>
                <w:rFonts w:cs="Arial"/>
              </w:rPr>
              <w:t xml:space="preserve">AfDB, </w:t>
            </w:r>
            <w:r w:rsidR="004A1F8E" w:rsidRPr="000F7276">
              <w:rPr>
                <w:rFonts w:cs="Arial"/>
              </w:rPr>
              <w:t xml:space="preserve">EIB, </w:t>
            </w:r>
            <w:r w:rsidR="00EC3D44" w:rsidRPr="000F7276">
              <w:rPr>
                <w:rFonts w:cs="Arial"/>
              </w:rPr>
              <w:t>IDB)</w:t>
            </w:r>
            <w:r w:rsidR="00F12F82" w:rsidRPr="000F7276">
              <w:rPr>
                <w:rFonts w:cs="Arial"/>
              </w:rPr>
              <w:t>.</w:t>
            </w:r>
          </w:p>
        </w:tc>
      </w:tr>
      <w:tr w:rsidR="00165EE5" w:rsidRPr="000F7276" w14:paraId="2CA5B724" w14:textId="77777777" w:rsidTr="002B20C3">
        <w:trPr>
          <w:jc w:val="center"/>
        </w:trPr>
        <w:tc>
          <w:tcPr>
            <w:tcW w:w="9324" w:type="dxa"/>
            <w:shd w:val="clear" w:color="auto" w:fill="C6D9F1"/>
          </w:tcPr>
          <w:p w14:paraId="1BE49E9D" w14:textId="489EFC15" w:rsidR="00165EE5" w:rsidRPr="000F7276" w:rsidRDefault="00C60A39" w:rsidP="00A009E7">
            <w:pPr>
              <w:autoSpaceDE/>
              <w:autoSpaceDN/>
              <w:adjustRightInd/>
              <w:ind w:left="285" w:hanging="15"/>
              <w:rPr>
                <w:b/>
              </w:rPr>
            </w:pPr>
            <w:r w:rsidRPr="000F7276">
              <w:rPr>
                <w:b/>
              </w:rPr>
              <w:t xml:space="preserve">World Bank </w:t>
            </w:r>
            <w:r w:rsidR="00E23998">
              <w:rPr>
                <w:b/>
              </w:rPr>
              <w:t>OP 4.36</w:t>
            </w:r>
            <w:r w:rsidR="00165EE5" w:rsidRPr="000F7276">
              <w:rPr>
                <w:b/>
              </w:rPr>
              <w:t xml:space="preserve"> Forests</w:t>
            </w:r>
          </w:p>
        </w:tc>
      </w:tr>
      <w:tr w:rsidR="00D132BC" w:rsidRPr="000F7276" w14:paraId="07851A12" w14:textId="77777777" w:rsidTr="002B20C3">
        <w:trPr>
          <w:jc w:val="center"/>
        </w:trPr>
        <w:tc>
          <w:tcPr>
            <w:tcW w:w="9324" w:type="dxa"/>
            <w:shd w:val="clear" w:color="auto" w:fill="auto"/>
          </w:tcPr>
          <w:p w14:paraId="6C6FAC34" w14:textId="77777777" w:rsidR="00C321F1" w:rsidRPr="000F7276" w:rsidRDefault="00D132BC" w:rsidP="00A009E7">
            <w:pPr>
              <w:numPr>
                <w:ilvl w:val="0"/>
                <w:numId w:val="6"/>
              </w:numPr>
              <w:autoSpaceDE/>
              <w:autoSpaceDN/>
              <w:adjustRightInd/>
              <w:ind w:left="360"/>
              <w:rPr>
                <w:rFonts w:cs="Arial"/>
              </w:rPr>
            </w:pPr>
            <w:r w:rsidRPr="000F7276">
              <w:rPr>
                <w:rFonts w:cs="Arial"/>
              </w:rPr>
              <w:t xml:space="preserve">Biodiversity conservation </w:t>
            </w:r>
            <w:r w:rsidR="00377D55" w:rsidRPr="000F7276">
              <w:rPr>
                <w:rFonts w:cs="Arial"/>
              </w:rPr>
              <w:t xml:space="preserve">expressly stated </w:t>
            </w:r>
            <w:r w:rsidRPr="000F7276">
              <w:rPr>
                <w:rFonts w:cs="Arial"/>
              </w:rPr>
              <w:t xml:space="preserve">as an “integral… criterion” for siting of timber concessions </w:t>
            </w:r>
            <w:r w:rsidR="005E44C6" w:rsidRPr="000F7276">
              <w:rPr>
                <w:rFonts w:cs="Arial"/>
              </w:rPr>
              <w:t>(ADB</w:t>
            </w:r>
            <w:r w:rsidR="004A1F8E" w:rsidRPr="000F7276">
              <w:rPr>
                <w:rFonts w:cs="Arial"/>
              </w:rPr>
              <w:t>, EIB</w:t>
            </w:r>
            <w:r w:rsidR="005E44C6" w:rsidRPr="000F7276">
              <w:rPr>
                <w:rFonts w:cs="Arial"/>
              </w:rPr>
              <w:t>)</w:t>
            </w:r>
            <w:r w:rsidR="0034796B" w:rsidRPr="000F7276">
              <w:rPr>
                <w:rFonts w:cs="Arial"/>
              </w:rPr>
              <w:t>;</w:t>
            </w:r>
            <w:r w:rsidR="00377D55" w:rsidRPr="000F7276">
              <w:rPr>
                <w:rStyle w:val="FootnoteReference"/>
                <w:rFonts w:cs="Arial"/>
              </w:rPr>
              <w:footnoteReference w:id="94"/>
            </w:r>
          </w:p>
          <w:p w14:paraId="132E35B6" w14:textId="77777777" w:rsidR="00C321F1" w:rsidRPr="000F7276" w:rsidRDefault="00D132BC" w:rsidP="00A009E7">
            <w:pPr>
              <w:numPr>
                <w:ilvl w:val="0"/>
                <w:numId w:val="6"/>
              </w:numPr>
              <w:autoSpaceDE/>
              <w:autoSpaceDN/>
              <w:adjustRightInd/>
              <w:ind w:left="360"/>
              <w:rPr>
                <w:rFonts w:cs="Arial"/>
              </w:rPr>
            </w:pPr>
            <w:r w:rsidRPr="000F7276">
              <w:rPr>
                <w:rFonts w:cs="Arial"/>
              </w:rPr>
              <w:t>Management criteria for</w:t>
            </w:r>
            <w:r w:rsidR="003F7392" w:rsidRPr="000F7276">
              <w:rPr>
                <w:rFonts w:cs="Arial"/>
              </w:rPr>
              <w:t xml:space="preserve"> </w:t>
            </w:r>
            <w:r w:rsidRPr="000F7276">
              <w:rPr>
                <w:rFonts w:cs="Arial"/>
              </w:rPr>
              <w:t xml:space="preserve">second growth forests, and agro-forestry </w:t>
            </w:r>
            <w:r w:rsidR="005E44C6" w:rsidRPr="000F7276">
              <w:rPr>
                <w:rFonts w:cs="Arial"/>
              </w:rPr>
              <w:t>(ADB</w:t>
            </w:r>
            <w:r w:rsidR="004A1F8E" w:rsidRPr="000F7276">
              <w:rPr>
                <w:rFonts w:cs="Arial"/>
              </w:rPr>
              <w:t>, EIB</w:t>
            </w:r>
            <w:r w:rsidR="005E44C6" w:rsidRPr="000F7276">
              <w:rPr>
                <w:rFonts w:cs="Arial"/>
              </w:rPr>
              <w:t>)</w:t>
            </w:r>
            <w:r w:rsidR="0034796B" w:rsidRPr="000F7276">
              <w:rPr>
                <w:rFonts w:cs="Arial"/>
              </w:rPr>
              <w:t>;</w:t>
            </w:r>
          </w:p>
          <w:p w14:paraId="22C1FFF5" w14:textId="78A444D1" w:rsidR="00C321F1" w:rsidRPr="001375F3" w:rsidRDefault="00150228" w:rsidP="00A009E7">
            <w:pPr>
              <w:numPr>
                <w:ilvl w:val="0"/>
                <w:numId w:val="6"/>
              </w:numPr>
              <w:autoSpaceDE/>
              <w:autoSpaceDN/>
              <w:adjustRightInd/>
              <w:ind w:left="360"/>
              <w:rPr>
                <w:rFonts w:cs="Arial"/>
              </w:rPr>
            </w:pPr>
            <w:r w:rsidRPr="000F7276">
              <w:rPr>
                <w:rFonts w:cs="Arial"/>
              </w:rPr>
              <w:t>Assess</w:t>
            </w:r>
            <w:r w:rsidR="00C45CE9" w:rsidRPr="000F7276">
              <w:rPr>
                <w:rFonts w:cs="Arial"/>
              </w:rPr>
              <w:t>ment of</w:t>
            </w:r>
            <w:r w:rsidRPr="000F7276">
              <w:rPr>
                <w:rFonts w:cs="Arial"/>
              </w:rPr>
              <w:t xml:space="preserve"> </w:t>
            </w:r>
            <w:r w:rsidR="000062DE" w:rsidRPr="000F7276">
              <w:rPr>
                <w:rFonts w:cs="Arial"/>
              </w:rPr>
              <w:t>impacts</w:t>
            </w:r>
            <w:r w:rsidRPr="000F7276">
              <w:rPr>
                <w:rFonts w:cs="Arial"/>
              </w:rPr>
              <w:t xml:space="preserve"> of plantation forests </w:t>
            </w:r>
            <w:r w:rsidR="000062DE" w:rsidRPr="000F7276">
              <w:rPr>
                <w:rFonts w:cs="Arial"/>
              </w:rPr>
              <w:t>on specified</w:t>
            </w:r>
            <w:r w:rsidR="003F7392" w:rsidRPr="000F7276">
              <w:rPr>
                <w:rFonts w:cs="Arial"/>
              </w:rPr>
              <w:t xml:space="preserve"> </w:t>
            </w:r>
            <w:r w:rsidRPr="000F7276">
              <w:rPr>
                <w:rFonts w:cs="Arial"/>
              </w:rPr>
              <w:t>ecosystem services (AfDB</w:t>
            </w:r>
            <w:r w:rsidR="004A1F8E" w:rsidRPr="000F7276">
              <w:rPr>
                <w:rFonts w:cs="Arial"/>
              </w:rPr>
              <w:t>, EIB</w:t>
            </w:r>
            <w:r w:rsidRPr="000F7276">
              <w:rPr>
                <w:rFonts w:cs="Arial"/>
              </w:rPr>
              <w:t>)</w:t>
            </w:r>
            <w:r w:rsidR="00E23998">
              <w:rPr>
                <w:rFonts w:cs="Arial"/>
              </w:rPr>
              <w:t>.</w:t>
            </w:r>
          </w:p>
        </w:tc>
      </w:tr>
      <w:tr w:rsidR="00670476" w:rsidRPr="000F7276" w14:paraId="4C3A6F14" w14:textId="77777777" w:rsidTr="002B20C3">
        <w:trPr>
          <w:jc w:val="center"/>
        </w:trPr>
        <w:tc>
          <w:tcPr>
            <w:tcW w:w="9324" w:type="dxa"/>
            <w:shd w:val="clear" w:color="auto" w:fill="C6D9F1"/>
          </w:tcPr>
          <w:p w14:paraId="1845E3A2" w14:textId="16398268" w:rsidR="00431F03" w:rsidRPr="000F7276" w:rsidRDefault="00FB7DF2" w:rsidP="00A009E7">
            <w:pPr>
              <w:autoSpaceDE/>
              <w:autoSpaceDN/>
              <w:adjustRightInd/>
              <w:ind w:left="285" w:hanging="15"/>
              <w:rPr>
                <w:rFonts w:cs="Arial"/>
                <w:b/>
              </w:rPr>
            </w:pPr>
            <w:r w:rsidRPr="000F7276">
              <w:br w:type="page"/>
            </w:r>
            <w:r w:rsidR="00C60A39" w:rsidRPr="000F7276">
              <w:rPr>
                <w:b/>
                <w:bCs/>
              </w:rPr>
              <w:t>World Bank</w:t>
            </w:r>
            <w:r w:rsidR="00C60A39" w:rsidRPr="000F7276">
              <w:t xml:space="preserve"> </w:t>
            </w:r>
            <w:r w:rsidR="00670476" w:rsidRPr="000F7276">
              <w:rPr>
                <w:rFonts w:cs="Arial"/>
                <w:b/>
              </w:rPr>
              <w:t>OP 4.12 Involuntary Resettlement</w:t>
            </w:r>
            <w:r w:rsidR="00E23998">
              <w:rPr>
                <w:rFonts w:cs="Arial"/>
                <w:b/>
              </w:rPr>
              <w:t xml:space="preserve"> (IR)</w:t>
            </w:r>
          </w:p>
        </w:tc>
      </w:tr>
      <w:tr w:rsidR="00670476" w:rsidRPr="000F7276" w14:paraId="7442F307" w14:textId="77777777" w:rsidTr="002B20C3">
        <w:trPr>
          <w:jc w:val="center"/>
        </w:trPr>
        <w:tc>
          <w:tcPr>
            <w:tcW w:w="9324" w:type="dxa"/>
            <w:shd w:val="clear" w:color="auto" w:fill="auto"/>
          </w:tcPr>
          <w:p w14:paraId="78C43910" w14:textId="77777777" w:rsidR="00C321F1" w:rsidRPr="000F7276" w:rsidRDefault="00670476" w:rsidP="00A009E7">
            <w:pPr>
              <w:numPr>
                <w:ilvl w:val="0"/>
                <w:numId w:val="6"/>
              </w:numPr>
              <w:autoSpaceDE/>
              <w:autoSpaceDN/>
              <w:adjustRightInd/>
              <w:ind w:left="360"/>
              <w:rPr>
                <w:rFonts w:cs="Arial"/>
              </w:rPr>
            </w:pPr>
            <w:r w:rsidRPr="000F7276">
              <w:rPr>
                <w:rFonts w:cs="Arial"/>
              </w:rPr>
              <w:t>Application of IR safeguard to both “permanent” and “temporary” displacement</w:t>
            </w:r>
            <w:r w:rsidR="009E03A7" w:rsidRPr="000F7276">
              <w:rPr>
                <w:rFonts w:cs="Arial"/>
              </w:rPr>
              <w:t xml:space="preserve"> (ADB, </w:t>
            </w:r>
            <w:r w:rsidR="004A1F8E" w:rsidRPr="000F7276">
              <w:rPr>
                <w:rFonts w:cs="Arial"/>
              </w:rPr>
              <w:t xml:space="preserve">EIB, </w:t>
            </w:r>
            <w:r w:rsidR="009E03A7" w:rsidRPr="000F7276">
              <w:rPr>
                <w:rFonts w:cs="Arial"/>
              </w:rPr>
              <w:t>IDB)</w:t>
            </w:r>
            <w:r w:rsidR="0034796B" w:rsidRPr="000F7276">
              <w:rPr>
                <w:rFonts w:cs="Arial"/>
              </w:rPr>
              <w:t>;</w:t>
            </w:r>
          </w:p>
          <w:p w14:paraId="1ACE231C" w14:textId="77777777" w:rsidR="00C321F1" w:rsidRPr="000F7276" w:rsidRDefault="0055533A" w:rsidP="00A009E7">
            <w:pPr>
              <w:numPr>
                <w:ilvl w:val="0"/>
                <w:numId w:val="6"/>
              </w:numPr>
              <w:autoSpaceDE/>
              <w:autoSpaceDN/>
              <w:adjustRightInd/>
              <w:ind w:left="360"/>
              <w:rPr>
                <w:rFonts w:cs="Arial"/>
              </w:rPr>
            </w:pPr>
            <w:r w:rsidRPr="000F7276">
              <w:rPr>
                <w:rFonts w:cs="Arial"/>
              </w:rPr>
              <w:t>Application of policy to “actions conducted by the borrower…in anticipation of [ADB] projects”</w:t>
            </w:r>
            <w:r w:rsidR="00447E5E" w:rsidRPr="000F7276">
              <w:rPr>
                <w:rFonts w:cs="Arial"/>
              </w:rPr>
              <w:t xml:space="preserve"> (ADB)</w:t>
            </w:r>
            <w:r w:rsidR="0034796B" w:rsidRPr="000F7276">
              <w:rPr>
                <w:rFonts w:cs="Arial"/>
              </w:rPr>
              <w:t>;</w:t>
            </w:r>
          </w:p>
          <w:p w14:paraId="7125AC3B" w14:textId="1EC8013E" w:rsidR="00C321F1" w:rsidRPr="000F7276" w:rsidRDefault="00670476" w:rsidP="00A009E7">
            <w:pPr>
              <w:numPr>
                <w:ilvl w:val="0"/>
                <w:numId w:val="6"/>
              </w:numPr>
              <w:autoSpaceDE/>
              <w:autoSpaceDN/>
              <w:adjustRightInd/>
              <w:ind w:left="360"/>
              <w:rPr>
                <w:rFonts w:cs="Arial"/>
              </w:rPr>
            </w:pPr>
            <w:r w:rsidRPr="000F7276">
              <w:rPr>
                <w:rFonts w:cs="Arial"/>
              </w:rPr>
              <w:t xml:space="preserve">Impact assessment of IR </w:t>
            </w:r>
            <w:r w:rsidR="00C45CE9" w:rsidRPr="000F7276">
              <w:rPr>
                <w:rFonts w:cs="Arial"/>
              </w:rPr>
              <w:t xml:space="preserve">to </w:t>
            </w:r>
            <w:r w:rsidR="00C6358F" w:rsidRPr="000F7276">
              <w:rPr>
                <w:rFonts w:cs="Arial"/>
              </w:rPr>
              <w:t>include impacts on</w:t>
            </w:r>
            <w:r w:rsidR="003F7392" w:rsidRPr="000F7276">
              <w:rPr>
                <w:rFonts w:cs="Arial"/>
              </w:rPr>
              <w:t xml:space="preserve"> </w:t>
            </w:r>
            <w:r w:rsidR="000062DE" w:rsidRPr="000F7276">
              <w:rPr>
                <w:rFonts w:cs="Arial"/>
              </w:rPr>
              <w:t>cultural sites</w:t>
            </w:r>
            <w:r w:rsidRPr="000F7276">
              <w:rPr>
                <w:rFonts w:cs="Arial"/>
              </w:rPr>
              <w:t xml:space="preserve"> </w:t>
            </w:r>
            <w:r w:rsidR="009E03A7" w:rsidRPr="000F7276">
              <w:rPr>
                <w:rFonts w:cs="Arial"/>
              </w:rPr>
              <w:t>(AfDB)</w:t>
            </w:r>
            <w:r w:rsidR="0034796B" w:rsidRPr="000F7276">
              <w:rPr>
                <w:rFonts w:cs="Arial"/>
              </w:rPr>
              <w:t>;</w:t>
            </w:r>
          </w:p>
          <w:p w14:paraId="4D4D4314" w14:textId="77777777" w:rsidR="00C321F1" w:rsidRPr="000F7276" w:rsidRDefault="009E03A7" w:rsidP="00A009E7">
            <w:pPr>
              <w:numPr>
                <w:ilvl w:val="0"/>
                <w:numId w:val="6"/>
              </w:numPr>
              <w:autoSpaceDE/>
              <w:autoSpaceDN/>
              <w:adjustRightInd/>
              <w:ind w:left="360"/>
              <w:rPr>
                <w:rFonts w:cs="Arial"/>
              </w:rPr>
            </w:pPr>
            <w:r w:rsidRPr="000F7276">
              <w:rPr>
                <w:rFonts w:cs="Arial"/>
              </w:rPr>
              <w:t xml:space="preserve">Recognition of </w:t>
            </w:r>
            <w:r w:rsidR="00670476" w:rsidRPr="000F7276">
              <w:rPr>
                <w:rFonts w:cs="Arial"/>
              </w:rPr>
              <w:t>“</w:t>
            </w:r>
            <w:r w:rsidRPr="000F7276">
              <w:rPr>
                <w:rFonts w:cs="Arial"/>
              </w:rPr>
              <w:t>f</w:t>
            </w:r>
            <w:r w:rsidR="00670476" w:rsidRPr="000F7276">
              <w:rPr>
                <w:rFonts w:cs="Arial"/>
              </w:rPr>
              <w:t>ood security</w:t>
            </w:r>
            <w:r w:rsidR="00C45CE9" w:rsidRPr="000F7276">
              <w:rPr>
                <w:rFonts w:cs="Arial"/>
              </w:rPr>
              <w:t>,</w:t>
            </w:r>
            <w:r w:rsidR="00670476" w:rsidRPr="000F7276">
              <w:rPr>
                <w:rFonts w:cs="Arial"/>
              </w:rPr>
              <w:t>” “morbidity and mortality</w:t>
            </w:r>
            <w:r w:rsidR="00C45CE9" w:rsidRPr="000F7276">
              <w:rPr>
                <w:rFonts w:cs="Arial"/>
              </w:rPr>
              <w:t>,</w:t>
            </w:r>
            <w:r w:rsidR="00670476" w:rsidRPr="000F7276">
              <w:rPr>
                <w:rFonts w:cs="Arial"/>
              </w:rPr>
              <w:t>” “cultural and psychological” i</w:t>
            </w:r>
            <w:r w:rsidR="0086442F" w:rsidRPr="000F7276">
              <w:rPr>
                <w:rFonts w:cs="Arial"/>
              </w:rPr>
              <w:t>mpacts</w:t>
            </w:r>
            <w:r w:rsidR="004A1F8E" w:rsidRPr="000F7276">
              <w:rPr>
                <w:rFonts w:cs="Arial"/>
              </w:rPr>
              <w:t xml:space="preserve"> </w:t>
            </w:r>
            <w:r w:rsidR="00670476" w:rsidRPr="000F7276">
              <w:rPr>
                <w:rFonts w:cs="Arial"/>
              </w:rPr>
              <w:t xml:space="preserve">of </w:t>
            </w:r>
            <w:r w:rsidR="006F78AF" w:rsidRPr="000F7276">
              <w:rPr>
                <w:rFonts w:cs="Arial"/>
              </w:rPr>
              <w:t xml:space="preserve">insufficiently </w:t>
            </w:r>
            <w:r w:rsidR="00670476" w:rsidRPr="000F7276">
              <w:rPr>
                <w:rFonts w:cs="Arial"/>
              </w:rPr>
              <w:t>mitigated IR</w:t>
            </w:r>
            <w:r w:rsidR="003F7392" w:rsidRPr="000F7276">
              <w:rPr>
                <w:rFonts w:cs="Arial"/>
              </w:rPr>
              <w:t xml:space="preserve"> </w:t>
            </w:r>
            <w:r w:rsidR="0086442F" w:rsidRPr="000F7276">
              <w:rPr>
                <w:rFonts w:cs="Arial"/>
              </w:rPr>
              <w:t>(</w:t>
            </w:r>
            <w:r w:rsidRPr="000F7276">
              <w:rPr>
                <w:rFonts w:cs="Arial"/>
              </w:rPr>
              <w:t>IDB)</w:t>
            </w:r>
            <w:r w:rsidR="0034796B" w:rsidRPr="000F7276">
              <w:rPr>
                <w:rFonts w:cs="Arial"/>
              </w:rPr>
              <w:t>;</w:t>
            </w:r>
          </w:p>
          <w:p w14:paraId="0123E4C3" w14:textId="77777777" w:rsidR="00C321F1" w:rsidRPr="000F7276" w:rsidRDefault="00670476" w:rsidP="00A009E7">
            <w:pPr>
              <w:numPr>
                <w:ilvl w:val="0"/>
                <w:numId w:val="6"/>
              </w:numPr>
              <w:autoSpaceDE/>
              <w:autoSpaceDN/>
              <w:adjustRightInd/>
              <w:ind w:left="360"/>
              <w:rPr>
                <w:rFonts w:cs="Arial"/>
              </w:rPr>
            </w:pPr>
            <w:r w:rsidRPr="000F7276">
              <w:rPr>
                <w:rFonts w:cs="Arial"/>
              </w:rPr>
              <w:t xml:space="preserve">Special consideration to claims of seasonal resource users </w:t>
            </w:r>
            <w:r w:rsidR="00E13439" w:rsidRPr="000F7276">
              <w:rPr>
                <w:rFonts w:cs="Arial"/>
              </w:rPr>
              <w:t>“</w:t>
            </w:r>
            <w:r w:rsidRPr="000F7276">
              <w:rPr>
                <w:rFonts w:cs="Arial"/>
              </w:rPr>
              <w:t>who may not be present during a census</w:t>
            </w:r>
            <w:r w:rsidR="00C45CE9" w:rsidRPr="000F7276">
              <w:rPr>
                <w:rFonts w:cs="Arial"/>
              </w:rPr>
              <w:t>”</w:t>
            </w:r>
            <w:r w:rsidR="0086442F" w:rsidRPr="000F7276">
              <w:rPr>
                <w:rFonts w:cs="Arial"/>
              </w:rPr>
              <w:t xml:space="preserve"> (AfDB</w:t>
            </w:r>
            <w:r w:rsidR="004A1F8E" w:rsidRPr="000F7276">
              <w:rPr>
                <w:rFonts w:cs="Arial"/>
              </w:rPr>
              <w:t>, EIB</w:t>
            </w:r>
            <w:r w:rsidR="0086442F" w:rsidRPr="000F7276">
              <w:rPr>
                <w:rFonts w:cs="Arial"/>
              </w:rPr>
              <w:t>)</w:t>
            </w:r>
            <w:r w:rsidR="0034796B" w:rsidRPr="000F7276">
              <w:rPr>
                <w:rFonts w:cs="Arial"/>
              </w:rPr>
              <w:t>;</w:t>
            </w:r>
          </w:p>
          <w:p w14:paraId="590BCCC1" w14:textId="77777777" w:rsidR="00C321F1" w:rsidRPr="000F7276" w:rsidRDefault="00670476" w:rsidP="00A009E7">
            <w:pPr>
              <w:numPr>
                <w:ilvl w:val="0"/>
                <w:numId w:val="6"/>
              </w:numPr>
              <w:autoSpaceDE/>
              <w:autoSpaceDN/>
              <w:adjustRightInd/>
              <w:ind w:left="360"/>
              <w:rPr>
                <w:rFonts w:cs="Arial"/>
              </w:rPr>
            </w:pPr>
            <w:r w:rsidRPr="000F7276">
              <w:rPr>
                <w:rFonts w:cs="Arial"/>
              </w:rPr>
              <w:t xml:space="preserve">Borrowers to improve the standards of living of the displaced poor to at least </w:t>
            </w:r>
            <w:r w:rsidR="0086442F" w:rsidRPr="000F7276">
              <w:rPr>
                <w:rFonts w:cs="Arial"/>
              </w:rPr>
              <w:t>“</w:t>
            </w:r>
            <w:r w:rsidRPr="000F7276">
              <w:rPr>
                <w:rFonts w:cs="Arial"/>
              </w:rPr>
              <w:t>minimum national standards</w:t>
            </w:r>
            <w:r w:rsidR="0086442F" w:rsidRPr="000F7276">
              <w:rPr>
                <w:rFonts w:cs="Arial"/>
              </w:rPr>
              <w:t>”</w:t>
            </w:r>
            <w:r w:rsidR="0086442F" w:rsidRPr="000F7276">
              <w:rPr>
                <w:rStyle w:val="FootnoteReference"/>
                <w:rFonts w:cs="Arial"/>
              </w:rPr>
              <w:footnoteReference w:id="95"/>
            </w:r>
            <w:r w:rsidR="00AE276A" w:rsidRPr="000F7276">
              <w:rPr>
                <w:rFonts w:cs="Arial"/>
              </w:rPr>
              <w:t xml:space="preserve"> </w:t>
            </w:r>
            <w:r w:rsidR="0018782F" w:rsidRPr="000F7276">
              <w:rPr>
                <w:rFonts w:cs="Arial"/>
              </w:rPr>
              <w:t>(</w:t>
            </w:r>
            <w:r w:rsidR="0055533A" w:rsidRPr="000F7276">
              <w:rPr>
                <w:rFonts w:cs="Arial"/>
              </w:rPr>
              <w:t xml:space="preserve">ADB, </w:t>
            </w:r>
            <w:r w:rsidR="00AE276A" w:rsidRPr="000F7276">
              <w:rPr>
                <w:rFonts w:cs="Arial"/>
              </w:rPr>
              <w:t>IDB</w:t>
            </w:r>
            <w:r w:rsidR="004A1F8E" w:rsidRPr="000F7276">
              <w:rPr>
                <w:rFonts w:cs="Arial"/>
              </w:rPr>
              <w:t>, EIB</w:t>
            </w:r>
            <w:r w:rsidR="00AE276A" w:rsidRPr="000F7276">
              <w:rPr>
                <w:rFonts w:cs="Arial"/>
              </w:rPr>
              <w:t>)</w:t>
            </w:r>
            <w:r w:rsidR="0034796B" w:rsidRPr="000F7276">
              <w:rPr>
                <w:rFonts w:cs="Arial"/>
              </w:rPr>
              <w:t>;</w:t>
            </w:r>
          </w:p>
          <w:p w14:paraId="34BADFA2" w14:textId="3566A805" w:rsidR="00C321F1" w:rsidRPr="000F7276" w:rsidRDefault="006A3E46" w:rsidP="00A009E7">
            <w:pPr>
              <w:numPr>
                <w:ilvl w:val="0"/>
                <w:numId w:val="6"/>
              </w:numPr>
              <w:autoSpaceDE/>
              <w:autoSpaceDN/>
              <w:adjustRightInd/>
              <w:ind w:left="360"/>
              <w:rPr>
                <w:rFonts w:cs="Arial"/>
              </w:rPr>
            </w:pPr>
            <w:r w:rsidRPr="000F7276">
              <w:rPr>
                <w:rFonts w:cs="Arial"/>
              </w:rPr>
              <w:t>“Adequate housing” must mee</w:t>
            </w:r>
            <w:r w:rsidR="00E23998">
              <w:rPr>
                <w:rFonts w:cs="Arial"/>
              </w:rPr>
              <w:t>t criteria specified by the UN H</w:t>
            </w:r>
            <w:r w:rsidRPr="000F7276">
              <w:rPr>
                <w:rFonts w:cs="Arial"/>
              </w:rPr>
              <w:t xml:space="preserve">abitat, Office of the UN High </w:t>
            </w:r>
            <w:r w:rsidR="0034796B" w:rsidRPr="000F7276">
              <w:rPr>
                <w:rFonts w:cs="Arial"/>
              </w:rPr>
              <w:t>C</w:t>
            </w:r>
            <w:r w:rsidRPr="000F7276">
              <w:rPr>
                <w:rFonts w:cs="Arial"/>
              </w:rPr>
              <w:t>ommissioner for Human Rights (EIB)</w:t>
            </w:r>
            <w:r w:rsidR="0034796B" w:rsidRPr="000F7276">
              <w:rPr>
                <w:rFonts w:cs="Arial"/>
              </w:rPr>
              <w:t>;</w:t>
            </w:r>
          </w:p>
          <w:p w14:paraId="00220ECA" w14:textId="77777777" w:rsidR="00C321F1" w:rsidRPr="000F7276" w:rsidRDefault="00AE276A" w:rsidP="00A009E7">
            <w:pPr>
              <w:numPr>
                <w:ilvl w:val="0"/>
                <w:numId w:val="6"/>
              </w:numPr>
              <w:autoSpaceDE/>
              <w:autoSpaceDN/>
              <w:adjustRightInd/>
              <w:ind w:left="360"/>
              <w:rPr>
                <w:rFonts w:cs="Arial"/>
              </w:rPr>
            </w:pPr>
            <w:r w:rsidRPr="000F7276">
              <w:rPr>
                <w:rFonts w:cs="Arial"/>
              </w:rPr>
              <w:t xml:space="preserve">Social Impact Assessment to include gender disaggregated information (ADB, </w:t>
            </w:r>
            <w:r w:rsidR="004A1F8E" w:rsidRPr="000F7276">
              <w:rPr>
                <w:rFonts w:cs="Arial"/>
              </w:rPr>
              <w:t xml:space="preserve">EIB, </w:t>
            </w:r>
            <w:r w:rsidRPr="000F7276">
              <w:rPr>
                <w:rFonts w:cs="Arial"/>
              </w:rPr>
              <w:t>IDB)</w:t>
            </w:r>
            <w:r w:rsidR="0034796B" w:rsidRPr="000F7276">
              <w:rPr>
                <w:rFonts w:cs="Arial"/>
              </w:rPr>
              <w:t>;</w:t>
            </w:r>
          </w:p>
          <w:p w14:paraId="359E130E" w14:textId="77777777" w:rsidR="00C321F1" w:rsidRPr="000F7276" w:rsidRDefault="00670476" w:rsidP="00A009E7">
            <w:pPr>
              <w:numPr>
                <w:ilvl w:val="0"/>
                <w:numId w:val="6"/>
              </w:numPr>
              <w:autoSpaceDE/>
              <w:autoSpaceDN/>
              <w:adjustRightInd/>
              <w:ind w:left="360"/>
              <w:rPr>
                <w:rFonts w:cs="Arial"/>
              </w:rPr>
            </w:pPr>
            <w:r w:rsidRPr="000F7276">
              <w:rPr>
                <w:rFonts w:cs="Arial"/>
              </w:rPr>
              <w:t>Particular attention to gender concerns and gender-based resettlement measures</w:t>
            </w:r>
            <w:r w:rsidR="004A1F8E" w:rsidRPr="000F7276">
              <w:rPr>
                <w:rFonts w:cs="Arial"/>
              </w:rPr>
              <w:t xml:space="preserve"> (</w:t>
            </w:r>
            <w:r w:rsidR="0055533A" w:rsidRPr="000F7276">
              <w:rPr>
                <w:rFonts w:cs="Arial"/>
              </w:rPr>
              <w:t xml:space="preserve">ADB, </w:t>
            </w:r>
            <w:r w:rsidR="004A1F8E" w:rsidRPr="000F7276">
              <w:rPr>
                <w:rFonts w:cs="Arial"/>
              </w:rPr>
              <w:t>EIB)</w:t>
            </w:r>
            <w:r w:rsidR="0034796B" w:rsidRPr="000F7276">
              <w:rPr>
                <w:rFonts w:cs="Arial"/>
              </w:rPr>
              <w:t>;</w:t>
            </w:r>
          </w:p>
          <w:p w14:paraId="0C4DD85B" w14:textId="77777777" w:rsidR="00C321F1" w:rsidRPr="000F7276" w:rsidRDefault="00C6358F" w:rsidP="00A009E7">
            <w:pPr>
              <w:numPr>
                <w:ilvl w:val="0"/>
                <w:numId w:val="6"/>
              </w:numPr>
              <w:autoSpaceDE/>
              <w:autoSpaceDN/>
              <w:adjustRightInd/>
              <w:ind w:left="360"/>
              <w:rPr>
                <w:rFonts w:asciiTheme="minorHAnsi" w:hAnsiTheme="minorHAnsi" w:cs="Times New Roman"/>
                <w:color w:val="000000"/>
              </w:rPr>
            </w:pPr>
            <w:r w:rsidRPr="000F7276">
              <w:rPr>
                <w:rFonts w:cs="Arial"/>
              </w:rPr>
              <w:t>Detailed</w:t>
            </w:r>
            <w:r w:rsidR="003F7392" w:rsidRPr="000F7276">
              <w:rPr>
                <w:rFonts w:cs="Arial"/>
              </w:rPr>
              <w:t xml:space="preserve"> </w:t>
            </w:r>
            <w:r w:rsidRPr="000F7276">
              <w:rPr>
                <w:rFonts w:cs="Arial"/>
              </w:rPr>
              <w:t>“</w:t>
            </w:r>
            <w:r w:rsidR="00670476" w:rsidRPr="000F7276">
              <w:rPr>
                <w:rFonts w:cs="Arial"/>
              </w:rPr>
              <w:t>Impoverishment Risk Analysis</w:t>
            </w:r>
            <w:r w:rsidRPr="000F7276">
              <w:rPr>
                <w:rFonts w:cs="Arial"/>
              </w:rPr>
              <w:t>”</w:t>
            </w:r>
            <w:r w:rsidR="00670476" w:rsidRPr="000F7276">
              <w:rPr>
                <w:rFonts w:cs="Arial"/>
              </w:rPr>
              <w:t xml:space="preserve"> </w:t>
            </w:r>
            <w:r w:rsidRPr="000F7276">
              <w:rPr>
                <w:rFonts w:cs="Arial"/>
              </w:rPr>
              <w:t xml:space="preserve">required </w:t>
            </w:r>
            <w:r w:rsidR="00670476" w:rsidRPr="000F7276">
              <w:rPr>
                <w:rFonts w:cs="Arial"/>
              </w:rPr>
              <w:t>as an input to the Resettlement Plan</w:t>
            </w:r>
            <w:r w:rsidR="00AE276A" w:rsidRPr="000F7276">
              <w:rPr>
                <w:rFonts w:cs="Arial"/>
              </w:rPr>
              <w:t xml:space="preserve"> (IDB)</w:t>
            </w:r>
            <w:r w:rsidR="0034796B" w:rsidRPr="000F7276">
              <w:rPr>
                <w:rFonts w:cs="Arial"/>
              </w:rPr>
              <w:t>;</w:t>
            </w:r>
          </w:p>
          <w:p w14:paraId="2171DBE0" w14:textId="77777777" w:rsidR="00C321F1" w:rsidRPr="000F7276" w:rsidRDefault="008C72DA" w:rsidP="00A009E7">
            <w:pPr>
              <w:numPr>
                <w:ilvl w:val="0"/>
                <w:numId w:val="6"/>
              </w:numPr>
              <w:autoSpaceDE/>
              <w:autoSpaceDN/>
              <w:adjustRightInd/>
              <w:ind w:left="360"/>
              <w:rPr>
                <w:rFonts w:asciiTheme="minorHAnsi" w:hAnsiTheme="minorHAnsi" w:cs="Times New Roman"/>
                <w:color w:val="000000"/>
              </w:rPr>
            </w:pPr>
            <w:r w:rsidRPr="000F7276">
              <w:rPr>
                <w:rFonts w:asciiTheme="minorHAnsi" w:hAnsiTheme="minorHAnsi" w:cs="Times New Roman"/>
                <w:color w:val="000000"/>
              </w:rPr>
              <w:t>Depending on the specific context of the project, vulnerable groups may</w:t>
            </w:r>
            <w:r w:rsidR="003F7392" w:rsidRPr="000F7276">
              <w:rPr>
                <w:rFonts w:asciiTheme="minorHAnsi" w:hAnsiTheme="minorHAnsi" w:cs="Times New Roman"/>
                <w:color w:val="000000"/>
              </w:rPr>
              <w:t xml:space="preserve"> </w:t>
            </w:r>
            <w:r w:rsidRPr="000F7276">
              <w:rPr>
                <w:rFonts w:asciiTheme="minorHAnsi" w:hAnsiTheme="minorHAnsi" w:cs="Times New Roman"/>
                <w:color w:val="000000"/>
              </w:rPr>
              <w:t>include those who are physically handicapped</w:t>
            </w:r>
            <w:r w:rsidR="003F7392" w:rsidRPr="000F7276">
              <w:rPr>
                <w:rFonts w:asciiTheme="minorHAnsi" w:hAnsiTheme="minorHAnsi" w:cs="Times New Roman"/>
                <w:color w:val="000000"/>
              </w:rPr>
              <w:t xml:space="preserve"> </w:t>
            </w:r>
            <w:r w:rsidRPr="000F7276">
              <w:rPr>
                <w:rFonts w:asciiTheme="minorHAnsi" w:hAnsiTheme="minorHAnsi" w:cs="Times New Roman"/>
                <w:color w:val="000000"/>
              </w:rPr>
              <w:t>(AfDB)</w:t>
            </w:r>
            <w:r w:rsidR="0034796B" w:rsidRPr="000F7276">
              <w:rPr>
                <w:rFonts w:asciiTheme="minorHAnsi" w:hAnsiTheme="minorHAnsi" w:cs="Times New Roman"/>
                <w:color w:val="000000"/>
              </w:rPr>
              <w:t>;</w:t>
            </w:r>
          </w:p>
          <w:p w14:paraId="280CD86C" w14:textId="77777777" w:rsidR="00C321F1" w:rsidRPr="000F7276" w:rsidRDefault="00AE276A" w:rsidP="00A009E7">
            <w:pPr>
              <w:numPr>
                <w:ilvl w:val="0"/>
                <w:numId w:val="6"/>
              </w:numPr>
              <w:autoSpaceDE/>
              <w:autoSpaceDN/>
              <w:adjustRightInd/>
              <w:ind w:left="360"/>
              <w:rPr>
                <w:rFonts w:cs="Arial"/>
              </w:rPr>
            </w:pPr>
            <w:r w:rsidRPr="000F7276">
              <w:rPr>
                <w:rFonts w:cs="Arial"/>
              </w:rPr>
              <w:t>Compensation package to take account of “intangible…social and cultural assets” (IDB)</w:t>
            </w:r>
            <w:r w:rsidR="0034796B" w:rsidRPr="000F7276">
              <w:rPr>
                <w:rFonts w:cs="Arial"/>
              </w:rPr>
              <w:t>;</w:t>
            </w:r>
          </w:p>
          <w:p w14:paraId="58BC105E" w14:textId="77777777" w:rsidR="00C321F1" w:rsidRPr="000F7276" w:rsidRDefault="00670476" w:rsidP="00A009E7">
            <w:pPr>
              <w:numPr>
                <w:ilvl w:val="0"/>
                <w:numId w:val="6"/>
              </w:numPr>
              <w:autoSpaceDE/>
              <w:autoSpaceDN/>
              <w:adjustRightInd/>
              <w:ind w:left="360"/>
              <w:rPr>
                <w:rFonts w:cs="Arial"/>
              </w:rPr>
            </w:pPr>
            <w:r w:rsidRPr="000F7276">
              <w:rPr>
                <w:rFonts w:cs="Arial"/>
              </w:rPr>
              <w:t xml:space="preserve">Counseling for recipients of cash compensation </w:t>
            </w:r>
            <w:r w:rsidR="00AE276A" w:rsidRPr="000F7276">
              <w:rPr>
                <w:rFonts w:cs="Arial"/>
              </w:rPr>
              <w:t>on risks of misuse (AfDB)</w:t>
            </w:r>
            <w:r w:rsidR="0034796B" w:rsidRPr="000F7276">
              <w:rPr>
                <w:rFonts w:cs="Arial"/>
              </w:rPr>
              <w:t>;</w:t>
            </w:r>
          </w:p>
          <w:p w14:paraId="41CCCB3A" w14:textId="77777777" w:rsidR="00C321F1" w:rsidRPr="000F7276" w:rsidRDefault="00670476" w:rsidP="00A009E7">
            <w:pPr>
              <w:numPr>
                <w:ilvl w:val="0"/>
                <w:numId w:val="6"/>
              </w:numPr>
              <w:autoSpaceDE/>
              <w:autoSpaceDN/>
              <w:adjustRightInd/>
              <w:ind w:left="360"/>
              <w:rPr>
                <w:rFonts w:cs="Arial"/>
              </w:rPr>
            </w:pPr>
            <w:r w:rsidRPr="000F7276">
              <w:rPr>
                <w:rFonts w:cs="Arial"/>
              </w:rPr>
              <w:t xml:space="preserve">Access to safe drinking water </w:t>
            </w:r>
            <w:r w:rsidR="00AE276A" w:rsidRPr="000F7276">
              <w:rPr>
                <w:rFonts w:cs="Arial"/>
              </w:rPr>
              <w:t>and irrigation</w:t>
            </w:r>
            <w:r w:rsidR="003F7392" w:rsidRPr="000F7276">
              <w:rPr>
                <w:rFonts w:cs="Arial"/>
              </w:rPr>
              <w:t xml:space="preserve"> </w:t>
            </w:r>
            <w:r w:rsidR="00AE276A" w:rsidRPr="000F7276">
              <w:rPr>
                <w:rFonts w:cs="Arial"/>
              </w:rPr>
              <w:t xml:space="preserve">facilities </w:t>
            </w:r>
            <w:r w:rsidRPr="000F7276">
              <w:rPr>
                <w:rFonts w:cs="Arial"/>
              </w:rPr>
              <w:t>as part of resettlement assistance</w:t>
            </w:r>
            <w:r w:rsidR="003F7392" w:rsidRPr="000F7276">
              <w:rPr>
                <w:rFonts w:cs="Arial"/>
              </w:rPr>
              <w:t xml:space="preserve"> </w:t>
            </w:r>
            <w:r w:rsidR="00AE276A" w:rsidRPr="000F7276">
              <w:rPr>
                <w:rFonts w:cs="Arial"/>
              </w:rPr>
              <w:t>(AfDB</w:t>
            </w:r>
            <w:r w:rsidR="004A1F8E" w:rsidRPr="000F7276">
              <w:rPr>
                <w:rFonts w:cs="Arial"/>
              </w:rPr>
              <w:t>, EIB</w:t>
            </w:r>
            <w:r w:rsidR="00AE276A" w:rsidRPr="000F7276">
              <w:rPr>
                <w:rFonts w:cs="Arial"/>
              </w:rPr>
              <w:t>)</w:t>
            </w:r>
            <w:r w:rsidR="0034796B" w:rsidRPr="000F7276">
              <w:rPr>
                <w:rFonts w:cs="Arial"/>
              </w:rPr>
              <w:t>;</w:t>
            </w:r>
          </w:p>
          <w:p w14:paraId="689D4B2E" w14:textId="6849EA8D" w:rsidR="00C321F1" w:rsidRPr="000F7276" w:rsidRDefault="00670476" w:rsidP="00A009E7">
            <w:pPr>
              <w:numPr>
                <w:ilvl w:val="0"/>
                <w:numId w:val="6"/>
              </w:numPr>
              <w:autoSpaceDE/>
              <w:autoSpaceDN/>
              <w:adjustRightInd/>
              <w:ind w:left="360"/>
              <w:rPr>
                <w:rFonts w:cs="Arial"/>
              </w:rPr>
            </w:pPr>
            <w:r w:rsidRPr="000F7276">
              <w:rPr>
                <w:rFonts w:cs="Arial"/>
              </w:rPr>
              <w:t xml:space="preserve">When feasible, in-kind replacements to be applied </w:t>
            </w:r>
            <w:r w:rsidR="00E23998">
              <w:rPr>
                <w:rFonts w:cs="Arial"/>
              </w:rPr>
              <w:t xml:space="preserve">as </w:t>
            </w:r>
            <w:r w:rsidRPr="000F7276">
              <w:rPr>
                <w:rFonts w:cs="Arial"/>
              </w:rPr>
              <w:t>compensation for loss of common property resources (i.e.</w:t>
            </w:r>
            <w:r w:rsidR="00CC1A9A" w:rsidRPr="000F7276">
              <w:rPr>
                <w:rFonts w:cs="Arial"/>
              </w:rPr>
              <w:t>,</w:t>
            </w:r>
            <w:r w:rsidRPr="000F7276">
              <w:rPr>
                <w:rFonts w:cs="Arial"/>
              </w:rPr>
              <w:t xml:space="preserve"> rivers, lakes, forest resources)</w:t>
            </w:r>
            <w:r w:rsidR="00AE276A" w:rsidRPr="000F7276">
              <w:rPr>
                <w:rFonts w:cs="Arial"/>
              </w:rPr>
              <w:t xml:space="preserve"> (AfDB</w:t>
            </w:r>
            <w:r w:rsidR="0050079C" w:rsidRPr="000F7276">
              <w:rPr>
                <w:rFonts w:cs="Arial"/>
              </w:rPr>
              <w:t>, EIB</w:t>
            </w:r>
            <w:r w:rsidR="00AE276A" w:rsidRPr="000F7276">
              <w:rPr>
                <w:rFonts w:cs="Arial"/>
              </w:rPr>
              <w:t>)</w:t>
            </w:r>
            <w:r w:rsidR="0034796B" w:rsidRPr="000F7276">
              <w:rPr>
                <w:rFonts w:cs="Arial"/>
              </w:rPr>
              <w:t>;</w:t>
            </w:r>
          </w:p>
          <w:p w14:paraId="755A1F1D" w14:textId="77777777" w:rsidR="00C321F1" w:rsidRPr="000F7276" w:rsidRDefault="0018782F" w:rsidP="00A009E7">
            <w:pPr>
              <w:numPr>
                <w:ilvl w:val="0"/>
                <w:numId w:val="6"/>
              </w:numPr>
              <w:autoSpaceDE/>
              <w:autoSpaceDN/>
              <w:adjustRightInd/>
              <w:ind w:left="360"/>
              <w:rPr>
                <w:rFonts w:cs="Arial"/>
              </w:rPr>
            </w:pPr>
            <w:r w:rsidRPr="000F7276">
              <w:rPr>
                <w:rFonts w:cs="Arial"/>
              </w:rPr>
              <w:t>“</w:t>
            </w:r>
            <w:r w:rsidR="00670476" w:rsidRPr="000F7276">
              <w:rPr>
                <w:rFonts w:cs="Arial"/>
              </w:rPr>
              <w:t>Broad Community Support</w:t>
            </w:r>
            <w:r w:rsidRPr="000F7276">
              <w:rPr>
                <w:rFonts w:cs="Arial"/>
              </w:rPr>
              <w:t>”</w:t>
            </w:r>
            <w:r w:rsidR="00670476" w:rsidRPr="000F7276">
              <w:rPr>
                <w:rFonts w:cs="Arial"/>
              </w:rPr>
              <w:t xml:space="preserve"> </w:t>
            </w:r>
            <w:r w:rsidR="0077046B" w:rsidRPr="000F7276">
              <w:rPr>
                <w:rFonts w:cs="Arial"/>
              </w:rPr>
              <w:t xml:space="preserve">required </w:t>
            </w:r>
            <w:r w:rsidR="00670476" w:rsidRPr="000F7276">
              <w:rPr>
                <w:rFonts w:cs="Arial"/>
              </w:rPr>
              <w:t>for IR</w:t>
            </w:r>
            <w:r w:rsidR="00C6358F" w:rsidRPr="000F7276">
              <w:rPr>
                <w:rFonts w:cs="Arial"/>
              </w:rPr>
              <w:t xml:space="preserve"> (AfDB</w:t>
            </w:r>
            <w:r w:rsidR="0050079C" w:rsidRPr="000F7276">
              <w:rPr>
                <w:rFonts w:cs="Arial"/>
              </w:rPr>
              <w:t>, EIB</w:t>
            </w:r>
            <w:r w:rsidR="00C6358F" w:rsidRPr="000F7276">
              <w:rPr>
                <w:rFonts w:cs="Arial"/>
              </w:rPr>
              <w:t>)</w:t>
            </w:r>
            <w:r w:rsidR="0034796B" w:rsidRPr="000F7276">
              <w:rPr>
                <w:rFonts w:cs="Arial"/>
              </w:rPr>
              <w:t>;</w:t>
            </w:r>
          </w:p>
          <w:p w14:paraId="1D68A1F5" w14:textId="77777777" w:rsidR="00C321F1" w:rsidRPr="000F7276" w:rsidRDefault="00AE276A" w:rsidP="00A009E7">
            <w:pPr>
              <w:numPr>
                <w:ilvl w:val="0"/>
                <w:numId w:val="6"/>
              </w:numPr>
              <w:autoSpaceDE/>
              <w:autoSpaceDN/>
              <w:adjustRightInd/>
              <w:ind w:left="360"/>
              <w:rPr>
                <w:rFonts w:cs="Arial"/>
              </w:rPr>
            </w:pPr>
            <w:r w:rsidRPr="000F7276">
              <w:rPr>
                <w:rFonts w:cs="Arial"/>
              </w:rPr>
              <w:t>Detailed analysis of impacts on</w:t>
            </w:r>
            <w:r w:rsidR="00FD1A51" w:rsidRPr="000F7276">
              <w:rPr>
                <w:rFonts w:cs="Arial"/>
              </w:rPr>
              <w:t>,</w:t>
            </w:r>
            <w:r w:rsidRPr="000F7276">
              <w:rPr>
                <w:rFonts w:cs="Arial"/>
              </w:rPr>
              <w:t xml:space="preserve"> </w:t>
            </w:r>
            <w:r w:rsidR="00FD1A51" w:rsidRPr="000F7276">
              <w:rPr>
                <w:rFonts w:cs="Arial"/>
              </w:rPr>
              <w:t xml:space="preserve">and specified benefits to </w:t>
            </w:r>
            <w:r w:rsidRPr="000F7276">
              <w:rPr>
                <w:rFonts w:cs="Arial"/>
              </w:rPr>
              <w:t>host communities (</w:t>
            </w:r>
            <w:r w:rsidR="00FD1A51" w:rsidRPr="000F7276">
              <w:rPr>
                <w:rFonts w:cs="Arial"/>
              </w:rPr>
              <w:t xml:space="preserve">ADB, </w:t>
            </w:r>
            <w:r w:rsidRPr="000F7276">
              <w:rPr>
                <w:rFonts w:cs="Arial"/>
              </w:rPr>
              <w:t>AfDB</w:t>
            </w:r>
            <w:r w:rsidR="0050079C" w:rsidRPr="000F7276">
              <w:rPr>
                <w:rFonts w:cs="Arial"/>
              </w:rPr>
              <w:t>, EIB</w:t>
            </w:r>
            <w:r w:rsidR="006F78AF" w:rsidRPr="000F7276">
              <w:rPr>
                <w:rFonts w:cs="Arial"/>
              </w:rPr>
              <w:t>, IDB</w:t>
            </w:r>
            <w:r w:rsidRPr="000F7276">
              <w:rPr>
                <w:rFonts w:cs="Arial"/>
              </w:rPr>
              <w:t>)</w:t>
            </w:r>
            <w:r w:rsidR="0034796B" w:rsidRPr="000F7276">
              <w:rPr>
                <w:rFonts w:cs="Arial"/>
              </w:rPr>
              <w:t>;</w:t>
            </w:r>
          </w:p>
          <w:p w14:paraId="521A08BF" w14:textId="76B81D5B" w:rsidR="00C321F1" w:rsidRPr="000F7276" w:rsidRDefault="00327743" w:rsidP="00A009E7">
            <w:pPr>
              <w:numPr>
                <w:ilvl w:val="0"/>
                <w:numId w:val="6"/>
              </w:numPr>
              <w:autoSpaceDE/>
              <w:autoSpaceDN/>
              <w:adjustRightInd/>
              <w:ind w:left="360"/>
              <w:rPr>
                <w:rFonts w:cs="Arial"/>
              </w:rPr>
            </w:pPr>
            <w:r w:rsidRPr="000F7276">
              <w:rPr>
                <w:rFonts w:cs="Arial"/>
              </w:rPr>
              <w:t>Requirement for 120 day pre-Board presentation for d</w:t>
            </w:r>
            <w:r w:rsidR="00670476" w:rsidRPr="000F7276">
              <w:rPr>
                <w:rFonts w:cs="Arial"/>
              </w:rPr>
              <w:t>isclosure of full Resettlement Plan</w:t>
            </w:r>
            <w:r w:rsidRPr="000F7276">
              <w:rPr>
                <w:rFonts w:cs="Arial"/>
              </w:rPr>
              <w:t xml:space="preserve"> (rather than prior to Appraisal). </w:t>
            </w:r>
            <w:r w:rsidR="00C6358F" w:rsidRPr="000F7276">
              <w:rPr>
                <w:rFonts w:cs="Arial"/>
              </w:rPr>
              <w:t>(AfDB</w:t>
            </w:r>
            <w:r w:rsidR="0077046B" w:rsidRPr="000F7276">
              <w:rPr>
                <w:rFonts w:cs="Arial"/>
              </w:rPr>
              <w:t xml:space="preserve"> ISS, OS 2, para. 30</w:t>
            </w:r>
            <w:r w:rsidR="0034796B" w:rsidRPr="000F7276">
              <w:rPr>
                <w:rFonts w:cs="Arial"/>
              </w:rPr>
              <w:t>)</w:t>
            </w:r>
            <w:r w:rsidR="00C45CE9" w:rsidRPr="000F7276">
              <w:rPr>
                <w:rFonts w:cs="Arial"/>
              </w:rPr>
              <w:t>;</w:t>
            </w:r>
            <w:r w:rsidR="006F78AF" w:rsidRPr="000F7276">
              <w:rPr>
                <w:rStyle w:val="FootnoteReference"/>
                <w:rFonts w:cs="Arial"/>
              </w:rPr>
              <w:footnoteReference w:id="96"/>
            </w:r>
          </w:p>
          <w:p w14:paraId="49F5C2E7" w14:textId="77777777" w:rsidR="00C321F1" w:rsidRPr="000F7276" w:rsidRDefault="00173111" w:rsidP="00A009E7">
            <w:pPr>
              <w:numPr>
                <w:ilvl w:val="0"/>
                <w:numId w:val="6"/>
              </w:numPr>
              <w:autoSpaceDE/>
              <w:autoSpaceDN/>
              <w:adjustRightInd/>
              <w:ind w:left="360"/>
              <w:rPr>
                <w:rFonts w:cs="Arial"/>
              </w:rPr>
            </w:pPr>
            <w:r w:rsidRPr="000F7276">
              <w:rPr>
                <w:rFonts w:cs="Arial"/>
              </w:rPr>
              <w:t>Requirement for prior informed consent and direct benefits to resettled indigenous or other rural ethnic communities</w:t>
            </w:r>
            <w:r w:rsidR="006F78AF" w:rsidRPr="000F7276">
              <w:rPr>
                <w:rFonts w:cs="Arial"/>
              </w:rPr>
              <w:t xml:space="preserve"> </w:t>
            </w:r>
            <w:r w:rsidRPr="000F7276">
              <w:rPr>
                <w:rFonts w:cs="Arial"/>
              </w:rPr>
              <w:t>(IDB)</w:t>
            </w:r>
            <w:r w:rsidR="0034796B" w:rsidRPr="000F7276">
              <w:rPr>
                <w:rFonts w:cs="Arial"/>
              </w:rPr>
              <w:t>.</w:t>
            </w:r>
          </w:p>
        </w:tc>
      </w:tr>
      <w:tr w:rsidR="00670476" w:rsidRPr="000F7276" w14:paraId="074BA06A" w14:textId="77777777" w:rsidTr="002B20C3">
        <w:trPr>
          <w:jc w:val="center"/>
        </w:trPr>
        <w:tc>
          <w:tcPr>
            <w:tcW w:w="9324" w:type="dxa"/>
            <w:shd w:val="clear" w:color="auto" w:fill="C6D9F1"/>
          </w:tcPr>
          <w:p w14:paraId="47724EF3" w14:textId="1B6C69E6" w:rsidR="00431F03" w:rsidRPr="000F7276" w:rsidRDefault="00C60A39" w:rsidP="00A009E7">
            <w:pPr>
              <w:autoSpaceDE/>
              <w:autoSpaceDN/>
              <w:adjustRightInd/>
              <w:ind w:left="285" w:hanging="15"/>
              <w:rPr>
                <w:rFonts w:cs="Arial"/>
                <w:b/>
              </w:rPr>
            </w:pPr>
            <w:r w:rsidRPr="000F7276">
              <w:rPr>
                <w:rFonts w:cs="Arial"/>
                <w:b/>
              </w:rPr>
              <w:t xml:space="preserve">World Bank </w:t>
            </w:r>
            <w:r w:rsidR="00670476" w:rsidRPr="000F7276">
              <w:rPr>
                <w:rFonts w:cs="Arial"/>
                <w:b/>
              </w:rPr>
              <w:t>OP 4.10 Indigenous People</w:t>
            </w:r>
            <w:r w:rsidR="00610727">
              <w:rPr>
                <w:rFonts w:cs="Arial"/>
                <w:b/>
              </w:rPr>
              <w:t xml:space="preserve"> (IP)</w:t>
            </w:r>
          </w:p>
        </w:tc>
      </w:tr>
      <w:tr w:rsidR="00670476" w:rsidRPr="000F7276" w14:paraId="1E230823" w14:textId="77777777" w:rsidTr="002B20C3">
        <w:trPr>
          <w:jc w:val="center"/>
        </w:trPr>
        <w:tc>
          <w:tcPr>
            <w:tcW w:w="9324" w:type="dxa"/>
            <w:shd w:val="clear" w:color="auto" w:fill="auto"/>
          </w:tcPr>
          <w:p w14:paraId="2275733F" w14:textId="7DF42CED" w:rsidR="00C321F1" w:rsidRPr="000F7276" w:rsidRDefault="009F5677" w:rsidP="00A009E7">
            <w:pPr>
              <w:numPr>
                <w:ilvl w:val="0"/>
                <w:numId w:val="6"/>
              </w:numPr>
              <w:autoSpaceDE/>
              <w:autoSpaceDN/>
              <w:adjustRightInd/>
              <w:ind w:left="360"/>
              <w:rPr>
                <w:rFonts w:cs="Arial"/>
              </w:rPr>
            </w:pPr>
            <w:r w:rsidRPr="000F7276">
              <w:rPr>
                <w:rFonts w:cs="Arial"/>
              </w:rPr>
              <w:t xml:space="preserve">Pre-colonial </w:t>
            </w:r>
            <w:r w:rsidR="006F78AF" w:rsidRPr="000F7276">
              <w:rPr>
                <w:rFonts w:cs="Arial"/>
              </w:rPr>
              <w:t>ancestry</w:t>
            </w:r>
            <w:r w:rsidR="003F7392" w:rsidRPr="000F7276">
              <w:rPr>
                <w:rFonts w:cs="Arial"/>
              </w:rPr>
              <w:t xml:space="preserve"> </w:t>
            </w:r>
            <w:r w:rsidR="006F78AF" w:rsidRPr="000F7276">
              <w:rPr>
                <w:rFonts w:cs="Arial"/>
              </w:rPr>
              <w:t xml:space="preserve">one of the </w:t>
            </w:r>
            <w:r w:rsidRPr="000F7276">
              <w:rPr>
                <w:rFonts w:cs="Arial"/>
              </w:rPr>
              <w:t>criteri</w:t>
            </w:r>
            <w:r w:rsidR="006F78AF" w:rsidRPr="000F7276">
              <w:rPr>
                <w:rFonts w:cs="Arial"/>
              </w:rPr>
              <w:t>a</w:t>
            </w:r>
            <w:r w:rsidRPr="000F7276">
              <w:rPr>
                <w:rFonts w:cs="Arial"/>
              </w:rPr>
              <w:t xml:space="preserve"> for identification of Indigenous Peoples (IDB)</w:t>
            </w:r>
            <w:r w:rsidR="0034796B" w:rsidRPr="000F7276">
              <w:rPr>
                <w:rFonts w:cs="Arial"/>
              </w:rPr>
              <w:t>;</w:t>
            </w:r>
          </w:p>
          <w:p w14:paraId="4F98BE0E" w14:textId="29276251" w:rsidR="00C321F1" w:rsidRPr="000F7276" w:rsidRDefault="00670476" w:rsidP="00A009E7">
            <w:pPr>
              <w:numPr>
                <w:ilvl w:val="0"/>
                <w:numId w:val="6"/>
              </w:numPr>
              <w:autoSpaceDE/>
              <w:autoSpaceDN/>
              <w:adjustRightInd/>
              <w:ind w:left="360"/>
              <w:rPr>
                <w:rFonts w:cs="Arial"/>
              </w:rPr>
            </w:pPr>
            <w:r w:rsidRPr="000F7276">
              <w:rPr>
                <w:rFonts w:cs="Arial"/>
              </w:rPr>
              <w:t xml:space="preserve">Application of policy </w:t>
            </w:r>
            <w:r w:rsidR="00431659" w:rsidRPr="000F7276">
              <w:rPr>
                <w:rFonts w:cs="Arial"/>
              </w:rPr>
              <w:t>to</w:t>
            </w:r>
            <w:r w:rsidRPr="000F7276">
              <w:rPr>
                <w:rFonts w:cs="Arial"/>
              </w:rPr>
              <w:t xml:space="preserve"> “</w:t>
            </w:r>
            <w:r w:rsidR="009F5677" w:rsidRPr="000F7276">
              <w:rPr>
                <w:rFonts w:cs="Arial"/>
              </w:rPr>
              <w:t>t</w:t>
            </w:r>
            <w:r w:rsidRPr="000F7276">
              <w:rPr>
                <w:rFonts w:cs="Arial"/>
              </w:rPr>
              <w:t>rans-border” and “</w:t>
            </w:r>
            <w:r w:rsidR="009F5677" w:rsidRPr="000F7276">
              <w:rPr>
                <w:rFonts w:cs="Arial"/>
              </w:rPr>
              <w:t>u</w:t>
            </w:r>
            <w:r w:rsidRPr="000F7276">
              <w:rPr>
                <w:rFonts w:cs="Arial"/>
              </w:rPr>
              <w:t>n</w:t>
            </w:r>
            <w:r w:rsidR="005B29F4" w:rsidRPr="000F7276">
              <w:rPr>
                <w:rFonts w:cs="Arial"/>
              </w:rPr>
              <w:t>-</w:t>
            </w:r>
            <w:r w:rsidRPr="000F7276">
              <w:rPr>
                <w:rFonts w:cs="Arial"/>
              </w:rPr>
              <w:t>contacted” Indigenous People</w:t>
            </w:r>
            <w:r w:rsidR="002B0650" w:rsidRPr="000F7276">
              <w:rPr>
                <w:rFonts w:cs="Arial"/>
              </w:rPr>
              <w:t>s</w:t>
            </w:r>
            <w:r w:rsidRPr="000F7276">
              <w:rPr>
                <w:rFonts w:cs="Arial"/>
              </w:rPr>
              <w:t xml:space="preserve"> </w:t>
            </w:r>
            <w:r w:rsidR="009F5677" w:rsidRPr="000F7276">
              <w:rPr>
                <w:rFonts w:cs="Arial"/>
              </w:rPr>
              <w:t>(IDB)</w:t>
            </w:r>
            <w:r w:rsidR="0034796B" w:rsidRPr="000F7276">
              <w:rPr>
                <w:rFonts w:cs="Arial"/>
              </w:rPr>
              <w:t>;</w:t>
            </w:r>
          </w:p>
          <w:p w14:paraId="31C008D0" w14:textId="77777777" w:rsidR="00C321F1" w:rsidRPr="000F7276" w:rsidRDefault="009F5677" w:rsidP="00A009E7">
            <w:pPr>
              <w:numPr>
                <w:ilvl w:val="0"/>
                <w:numId w:val="6"/>
              </w:numPr>
              <w:autoSpaceDE/>
              <w:autoSpaceDN/>
              <w:adjustRightInd/>
              <w:ind w:left="360"/>
              <w:rPr>
                <w:rFonts w:cs="Arial"/>
              </w:rPr>
            </w:pPr>
            <w:r w:rsidRPr="000F7276">
              <w:rPr>
                <w:rFonts w:cs="Arial"/>
              </w:rPr>
              <w:t>Use of</w:t>
            </w:r>
            <w:r w:rsidR="003F7392" w:rsidRPr="000F7276">
              <w:rPr>
                <w:rFonts w:cs="Arial"/>
              </w:rPr>
              <w:t xml:space="preserve"> </w:t>
            </w:r>
            <w:r w:rsidR="00670476" w:rsidRPr="000F7276">
              <w:rPr>
                <w:rFonts w:cs="Arial"/>
              </w:rPr>
              <w:t>“</w:t>
            </w:r>
            <w:r w:rsidRPr="000F7276">
              <w:rPr>
                <w:rFonts w:cs="Arial"/>
              </w:rPr>
              <w:t>d</w:t>
            </w:r>
            <w:r w:rsidR="00670476" w:rsidRPr="000F7276">
              <w:rPr>
                <w:rFonts w:cs="Arial"/>
              </w:rPr>
              <w:t xml:space="preserve">ynamic” </w:t>
            </w:r>
            <w:r w:rsidR="00CC1A9A" w:rsidRPr="000F7276">
              <w:rPr>
                <w:rFonts w:cs="Arial"/>
              </w:rPr>
              <w:t>m</w:t>
            </w:r>
            <w:r w:rsidR="00670476" w:rsidRPr="000F7276">
              <w:rPr>
                <w:rFonts w:cs="Arial"/>
              </w:rPr>
              <w:t xml:space="preserve">onitoring </w:t>
            </w:r>
            <w:r w:rsidR="00CC1A9A" w:rsidRPr="000F7276">
              <w:rPr>
                <w:rFonts w:cs="Arial"/>
              </w:rPr>
              <w:t>s</w:t>
            </w:r>
            <w:r w:rsidR="00670476" w:rsidRPr="000F7276">
              <w:rPr>
                <w:rFonts w:cs="Arial"/>
              </w:rPr>
              <w:t>ystems (inspections, audits, semi-annual monitoring reports)</w:t>
            </w:r>
            <w:r w:rsidR="00101357" w:rsidRPr="000F7276">
              <w:rPr>
                <w:rFonts w:cs="Arial"/>
              </w:rPr>
              <w:t xml:space="preserve"> (ADB)</w:t>
            </w:r>
            <w:r w:rsidR="0034796B" w:rsidRPr="000F7276">
              <w:rPr>
                <w:rFonts w:cs="Arial"/>
              </w:rPr>
              <w:t>;</w:t>
            </w:r>
          </w:p>
          <w:p w14:paraId="0E159BE9" w14:textId="32CD074D" w:rsidR="002F70BF" w:rsidRPr="000F7276" w:rsidRDefault="00101357" w:rsidP="00A009E7">
            <w:pPr>
              <w:pStyle w:val="ListParagraph"/>
              <w:numPr>
                <w:ilvl w:val="0"/>
                <w:numId w:val="6"/>
              </w:numPr>
              <w:autoSpaceDE/>
              <w:autoSpaceDN/>
              <w:adjustRightInd/>
              <w:ind w:left="360"/>
              <w:rPr>
                <w:rFonts w:cs="Arial"/>
              </w:rPr>
            </w:pPr>
            <w:r w:rsidRPr="000F7276">
              <w:rPr>
                <w:rFonts w:cs="Arial"/>
              </w:rPr>
              <w:t>Use of a</w:t>
            </w:r>
            <w:r w:rsidR="00670476" w:rsidRPr="000F7276">
              <w:rPr>
                <w:rFonts w:cs="Arial"/>
              </w:rPr>
              <w:t xml:space="preserve">daptive </w:t>
            </w:r>
            <w:r w:rsidR="0034796B" w:rsidRPr="000F7276">
              <w:rPr>
                <w:rFonts w:cs="Arial"/>
              </w:rPr>
              <w:t>m</w:t>
            </w:r>
            <w:r w:rsidR="00670476" w:rsidRPr="000F7276">
              <w:rPr>
                <w:rFonts w:cs="Arial"/>
              </w:rPr>
              <w:t xml:space="preserve">anagement of </w:t>
            </w:r>
            <w:r w:rsidR="00610727">
              <w:rPr>
                <w:rFonts w:cs="Arial"/>
              </w:rPr>
              <w:t xml:space="preserve">Indigenous Peoples Plans (IPPs) </w:t>
            </w:r>
            <w:r w:rsidR="00670476" w:rsidRPr="000F7276">
              <w:rPr>
                <w:rFonts w:cs="Arial"/>
              </w:rPr>
              <w:t>to manage unanticipated impa</w:t>
            </w:r>
            <w:r w:rsidR="00610727">
              <w:rPr>
                <w:rFonts w:cs="Arial"/>
              </w:rPr>
              <w:t>cts; d</w:t>
            </w:r>
            <w:r w:rsidR="00CC0BF4" w:rsidRPr="000F7276">
              <w:rPr>
                <w:rFonts w:cs="Arial"/>
              </w:rPr>
              <w:t>isclosure of updated IPPs</w:t>
            </w:r>
            <w:r w:rsidRPr="000F7276">
              <w:rPr>
                <w:rFonts w:cs="Arial"/>
              </w:rPr>
              <w:t xml:space="preserve"> (ADB)</w:t>
            </w:r>
            <w:r w:rsidR="0034796B" w:rsidRPr="000F7276">
              <w:rPr>
                <w:rFonts w:cs="Arial"/>
              </w:rPr>
              <w:t>;</w:t>
            </w:r>
          </w:p>
          <w:p w14:paraId="4BEFAB37" w14:textId="72075070" w:rsidR="00C321F1" w:rsidRPr="000F7276" w:rsidRDefault="00610727" w:rsidP="00A009E7">
            <w:pPr>
              <w:pStyle w:val="ListParagraph"/>
              <w:numPr>
                <w:ilvl w:val="0"/>
                <w:numId w:val="6"/>
              </w:numPr>
              <w:autoSpaceDE/>
              <w:autoSpaceDN/>
              <w:adjustRightInd/>
              <w:ind w:left="360"/>
              <w:rPr>
                <w:rFonts w:cs="Arial"/>
              </w:rPr>
            </w:pPr>
            <w:r>
              <w:rPr>
                <w:rFonts w:asciiTheme="minorHAnsi" w:hAnsiTheme="minorHAnsi" w:cstheme="minorHAnsi"/>
              </w:rPr>
              <w:t>Use of</w:t>
            </w:r>
            <w:r w:rsidR="00484D39" w:rsidRPr="000F7276">
              <w:rPr>
                <w:rFonts w:asciiTheme="minorHAnsi" w:hAnsiTheme="minorHAnsi" w:cstheme="minorHAnsi"/>
              </w:rPr>
              <w:t xml:space="preserve"> “broad community support” as an indicator of “conse</w:t>
            </w:r>
            <w:r>
              <w:rPr>
                <w:rFonts w:asciiTheme="minorHAnsi" w:hAnsiTheme="minorHAnsi" w:cstheme="minorHAnsi"/>
              </w:rPr>
              <w:t>nt</w:t>
            </w:r>
            <w:r w:rsidR="00484D39" w:rsidRPr="000F7276">
              <w:rPr>
                <w:rFonts w:asciiTheme="minorHAnsi" w:hAnsiTheme="minorHAnsi" w:cstheme="minorHAnsi"/>
              </w:rPr>
              <w:t xml:space="preserve">” </w:t>
            </w:r>
            <w:r>
              <w:rPr>
                <w:rFonts w:asciiTheme="minorHAnsi" w:hAnsiTheme="minorHAnsi" w:cstheme="minorHAnsi"/>
              </w:rPr>
              <w:t>(ADB);</w:t>
            </w:r>
            <w:r>
              <w:rPr>
                <w:rStyle w:val="FootnoteReference"/>
                <w:rFonts w:asciiTheme="minorHAnsi" w:hAnsiTheme="minorHAnsi" w:cstheme="minorHAnsi"/>
              </w:rPr>
              <w:footnoteReference w:id="97"/>
            </w:r>
            <w:r>
              <w:rPr>
                <w:rFonts w:asciiTheme="minorHAnsi" w:hAnsiTheme="minorHAnsi" w:cstheme="minorHAnsi"/>
              </w:rPr>
              <w:t xml:space="preserve"> </w:t>
            </w:r>
          </w:p>
          <w:p w14:paraId="44883D6A" w14:textId="77777777" w:rsidR="00C321F1" w:rsidRPr="000F7276" w:rsidRDefault="00101357" w:rsidP="00A009E7">
            <w:pPr>
              <w:numPr>
                <w:ilvl w:val="0"/>
                <w:numId w:val="6"/>
              </w:numPr>
              <w:autoSpaceDE/>
              <w:autoSpaceDN/>
              <w:adjustRightInd/>
              <w:ind w:left="360"/>
              <w:rPr>
                <w:rFonts w:cs="Arial"/>
              </w:rPr>
            </w:pPr>
            <w:r w:rsidRPr="000F7276">
              <w:rPr>
                <w:rFonts w:cs="Arial"/>
              </w:rPr>
              <w:t xml:space="preserve">Use of “independent advisory panels of experts, including an Indigenous Peoples expert” for preparation and implementation of </w:t>
            </w:r>
            <w:r w:rsidR="002B0650" w:rsidRPr="000F7276">
              <w:rPr>
                <w:rFonts w:cs="Arial"/>
              </w:rPr>
              <w:t xml:space="preserve">IPPs </w:t>
            </w:r>
            <w:r w:rsidRPr="000F7276">
              <w:rPr>
                <w:rFonts w:cs="Arial"/>
              </w:rPr>
              <w:t>(ADB)</w:t>
            </w:r>
            <w:r w:rsidR="007452FC" w:rsidRPr="000F7276">
              <w:rPr>
                <w:rFonts w:cs="Arial"/>
              </w:rPr>
              <w:t>;</w:t>
            </w:r>
          </w:p>
          <w:p w14:paraId="39A8DC95" w14:textId="1BEA3D43" w:rsidR="0030214A" w:rsidRPr="000F7276" w:rsidRDefault="006A3E46" w:rsidP="00A009E7">
            <w:pPr>
              <w:numPr>
                <w:ilvl w:val="0"/>
                <w:numId w:val="6"/>
              </w:numPr>
              <w:autoSpaceDE/>
              <w:autoSpaceDN/>
              <w:adjustRightInd/>
              <w:ind w:left="360"/>
              <w:rPr>
                <w:rFonts w:cs="Arial"/>
              </w:rPr>
            </w:pPr>
            <w:r w:rsidRPr="000F7276">
              <w:rPr>
                <w:rFonts w:cs="Arial"/>
              </w:rPr>
              <w:t xml:space="preserve">Cultural heritage requirements </w:t>
            </w:r>
            <w:r w:rsidR="002B0650" w:rsidRPr="000F7276">
              <w:rPr>
                <w:rFonts w:cs="Arial"/>
              </w:rPr>
              <w:t xml:space="preserve">that </w:t>
            </w:r>
            <w:r w:rsidRPr="000F7276">
              <w:rPr>
                <w:rFonts w:cs="Arial"/>
              </w:rPr>
              <w:t>apply to both “</w:t>
            </w:r>
            <w:r w:rsidR="00610727">
              <w:rPr>
                <w:rFonts w:cs="Arial"/>
              </w:rPr>
              <w:t xml:space="preserve">tangible” </w:t>
            </w:r>
            <w:r w:rsidR="0041373B" w:rsidRPr="000F7276">
              <w:rPr>
                <w:rFonts w:cs="Arial"/>
              </w:rPr>
              <w:t>and</w:t>
            </w:r>
            <w:r w:rsidRPr="000F7276">
              <w:rPr>
                <w:rFonts w:cs="Arial"/>
              </w:rPr>
              <w:t xml:space="preserve"> “intangible heritage” (</w:t>
            </w:r>
            <w:r w:rsidR="00030799" w:rsidRPr="000F7276">
              <w:rPr>
                <w:rFonts w:cs="Arial"/>
              </w:rPr>
              <w:t xml:space="preserve">AfDB, </w:t>
            </w:r>
            <w:r w:rsidRPr="000F7276">
              <w:rPr>
                <w:rFonts w:cs="Arial"/>
              </w:rPr>
              <w:t>EIB</w:t>
            </w:r>
            <w:r w:rsidR="00763CEC" w:rsidRPr="000F7276">
              <w:rPr>
                <w:rFonts w:cs="Arial"/>
              </w:rPr>
              <w:t>)</w:t>
            </w:r>
            <w:r w:rsidR="007452FC" w:rsidRPr="000F7276">
              <w:rPr>
                <w:rFonts w:cs="Arial"/>
              </w:rPr>
              <w:t>.</w:t>
            </w:r>
          </w:p>
        </w:tc>
      </w:tr>
    </w:tbl>
    <w:p w14:paraId="40FBEF8C" w14:textId="77777777" w:rsidR="00431F03" w:rsidRPr="000F7276" w:rsidRDefault="00431F03" w:rsidP="00A009E7">
      <w:pPr>
        <w:autoSpaceDE/>
        <w:autoSpaceDN/>
        <w:adjustRightInd/>
        <w:rPr>
          <w:rFonts w:cs="Times New Roman"/>
          <w:b/>
        </w:rPr>
      </w:pPr>
    </w:p>
    <w:p w14:paraId="7E778FB7" w14:textId="77777777" w:rsidR="00A009E7" w:rsidRDefault="00CF098D" w:rsidP="00A009E7">
      <w:pPr>
        <w:autoSpaceDE/>
        <w:autoSpaceDN/>
        <w:adjustRightInd/>
        <w:spacing w:after="240"/>
        <w:rPr>
          <w:rFonts w:cs="Times New Roman"/>
          <w:b/>
        </w:rPr>
      </w:pPr>
      <w:r w:rsidRPr="000F7276">
        <w:rPr>
          <w:rFonts w:cs="Times New Roman"/>
          <w:b/>
        </w:rPr>
        <w:br w:type="page"/>
      </w:r>
    </w:p>
    <w:p w14:paraId="2BE71059" w14:textId="7E00C44C" w:rsidR="00140932" w:rsidRPr="000F7276" w:rsidRDefault="00291BB8" w:rsidP="00A009E7">
      <w:pPr>
        <w:pStyle w:val="hhhead1"/>
        <w:numPr>
          <w:ilvl w:val="0"/>
          <w:numId w:val="0"/>
        </w:numPr>
        <w:ind w:left="360" w:hanging="360"/>
        <w:jc w:val="center"/>
      </w:pPr>
      <w:bookmarkStart w:id="12" w:name="_Toc419114252"/>
      <w:r w:rsidRPr="000F7276">
        <w:rPr>
          <w:caps w:val="0"/>
        </w:rPr>
        <w:t>Key References</w:t>
      </w:r>
      <w:bookmarkEnd w:id="12"/>
    </w:p>
    <w:p w14:paraId="192D7CD0" w14:textId="77777777" w:rsidR="00A009E7" w:rsidRDefault="00F021DF" w:rsidP="00655041">
      <w:pPr>
        <w:pStyle w:val="ListParagraph"/>
        <w:numPr>
          <w:ilvl w:val="0"/>
          <w:numId w:val="8"/>
        </w:numPr>
        <w:autoSpaceDE/>
        <w:autoSpaceDN/>
        <w:adjustRightInd/>
        <w:spacing w:after="240"/>
        <w:ind w:left="285"/>
        <w:contextualSpacing w:val="0"/>
        <w:rPr>
          <w:rFonts w:cs="Times New Roman"/>
          <w:sz w:val="24"/>
          <w:szCs w:val="24"/>
        </w:rPr>
      </w:pPr>
      <w:r w:rsidRPr="000F7276">
        <w:rPr>
          <w:rFonts w:cs="Times New Roman"/>
          <w:sz w:val="24"/>
          <w:szCs w:val="24"/>
        </w:rPr>
        <w:t>African Development Bank, Integrated Safeguard System, December 2013</w:t>
      </w:r>
    </w:p>
    <w:p w14:paraId="5C8B3716" w14:textId="77777777" w:rsidR="00A009E7" w:rsidRDefault="00F021DF" w:rsidP="00655041">
      <w:pPr>
        <w:pStyle w:val="ListParagraph"/>
        <w:numPr>
          <w:ilvl w:val="0"/>
          <w:numId w:val="8"/>
        </w:numPr>
        <w:tabs>
          <w:tab w:val="left" w:pos="270"/>
        </w:tabs>
        <w:autoSpaceDE/>
        <w:autoSpaceDN/>
        <w:adjustRightInd/>
        <w:spacing w:after="240"/>
        <w:ind w:left="-90" w:firstLine="15"/>
        <w:contextualSpacing w:val="0"/>
        <w:rPr>
          <w:rFonts w:cs="Times New Roman"/>
          <w:b/>
          <w:sz w:val="24"/>
          <w:szCs w:val="24"/>
        </w:rPr>
      </w:pPr>
      <w:r w:rsidRPr="000F7276">
        <w:rPr>
          <w:rFonts w:cs="Times New Roman"/>
          <w:sz w:val="24"/>
          <w:szCs w:val="24"/>
        </w:rPr>
        <w:t>Asian Development Bank, Safeguard Policy Statement, July 2009</w:t>
      </w:r>
    </w:p>
    <w:p w14:paraId="4FADC5CC" w14:textId="77777777" w:rsidR="00A009E7" w:rsidRDefault="00F021DF" w:rsidP="00655041">
      <w:pPr>
        <w:pStyle w:val="ListParagraph"/>
        <w:numPr>
          <w:ilvl w:val="0"/>
          <w:numId w:val="8"/>
        </w:numPr>
        <w:tabs>
          <w:tab w:val="left" w:pos="270"/>
        </w:tabs>
        <w:autoSpaceDE/>
        <w:autoSpaceDN/>
        <w:adjustRightInd/>
        <w:spacing w:after="240"/>
        <w:ind w:left="270"/>
        <w:contextualSpacing w:val="0"/>
        <w:rPr>
          <w:rFonts w:cs="Times New Roman"/>
          <w:sz w:val="24"/>
          <w:szCs w:val="24"/>
        </w:rPr>
      </w:pPr>
      <w:r w:rsidRPr="000F7276">
        <w:rPr>
          <w:rFonts w:cs="Times New Roman"/>
          <w:sz w:val="24"/>
          <w:szCs w:val="24"/>
        </w:rPr>
        <w:t xml:space="preserve">European Bank for Reconstruction and Development, Environmental and Social Policy, </w:t>
      </w:r>
      <w:r w:rsidR="008B00E2" w:rsidRPr="000F7276">
        <w:rPr>
          <w:rFonts w:cs="Times New Roman"/>
          <w:sz w:val="24"/>
          <w:szCs w:val="24"/>
        </w:rPr>
        <w:t>May 2014</w:t>
      </w:r>
    </w:p>
    <w:p w14:paraId="43BC254A" w14:textId="77777777" w:rsidR="00A009E7" w:rsidRDefault="00684C3A" w:rsidP="00655041">
      <w:pPr>
        <w:pStyle w:val="ListParagraph"/>
        <w:numPr>
          <w:ilvl w:val="0"/>
          <w:numId w:val="8"/>
        </w:numPr>
        <w:tabs>
          <w:tab w:val="left" w:pos="270"/>
        </w:tabs>
        <w:autoSpaceDE/>
        <w:autoSpaceDN/>
        <w:adjustRightInd/>
        <w:spacing w:after="240"/>
        <w:ind w:left="270"/>
        <w:contextualSpacing w:val="0"/>
        <w:rPr>
          <w:rFonts w:cs="Times New Roman"/>
          <w:sz w:val="24"/>
          <w:szCs w:val="24"/>
        </w:rPr>
      </w:pPr>
      <w:r w:rsidRPr="000F7276">
        <w:rPr>
          <w:rFonts w:cs="Times New Roman"/>
          <w:sz w:val="24"/>
          <w:szCs w:val="24"/>
        </w:rPr>
        <w:t xml:space="preserve">European Investment Bank, </w:t>
      </w:r>
      <w:r w:rsidRPr="000F7276">
        <w:rPr>
          <w:rFonts w:cs="Calibri"/>
          <w:color w:val="000000"/>
          <w:sz w:val="24"/>
          <w:szCs w:val="24"/>
        </w:rPr>
        <w:t>Statement of Environmental and Social Principles</w:t>
      </w:r>
      <w:r w:rsidR="003F7392" w:rsidRPr="000F7276">
        <w:rPr>
          <w:rFonts w:cs="Calibri"/>
          <w:color w:val="000000"/>
          <w:sz w:val="24"/>
          <w:szCs w:val="24"/>
        </w:rPr>
        <w:t xml:space="preserve"> </w:t>
      </w:r>
      <w:r w:rsidRPr="000F7276">
        <w:rPr>
          <w:rFonts w:cs="Calibri"/>
          <w:color w:val="000000"/>
          <w:sz w:val="24"/>
          <w:szCs w:val="24"/>
        </w:rPr>
        <w:t>and</w:t>
      </w:r>
      <w:r w:rsidR="003F7392" w:rsidRPr="000F7276">
        <w:rPr>
          <w:rFonts w:cs="Calibri"/>
          <w:color w:val="000000"/>
          <w:sz w:val="24"/>
          <w:szCs w:val="24"/>
        </w:rPr>
        <w:t xml:space="preserve"> </w:t>
      </w:r>
      <w:r w:rsidRPr="000F7276">
        <w:rPr>
          <w:rFonts w:cs="Calibri"/>
          <w:color w:val="000000"/>
          <w:sz w:val="24"/>
          <w:szCs w:val="24"/>
        </w:rPr>
        <w:t xml:space="preserve">Standards, 2009, and Environmental and </w:t>
      </w:r>
      <w:r w:rsidR="002B20C3" w:rsidRPr="000F7276">
        <w:rPr>
          <w:rFonts w:cs="Calibri"/>
          <w:color w:val="000000"/>
          <w:sz w:val="24"/>
          <w:szCs w:val="24"/>
        </w:rPr>
        <w:t xml:space="preserve">Social </w:t>
      </w:r>
      <w:r w:rsidRPr="000F7276">
        <w:rPr>
          <w:rFonts w:cs="Calibri"/>
          <w:color w:val="000000"/>
          <w:sz w:val="24"/>
          <w:szCs w:val="24"/>
        </w:rPr>
        <w:t>Handbook, December 2013</w:t>
      </w:r>
    </w:p>
    <w:p w14:paraId="32A9FAB0" w14:textId="77777777" w:rsidR="00A009E7" w:rsidRDefault="00684C3A" w:rsidP="00655041">
      <w:pPr>
        <w:pStyle w:val="ListParagraph"/>
        <w:numPr>
          <w:ilvl w:val="0"/>
          <w:numId w:val="8"/>
        </w:numPr>
        <w:tabs>
          <w:tab w:val="left" w:pos="270"/>
        </w:tabs>
        <w:autoSpaceDE/>
        <w:autoSpaceDN/>
        <w:adjustRightInd/>
        <w:spacing w:after="240"/>
        <w:ind w:left="270"/>
        <w:contextualSpacing w:val="0"/>
        <w:rPr>
          <w:rFonts w:cs="Times New Roman"/>
          <w:sz w:val="24"/>
          <w:szCs w:val="24"/>
        </w:rPr>
      </w:pPr>
      <w:r w:rsidRPr="000F7276">
        <w:rPr>
          <w:rFonts w:cs="Times New Roman"/>
          <w:sz w:val="24"/>
          <w:szCs w:val="24"/>
        </w:rPr>
        <w:t xml:space="preserve">Inter-American Development Bank, Operational Policies on </w:t>
      </w:r>
      <w:r w:rsidRPr="000F7276">
        <w:rPr>
          <w:rFonts w:cs="Calibri"/>
          <w:color w:val="000000"/>
          <w:sz w:val="24"/>
          <w:szCs w:val="24"/>
        </w:rPr>
        <w:t>Environment and</w:t>
      </w:r>
      <w:r w:rsidR="003F7392" w:rsidRPr="000F7276">
        <w:rPr>
          <w:rFonts w:cs="Calibri"/>
          <w:color w:val="000000"/>
          <w:sz w:val="24"/>
          <w:szCs w:val="24"/>
        </w:rPr>
        <w:t xml:space="preserve"> </w:t>
      </w:r>
      <w:r w:rsidRPr="000F7276">
        <w:rPr>
          <w:rFonts w:cs="Calibri"/>
          <w:color w:val="000000"/>
          <w:sz w:val="24"/>
          <w:szCs w:val="24"/>
        </w:rPr>
        <w:t>Safeguards Compliance, 2006; Indigenous Peoples, 2006; Involuntary Resettlement</w:t>
      </w:r>
      <w:r w:rsidR="003F7392" w:rsidRPr="000F7276">
        <w:rPr>
          <w:rFonts w:cs="Calibri"/>
          <w:color w:val="000000"/>
          <w:sz w:val="24"/>
          <w:szCs w:val="24"/>
        </w:rPr>
        <w:t xml:space="preserve"> </w:t>
      </w:r>
      <w:r w:rsidRPr="000F7276">
        <w:rPr>
          <w:rFonts w:cs="Calibri"/>
          <w:color w:val="000000"/>
          <w:sz w:val="24"/>
          <w:szCs w:val="24"/>
        </w:rPr>
        <w:t>1995;</w:t>
      </w:r>
      <w:r w:rsidR="003F7392" w:rsidRPr="000F7276">
        <w:rPr>
          <w:rFonts w:cs="Calibri"/>
          <w:color w:val="000000"/>
          <w:sz w:val="24"/>
          <w:szCs w:val="24"/>
        </w:rPr>
        <w:t xml:space="preserve"> </w:t>
      </w:r>
      <w:r w:rsidRPr="000F7276">
        <w:rPr>
          <w:rFonts w:cs="Calibri"/>
          <w:color w:val="000000"/>
          <w:sz w:val="24"/>
          <w:szCs w:val="24"/>
        </w:rPr>
        <w:t>and Gender Equality in Development, 2010</w:t>
      </w:r>
    </w:p>
    <w:p w14:paraId="1615A0E6" w14:textId="77777777" w:rsidR="00A009E7" w:rsidRDefault="0030519E" w:rsidP="00655041">
      <w:pPr>
        <w:pStyle w:val="ListParagraph"/>
        <w:numPr>
          <w:ilvl w:val="0"/>
          <w:numId w:val="8"/>
        </w:numPr>
        <w:spacing w:after="240"/>
        <w:ind w:left="270"/>
        <w:contextualSpacing w:val="0"/>
        <w:rPr>
          <w:rFonts w:cs="Times New Roman"/>
          <w:sz w:val="24"/>
          <w:szCs w:val="24"/>
        </w:rPr>
      </w:pPr>
      <w:r w:rsidRPr="000F7276">
        <w:rPr>
          <w:rFonts w:cs="Times New Roman"/>
          <w:sz w:val="24"/>
          <w:szCs w:val="24"/>
        </w:rPr>
        <w:t>International Finance Corporation, Safeguard Policy Framework, 2012</w:t>
      </w:r>
    </w:p>
    <w:p w14:paraId="2B39F1BC" w14:textId="77777777" w:rsidR="00A009E7" w:rsidRDefault="00F021DF" w:rsidP="00655041">
      <w:pPr>
        <w:pStyle w:val="ListParagraph"/>
        <w:numPr>
          <w:ilvl w:val="0"/>
          <w:numId w:val="8"/>
        </w:numPr>
        <w:spacing w:after="240"/>
        <w:ind w:left="270"/>
        <w:contextualSpacing w:val="0"/>
        <w:rPr>
          <w:rFonts w:cs="Times New Roman"/>
          <w:sz w:val="24"/>
          <w:szCs w:val="24"/>
        </w:rPr>
      </w:pPr>
      <w:r w:rsidRPr="000F7276">
        <w:rPr>
          <w:rFonts w:cs="Times New Roman"/>
          <w:sz w:val="24"/>
          <w:szCs w:val="24"/>
        </w:rPr>
        <w:t>World Bank, Operational Policies 4.01, 4.04, 4.09, 4.10, 4.11, 4.12, 4.36 and 4</w:t>
      </w:r>
      <w:r w:rsidR="00684C3A" w:rsidRPr="000F7276">
        <w:rPr>
          <w:rFonts w:cs="Times New Roman"/>
          <w:sz w:val="24"/>
          <w:szCs w:val="24"/>
        </w:rPr>
        <w:t>.</w:t>
      </w:r>
      <w:r w:rsidRPr="000F7276">
        <w:rPr>
          <w:rFonts w:cs="Times New Roman"/>
          <w:sz w:val="24"/>
          <w:szCs w:val="24"/>
        </w:rPr>
        <w:t>37</w:t>
      </w:r>
    </w:p>
    <w:p w14:paraId="117A2EBE" w14:textId="77777777" w:rsidR="00A009E7" w:rsidRDefault="00F021DF" w:rsidP="00655041">
      <w:pPr>
        <w:pStyle w:val="ListParagraph"/>
        <w:numPr>
          <w:ilvl w:val="0"/>
          <w:numId w:val="8"/>
        </w:numPr>
        <w:spacing w:after="240"/>
        <w:ind w:left="270"/>
        <w:contextualSpacing w:val="0"/>
        <w:rPr>
          <w:rFonts w:cs="Times New Roman"/>
          <w:sz w:val="24"/>
          <w:szCs w:val="24"/>
        </w:rPr>
      </w:pPr>
      <w:r w:rsidRPr="000F7276">
        <w:rPr>
          <w:rFonts w:cs="Times New Roman"/>
          <w:sz w:val="24"/>
          <w:szCs w:val="24"/>
        </w:rPr>
        <w:t xml:space="preserve">World Bank - Proposed Review and Update of the World Bank’s Safeguard Policies, Approach Paper, October </w:t>
      </w:r>
      <w:r w:rsidR="00D53C6C" w:rsidRPr="000F7276">
        <w:rPr>
          <w:rFonts w:cs="Times New Roman"/>
          <w:sz w:val="24"/>
          <w:szCs w:val="24"/>
        </w:rPr>
        <w:t>1</w:t>
      </w:r>
      <w:r w:rsidRPr="000F7276">
        <w:rPr>
          <w:rFonts w:cs="Times New Roman"/>
          <w:sz w:val="24"/>
          <w:szCs w:val="24"/>
        </w:rPr>
        <w:t>0, 2012</w:t>
      </w:r>
    </w:p>
    <w:p w14:paraId="544D5C80" w14:textId="77777777" w:rsidR="00A009E7" w:rsidRDefault="0030519E" w:rsidP="00655041">
      <w:pPr>
        <w:pStyle w:val="ListParagraph"/>
        <w:numPr>
          <w:ilvl w:val="0"/>
          <w:numId w:val="8"/>
        </w:numPr>
        <w:spacing w:after="240"/>
        <w:ind w:left="270"/>
        <w:contextualSpacing w:val="0"/>
        <w:rPr>
          <w:rFonts w:cs="Times New Roman"/>
          <w:sz w:val="24"/>
          <w:szCs w:val="24"/>
        </w:rPr>
      </w:pPr>
      <w:r w:rsidRPr="000F7276">
        <w:rPr>
          <w:rFonts w:cs="Times New Roman"/>
          <w:sz w:val="24"/>
          <w:szCs w:val="24"/>
        </w:rPr>
        <w:t>World Bank, Independent Evaluation Group (IEG)</w:t>
      </w:r>
      <w:r w:rsidR="002B20C3" w:rsidRPr="000F7276">
        <w:rPr>
          <w:rFonts w:cs="Times New Roman"/>
          <w:sz w:val="24"/>
          <w:szCs w:val="24"/>
        </w:rPr>
        <w:t>,</w:t>
      </w:r>
      <w:r w:rsidRPr="000F7276">
        <w:rPr>
          <w:rFonts w:cs="Times New Roman"/>
          <w:sz w:val="24"/>
          <w:szCs w:val="24"/>
        </w:rPr>
        <w:t xml:space="preserve"> Safeguards and Sustainability Practices in a Changing World (2010</w:t>
      </w:r>
      <w:r w:rsidR="007452FC" w:rsidRPr="000F7276">
        <w:rPr>
          <w:rFonts w:cs="Times New Roman"/>
          <w:sz w:val="24"/>
          <w:szCs w:val="24"/>
        </w:rPr>
        <w:t>)</w:t>
      </w:r>
    </w:p>
    <w:p w14:paraId="6790BDD6" w14:textId="77777777" w:rsidR="00226039" w:rsidRDefault="00226039" w:rsidP="00A009E7">
      <w:pPr>
        <w:jc w:val="right"/>
        <w:sectPr w:rsidR="00226039" w:rsidSect="00A360F1">
          <w:footnotePr>
            <w:numRestart w:val="eachSect"/>
          </w:footnotePr>
          <w:pgSz w:w="12240" w:h="15840"/>
          <w:pgMar w:top="1440" w:right="1440" w:bottom="1440" w:left="1440" w:header="720" w:footer="720" w:gutter="0"/>
          <w:pgNumType w:start="1"/>
          <w:cols w:space="720"/>
          <w:docGrid w:linePitch="360"/>
        </w:sectPr>
      </w:pPr>
    </w:p>
    <w:p w14:paraId="63372F45" w14:textId="3124174D" w:rsidR="00CF59E1" w:rsidRPr="00CF59E1" w:rsidRDefault="00CF59E1" w:rsidP="00CF59E1">
      <w:pPr>
        <w:pStyle w:val="hhhead1"/>
        <w:numPr>
          <w:ilvl w:val="0"/>
          <w:numId w:val="0"/>
        </w:numPr>
        <w:jc w:val="center"/>
      </w:pPr>
      <w:bookmarkStart w:id="13" w:name="_Toc419114253"/>
      <w:r w:rsidRPr="00CF59E1">
        <w:t>Annex 1. Architecture of MDB Safeguard Frameworks</w:t>
      </w:r>
      <w:bookmarkEnd w:id="13"/>
    </w:p>
    <w:p w14:paraId="571D585C" w14:textId="77777777" w:rsidR="00CF59E1" w:rsidRPr="00C75ACF" w:rsidRDefault="00CF59E1" w:rsidP="007211C0">
      <w:pPr>
        <w:autoSpaceDE/>
        <w:autoSpaceDN/>
        <w:adjustRightInd/>
        <w:spacing w:after="200" w:line="276" w:lineRule="auto"/>
        <w:jc w:val="center"/>
        <w:rPr>
          <w:rFonts w:cs="Times New Roman"/>
          <w:b/>
          <w:sz w:val="24"/>
        </w:rPr>
      </w:pPr>
      <w:r w:rsidRPr="00C75ACF">
        <w:rPr>
          <w:rFonts w:cs="Times New Roman"/>
          <w:b/>
          <w:sz w:val="24"/>
        </w:rPr>
        <w:t>Annex 1.1. World Bank Safeguard System</w:t>
      </w:r>
    </w:p>
    <w:p w14:paraId="1BD3A9A6" w14:textId="77777777" w:rsidR="00CF59E1" w:rsidRPr="000F62A5" w:rsidRDefault="00CF59E1" w:rsidP="007211C0">
      <w:pPr>
        <w:autoSpaceDE/>
        <w:autoSpaceDN/>
        <w:adjustRightInd/>
        <w:spacing w:after="200" w:line="276" w:lineRule="auto"/>
        <w:jc w:val="center"/>
        <w:rPr>
          <w:rFonts w:cs="Times New Roman"/>
          <w:b/>
          <w:u w:val="single"/>
        </w:rPr>
      </w:pPr>
      <w:r>
        <w:rPr>
          <w:noProof/>
        </w:rPr>
        <mc:AlternateContent>
          <mc:Choice Requires="wpg">
            <w:drawing>
              <wp:anchor distT="0" distB="0" distL="114300" distR="114300" simplePos="0" relativeHeight="251662848" behindDoc="0" locked="0" layoutInCell="1" allowOverlap="1" wp14:anchorId="57D3AA7F" wp14:editId="6E40B4C2">
                <wp:simplePos x="0" y="0"/>
                <wp:positionH relativeFrom="column">
                  <wp:posOffset>911860</wp:posOffset>
                </wp:positionH>
                <wp:positionV relativeFrom="paragraph">
                  <wp:posOffset>319405</wp:posOffset>
                </wp:positionV>
                <wp:extent cx="6834505" cy="4375150"/>
                <wp:effectExtent l="5715" t="10795" r="8255" b="5080"/>
                <wp:wrapNone/>
                <wp:docPr id="7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4505" cy="4375150"/>
                          <a:chOff x="2890" y="2581"/>
                          <a:chExt cx="10763" cy="6890"/>
                        </a:xfrm>
                      </wpg:grpSpPr>
                      <wpg:grpSp>
                        <wpg:cNvPr id="77" name="Group 31"/>
                        <wpg:cNvGrpSpPr>
                          <a:grpSpLocks/>
                        </wpg:cNvGrpSpPr>
                        <wpg:grpSpPr bwMode="auto">
                          <a:xfrm>
                            <a:off x="2890" y="2581"/>
                            <a:ext cx="10763" cy="6890"/>
                            <a:chOff x="2890" y="2581"/>
                            <a:chExt cx="10763" cy="6890"/>
                          </a:xfrm>
                        </wpg:grpSpPr>
                        <wps:wsp>
                          <wps:cNvPr id="78" name="Rectangle 32"/>
                          <wps:cNvSpPr>
                            <a:spLocks noChangeArrowheads="1"/>
                          </wps:cNvSpPr>
                          <wps:spPr bwMode="auto">
                            <a:xfrm>
                              <a:off x="10889" y="8223"/>
                              <a:ext cx="2227" cy="618"/>
                            </a:xfrm>
                            <a:prstGeom prst="rect">
                              <a:avLst/>
                            </a:prstGeom>
                            <a:solidFill>
                              <a:srgbClr val="FFFFFF"/>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14:paraId="39D5BD56" w14:textId="77777777" w:rsidR="00CF59E1" w:rsidRPr="003D3501" w:rsidRDefault="00CF59E1" w:rsidP="007211C0">
                                <w:pPr>
                                  <w:rPr>
                                    <w:i/>
                                    <w:sz w:val="18"/>
                                    <w:szCs w:val="18"/>
                                  </w:rPr>
                                </w:pPr>
                                <w:r w:rsidRPr="003D3501">
                                  <w:rPr>
                                    <w:i/>
                                    <w:sz w:val="18"/>
                                    <w:szCs w:val="18"/>
                                  </w:rPr>
                                  <w:t>OP – Operational Policy</w:t>
                                </w:r>
                              </w:p>
                              <w:p w14:paraId="57CD4C4E" w14:textId="77777777" w:rsidR="00CF59E1" w:rsidRPr="003D3501" w:rsidRDefault="00CF59E1" w:rsidP="007211C0">
                                <w:pPr>
                                  <w:rPr>
                                    <w:i/>
                                    <w:sz w:val="18"/>
                                    <w:szCs w:val="18"/>
                                  </w:rPr>
                                </w:pPr>
                                <w:r w:rsidRPr="003D3501">
                                  <w:rPr>
                                    <w:i/>
                                    <w:sz w:val="18"/>
                                    <w:szCs w:val="18"/>
                                  </w:rPr>
                                  <w:t>BP – Bank Procedures</w:t>
                                </w:r>
                              </w:p>
                            </w:txbxContent>
                          </wps:txbx>
                          <wps:bodyPr rot="0" vert="horz" wrap="square" lIns="91440" tIns="45720" rIns="91440" bIns="45720" anchor="t" anchorCtr="0" upright="1">
                            <a:noAutofit/>
                          </wps:bodyPr>
                        </wps:wsp>
                        <wps:wsp>
                          <wps:cNvPr id="79" name="AutoShape 33"/>
                          <wps:cNvSpPr>
                            <a:spLocks noChangeArrowheads="1"/>
                          </wps:cNvSpPr>
                          <wps:spPr bwMode="auto">
                            <a:xfrm>
                              <a:off x="7217" y="7271"/>
                              <a:ext cx="3467" cy="1046"/>
                            </a:xfrm>
                            <a:prstGeom prst="roundRect">
                              <a:avLst>
                                <a:gd name="adj" fmla="val 16667"/>
                              </a:avLst>
                            </a:prstGeom>
                            <a:solidFill>
                              <a:srgbClr val="E1EBF7"/>
                            </a:solidFill>
                            <a:ln w="9525">
                              <a:solidFill>
                                <a:srgbClr val="1F497D"/>
                              </a:solidFill>
                              <a:round/>
                              <a:headEnd/>
                              <a:tailEnd/>
                            </a:ln>
                          </wps:spPr>
                          <wps:txbx>
                            <w:txbxContent>
                              <w:p w14:paraId="4E83E9F9" w14:textId="77777777" w:rsidR="00CF59E1" w:rsidRPr="00923D6F" w:rsidRDefault="00CF59E1" w:rsidP="00CF59E1">
                                <w:pPr>
                                  <w:spacing w:line="200" w:lineRule="exact"/>
                                  <w:rPr>
                                    <w:sz w:val="18"/>
                                    <w:szCs w:val="18"/>
                                  </w:rPr>
                                </w:pPr>
                                <w:r w:rsidRPr="00923D6F">
                                  <w:rPr>
                                    <w:i/>
                                    <w:sz w:val="18"/>
                                    <w:szCs w:val="18"/>
                                  </w:rPr>
                                  <w:t xml:space="preserve">Piloting </w:t>
                                </w:r>
                                <w:r w:rsidRPr="00923D6F">
                                  <w:rPr>
                                    <w:b/>
                                    <w:i/>
                                    <w:sz w:val="18"/>
                                    <w:szCs w:val="18"/>
                                  </w:rPr>
                                  <w:t xml:space="preserve">Use of </w:t>
                                </w:r>
                                <w:r>
                                  <w:rPr>
                                    <w:b/>
                                    <w:i/>
                                    <w:sz w:val="18"/>
                                    <w:szCs w:val="18"/>
                                  </w:rPr>
                                  <w:t>Borrower</w:t>
                                </w:r>
                                <w:r w:rsidRPr="00923D6F">
                                  <w:rPr>
                                    <w:b/>
                                    <w:i/>
                                    <w:sz w:val="18"/>
                                    <w:szCs w:val="18"/>
                                  </w:rPr>
                                  <w:t xml:space="preserve"> Systems</w:t>
                                </w:r>
                                <w:r w:rsidRPr="00923D6F">
                                  <w:rPr>
                                    <w:i/>
                                    <w:sz w:val="18"/>
                                    <w:szCs w:val="18"/>
                                  </w:rPr>
                                  <w:t xml:space="preserve"> </w:t>
                                </w:r>
                                <w:r>
                                  <w:rPr>
                                    <w:i/>
                                    <w:sz w:val="18"/>
                                    <w:szCs w:val="18"/>
                                  </w:rPr>
                                  <w:t xml:space="preserve">to address </w:t>
                                </w:r>
                                <w:r w:rsidRPr="00923D6F">
                                  <w:rPr>
                                    <w:i/>
                                    <w:sz w:val="18"/>
                                    <w:szCs w:val="18"/>
                                  </w:rPr>
                                  <w:t>E</w:t>
                                </w:r>
                                <w:r>
                                  <w:rPr>
                                    <w:i/>
                                    <w:sz w:val="18"/>
                                    <w:szCs w:val="18"/>
                                  </w:rPr>
                                  <w:t>nvironmental and Social Safeguard Issues</w:t>
                                </w:r>
                                <w:r w:rsidRPr="00923D6F">
                                  <w:rPr>
                                    <w:sz w:val="18"/>
                                    <w:szCs w:val="18"/>
                                  </w:rPr>
                                  <w:t xml:space="preserve"> </w:t>
                                </w:r>
                                <w:r w:rsidRPr="00E746AC">
                                  <w:rPr>
                                    <w:i/>
                                    <w:sz w:val="18"/>
                                    <w:szCs w:val="18"/>
                                  </w:rPr>
                                  <w:t>in Bank Support Projects</w:t>
                                </w:r>
                                <w:r>
                                  <w:rPr>
                                    <w:sz w:val="18"/>
                                    <w:szCs w:val="18"/>
                                  </w:rPr>
                                  <w:t xml:space="preserve"> </w:t>
                                </w:r>
                                <w:r w:rsidRPr="00923D6F">
                                  <w:rPr>
                                    <w:sz w:val="18"/>
                                    <w:szCs w:val="18"/>
                                  </w:rPr>
                                  <w:t>(OP/BP 4.00)</w:t>
                                </w:r>
                              </w:p>
                            </w:txbxContent>
                          </wps:txbx>
                          <wps:bodyPr rot="0" vert="horz" wrap="square" lIns="91440" tIns="45720" rIns="91440" bIns="45720" anchor="t" anchorCtr="0" upright="1">
                            <a:noAutofit/>
                          </wps:bodyPr>
                        </wps:wsp>
                        <wps:wsp>
                          <wps:cNvPr id="80" name="AutoShape 34"/>
                          <wps:cNvSpPr>
                            <a:spLocks noChangeArrowheads="1"/>
                          </wps:cNvSpPr>
                          <wps:spPr bwMode="auto">
                            <a:xfrm>
                              <a:off x="10902" y="7495"/>
                              <a:ext cx="2572" cy="398"/>
                            </a:xfrm>
                            <a:prstGeom prst="roundRect">
                              <a:avLst>
                                <a:gd name="adj" fmla="val 16667"/>
                              </a:avLst>
                            </a:prstGeom>
                            <a:solidFill>
                              <a:srgbClr val="E1EBF7"/>
                            </a:solidFill>
                            <a:ln w="9525">
                              <a:solidFill>
                                <a:srgbClr val="1F497D"/>
                              </a:solidFill>
                              <a:round/>
                              <a:headEnd/>
                              <a:tailEnd/>
                            </a:ln>
                          </wps:spPr>
                          <wps:txbx>
                            <w:txbxContent>
                              <w:p w14:paraId="501891C7" w14:textId="77777777" w:rsidR="00CF59E1" w:rsidRPr="00923D6F" w:rsidRDefault="00CF59E1" w:rsidP="007211C0">
                                <w:pPr>
                                  <w:rPr>
                                    <w:sz w:val="18"/>
                                    <w:szCs w:val="18"/>
                                  </w:rPr>
                                </w:pPr>
                                <w:r w:rsidRPr="00923D6F">
                                  <w:rPr>
                                    <w:i/>
                                    <w:sz w:val="18"/>
                                    <w:szCs w:val="18"/>
                                  </w:rPr>
                                  <w:t>Access to Information Policy</w:t>
                                </w:r>
                                <w:r w:rsidRPr="00923D6F">
                                  <w:rPr>
                                    <w:sz w:val="18"/>
                                    <w:szCs w:val="18"/>
                                  </w:rPr>
                                  <w:t xml:space="preserve"> </w:t>
                                </w:r>
                              </w:p>
                            </w:txbxContent>
                          </wps:txbx>
                          <wps:bodyPr rot="0" vert="horz" wrap="square" lIns="91440" tIns="45720" rIns="91440" bIns="45720" anchor="t" anchorCtr="0" upright="1">
                            <a:noAutofit/>
                          </wps:bodyPr>
                        </wps:wsp>
                        <wps:wsp>
                          <wps:cNvPr id="81" name="AutoShape 35"/>
                          <wps:cNvSpPr>
                            <a:spLocks noChangeArrowheads="1"/>
                          </wps:cNvSpPr>
                          <wps:spPr bwMode="auto">
                            <a:xfrm>
                              <a:off x="2890" y="9097"/>
                              <a:ext cx="10763" cy="374"/>
                            </a:xfrm>
                            <a:prstGeom prst="roundRect">
                              <a:avLst>
                                <a:gd name="adj" fmla="val 16667"/>
                              </a:avLst>
                            </a:prstGeom>
                            <a:solidFill>
                              <a:srgbClr val="E1EBF7"/>
                            </a:solidFill>
                            <a:ln w="9525">
                              <a:solidFill>
                                <a:srgbClr val="1F497D"/>
                              </a:solidFill>
                              <a:round/>
                              <a:headEnd/>
                              <a:tailEnd/>
                            </a:ln>
                          </wps:spPr>
                          <wps:txbx>
                            <w:txbxContent>
                              <w:p w14:paraId="06262B5F" w14:textId="77777777" w:rsidR="00CF59E1" w:rsidRPr="00AB414C" w:rsidRDefault="00CF59E1" w:rsidP="007211C0">
                                <w:pPr>
                                  <w:jc w:val="center"/>
                                  <w:rPr>
                                    <w:i/>
                                    <w:sz w:val="18"/>
                                    <w:szCs w:val="18"/>
                                  </w:rPr>
                                </w:pPr>
                                <w:r w:rsidRPr="00AB414C">
                                  <w:rPr>
                                    <w:i/>
                                    <w:sz w:val="18"/>
                                    <w:szCs w:val="18"/>
                                  </w:rPr>
                                  <w:t>Technical Guidance</w:t>
                                </w:r>
                              </w:p>
                            </w:txbxContent>
                          </wps:txbx>
                          <wps:bodyPr rot="0" vert="horz" wrap="square" lIns="91440" tIns="45720" rIns="91440" bIns="45720" anchor="t" anchorCtr="0" upright="1">
                            <a:noAutofit/>
                          </wps:bodyPr>
                        </wps:wsp>
                        <wpg:grpSp>
                          <wpg:cNvPr id="82" name="Group 36"/>
                          <wpg:cNvGrpSpPr>
                            <a:grpSpLocks/>
                          </wpg:cNvGrpSpPr>
                          <wpg:grpSpPr bwMode="auto">
                            <a:xfrm>
                              <a:off x="2890" y="2581"/>
                              <a:ext cx="6858" cy="6260"/>
                              <a:chOff x="2890" y="2581"/>
                              <a:chExt cx="6858" cy="6260"/>
                            </a:xfrm>
                          </wpg:grpSpPr>
                          <wpg:grpSp>
                            <wpg:cNvPr id="83" name="Group 37"/>
                            <wpg:cNvGrpSpPr>
                              <a:grpSpLocks/>
                            </wpg:cNvGrpSpPr>
                            <wpg:grpSpPr bwMode="auto">
                              <a:xfrm>
                                <a:off x="7016" y="2581"/>
                                <a:ext cx="1842" cy="1310"/>
                                <a:chOff x="4836" y="3240"/>
                                <a:chExt cx="1842" cy="1310"/>
                              </a:xfrm>
                            </wpg:grpSpPr>
                            <wps:wsp>
                              <wps:cNvPr id="84" name="AutoShape 38"/>
                              <wps:cNvSpPr>
                                <a:spLocks noChangeArrowheads="1"/>
                              </wps:cNvSpPr>
                              <wps:spPr bwMode="auto">
                                <a:xfrm>
                                  <a:off x="4836" y="3240"/>
                                  <a:ext cx="1842" cy="988"/>
                                </a:xfrm>
                                <a:prstGeom prst="roundRect">
                                  <a:avLst>
                                    <a:gd name="adj" fmla="val 16667"/>
                                  </a:avLst>
                                </a:prstGeom>
                                <a:solidFill>
                                  <a:srgbClr val="558ED5"/>
                                </a:solidFill>
                                <a:ln w="9525">
                                  <a:solidFill>
                                    <a:srgbClr val="1F497D"/>
                                  </a:solidFill>
                                  <a:round/>
                                  <a:headEnd/>
                                  <a:tailEnd/>
                                </a:ln>
                              </wps:spPr>
                              <wps:txbx>
                                <w:txbxContent>
                                  <w:p w14:paraId="08382817" w14:textId="77777777" w:rsidR="00CF59E1" w:rsidRPr="00EC71FE" w:rsidRDefault="00CF59E1" w:rsidP="007211C0">
                                    <w:pPr>
                                      <w:jc w:val="center"/>
                                      <w:rPr>
                                        <w:b/>
                                        <w:color w:val="FFFFFF"/>
                                      </w:rPr>
                                    </w:pPr>
                                    <w:r w:rsidRPr="00EC71FE">
                                      <w:rPr>
                                        <w:b/>
                                        <w:color w:val="FFFFFF"/>
                                      </w:rPr>
                                      <w:t>Social Safeguards</w:t>
                                    </w:r>
                                  </w:p>
                                </w:txbxContent>
                              </wps:txbx>
                              <wps:bodyPr rot="0" vert="horz" wrap="square" lIns="91440" tIns="45720" rIns="91440" bIns="45720" anchor="t" anchorCtr="0" upright="1">
                                <a:noAutofit/>
                              </wps:bodyPr>
                            </wps:wsp>
                            <wps:wsp>
                              <wps:cNvPr id="85" name="AutoShape 39"/>
                              <wps:cNvCnPr>
                                <a:cxnSpLocks noChangeShapeType="1"/>
                              </wps:cNvCnPr>
                              <wps:spPr bwMode="auto">
                                <a:xfrm>
                                  <a:off x="5723" y="4228"/>
                                  <a:ext cx="0" cy="322"/>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wpg:grpSp>
                          <wps:wsp>
                            <wps:cNvPr id="86" name="AutoShape 40"/>
                            <wps:cNvSpPr>
                              <a:spLocks noChangeArrowheads="1"/>
                            </wps:cNvSpPr>
                            <wps:spPr bwMode="auto">
                              <a:xfrm>
                                <a:off x="3431" y="2581"/>
                                <a:ext cx="1842" cy="988"/>
                              </a:xfrm>
                              <a:prstGeom prst="roundRect">
                                <a:avLst>
                                  <a:gd name="adj" fmla="val 16667"/>
                                </a:avLst>
                              </a:prstGeom>
                              <a:solidFill>
                                <a:srgbClr val="558ED5"/>
                              </a:solidFill>
                              <a:ln w="9525">
                                <a:solidFill>
                                  <a:srgbClr val="1F497D"/>
                                </a:solidFill>
                                <a:round/>
                                <a:headEnd/>
                                <a:tailEnd/>
                              </a:ln>
                            </wps:spPr>
                            <wps:txbx>
                              <w:txbxContent>
                                <w:p w14:paraId="155036C4" w14:textId="77777777" w:rsidR="00CF59E1" w:rsidRPr="00EC71FE" w:rsidRDefault="00CF59E1" w:rsidP="007211C0">
                                  <w:pPr>
                                    <w:jc w:val="center"/>
                                    <w:rPr>
                                      <w:b/>
                                      <w:color w:val="FFFFFF"/>
                                    </w:rPr>
                                  </w:pPr>
                                  <w:r w:rsidRPr="00EC71FE">
                                    <w:rPr>
                                      <w:b/>
                                      <w:color w:val="FFFFFF"/>
                                    </w:rPr>
                                    <w:t>Environmental Safeguards</w:t>
                                  </w:r>
                                </w:p>
                              </w:txbxContent>
                            </wps:txbx>
                            <wps:bodyPr rot="0" vert="horz" wrap="square" lIns="91440" tIns="45720" rIns="91440" bIns="45720" anchor="t" anchorCtr="0" upright="1">
                              <a:noAutofit/>
                            </wps:bodyPr>
                          </wps:wsp>
                          <wps:wsp>
                            <wps:cNvPr id="87" name="AutoShape 41"/>
                            <wps:cNvCnPr>
                              <a:cxnSpLocks noChangeShapeType="1"/>
                            </wps:cNvCnPr>
                            <wps:spPr bwMode="auto">
                              <a:xfrm>
                                <a:off x="4374" y="3569"/>
                                <a:ext cx="0" cy="322"/>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wpg:grpSp>
                            <wpg:cNvPr id="88" name="Group 42"/>
                            <wpg:cNvGrpSpPr>
                              <a:grpSpLocks/>
                            </wpg:cNvGrpSpPr>
                            <wpg:grpSpPr bwMode="auto">
                              <a:xfrm>
                                <a:off x="2890" y="3777"/>
                                <a:ext cx="6858" cy="5064"/>
                                <a:chOff x="710" y="4436"/>
                                <a:chExt cx="6858" cy="5064"/>
                              </a:xfrm>
                            </wpg:grpSpPr>
                            <wps:wsp>
                              <wps:cNvPr id="89" name="AutoShape 43"/>
                              <wps:cNvCnPr>
                                <a:cxnSpLocks noChangeShapeType="1"/>
                              </wps:cNvCnPr>
                              <wps:spPr bwMode="auto">
                                <a:xfrm>
                                  <a:off x="1510" y="5048"/>
                                  <a:ext cx="1" cy="4168"/>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wps:wsp>
                              <wps:cNvPr id="90" name="AutoShape 44"/>
                              <wps:cNvCnPr>
                                <a:cxnSpLocks noChangeShapeType="1"/>
                              </wps:cNvCnPr>
                              <wps:spPr bwMode="auto">
                                <a:xfrm>
                                  <a:off x="1510" y="9216"/>
                                  <a:ext cx="184"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wps:wsp>
                              <wps:cNvPr id="91" name="AutoShape 45"/>
                              <wps:cNvSpPr>
                                <a:spLocks noChangeArrowheads="1"/>
                              </wps:cNvSpPr>
                              <wps:spPr bwMode="auto">
                                <a:xfrm>
                                  <a:off x="1694" y="8898"/>
                                  <a:ext cx="2227" cy="602"/>
                                </a:xfrm>
                                <a:prstGeom prst="roundRect">
                                  <a:avLst>
                                    <a:gd name="adj" fmla="val 16667"/>
                                  </a:avLst>
                                </a:prstGeom>
                                <a:solidFill>
                                  <a:srgbClr val="B9CDE5"/>
                                </a:solidFill>
                                <a:ln w="9525">
                                  <a:solidFill>
                                    <a:srgbClr val="1F497D"/>
                                  </a:solidFill>
                                  <a:round/>
                                  <a:headEnd/>
                                  <a:tailEnd/>
                                </a:ln>
                              </wps:spPr>
                              <wps:txbx>
                                <w:txbxContent>
                                  <w:p w14:paraId="75E295A8" w14:textId="77777777" w:rsidR="00CF59E1" w:rsidRPr="0032151D" w:rsidRDefault="00CF59E1" w:rsidP="007211C0">
                                    <w:pPr>
                                      <w:rPr>
                                        <w:sz w:val="18"/>
                                        <w:szCs w:val="18"/>
                                      </w:rPr>
                                    </w:pPr>
                                    <w:r>
                                      <w:rPr>
                                        <w:sz w:val="18"/>
                                        <w:szCs w:val="18"/>
                                      </w:rPr>
                                      <w:t>Safety of Dams</w:t>
                                    </w:r>
                                    <w:r w:rsidRPr="0032151D">
                                      <w:rPr>
                                        <w:sz w:val="18"/>
                                        <w:szCs w:val="18"/>
                                      </w:rPr>
                                      <w:t xml:space="preserve"> </w:t>
                                    </w:r>
                                    <w:r>
                                      <w:rPr>
                                        <w:sz w:val="18"/>
                                        <w:szCs w:val="18"/>
                                      </w:rPr>
                                      <w:t>(</w:t>
                                    </w:r>
                                    <w:r w:rsidRPr="0032151D">
                                      <w:rPr>
                                        <w:sz w:val="18"/>
                                        <w:szCs w:val="18"/>
                                      </w:rPr>
                                      <w:t>OP</w:t>
                                    </w:r>
                                    <w:r>
                                      <w:rPr>
                                        <w:sz w:val="18"/>
                                        <w:szCs w:val="18"/>
                                      </w:rPr>
                                      <w:t>/BP</w:t>
                                    </w:r>
                                    <w:r w:rsidRPr="0032151D">
                                      <w:rPr>
                                        <w:sz w:val="18"/>
                                        <w:szCs w:val="18"/>
                                      </w:rPr>
                                      <w:t xml:space="preserve"> </w:t>
                                    </w:r>
                                    <w:r>
                                      <w:rPr>
                                        <w:sz w:val="18"/>
                                        <w:szCs w:val="18"/>
                                      </w:rPr>
                                      <w:t>4.37)</w:t>
                                    </w:r>
                                  </w:p>
                                </w:txbxContent>
                              </wps:txbx>
                              <wps:bodyPr rot="0" vert="horz" wrap="square" lIns="91440" tIns="45720" rIns="91440" bIns="45720" anchor="t" anchorCtr="0" upright="1">
                                <a:noAutofit/>
                              </wps:bodyPr>
                            </wps:wsp>
                            <wps:wsp>
                              <wps:cNvPr id="92" name="AutoShape 46"/>
                              <wps:cNvCnPr>
                                <a:cxnSpLocks noChangeShapeType="1"/>
                              </wps:cNvCnPr>
                              <wps:spPr bwMode="auto">
                                <a:xfrm>
                                  <a:off x="1510" y="5048"/>
                                  <a:ext cx="184"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wps:wsp>
                              <wps:cNvPr id="93" name="AutoShape 47"/>
                              <wps:cNvSpPr>
                                <a:spLocks noChangeArrowheads="1"/>
                              </wps:cNvSpPr>
                              <wps:spPr bwMode="auto">
                                <a:xfrm>
                                  <a:off x="710" y="4436"/>
                                  <a:ext cx="6858" cy="763"/>
                                </a:xfrm>
                                <a:prstGeom prst="roundRect">
                                  <a:avLst>
                                    <a:gd name="adj" fmla="val 16667"/>
                                  </a:avLst>
                                </a:prstGeom>
                                <a:solidFill>
                                  <a:srgbClr val="B9CDE5"/>
                                </a:solidFill>
                                <a:ln w="9525">
                                  <a:solidFill>
                                    <a:srgbClr val="1F497D"/>
                                  </a:solidFill>
                                  <a:round/>
                                  <a:headEnd/>
                                  <a:tailEnd/>
                                </a:ln>
                              </wps:spPr>
                              <wps:txbx>
                                <w:txbxContent>
                                  <w:p w14:paraId="226DBDDC" w14:textId="77777777" w:rsidR="00CF59E1" w:rsidRPr="00E266F9" w:rsidRDefault="00CF59E1" w:rsidP="007211C0">
                                    <w:pPr>
                                      <w:jc w:val="center"/>
                                      <w:rPr>
                                        <w:sz w:val="20"/>
                                        <w:szCs w:val="20"/>
                                      </w:rPr>
                                    </w:pPr>
                                    <w:r w:rsidRPr="00E266F9">
                                      <w:rPr>
                                        <w:sz w:val="20"/>
                                        <w:szCs w:val="20"/>
                                      </w:rPr>
                                      <w:t>Environmental</w:t>
                                    </w:r>
                                  </w:p>
                                  <w:p w14:paraId="67196268" w14:textId="77777777" w:rsidR="00CF59E1" w:rsidRPr="00E266F9" w:rsidRDefault="00CF59E1" w:rsidP="007211C0">
                                    <w:pPr>
                                      <w:jc w:val="center"/>
                                      <w:rPr>
                                        <w:sz w:val="20"/>
                                        <w:szCs w:val="20"/>
                                      </w:rPr>
                                    </w:pPr>
                                    <w:r w:rsidRPr="00E266F9">
                                      <w:rPr>
                                        <w:sz w:val="20"/>
                                        <w:szCs w:val="20"/>
                                      </w:rPr>
                                      <w:t>Assessment (OP/BP 4.01)</w:t>
                                    </w:r>
                                  </w:p>
                                </w:txbxContent>
                              </wps:txbx>
                              <wps:bodyPr rot="0" vert="horz" wrap="square" lIns="91440" tIns="45720" rIns="91440" bIns="45720" anchor="t" anchorCtr="0" upright="1">
                                <a:noAutofit/>
                              </wps:bodyPr>
                            </wps:wsp>
                            <wps:wsp>
                              <wps:cNvPr id="94" name="AutoShape 48"/>
                              <wps:cNvCnPr>
                                <a:cxnSpLocks noChangeShapeType="1"/>
                              </wps:cNvCnPr>
                              <wps:spPr bwMode="auto">
                                <a:xfrm>
                                  <a:off x="1510" y="5974"/>
                                  <a:ext cx="184"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wps:wsp>
                              <wps:cNvPr id="95" name="AutoShape 49"/>
                              <wps:cNvSpPr>
                                <a:spLocks noChangeArrowheads="1"/>
                              </wps:cNvSpPr>
                              <wps:spPr bwMode="auto">
                                <a:xfrm>
                                  <a:off x="1694" y="5656"/>
                                  <a:ext cx="2227" cy="602"/>
                                </a:xfrm>
                                <a:prstGeom prst="roundRect">
                                  <a:avLst>
                                    <a:gd name="adj" fmla="val 16667"/>
                                  </a:avLst>
                                </a:prstGeom>
                                <a:solidFill>
                                  <a:srgbClr val="B9CDE5"/>
                                </a:solidFill>
                                <a:ln w="9525">
                                  <a:solidFill>
                                    <a:srgbClr val="1F497D"/>
                                  </a:solidFill>
                                  <a:round/>
                                  <a:headEnd/>
                                  <a:tailEnd/>
                                </a:ln>
                              </wps:spPr>
                              <wps:txbx>
                                <w:txbxContent>
                                  <w:p w14:paraId="7F907883" w14:textId="77777777" w:rsidR="00CF59E1" w:rsidRPr="0032151D" w:rsidRDefault="00CF59E1" w:rsidP="007211C0">
                                    <w:pPr>
                                      <w:rPr>
                                        <w:sz w:val="18"/>
                                        <w:szCs w:val="18"/>
                                      </w:rPr>
                                    </w:pPr>
                                    <w:r>
                                      <w:rPr>
                                        <w:sz w:val="18"/>
                                        <w:szCs w:val="18"/>
                                      </w:rPr>
                                      <w:t>Natural Habitats</w:t>
                                    </w:r>
                                    <w:r w:rsidRPr="0032151D">
                                      <w:rPr>
                                        <w:sz w:val="18"/>
                                        <w:szCs w:val="18"/>
                                      </w:rPr>
                                      <w:t xml:space="preserve"> </w:t>
                                    </w:r>
                                    <w:r>
                                      <w:rPr>
                                        <w:sz w:val="18"/>
                                        <w:szCs w:val="18"/>
                                      </w:rPr>
                                      <w:t>(</w:t>
                                    </w:r>
                                    <w:r w:rsidRPr="0032151D">
                                      <w:rPr>
                                        <w:sz w:val="18"/>
                                        <w:szCs w:val="18"/>
                                      </w:rPr>
                                      <w:t>OP</w:t>
                                    </w:r>
                                    <w:r>
                                      <w:rPr>
                                        <w:sz w:val="18"/>
                                        <w:szCs w:val="18"/>
                                      </w:rPr>
                                      <w:t>/BP</w:t>
                                    </w:r>
                                    <w:r w:rsidRPr="0032151D">
                                      <w:rPr>
                                        <w:sz w:val="18"/>
                                        <w:szCs w:val="18"/>
                                      </w:rPr>
                                      <w:t xml:space="preserve"> 4.0</w:t>
                                    </w:r>
                                    <w:r>
                                      <w:rPr>
                                        <w:sz w:val="18"/>
                                        <w:szCs w:val="18"/>
                                      </w:rPr>
                                      <w:t>4)</w:t>
                                    </w:r>
                                  </w:p>
                                </w:txbxContent>
                              </wps:txbx>
                              <wps:bodyPr rot="0" vert="horz" wrap="square" lIns="91440" tIns="45720" rIns="91440" bIns="45720" anchor="t" anchorCtr="0" upright="1">
                                <a:noAutofit/>
                              </wps:bodyPr>
                            </wps:wsp>
                            <wps:wsp>
                              <wps:cNvPr id="96" name="AutoShape 50"/>
                              <wps:cNvCnPr>
                                <a:cxnSpLocks noChangeShapeType="1"/>
                              </wps:cNvCnPr>
                              <wps:spPr bwMode="auto">
                                <a:xfrm>
                                  <a:off x="1510" y="6749"/>
                                  <a:ext cx="184"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wps:wsp>
                              <wps:cNvPr id="97" name="AutoShape 51"/>
                              <wps:cNvSpPr>
                                <a:spLocks noChangeArrowheads="1"/>
                              </wps:cNvSpPr>
                              <wps:spPr bwMode="auto">
                                <a:xfrm>
                                  <a:off x="1694" y="6498"/>
                                  <a:ext cx="2227" cy="475"/>
                                </a:xfrm>
                                <a:prstGeom prst="roundRect">
                                  <a:avLst>
                                    <a:gd name="adj" fmla="val 16667"/>
                                  </a:avLst>
                                </a:prstGeom>
                                <a:solidFill>
                                  <a:srgbClr val="B9CDE5"/>
                                </a:solidFill>
                                <a:ln w="9525">
                                  <a:solidFill>
                                    <a:srgbClr val="1F497D"/>
                                  </a:solidFill>
                                  <a:round/>
                                  <a:headEnd/>
                                  <a:tailEnd/>
                                </a:ln>
                              </wps:spPr>
                              <wps:txbx>
                                <w:txbxContent>
                                  <w:p w14:paraId="2434920D" w14:textId="77777777" w:rsidR="00CF59E1" w:rsidRPr="0032151D" w:rsidRDefault="00CF59E1" w:rsidP="007211C0">
                                    <w:pPr>
                                      <w:rPr>
                                        <w:sz w:val="18"/>
                                        <w:szCs w:val="18"/>
                                      </w:rPr>
                                    </w:pPr>
                                    <w:r>
                                      <w:rPr>
                                        <w:sz w:val="18"/>
                                        <w:szCs w:val="18"/>
                                      </w:rPr>
                                      <w:t>Forests</w:t>
                                    </w:r>
                                    <w:r w:rsidRPr="0032151D">
                                      <w:rPr>
                                        <w:sz w:val="18"/>
                                        <w:szCs w:val="18"/>
                                      </w:rPr>
                                      <w:t xml:space="preserve"> </w:t>
                                    </w:r>
                                    <w:r>
                                      <w:rPr>
                                        <w:sz w:val="18"/>
                                        <w:szCs w:val="18"/>
                                      </w:rPr>
                                      <w:t>(</w:t>
                                    </w:r>
                                    <w:r w:rsidRPr="0032151D">
                                      <w:rPr>
                                        <w:sz w:val="18"/>
                                        <w:szCs w:val="18"/>
                                      </w:rPr>
                                      <w:t>OP</w:t>
                                    </w:r>
                                    <w:r>
                                      <w:rPr>
                                        <w:sz w:val="18"/>
                                        <w:szCs w:val="18"/>
                                      </w:rPr>
                                      <w:t>/BP</w:t>
                                    </w:r>
                                    <w:r w:rsidRPr="0032151D">
                                      <w:rPr>
                                        <w:sz w:val="18"/>
                                        <w:szCs w:val="18"/>
                                      </w:rPr>
                                      <w:t xml:space="preserve"> 4.</w:t>
                                    </w:r>
                                    <w:r>
                                      <w:rPr>
                                        <w:sz w:val="18"/>
                                        <w:szCs w:val="18"/>
                                      </w:rPr>
                                      <w:t>36)</w:t>
                                    </w:r>
                                  </w:p>
                                </w:txbxContent>
                              </wps:txbx>
                              <wps:bodyPr rot="0" vert="horz" wrap="square" lIns="91440" tIns="45720" rIns="91440" bIns="45720" anchor="t" anchorCtr="0" upright="1">
                                <a:noAutofit/>
                              </wps:bodyPr>
                            </wps:wsp>
                            <wps:wsp>
                              <wps:cNvPr id="98" name="AutoShape 52"/>
                              <wps:cNvCnPr>
                                <a:cxnSpLocks noChangeShapeType="1"/>
                              </wps:cNvCnPr>
                              <wps:spPr bwMode="auto">
                                <a:xfrm>
                                  <a:off x="1510" y="7532"/>
                                  <a:ext cx="184"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wps:wsp>
                              <wps:cNvPr id="99" name="AutoShape 53"/>
                              <wps:cNvSpPr>
                                <a:spLocks noChangeArrowheads="1"/>
                              </wps:cNvSpPr>
                              <wps:spPr bwMode="auto">
                                <a:xfrm>
                                  <a:off x="1694" y="7214"/>
                                  <a:ext cx="2227" cy="602"/>
                                </a:xfrm>
                                <a:prstGeom prst="roundRect">
                                  <a:avLst>
                                    <a:gd name="adj" fmla="val 16667"/>
                                  </a:avLst>
                                </a:prstGeom>
                                <a:solidFill>
                                  <a:srgbClr val="B9CDE5"/>
                                </a:solidFill>
                                <a:ln w="9525">
                                  <a:solidFill>
                                    <a:srgbClr val="1F497D"/>
                                  </a:solidFill>
                                  <a:round/>
                                  <a:headEnd/>
                                  <a:tailEnd/>
                                </a:ln>
                              </wps:spPr>
                              <wps:txbx>
                                <w:txbxContent>
                                  <w:p w14:paraId="494BECFB" w14:textId="77777777" w:rsidR="00CF59E1" w:rsidRPr="0032151D" w:rsidRDefault="00CF59E1" w:rsidP="007211C0">
                                    <w:pPr>
                                      <w:rPr>
                                        <w:sz w:val="18"/>
                                        <w:szCs w:val="18"/>
                                      </w:rPr>
                                    </w:pPr>
                                    <w:r>
                                      <w:rPr>
                                        <w:sz w:val="18"/>
                                        <w:szCs w:val="18"/>
                                      </w:rPr>
                                      <w:t>Pest Management</w:t>
                                    </w:r>
                                    <w:r w:rsidRPr="0032151D">
                                      <w:rPr>
                                        <w:sz w:val="18"/>
                                        <w:szCs w:val="18"/>
                                      </w:rPr>
                                      <w:t xml:space="preserve"> </w:t>
                                    </w:r>
                                    <w:r>
                                      <w:rPr>
                                        <w:sz w:val="18"/>
                                        <w:szCs w:val="18"/>
                                      </w:rPr>
                                      <w:t>(</w:t>
                                    </w:r>
                                    <w:r w:rsidRPr="0032151D">
                                      <w:rPr>
                                        <w:sz w:val="18"/>
                                        <w:szCs w:val="18"/>
                                      </w:rPr>
                                      <w:t>OP 4.0</w:t>
                                    </w:r>
                                    <w:r>
                                      <w:rPr>
                                        <w:sz w:val="18"/>
                                        <w:szCs w:val="18"/>
                                      </w:rPr>
                                      <w:t>9)</w:t>
                                    </w:r>
                                  </w:p>
                                </w:txbxContent>
                              </wps:txbx>
                              <wps:bodyPr rot="0" vert="horz" wrap="square" lIns="91440" tIns="45720" rIns="91440" bIns="45720" anchor="t" anchorCtr="0" upright="1">
                                <a:noAutofit/>
                              </wps:bodyPr>
                            </wps:wsp>
                            <wps:wsp>
                              <wps:cNvPr id="100" name="AutoShape 54"/>
                              <wps:cNvCnPr>
                                <a:cxnSpLocks noChangeShapeType="1"/>
                              </wps:cNvCnPr>
                              <wps:spPr bwMode="auto">
                                <a:xfrm>
                                  <a:off x="1510" y="8374"/>
                                  <a:ext cx="184"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wps:wsp>
                              <wps:cNvPr id="101" name="AutoShape 55"/>
                              <wps:cNvSpPr>
                                <a:spLocks noChangeArrowheads="1"/>
                              </wps:cNvSpPr>
                              <wps:spPr bwMode="auto">
                                <a:xfrm>
                                  <a:off x="1694" y="8056"/>
                                  <a:ext cx="2227" cy="602"/>
                                </a:xfrm>
                                <a:prstGeom prst="roundRect">
                                  <a:avLst>
                                    <a:gd name="adj" fmla="val 16667"/>
                                  </a:avLst>
                                </a:prstGeom>
                                <a:solidFill>
                                  <a:srgbClr val="B9CDE5"/>
                                </a:solidFill>
                                <a:ln w="9525">
                                  <a:solidFill>
                                    <a:srgbClr val="1F497D"/>
                                  </a:solidFill>
                                  <a:round/>
                                  <a:headEnd/>
                                  <a:tailEnd/>
                                </a:ln>
                              </wps:spPr>
                              <wps:txbx>
                                <w:txbxContent>
                                  <w:p w14:paraId="28219C23" w14:textId="77777777" w:rsidR="00CF59E1" w:rsidRPr="0032151D" w:rsidRDefault="00CF59E1" w:rsidP="007211C0">
                                    <w:pPr>
                                      <w:rPr>
                                        <w:sz w:val="18"/>
                                        <w:szCs w:val="18"/>
                                      </w:rPr>
                                    </w:pPr>
                                    <w:r>
                                      <w:rPr>
                                        <w:sz w:val="18"/>
                                        <w:szCs w:val="18"/>
                                      </w:rPr>
                                      <w:t>Physical Cultural Resources</w:t>
                                    </w:r>
                                    <w:r w:rsidRPr="0032151D">
                                      <w:rPr>
                                        <w:sz w:val="18"/>
                                        <w:szCs w:val="18"/>
                                      </w:rPr>
                                      <w:t xml:space="preserve"> </w:t>
                                    </w:r>
                                    <w:r>
                                      <w:rPr>
                                        <w:sz w:val="18"/>
                                        <w:szCs w:val="18"/>
                                      </w:rPr>
                                      <w:t>(</w:t>
                                    </w:r>
                                    <w:r w:rsidRPr="0032151D">
                                      <w:rPr>
                                        <w:sz w:val="18"/>
                                        <w:szCs w:val="18"/>
                                      </w:rPr>
                                      <w:t>OP</w:t>
                                    </w:r>
                                    <w:r>
                                      <w:rPr>
                                        <w:sz w:val="18"/>
                                        <w:szCs w:val="18"/>
                                      </w:rPr>
                                      <w:t>/BP</w:t>
                                    </w:r>
                                    <w:r w:rsidRPr="0032151D">
                                      <w:rPr>
                                        <w:sz w:val="18"/>
                                        <w:szCs w:val="18"/>
                                      </w:rPr>
                                      <w:t xml:space="preserve"> </w:t>
                                    </w:r>
                                    <w:r>
                                      <w:rPr>
                                        <w:sz w:val="18"/>
                                        <w:szCs w:val="18"/>
                                      </w:rPr>
                                      <w:t>4.11)</w:t>
                                    </w:r>
                                  </w:p>
                                </w:txbxContent>
                              </wps:txbx>
                              <wps:bodyPr rot="0" vert="horz" wrap="square" lIns="91440" tIns="45720" rIns="91440" bIns="45720" anchor="t" anchorCtr="0" upright="1">
                                <a:noAutofit/>
                              </wps:bodyPr>
                            </wps:wsp>
                          </wpg:grpSp>
                        </wpg:grpSp>
                      </wpg:grpSp>
                      <wpg:grpSp>
                        <wpg:cNvPr id="102" name="Group 56"/>
                        <wpg:cNvGrpSpPr>
                          <a:grpSpLocks/>
                        </wpg:cNvGrpSpPr>
                        <wpg:grpSpPr bwMode="auto">
                          <a:xfrm>
                            <a:off x="10147" y="2581"/>
                            <a:ext cx="2969" cy="3974"/>
                            <a:chOff x="10147" y="2581"/>
                            <a:chExt cx="2969" cy="3974"/>
                          </a:xfrm>
                        </wpg:grpSpPr>
                        <wps:wsp>
                          <wps:cNvPr id="103" name="AutoShape 57"/>
                          <wps:cNvSpPr>
                            <a:spLocks noChangeArrowheads="1"/>
                          </wps:cNvSpPr>
                          <wps:spPr bwMode="auto">
                            <a:xfrm>
                              <a:off x="10147" y="2581"/>
                              <a:ext cx="1842" cy="988"/>
                            </a:xfrm>
                            <a:prstGeom prst="roundRect">
                              <a:avLst>
                                <a:gd name="adj" fmla="val 16667"/>
                              </a:avLst>
                            </a:prstGeom>
                            <a:solidFill>
                              <a:srgbClr val="558ED5"/>
                            </a:solidFill>
                            <a:ln w="9525">
                              <a:solidFill>
                                <a:srgbClr val="1F497D"/>
                              </a:solidFill>
                              <a:round/>
                              <a:headEnd/>
                              <a:tailEnd/>
                            </a:ln>
                          </wps:spPr>
                          <wps:txbx>
                            <w:txbxContent>
                              <w:p w14:paraId="554A8A7A" w14:textId="77777777" w:rsidR="00CF59E1" w:rsidRPr="00EC71FE" w:rsidRDefault="00CF59E1" w:rsidP="007211C0">
                                <w:pPr>
                                  <w:jc w:val="center"/>
                                  <w:rPr>
                                    <w:b/>
                                    <w:color w:val="FFFFFF"/>
                                  </w:rPr>
                                </w:pPr>
                                <w:r w:rsidRPr="00EC71FE">
                                  <w:rPr>
                                    <w:b/>
                                    <w:color w:val="FFFFFF"/>
                                  </w:rPr>
                                  <w:t>Legal Safeguards</w:t>
                                </w:r>
                              </w:p>
                            </w:txbxContent>
                          </wps:txbx>
                          <wps:bodyPr rot="0" vert="horz" wrap="square" lIns="91440" tIns="45720" rIns="91440" bIns="45720" anchor="t" anchorCtr="0" upright="1">
                            <a:noAutofit/>
                          </wps:bodyPr>
                        </wps:wsp>
                        <wpg:grpSp>
                          <wpg:cNvPr id="104" name="Group 58"/>
                          <wpg:cNvGrpSpPr>
                            <a:grpSpLocks/>
                          </wpg:cNvGrpSpPr>
                          <wpg:grpSpPr bwMode="auto">
                            <a:xfrm>
                              <a:off x="10510" y="3569"/>
                              <a:ext cx="2606" cy="2986"/>
                              <a:chOff x="10510" y="3569"/>
                              <a:chExt cx="2606" cy="2986"/>
                            </a:xfrm>
                          </wpg:grpSpPr>
                          <wps:wsp>
                            <wps:cNvPr id="105" name="AutoShape 59"/>
                            <wps:cNvCnPr>
                              <a:cxnSpLocks noChangeShapeType="1"/>
                            </wps:cNvCnPr>
                            <wps:spPr bwMode="auto">
                              <a:xfrm>
                                <a:off x="10527" y="3569"/>
                                <a:ext cx="0" cy="2702"/>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wpg:grpSp>
                            <wpg:cNvPr id="106" name="Group 60"/>
                            <wpg:cNvGrpSpPr>
                              <a:grpSpLocks/>
                            </wpg:cNvGrpSpPr>
                            <wpg:grpSpPr bwMode="auto">
                              <a:xfrm>
                                <a:off x="10526" y="4983"/>
                                <a:ext cx="2590" cy="646"/>
                                <a:chOff x="1725" y="4471"/>
                                <a:chExt cx="2411" cy="602"/>
                              </a:xfrm>
                            </wpg:grpSpPr>
                            <wps:wsp>
                              <wps:cNvPr id="107" name="AutoShape 61"/>
                              <wps:cNvCnPr>
                                <a:cxnSpLocks noChangeShapeType="1"/>
                              </wps:cNvCnPr>
                              <wps:spPr bwMode="auto">
                                <a:xfrm>
                                  <a:off x="1725" y="4789"/>
                                  <a:ext cx="184"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wps:wsp>
                              <wps:cNvPr id="108" name="AutoShape 62"/>
                              <wps:cNvSpPr>
                                <a:spLocks noChangeArrowheads="1"/>
                              </wps:cNvSpPr>
                              <wps:spPr bwMode="auto">
                                <a:xfrm>
                                  <a:off x="1909" y="4471"/>
                                  <a:ext cx="2227" cy="602"/>
                                </a:xfrm>
                                <a:prstGeom prst="roundRect">
                                  <a:avLst>
                                    <a:gd name="adj" fmla="val 16667"/>
                                  </a:avLst>
                                </a:prstGeom>
                                <a:solidFill>
                                  <a:srgbClr val="C6D9F1"/>
                                </a:solidFill>
                                <a:ln w="9525">
                                  <a:solidFill>
                                    <a:srgbClr val="1F497D"/>
                                  </a:solidFill>
                                  <a:round/>
                                  <a:headEnd/>
                                  <a:tailEnd/>
                                </a:ln>
                              </wps:spPr>
                              <wps:txbx>
                                <w:txbxContent>
                                  <w:p w14:paraId="0A5694C7" w14:textId="77777777" w:rsidR="00CF59E1" w:rsidRPr="0032151D" w:rsidRDefault="00CF59E1" w:rsidP="007211C0">
                                    <w:pPr>
                                      <w:rPr>
                                        <w:sz w:val="18"/>
                                        <w:szCs w:val="18"/>
                                      </w:rPr>
                                    </w:pPr>
                                    <w:r>
                                      <w:rPr>
                                        <w:sz w:val="18"/>
                                        <w:szCs w:val="18"/>
                                      </w:rPr>
                                      <w:t xml:space="preserve">Projects on International Waterways </w:t>
                                    </w:r>
                                    <w:r w:rsidRPr="0032151D">
                                      <w:rPr>
                                        <w:sz w:val="18"/>
                                        <w:szCs w:val="18"/>
                                      </w:rPr>
                                      <w:t>(OP</w:t>
                                    </w:r>
                                    <w:r>
                                      <w:rPr>
                                        <w:sz w:val="18"/>
                                        <w:szCs w:val="18"/>
                                      </w:rPr>
                                      <w:t>/BP</w:t>
                                    </w:r>
                                    <w:r w:rsidRPr="0032151D">
                                      <w:rPr>
                                        <w:sz w:val="18"/>
                                        <w:szCs w:val="18"/>
                                      </w:rPr>
                                      <w:t xml:space="preserve"> </w:t>
                                    </w:r>
                                    <w:r>
                                      <w:rPr>
                                        <w:sz w:val="18"/>
                                        <w:szCs w:val="18"/>
                                      </w:rPr>
                                      <w:t>7.50)</w:t>
                                    </w:r>
                                  </w:p>
                                </w:txbxContent>
                              </wps:txbx>
                              <wps:bodyPr rot="0" vert="horz" wrap="square" lIns="91440" tIns="45720" rIns="91440" bIns="45720" anchor="t" anchorCtr="0" upright="1">
                                <a:noAutofit/>
                              </wps:bodyPr>
                            </wps:wsp>
                          </wpg:grpSp>
                          <wpg:grpSp>
                            <wpg:cNvPr id="109" name="Group 63"/>
                            <wpg:cNvGrpSpPr>
                              <a:grpSpLocks/>
                            </wpg:cNvGrpSpPr>
                            <wpg:grpSpPr bwMode="auto">
                              <a:xfrm>
                                <a:off x="10510" y="5909"/>
                                <a:ext cx="2606" cy="646"/>
                                <a:chOff x="8867" y="6582"/>
                                <a:chExt cx="2606" cy="693"/>
                              </a:xfrm>
                            </wpg:grpSpPr>
                            <wps:wsp>
                              <wps:cNvPr id="110" name="AutoShape 64"/>
                              <wps:cNvCnPr>
                                <a:cxnSpLocks noChangeShapeType="1"/>
                              </wps:cNvCnPr>
                              <wps:spPr bwMode="auto">
                                <a:xfrm>
                                  <a:off x="8867" y="6960"/>
                                  <a:ext cx="20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wps:wsp>
                              <wps:cNvPr id="111" name="AutoShape 65"/>
                              <wps:cNvSpPr>
                                <a:spLocks noChangeArrowheads="1"/>
                              </wps:cNvSpPr>
                              <wps:spPr bwMode="auto">
                                <a:xfrm>
                                  <a:off x="9067" y="6582"/>
                                  <a:ext cx="2406" cy="693"/>
                                </a:xfrm>
                                <a:prstGeom prst="roundRect">
                                  <a:avLst>
                                    <a:gd name="adj" fmla="val 16667"/>
                                  </a:avLst>
                                </a:prstGeom>
                                <a:solidFill>
                                  <a:srgbClr val="C6D9F1"/>
                                </a:solidFill>
                                <a:ln w="9525">
                                  <a:solidFill>
                                    <a:srgbClr val="1F497D"/>
                                  </a:solidFill>
                                  <a:round/>
                                  <a:headEnd/>
                                  <a:tailEnd/>
                                </a:ln>
                              </wps:spPr>
                              <wps:txbx>
                                <w:txbxContent>
                                  <w:p w14:paraId="3F45547B" w14:textId="77777777" w:rsidR="00CF59E1" w:rsidRPr="0032151D" w:rsidRDefault="00CF59E1" w:rsidP="007211C0">
                                    <w:pPr>
                                      <w:rPr>
                                        <w:sz w:val="18"/>
                                        <w:szCs w:val="18"/>
                                      </w:rPr>
                                    </w:pPr>
                                    <w:r>
                                      <w:rPr>
                                        <w:sz w:val="18"/>
                                        <w:szCs w:val="18"/>
                                      </w:rPr>
                                      <w:t>Projects in Disputed Areas (OP/BP 7.60)</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57D3AA7F" id="Group 30" o:spid="_x0000_s1030" style="position:absolute;left:0;text-align:left;margin-left:71.8pt;margin-top:25.15pt;width:538.15pt;height:344.5pt;z-index:251662848" coordorigin="2890,2581" coordsize="10763,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">
                <v:group id="Group 31" o:spid="_x0000_s1031" style="position:absolute;left:2890;top:2581;width:10763;height:6890" coordorigin="2890,2581" coordsize="10763,6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32" o:spid="_x0000_s1032" style="position:absolute;left:10889;top:8223;width:2227;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cAA&#10;AADbAAAADwAAAGRycy9kb3ducmV2LnhtbERPTYvCMBC9C/sfwgjeNFXB7XYbZVEEr1rZehya2ba0&#10;mZQm2vrvzUHY4+N9p7vRtOJBvastK1guIhDEhdU1lwqu2XEeg3AeWWNrmRQ8ycFu+zFJMdF24DM9&#10;Lr4UIYRdggoq77tESldUZNAtbEccuD/bG/QB9qXUPQ4h3LRyFUUbabDm0FBhR/uKiuZyNwqGLDfr&#10;r9utyeLf4z4/tM97fK6Vmk3Hn28Qnkb/L367T1rBZxgbvoQfIL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xcAAAADbAAAADwAAAAAAAAAAAAAAAACYAgAAZHJzL2Rvd25y&#10;ZXYueG1sUEsFBgAAAAAEAAQA9QAAAIUDAAAAAA==&#10;" stroked="f" strokecolor="#1f497d">
                    <v:textbox>
                      <w:txbxContent>
                        <w:p w14:paraId="39D5BD56" w14:textId="77777777" w:rsidR="00CF59E1" w:rsidRPr="003D3501" w:rsidRDefault="00CF59E1" w:rsidP="007211C0">
                          <w:pPr>
                            <w:rPr>
                              <w:i/>
                              <w:sz w:val="18"/>
                              <w:szCs w:val="18"/>
                            </w:rPr>
                          </w:pPr>
                          <w:r w:rsidRPr="003D3501">
                            <w:rPr>
                              <w:i/>
                              <w:sz w:val="18"/>
                              <w:szCs w:val="18"/>
                            </w:rPr>
                            <w:t>OP – Operational Policy</w:t>
                          </w:r>
                        </w:p>
                        <w:p w14:paraId="57CD4C4E" w14:textId="77777777" w:rsidR="00CF59E1" w:rsidRPr="003D3501" w:rsidRDefault="00CF59E1" w:rsidP="007211C0">
                          <w:pPr>
                            <w:rPr>
                              <w:i/>
                              <w:sz w:val="18"/>
                              <w:szCs w:val="18"/>
                            </w:rPr>
                          </w:pPr>
                          <w:r w:rsidRPr="003D3501">
                            <w:rPr>
                              <w:i/>
                              <w:sz w:val="18"/>
                              <w:szCs w:val="18"/>
                            </w:rPr>
                            <w:t>BP – Bank Procedures</w:t>
                          </w:r>
                        </w:p>
                      </w:txbxContent>
                    </v:textbox>
                  </v:rect>
                  <v:roundrect id="AutoShape 33" o:spid="_x0000_s1033" style="position:absolute;left:7217;top:7271;width:3467;height:10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sUA&#10;AADbAAAADwAAAGRycy9kb3ducmV2LnhtbESPQWvCQBSE74L/YXmCt7pRtLapqxQhVlGwtYVeH9ln&#10;Epp9G7JrjP76riB4HGbmG2a2aE0pGqpdYVnBcBCBIE6tLjhT8POdPL2AcB5ZY2mZFFzIwWLe7cww&#10;1vbMX9QcfCYChF2MCnLvq1hKl+Zk0A1sRRy8o60N+iDrTOoazwFuSjmKomdpsOCwkGNFy5zSv8PJ&#10;KNC7SjbR73h3WSXrvf/cTpKP60apfq99fwPhqfWP8L291gqmr3D7En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436xQAAANsAAAAPAAAAAAAAAAAAAAAAAJgCAABkcnMv&#10;ZG93bnJldi54bWxQSwUGAAAAAAQABAD1AAAAigMAAAAA&#10;" fillcolor="#e1ebf7" strokecolor="#1f497d">
                    <v:textbox>
                      <w:txbxContent>
                        <w:p w14:paraId="4E83E9F9" w14:textId="77777777" w:rsidR="00CF59E1" w:rsidRPr="00923D6F" w:rsidRDefault="00CF59E1" w:rsidP="00CF59E1">
                          <w:pPr>
                            <w:spacing w:line="200" w:lineRule="exact"/>
                            <w:rPr>
                              <w:sz w:val="18"/>
                              <w:szCs w:val="18"/>
                            </w:rPr>
                          </w:pPr>
                          <w:r w:rsidRPr="00923D6F">
                            <w:rPr>
                              <w:i/>
                              <w:sz w:val="18"/>
                              <w:szCs w:val="18"/>
                            </w:rPr>
                            <w:t xml:space="preserve">Piloting </w:t>
                          </w:r>
                          <w:r w:rsidRPr="00923D6F">
                            <w:rPr>
                              <w:b/>
                              <w:i/>
                              <w:sz w:val="18"/>
                              <w:szCs w:val="18"/>
                            </w:rPr>
                            <w:t xml:space="preserve">Use of </w:t>
                          </w:r>
                          <w:r>
                            <w:rPr>
                              <w:b/>
                              <w:i/>
                              <w:sz w:val="18"/>
                              <w:szCs w:val="18"/>
                            </w:rPr>
                            <w:t>Borrower</w:t>
                          </w:r>
                          <w:r w:rsidRPr="00923D6F">
                            <w:rPr>
                              <w:b/>
                              <w:i/>
                              <w:sz w:val="18"/>
                              <w:szCs w:val="18"/>
                            </w:rPr>
                            <w:t xml:space="preserve"> Systems</w:t>
                          </w:r>
                          <w:r w:rsidRPr="00923D6F">
                            <w:rPr>
                              <w:i/>
                              <w:sz w:val="18"/>
                              <w:szCs w:val="18"/>
                            </w:rPr>
                            <w:t xml:space="preserve"> </w:t>
                          </w:r>
                          <w:r>
                            <w:rPr>
                              <w:i/>
                              <w:sz w:val="18"/>
                              <w:szCs w:val="18"/>
                            </w:rPr>
                            <w:t xml:space="preserve">to address </w:t>
                          </w:r>
                          <w:r w:rsidRPr="00923D6F">
                            <w:rPr>
                              <w:i/>
                              <w:sz w:val="18"/>
                              <w:szCs w:val="18"/>
                            </w:rPr>
                            <w:t>E</w:t>
                          </w:r>
                          <w:r>
                            <w:rPr>
                              <w:i/>
                              <w:sz w:val="18"/>
                              <w:szCs w:val="18"/>
                            </w:rPr>
                            <w:t>nvironmental and Social Safeguard Issues</w:t>
                          </w:r>
                          <w:r w:rsidRPr="00923D6F">
                            <w:rPr>
                              <w:sz w:val="18"/>
                              <w:szCs w:val="18"/>
                            </w:rPr>
                            <w:t xml:space="preserve"> </w:t>
                          </w:r>
                          <w:r w:rsidRPr="00E746AC">
                            <w:rPr>
                              <w:i/>
                              <w:sz w:val="18"/>
                              <w:szCs w:val="18"/>
                            </w:rPr>
                            <w:t>in Bank Support Projects</w:t>
                          </w:r>
                          <w:r>
                            <w:rPr>
                              <w:sz w:val="18"/>
                              <w:szCs w:val="18"/>
                            </w:rPr>
                            <w:t xml:space="preserve"> </w:t>
                          </w:r>
                          <w:r w:rsidRPr="00923D6F">
                            <w:rPr>
                              <w:sz w:val="18"/>
                              <w:szCs w:val="18"/>
                            </w:rPr>
                            <w:t>(OP/BP 4.00)</w:t>
                          </w:r>
                        </w:p>
                      </w:txbxContent>
                    </v:textbox>
                  </v:roundrect>
                  <v:roundrect id="AutoShape 34" o:spid="_x0000_s1034" style="position:absolute;left:10902;top:7495;width:2572;height:3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UQMMA&#10;AADbAAAADwAAAGRycy9kb3ducmV2LnhtbERPW2vCMBR+H/gfwhH2NlOHG1KNIkKnY4XNC/h6aI5t&#10;sTkpSVbb/frlYbDHj+++XPemER05X1tWMJ0kIIgLq2suFZxP2dMchA/IGhvLpGAgD+vV6GGJqbZ3&#10;PlB3DKWIIexTVFCF0KZS+qIig35iW+LIXa0zGCJ0pdQO7zHcNPI5SV6lwZpjQ4UtbSsqbsdvo0Dn&#10;reySyywf3rL9Z/j6eMl2P+9KPY77zQJEoD78i//ce61gHtfH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BUQMMAAADbAAAADwAAAAAAAAAAAAAAAACYAgAAZHJzL2Rv&#10;d25yZXYueG1sUEsFBgAAAAAEAAQA9QAAAIgDAAAAAA==&#10;" fillcolor="#e1ebf7" strokecolor="#1f497d">
                    <v:textbox>
                      <w:txbxContent>
                        <w:p w14:paraId="501891C7" w14:textId="77777777" w:rsidR="00CF59E1" w:rsidRPr="00923D6F" w:rsidRDefault="00CF59E1" w:rsidP="007211C0">
                          <w:pPr>
                            <w:rPr>
                              <w:sz w:val="18"/>
                              <w:szCs w:val="18"/>
                            </w:rPr>
                          </w:pPr>
                          <w:r w:rsidRPr="00923D6F">
                            <w:rPr>
                              <w:i/>
                              <w:sz w:val="18"/>
                              <w:szCs w:val="18"/>
                            </w:rPr>
                            <w:t>Access to Information Policy</w:t>
                          </w:r>
                          <w:r w:rsidRPr="00923D6F">
                            <w:rPr>
                              <w:sz w:val="18"/>
                              <w:szCs w:val="18"/>
                            </w:rPr>
                            <w:t xml:space="preserve"> </w:t>
                          </w:r>
                        </w:p>
                      </w:txbxContent>
                    </v:textbox>
                  </v:roundrect>
                  <v:roundrect id="AutoShape 35" o:spid="_x0000_s1035" style="position:absolute;left:2890;top:9097;width:10763;height: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zx28UA&#10;AADbAAAADwAAAGRycy9kb3ducmV2LnhtbESPQWvCQBSE74X+h+UJvdWN0opEN0EKsZYKtlHw+si+&#10;JqHZtyG7jbG/3hUEj8PMfMMs08E0oqfO1ZYVTMYRCOLC6ppLBYd99jwH4TyyxsYyKTiTgzR5fFhi&#10;rO2Jv6nPfSkChF2MCirv21hKV1Rk0I1tSxy8H9sZ9EF2pdQdngLcNHIaRTNpsOawUGFLbxUVv/mf&#10;UaC3reyj48v2vM42O//1+Zq9/38o9TQaVgsQngZ/D9/aG61gPoHrl/ADZH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HbxQAAANsAAAAPAAAAAAAAAAAAAAAAAJgCAABkcnMv&#10;ZG93bnJldi54bWxQSwUGAAAAAAQABAD1AAAAigMAAAAA&#10;" fillcolor="#e1ebf7" strokecolor="#1f497d">
                    <v:textbox>
                      <w:txbxContent>
                        <w:p w14:paraId="06262B5F" w14:textId="77777777" w:rsidR="00CF59E1" w:rsidRPr="00AB414C" w:rsidRDefault="00CF59E1" w:rsidP="007211C0">
                          <w:pPr>
                            <w:jc w:val="center"/>
                            <w:rPr>
                              <w:i/>
                              <w:sz w:val="18"/>
                              <w:szCs w:val="18"/>
                            </w:rPr>
                          </w:pPr>
                          <w:r w:rsidRPr="00AB414C">
                            <w:rPr>
                              <w:i/>
                              <w:sz w:val="18"/>
                              <w:szCs w:val="18"/>
                            </w:rPr>
                            <w:t>Technical Guidance</w:t>
                          </w:r>
                        </w:p>
                      </w:txbxContent>
                    </v:textbox>
                  </v:roundrect>
                  <v:group id="Group 36" o:spid="_x0000_s1036" style="position:absolute;left:2890;top:2581;width:6858;height:6260" coordorigin="2890,2581" coordsize="6858,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37" o:spid="_x0000_s1037" style="position:absolute;left:7016;top:2581;width:1842;height:1310" coordorigin="4836,3240" coordsize="1842,1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oundrect id="AutoShape 38" o:spid="_x0000_s1038" style="position:absolute;left:4836;top:3240;width:1842;height:9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nG8UA&#10;AADbAAAADwAAAGRycy9kb3ducmV2LnhtbESPQWvCQBSE74L/YXmCF2k2hiIhdRWRFnoSm4bS4yP7&#10;mqRm34bsNib++m5B6HGYmW+Y7X40rRiod41lBesoBkFcWt1wpaB4f3lIQTiPrLG1TAomcrDfzWdb&#10;zLS98hsNua9EgLDLUEHtfZdJ6cqaDLrIdsTB+7K9QR9kX0nd4zXATSuTON5Igw2HhRo7OtZUXvIf&#10;o+C7OifdMB4/b+uWkuJjOuXP+Uqp5WI8PIHwNPr/8L39qhWkj/D3JfwA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OcbxQAAANsAAAAPAAAAAAAAAAAAAAAAAJgCAABkcnMv&#10;ZG93bnJldi54bWxQSwUGAAAAAAQABAD1AAAAigMAAAAA&#10;" fillcolor="#558ed5" strokecolor="#1f497d">
                        <v:textbox>
                          <w:txbxContent>
                            <w:p w14:paraId="08382817" w14:textId="77777777" w:rsidR="00CF59E1" w:rsidRPr="00EC71FE" w:rsidRDefault="00CF59E1" w:rsidP="007211C0">
                              <w:pPr>
                                <w:jc w:val="center"/>
                                <w:rPr>
                                  <w:b/>
                                  <w:color w:val="FFFFFF"/>
                                </w:rPr>
                              </w:pPr>
                              <w:r w:rsidRPr="00EC71FE">
                                <w:rPr>
                                  <w:b/>
                                  <w:color w:val="FFFFFF"/>
                                </w:rPr>
                                <w:t>Social Safeguards</w:t>
                              </w:r>
                            </w:p>
                          </w:txbxContent>
                        </v:textbox>
                      </v:roundrect>
                      <v:shapetype id="_x0000_t32" coordsize="21600,21600" o:spt="32" o:oned="t" path="m,l21600,21600e" filled="f">
                        <v:path arrowok="t" fillok="f" o:connecttype="none"/>
                        <o:lock v:ext="edit" shapetype="t"/>
                      </v:shapetype>
                      <v:shape id="AutoShape 39" o:spid="_x0000_s1039" type="#_x0000_t32" style="position:absolute;left:5723;top:4228;width:0;height: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tYHcIAAADbAAAADwAAAGRycy9kb3ducmV2LnhtbESP0YrCMBRE34X9h3CFfZE1VVBLbZRF&#10;cBF9svUDLs3dtrS5KU203b/fCIKPw8ycYdL9aFrxoN7VlhUs5hEI4sLqmksFt/z4FYNwHllja5kU&#10;/JGD/e5jkmKi7cBXemS+FAHCLkEFlfddIqUrKjLo5rYjDt6v7Q36IPtS6h6HADetXEbRWhqsOSxU&#10;2NGhoqLJ7kZBPWSHchmfV5fNzS2a2Y9s81wq9Tkdv7cgPI3+HX61T1pBvILnl/AD5O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tYHcIAAADbAAAADwAAAAAAAAAAAAAA&#10;AAChAgAAZHJzL2Rvd25yZXYueG1sUEsFBgAAAAAEAAQA+QAAAJADAAAAAA==&#10;" strokecolor="#1f497d"/>
                    </v:group>
                    <v:roundrect id="AutoShape 40" o:spid="_x0000_s1040" style="position:absolute;left:3431;top:2581;width:1842;height:9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c98QA&#10;AADbAAAADwAAAGRycy9kb3ducmV2LnhtbESPQYvCMBSE7wv+h/AEL4um9iBSjSKi4EnWWpY9Pppn&#10;W21eShNr3V9vFhY8DjPzDbNc96YWHbWusqxgOolAEOdWV1woyM778RyE88gaa8uk4EkO1qvBxxIT&#10;bR98oi71hQgQdgkqKL1vEildXpJBN7ENcfAutjXog2wLqVt8BLipZRxFM2mw4rBQYkPbkvJbejcK&#10;rsVX3HT99ud3WlOcfT+P6S79VGo07DcLEJ56/w7/tw9awXwGf1/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W3PfEAAAA2wAAAA8AAAAAAAAAAAAAAAAAmAIAAGRycy9k&#10;b3ducmV2LnhtbFBLBQYAAAAABAAEAPUAAACJAwAAAAA=&#10;" fillcolor="#558ed5" strokecolor="#1f497d">
                      <v:textbox>
                        <w:txbxContent>
                          <w:p w14:paraId="155036C4" w14:textId="77777777" w:rsidR="00CF59E1" w:rsidRPr="00EC71FE" w:rsidRDefault="00CF59E1" w:rsidP="007211C0">
                            <w:pPr>
                              <w:jc w:val="center"/>
                              <w:rPr>
                                <w:b/>
                                <w:color w:val="FFFFFF"/>
                              </w:rPr>
                            </w:pPr>
                            <w:r w:rsidRPr="00EC71FE">
                              <w:rPr>
                                <w:b/>
                                <w:color w:val="FFFFFF"/>
                              </w:rPr>
                              <w:t>Environmental Safeguards</w:t>
                            </w:r>
                          </w:p>
                        </w:txbxContent>
                      </v:textbox>
                    </v:roundrect>
                    <v:shape id="AutoShape 41" o:spid="_x0000_s1041" type="#_x0000_t32" style="position:absolute;left:4374;top:3569;width:0;height: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j8cEAAADbAAAADwAAAGRycy9kb3ducmV2LnhtbESP0YrCMBRE3xf8h3AFXxZNFVxLNYoI&#10;iuiTrR9waa5tsbkpTbT1740g7OMwM2eY1aY3tXhS6yrLCqaTCARxbnXFhYJrth/HIJxH1lhbJgUv&#10;crBZD35WmGjb8YWeqS9EgLBLUEHpfZNI6fKSDLqJbYiDd7OtQR9kW0jdYhfgppazKPqTBisOCyU2&#10;tCspv6cPo6Dq0l0xi0/z8+Lqpvffg6yzTCo1GvbbJQhPvf8Pf9tHrSBewOdL+AF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RWPxwQAAANsAAAAPAAAAAAAAAAAAAAAA&#10;AKECAABkcnMvZG93bnJldi54bWxQSwUGAAAAAAQABAD5AAAAjwMAAAAA&#10;" strokecolor="#1f497d"/>
                    <v:group id="Group 42" o:spid="_x0000_s1042" style="position:absolute;left:2890;top:3777;width:6858;height:5064" coordorigin="710,4436" coordsize="6858,5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43" o:spid="_x0000_s1043" type="#_x0000_t32" style="position:absolute;left:1510;top:5048;width:1;height:4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ZSGMQAAADbAAAADwAAAGRycy9kb3ducmV2LnhtbESP0WqDQBRE3wv5h+UG+lKS1UAbY7KR&#10;IDSU9imaD7i4Nypx74q7Vfv32UKhj8PMnGEO2Ww6MdLgWssK4nUEgriyuuVawbV8XyUgnEfW2Fkm&#10;BT/kIDsung6YajvxhcbC1yJA2KWooPG+T6V0VUMG3dr2xMG72cGgD3KopR5wCnDTyU0UvUmDLYeF&#10;BnvKG6ruxbdR0E5FXm+Sz9ev7dXF95ez7MpSKvW8nE97EJ5m/x/+a39oBckOfr+EHyC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llIYxAAAANsAAAAPAAAAAAAAAAAA&#10;AAAAAKECAABkcnMvZG93bnJldi54bWxQSwUGAAAAAAQABAD5AAAAkgMAAAAA&#10;" strokecolor="#1f497d"/>
                      <v:shape id="AutoShape 44" o:spid="_x0000_s1044" type="#_x0000_t32" style="position:absolute;left:1510;top:9216;width:1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VtWL8AAADbAAAADwAAAGRycy9kb3ducmV2LnhtbERPzYrCMBC+L/gOYQQvi6YKrlqNIoIi&#10;erLtAwzN2BabSWmirW9vDsIeP77/za43tXhR6yrLCqaTCARxbnXFhYIsPY6XIJxH1lhbJgVvcrDb&#10;Dn42GGvb8Y1eiS9ECGEXo4LS+yaW0uUlGXQT2xAH7m5bgz7AtpC6xS6Em1rOouhPGqw4NJTY0KGk&#10;/JE8jYKqSw7FbHmZXxeZmz5+T7JOU6nUaNjv1yA89f5f/HWftYJVWB++hB8gt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VtWL8AAADbAAAADwAAAAAAAAAAAAAAAACh&#10;AgAAZHJzL2Rvd25yZXYueG1sUEsFBgAAAAAEAAQA+QAAAI0DAAAAAA==&#10;" strokecolor="#1f497d"/>
                      <v:roundrect id="AutoShape 45" o:spid="_x0000_s1045" style="position:absolute;left:1694;top:8898;width:2227;height:6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vtWMUA&#10;AADbAAAADwAAAGRycy9kb3ducmV2LnhtbESPT2vCQBTE7wW/w/IEb3VjkVJTN6KViD0V/xR6fGRf&#10;sqHZtyG7xthP3y0UPA4z8xtmuRpsI3rqfO1YwWyagCAunK65UnA+5Y8vIHxA1tg4JgU38rDKRg9L&#10;TLW78oH6Y6hEhLBPUYEJoU2l9IUhi37qWuLola6zGKLsKqk7vEa4beRTkjxLizXHBYMtvRkqvo8X&#10;q2D+lX+cd+U2L/YH379/Dhtd/RilJuNh/Qoi0BDu4f/2XitYzO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1YxQAAANsAAAAPAAAAAAAAAAAAAAAAAJgCAABkcnMv&#10;ZG93bnJldi54bWxQSwUGAAAAAAQABAD1AAAAigMAAAAA&#10;" fillcolor="#b9cde5" strokecolor="#1f497d">
                        <v:textbox>
                          <w:txbxContent>
                            <w:p w14:paraId="75E295A8" w14:textId="77777777" w:rsidR="00CF59E1" w:rsidRPr="0032151D" w:rsidRDefault="00CF59E1" w:rsidP="007211C0">
                              <w:pPr>
                                <w:rPr>
                                  <w:sz w:val="18"/>
                                  <w:szCs w:val="18"/>
                                </w:rPr>
                              </w:pPr>
                              <w:r>
                                <w:rPr>
                                  <w:sz w:val="18"/>
                                  <w:szCs w:val="18"/>
                                </w:rPr>
                                <w:t>Safety of Dams</w:t>
                              </w:r>
                              <w:r w:rsidRPr="0032151D">
                                <w:rPr>
                                  <w:sz w:val="18"/>
                                  <w:szCs w:val="18"/>
                                </w:rPr>
                                <w:t xml:space="preserve"> </w:t>
                              </w:r>
                              <w:r>
                                <w:rPr>
                                  <w:sz w:val="18"/>
                                  <w:szCs w:val="18"/>
                                </w:rPr>
                                <w:t>(</w:t>
                              </w:r>
                              <w:r w:rsidRPr="0032151D">
                                <w:rPr>
                                  <w:sz w:val="18"/>
                                  <w:szCs w:val="18"/>
                                </w:rPr>
                                <w:t>OP</w:t>
                              </w:r>
                              <w:r>
                                <w:rPr>
                                  <w:sz w:val="18"/>
                                  <w:szCs w:val="18"/>
                                </w:rPr>
                                <w:t>/BP</w:t>
                              </w:r>
                              <w:r w:rsidRPr="0032151D">
                                <w:rPr>
                                  <w:sz w:val="18"/>
                                  <w:szCs w:val="18"/>
                                </w:rPr>
                                <w:t xml:space="preserve"> </w:t>
                              </w:r>
                              <w:r>
                                <w:rPr>
                                  <w:sz w:val="18"/>
                                  <w:szCs w:val="18"/>
                                </w:rPr>
                                <w:t>4.37)</w:t>
                              </w:r>
                            </w:p>
                          </w:txbxContent>
                        </v:textbox>
                      </v:roundrect>
                      <v:shape id="AutoShape 46" o:spid="_x0000_s1046" type="#_x0000_t32" style="position:absolute;left:1510;top:5048;width:1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tWtMMAAADbAAAADwAAAGRycy9kb3ducmV2LnhtbESP0YrCMBRE34X9h3CFfZE1taDrVqMs&#10;giL6ZNsPuDR322JzU5pou39vBMHHYWbOMOvtYBpxp87VlhXMphEI4sLqmksFebb/WoJwHlljY5kU&#10;/JOD7eZjtMZE254vdE99KQKEXYIKKu/bREpXVGTQTW1LHLw/2xn0QXal1B32AW4aGUfRQhqsOSxU&#10;2NKuouKa3oyCuk93Zbw8zc/fuZtdJwfZZJlU6nM8/K5AeBr8O/xqH7WCnxieX8IP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rVrTDAAAA2wAAAA8AAAAAAAAAAAAA&#10;AAAAoQIAAGRycy9kb3ducmV2LnhtbFBLBQYAAAAABAAEAPkAAACRAwAAAAA=&#10;" strokecolor="#1f497d"/>
                      <v:roundrect id="AutoShape 47" o:spid="_x0000_s1047" style="position:absolute;left:710;top:4436;width:6858;height: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tMUA&#10;AADbAAAADwAAAGRycy9kb3ducmV2LnhtbESPQWvCQBSE7wX/w/KE3upGW4pGV9GWFHsSo4LHR/aZ&#10;DWbfhuw2pv313ULB4zAz3zCLVW9r0VHrK8cKxqMEBHHhdMWlguMhe5qC8AFZY+2YFHyTh9Vy8LDA&#10;VLsb76nLQykihH2KCkwITSqlLwxZ9CPXEEfv4lqLIcq2lLrFW4TbWk6S5FVarDguGGzozVBxzb+s&#10;gpdztjt+XN6zYrv33eep3+jyxyj1OOzXcxCB+nAP/7e3WsHsGf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9da0xQAAANsAAAAPAAAAAAAAAAAAAAAAAJgCAABkcnMv&#10;ZG93bnJldi54bWxQSwUGAAAAAAQABAD1AAAAigMAAAAA&#10;" fillcolor="#b9cde5" strokecolor="#1f497d">
                        <v:textbox>
                          <w:txbxContent>
                            <w:p w14:paraId="226DBDDC" w14:textId="77777777" w:rsidR="00CF59E1" w:rsidRPr="00E266F9" w:rsidRDefault="00CF59E1" w:rsidP="007211C0">
                              <w:pPr>
                                <w:jc w:val="center"/>
                                <w:rPr>
                                  <w:sz w:val="20"/>
                                  <w:szCs w:val="20"/>
                                </w:rPr>
                              </w:pPr>
                              <w:r w:rsidRPr="00E266F9">
                                <w:rPr>
                                  <w:sz w:val="20"/>
                                  <w:szCs w:val="20"/>
                                </w:rPr>
                                <w:t>Environmental</w:t>
                              </w:r>
                            </w:p>
                            <w:p w14:paraId="67196268" w14:textId="77777777" w:rsidR="00CF59E1" w:rsidRPr="00E266F9" w:rsidRDefault="00CF59E1" w:rsidP="007211C0">
                              <w:pPr>
                                <w:jc w:val="center"/>
                                <w:rPr>
                                  <w:sz w:val="20"/>
                                  <w:szCs w:val="20"/>
                                </w:rPr>
                              </w:pPr>
                              <w:r w:rsidRPr="00E266F9">
                                <w:rPr>
                                  <w:sz w:val="20"/>
                                  <w:szCs w:val="20"/>
                                </w:rPr>
                                <w:t>Assessment (OP/BP 4.01)</w:t>
                              </w:r>
                            </w:p>
                          </w:txbxContent>
                        </v:textbox>
                      </v:roundrect>
                      <v:shape id="AutoShape 48" o:spid="_x0000_s1048" type="#_x0000_t32" style="position:absolute;left:1510;top:5974;width:1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5rW8QAAADbAAAADwAAAGRycy9kb3ducmV2LnhtbESPzWrDMBCE74G8g9hAL6GRE/qTupFN&#10;CbSE9lTbD7BYW8vEWhlLjZ23jwKBHIeZ+YbZ5ZPtxIkG3zpWsF4lIIhrp1tuFFTl5+MWhA/IGjvH&#10;pOBMHvJsPtthqt3Iv3QqQiMihH2KCkwIfSqlrw1Z9CvXE0fvzw0WQ5RDI/WAY4TbTm6S5EVabDku&#10;GOxpb6g+Fv9WQTsW+2az/X7+ea38+rj8kl1ZSqUeFtPHO4hAU7iHb+2DVvD2BNcv8QfI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TmtbxAAAANsAAAAPAAAAAAAAAAAA&#10;AAAAAKECAABkcnMvZG93bnJldi54bWxQSwUGAAAAAAQABAD5AAAAkgMAAAAA&#10;" strokecolor="#1f497d"/>
                      <v:roundrect id="AutoShape 49" o:spid="_x0000_s1049" style="position:absolute;left:1694;top:5656;width:2227;height:6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DrW8UA&#10;AADbAAAADwAAAGRycy9kb3ducmV2LnhtbESPQWvCQBSE7wX/w/KE3upGaYtGV9GWFHsSo4LHR/aZ&#10;DWbfhuw2pv313ULB4zAz3zCLVW9r0VHrK8cKxqMEBHHhdMWlguMhe5qC8AFZY+2YFHyTh9Vy8LDA&#10;VLsb76nLQykihH2KCkwITSqlLwxZ9CPXEEfv4lqLIcq2lLrFW4TbWk6S5FVarDguGGzozVBxzb+s&#10;gudztjt+XN6zYrv33eep3+jyxyj1OOzXcxCB+nAP/7e3WsHsBf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OtbxQAAANsAAAAPAAAAAAAAAAAAAAAAAJgCAABkcnMv&#10;ZG93bnJldi54bWxQSwUGAAAAAAQABAD1AAAAigMAAAAA&#10;" fillcolor="#b9cde5" strokecolor="#1f497d">
                        <v:textbox>
                          <w:txbxContent>
                            <w:p w14:paraId="7F907883" w14:textId="77777777" w:rsidR="00CF59E1" w:rsidRPr="0032151D" w:rsidRDefault="00CF59E1" w:rsidP="007211C0">
                              <w:pPr>
                                <w:rPr>
                                  <w:sz w:val="18"/>
                                  <w:szCs w:val="18"/>
                                </w:rPr>
                              </w:pPr>
                              <w:r>
                                <w:rPr>
                                  <w:sz w:val="18"/>
                                  <w:szCs w:val="18"/>
                                </w:rPr>
                                <w:t>Natural Habitats</w:t>
                              </w:r>
                              <w:r w:rsidRPr="0032151D">
                                <w:rPr>
                                  <w:sz w:val="18"/>
                                  <w:szCs w:val="18"/>
                                </w:rPr>
                                <w:t xml:space="preserve"> </w:t>
                              </w:r>
                              <w:r>
                                <w:rPr>
                                  <w:sz w:val="18"/>
                                  <w:szCs w:val="18"/>
                                </w:rPr>
                                <w:t>(</w:t>
                              </w:r>
                              <w:r w:rsidRPr="0032151D">
                                <w:rPr>
                                  <w:sz w:val="18"/>
                                  <w:szCs w:val="18"/>
                                </w:rPr>
                                <w:t>OP</w:t>
                              </w:r>
                              <w:r>
                                <w:rPr>
                                  <w:sz w:val="18"/>
                                  <w:szCs w:val="18"/>
                                </w:rPr>
                                <w:t>/BP</w:t>
                              </w:r>
                              <w:r w:rsidRPr="0032151D">
                                <w:rPr>
                                  <w:sz w:val="18"/>
                                  <w:szCs w:val="18"/>
                                </w:rPr>
                                <w:t xml:space="preserve"> 4.0</w:t>
                              </w:r>
                              <w:r>
                                <w:rPr>
                                  <w:sz w:val="18"/>
                                  <w:szCs w:val="18"/>
                                </w:rPr>
                                <w:t>4)</w:t>
                              </w:r>
                            </w:p>
                          </w:txbxContent>
                        </v:textbox>
                      </v:roundrect>
                      <v:shape id="AutoShape 50" o:spid="_x0000_s1050" type="#_x0000_t32" style="position:absolute;left:1510;top:6749;width:1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BQt8QAAADbAAAADwAAAGRycy9kb3ducmV2LnhtbESP0WrCQBRE34X+w3ILfZG6UahNU1eR&#10;QEX0qUk+4JK9TYLZuyG7JvHv3YLg4zAzZ5jNbjKtGKh3jWUFy0UEgri0uuFKQZH/vMcgnEfW2Fom&#10;BTdysNu+zDaYaDvyLw2Zr0SAsEtQQe19l0jpypoMuoXtiIP3Z3uDPsi+krrHMcBNK1dRtJYGGw4L&#10;NXaU1lResqtR0IxZWq3i08f5s3DLy/wg2zyXSr29TvtvEJ4m/ww/2ket4GsN/1/CD5D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0FC3xAAAANsAAAAPAAAAAAAAAAAA&#10;AAAAAKECAABkcnMvZG93bnJldi54bWxQSwUGAAAAAAQABAD5AAAAkgMAAAAA&#10;" strokecolor="#1f497d"/>
                      <v:roundrect id="AutoShape 51" o:spid="_x0000_s1051" style="position:absolute;left:1694;top:6498;width:2227;height:4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Qt8UA&#10;AADbAAAADwAAAGRycy9kb3ducmV2LnhtbESPQWvCQBSE7wX/w/KE3upGKa1GV9GWFHsSo4LHR/aZ&#10;DWbfhuw2pv313ULB4zAz3zCLVW9r0VHrK8cKxqMEBHHhdMWlguMhe5qC8AFZY+2YFHyTh9Vy8LDA&#10;VLsb76nLQykihH2KCkwITSqlLwxZ9CPXEEfv4lqLIcq2lLrFW4TbWk6S5EVarDguGGzozVBxzb+s&#10;gudztjt+XN6zYrv33eep3+jyxyj1OOzXcxCB+nAP/7e3WsHsFf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tC3xQAAANsAAAAPAAAAAAAAAAAAAAAAAJgCAABkcnMv&#10;ZG93bnJldi54bWxQSwUGAAAAAAQABAD1AAAAigMAAAAA&#10;" fillcolor="#b9cde5" strokecolor="#1f497d">
                        <v:textbox>
                          <w:txbxContent>
                            <w:p w14:paraId="2434920D" w14:textId="77777777" w:rsidR="00CF59E1" w:rsidRPr="0032151D" w:rsidRDefault="00CF59E1" w:rsidP="007211C0">
                              <w:pPr>
                                <w:rPr>
                                  <w:sz w:val="18"/>
                                  <w:szCs w:val="18"/>
                                </w:rPr>
                              </w:pPr>
                              <w:r>
                                <w:rPr>
                                  <w:sz w:val="18"/>
                                  <w:szCs w:val="18"/>
                                </w:rPr>
                                <w:t>Forests</w:t>
                              </w:r>
                              <w:r w:rsidRPr="0032151D">
                                <w:rPr>
                                  <w:sz w:val="18"/>
                                  <w:szCs w:val="18"/>
                                </w:rPr>
                                <w:t xml:space="preserve"> </w:t>
                              </w:r>
                              <w:r>
                                <w:rPr>
                                  <w:sz w:val="18"/>
                                  <w:szCs w:val="18"/>
                                </w:rPr>
                                <w:t>(</w:t>
                              </w:r>
                              <w:r w:rsidRPr="0032151D">
                                <w:rPr>
                                  <w:sz w:val="18"/>
                                  <w:szCs w:val="18"/>
                                </w:rPr>
                                <w:t>OP</w:t>
                              </w:r>
                              <w:r>
                                <w:rPr>
                                  <w:sz w:val="18"/>
                                  <w:szCs w:val="18"/>
                                </w:rPr>
                                <w:t>/BP</w:t>
                              </w:r>
                              <w:r w:rsidRPr="0032151D">
                                <w:rPr>
                                  <w:sz w:val="18"/>
                                  <w:szCs w:val="18"/>
                                </w:rPr>
                                <w:t xml:space="preserve"> 4.</w:t>
                              </w:r>
                              <w:r>
                                <w:rPr>
                                  <w:sz w:val="18"/>
                                  <w:szCs w:val="18"/>
                                </w:rPr>
                                <w:t>36)</w:t>
                              </w:r>
                            </w:p>
                          </w:txbxContent>
                        </v:textbox>
                      </v:roundrect>
                      <v:shape id="AutoShape 52" o:spid="_x0000_s1052" type="#_x0000_t32" style="position:absolute;left:1510;top:7532;width:1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NhXr8AAADbAAAADwAAAGRycy9kb3ducmV2LnhtbERPzYrCMBC+L/gOYQQvi6YKrlqNIoIi&#10;erLtAwzN2BabSWmirW9vDsIeP77/za43tXhR6yrLCqaTCARxbnXFhYIsPY6XIJxH1lhbJgVvcrDb&#10;Dn42GGvb8Y1eiS9ECGEXo4LS+yaW0uUlGXQT2xAH7m5bgz7AtpC6xS6Em1rOouhPGqw4NJTY0KGk&#10;/JE8jYKqSw7FbHmZXxeZmz5+T7JOU6nUaNjv1yA89f5f/HWftYJVGBu+hB8gt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ANhXr8AAADbAAAADwAAAAAAAAAAAAAAAACh&#10;AgAAZHJzL2Rvd25yZXYueG1sUEsFBgAAAAAEAAQA+QAAAI0DAAAAAA==&#10;" strokecolor="#1f497d"/>
                      <v:roundrect id="AutoShape 53" o:spid="_x0000_s1053" style="position:absolute;left:1694;top:7214;width:2227;height:6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hXsQA&#10;AADbAAAADwAAAGRycy9kb3ducmV2LnhtbESPT2vCQBTE74LfYXlCb7qxFNHUVdSSYk/in0KPj+wz&#10;G5p9G7LbGP30bkHwOMzMb5j5srOVaKnxpWMF41ECgjh3uuRCwemYDacgfEDWWDkmBVfysFz0e3NM&#10;tbvwntpDKESEsE9RgQmhTqX0uSGLfuRq4uidXWMxRNkUUjd4iXBbydckmUiLJccFgzVtDOW/hz+r&#10;4O0n250+zx9Zvt379uu7W+viZpR6GXSrdxCBuvAMP9pbrWA2g/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d4V7EAAAA2wAAAA8AAAAAAAAAAAAAAAAAmAIAAGRycy9k&#10;b3ducmV2LnhtbFBLBQYAAAAABAAEAPUAAACJAwAAAAA=&#10;" fillcolor="#b9cde5" strokecolor="#1f497d">
                        <v:textbox>
                          <w:txbxContent>
                            <w:p w14:paraId="494BECFB" w14:textId="77777777" w:rsidR="00CF59E1" w:rsidRPr="0032151D" w:rsidRDefault="00CF59E1" w:rsidP="007211C0">
                              <w:pPr>
                                <w:rPr>
                                  <w:sz w:val="18"/>
                                  <w:szCs w:val="18"/>
                                </w:rPr>
                              </w:pPr>
                              <w:r>
                                <w:rPr>
                                  <w:sz w:val="18"/>
                                  <w:szCs w:val="18"/>
                                </w:rPr>
                                <w:t>Pest Management</w:t>
                              </w:r>
                              <w:r w:rsidRPr="0032151D">
                                <w:rPr>
                                  <w:sz w:val="18"/>
                                  <w:szCs w:val="18"/>
                                </w:rPr>
                                <w:t xml:space="preserve"> </w:t>
                              </w:r>
                              <w:r>
                                <w:rPr>
                                  <w:sz w:val="18"/>
                                  <w:szCs w:val="18"/>
                                </w:rPr>
                                <w:t>(</w:t>
                              </w:r>
                              <w:r w:rsidRPr="0032151D">
                                <w:rPr>
                                  <w:sz w:val="18"/>
                                  <w:szCs w:val="18"/>
                                </w:rPr>
                                <w:t>OP 4.0</w:t>
                              </w:r>
                              <w:r>
                                <w:rPr>
                                  <w:sz w:val="18"/>
                                  <w:szCs w:val="18"/>
                                </w:rPr>
                                <w:t>9)</w:t>
                              </w:r>
                            </w:p>
                          </w:txbxContent>
                        </v:textbox>
                      </v:roundrect>
                      <v:shape id="AutoShape 54" o:spid="_x0000_s1054" type="#_x0000_t32" style="position:absolute;left:1510;top:8374;width:1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U6u8MAAADcAAAADwAAAGRycy9kb3ducmV2LnhtbESPQYvCQAyF7wv+hyGCl0WnCq5SHUUE&#10;ZVlP2/oDQie2xU6mdEZb/705LOwt4b2892W7H1yjntSF2rOB+SwBRVx4W3Np4JqfpmtQISJbbDyT&#10;gRcF2O9GH1tMre/5l55ZLJWEcEjRQBVjm2odioochplviUW7+c5hlLUrte2wl3DX6EWSfGmHNUtD&#10;hS0dKyru2cMZqPvsWC7WP8vL6hrm98+zbvJcGzMZD4cNqEhD/Df/XX9bwU8EX56RCfTu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FOrvDAAAA3AAAAA8AAAAAAAAAAAAA&#10;AAAAoQIAAGRycy9kb3ducmV2LnhtbFBLBQYAAAAABAAEAPkAAACRAwAAAAA=&#10;" strokecolor="#1f497d"/>
                      <v:roundrect id="AutoShape 55" o:spid="_x0000_s1055" style="position:absolute;left:1694;top:8056;width:2227;height:6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YWcMA&#10;AADcAAAADwAAAGRycy9kb3ducmV2LnhtbERPTWvCQBC9C/6HZYTedGORIqkbaZWInorWgschO8kG&#10;s7Mhu42pv75bEHqbx/uc1Xqwjeip87VjBfNZAoK4cLrmSsH5M58uQfiArLFxTAp+yMM6G49WmGp3&#10;4yP1p1CJGMI+RQUmhDaV0heGLPqZa4kjV7rOYoiwq6Tu8BbDbSOfk+RFWqw5NhhsaWOouJ6+rYLF&#10;Jf8478ptXuyPvj98De+6uhulnibD2yuIQEP4Fz/cex3nJ3P4eyZ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TYWcMAAADcAAAADwAAAAAAAAAAAAAAAACYAgAAZHJzL2Rv&#10;d25yZXYueG1sUEsFBgAAAAAEAAQA9QAAAIgDAAAAAA==&#10;" fillcolor="#b9cde5" strokecolor="#1f497d">
                        <v:textbox>
                          <w:txbxContent>
                            <w:p w14:paraId="28219C23" w14:textId="77777777" w:rsidR="00CF59E1" w:rsidRPr="0032151D" w:rsidRDefault="00CF59E1" w:rsidP="007211C0">
                              <w:pPr>
                                <w:rPr>
                                  <w:sz w:val="18"/>
                                  <w:szCs w:val="18"/>
                                </w:rPr>
                              </w:pPr>
                              <w:r>
                                <w:rPr>
                                  <w:sz w:val="18"/>
                                  <w:szCs w:val="18"/>
                                </w:rPr>
                                <w:t>Physical Cultural Resources</w:t>
                              </w:r>
                              <w:r w:rsidRPr="0032151D">
                                <w:rPr>
                                  <w:sz w:val="18"/>
                                  <w:szCs w:val="18"/>
                                </w:rPr>
                                <w:t xml:space="preserve"> </w:t>
                              </w:r>
                              <w:r>
                                <w:rPr>
                                  <w:sz w:val="18"/>
                                  <w:szCs w:val="18"/>
                                </w:rPr>
                                <w:t>(</w:t>
                              </w:r>
                              <w:r w:rsidRPr="0032151D">
                                <w:rPr>
                                  <w:sz w:val="18"/>
                                  <w:szCs w:val="18"/>
                                </w:rPr>
                                <w:t>OP</w:t>
                              </w:r>
                              <w:r>
                                <w:rPr>
                                  <w:sz w:val="18"/>
                                  <w:szCs w:val="18"/>
                                </w:rPr>
                                <w:t>/BP</w:t>
                              </w:r>
                              <w:r w:rsidRPr="0032151D">
                                <w:rPr>
                                  <w:sz w:val="18"/>
                                  <w:szCs w:val="18"/>
                                </w:rPr>
                                <w:t xml:space="preserve"> </w:t>
                              </w:r>
                              <w:r>
                                <w:rPr>
                                  <w:sz w:val="18"/>
                                  <w:szCs w:val="18"/>
                                </w:rPr>
                                <w:t>4.11)</w:t>
                              </w:r>
                            </w:p>
                          </w:txbxContent>
                        </v:textbox>
                      </v:roundrect>
                    </v:group>
                  </v:group>
                </v:group>
                <v:group id="Group 56" o:spid="_x0000_s1056" style="position:absolute;left:10147;top:2581;width:2969;height:3974" coordorigin="10147,2581" coordsize="2969,3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roundrect id="AutoShape 57" o:spid="_x0000_s1057" style="position:absolute;left:10147;top:2581;width:1842;height:9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BIcIA&#10;AADcAAAADwAAAGRycy9kb3ducmV2LnhtbERPTYvCMBC9L/gfwgheFk3twiLVKCIKnpa1ingcmrGt&#10;NpPSxFr31xtB2Ns83ufMFp2pREuNKy0rGI8iEMSZ1SXnCg77zXACwnlkjZVlUvAgB4t572OGibZ3&#10;3lGb+lyEEHYJKii8rxMpXVaQQTeyNXHgzrYx6ANscqkbvIdwU8k4ir6lwZJDQ4E1rQrKrunNKLjk&#10;v3HddqvT37ii+HB8/KTr9FOpQb9bTkF46vy/+O3e6jA/+oLX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oEhwgAAANwAAAAPAAAAAAAAAAAAAAAAAJgCAABkcnMvZG93&#10;bnJldi54bWxQSwUGAAAAAAQABAD1AAAAhwMAAAAA&#10;" fillcolor="#558ed5" strokecolor="#1f497d">
                    <v:textbox>
                      <w:txbxContent>
                        <w:p w14:paraId="554A8A7A" w14:textId="77777777" w:rsidR="00CF59E1" w:rsidRPr="00EC71FE" w:rsidRDefault="00CF59E1" w:rsidP="007211C0">
                          <w:pPr>
                            <w:jc w:val="center"/>
                            <w:rPr>
                              <w:b/>
                              <w:color w:val="FFFFFF"/>
                            </w:rPr>
                          </w:pPr>
                          <w:r w:rsidRPr="00EC71FE">
                            <w:rPr>
                              <w:b/>
                              <w:color w:val="FFFFFF"/>
                            </w:rPr>
                            <w:t>Legal Safeguards</w:t>
                          </w:r>
                        </w:p>
                      </w:txbxContent>
                    </v:textbox>
                  </v:roundrect>
                  <v:group id="Group 58" o:spid="_x0000_s1058" style="position:absolute;left:10510;top:3569;width:2606;height:2986" coordorigin="10510,3569" coordsize="2606,2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AutoShape 59" o:spid="_x0000_s1059" type="#_x0000_t32" style="position:absolute;left:10527;top:3569;width:0;height:2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KZI8IAAADcAAAADwAAAGRycy9kb3ducmV2LnhtbERPzWqDQBC+F/IOywRyKXGNkEZMNiEE&#10;Ekp7qvoAgztRiTsr7kbt23cLhd7m4/udw2k2nRhpcK1lBZsoBkFcWd1yraAsrusUhPPIGjvLpOCb&#10;HJyOi5cDZtpO/EVj7msRQthlqKDxvs+kdFVDBl1ke+LA3e1g0Ac41FIPOIVw08kkjt+kwZZDQ4M9&#10;XRqqHvnTKGin/FIn6cf2c1e6zeP1JruikEqtlvN5D8LT7P/Ff+53HebHW/h9Jlwgj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KZI8IAAADcAAAADwAAAAAAAAAAAAAA&#10;AAChAgAAZHJzL2Rvd25yZXYueG1sUEsFBgAAAAAEAAQA+QAAAJADAAAAAA==&#10;" strokecolor="#1f497d"/>
                    <v:group id="Group 60" o:spid="_x0000_s1060" style="position:absolute;left:10526;top:4983;width:2590;height:646" coordorigin="1725,4471" coordsize="241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AutoShape 61" o:spid="_x0000_s1061" type="#_x0000_t32" style="position:absolute;left:1725;top:4789;width:1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yiz8AAAADcAAAADwAAAGRycy9kb3ducmV2LnhtbERPzYrCMBC+C75DGMHLoqmCq1RTEUER&#10;97StDzA0Y1vaTEoTbX17s7DgbT6+39ntB9OIJ3WusqxgMY9AEOdWV1wouGWn2QaE88gaG8uk4EUO&#10;9sl4tMNY255/6Zn6QoQQdjEqKL1vYyldXpJBN7ctceDutjPoA+wKqTvsQ7hp5DKKvqXBikNDiS0d&#10;S8rr9GEUVH16LJab6+pnfXOL+ussmyyTSk0nw2ELwtPgP+J/90WH+dEa/p4JF8j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sos/AAAAA3AAAAA8AAAAAAAAAAAAAAAAA&#10;oQIAAGRycy9kb3ducmV2LnhtbFBLBQYAAAAABAAEAPkAAACOAwAAAAA=&#10;" strokecolor="#1f497d"/>
                      <v:roundrect id="AutoShape 62" o:spid="_x0000_s1062" style="position:absolute;left:1909;top:4471;width:2227;height:6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OxMsIA&#10;AADcAAAADwAAAGRycy9kb3ducmV2LnhtbESPQWvCQBCF7wX/wzKCt7qrYCnRVUQRJJfSVO9DdkyC&#10;2dmQXWP8951DobcZ3pv3vtnsRt+qgfrYBLawmBtQxGVwDVcWLj+n909QMSE7bAOThRdF2G0nbxvM&#10;XHjyNw1FqpSEcMzQQp1Sl2kdy5o8xnnoiEW7hd5jkrWvtOvxKeG+1UtjPrTHhqWhxo4ONZX34uEt&#10;cG6OzeqE+bgaOnrk12LxdTxYO5uO+zWoRGP6N/9dn53gG6GVZ2QC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7EywgAAANwAAAAPAAAAAAAAAAAAAAAAAJgCAABkcnMvZG93&#10;bnJldi54bWxQSwUGAAAAAAQABAD1AAAAhwMAAAAA&#10;" fillcolor="#c6d9f1" strokecolor="#1f497d">
                        <v:textbox>
                          <w:txbxContent>
                            <w:p w14:paraId="0A5694C7" w14:textId="77777777" w:rsidR="00CF59E1" w:rsidRPr="0032151D" w:rsidRDefault="00CF59E1" w:rsidP="007211C0">
                              <w:pPr>
                                <w:rPr>
                                  <w:sz w:val="18"/>
                                  <w:szCs w:val="18"/>
                                </w:rPr>
                              </w:pPr>
                              <w:r>
                                <w:rPr>
                                  <w:sz w:val="18"/>
                                  <w:szCs w:val="18"/>
                                </w:rPr>
                                <w:t xml:space="preserve">Projects on International Waterways </w:t>
                              </w:r>
                              <w:r w:rsidRPr="0032151D">
                                <w:rPr>
                                  <w:sz w:val="18"/>
                                  <w:szCs w:val="18"/>
                                </w:rPr>
                                <w:t>(OP</w:t>
                              </w:r>
                              <w:r>
                                <w:rPr>
                                  <w:sz w:val="18"/>
                                  <w:szCs w:val="18"/>
                                </w:rPr>
                                <w:t>/BP</w:t>
                              </w:r>
                              <w:r w:rsidRPr="0032151D">
                                <w:rPr>
                                  <w:sz w:val="18"/>
                                  <w:szCs w:val="18"/>
                                </w:rPr>
                                <w:t xml:space="preserve"> </w:t>
                              </w:r>
                              <w:r>
                                <w:rPr>
                                  <w:sz w:val="18"/>
                                  <w:szCs w:val="18"/>
                                </w:rPr>
                                <w:t>7.50)</w:t>
                              </w:r>
                            </w:p>
                          </w:txbxContent>
                        </v:textbox>
                      </v:roundrect>
                    </v:group>
                    <v:group id="Group 63" o:spid="_x0000_s1063" style="position:absolute;left:10510;top:5909;width:2606;height:646" coordorigin="8867,6582" coordsize="2606,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AutoShape 64" o:spid="_x0000_s1064" type="#_x0000_t32" style="position:absolute;left:8867;top:6960;width: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ysZsQAAADcAAAADwAAAGRycy9kb3ducmV2LnhtbESP3WrCQBCF7wu+wzKCN0U3EfwhuooI&#10;lVKvTHyAITsmwexsyG5N+vadi0LvZjhnzvlmfxxdq17Uh8azgXSRgCIuvW24MnAvPuZbUCEiW2w9&#10;k4EfCnA8TN72mFk/8I1eeayUhHDI0EAdY5dpHcqaHIaF74hFe/jeYZS1r7TtcZBw1+plkqy1w4al&#10;ocaOzjWVz/zbGWiG/Fwtt1+r6+Ye0uf7RbdFoY2ZTcfTDlSkMf6b/64/reCngi/PyAT68A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KxmxAAAANwAAAAPAAAAAAAAAAAA&#10;AAAAAKECAABkcnMvZG93bnJldi54bWxQSwUGAAAAAAQABAD5AAAAkgMAAAAA&#10;" strokecolor="#1f497d"/>
                      <v:roundrect id="AutoShape 65" o:spid="_x0000_s1065" style="position:absolute;left:9067;top:6582;width:2406;height:6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cr8A&#10;AADcAAAADwAAAGRycy9kb3ducmV2LnhtbERPTYvCMBC9L/gfwgje1rSCy1KNRSqC9CJb9T40Y1ts&#10;JqWJtf57Iyx4m8f7nHU6mlYM1LvGsoJ4HoEgLq1uuFJwPu2/f0E4j6yxtUwKnuQg3Uy+1pho++A/&#10;GgpfiRDCLkEFtfddIqUrazLo5rYjDtzV9gZ9gH0ldY+PEG5auYiiH2mw4dBQY0dZTeWtuBsFnEe7&#10;ZrnHfFwOHd3zSxEfd5lSs+m4XYHwNPqP+N990GF+HMP7mXCB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QI5yvwAAANwAAAAPAAAAAAAAAAAAAAAAAJgCAABkcnMvZG93bnJl&#10;di54bWxQSwUGAAAAAAQABAD1AAAAhAMAAAAA&#10;" fillcolor="#c6d9f1" strokecolor="#1f497d">
                        <v:textbox>
                          <w:txbxContent>
                            <w:p w14:paraId="3F45547B" w14:textId="77777777" w:rsidR="00CF59E1" w:rsidRPr="0032151D" w:rsidRDefault="00CF59E1" w:rsidP="007211C0">
                              <w:pPr>
                                <w:rPr>
                                  <w:sz w:val="18"/>
                                  <w:szCs w:val="18"/>
                                </w:rPr>
                              </w:pPr>
                              <w:r>
                                <w:rPr>
                                  <w:sz w:val="18"/>
                                  <w:szCs w:val="18"/>
                                </w:rPr>
                                <w:t>Projects in Disputed Areas (OP/BP 7.60)</w:t>
                              </w:r>
                            </w:p>
                          </w:txbxContent>
                        </v:textbox>
                      </v:roundrect>
                    </v:group>
                  </v:group>
                </v:group>
              </v:group>
            </w:pict>
          </mc:Fallback>
        </mc:AlternateContent>
      </w:r>
    </w:p>
    <w:p w14:paraId="2220122F" w14:textId="77777777" w:rsidR="00CF59E1" w:rsidRPr="000F62A5" w:rsidRDefault="00CF59E1" w:rsidP="007211C0">
      <w:pPr>
        <w:autoSpaceDE/>
        <w:autoSpaceDN/>
        <w:adjustRightInd/>
        <w:spacing w:after="200" w:line="276" w:lineRule="auto"/>
        <w:rPr>
          <w:rFonts w:cs="Times New Roman"/>
        </w:rPr>
      </w:pPr>
    </w:p>
    <w:p w14:paraId="4366567D" w14:textId="77777777" w:rsidR="00CF59E1" w:rsidRPr="000F62A5" w:rsidRDefault="00CF59E1" w:rsidP="007211C0">
      <w:pPr>
        <w:autoSpaceDE/>
        <w:autoSpaceDN/>
        <w:adjustRightInd/>
        <w:spacing w:after="200" w:line="276" w:lineRule="auto"/>
        <w:rPr>
          <w:rFonts w:cs="Times New Roman"/>
        </w:rPr>
      </w:pPr>
    </w:p>
    <w:p w14:paraId="4810C2D7" w14:textId="77777777" w:rsidR="00CF59E1" w:rsidRPr="000F62A5" w:rsidRDefault="00CF59E1" w:rsidP="007211C0">
      <w:pPr>
        <w:autoSpaceDE/>
        <w:autoSpaceDN/>
        <w:adjustRightInd/>
        <w:spacing w:after="200" w:line="276" w:lineRule="auto"/>
        <w:rPr>
          <w:rFonts w:cs="Times New Roman"/>
        </w:rPr>
      </w:pPr>
    </w:p>
    <w:p w14:paraId="460F8C3F" w14:textId="77777777" w:rsidR="00CF59E1" w:rsidRPr="000F62A5" w:rsidRDefault="00CF59E1" w:rsidP="007211C0">
      <w:pPr>
        <w:autoSpaceDE/>
        <w:autoSpaceDN/>
        <w:adjustRightInd/>
        <w:spacing w:after="200" w:line="276" w:lineRule="auto"/>
        <w:rPr>
          <w:rFonts w:cs="Times New Roman"/>
        </w:rPr>
      </w:pPr>
      <w:r>
        <w:rPr>
          <w:noProof/>
        </w:rPr>
        <mc:AlternateContent>
          <mc:Choice Requires="wpg">
            <w:drawing>
              <wp:anchor distT="0" distB="0" distL="114300" distR="114300" simplePos="0" relativeHeight="251661824" behindDoc="0" locked="0" layoutInCell="1" allowOverlap="1" wp14:anchorId="43636286" wp14:editId="56C785D2">
                <wp:simplePos x="0" y="0"/>
                <wp:positionH relativeFrom="column">
                  <wp:posOffset>3689985</wp:posOffset>
                </wp:positionH>
                <wp:positionV relativeFrom="paragraph">
                  <wp:posOffset>98425</wp:posOffset>
                </wp:positionV>
                <wp:extent cx="1530985" cy="1266825"/>
                <wp:effectExtent l="12065" t="5715" r="9525" b="13335"/>
                <wp:wrapNone/>
                <wp:docPr id="6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985" cy="1266825"/>
                          <a:chOff x="7251" y="4560"/>
                          <a:chExt cx="2411" cy="1995"/>
                        </a:xfrm>
                      </wpg:grpSpPr>
                      <wps:wsp>
                        <wps:cNvPr id="68" name="AutoShape 22"/>
                        <wps:cNvCnPr>
                          <a:cxnSpLocks noChangeShapeType="1"/>
                        </wps:cNvCnPr>
                        <wps:spPr bwMode="auto">
                          <a:xfrm>
                            <a:off x="7251" y="4560"/>
                            <a:ext cx="0" cy="1701"/>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wpg:grpSp>
                        <wpg:cNvPr id="69" name="Group 23"/>
                        <wpg:cNvGrpSpPr>
                          <a:grpSpLocks/>
                        </wpg:cNvGrpSpPr>
                        <wpg:grpSpPr bwMode="auto">
                          <a:xfrm>
                            <a:off x="7251" y="5083"/>
                            <a:ext cx="2411" cy="1472"/>
                            <a:chOff x="7251" y="5083"/>
                            <a:chExt cx="2411" cy="1472"/>
                          </a:xfrm>
                        </wpg:grpSpPr>
                        <wpg:grpSp>
                          <wpg:cNvPr id="70" name="Group 24"/>
                          <wpg:cNvGrpSpPr>
                            <a:grpSpLocks/>
                          </wpg:cNvGrpSpPr>
                          <wpg:grpSpPr bwMode="auto">
                            <a:xfrm>
                              <a:off x="7251" y="5083"/>
                              <a:ext cx="2411" cy="602"/>
                              <a:chOff x="1725" y="4471"/>
                              <a:chExt cx="2411" cy="602"/>
                            </a:xfrm>
                          </wpg:grpSpPr>
                          <wps:wsp>
                            <wps:cNvPr id="71" name="AutoShape 25"/>
                            <wps:cNvCnPr>
                              <a:cxnSpLocks noChangeShapeType="1"/>
                            </wps:cNvCnPr>
                            <wps:spPr bwMode="auto">
                              <a:xfrm>
                                <a:off x="1725" y="4789"/>
                                <a:ext cx="184"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wps:wsp>
                            <wps:cNvPr id="72" name="AutoShape 26"/>
                            <wps:cNvSpPr>
                              <a:spLocks noChangeArrowheads="1"/>
                            </wps:cNvSpPr>
                            <wps:spPr bwMode="auto">
                              <a:xfrm>
                                <a:off x="1909" y="4471"/>
                                <a:ext cx="2227" cy="602"/>
                              </a:xfrm>
                              <a:prstGeom prst="roundRect">
                                <a:avLst>
                                  <a:gd name="adj" fmla="val 16667"/>
                                </a:avLst>
                              </a:prstGeom>
                              <a:solidFill>
                                <a:srgbClr val="C6D9F1"/>
                              </a:solidFill>
                              <a:ln w="9525">
                                <a:solidFill>
                                  <a:srgbClr val="1F497D"/>
                                </a:solidFill>
                                <a:round/>
                                <a:headEnd/>
                                <a:tailEnd/>
                              </a:ln>
                            </wps:spPr>
                            <wps:txbx>
                              <w:txbxContent>
                                <w:p w14:paraId="2000609E" w14:textId="77777777" w:rsidR="00CF59E1" w:rsidRPr="0032151D" w:rsidRDefault="00CF59E1" w:rsidP="007211C0">
                                  <w:pPr>
                                    <w:rPr>
                                      <w:sz w:val="18"/>
                                      <w:szCs w:val="18"/>
                                    </w:rPr>
                                  </w:pPr>
                                  <w:r>
                                    <w:rPr>
                                      <w:sz w:val="18"/>
                                      <w:szCs w:val="18"/>
                                    </w:rPr>
                                    <w:t xml:space="preserve">Involuntary Resettlement </w:t>
                                  </w:r>
                                  <w:r w:rsidRPr="0032151D">
                                    <w:rPr>
                                      <w:sz w:val="18"/>
                                      <w:szCs w:val="18"/>
                                    </w:rPr>
                                    <w:t>(OP</w:t>
                                  </w:r>
                                  <w:r>
                                    <w:rPr>
                                      <w:sz w:val="18"/>
                                      <w:szCs w:val="18"/>
                                    </w:rPr>
                                    <w:t>/BP</w:t>
                                  </w:r>
                                  <w:r w:rsidRPr="0032151D">
                                    <w:rPr>
                                      <w:sz w:val="18"/>
                                      <w:szCs w:val="18"/>
                                    </w:rPr>
                                    <w:t xml:space="preserve"> </w:t>
                                  </w:r>
                                  <w:r>
                                    <w:rPr>
                                      <w:sz w:val="18"/>
                                      <w:szCs w:val="18"/>
                                    </w:rPr>
                                    <w:t>4.12)</w:t>
                                  </w:r>
                                </w:p>
                              </w:txbxContent>
                            </wps:txbx>
                            <wps:bodyPr rot="0" vert="horz" wrap="square" lIns="91440" tIns="45720" rIns="91440" bIns="45720" anchor="t" anchorCtr="0" upright="1">
                              <a:noAutofit/>
                            </wps:bodyPr>
                          </wps:wsp>
                        </wpg:grpSp>
                        <wpg:grpSp>
                          <wpg:cNvPr id="73" name="Group 27"/>
                          <wpg:cNvGrpSpPr>
                            <a:grpSpLocks/>
                          </wpg:cNvGrpSpPr>
                          <wpg:grpSpPr bwMode="auto">
                            <a:xfrm>
                              <a:off x="7251" y="5953"/>
                              <a:ext cx="2411" cy="602"/>
                              <a:chOff x="1725" y="4471"/>
                              <a:chExt cx="2411" cy="602"/>
                            </a:xfrm>
                          </wpg:grpSpPr>
                          <wps:wsp>
                            <wps:cNvPr id="74" name="AutoShape 28"/>
                            <wps:cNvCnPr>
                              <a:cxnSpLocks noChangeShapeType="1"/>
                            </wps:cNvCnPr>
                            <wps:spPr bwMode="auto">
                              <a:xfrm>
                                <a:off x="1725" y="4789"/>
                                <a:ext cx="184"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wps:wsp>
                            <wps:cNvPr id="75" name="AutoShape 29"/>
                            <wps:cNvSpPr>
                              <a:spLocks noChangeArrowheads="1"/>
                            </wps:cNvSpPr>
                            <wps:spPr bwMode="auto">
                              <a:xfrm>
                                <a:off x="1909" y="4471"/>
                                <a:ext cx="2227" cy="602"/>
                              </a:xfrm>
                              <a:prstGeom prst="roundRect">
                                <a:avLst>
                                  <a:gd name="adj" fmla="val 16667"/>
                                </a:avLst>
                              </a:prstGeom>
                              <a:solidFill>
                                <a:srgbClr val="C6D9F1"/>
                              </a:solidFill>
                              <a:ln w="9525">
                                <a:solidFill>
                                  <a:srgbClr val="1F497D"/>
                                </a:solidFill>
                                <a:round/>
                                <a:headEnd/>
                                <a:tailEnd/>
                              </a:ln>
                            </wps:spPr>
                            <wps:txbx>
                              <w:txbxContent>
                                <w:p w14:paraId="65889AC5" w14:textId="77777777" w:rsidR="00CF59E1" w:rsidRPr="0032151D" w:rsidRDefault="00CF59E1" w:rsidP="007211C0">
                                  <w:pPr>
                                    <w:rPr>
                                      <w:sz w:val="18"/>
                                      <w:szCs w:val="18"/>
                                    </w:rPr>
                                  </w:pPr>
                                  <w:r>
                                    <w:rPr>
                                      <w:sz w:val="18"/>
                                      <w:szCs w:val="18"/>
                                    </w:rPr>
                                    <w:t>Indigenous Peoples (OP/BP 4.10)</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3636286" id="Group 21" o:spid="_x0000_s1066" style="position:absolute;margin-left:290.55pt;margin-top:7.75pt;width:120.55pt;height:99.75pt;z-index:251661824" coordorigin="7251,4560" coordsize="2411,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">
                <v:shape id="AutoShape 22" o:spid="_x0000_s1067" type="#_x0000_t32" style="position:absolute;left:7251;top:4560;width:0;height:17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YReb0AAADbAAAADwAAAGRycy9kb3ducmV2LnhtbERPSwrCMBDdC94hjOBGNFXwQzWKCIro&#10;ytYDDM3YFptJaaKttzcLweXj/Te7zlTiTY0rLSuYTiIQxJnVJecK7ulxvALhPLLGyjIp+JCD3bbf&#10;22Csbcs3eic+FyGEXYwKCu/rWEqXFWTQTWxNHLiHbQz6AJtc6gbbEG4qOYuihTRYcmgosKZDQdkz&#10;eRkFZZsc8tnqMr8u7276HJ1klaZSqeGg269BeOr8X/xzn7WCRRgbvoQfIL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XWEXm9AAAA2wAAAA8AAAAAAAAAAAAAAAAAoQIA&#10;AGRycy9kb3ducmV2LnhtbFBLBQYAAAAABAAEAPkAAACLAwAAAAA=&#10;" strokecolor="#1f497d"/>
                <v:group id="Group 23" o:spid="_x0000_s1068" style="position:absolute;left:7251;top:5083;width:2411;height:1472" coordorigin="7251,5083" coordsize="2411,1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24" o:spid="_x0000_s1069" style="position:absolute;left:7251;top:5083;width:2411;height:602" coordorigin="1725,4471" coordsize="241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AutoShape 25" o:spid="_x0000_s1070" type="#_x0000_t32" style="position:absolute;left:1725;top:4789;width:1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UuOcMAAADbAAAADwAAAGRycy9kb3ducmV2LnhtbESP0WqDQBRE3wv5h+UG+lKS1UBrMFkl&#10;BBJC+1T1Ay7ujUrcu+Juov37bKHQx2FmzjD7fDa9eNDoOssK4nUEgri2uuNGQVWeVlsQziNr7C2T&#10;gh9ykGeLlz2m2k78TY/CNyJA2KWooPV+SKV0dUsG3doOxMG72tGgD3JspB5xCnDTy00UfUiDHYeF&#10;Fgc6tlTfirtR0E3FsdlsP9+/ksrFt7ez7MtSKvW6nA87EJ5m/x/+a1+0giSG3y/hB8j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1LjnDAAAA2wAAAA8AAAAAAAAAAAAA&#10;AAAAoQIAAGRycy9kb3ducmV2LnhtbFBLBQYAAAAABAAEAPkAAACRAwAAAAA=&#10;" strokecolor="#1f497d"/>
                    <v:roundrect id="AutoShape 26" o:spid="_x0000_s1071" style="position:absolute;left:1909;top:4471;width:2227;height:6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rMIA&#10;AADbAAAADwAAAGRycy9kb3ducmV2LnhtbESPQWuDQBSE74X8h+UVcmtWA2mDdZWSIAQvpSa9P9wX&#10;lbhvxd2o+ffdQqHHYWa+YdJ8Mb2YaHSdZQXxJgJBXFvdcaPgci5e9iCcR9bYWyYFD3KQZ6unFBNt&#10;Z/6iqfKNCBB2CSpovR8SKV3dkkG3sQNx8K52NOiDHBupR5wD3PRyG0Wv0mDHYaHFgQ4t1bfqbhRw&#10;GR27XYHlspsGupffVfx5PCi1fl4+3kF4Wvx/+K990gretvD7Jfw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b6swgAAANsAAAAPAAAAAAAAAAAAAAAAAJgCAABkcnMvZG93&#10;bnJldi54bWxQSwUGAAAAAAQABAD1AAAAhwMAAAAA&#10;" fillcolor="#c6d9f1" strokecolor="#1f497d">
                      <v:textbox>
                        <w:txbxContent>
                          <w:p w14:paraId="2000609E" w14:textId="77777777" w:rsidR="00CF59E1" w:rsidRPr="0032151D" w:rsidRDefault="00CF59E1" w:rsidP="007211C0">
                            <w:pPr>
                              <w:rPr>
                                <w:sz w:val="18"/>
                                <w:szCs w:val="18"/>
                              </w:rPr>
                            </w:pPr>
                            <w:r>
                              <w:rPr>
                                <w:sz w:val="18"/>
                                <w:szCs w:val="18"/>
                              </w:rPr>
                              <w:t xml:space="preserve">Involuntary Resettlement </w:t>
                            </w:r>
                            <w:r w:rsidRPr="0032151D">
                              <w:rPr>
                                <w:sz w:val="18"/>
                                <w:szCs w:val="18"/>
                              </w:rPr>
                              <w:t>(OP</w:t>
                            </w:r>
                            <w:r>
                              <w:rPr>
                                <w:sz w:val="18"/>
                                <w:szCs w:val="18"/>
                              </w:rPr>
                              <w:t>/BP</w:t>
                            </w:r>
                            <w:r w:rsidRPr="0032151D">
                              <w:rPr>
                                <w:sz w:val="18"/>
                                <w:szCs w:val="18"/>
                              </w:rPr>
                              <w:t xml:space="preserve"> </w:t>
                            </w:r>
                            <w:r>
                              <w:rPr>
                                <w:sz w:val="18"/>
                                <w:szCs w:val="18"/>
                              </w:rPr>
                              <w:t>4.12)</w:t>
                            </w:r>
                          </w:p>
                        </w:txbxContent>
                      </v:textbox>
                    </v:roundrect>
                  </v:group>
                  <v:group id="Group 27" o:spid="_x0000_s1072" style="position:absolute;left:7251;top:5953;width:2411;height:602" coordorigin="1725,4471" coordsize="241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28" o:spid="_x0000_s1073" type="#_x0000_t32" style="position:absolute;left:1725;top:4789;width:1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KNocQAAADbAAAADwAAAGRycy9kb3ducmV2LnhtbESP0WrCQBRE3wv+w3KFvhTdGGwj0VVE&#10;qIh9apIPuGSvSTB7N2S3Sfr3bqHg4zAzZ5jdYTKtGKh3jWUFq2UEgri0uuFKQZF/LjYgnEfW2Fom&#10;Bb/k4LCfveww1XbkbxoyX4kAYZeigtr7LpXSlTUZdEvbEQfvZnuDPsi+krrHMcBNK+Mo+pAGGw4L&#10;NXZ0qqm8Zz9GQTNmpyreXN+/ksKt7m9n2ea5VOp1Ph23IDxN/hn+b1+0gmQNf1/CD5D7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Qo2hxAAAANsAAAAPAAAAAAAAAAAA&#10;AAAAAKECAABkcnMvZG93bnJldi54bWxQSwUGAAAAAAQABAD5AAAAkgMAAAAA&#10;" strokecolor="#1f497d"/>
                    <v:roundrect id="AutoShape 29" o:spid="_x0000_s1074" style="position:absolute;left:1909;top:4471;width:2227;height:6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Am2MAA&#10;AADbAAAADwAAAGRycy9kb3ducmV2LnhtbESPQYvCMBSE74L/ITzBm6YKValGEUWQXsTuen80z7bY&#10;vJQm1vrvNwuCx2FmvmE2u97UoqPWVZYVzKYRCOLc6ooLBb8/p8kKhPPIGmvLpOBNDnbb4WCDibYv&#10;vlKX+UIECLsEFZTeN4mULi/JoJvahjh4d9sa9EG2hdQtvgLc1HIeRQtpsOKwUGJDh5LyR/Y0CjiN&#10;jlV8wrSPu4ae6S2bXY4Hpcajfr8G4an33/CnfdYKljH8fw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Am2MAAAADbAAAADwAAAAAAAAAAAAAAAACYAgAAZHJzL2Rvd25y&#10;ZXYueG1sUEsFBgAAAAAEAAQA9QAAAIUDAAAAAA==&#10;" fillcolor="#c6d9f1" strokecolor="#1f497d">
                      <v:textbox>
                        <w:txbxContent>
                          <w:p w14:paraId="65889AC5" w14:textId="77777777" w:rsidR="00CF59E1" w:rsidRPr="0032151D" w:rsidRDefault="00CF59E1" w:rsidP="007211C0">
                            <w:pPr>
                              <w:rPr>
                                <w:sz w:val="18"/>
                                <w:szCs w:val="18"/>
                              </w:rPr>
                            </w:pPr>
                            <w:r>
                              <w:rPr>
                                <w:sz w:val="18"/>
                                <w:szCs w:val="18"/>
                              </w:rPr>
                              <w:t>Indigenous Peoples (OP/BP 4.10)</w:t>
                            </w:r>
                          </w:p>
                        </w:txbxContent>
                      </v:textbox>
                    </v:roundrect>
                  </v:group>
                </v:group>
              </v:group>
            </w:pict>
          </mc:Fallback>
        </mc:AlternateContent>
      </w:r>
    </w:p>
    <w:p w14:paraId="5D841411" w14:textId="77777777" w:rsidR="00CF59E1" w:rsidRPr="000F62A5" w:rsidRDefault="00CF59E1" w:rsidP="007211C0">
      <w:pPr>
        <w:autoSpaceDE/>
        <w:autoSpaceDN/>
        <w:adjustRightInd/>
        <w:spacing w:after="200" w:line="276" w:lineRule="auto"/>
        <w:rPr>
          <w:rFonts w:cs="Times New Roman"/>
        </w:rPr>
      </w:pPr>
    </w:p>
    <w:p w14:paraId="2F02BF72" w14:textId="77777777" w:rsidR="00CF59E1" w:rsidRPr="000F62A5" w:rsidRDefault="00CF59E1" w:rsidP="007211C0">
      <w:pPr>
        <w:autoSpaceDE/>
        <w:autoSpaceDN/>
        <w:adjustRightInd/>
        <w:spacing w:after="200" w:line="276" w:lineRule="auto"/>
        <w:rPr>
          <w:rFonts w:cs="Times New Roman"/>
        </w:rPr>
      </w:pPr>
    </w:p>
    <w:p w14:paraId="17774824" w14:textId="77777777" w:rsidR="00CF59E1" w:rsidRPr="000F62A5" w:rsidRDefault="00CF59E1" w:rsidP="007211C0">
      <w:pPr>
        <w:autoSpaceDE/>
        <w:autoSpaceDN/>
        <w:adjustRightInd/>
        <w:spacing w:after="200" w:line="276" w:lineRule="auto"/>
        <w:rPr>
          <w:rFonts w:cs="Times New Roman"/>
        </w:rPr>
        <w:sectPr w:rsidR="00CF59E1" w:rsidRPr="000F62A5" w:rsidSect="00CF59E1">
          <w:footerReference w:type="default" r:id="rId16"/>
          <w:footnotePr>
            <w:numRestart w:val="eachSect"/>
          </w:footnotePr>
          <w:pgSz w:w="15840" w:h="12240" w:orient="landscape"/>
          <w:pgMar w:top="1440" w:right="1440" w:bottom="1440" w:left="1440" w:header="720" w:footer="720" w:gutter="0"/>
          <w:cols w:space="720"/>
          <w:docGrid w:linePitch="360"/>
        </w:sectPr>
      </w:pPr>
    </w:p>
    <w:p w14:paraId="56174ABE" w14:textId="77777777" w:rsidR="00CF59E1" w:rsidRPr="000F62A5" w:rsidRDefault="00CF59E1" w:rsidP="00CF59E1">
      <w:pPr>
        <w:tabs>
          <w:tab w:val="left" w:pos="10791"/>
        </w:tabs>
        <w:autoSpaceDE/>
        <w:autoSpaceDN/>
        <w:adjustRightInd/>
        <w:spacing w:after="200" w:line="276" w:lineRule="auto"/>
        <w:jc w:val="center"/>
        <w:rPr>
          <w:rFonts w:cs="Times New Roman"/>
        </w:rPr>
      </w:pPr>
      <w:r>
        <w:rPr>
          <w:noProof/>
        </w:rPr>
        <mc:AlternateContent>
          <mc:Choice Requires="wps">
            <w:drawing>
              <wp:anchor distT="0" distB="0" distL="114300" distR="114300" simplePos="0" relativeHeight="251664896" behindDoc="0" locked="0" layoutInCell="1" allowOverlap="1" wp14:anchorId="3F65ACA5" wp14:editId="3A9D0A3D">
                <wp:simplePos x="0" y="0"/>
                <wp:positionH relativeFrom="column">
                  <wp:posOffset>488315</wp:posOffset>
                </wp:positionH>
                <wp:positionV relativeFrom="paragraph">
                  <wp:posOffset>-228600</wp:posOffset>
                </wp:positionV>
                <wp:extent cx="8350250" cy="546100"/>
                <wp:effectExtent l="0" t="0" r="0" b="0"/>
                <wp:wrapNone/>
                <wp:docPr id="6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350250" cy="546100"/>
                        </a:xfrm>
                        <a:prstGeom prst="rect">
                          <a:avLst/>
                        </a:prstGeom>
                      </wps:spPr>
                      <wps:txbx>
                        <w:txbxContent>
                          <w:p w14:paraId="3C348CF4" w14:textId="77777777" w:rsidR="00CF59E1" w:rsidRDefault="00CF59E1" w:rsidP="00CF59E1">
                            <w:pPr>
                              <w:pStyle w:val="NormalWeb"/>
                              <w:spacing w:before="0" w:beforeAutospacing="0" w:after="0" w:afterAutospacing="0"/>
                              <w:jc w:val="center"/>
                              <w:rPr>
                                <w:rFonts w:ascii="Calibri" w:eastAsia="Calibri" w:hAnsi="Calibri"/>
                                <w:b/>
                                <w:sz w:val="28"/>
                                <w:szCs w:val="28"/>
                              </w:rPr>
                            </w:pPr>
                          </w:p>
                          <w:p w14:paraId="47103D30" w14:textId="77777777" w:rsidR="00CF59E1" w:rsidRPr="00F14825" w:rsidRDefault="00CF59E1" w:rsidP="00CF59E1">
                            <w:pPr>
                              <w:pStyle w:val="NormalWeb"/>
                              <w:tabs>
                                <w:tab w:val="left" w:pos="2520"/>
                              </w:tabs>
                              <w:spacing w:before="0" w:beforeAutospacing="0" w:after="0" w:afterAutospacing="0"/>
                              <w:jc w:val="center"/>
                              <w:rPr>
                                <w:rFonts w:ascii="Calibri" w:eastAsia="Calibri" w:hAnsi="Calibri"/>
                                <w:b/>
                                <w:sz w:val="28"/>
                                <w:szCs w:val="28"/>
                              </w:rPr>
                            </w:pPr>
                            <w:r>
                              <w:rPr>
                                <w:rFonts w:ascii="Calibri" w:eastAsia="Calibri" w:hAnsi="Calibri"/>
                                <w:b/>
                                <w:sz w:val="28"/>
                                <w:szCs w:val="28"/>
                              </w:rPr>
                              <w:t>Annex</w:t>
                            </w:r>
                            <w:r w:rsidRPr="00F14825">
                              <w:rPr>
                                <w:rFonts w:ascii="Calibri" w:eastAsia="Calibri" w:hAnsi="Calibri"/>
                                <w:b/>
                                <w:sz w:val="28"/>
                                <w:szCs w:val="28"/>
                              </w:rPr>
                              <w:t xml:space="preserve"> 1.2. IFC – Sustainability Framework</w:t>
                            </w:r>
                          </w:p>
                          <w:p w14:paraId="55083E64" w14:textId="77777777" w:rsidR="00CF59E1" w:rsidRPr="00B71002" w:rsidRDefault="00CF59E1" w:rsidP="00CF59E1">
                            <w:pPr>
                              <w:rPr>
                                <w:szCs w:val="28"/>
                              </w:rP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3F65ACA5" id="Title 1" o:spid="_x0000_s1075" style="position:absolute;left:0;text-align:left;margin-left:38.45pt;margin-top:-18pt;width:657.5pt;height: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" filled="f" stroked="f">
                <v:path arrowok="t"/>
                <o:lock v:ext="edit" grouping="t"/>
                <v:textbox>
                  <w:txbxContent>
                    <w:p w14:paraId="3C348CF4" w14:textId="77777777" w:rsidR="00CF59E1" w:rsidRDefault="00CF59E1" w:rsidP="00CF59E1">
                      <w:pPr>
                        <w:pStyle w:val="NormalWeb"/>
                        <w:spacing w:before="0" w:beforeAutospacing="0" w:after="0" w:afterAutospacing="0"/>
                        <w:jc w:val="center"/>
                        <w:rPr>
                          <w:rFonts w:ascii="Calibri" w:eastAsia="Calibri" w:hAnsi="Calibri"/>
                          <w:b/>
                          <w:sz w:val="28"/>
                          <w:szCs w:val="28"/>
                        </w:rPr>
                      </w:pPr>
                    </w:p>
                    <w:p w14:paraId="47103D30" w14:textId="77777777" w:rsidR="00CF59E1" w:rsidRPr="00F14825" w:rsidRDefault="00CF59E1" w:rsidP="00CF59E1">
                      <w:pPr>
                        <w:pStyle w:val="NormalWeb"/>
                        <w:tabs>
                          <w:tab w:val="left" w:pos="2520"/>
                        </w:tabs>
                        <w:spacing w:before="0" w:beforeAutospacing="0" w:after="0" w:afterAutospacing="0"/>
                        <w:jc w:val="center"/>
                        <w:rPr>
                          <w:rFonts w:ascii="Calibri" w:eastAsia="Calibri" w:hAnsi="Calibri"/>
                          <w:b/>
                          <w:sz w:val="28"/>
                          <w:szCs w:val="28"/>
                        </w:rPr>
                      </w:pPr>
                      <w:r>
                        <w:rPr>
                          <w:rFonts w:ascii="Calibri" w:eastAsia="Calibri" w:hAnsi="Calibri"/>
                          <w:b/>
                          <w:sz w:val="28"/>
                          <w:szCs w:val="28"/>
                        </w:rPr>
                        <w:t>Annex</w:t>
                      </w:r>
                      <w:r w:rsidRPr="00F14825">
                        <w:rPr>
                          <w:rFonts w:ascii="Calibri" w:eastAsia="Calibri" w:hAnsi="Calibri"/>
                          <w:b/>
                          <w:sz w:val="28"/>
                          <w:szCs w:val="28"/>
                        </w:rPr>
                        <w:t xml:space="preserve"> 1.2. IFC – Sustainability Framework</w:t>
                      </w:r>
                    </w:p>
                    <w:p w14:paraId="55083E64" w14:textId="77777777" w:rsidR="00CF59E1" w:rsidRPr="00B71002" w:rsidRDefault="00CF59E1" w:rsidP="00CF59E1">
                      <w:pPr>
                        <w:rPr>
                          <w:szCs w:val="28"/>
                        </w:rPr>
                      </w:pPr>
                    </w:p>
                  </w:txbxContent>
                </v:textbox>
              </v:rect>
            </w:pict>
          </mc:Fallback>
        </mc:AlternateContent>
      </w:r>
      <w:r>
        <w:rPr>
          <w:noProof/>
        </w:rPr>
        <w:t xml:space="preserve"> </w:t>
      </w:r>
      <w:r>
        <w:rPr>
          <w:noProof/>
        </w:rPr>
        <w:drawing>
          <wp:anchor distT="0" distB="0" distL="114300" distR="114300" simplePos="0" relativeHeight="251663872" behindDoc="0" locked="0" layoutInCell="1" allowOverlap="1" wp14:anchorId="359E86E6" wp14:editId="1DA9FD00">
            <wp:simplePos x="0" y="0"/>
            <wp:positionH relativeFrom="column">
              <wp:posOffset>975995</wp:posOffset>
            </wp:positionH>
            <wp:positionV relativeFrom="paragraph">
              <wp:posOffset>425450</wp:posOffset>
            </wp:positionV>
            <wp:extent cx="6720840" cy="3562350"/>
            <wp:effectExtent l="19050" t="0" r="3810" b="0"/>
            <wp:wrapNone/>
            <wp:docPr id="56" name="Content Placeholder 4" descr="C:\Users\ffacello\AppData\Local\Temp\notesBA7FC1\IFC-Sustainability-Framework02.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4" descr="C:\Users\ffacello\AppData\Local\Temp\notesBA7FC1\IFC-Sustainability-Framework02.jpg"/>
                    <pic:cNvPicPr>
                      <a:picLocks noGrp="1" noChangeArrowheads="1"/>
                    </pic:cNvPicPr>
                  </pic:nvPicPr>
                  <pic:blipFill>
                    <a:blip r:embed="rId17"/>
                    <a:srcRect/>
                    <a:stretch>
                      <a:fillRect/>
                    </a:stretch>
                  </pic:blipFill>
                  <pic:spPr bwMode="auto">
                    <a:xfrm>
                      <a:off x="0" y="0"/>
                      <a:ext cx="6720840" cy="3562350"/>
                    </a:xfrm>
                    <a:prstGeom prst="rect">
                      <a:avLst/>
                    </a:prstGeom>
                    <a:noFill/>
                    <a:ln w="9525">
                      <a:noFill/>
                      <a:miter lim="800000"/>
                      <a:headEnd/>
                      <a:tailEnd/>
                    </a:ln>
                  </pic:spPr>
                </pic:pic>
              </a:graphicData>
            </a:graphic>
          </wp:anchor>
        </w:drawing>
      </w:r>
    </w:p>
    <w:p w14:paraId="569B47AB" w14:textId="77777777" w:rsidR="00CF59E1" w:rsidRPr="000F62A5" w:rsidRDefault="00CF59E1" w:rsidP="007211C0">
      <w:pPr>
        <w:autoSpaceDE/>
        <w:autoSpaceDN/>
        <w:adjustRightInd/>
        <w:spacing w:after="200" w:line="276" w:lineRule="auto"/>
        <w:rPr>
          <w:rFonts w:cs="Times New Roman"/>
        </w:rPr>
      </w:pPr>
    </w:p>
    <w:p w14:paraId="1E195380" w14:textId="77777777" w:rsidR="00CF59E1" w:rsidRPr="000F62A5" w:rsidRDefault="00CF59E1" w:rsidP="007211C0">
      <w:pPr>
        <w:autoSpaceDE/>
        <w:autoSpaceDN/>
        <w:adjustRightInd/>
        <w:spacing w:after="200" w:line="276" w:lineRule="auto"/>
        <w:rPr>
          <w:rFonts w:cs="Times New Roman"/>
        </w:rPr>
      </w:pPr>
    </w:p>
    <w:p w14:paraId="4CA509F3" w14:textId="77777777" w:rsidR="00CF59E1" w:rsidRPr="000F62A5" w:rsidRDefault="00CF59E1" w:rsidP="007211C0">
      <w:pPr>
        <w:autoSpaceDE/>
        <w:autoSpaceDN/>
        <w:adjustRightInd/>
        <w:spacing w:after="200" w:line="276" w:lineRule="auto"/>
        <w:rPr>
          <w:rFonts w:cs="Times New Roman"/>
        </w:rPr>
      </w:pPr>
    </w:p>
    <w:p w14:paraId="727B8ECF" w14:textId="77777777" w:rsidR="00CF59E1" w:rsidRPr="000F62A5" w:rsidRDefault="00CF59E1" w:rsidP="007211C0">
      <w:pPr>
        <w:autoSpaceDE/>
        <w:autoSpaceDN/>
        <w:adjustRightInd/>
        <w:spacing w:after="200" w:line="276" w:lineRule="auto"/>
        <w:rPr>
          <w:rFonts w:cs="Times New Roman"/>
        </w:rPr>
      </w:pPr>
    </w:p>
    <w:p w14:paraId="09228BBF" w14:textId="77777777" w:rsidR="00CF59E1" w:rsidRPr="000F62A5" w:rsidRDefault="00CF59E1" w:rsidP="007211C0">
      <w:pPr>
        <w:autoSpaceDE/>
        <w:autoSpaceDN/>
        <w:adjustRightInd/>
        <w:spacing w:after="200" w:line="276" w:lineRule="auto"/>
        <w:rPr>
          <w:rFonts w:cs="Times New Roman"/>
        </w:rPr>
      </w:pPr>
    </w:p>
    <w:p w14:paraId="0D57CB46" w14:textId="77777777" w:rsidR="00CF59E1" w:rsidRPr="000F62A5" w:rsidRDefault="00CF59E1" w:rsidP="007211C0">
      <w:pPr>
        <w:autoSpaceDE/>
        <w:autoSpaceDN/>
        <w:adjustRightInd/>
        <w:spacing w:after="200" w:line="276" w:lineRule="auto"/>
        <w:rPr>
          <w:rFonts w:cs="Times New Roman"/>
        </w:rPr>
        <w:sectPr w:rsidR="00CF59E1" w:rsidRPr="000F62A5" w:rsidSect="00755AED">
          <w:pgSz w:w="15840" w:h="12240" w:orient="landscape"/>
          <w:pgMar w:top="1440" w:right="1440" w:bottom="1440" w:left="1843" w:header="720" w:footer="720" w:gutter="0"/>
          <w:cols w:space="720"/>
          <w:docGrid w:linePitch="360"/>
        </w:sectPr>
      </w:pPr>
      <w:r>
        <w:rPr>
          <w:noProof/>
        </w:rPr>
        <mc:AlternateContent>
          <mc:Choice Requires="wpg">
            <w:drawing>
              <wp:anchor distT="0" distB="0" distL="114300" distR="114300" simplePos="0" relativeHeight="251665920" behindDoc="0" locked="0" layoutInCell="1" allowOverlap="1" wp14:anchorId="1D5B9B81" wp14:editId="5E6967AC">
                <wp:simplePos x="0" y="0"/>
                <wp:positionH relativeFrom="column">
                  <wp:posOffset>1847850</wp:posOffset>
                </wp:positionH>
                <wp:positionV relativeFrom="paragraph">
                  <wp:posOffset>1122045</wp:posOffset>
                </wp:positionV>
                <wp:extent cx="5162550" cy="2510155"/>
                <wp:effectExtent l="17780" t="22225" r="20320" b="20320"/>
                <wp:wrapSquare wrapText="bothSides"/>
                <wp:docPr id="6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2510155"/>
                          <a:chOff x="4336" y="6277"/>
                          <a:chExt cx="8130" cy="3588"/>
                        </a:xfrm>
                      </wpg:grpSpPr>
                      <wps:wsp>
                        <wps:cNvPr id="64" name="Straight Arrow Connector 5"/>
                        <wps:cNvCnPr>
                          <a:cxnSpLocks noChangeShapeType="1"/>
                        </wps:cNvCnPr>
                        <wps:spPr bwMode="auto">
                          <a:xfrm flipV="1">
                            <a:off x="7114" y="6277"/>
                            <a:ext cx="0" cy="142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65" name="Rectangle 6"/>
                        <wps:cNvSpPr>
                          <a:spLocks noChangeArrowheads="1"/>
                        </wps:cNvSpPr>
                        <wps:spPr bwMode="auto">
                          <a:xfrm>
                            <a:off x="4336" y="7697"/>
                            <a:ext cx="8130" cy="2168"/>
                          </a:xfrm>
                          <a:prstGeom prst="rect">
                            <a:avLst/>
                          </a:prstGeom>
                          <a:solidFill>
                            <a:srgbClr val="FFC000">
                              <a:alpha val="58038"/>
                            </a:srgbClr>
                          </a:solidFill>
                          <a:ln w="25400">
                            <a:solidFill>
                              <a:srgbClr val="FFC000">
                                <a:alpha val="18039"/>
                              </a:srgbClr>
                            </a:solidFill>
                            <a:miter lim="800000"/>
                            <a:headEnd/>
                            <a:tailEnd/>
                          </a:ln>
                        </wps:spPr>
                        <wps:txbx>
                          <w:txbxContent>
                            <w:p w14:paraId="32F8DADC" w14:textId="77777777" w:rsidR="00CF59E1" w:rsidRPr="00EC71FE" w:rsidRDefault="00CF59E1" w:rsidP="009F3E8E">
                              <w:pPr>
                                <w:pStyle w:val="Header"/>
                                <w:numPr>
                                  <w:ilvl w:val="0"/>
                                  <w:numId w:val="24"/>
                                </w:numPr>
                                <w:autoSpaceDE/>
                                <w:autoSpaceDN/>
                                <w:adjustRightInd/>
                                <w:spacing w:before="120"/>
                                <w:rPr>
                                  <w:rFonts w:ascii="GillSans" w:eastAsia="Times New Roman" w:hAnsi="GillSans" w:cs="Times New Roman"/>
                                  <w:bCs/>
                                  <w:color w:val="000000"/>
                                  <w:sz w:val="20"/>
                                  <w:szCs w:val="20"/>
                                </w:rPr>
                              </w:pPr>
                              <w:r w:rsidRPr="00EC71FE">
                                <w:rPr>
                                  <w:rFonts w:ascii="GillSans" w:eastAsia="Times New Roman" w:hAnsi="GillSans" w:cs="Times New Roman"/>
                                  <w:bCs/>
                                  <w:color w:val="000000"/>
                                  <w:sz w:val="20"/>
                                  <w:szCs w:val="20"/>
                                </w:rPr>
                                <w:t>PS1: Assessment and Management of E&amp;S Risks and Impacts</w:t>
                              </w:r>
                            </w:p>
                            <w:p w14:paraId="0FF1045D" w14:textId="77777777" w:rsidR="00CF59E1" w:rsidRPr="00EC71FE" w:rsidRDefault="00CF59E1" w:rsidP="009F3E8E">
                              <w:pPr>
                                <w:pStyle w:val="Header"/>
                                <w:numPr>
                                  <w:ilvl w:val="0"/>
                                  <w:numId w:val="24"/>
                                </w:numPr>
                                <w:autoSpaceDE/>
                                <w:autoSpaceDN/>
                                <w:adjustRightInd/>
                                <w:rPr>
                                  <w:rFonts w:ascii="GillSans" w:eastAsia="Times New Roman" w:hAnsi="GillSans" w:cs="Times New Roman"/>
                                  <w:color w:val="000000"/>
                                  <w:sz w:val="20"/>
                                  <w:szCs w:val="20"/>
                                </w:rPr>
                              </w:pPr>
                              <w:r w:rsidRPr="00EC71FE">
                                <w:rPr>
                                  <w:rFonts w:ascii="GillSans" w:eastAsia="Times New Roman" w:hAnsi="GillSans" w:cs="Times New Roman"/>
                                  <w:bCs/>
                                  <w:color w:val="000000"/>
                                  <w:sz w:val="20"/>
                                  <w:szCs w:val="20"/>
                                </w:rPr>
                                <w:t>PS2: Labor and Working Conditions</w:t>
                              </w:r>
                            </w:p>
                            <w:p w14:paraId="2C41207B" w14:textId="77777777" w:rsidR="00CF59E1" w:rsidRPr="00EC71FE" w:rsidRDefault="00CF59E1" w:rsidP="009F3E8E">
                              <w:pPr>
                                <w:pStyle w:val="Header"/>
                                <w:numPr>
                                  <w:ilvl w:val="0"/>
                                  <w:numId w:val="24"/>
                                </w:numPr>
                                <w:autoSpaceDE/>
                                <w:autoSpaceDN/>
                                <w:adjustRightInd/>
                                <w:rPr>
                                  <w:rFonts w:ascii="GillSans" w:eastAsia="Times New Roman" w:hAnsi="GillSans" w:cs="Times New Roman"/>
                                  <w:color w:val="000000"/>
                                  <w:sz w:val="20"/>
                                  <w:szCs w:val="20"/>
                                </w:rPr>
                              </w:pPr>
                              <w:r w:rsidRPr="00EC71FE">
                                <w:rPr>
                                  <w:rFonts w:ascii="GillSans" w:eastAsia="Times New Roman" w:hAnsi="GillSans" w:cs="Times New Roman"/>
                                  <w:bCs/>
                                  <w:color w:val="000000"/>
                                  <w:sz w:val="20"/>
                                  <w:szCs w:val="20"/>
                                </w:rPr>
                                <w:t>PS3: Resource Efficiency and Pollution Prevention</w:t>
                              </w:r>
                            </w:p>
                            <w:p w14:paraId="5987C71A" w14:textId="77777777" w:rsidR="00CF59E1" w:rsidRPr="00EC71FE" w:rsidRDefault="00CF59E1" w:rsidP="009F3E8E">
                              <w:pPr>
                                <w:pStyle w:val="Header"/>
                                <w:numPr>
                                  <w:ilvl w:val="0"/>
                                  <w:numId w:val="24"/>
                                </w:numPr>
                                <w:autoSpaceDE/>
                                <w:autoSpaceDN/>
                                <w:adjustRightInd/>
                                <w:rPr>
                                  <w:rFonts w:ascii="GillSans" w:eastAsia="Times New Roman" w:hAnsi="GillSans" w:cs="Times New Roman"/>
                                  <w:color w:val="000000"/>
                                  <w:sz w:val="20"/>
                                  <w:szCs w:val="20"/>
                                </w:rPr>
                              </w:pPr>
                              <w:r w:rsidRPr="00EC71FE">
                                <w:rPr>
                                  <w:rFonts w:ascii="GillSans" w:eastAsia="Times New Roman" w:hAnsi="GillSans" w:cs="Times New Roman"/>
                                  <w:bCs/>
                                  <w:color w:val="000000"/>
                                  <w:sz w:val="20"/>
                                  <w:szCs w:val="20"/>
                                </w:rPr>
                                <w:t>PS4: Community Health, Safety and Security</w:t>
                              </w:r>
                            </w:p>
                            <w:p w14:paraId="48EE2808" w14:textId="77777777" w:rsidR="00CF59E1" w:rsidRPr="00EC71FE" w:rsidRDefault="00CF59E1" w:rsidP="009F3E8E">
                              <w:pPr>
                                <w:pStyle w:val="Header"/>
                                <w:numPr>
                                  <w:ilvl w:val="0"/>
                                  <w:numId w:val="24"/>
                                </w:numPr>
                                <w:autoSpaceDE/>
                                <w:autoSpaceDN/>
                                <w:adjustRightInd/>
                                <w:rPr>
                                  <w:rFonts w:ascii="GillSans" w:eastAsia="Times New Roman" w:hAnsi="GillSans" w:cs="Times New Roman"/>
                                  <w:color w:val="000000"/>
                                  <w:sz w:val="20"/>
                                  <w:szCs w:val="20"/>
                                </w:rPr>
                              </w:pPr>
                              <w:r w:rsidRPr="00EC71FE">
                                <w:rPr>
                                  <w:rFonts w:ascii="GillSans" w:eastAsia="Times New Roman" w:hAnsi="GillSans" w:cs="Times New Roman"/>
                                  <w:bCs/>
                                  <w:color w:val="000000"/>
                                  <w:sz w:val="20"/>
                                  <w:szCs w:val="20"/>
                                </w:rPr>
                                <w:t>PS5: Land Acquisition and Involuntary Resettlement</w:t>
                              </w:r>
                            </w:p>
                            <w:p w14:paraId="738290D9" w14:textId="77777777" w:rsidR="00CF59E1" w:rsidRPr="00EC71FE" w:rsidRDefault="00CF59E1" w:rsidP="009F3E8E">
                              <w:pPr>
                                <w:pStyle w:val="Header"/>
                                <w:numPr>
                                  <w:ilvl w:val="0"/>
                                  <w:numId w:val="24"/>
                                </w:numPr>
                                <w:autoSpaceDE/>
                                <w:autoSpaceDN/>
                                <w:adjustRightInd/>
                                <w:rPr>
                                  <w:rFonts w:ascii="GillSans" w:eastAsia="Times New Roman" w:hAnsi="GillSans" w:cs="Times New Roman"/>
                                  <w:color w:val="000000"/>
                                  <w:sz w:val="20"/>
                                  <w:szCs w:val="20"/>
                                </w:rPr>
                              </w:pPr>
                              <w:r w:rsidRPr="00EC71FE">
                                <w:rPr>
                                  <w:rFonts w:ascii="GillSans" w:eastAsia="Times New Roman" w:hAnsi="GillSans" w:cs="Times New Roman"/>
                                  <w:bCs/>
                                  <w:color w:val="000000"/>
                                  <w:sz w:val="20"/>
                                  <w:szCs w:val="20"/>
                                </w:rPr>
                                <w:t>PS6: Biodiversity Conservation and Sustainable Management of Living Natural Resources</w:t>
                              </w:r>
                            </w:p>
                            <w:p w14:paraId="72FBBBC8" w14:textId="77777777" w:rsidR="00CF59E1" w:rsidRPr="00EC71FE" w:rsidRDefault="00CF59E1" w:rsidP="009F3E8E">
                              <w:pPr>
                                <w:pStyle w:val="Header"/>
                                <w:numPr>
                                  <w:ilvl w:val="0"/>
                                  <w:numId w:val="24"/>
                                </w:numPr>
                                <w:autoSpaceDE/>
                                <w:autoSpaceDN/>
                                <w:adjustRightInd/>
                                <w:rPr>
                                  <w:rFonts w:ascii="GillSans" w:eastAsia="Times New Roman" w:hAnsi="GillSans" w:cs="Times New Roman"/>
                                  <w:color w:val="000000"/>
                                  <w:sz w:val="20"/>
                                  <w:szCs w:val="20"/>
                                </w:rPr>
                              </w:pPr>
                              <w:r w:rsidRPr="00EC71FE">
                                <w:rPr>
                                  <w:rFonts w:ascii="GillSans" w:eastAsia="Times New Roman" w:hAnsi="GillSans" w:cs="Times New Roman"/>
                                  <w:bCs/>
                                  <w:color w:val="000000"/>
                                  <w:sz w:val="20"/>
                                  <w:szCs w:val="20"/>
                                </w:rPr>
                                <w:t>PS7: Indigenous Peoples</w:t>
                              </w:r>
                            </w:p>
                            <w:p w14:paraId="3E5FD7AD" w14:textId="77777777" w:rsidR="00CF59E1" w:rsidRPr="00EC71FE" w:rsidRDefault="00CF59E1" w:rsidP="009F3E8E">
                              <w:pPr>
                                <w:pStyle w:val="Header"/>
                                <w:numPr>
                                  <w:ilvl w:val="0"/>
                                  <w:numId w:val="24"/>
                                </w:numPr>
                                <w:autoSpaceDE/>
                                <w:autoSpaceDN/>
                                <w:adjustRightInd/>
                                <w:spacing w:after="120"/>
                                <w:rPr>
                                  <w:rFonts w:ascii="GillSans" w:eastAsia="Times New Roman" w:hAnsi="GillSans" w:cs="Times New Roman"/>
                                  <w:color w:val="000000"/>
                                  <w:sz w:val="20"/>
                                  <w:szCs w:val="20"/>
                                </w:rPr>
                              </w:pPr>
                              <w:r w:rsidRPr="00EC71FE">
                                <w:rPr>
                                  <w:rFonts w:ascii="GillSans" w:eastAsia="Times New Roman" w:hAnsi="GillSans" w:cs="Times New Roman"/>
                                  <w:bCs/>
                                  <w:color w:val="000000"/>
                                  <w:sz w:val="20"/>
                                  <w:szCs w:val="20"/>
                                </w:rPr>
                                <w:t>PS8: Cultural Heritage</w:t>
                              </w:r>
                            </w:p>
                            <w:p w14:paraId="7DE1D099" w14:textId="77777777" w:rsidR="00CF59E1" w:rsidRDefault="00CF59E1" w:rsidP="007211C0"/>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B9B81" id="Group 67" o:spid="_x0000_s1076" style="position:absolute;margin-left:145.5pt;margin-top:88.35pt;width:406.5pt;height:197.65pt;z-index:251665920" coordorigin="4336,6277" coordsize="8130,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">
                <v:shape id="Straight Arrow Connector 5" o:spid="_x0000_s1077" type="#_x0000_t32" style="position:absolute;left:7114;top:6277;width:0;height:1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AUjcMAAADbAAAADwAAAGRycy9kb3ducmV2LnhtbESPzWrDMBCE74W+g9hAb7WcUEJxrIQQ&#10;KGmhKdjOAyzWxjaxVkaSf/r2VaHQ4zAz3zD5YTG9mMj5zrKCdZKCIK6t7rhRcK3enl9B+ICssbdM&#10;Cr7Jw2H/+JBjpu3MBU1laESEsM9QQRvCkEnp65YM+sQOxNG7WWcwROkaqR3OEW56uUnTrTTYcVxo&#10;caBTS/W9HI2C+tN/ucvl/HFaF5vizFXZj1On1NNqOe5ABFrCf/iv/a4VbF/g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FI3DAAAA2wAAAA8AAAAAAAAAAAAA&#10;AAAAoQIAAGRycy9kb3ducmV2LnhtbFBLBQYAAAAABAAEAPkAAACRAwAAAAA=&#10;" strokecolor="#4a7ebb">
                  <v:stroke endarrow="open"/>
                </v:shape>
                <v:rect id="Rectangle 6" o:spid="_x0000_s1078" style="position:absolute;left:4336;top:7697;width:8130;height:2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wrMMA&#10;AADbAAAADwAAAGRycy9kb3ducmV2LnhtbESPQWvCQBSE74L/YXmCN92kEJHoKm1AsPakFunxkX0m&#10;wezbmF2T+O/dQqHHYWa+YdbbwdSio9ZVlhXE8wgEcW51xYWC7/NutgThPLLG2jIpeJKD7WY8WmOq&#10;bc9H6k6+EAHCLkUFpfdNKqXLSzLo5rYhDt7VtgZ9kG0hdYt9gJtavkXRQhqsOCyU2FBWUn47PYwC&#10;TY/++PkVJ4fzcvjJbvsLfdwvSk0nw/sKhKfB/4f/2nutYJHA75fwA+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rwrMMAAADbAAAADwAAAAAAAAAAAAAAAACYAgAAZHJzL2Rv&#10;d25yZXYueG1sUEsFBgAAAAAEAAQA9QAAAIgDAAAAAA==&#10;" fillcolor="#ffc000" strokecolor="#ffc000" strokeweight="2pt">
                  <v:fill opacity="38036f"/>
                  <v:stroke opacity="11822f"/>
                  <v:textbox>
                    <w:txbxContent>
                      <w:p w14:paraId="32F8DADC" w14:textId="77777777" w:rsidR="00CF59E1" w:rsidRPr="00EC71FE" w:rsidRDefault="00CF59E1" w:rsidP="009F3E8E">
                        <w:pPr>
                          <w:pStyle w:val="Header"/>
                          <w:numPr>
                            <w:ilvl w:val="0"/>
                            <w:numId w:val="24"/>
                          </w:numPr>
                          <w:autoSpaceDE/>
                          <w:autoSpaceDN/>
                          <w:adjustRightInd/>
                          <w:spacing w:before="120"/>
                          <w:rPr>
                            <w:rFonts w:ascii="GillSans" w:eastAsia="Times New Roman" w:hAnsi="GillSans" w:cs="Times New Roman"/>
                            <w:bCs/>
                            <w:color w:val="000000"/>
                            <w:sz w:val="20"/>
                            <w:szCs w:val="20"/>
                          </w:rPr>
                        </w:pPr>
                        <w:r w:rsidRPr="00EC71FE">
                          <w:rPr>
                            <w:rFonts w:ascii="GillSans" w:eastAsia="Times New Roman" w:hAnsi="GillSans" w:cs="Times New Roman"/>
                            <w:bCs/>
                            <w:color w:val="000000"/>
                            <w:sz w:val="20"/>
                            <w:szCs w:val="20"/>
                          </w:rPr>
                          <w:t>PS1: Assessment and Management of E&amp;S Risks and Impacts</w:t>
                        </w:r>
                      </w:p>
                      <w:p w14:paraId="0FF1045D" w14:textId="77777777" w:rsidR="00CF59E1" w:rsidRPr="00EC71FE" w:rsidRDefault="00CF59E1" w:rsidP="009F3E8E">
                        <w:pPr>
                          <w:pStyle w:val="Header"/>
                          <w:numPr>
                            <w:ilvl w:val="0"/>
                            <w:numId w:val="24"/>
                          </w:numPr>
                          <w:autoSpaceDE/>
                          <w:autoSpaceDN/>
                          <w:adjustRightInd/>
                          <w:rPr>
                            <w:rFonts w:ascii="GillSans" w:eastAsia="Times New Roman" w:hAnsi="GillSans" w:cs="Times New Roman"/>
                            <w:color w:val="000000"/>
                            <w:sz w:val="20"/>
                            <w:szCs w:val="20"/>
                          </w:rPr>
                        </w:pPr>
                        <w:r w:rsidRPr="00EC71FE">
                          <w:rPr>
                            <w:rFonts w:ascii="GillSans" w:eastAsia="Times New Roman" w:hAnsi="GillSans" w:cs="Times New Roman"/>
                            <w:bCs/>
                            <w:color w:val="000000"/>
                            <w:sz w:val="20"/>
                            <w:szCs w:val="20"/>
                          </w:rPr>
                          <w:t>PS2: Labor and Working Conditions</w:t>
                        </w:r>
                      </w:p>
                      <w:p w14:paraId="2C41207B" w14:textId="77777777" w:rsidR="00CF59E1" w:rsidRPr="00EC71FE" w:rsidRDefault="00CF59E1" w:rsidP="009F3E8E">
                        <w:pPr>
                          <w:pStyle w:val="Header"/>
                          <w:numPr>
                            <w:ilvl w:val="0"/>
                            <w:numId w:val="24"/>
                          </w:numPr>
                          <w:autoSpaceDE/>
                          <w:autoSpaceDN/>
                          <w:adjustRightInd/>
                          <w:rPr>
                            <w:rFonts w:ascii="GillSans" w:eastAsia="Times New Roman" w:hAnsi="GillSans" w:cs="Times New Roman"/>
                            <w:color w:val="000000"/>
                            <w:sz w:val="20"/>
                            <w:szCs w:val="20"/>
                          </w:rPr>
                        </w:pPr>
                        <w:r w:rsidRPr="00EC71FE">
                          <w:rPr>
                            <w:rFonts w:ascii="GillSans" w:eastAsia="Times New Roman" w:hAnsi="GillSans" w:cs="Times New Roman"/>
                            <w:bCs/>
                            <w:color w:val="000000"/>
                            <w:sz w:val="20"/>
                            <w:szCs w:val="20"/>
                          </w:rPr>
                          <w:t>PS3: Resource Efficiency and Pollution Prevention</w:t>
                        </w:r>
                      </w:p>
                      <w:p w14:paraId="5987C71A" w14:textId="77777777" w:rsidR="00CF59E1" w:rsidRPr="00EC71FE" w:rsidRDefault="00CF59E1" w:rsidP="009F3E8E">
                        <w:pPr>
                          <w:pStyle w:val="Header"/>
                          <w:numPr>
                            <w:ilvl w:val="0"/>
                            <w:numId w:val="24"/>
                          </w:numPr>
                          <w:autoSpaceDE/>
                          <w:autoSpaceDN/>
                          <w:adjustRightInd/>
                          <w:rPr>
                            <w:rFonts w:ascii="GillSans" w:eastAsia="Times New Roman" w:hAnsi="GillSans" w:cs="Times New Roman"/>
                            <w:color w:val="000000"/>
                            <w:sz w:val="20"/>
                            <w:szCs w:val="20"/>
                          </w:rPr>
                        </w:pPr>
                        <w:r w:rsidRPr="00EC71FE">
                          <w:rPr>
                            <w:rFonts w:ascii="GillSans" w:eastAsia="Times New Roman" w:hAnsi="GillSans" w:cs="Times New Roman"/>
                            <w:bCs/>
                            <w:color w:val="000000"/>
                            <w:sz w:val="20"/>
                            <w:szCs w:val="20"/>
                          </w:rPr>
                          <w:t>PS4: Community Health, Safety and Security</w:t>
                        </w:r>
                      </w:p>
                      <w:p w14:paraId="48EE2808" w14:textId="77777777" w:rsidR="00CF59E1" w:rsidRPr="00EC71FE" w:rsidRDefault="00CF59E1" w:rsidP="009F3E8E">
                        <w:pPr>
                          <w:pStyle w:val="Header"/>
                          <w:numPr>
                            <w:ilvl w:val="0"/>
                            <w:numId w:val="24"/>
                          </w:numPr>
                          <w:autoSpaceDE/>
                          <w:autoSpaceDN/>
                          <w:adjustRightInd/>
                          <w:rPr>
                            <w:rFonts w:ascii="GillSans" w:eastAsia="Times New Roman" w:hAnsi="GillSans" w:cs="Times New Roman"/>
                            <w:color w:val="000000"/>
                            <w:sz w:val="20"/>
                            <w:szCs w:val="20"/>
                          </w:rPr>
                        </w:pPr>
                        <w:r w:rsidRPr="00EC71FE">
                          <w:rPr>
                            <w:rFonts w:ascii="GillSans" w:eastAsia="Times New Roman" w:hAnsi="GillSans" w:cs="Times New Roman"/>
                            <w:bCs/>
                            <w:color w:val="000000"/>
                            <w:sz w:val="20"/>
                            <w:szCs w:val="20"/>
                          </w:rPr>
                          <w:t>PS5: Land Acquisition and Involuntary Resettlement</w:t>
                        </w:r>
                      </w:p>
                      <w:p w14:paraId="738290D9" w14:textId="77777777" w:rsidR="00CF59E1" w:rsidRPr="00EC71FE" w:rsidRDefault="00CF59E1" w:rsidP="009F3E8E">
                        <w:pPr>
                          <w:pStyle w:val="Header"/>
                          <w:numPr>
                            <w:ilvl w:val="0"/>
                            <w:numId w:val="24"/>
                          </w:numPr>
                          <w:autoSpaceDE/>
                          <w:autoSpaceDN/>
                          <w:adjustRightInd/>
                          <w:rPr>
                            <w:rFonts w:ascii="GillSans" w:eastAsia="Times New Roman" w:hAnsi="GillSans" w:cs="Times New Roman"/>
                            <w:color w:val="000000"/>
                            <w:sz w:val="20"/>
                            <w:szCs w:val="20"/>
                          </w:rPr>
                        </w:pPr>
                        <w:r w:rsidRPr="00EC71FE">
                          <w:rPr>
                            <w:rFonts w:ascii="GillSans" w:eastAsia="Times New Roman" w:hAnsi="GillSans" w:cs="Times New Roman"/>
                            <w:bCs/>
                            <w:color w:val="000000"/>
                            <w:sz w:val="20"/>
                            <w:szCs w:val="20"/>
                          </w:rPr>
                          <w:t>PS6: Biodiversity Conservation and Sustainable Management of Living Natural Resources</w:t>
                        </w:r>
                      </w:p>
                      <w:p w14:paraId="72FBBBC8" w14:textId="77777777" w:rsidR="00CF59E1" w:rsidRPr="00EC71FE" w:rsidRDefault="00CF59E1" w:rsidP="009F3E8E">
                        <w:pPr>
                          <w:pStyle w:val="Header"/>
                          <w:numPr>
                            <w:ilvl w:val="0"/>
                            <w:numId w:val="24"/>
                          </w:numPr>
                          <w:autoSpaceDE/>
                          <w:autoSpaceDN/>
                          <w:adjustRightInd/>
                          <w:rPr>
                            <w:rFonts w:ascii="GillSans" w:eastAsia="Times New Roman" w:hAnsi="GillSans" w:cs="Times New Roman"/>
                            <w:color w:val="000000"/>
                            <w:sz w:val="20"/>
                            <w:szCs w:val="20"/>
                          </w:rPr>
                        </w:pPr>
                        <w:r w:rsidRPr="00EC71FE">
                          <w:rPr>
                            <w:rFonts w:ascii="GillSans" w:eastAsia="Times New Roman" w:hAnsi="GillSans" w:cs="Times New Roman"/>
                            <w:bCs/>
                            <w:color w:val="000000"/>
                            <w:sz w:val="20"/>
                            <w:szCs w:val="20"/>
                          </w:rPr>
                          <w:t>PS7: Indigenous Peoples</w:t>
                        </w:r>
                      </w:p>
                      <w:p w14:paraId="3E5FD7AD" w14:textId="77777777" w:rsidR="00CF59E1" w:rsidRPr="00EC71FE" w:rsidRDefault="00CF59E1" w:rsidP="009F3E8E">
                        <w:pPr>
                          <w:pStyle w:val="Header"/>
                          <w:numPr>
                            <w:ilvl w:val="0"/>
                            <w:numId w:val="24"/>
                          </w:numPr>
                          <w:autoSpaceDE/>
                          <w:autoSpaceDN/>
                          <w:adjustRightInd/>
                          <w:spacing w:after="120"/>
                          <w:rPr>
                            <w:rFonts w:ascii="GillSans" w:eastAsia="Times New Roman" w:hAnsi="GillSans" w:cs="Times New Roman"/>
                            <w:color w:val="000000"/>
                            <w:sz w:val="20"/>
                            <w:szCs w:val="20"/>
                          </w:rPr>
                        </w:pPr>
                        <w:r w:rsidRPr="00EC71FE">
                          <w:rPr>
                            <w:rFonts w:ascii="GillSans" w:eastAsia="Times New Roman" w:hAnsi="GillSans" w:cs="Times New Roman"/>
                            <w:bCs/>
                            <w:color w:val="000000"/>
                            <w:sz w:val="20"/>
                            <w:szCs w:val="20"/>
                          </w:rPr>
                          <w:t>PS8: Cultural Heritage</w:t>
                        </w:r>
                      </w:p>
                      <w:p w14:paraId="7DE1D099" w14:textId="77777777" w:rsidR="00CF59E1" w:rsidRDefault="00CF59E1" w:rsidP="007211C0"/>
                    </w:txbxContent>
                  </v:textbox>
                </v:rect>
                <w10:wrap type="square"/>
              </v:group>
            </w:pict>
          </mc:Fallback>
        </mc:AlternateContent>
      </w:r>
    </w:p>
    <w:p w14:paraId="7C1DE856" w14:textId="77777777" w:rsidR="00CF59E1" w:rsidRPr="00F14825" w:rsidRDefault="00CF59E1" w:rsidP="00CF59E1">
      <w:pPr>
        <w:tabs>
          <w:tab w:val="left" w:pos="8984"/>
        </w:tabs>
        <w:autoSpaceDE/>
        <w:autoSpaceDN/>
        <w:adjustRightInd/>
        <w:spacing w:after="200" w:line="276" w:lineRule="auto"/>
        <w:jc w:val="center"/>
        <w:rPr>
          <w:rFonts w:cs="Times New Roman"/>
          <w:b/>
          <w:sz w:val="28"/>
          <w:szCs w:val="28"/>
        </w:rPr>
      </w:pPr>
      <w:r>
        <w:rPr>
          <w:noProof/>
          <w:sz w:val="28"/>
          <w:szCs w:val="28"/>
        </w:rPr>
        <mc:AlternateContent>
          <mc:Choice Requires="wpg">
            <w:drawing>
              <wp:anchor distT="0" distB="0" distL="114300" distR="114300" simplePos="0" relativeHeight="251667968" behindDoc="0" locked="0" layoutInCell="1" allowOverlap="1" wp14:anchorId="0CBB1A16" wp14:editId="00E4875A">
                <wp:simplePos x="0" y="0"/>
                <wp:positionH relativeFrom="column">
                  <wp:posOffset>604520</wp:posOffset>
                </wp:positionH>
                <wp:positionV relativeFrom="paragraph">
                  <wp:posOffset>328930</wp:posOffset>
                </wp:positionV>
                <wp:extent cx="6553200" cy="4953000"/>
                <wp:effectExtent l="22225" t="5080" r="15875" b="23495"/>
                <wp:wrapNone/>
                <wp:docPr id="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4953000"/>
                          <a:chOff x="0" y="0"/>
                          <a:chExt cx="65532" cy="49530"/>
                        </a:xfrm>
                      </wpg:grpSpPr>
                      <wpg:grpSp>
                        <wpg:cNvPr id="32" name="Group 2"/>
                        <wpg:cNvGrpSpPr>
                          <a:grpSpLocks/>
                        </wpg:cNvGrpSpPr>
                        <wpg:grpSpPr bwMode="auto">
                          <a:xfrm>
                            <a:off x="0" y="6096"/>
                            <a:ext cx="65532" cy="43434"/>
                            <a:chOff x="0" y="6096"/>
                            <a:chExt cx="65532" cy="43434"/>
                          </a:xfrm>
                        </wpg:grpSpPr>
                        <wps:wsp>
                          <wps:cNvPr id="33" name="Rectangle 29"/>
                          <wps:cNvSpPr>
                            <a:spLocks noChangeArrowheads="1"/>
                          </wps:cNvSpPr>
                          <wps:spPr bwMode="auto">
                            <a:xfrm>
                              <a:off x="0" y="37338"/>
                              <a:ext cx="65532" cy="12192"/>
                            </a:xfrm>
                            <a:prstGeom prst="rect">
                              <a:avLst/>
                            </a:prstGeom>
                            <a:solidFill>
                              <a:srgbClr val="FFFFFF"/>
                            </a:solidFill>
                            <a:ln w="28575">
                              <a:solidFill>
                                <a:srgbClr val="66CCFF"/>
                              </a:solidFill>
                              <a:miter lim="800000"/>
                              <a:headEnd/>
                              <a:tailEnd/>
                            </a:ln>
                          </wps:spPr>
                          <wps:txbx>
                            <w:txbxContent>
                              <w:p w14:paraId="0B676125" w14:textId="77777777" w:rsidR="00CF59E1" w:rsidRDefault="00CF59E1" w:rsidP="007211C0">
                                <w:pPr>
                                  <w:rPr>
                                    <w:rFonts w:eastAsia="Times New Roman"/>
                                  </w:rPr>
                                </w:pPr>
                              </w:p>
                            </w:txbxContent>
                          </wps:txbx>
                          <wps:bodyPr rot="0" vert="horz" wrap="square" lIns="91440" tIns="45720" rIns="91440" bIns="45720" anchor="t" anchorCtr="0" upright="1">
                            <a:noAutofit/>
                          </wps:bodyPr>
                        </wps:wsp>
                        <wps:wsp>
                          <wps:cNvPr id="34" name="Rectangle 30"/>
                          <wps:cNvSpPr>
                            <a:spLocks noChangeArrowheads="1"/>
                          </wps:cNvSpPr>
                          <wps:spPr bwMode="auto">
                            <a:xfrm>
                              <a:off x="3048" y="40386"/>
                              <a:ext cx="33528" cy="6096"/>
                            </a:xfrm>
                            <a:prstGeom prst="rect">
                              <a:avLst/>
                            </a:prstGeom>
                            <a:solidFill>
                              <a:srgbClr val="1F497D"/>
                            </a:solidFill>
                            <a:ln w="9525">
                              <a:solidFill>
                                <a:srgbClr val="0000FF"/>
                              </a:solidFill>
                              <a:miter lim="800000"/>
                              <a:headEnd/>
                              <a:tailEnd/>
                            </a:ln>
                          </wps:spPr>
                          <wps:txbx>
                            <w:txbxContent>
                              <w:p w14:paraId="4AD86309" w14:textId="77777777" w:rsidR="00CF59E1" w:rsidRPr="00EC71FE" w:rsidRDefault="00CF59E1" w:rsidP="007211C0">
                                <w:pPr>
                                  <w:pStyle w:val="NormalWeb"/>
                                  <w:kinsoku w:val="0"/>
                                  <w:overflowPunct w:val="0"/>
                                  <w:spacing w:before="0" w:beforeAutospacing="0" w:after="0" w:afterAutospacing="0"/>
                                  <w:jc w:val="center"/>
                                  <w:textAlignment w:val="baseline"/>
                                  <w:rPr>
                                    <w:color w:val="FFFFFF"/>
                                  </w:rPr>
                                </w:pPr>
                                <w:r w:rsidRPr="00EC71FE">
                                  <w:rPr>
                                    <w:rFonts w:ascii="Arial" w:eastAsia="PMingLiU" w:hAnsi="Arial"/>
                                    <w:b/>
                                    <w:bCs/>
                                    <w:color w:val="FFFFFF"/>
                                    <w:kern w:val="24"/>
                                    <w:sz w:val="28"/>
                                    <w:szCs w:val="28"/>
                                  </w:rPr>
                                  <w:t xml:space="preserve">Safeguard Requirements for  </w:t>
                                </w:r>
                              </w:p>
                              <w:p w14:paraId="6A5C2EAD" w14:textId="77777777" w:rsidR="00CF59E1" w:rsidRPr="00EC71FE" w:rsidRDefault="00CF59E1" w:rsidP="007211C0">
                                <w:pPr>
                                  <w:pStyle w:val="NormalWeb"/>
                                  <w:kinsoku w:val="0"/>
                                  <w:overflowPunct w:val="0"/>
                                  <w:spacing w:before="0" w:beforeAutospacing="0" w:after="0" w:afterAutospacing="0"/>
                                  <w:jc w:val="center"/>
                                  <w:textAlignment w:val="baseline"/>
                                  <w:rPr>
                                    <w:color w:val="FFFFFF"/>
                                  </w:rPr>
                                </w:pPr>
                                <w:r w:rsidRPr="00EC71FE">
                                  <w:rPr>
                                    <w:rFonts w:ascii="Arial" w:eastAsia="PMingLiU" w:hAnsi="Arial"/>
                                    <w:b/>
                                    <w:bCs/>
                                    <w:color w:val="FFFFFF"/>
                                    <w:kern w:val="24"/>
                                    <w:sz w:val="28"/>
                                    <w:szCs w:val="28"/>
                                  </w:rPr>
                                  <w:t>Borrowers/Clients (SR1-4)</w:t>
                                </w:r>
                              </w:p>
                            </w:txbxContent>
                          </wps:txbx>
                          <wps:bodyPr rot="0" vert="horz" wrap="square" lIns="91440" tIns="45720" rIns="91440" bIns="45720" anchor="t" anchorCtr="0" upright="1">
                            <a:noAutofit/>
                          </wps:bodyPr>
                        </wps:wsp>
                        <wps:wsp>
                          <wps:cNvPr id="35" name="Rectangle 31"/>
                          <wps:cNvSpPr>
                            <a:spLocks noChangeArrowheads="1"/>
                          </wps:cNvSpPr>
                          <wps:spPr bwMode="auto">
                            <a:xfrm>
                              <a:off x="42672" y="40386"/>
                              <a:ext cx="18288" cy="6096"/>
                            </a:xfrm>
                            <a:prstGeom prst="rect">
                              <a:avLst/>
                            </a:prstGeom>
                            <a:solidFill>
                              <a:srgbClr val="77933C"/>
                            </a:solidFill>
                            <a:ln w="9525">
                              <a:solidFill>
                                <a:srgbClr val="0000FF"/>
                              </a:solidFill>
                              <a:miter lim="800000"/>
                              <a:headEnd/>
                              <a:tailEnd/>
                            </a:ln>
                          </wps:spPr>
                          <wps:txbx>
                            <w:txbxContent>
                              <w:p w14:paraId="20F38431" w14:textId="77777777" w:rsidR="00CF59E1" w:rsidRPr="00EC71FE" w:rsidRDefault="00CF59E1" w:rsidP="007211C0">
                                <w:pPr>
                                  <w:pStyle w:val="NormalWeb"/>
                                  <w:kinsoku w:val="0"/>
                                  <w:overflowPunct w:val="0"/>
                                  <w:spacing w:before="0" w:beforeAutospacing="0" w:after="0" w:afterAutospacing="0"/>
                                  <w:jc w:val="center"/>
                                  <w:textAlignment w:val="baseline"/>
                                  <w:rPr>
                                    <w:color w:val="FFFFFF"/>
                                  </w:rPr>
                                </w:pPr>
                                <w:r w:rsidRPr="00EC71FE">
                                  <w:rPr>
                                    <w:rFonts w:ascii="Arial" w:hAnsi="Arial"/>
                                    <w:b/>
                                    <w:bCs/>
                                    <w:color w:val="FFFFFF"/>
                                    <w:kern w:val="24"/>
                                    <w:sz w:val="32"/>
                                    <w:szCs w:val="32"/>
                                  </w:rPr>
                                  <w:t>Sourcebook Materials</w:t>
                                </w:r>
                              </w:p>
                            </w:txbxContent>
                          </wps:txbx>
                          <wps:bodyPr rot="0" vert="horz" wrap="square" lIns="91440" tIns="45720" rIns="91440" bIns="45720" anchor="t" anchorCtr="0" upright="1">
                            <a:noAutofit/>
                          </wps:bodyPr>
                        </wps:wsp>
                        <wps:wsp>
                          <wps:cNvPr id="36" name="Line 23"/>
                          <wps:cNvCnPr>
                            <a:cxnSpLocks noChangeShapeType="1"/>
                          </wps:cNvCnPr>
                          <wps:spPr bwMode="auto">
                            <a:xfrm>
                              <a:off x="39624" y="6096"/>
                              <a:ext cx="0" cy="43434"/>
                            </a:xfrm>
                            <a:prstGeom prst="line">
                              <a:avLst/>
                            </a:prstGeom>
                            <a:noFill/>
                            <a:ln w="28575">
                              <a:solidFill>
                                <a:srgbClr val="66CCFF"/>
                              </a:solidFill>
                              <a:round/>
                              <a:headEnd/>
                              <a:tailEnd/>
                            </a:ln>
                            <a:extLst>
                              <a:ext uri="{909E8E84-426E-40DD-AFC4-6F175D3DCCD1}">
                                <a14:hiddenFill xmlns:a14="http://schemas.microsoft.com/office/drawing/2010/main">
                                  <a:noFill/>
                                </a14:hiddenFill>
                              </a:ext>
                            </a:extLst>
                          </wps:spPr>
                          <wps:bodyPr/>
                        </wps:wsp>
                      </wpg:grpSp>
                      <wpg:grpSp>
                        <wpg:cNvPr id="37" name="Group 3"/>
                        <wpg:cNvGrpSpPr>
                          <a:grpSpLocks/>
                        </wpg:cNvGrpSpPr>
                        <wpg:grpSpPr bwMode="auto">
                          <a:xfrm>
                            <a:off x="0" y="0"/>
                            <a:ext cx="65532" cy="37338"/>
                            <a:chOff x="0" y="0"/>
                            <a:chExt cx="65532" cy="37338"/>
                          </a:xfrm>
                        </wpg:grpSpPr>
                        <wps:wsp>
                          <wps:cNvPr id="38" name="Rectangle 4"/>
                          <wps:cNvSpPr>
                            <a:spLocks noChangeArrowheads="1"/>
                          </wps:cNvSpPr>
                          <wps:spPr bwMode="auto">
                            <a:xfrm>
                              <a:off x="0" y="6096"/>
                              <a:ext cx="65532" cy="31242"/>
                            </a:xfrm>
                            <a:prstGeom prst="rect">
                              <a:avLst/>
                            </a:prstGeom>
                            <a:solidFill>
                              <a:srgbClr val="FFFFFF"/>
                            </a:solidFill>
                            <a:ln w="28575">
                              <a:solidFill>
                                <a:srgbClr val="66CCFF"/>
                              </a:solidFill>
                              <a:miter lim="800000"/>
                              <a:headEnd/>
                              <a:tailEnd/>
                            </a:ln>
                          </wps:spPr>
                          <wps:txbx>
                            <w:txbxContent>
                              <w:p w14:paraId="105D04CF" w14:textId="77777777" w:rsidR="00CF59E1" w:rsidRDefault="00CF59E1" w:rsidP="007211C0">
                                <w:pPr>
                                  <w:pStyle w:val="NormalWeb"/>
                                  <w:kinsoku w:val="0"/>
                                  <w:overflowPunct w:val="0"/>
                                  <w:spacing w:before="0" w:beforeAutospacing="0" w:after="0" w:afterAutospacing="0"/>
                                  <w:textAlignment w:val="baseline"/>
                                </w:pPr>
                                <w:r w:rsidRPr="00EC71FE">
                                  <w:rPr>
                                    <w:b/>
                                    <w:bCs/>
                                    <w:color w:val="000000"/>
                                    <w:kern w:val="24"/>
                                  </w:rPr>
                                  <w:t xml:space="preserve">                                     </w:t>
                                </w:r>
                              </w:p>
                            </w:txbxContent>
                          </wps:txbx>
                          <wps:bodyPr rot="0" vert="horz" wrap="square" lIns="91440" tIns="45720" rIns="91440" bIns="45720" anchor="t" anchorCtr="0" upright="1">
                            <a:noAutofit/>
                          </wps:bodyPr>
                        </wps:wsp>
                        <wps:wsp>
                          <wps:cNvPr id="39" name="Rectangle 5"/>
                          <wps:cNvSpPr>
                            <a:spLocks noChangeArrowheads="1"/>
                          </wps:cNvSpPr>
                          <wps:spPr bwMode="auto">
                            <a:xfrm>
                              <a:off x="42672" y="9144"/>
                              <a:ext cx="19050" cy="25146"/>
                            </a:xfrm>
                            <a:prstGeom prst="rect">
                              <a:avLst/>
                            </a:prstGeom>
                            <a:solidFill>
                              <a:srgbClr val="92D050"/>
                            </a:solidFill>
                            <a:ln w="9525">
                              <a:solidFill>
                                <a:srgbClr val="0066FF"/>
                              </a:solidFill>
                              <a:miter lim="800000"/>
                              <a:headEnd/>
                              <a:tailEnd/>
                            </a:ln>
                          </wps:spPr>
                          <wps:txbx>
                            <w:txbxContent>
                              <w:p w14:paraId="7C204ECE" w14:textId="77777777" w:rsidR="00CF59E1" w:rsidRPr="00EC71FE" w:rsidRDefault="00CF59E1" w:rsidP="007211C0">
                                <w:pPr>
                                  <w:pStyle w:val="NormalWeb"/>
                                  <w:kinsoku w:val="0"/>
                                  <w:overflowPunct w:val="0"/>
                                  <w:spacing w:before="0" w:beforeAutospacing="0" w:after="0" w:afterAutospacing="0"/>
                                  <w:jc w:val="center"/>
                                  <w:textAlignment w:val="baseline"/>
                                  <w:rPr>
                                    <w:rFonts w:ascii="Arial" w:hAnsi="Arial"/>
                                    <w:b/>
                                    <w:bCs/>
                                    <w:kern w:val="24"/>
                                    <w:sz w:val="32"/>
                                    <w:szCs w:val="32"/>
                                  </w:rPr>
                                </w:pPr>
                              </w:p>
                              <w:p w14:paraId="7E7C28BF" w14:textId="77777777" w:rsidR="00CF59E1" w:rsidRPr="00EC71FE" w:rsidRDefault="00CF59E1" w:rsidP="007211C0">
                                <w:pPr>
                                  <w:pStyle w:val="NormalWeb"/>
                                  <w:kinsoku w:val="0"/>
                                  <w:overflowPunct w:val="0"/>
                                  <w:spacing w:before="0" w:beforeAutospacing="0" w:after="0" w:afterAutospacing="0"/>
                                  <w:jc w:val="center"/>
                                  <w:textAlignment w:val="baseline"/>
                                  <w:rPr>
                                    <w:rFonts w:ascii="Arial" w:hAnsi="Arial"/>
                                    <w:b/>
                                    <w:bCs/>
                                    <w:kern w:val="24"/>
                                    <w:sz w:val="32"/>
                                    <w:szCs w:val="32"/>
                                  </w:rPr>
                                </w:pPr>
                              </w:p>
                              <w:p w14:paraId="7C342796" w14:textId="77777777" w:rsidR="00CF59E1" w:rsidRPr="005F77CC" w:rsidRDefault="00CF59E1" w:rsidP="007211C0">
                                <w:pPr>
                                  <w:pStyle w:val="NormalWeb"/>
                                  <w:kinsoku w:val="0"/>
                                  <w:overflowPunct w:val="0"/>
                                  <w:spacing w:before="0" w:beforeAutospacing="0" w:after="0" w:afterAutospacing="0"/>
                                  <w:jc w:val="center"/>
                                  <w:textAlignment w:val="baseline"/>
                                  <w:rPr>
                                    <w:sz w:val="30"/>
                                    <w:szCs w:val="30"/>
                                  </w:rPr>
                                </w:pPr>
                                <w:r w:rsidRPr="00EC71FE">
                                  <w:rPr>
                                    <w:rFonts w:ascii="Arial" w:hAnsi="Arial"/>
                                    <w:b/>
                                    <w:bCs/>
                                    <w:kern w:val="24"/>
                                    <w:sz w:val="30"/>
                                    <w:szCs w:val="30"/>
                                  </w:rPr>
                                  <w:t>Operations Manual (OM) section: Internal Safeguard Review Procedures</w:t>
                                </w:r>
                              </w:p>
                            </w:txbxContent>
                          </wps:txbx>
                          <wps:bodyPr rot="0" vert="horz" wrap="square" lIns="91440" tIns="45720" rIns="91440" bIns="45720" anchor="t" anchorCtr="0" upright="1">
                            <a:noAutofit/>
                          </wps:bodyPr>
                        </wps:wsp>
                        <wpg:grpSp>
                          <wpg:cNvPr id="40" name="Group 6"/>
                          <wpg:cNvGrpSpPr>
                            <a:grpSpLocks/>
                          </wpg:cNvGrpSpPr>
                          <wpg:grpSpPr bwMode="auto">
                            <a:xfrm>
                              <a:off x="0" y="0"/>
                              <a:ext cx="65532" cy="6096"/>
                              <a:chOff x="0" y="0"/>
                              <a:chExt cx="65532" cy="6096"/>
                            </a:xfrm>
                          </wpg:grpSpPr>
                          <wps:wsp>
                            <wps:cNvPr id="41" name="Rectangle 27"/>
                            <wps:cNvSpPr>
                              <a:spLocks noChangeArrowheads="1"/>
                            </wps:cNvSpPr>
                            <wps:spPr bwMode="auto">
                              <a:xfrm>
                                <a:off x="0" y="0"/>
                                <a:ext cx="39624" cy="6096"/>
                              </a:xfrm>
                              <a:prstGeom prst="rect">
                                <a:avLst/>
                              </a:prstGeom>
                              <a:solidFill>
                                <a:srgbClr val="FF9933"/>
                              </a:solidFill>
                              <a:ln w="9525">
                                <a:solidFill>
                                  <a:srgbClr val="000000"/>
                                </a:solidFill>
                                <a:miter lim="800000"/>
                                <a:headEnd/>
                                <a:tailEnd/>
                              </a:ln>
                            </wps:spPr>
                            <wps:txbx>
                              <w:txbxContent>
                                <w:p w14:paraId="58ADFD60"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eastAsia="PMingLiU" w:hAnsi="Arial"/>
                                      <w:b/>
                                      <w:bCs/>
                                      <w:kern w:val="24"/>
                                      <w:sz w:val="36"/>
                                      <w:szCs w:val="36"/>
                                    </w:rPr>
                                    <w:t>Safeguard Policy Statement</w:t>
                                  </w:r>
                                </w:p>
                                <w:p w14:paraId="25DE4363"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eastAsia="PMingLiU" w:hAnsi="Arial"/>
                                      <w:b/>
                                      <w:bCs/>
                                      <w:kern w:val="24"/>
                                      <w:sz w:val="36"/>
                                      <w:szCs w:val="36"/>
                                    </w:rPr>
                                    <w:t>Principles and Requirements</w:t>
                                  </w:r>
                                </w:p>
                              </w:txbxContent>
                            </wps:txbx>
                            <wps:bodyPr rot="0" vert="horz" wrap="square" lIns="91440" tIns="45720" rIns="91440" bIns="45720" anchor="t" anchorCtr="0" upright="1">
                              <a:noAutofit/>
                            </wps:bodyPr>
                          </wps:wsp>
                          <wps:wsp>
                            <wps:cNvPr id="42" name="Rectangle 28"/>
                            <wps:cNvSpPr>
                              <a:spLocks noChangeArrowheads="1"/>
                            </wps:cNvSpPr>
                            <wps:spPr bwMode="auto">
                              <a:xfrm>
                                <a:off x="39624" y="0"/>
                                <a:ext cx="25908" cy="6096"/>
                              </a:xfrm>
                              <a:prstGeom prst="rect">
                                <a:avLst/>
                              </a:prstGeom>
                              <a:solidFill>
                                <a:srgbClr val="FF9933"/>
                              </a:solidFill>
                              <a:ln w="9525">
                                <a:solidFill>
                                  <a:srgbClr val="000000"/>
                                </a:solidFill>
                                <a:miter lim="800000"/>
                                <a:headEnd/>
                                <a:tailEnd/>
                              </a:ln>
                            </wps:spPr>
                            <wps:txbx>
                              <w:txbxContent>
                                <w:p w14:paraId="5E8D1142"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eastAsia="PMingLiU" w:hAnsi="Arial"/>
                                      <w:b/>
                                      <w:bCs/>
                                      <w:kern w:val="24"/>
                                      <w:sz w:val="36"/>
                                      <w:szCs w:val="36"/>
                                    </w:rPr>
                                    <w:t>Policy Implementation</w:t>
                                  </w:r>
                                </w:p>
                              </w:txbxContent>
                            </wps:txbx>
                            <wps:bodyPr rot="0" vert="horz" wrap="square" lIns="91440" tIns="45720" rIns="91440" bIns="45720" anchor="t" anchorCtr="0" upright="1">
                              <a:noAutofit/>
                            </wps:bodyPr>
                          </wps:wsp>
                        </wpg:grpSp>
                        <wpg:grpSp>
                          <wpg:cNvPr id="43" name="Group 7"/>
                          <wpg:cNvGrpSpPr>
                            <a:grpSpLocks/>
                          </wpg:cNvGrpSpPr>
                          <wpg:grpSpPr bwMode="auto">
                            <a:xfrm>
                              <a:off x="2286" y="8382"/>
                              <a:ext cx="35814" cy="27432"/>
                              <a:chOff x="2286" y="8382"/>
                              <a:chExt cx="35814" cy="27432"/>
                            </a:xfrm>
                          </wpg:grpSpPr>
                          <wps:wsp>
                            <wps:cNvPr id="44" name="Rectangle 8"/>
                            <wps:cNvSpPr>
                              <a:spLocks noChangeArrowheads="1"/>
                            </wps:cNvSpPr>
                            <wps:spPr bwMode="auto">
                              <a:xfrm>
                                <a:off x="3048" y="28194"/>
                                <a:ext cx="33528" cy="7620"/>
                              </a:xfrm>
                              <a:prstGeom prst="rect">
                                <a:avLst/>
                              </a:prstGeom>
                              <a:solidFill>
                                <a:srgbClr val="8EB4E3"/>
                              </a:solidFill>
                              <a:ln w="9525">
                                <a:solidFill>
                                  <a:srgbClr val="0066FF"/>
                                </a:solidFill>
                                <a:miter lim="800000"/>
                                <a:headEnd/>
                                <a:tailEnd/>
                              </a:ln>
                            </wps:spPr>
                            <wps:txbx>
                              <w:txbxContent>
                                <w:p w14:paraId="670AE038"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eastAsia="PMingLiU" w:hAnsi="Arial"/>
                                      <w:b/>
                                      <w:bCs/>
                                      <w:kern w:val="24"/>
                                      <w:sz w:val="28"/>
                                      <w:szCs w:val="28"/>
                                    </w:rPr>
                                    <w:t xml:space="preserve">Policy Delivery Process  </w:t>
                                  </w:r>
                                </w:p>
                                <w:p w14:paraId="2748C260"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eastAsia="PMingLiU" w:hAnsi="Arial"/>
                                      <w:b/>
                                      <w:bCs/>
                                      <w:kern w:val="24"/>
                                      <w:sz w:val="28"/>
                                      <w:szCs w:val="28"/>
                                    </w:rPr>
                                    <w:t xml:space="preserve">Roles and </w:t>
                                  </w:r>
                                  <w:r w:rsidRPr="00EC71FE">
                                    <w:rPr>
                                      <w:rFonts w:ascii="Arial" w:hAnsi="Arial"/>
                                      <w:b/>
                                      <w:bCs/>
                                      <w:kern w:val="24"/>
                                      <w:sz w:val="28"/>
                                      <w:szCs w:val="28"/>
                                    </w:rPr>
                                    <w:t>Responsibilities</w:t>
                                  </w:r>
                                  <w:r w:rsidRPr="00EC71FE">
                                    <w:rPr>
                                      <w:rFonts w:ascii="Arial" w:eastAsia="PMingLiU" w:hAnsi="Arial"/>
                                      <w:b/>
                                      <w:bCs/>
                                      <w:kern w:val="24"/>
                                      <w:sz w:val="28"/>
                                      <w:szCs w:val="28"/>
                                    </w:rPr>
                                    <w:t xml:space="preserve"> of ADB and Borrowers/Clients</w:t>
                                  </w:r>
                                </w:p>
                              </w:txbxContent>
                            </wps:txbx>
                            <wps:bodyPr rot="0" vert="horz" wrap="square" lIns="91440" tIns="45720" rIns="91440" bIns="45720" anchor="t" anchorCtr="0" upright="1">
                              <a:noAutofit/>
                            </wps:bodyPr>
                          </wps:wsp>
                          <wpg:grpSp>
                            <wpg:cNvPr id="45" name="Group 9"/>
                            <wpg:cNvGrpSpPr>
                              <a:grpSpLocks/>
                            </wpg:cNvGrpSpPr>
                            <wpg:grpSpPr bwMode="auto">
                              <a:xfrm>
                                <a:off x="2286" y="8382"/>
                                <a:ext cx="35814" cy="19812"/>
                                <a:chOff x="2286" y="8382"/>
                                <a:chExt cx="35814" cy="19812"/>
                              </a:xfrm>
                            </wpg:grpSpPr>
                            <wpg:grpSp>
                              <wpg:cNvPr id="46" name="Group 37"/>
                              <wpg:cNvGrpSpPr>
                                <a:grpSpLocks/>
                              </wpg:cNvGrpSpPr>
                              <wpg:grpSpPr bwMode="auto">
                                <a:xfrm>
                                  <a:off x="2286" y="8382"/>
                                  <a:ext cx="35814" cy="15462"/>
                                  <a:chOff x="2286" y="8382"/>
                                  <a:chExt cx="35814" cy="15462"/>
                                </a:xfrm>
                              </wpg:grpSpPr>
                              <wpg:grpSp>
                                <wpg:cNvPr id="47" name="Group 18"/>
                                <wpg:cNvGrpSpPr>
                                  <a:grpSpLocks/>
                                </wpg:cNvGrpSpPr>
                                <wpg:grpSpPr bwMode="auto">
                                  <a:xfrm>
                                    <a:off x="2286" y="14478"/>
                                    <a:ext cx="35814" cy="9366"/>
                                    <a:chOff x="2286" y="14478"/>
                                    <a:chExt cx="35814" cy="9366"/>
                                  </a:xfrm>
                                </wpg:grpSpPr>
                                <wps:wsp>
                                  <wps:cNvPr id="48" name="Rectangle 24"/>
                                  <wps:cNvSpPr>
                                    <a:spLocks noChangeArrowheads="1"/>
                                  </wps:cNvSpPr>
                                  <wps:spPr bwMode="auto">
                                    <a:xfrm>
                                      <a:off x="2286" y="14478"/>
                                      <a:ext cx="10668" cy="9366"/>
                                    </a:xfrm>
                                    <a:prstGeom prst="rect">
                                      <a:avLst/>
                                    </a:prstGeom>
                                    <a:solidFill>
                                      <a:srgbClr val="8EB4E3"/>
                                    </a:solidFill>
                                    <a:ln w="9525">
                                      <a:solidFill>
                                        <a:srgbClr val="0066FF"/>
                                      </a:solidFill>
                                      <a:miter lim="800000"/>
                                      <a:headEnd/>
                                      <a:tailEnd/>
                                    </a:ln>
                                  </wps:spPr>
                                  <wps:txbx>
                                    <w:txbxContent>
                                      <w:p w14:paraId="498C3BF7"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hAnsi="Arial"/>
                                            <w:b/>
                                            <w:bCs/>
                                            <w:kern w:val="24"/>
                                            <w:sz w:val="28"/>
                                            <w:szCs w:val="28"/>
                                          </w:rPr>
                                          <w:t>Policy Principles</w:t>
                                        </w:r>
                                      </w:p>
                                      <w:p w14:paraId="23E55C75"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hAnsi="Arial"/>
                                            <w:b/>
                                            <w:bCs/>
                                            <w:kern w:val="24"/>
                                            <w:sz w:val="28"/>
                                            <w:szCs w:val="28"/>
                                          </w:rPr>
                                          <w:t>E</w:t>
                                        </w:r>
                                        <w:r w:rsidRPr="00EC71FE">
                                          <w:rPr>
                                            <w:rFonts w:ascii="Arial" w:eastAsia="PMingLiU" w:hAnsi="Arial"/>
                                            <w:b/>
                                            <w:bCs/>
                                            <w:kern w:val="24"/>
                                            <w:sz w:val="28"/>
                                            <w:szCs w:val="28"/>
                                          </w:rPr>
                                          <w:t>NV</w:t>
                                        </w:r>
                                      </w:p>
                                    </w:txbxContent>
                                  </wps:txbx>
                                  <wps:bodyPr rot="0" vert="horz" wrap="square" lIns="91440" tIns="45720" rIns="91440" bIns="45720" anchor="t" anchorCtr="0" upright="1">
                                    <a:noAutofit/>
                                  </wps:bodyPr>
                                </wps:wsp>
                                <wps:wsp>
                                  <wps:cNvPr id="49" name="Rectangle 25"/>
                                  <wps:cNvSpPr>
                                    <a:spLocks noChangeArrowheads="1"/>
                                  </wps:cNvSpPr>
                                  <wps:spPr bwMode="auto">
                                    <a:xfrm>
                                      <a:off x="26670" y="14478"/>
                                      <a:ext cx="11430" cy="9144"/>
                                    </a:xfrm>
                                    <a:prstGeom prst="rect">
                                      <a:avLst/>
                                    </a:prstGeom>
                                    <a:solidFill>
                                      <a:srgbClr val="8EB4E3"/>
                                    </a:solidFill>
                                    <a:ln w="9525">
                                      <a:solidFill>
                                        <a:srgbClr val="0066FF"/>
                                      </a:solidFill>
                                      <a:miter lim="800000"/>
                                      <a:headEnd/>
                                      <a:tailEnd/>
                                    </a:ln>
                                  </wps:spPr>
                                  <wps:txbx>
                                    <w:txbxContent>
                                      <w:p w14:paraId="1BA32654"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hAnsi="Arial"/>
                                            <w:b/>
                                            <w:bCs/>
                                            <w:kern w:val="24"/>
                                            <w:sz w:val="28"/>
                                            <w:szCs w:val="28"/>
                                          </w:rPr>
                                          <w:t>Policy Principles IP</w:t>
                                        </w:r>
                                      </w:p>
                                    </w:txbxContent>
                                  </wps:txbx>
                                  <wps:bodyPr rot="0" vert="horz" wrap="square" lIns="91440" tIns="45720" rIns="91440" bIns="45720" anchor="t" anchorCtr="0" upright="1">
                                    <a:noAutofit/>
                                  </wps:bodyPr>
                                </wps:wsp>
                                <wps:wsp>
                                  <wps:cNvPr id="50" name="Rectangle 26"/>
                                  <wps:cNvSpPr>
                                    <a:spLocks noChangeArrowheads="1"/>
                                  </wps:cNvSpPr>
                                  <wps:spPr bwMode="auto">
                                    <a:xfrm>
                                      <a:off x="14478" y="14478"/>
                                      <a:ext cx="10668" cy="9144"/>
                                    </a:xfrm>
                                    <a:prstGeom prst="rect">
                                      <a:avLst/>
                                    </a:prstGeom>
                                    <a:solidFill>
                                      <a:srgbClr val="8EB4E3"/>
                                    </a:solidFill>
                                    <a:ln w="9525">
                                      <a:solidFill>
                                        <a:srgbClr val="0066FF"/>
                                      </a:solidFill>
                                      <a:miter lim="800000"/>
                                      <a:headEnd/>
                                      <a:tailEnd/>
                                    </a:ln>
                                  </wps:spPr>
                                  <wps:txbx>
                                    <w:txbxContent>
                                      <w:p w14:paraId="38C8EA1F"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hAnsi="Arial"/>
                                            <w:b/>
                                            <w:bCs/>
                                            <w:kern w:val="24"/>
                                            <w:sz w:val="28"/>
                                            <w:szCs w:val="28"/>
                                          </w:rPr>
                                          <w:t>Policy Principles</w:t>
                                        </w:r>
                                      </w:p>
                                      <w:p w14:paraId="0ECA7856"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eastAsia="PMingLiU" w:hAnsi="Arial"/>
                                            <w:b/>
                                            <w:bCs/>
                                            <w:kern w:val="24"/>
                                            <w:sz w:val="28"/>
                                            <w:szCs w:val="28"/>
                                          </w:rPr>
                                          <w:t>IR</w:t>
                                        </w:r>
                                      </w:p>
                                    </w:txbxContent>
                                  </wps:txbx>
                                  <wps:bodyPr rot="0" vert="horz" wrap="square" lIns="91440" tIns="45720" rIns="91440" bIns="45720" anchor="t" anchorCtr="0" upright="1">
                                    <a:noAutofit/>
                                  </wps:bodyPr>
                                </wps:wsp>
                              </wpg:grpSp>
                              <wpg:grpSp>
                                <wpg:cNvPr id="51" name="Group 19"/>
                                <wpg:cNvGrpSpPr>
                                  <a:grpSpLocks/>
                                </wpg:cNvGrpSpPr>
                                <wpg:grpSpPr bwMode="auto">
                                  <a:xfrm>
                                    <a:off x="2286" y="8382"/>
                                    <a:ext cx="35814" cy="6096"/>
                                    <a:chOff x="2286" y="8382"/>
                                    <a:chExt cx="35814" cy="6096"/>
                                  </a:xfrm>
                                </wpg:grpSpPr>
                                <wps:wsp>
                                  <wps:cNvPr id="52" name="Rectangle 20"/>
                                  <wps:cNvSpPr>
                                    <a:spLocks noChangeArrowheads="1"/>
                                  </wps:cNvSpPr>
                                  <wps:spPr bwMode="auto">
                                    <a:xfrm>
                                      <a:off x="2286" y="8382"/>
                                      <a:ext cx="35814" cy="3810"/>
                                    </a:xfrm>
                                    <a:prstGeom prst="rect">
                                      <a:avLst/>
                                    </a:prstGeom>
                                    <a:solidFill>
                                      <a:srgbClr val="8EB4E3"/>
                                    </a:solidFill>
                                    <a:ln w="9525">
                                      <a:solidFill>
                                        <a:srgbClr val="0066FF"/>
                                      </a:solidFill>
                                      <a:miter lim="800000"/>
                                      <a:headEnd/>
                                      <a:tailEnd/>
                                    </a:ln>
                                  </wps:spPr>
                                  <wps:txbx>
                                    <w:txbxContent>
                                      <w:p w14:paraId="625BB714"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hAnsi="Arial"/>
                                            <w:b/>
                                            <w:bCs/>
                                            <w:kern w:val="24"/>
                                            <w:sz w:val="30"/>
                                            <w:szCs w:val="30"/>
                                          </w:rPr>
                                          <w:t>Overall Safeguard Policy Objectives</w:t>
                                        </w:r>
                                      </w:p>
                                    </w:txbxContent>
                                  </wps:txbx>
                                  <wps:bodyPr rot="0" vert="horz" wrap="square" lIns="91440" tIns="45720" rIns="91440" bIns="45720" anchor="t" anchorCtr="0" upright="1">
                                    <a:noAutofit/>
                                  </wps:bodyPr>
                                </wps:wsp>
                                <wps:wsp>
                                  <wps:cNvPr id="53" name="AutoShape 16"/>
                                  <wps:cNvSpPr>
                                    <a:spLocks noChangeArrowheads="1"/>
                                  </wps:cNvSpPr>
                                  <wps:spPr bwMode="auto">
                                    <a:xfrm>
                                      <a:off x="6858" y="12192"/>
                                      <a:ext cx="1524" cy="2286"/>
                                    </a:xfrm>
                                    <a:prstGeom prst="downArrow">
                                      <a:avLst>
                                        <a:gd name="adj1" fmla="val 50000"/>
                                        <a:gd name="adj2" fmla="val 37500"/>
                                      </a:avLst>
                                    </a:prstGeom>
                                    <a:solidFill>
                                      <a:srgbClr val="0066FF"/>
                                    </a:solidFill>
                                    <a:ln w="9525">
                                      <a:solidFill>
                                        <a:srgbClr val="0066FF"/>
                                      </a:solidFill>
                                      <a:miter lim="800000"/>
                                      <a:headEnd/>
                                      <a:tailEnd/>
                                    </a:ln>
                                  </wps:spPr>
                                  <wps:txbx>
                                    <w:txbxContent>
                                      <w:p w14:paraId="4656BCC0" w14:textId="77777777" w:rsidR="00CF59E1" w:rsidRDefault="00CF59E1" w:rsidP="007211C0">
                                        <w:pPr>
                                          <w:rPr>
                                            <w:rFonts w:eastAsia="Times New Roman"/>
                                          </w:rPr>
                                        </w:pPr>
                                      </w:p>
                                    </w:txbxContent>
                                  </wps:txbx>
                                  <wps:bodyPr rot="0" vert="horz" wrap="square" lIns="91440" tIns="45720" rIns="91440" bIns="45720" anchor="t" anchorCtr="0" upright="1">
                                    <a:noAutofit/>
                                  </wps:bodyPr>
                                </wps:wsp>
                                <wps:wsp>
                                  <wps:cNvPr id="54" name="AutoShape 17"/>
                                  <wps:cNvSpPr>
                                    <a:spLocks noChangeArrowheads="1"/>
                                  </wps:cNvSpPr>
                                  <wps:spPr bwMode="auto">
                                    <a:xfrm>
                                      <a:off x="19050" y="12192"/>
                                      <a:ext cx="1524" cy="2286"/>
                                    </a:xfrm>
                                    <a:prstGeom prst="downArrow">
                                      <a:avLst>
                                        <a:gd name="adj1" fmla="val 50000"/>
                                        <a:gd name="adj2" fmla="val 37500"/>
                                      </a:avLst>
                                    </a:prstGeom>
                                    <a:solidFill>
                                      <a:srgbClr val="0066FF"/>
                                    </a:solidFill>
                                    <a:ln w="9525">
                                      <a:solidFill>
                                        <a:srgbClr val="0066FF"/>
                                      </a:solidFill>
                                      <a:miter lim="800000"/>
                                      <a:headEnd/>
                                      <a:tailEnd/>
                                    </a:ln>
                                  </wps:spPr>
                                  <wps:txbx>
                                    <w:txbxContent>
                                      <w:p w14:paraId="308AB175" w14:textId="77777777" w:rsidR="00CF59E1" w:rsidRDefault="00CF59E1" w:rsidP="007211C0">
                                        <w:pPr>
                                          <w:rPr>
                                            <w:rFonts w:eastAsia="Times New Roman"/>
                                          </w:rPr>
                                        </w:pPr>
                                      </w:p>
                                    </w:txbxContent>
                                  </wps:txbx>
                                  <wps:bodyPr rot="0" vert="horz" wrap="square" lIns="91440" tIns="45720" rIns="91440" bIns="45720" anchor="t" anchorCtr="0" upright="1">
                                    <a:noAutofit/>
                                  </wps:bodyPr>
                                </wps:wsp>
                                <wps:wsp>
                                  <wps:cNvPr id="55" name="AutoShape 18"/>
                                  <wps:cNvSpPr>
                                    <a:spLocks noChangeArrowheads="1"/>
                                  </wps:cNvSpPr>
                                  <wps:spPr bwMode="auto">
                                    <a:xfrm>
                                      <a:off x="32004" y="12192"/>
                                      <a:ext cx="1524" cy="2286"/>
                                    </a:xfrm>
                                    <a:prstGeom prst="downArrow">
                                      <a:avLst>
                                        <a:gd name="adj1" fmla="val 50000"/>
                                        <a:gd name="adj2" fmla="val 37500"/>
                                      </a:avLst>
                                    </a:prstGeom>
                                    <a:solidFill>
                                      <a:srgbClr val="0066FF"/>
                                    </a:solidFill>
                                    <a:ln w="9525">
                                      <a:solidFill>
                                        <a:srgbClr val="0066FF"/>
                                      </a:solidFill>
                                      <a:miter lim="800000"/>
                                      <a:headEnd/>
                                      <a:tailEnd/>
                                    </a:ln>
                                  </wps:spPr>
                                  <wps:txbx>
                                    <w:txbxContent>
                                      <w:p w14:paraId="04817FD7" w14:textId="77777777" w:rsidR="00CF59E1" w:rsidRDefault="00CF59E1" w:rsidP="007211C0">
                                        <w:pPr>
                                          <w:rPr>
                                            <w:rFonts w:eastAsia="Times New Roman"/>
                                          </w:rPr>
                                        </w:pPr>
                                      </w:p>
                                    </w:txbxContent>
                                  </wps:txbx>
                                  <wps:bodyPr rot="0" vert="horz" wrap="square" lIns="91440" tIns="45720" rIns="91440" bIns="45720" anchor="t" anchorCtr="0" upright="1">
                                    <a:noAutofit/>
                                  </wps:bodyPr>
                                </wps:wsp>
                              </wpg:grpSp>
                            </wpg:grpSp>
                            <wpg:grpSp>
                              <wpg:cNvPr id="57" name="Group 12"/>
                              <wpg:cNvGrpSpPr>
                                <a:grpSpLocks/>
                              </wpg:cNvGrpSpPr>
                              <wpg:grpSpPr bwMode="auto">
                                <a:xfrm>
                                  <a:off x="7620" y="23622"/>
                                  <a:ext cx="25908" cy="4572"/>
                                  <a:chOff x="7620" y="23622"/>
                                  <a:chExt cx="25908" cy="4572"/>
                                </a:xfrm>
                              </wpg:grpSpPr>
                              <wps:wsp>
                                <wps:cNvPr id="58" name="AutoShape 19"/>
                                <wps:cNvSpPr/>
                                <wps:spPr bwMode="auto">
                                  <a:xfrm>
                                    <a:off x="19050" y="25908"/>
                                    <a:ext cx="1524" cy="2286"/>
                                  </a:xfrm>
                                  <a:prstGeom prst="downArrow">
                                    <a:avLst>
                                      <a:gd name="adj1" fmla="val 50000"/>
                                      <a:gd name="adj2" fmla="val 37500"/>
                                    </a:avLst>
                                  </a:prstGeom>
                                  <a:solidFill>
                                    <a:srgbClr val="0066FF"/>
                                  </a:solidFill>
                                  <a:ln w="9525">
                                    <a:solidFill>
                                      <a:srgbClr val="0066FF"/>
                                    </a:solidFill>
                                    <a:miter lim="800000"/>
                                    <a:headEnd/>
                                    <a:tailEnd/>
                                  </a:ln>
                                </wps:spPr>
                                <wps:txbx>
                                  <w:txbxContent>
                                    <w:p w14:paraId="0A02C499" w14:textId="77777777" w:rsidR="00CF59E1" w:rsidRDefault="00CF59E1" w:rsidP="007211C0">
                                      <w:pPr>
                                        <w:rPr>
                                          <w:rFonts w:eastAsia="Times New Roman"/>
                                        </w:rPr>
                                      </w:pPr>
                                    </w:p>
                                  </w:txbxContent>
                                </wps:txbx>
                                <wps:bodyPr/>
                              </wps:wsp>
                              <wps:wsp>
                                <wps:cNvPr id="59" name="Line 20"/>
                                <wps:cNvCnPr>
                                  <a:cxnSpLocks noChangeShapeType="1"/>
                                </wps:cNvCnPr>
                                <wps:spPr bwMode="auto">
                                  <a:xfrm>
                                    <a:off x="7620" y="25908"/>
                                    <a:ext cx="25908" cy="0"/>
                                  </a:xfrm>
                                  <a:prstGeom prst="line">
                                    <a:avLst/>
                                  </a:prstGeom>
                                  <a:noFill/>
                                  <a:ln w="12700">
                                    <a:solidFill>
                                      <a:srgbClr val="0066FF"/>
                                    </a:solidFill>
                                    <a:round/>
                                    <a:headEnd/>
                                    <a:tailEnd/>
                                  </a:ln>
                                  <a:extLst>
                                    <a:ext uri="{909E8E84-426E-40DD-AFC4-6F175D3DCCD1}">
                                      <a14:hiddenFill xmlns:a14="http://schemas.microsoft.com/office/drawing/2010/main">
                                        <a:noFill/>
                                      </a14:hiddenFill>
                                    </a:ext>
                                  </a:extLst>
                                </wps:spPr>
                                <wps:bodyPr/>
                              </wps:wsp>
                              <wps:wsp>
                                <wps:cNvPr id="60" name="Line 21"/>
                                <wps:cNvCnPr>
                                  <a:cxnSpLocks noChangeShapeType="1"/>
                                </wps:cNvCnPr>
                                <wps:spPr bwMode="auto">
                                  <a:xfrm flipV="1">
                                    <a:off x="7620" y="23622"/>
                                    <a:ext cx="0" cy="2286"/>
                                  </a:xfrm>
                                  <a:prstGeom prst="line">
                                    <a:avLst/>
                                  </a:prstGeom>
                                  <a:noFill/>
                                  <a:ln w="12700">
                                    <a:solidFill>
                                      <a:srgbClr val="0066FF"/>
                                    </a:solidFill>
                                    <a:round/>
                                    <a:headEnd/>
                                    <a:tailEnd/>
                                  </a:ln>
                                  <a:extLst>
                                    <a:ext uri="{909E8E84-426E-40DD-AFC4-6F175D3DCCD1}">
                                      <a14:hiddenFill xmlns:a14="http://schemas.microsoft.com/office/drawing/2010/main">
                                        <a:noFill/>
                                      </a14:hiddenFill>
                                    </a:ext>
                                  </a:extLst>
                                </wps:spPr>
                                <wps:bodyPr/>
                              </wps:wsp>
                              <wps:wsp>
                                <wps:cNvPr id="61" name="Line 22"/>
                                <wps:cNvCnPr>
                                  <a:cxnSpLocks noChangeShapeType="1"/>
                                </wps:cNvCnPr>
                                <wps:spPr bwMode="auto">
                                  <a:xfrm>
                                    <a:off x="33528" y="23844"/>
                                    <a:ext cx="0" cy="2064"/>
                                  </a:xfrm>
                                  <a:prstGeom prst="line">
                                    <a:avLst/>
                                  </a:prstGeom>
                                  <a:noFill/>
                                  <a:ln w="12700">
                                    <a:solidFill>
                                      <a:srgbClr val="0066FF"/>
                                    </a:solidFill>
                                    <a:round/>
                                    <a:headEnd/>
                                    <a:tailEnd/>
                                  </a:ln>
                                  <a:extLst>
                                    <a:ext uri="{909E8E84-426E-40DD-AFC4-6F175D3DCCD1}">
                                      <a14:hiddenFill xmlns:a14="http://schemas.microsoft.com/office/drawing/2010/main">
                                        <a:noFill/>
                                      </a14:hiddenFill>
                                    </a:ext>
                                  </a:extLst>
                                </wps:spPr>
                                <wps:bodyPr/>
                              </wps:wsp>
                              <wps:wsp>
                                <wps:cNvPr id="62" name="Line 42"/>
                                <wps:cNvCnPr>
                                  <a:cxnSpLocks noChangeShapeType="1"/>
                                </wps:cNvCnPr>
                                <wps:spPr bwMode="auto">
                                  <a:xfrm>
                                    <a:off x="19812" y="23622"/>
                                    <a:ext cx="0" cy="2286"/>
                                  </a:xfrm>
                                  <a:prstGeom prst="line">
                                    <a:avLst/>
                                  </a:prstGeom>
                                  <a:noFill/>
                                  <a:ln w="12700">
                                    <a:solidFill>
                                      <a:srgbClr val="0066FF"/>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CBB1A16" id="Group 131" o:spid="_x0000_s1079" style="position:absolute;left:0;text-align:left;margin-left:47.6pt;margin-top:25.9pt;width:516pt;height:390pt;z-index:251667968" coordsize="65532,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">
                <v:group id="Group 2" o:spid="_x0000_s1080" style="position:absolute;top:6096;width:65532;height:43434" coordorigin=",6096" coordsize="65532,43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29" o:spid="_x0000_s1081" style="position:absolute;top:37338;width:65532;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1RcAA&#10;AADbAAAADwAAAGRycy9kb3ducmV2LnhtbESPQYvCMBSE74L/ITzB25pacZFqWkQQPAl1F7w+m2cb&#10;bF5KE7X++82C4HGYmW+YTTHYVjyo98axgvksAUFcOW24VvD7s/9agfABWWPrmBS8yEORj0cbzLR7&#10;ckmPU6hFhLDPUEETQpdJ6auGLPqZ64ijd3W9xRBlX0vd4zPCbSvTJPmWFg3HhQY72jVU3U53q6As&#10;DV+uuF0ed6mRJqQl2vOg1HQybNcgAg3hE363D1rBYgH/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G1RcAAAADbAAAADwAAAAAAAAAAAAAAAACYAgAAZHJzL2Rvd25y&#10;ZXYueG1sUEsFBgAAAAAEAAQA9QAAAIUDAAAAAA==&#10;" strokecolor="#6cf" strokeweight="2.25pt">
                    <v:textbox>
                      <w:txbxContent>
                        <w:p w14:paraId="0B676125" w14:textId="77777777" w:rsidR="00CF59E1" w:rsidRDefault="00CF59E1" w:rsidP="007211C0">
                          <w:pPr>
                            <w:rPr>
                              <w:rFonts w:eastAsia="Times New Roman"/>
                            </w:rPr>
                          </w:pPr>
                        </w:p>
                      </w:txbxContent>
                    </v:textbox>
                  </v:rect>
                  <v:rect id="Rectangle 30" o:spid="_x0000_s1082" style="position:absolute;left:3048;top:40386;width:3352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jasQA&#10;AADbAAAADwAAAGRycy9kb3ducmV2LnhtbESPzWrDMBCE74G+g9hCL6GRk4biOlFCCRhaeghJ+gCL&#10;tbFNrJUryX9vXxUKOQ4z8w2z3Y+mET05X1tWsFwkIIgLq2suFXxf8ucUhA/IGhvLpGAiD/vdw2yL&#10;mbYDn6g/h1JECPsMFVQhtJmUvqjIoF/Yljh6V+sMhihdKbXDIcJNI1dJ8ioN1hwXKmzpUFFxO3dG&#10;Qbc6XvO3y8/0yfPW1faYfk2UKvX0OL5vQAQawz383/7QCl7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yY2rEAAAA2wAAAA8AAAAAAAAAAAAAAAAAmAIAAGRycy9k&#10;b3ducmV2LnhtbFBLBQYAAAAABAAEAPUAAACJAwAAAAA=&#10;" fillcolor="#1f497d" strokecolor="blue">
                    <v:textbox>
                      <w:txbxContent>
                        <w:p w14:paraId="4AD86309" w14:textId="77777777" w:rsidR="00CF59E1" w:rsidRPr="00EC71FE" w:rsidRDefault="00CF59E1" w:rsidP="007211C0">
                          <w:pPr>
                            <w:pStyle w:val="NormalWeb"/>
                            <w:kinsoku w:val="0"/>
                            <w:overflowPunct w:val="0"/>
                            <w:spacing w:before="0" w:beforeAutospacing="0" w:after="0" w:afterAutospacing="0"/>
                            <w:jc w:val="center"/>
                            <w:textAlignment w:val="baseline"/>
                            <w:rPr>
                              <w:color w:val="FFFFFF"/>
                            </w:rPr>
                          </w:pPr>
                          <w:r w:rsidRPr="00EC71FE">
                            <w:rPr>
                              <w:rFonts w:ascii="Arial" w:eastAsia="PMingLiU" w:hAnsi="Arial"/>
                              <w:b/>
                              <w:bCs/>
                              <w:color w:val="FFFFFF"/>
                              <w:kern w:val="24"/>
                              <w:sz w:val="28"/>
                              <w:szCs w:val="28"/>
                            </w:rPr>
                            <w:t xml:space="preserve">Safeguard Requirements for  </w:t>
                          </w:r>
                        </w:p>
                        <w:p w14:paraId="6A5C2EAD" w14:textId="77777777" w:rsidR="00CF59E1" w:rsidRPr="00EC71FE" w:rsidRDefault="00CF59E1" w:rsidP="007211C0">
                          <w:pPr>
                            <w:pStyle w:val="NormalWeb"/>
                            <w:kinsoku w:val="0"/>
                            <w:overflowPunct w:val="0"/>
                            <w:spacing w:before="0" w:beforeAutospacing="0" w:after="0" w:afterAutospacing="0"/>
                            <w:jc w:val="center"/>
                            <w:textAlignment w:val="baseline"/>
                            <w:rPr>
                              <w:color w:val="FFFFFF"/>
                            </w:rPr>
                          </w:pPr>
                          <w:r w:rsidRPr="00EC71FE">
                            <w:rPr>
                              <w:rFonts w:ascii="Arial" w:eastAsia="PMingLiU" w:hAnsi="Arial"/>
                              <w:b/>
                              <w:bCs/>
                              <w:color w:val="FFFFFF"/>
                              <w:kern w:val="24"/>
                              <w:sz w:val="28"/>
                              <w:szCs w:val="28"/>
                            </w:rPr>
                            <w:t>Borrowers/Clients (SR1-4)</w:t>
                          </w:r>
                        </w:p>
                      </w:txbxContent>
                    </v:textbox>
                  </v:rect>
                  <v:rect id="Rectangle 31" o:spid="_x0000_s1083" style="position:absolute;left:42672;top:40386;width:1828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bp8QA&#10;AADbAAAADwAAAGRycy9kb3ducmV2LnhtbESP3UrDQBCF7wXfYZlC7+ym1haJ3RYRSqsXhlQfYMiO&#10;SWx2NmSnSfTpXaHQy8P5+Tjr7ega1VMXas8G5rMEFHHhbc2lgc+P3d0jqCDIFhvPZOCHAmw3tzdr&#10;TK0fOKf+KKWKIxxSNFCJtKnWoajIYZj5ljh6X75zKFF2pbYdDnHcNfo+SVbaYc2RUGFLLxUVp+PZ&#10;RUizf80lWX5ng/Sr00OZvb3/ZsZMJ+PzEyihUa7hS/tgDSyW8P8l/g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km6fEAAAA2wAAAA8AAAAAAAAAAAAAAAAAmAIAAGRycy9k&#10;b3ducmV2LnhtbFBLBQYAAAAABAAEAPUAAACJAwAAAAA=&#10;" fillcolor="#77933c" strokecolor="blue">
                    <v:textbox>
                      <w:txbxContent>
                        <w:p w14:paraId="20F38431" w14:textId="77777777" w:rsidR="00CF59E1" w:rsidRPr="00EC71FE" w:rsidRDefault="00CF59E1" w:rsidP="007211C0">
                          <w:pPr>
                            <w:pStyle w:val="NormalWeb"/>
                            <w:kinsoku w:val="0"/>
                            <w:overflowPunct w:val="0"/>
                            <w:spacing w:before="0" w:beforeAutospacing="0" w:after="0" w:afterAutospacing="0"/>
                            <w:jc w:val="center"/>
                            <w:textAlignment w:val="baseline"/>
                            <w:rPr>
                              <w:color w:val="FFFFFF"/>
                            </w:rPr>
                          </w:pPr>
                          <w:r w:rsidRPr="00EC71FE">
                            <w:rPr>
                              <w:rFonts w:ascii="Arial" w:hAnsi="Arial"/>
                              <w:b/>
                              <w:bCs/>
                              <w:color w:val="FFFFFF"/>
                              <w:kern w:val="24"/>
                              <w:sz w:val="32"/>
                              <w:szCs w:val="32"/>
                            </w:rPr>
                            <w:t>Sourcebook Materials</w:t>
                          </w:r>
                        </w:p>
                      </w:txbxContent>
                    </v:textbox>
                  </v:rect>
                  <v:line id="Line 23" o:spid="_x0000_s1084" style="position:absolute;visibility:visible;mso-wrap-style:square" from="39624,6096" to="39624,4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PmfsMAAADbAAAADwAAAGRycy9kb3ducmV2LnhtbESPQWvCQBSE7wX/w/KE3urGKqlENyJN&#10;C0J7qQpeH9lnEpJ9G3e3Mf77bqHQ4zAz3zCb7Wg6MZDzjWUF81kCgri0uuFKwen4/rQC4QOyxs4y&#10;KbiTh20+edhgpu2Nv2g4hEpECPsMFdQh9JmUvqzJoJ/Znjh6F+sMhihdJbXDW4SbTj4nSSoNNhwX&#10;auzptaayPXwbBZ/Dm3bth+NzgcXLvUgX5+WVlXqcjrs1iEBj+A//tfdawSKF3y/xB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j5n7DAAAA2wAAAA8AAAAAAAAAAAAA&#10;AAAAoQIAAGRycy9kb3ducmV2LnhtbFBLBQYAAAAABAAEAPkAAACRAwAAAAA=&#10;" strokecolor="#6cf" strokeweight="2.25pt"/>
                </v:group>
                <v:group id="Group 3" o:spid="_x0000_s1085" style="position:absolute;width:65532;height:37338" coordsize="65532,37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4" o:spid="_x0000_s1086" style="position:absolute;top:6096;width:65532;height:31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nNLoA&#10;AADbAAAADwAAAGRycy9kb3ducmV2LnhtbERPvQrCMBDeBd8hnOCmqRVFqlFEEJyEquB6NmcbbC6l&#10;iVrf3gyC48f3v9p0thYvar1xrGAyTkAQF04bLhVczvvRAoQPyBprx6TgQx42635vhZl2b87pdQql&#10;iCHsM1RQhdBkUvqiIot+7BriyN1dazFE2JZSt/iO4baWaZLMpUXDsaHChnYVFY/T0yrIc8O3O25n&#10;x11qpAlpjvbaKTUcdNsliEBd+It/7oNWMI1j45f4A+T6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PUnNLoAAADbAAAADwAAAAAAAAAAAAAAAACYAgAAZHJzL2Rvd25yZXYueG1s&#10;UEsFBgAAAAAEAAQA9QAAAH8DAAAAAA==&#10;" strokecolor="#6cf" strokeweight="2.25pt">
                    <v:textbox>
                      <w:txbxContent>
                        <w:p w14:paraId="105D04CF" w14:textId="77777777" w:rsidR="00CF59E1" w:rsidRDefault="00CF59E1" w:rsidP="007211C0">
                          <w:pPr>
                            <w:pStyle w:val="NormalWeb"/>
                            <w:kinsoku w:val="0"/>
                            <w:overflowPunct w:val="0"/>
                            <w:spacing w:before="0" w:beforeAutospacing="0" w:after="0" w:afterAutospacing="0"/>
                            <w:textAlignment w:val="baseline"/>
                          </w:pPr>
                          <w:r w:rsidRPr="00EC71FE">
                            <w:rPr>
                              <w:b/>
                              <w:bCs/>
                              <w:color w:val="000000"/>
                              <w:kern w:val="24"/>
                            </w:rPr>
                            <w:t xml:space="preserve">                                     </w:t>
                          </w:r>
                        </w:p>
                      </w:txbxContent>
                    </v:textbox>
                  </v:rect>
                  <v:rect id="Rectangle 5" o:spid="_x0000_s1087" style="position:absolute;left:42672;top:9144;width:19050;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d/8QA&#10;AADbAAAADwAAAGRycy9kb3ducmV2LnhtbESPT2sCMRTE74LfITyht5rV0lZXo4ggiLdqEb09N2//&#10;4OZlSeK69tM3hYLHYWZ+w8yXnalFS85XlhWMhgkI4szqigsF34fN6wSED8gaa8uk4EEelot+b46p&#10;tnf+onYfChEh7FNUUIbQpFL6rCSDfmgb4ujl1hkMUbpCaof3CDe1HCfJhzRYcVwosaF1Sdl1fzMK&#10;zu5nmq+v7zs6bR+tzfXnZne8KPUy6FYzEIG68Az/t7dawdsU/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r3f/EAAAA2wAAAA8AAAAAAAAAAAAAAAAAmAIAAGRycy9k&#10;b3ducmV2LnhtbFBLBQYAAAAABAAEAPUAAACJAwAAAAA=&#10;" fillcolor="#92d050" strokecolor="#06f">
                    <v:textbox>
                      <w:txbxContent>
                        <w:p w14:paraId="7C204ECE" w14:textId="77777777" w:rsidR="00CF59E1" w:rsidRPr="00EC71FE" w:rsidRDefault="00CF59E1" w:rsidP="007211C0">
                          <w:pPr>
                            <w:pStyle w:val="NormalWeb"/>
                            <w:kinsoku w:val="0"/>
                            <w:overflowPunct w:val="0"/>
                            <w:spacing w:before="0" w:beforeAutospacing="0" w:after="0" w:afterAutospacing="0"/>
                            <w:jc w:val="center"/>
                            <w:textAlignment w:val="baseline"/>
                            <w:rPr>
                              <w:rFonts w:ascii="Arial" w:hAnsi="Arial"/>
                              <w:b/>
                              <w:bCs/>
                              <w:kern w:val="24"/>
                              <w:sz w:val="32"/>
                              <w:szCs w:val="32"/>
                            </w:rPr>
                          </w:pPr>
                        </w:p>
                        <w:p w14:paraId="7E7C28BF" w14:textId="77777777" w:rsidR="00CF59E1" w:rsidRPr="00EC71FE" w:rsidRDefault="00CF59E1" w:rsidP="007211C0">
                          <w:pPr>
                            <w:pStyle w:val="NormalWeb"/>
                            <w:kinsoku w:val="0"/>
                            <w:overflowPunct w:val="0"/>
                            <w:spacing w:before="0" w:beforeAutospacing="0" w:after="0" w:afterAutospacing="0"/>
                            <w:jc w:val="center"/>
                            <w:textAlignment w:val="baseline"/>
                            <w:rPr>
                              <w:rFonts w:ascii="Arial" w:hAnsi="Arial"/>
                              <w:b/>
                              <w:bCs/>
                              <w:kern w:val="24"/>
                              <w:sz w:val="32"/>
                              <w:szCs w:val="32"/>
                            </w:rPr>
                          </w:pPr>
                        </w:p>
                        <w:p w14:paraId="7C342796" w14:textId="77777777" w:rsidR="00CF59E1" w:rsidRPr="005F77CC" w:rsidRDefault="00CF59E1" w:rsidP="007211C0">
                          <w:pPr>
                            <w:pStyle w:val="NormalWeb"/>
                            <w:kinsoku w:val="0"/>
                            <w:overflowPunct w:val="0"/>
                            <w:spacing w:before="0" w:beforeAutospacing="0" w:after="0" w:afterAutospacing="0"/>
                            <w:jc w:val="center"/>
                            <w:textAlignment w:val="baseline"/>
                            <w:rPr>
                              <w:sz w:val="30"/>
                              <w:szCs w:val="30"/>
                            </w:rPr>
                          </w:pPr>
                          <w:r w:rsidRPr="00EC71FE">
                            <w:rPr>
                              <w:rFonts w:ascii="Arial" w:hAnsi="Arial"/>
                              <w:b/>
                              <w:bCs/>
                              <w:kern w:val="24"/>
                              <w:sz w:val="30"/>
                              <w:szCs w:val="30"/>
                            </w:rPr>
                            <w:t>Operations Manual (OM) section: Internal Safeguard Review Procedures</w:t>
                          </w:r>
                        </w:p>
                      </w:txbxContent>
                    </v:textbox>
                  </v:rect>
                  <v:group id="Group 6" o:spid="_x0000_s1088" style="position:absolute;width:65532;height:6096" coordsize="65532,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27" o:spid="_x0000_s1089" style="position:absolute;width:3962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xykcMA&#10;AADbAAAADwAAAGRycy9kb3ducmV2LnhtbESPwWrDMBBE74X8g9hAb7Ws1JTgWAmhtLinQpOQ82Jt&#10;bBNr5ViK7f59VSj0OMzMG6bYzbYTIw2+daxBJSkI4sqZlmsNp+P70xqED8gGO8ek4Zs87LaLhwJz&#10;4yb+ovEQahEh7HPU0ITQ51L6qiGLPnE9cfQubrAYohxqaQacItx2cpWmL9Jiy3GhwZ5eG6quh7vV&#10;cPfPZ/WWVtKrKevLW2bLT7XS+nE57zcgAs3hP/zX/jAaMgW/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xykcMAAADbAAAADwAAAAAAAAAAAAAAAACYAgAAZHJzL2Rv&#10;d25yZXYueG1sUEsFBgAAAAAEAAQA9QAAAIgDAAAAAA==&#10;" fillcolor="#f93">
                      <v:textbox>
                        <w:txbxContent>
                          <w:p w14:paraId="58ADFD60"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eastAsia="PMingLiU" w:hAnsi="Arial"/>
                                <w:b/>
                                <w:bCs/>
                                <w:kern w:val="24"/>
                                <w:sz w:val="36"/>
                                <w:szCs w:val="36"/>
                              </w:rPr>
                              <w:t>Safeguard Policy Statement</w:t>
                            </w:r>
                          </w:p>
                          <w:p w14:paraId="25DE4363"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eastAsia="PMingLiU" w:hAnsi="Arial"/>
                                <w:b/>
                                <w:bCs/>
                                <w:kern w:val="24"/>
                                <w:sz w:val="36"/>
                                <w:szCs w:val="36"/>
                              </w:rPr>
                              <w:t>Principles and Requirements</w:t>
                            </w:r>
                          </w:p>
                        </w:txbxContent>
                      </v:textbox>
                    </v:rect>
                    <v:rect id="Rectangle 28" o:spid="_x0000_s1090" style="position:absolute;left:39624;width:2590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7s5sMA&#10;AADbAAAADwAAAGRycy9kb3ducmV2LnhtbESPwWrDMBBE74H+g9hCb7Fs14TgWg4lpCSnQpPQ8yJt&#10;bVNr5VpK7P59VCjkOMzMG6bazLYXVxp951hBlqQgiLUzHTcKzqe35RqED8gGe8ek4Jc8bOqHRYWl&#10;cRN/0PUYGhEh7EtU0IYwlFJ63ZJFn7iBOHpfbrQYohwbaUacItz2Mk/TlbTYcVxocaBtS/r7eLEK&#10;Lv75M9ulWvpsKob9T2H371mu1NPj/PoCItAc7uH/9sEoKHL4+xJ/gK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7s5sMAAADbAAAADwAAAAAAAAAAAAAAAACYAgAAZHJzL2Rv&#10;d25yZXYueG1sUEsFBgAAAAAEAAQA9QAAAIgDAAAAAA==&#10;" fillcolor="#f93">
                      <v:textbox>
                        <w:txbxContent>
                          <w:p w14:paraId="5E8D1142"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eastAsia="PMingLiU" w:hAnsi="Arial"/>
                                <w:b/>
                                <w:bCs/>
                                <w:kern w:val="24"/>
                                <w:sz w:val="36"/>
                                <w:szCs w:val="36"/>
                              </w:rPr>
                              <w:t>Policy Implementation</w:t>
                            </w:r>
                          </w:p>
                        </w:txbxContent>
                      </v:textbox>
                    </v:rect>
                  </v:group>
                  <v:group id="Group 7" o:spid="_x0000_s1091" style="position:absolute;left:2286;top:8382;width:35814;height:27432" coordorigin="2286,8382" coordsize="35814,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8" o:spid="_x0000_s1092" style="position:absolute;left:3048;top:28194;width:33528;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epsQA&#10;AADbAAAADwAAAGRycy9kb3ducmV2LnhtbESPQYvCMBSE7wv+h/CEva2prohUoxRBcBcRVkXx9mie&#10;bbF5KU2s1V9vFgSPw8x8w0znrSlFQ7UrLCvo9yIQxKnVBWcK9rvl1xiE88gaS8uk4E4O5rPOxxRj&#10;bW/8R83WZyJA2MWoIPe+iqV0aU4GXc9WxME729qgD7LOpK7xFuCmlIMoGkmDBYeFHCta5JRetlej&#10;wD6aw896vfldOZ2c9tfxMTH9b6U+u20yAeGp9e/wq73SCoZD+P8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xXqbEAAAA2wAAAA8AAAAAAAAAAAAAAAAAmAIAAGRycy9k&#10;b3ducmV2LnhtbFBLBQYAAAAABAAEAPUAAACJAwAAAAA=&#10;" fillcolor="#8eb4e3" strokecolor="#06f">
                      <v:textbox>
                        <w:txbxContent>
                          <w:p w14:paraId="670AE038"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eastAsia="PMingLiU" w:hAnsi="Arial"/>
                                <w:b/>
                                <w:bCs/>
                                <w:kern w:val="24"/>
                                <w:sz w:val="28"/>
                                <w:szCs w:val="28"/>
                              </w:rPr>
                              <w:t xml:space="preserve">Policy Delivery Process  </w:t>
                            </w:r>
                          </w:p>
                          <w:p w14:paraId="2748C260"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eastAsia="PMingLiU" w:hAnsi="Arial"/>
                                <w:b/>
                                <w:bCs/>
                                <w:kern w:val="24"/>
                                <w:sz w:val="28"/>
                                <w:szCs w:val="28"/>
                              </w:rPr>
                              <w:t xml:space="preserve">Roles and </w:t>
                            </w:r>
                            <w:r w:rsidRPr="00EC71FE">
                              <w:rPr>
                                <w:rFonts w:ascii="Arial" w:hAnsi="Arial"/>
                                <w:b/>
                                <w:bCs/>
                                <w:kern w:val="24"/>
                                <w:sz w:val="28"/>
                                <w:szCs w:val="28"/>
                              </w:rPr>
                              <w:t>Responsibilities</w:t>
                            </w:r>
                            <w:r w:rsidRPr="00EC71FE">
                              <w:rPr>
                                <w:rFonts w:ascii="Arial" w:eastAsia="PMingLiU" w:hAnsi="Arial"/>
                                <w:b/>
                                <w:bCs/>
                                <w:kern w:val="24"/>
                                <w:sz w:val="28"/>
                                <w:szCs w:val="28"/>
                              </w:rPr>
                              <w:t xml:space="preserve"> of ADB and Borrowers/Clients</w:t>
                            </w:r>
                          </w:p>
                        </w:txbxContent>
                      </v:textbox>
                    </v:rect>
                    <v:group id="Group 9" o:spid="_x0000_s1093" style="position:absolute;left:2286;top:8382;width:35814;height:19812" coordorigin="2286,8382" coordsize="35814,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37" o:spid="_x0000_s1094" style="position:absolute;left:2286;top:8382;width:35814;height:15462" coordorigin="2286,8382" coordsize="35814,15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18" o:spid="_x0000_s1095" style="position:absolute;left:2286;top:14478;width:35814;height:9366" coordorigin="2286,14478" coordsize="35814,9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24" o:spid="_x0000_s1096" style="position:absolute;left:2286;top:14478;width:10668;height:9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Uo8MA&#10;AADbAAAADwAAAGRycy9kb3ducmV2LnhtbERPTWvCQBC9F/wPywjemo1ViqSuEoRCFClUg6W3ITtN&#10;gtnZkN3E2F/fPRQ8Pt73ejuaRgzUudqygnkUgyAurK65VJCf359XIJxH1thYJgV3crDdTJ7WmGh7&#10;408aTr4UIYRdggoq79tESldUZNBFtiUO3I/tDPoAu1LqDm8h3DTyJY5fpcGaQ0OFLe0qKq6n3iiw&#10;v8Nlfzx+HDKn0++8X32lZr5QajYd0zcQnkb/EP+7M61gGcaG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xUo8MAAADbAAAADwAAAAAAAAAAAAAAAACYAgAAZHJzL2Rv&#10;d25yZXYueG1sUEsFBgAAAAAEAAQA9QAAAIgDAAAAAA==&#10;" fillcolor="#8eb4e3" strokecolor="#06f">
                            <v:textbox>
                              <w:txbxContent>
                                <w:p w14:paraId="498C3BF7"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hAnsi="Arial"/>
                                      <w:b/>
                                      <w:bCs/>
                                      <w:kern w:val="24"/>
                                      <w:sz w:val="28"/>
                                      <w:szCs w:val="28"/>
                                    </w:rPr>
                                    <w:t>Policy Principles</w:t>
                                  </w:r>
                                </w:p>
                                <w:p w14:paraId="23E55C75"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hAnsi="Arial"/>
                                      <w:b/>
                                      <w:bCs/>
                                      <w:kern w:val="24"/>
                                      <w:sz w:val="28"/>
                                      <w:szCs w:val="28"/>
                                    </w:rPr>
                                    <w:t>E</w:t>
                                  </w:r>
                                  <w:r w:rsidRPr="00EC71FE">
                                    <w:rPr>
                                      <w:rFonts w:ascii="Arial" w:eastAsia="PMingLiU" w:hAnsi="Arial"/>
                                      <w:b/>
                                      <w:bCs/>
                                      <w:kern w:val="24"/>
                                      <w:sz w:val="28"/>
                                      <w:szCs w:val="28"/>
                                    </w:rPr>
                                    <w:t>NV</w:t>
                                  </w:r>
                                </w:p>
                              </w:txbxContent>
                            </v:textbox>
                          </v:rect>
                          <v:rect id="Rectangle 25" o:spid="_x0000_s1097" style="position:absolute;left:26670;top:14478;width:1143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xOMYA&#10;AADbAAAADwAAAGRycy9kb3ducmV2LnhtbESPQWvCQBSE74X+h+UVeqsbrUiaZiOhIKiIoJWKt0f2&#10;NQnNvg3ZNcb++q4g9DjMzDdMOh9MI3rqXG1ZwXgUgSAurK65VHD4XLzEIJxH1thYJgVXcjDPHh9S&#10;TLS98I76vS9FgLBLUEHlfZtI6YqKDLqRbYmD9207gz7IrpS6w0uAm0ZOomgmDdYcFips6aOi4md/&#10;Ngrsb/+12my266XT+elwjo+5Gb8q9fw05O8gPA3+P3xvL7WC6Rvcvo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DxOMYAAADbAAAADwAAAAAAAAAAAAAAAACYAgAAZHJz&#10;L2Rvd25yZXYueG1sUEsFBgAAAAAEAAQA9QAAAIsDAAAAAA==&#10;" fillcolor="#8eb4e3" strokecolor="#06f">
                            <v:textbox>
                              <w:txbxContent>
                                <w:p w14:paraId="1BA32654"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hAnsi="Arial"/>
                                      <w:b/>
                                      <w:bCs/>
                                      <w:kern w:val="24"/>
                                      <w:sz w:val="28"/>
                                      <w:szCs w:val="28"/>
                                    </w:rPr>
                                    <w:t>Policy Principles IP</w:t>
                                  </w:r>
                                </w:p>
                              </w:txbxContent>
                            </v:textbox>
                          </v:rect>
                          <v:rect id="Rectangle 26" o:spid="_x0000_s1098" style="position:absolute;left:14478;top:14478;width:1066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POeMMA&#10;AADbAAAADwAAAGRycy9kb3ducmV2LnhtbERPTWvCQBC9F/wPywjemo0Vi6SuEoRCFClUg6W3ITtN&#10;gtnZkN3E2F/fPRQ8Pt73ejuaRgzUudqygnkUgyAurK65VJCf359XIJxH1thYJgV3crDdTJ7WmGh7&#10;408aTr4UIYRdggoq79tESldUZNBFtiUO3I/tDPoAu1LqDm8h3DTyJY5fpcGaQ0OFLe0qKq6n3iiw&#10;v8Nlfzx+HDKn0++8X32lZr5QajYd0zcQnkb/EP+7M61gGdaH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POeMMAAADbAAAADwAAAAAAAAAAAAAAAACYAgAAZHJzL2Rv&#10;d25yZXYueG1sUEsFBgAAAAAEAAQA9QAAAIgDAAAAAA==&#10;" fillcolor="#8eb4e3" strokecolor="#06f">
                            <v:textbox>
                              <w:txbxContent>
                                <w:p w14:paraId="38C8EA1F"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hAnsi="Arial"/>
                                      <w:b/>
                                      <w:bCs/>
                                      <w:kern w:val="24"/>
                                      <w:sz w:val="28"/>
                                      <w:szCs w:val="28"/>
                                    </w:rPr>
                                    <w:t>Policy Principles</w:t>
                                  </w:r>
                                </w:p>
                                <w:p w14:paraId="0ECA7856"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eastAsia="PMingLiU" w:hAnsi="Arial"/>
                                      <w:b/>
                                      <w:bCs/>
                                      <w:kern w:val="24"/>
                                      <w:sz w:val="28"/>
                                      <w:szCs w:val="28"/>
                                    </w:rPr>
                                    <w:t>IR</w:t>
                                  </w:r>
                                </w:p>
                              </w:txbxContent>
                            </v:textbox>
                          </v:rect>
                        </v:group>
                        <v:group id="Group 19" o:spid="_x0000_s1099" style="position:absolute;left:2286;top:8382;width:35814;height:6096" coordorigin="2286,8382" coordsize="35814,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20" o:spid="_x0000_s1100" style="position:absolute;left:2286;top:8382;width:3581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1lMYA&#10;AADbAAAADwAAAGRycy9kb3ducmV2LnhtbESPQWvCQBSE70L/w/IKvelGiyVEVwkFIRYpaENLb4/s&#10;MwnNvg3ZTUz99V2h4HGYmW+Y9XY0jRioc7VlBfNZBIK4sLrmUkH+sZvGIJxH1thYJgW/5GC7eZis&#10;MdH2wkcaTr4UAcIuQQWV920ipSsqMuhmtiUO3tl2Bn2QXSl1h5cAN41cRNGLNFhzWKiwpdeKip9T&#10;bxTY6/C5Pxze3zKn0++8j79SM39W6ulxTFcgPI3+Hv5vZ1rBcgG3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31lMYAAADbAAAADwAAAAAAAAAAAAAAAACYAgAAZHJz&#10;L2Rvd25yZXYueG1sUEsFBgAAAAAEAAQA9QAAAIsDAAAAAA==&#10;" fillcolor="#8eb4e3" strokecolor="#06f">
                            <v:textbox>
                              <w:txbxContent>
                                <w:p w14:paraId="625BB714" w14:textId="77777777" w:rsidR="00CF59E1" w:rsidRPr="00366D63" w:rsidRDefault="00CF59E1" w:rsidP="007211C0">
                                  <w:pPr>
                                    <w:pStyle w:val="NormalWeb"/>
                                    <w:kinsoku w:val="0"/>
                                    <w:overflowPunct w:val="0"/>
                                    <w:spacing w:before="0" w:beforeAutospacing="0" w:after="0" w:afterAutospacing="0"/>
                                    <w:jc w:val="center"/>
                                    <w:textAlignment w:val="baseline"/>
                                  </w:pPr>
                                  <w:r w:rsidRPr="00EC71FE">
                                    <w:rPr>
                                      <w:rFonts w:ascii="Arial" w:hAnsi="Arial"/>
                                      <w:b/>
                                      <w:bCs/>
                                      <w:kern w:val="24"/>
                                      <w:sz w:val="30"/>
                                      <w:szCs w:val="30"/>
                                    </w:rPr>
                                    <w:t>Overall Safeguard Policy Objectives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101" type="#_x0000_t67" style="position:absolute;left:6858;top:12192;width:152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eUMIA&#10;AADbAAAADwAAAGRycy9kb3ducmV2LnhtbESPT2vCQBDF74V+h2UKvRTdbYtGoqu0hUKvakC9Ddkx&#10;CWZnQ2ar8du7hYLHx/vz4y1Wg2/VmXppAlt4HRtQxGVwDVcWiu33aAZKIrLDNjBZuJLAavn4sMDc&#10;hQuv6byJlUojLDlaqGPscq2lrMmjjENHnLxj6D3GJPtKux4vady3+s2YqfbYcCLU2NFXTeVp8+sT&#10;5DDLjKxfsqKR0hT7oxw+d2Lt89PwMQcVaYj38H/7x1mYvMPfl/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J5QwgAAANsAAAAPAAAAAAAAAAAAAAAAAJgCAABkcnMvZG93&#10;bnJldi54bWxQSwUGAAAAAAQABAD1AAAAhwMAAAAA&#10;" fillcolor="#06f" strokecolor="#06f">
                            <v:textbox>
                              <w:txbxContent>
                                <w:p w14:paraId="4656BCC0" w14:textId="77777777" w:rsidR="00CF59E1" w:rsidRDefault="00CF59E1" w:rsidP="007211C0">
                                  <w:pPr>
                                    <w:rPr>
                                      <w:rFonts w:eastAsia="Times New Roman"/>
                                    </w:rPr>
                                  </w:pPr>
                                </w:p>
                              </w:txbxContent>
                            </v:textbox>
                          </v:shape>
                          <v:shape id="AutoShape 17" o:spid="_x0000_s1102" type="#_x0000_t67" style="position:absolute;left:19050;top:12192;width:152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UGJMIA&#10;AADbAAAADwAAAGRycy9kb3ducmV2LnhtbESPT2vCQBDF74V+h2UKvRTdbalGoqu0hUKvakC9Ddkx&#10;CWZnQ2ar8du7hYLHx/vz4y1Wg2/VmXppAlt4HRtQxGVwDVcWiu33aAZKIrLDNjBZuJLAavn4sMDc&#10;hQuv6byJlUojLDlaqGPscq2lrMmjjENHnLxj6D3GJPtKux4vady3+s2YqfbYcCLU2NFXTeVp8+sT&#10;5DDLjKxfsqKR0hT7oxw+d2Lt89PwMQcVaYj38H/7x1mYvMPfl/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1QYkwgAAANsAAAAPAAAAAAAAAAAAAAAAAJgCAABkcnMvZG93&#10;bnJldi54bWxQSwUGAAAAAAQABAD1AAAAhwMAAAAA&#10;" fillcolor="#06f" strokecolor="#06f">
                            <v:textbox>
                              <w:txbxContent>
                                <w:p w14:paraId="308AB175" w14:textId="77777777" w:rsidR="00CF59E1" w:rsidRDefault="00CF59E1" w:rsidP="007211C0">
                                  <w:pPr>
                                    <w:rPr>
                                      <w:rFonts w:eastAsia="Times New Roman"/>
                                    </w:rPr>
                                  </w:pPr>
                                </w:p>
                              </w:txbxContent>
                            </v:textbox>
                          </v:shape>
                          <v:shape id="AutoShape 18" o:spid="_x0000_s1103" type="#_x0000_t67" style="position:absolute;left:32004;top:12192;width:152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jv8IA&#10;AADbAAAADwAAAGRycy9kb3ducmV2LnhtbESPy2rDMBBF94X+g5hCN6WRWsgD10pICoVskxjS7AZr&#10;/KDWyHjUxPn7KFDo8nIfh5uvRt+pMw3SBrbwNjGgiMvgWq4tFIev1wUoicgOu8Bk4UoCq+XjQ46Z&#10;Cxfe0Xkfa5VGWDK00MTYZ1pL2ZBHmYSeOHlVGDzGJIdauwEvadx3+t2YmfbYciI02NNnQ+XP/tcn&#10;yGkxN7J7mRetlKb4ruS0OYq1z0/j+gNUpDH+h//aW2dhOoX7l/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aO/wgAAANsAAAAPAAAAAAAAAAAAAAAAAJgCAABkcnMvZG93&#10;bnJldi54bWxQSwUGAAAAAAQABAD1AAAAhwMAAAAA&#10;" fillcolor="#06f" strokecolor="#06f">
                            <v:textbox>
                              <w:txbxContent>
                                <w:p w14:paraId="04817FD7" w14:textId="77777777" w:rsidR="00CF59E1" w:rsidRDefault="00CF59E1" w:rsidP="007211C0">
                                  <w:pPr>
                                    <w:rPr>
                                      <w:rFonts w:eastAsia="Times New Roman"/>
                                    </w:rPr>
                                  </w:pPr>
                                </w:p>
                              </w:txbxContent>
                            </v:textbox>
                          </v:shape>
                        </v:group>
                      </v:group>
                      <v:group id="Group 12" o:spid="_x0000_s1104" style="position:absolute;left:7620;top:23622;width:25908;height:4572" coordorigin="7620,23622" coordsize="25908,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AutoShape 19" o:spid="_x0000_s1105" type="#_x0000_t67" style="position:absolute;left:19050;top:25908;width:152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MIcAA&#10;AADbAAAADwAAAGRycy9kb3ducmV2LnhtbERPTWvCQBC9F/oflin0UnS3hVaJrtIKQq/agHobsmMS&#10;zM6GzFbTf985FHp8vO/leoydudIgbWIPz1MHhrhKoeXaQ/m1nczBSEYO2CUmDz8ksF7d3y2xCOnG&#10;O7ruc200hKVAD03OfWGtVA1FlGnqiZU7pyFiVjjUNgx40/DY2Rfn3mzElrWhwZ42DVWX/XfUktN8&#10;5mT3NCtbqVx5PMvp4yDePz6M7wswmcb8L/5zfwYPrzpWv+gPs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gMIcAAAADbAAAADwAAAAAAAAAAAAAAAACYAgAAZHJzL2Rvd25y&#10;ZXYueG1sUEsFBgAAAAAEAAQA9QAAAIUDAAAAAA==&#10;" fillcolor="#06f" strokecolor="#06f">
                          <v:textbox>
                            <w:txbxContent>
                              <w:p w14:paraId="0A02C499" w14:textId="77777777" w:rsidR="00CF59E1" w:rsidRDefault="00CF59E1" w:rsidP="007211C0">
                                <w:pPr>
                                  <w:rPr>
                                    <w:rFonts w:eastAsia="Times New Roman"/>
                                  </w:rPr>
                                </w:pPr>
                              </w:p>
                            </w:txbxContent>
                          </v:textbox>
                        </v:shape>
                        <v:line id="Line 20" o:spid="_x0000_s1106" style="position:absolute;visibility:visible;mso-wrap-style:square" from="7620,25908" to="33528,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D7hcMAAADbAAAADwAAAGRycy9kb3ducmV2LnhtbESP3YrCMBSE7xd8h3AE79bUlRWtRhGh&#10;67o34s8DHJtjW21OShO1+vRmQfBymJlvmMmsMaW4Uu0Kywp63QgEcWp1wZmC/S75HIJwHlljaZkU&#10;3MnBbNr6mGCs7Y03dN36TAQIuxgV5N5XsZQuzcmg69qKOHhHWxv0QdaZ1DXeAtyU8iuKBtJgwWEh&#10;x4oWOaXn7cUo+BsN+ynj8uexOx2apEh4te4vleq0m/kYhKfGv8Ov9q9W8D2C/y/hB8jp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A+4XDAAAA2wAAAA8AAAAAAAAAAAAA&#10;AAAAoQIAAGRycy9kb3ducmV2LnhtbFBLBQYAAAAABAAEAPkAAACRAwAAAAA=&#10;" strokecolor="#06f" strokeweight="1pt"/>
                        <v:line id="Line 21" o:spid="_x0000_s1107" style="position:absolute;flip:y;visibility:visible;mso-wrap-style:square" from="7620,23622" to="7620,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LMSMMAAADbAAAADwAAAGRycy9kb3ducmV2LnhtbERPTWsCMRC9C/6HMAUvotm2KGVrlFYQ&#10;vCjW9uDeppvpZnUzCZuo239vDoLHx/ueLTrbiAu1oXas4HmcgSAuna65UvDzvRq9gQgRWWPjmBT8&#10;U4DFvN+bYa7dlb/oso+VSCEcclRgYvS5lKE0ZDGMnSdO3J9rLcYE20rqFq8p3DbyJcum0mLNqcGg&#10;p6Wh8rQ/WwXHxkdTbIrJ7/FztzoUr1u/HG6VGjx1H+8gInXxIb6711rBNK1PX9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izEjDAAAA2wAAAA8AAAAAAAAAAAAA&#10;AAAAoQIAAGRycy9kb3ducmV2LnhtbFBLBQYAAAAABAAEAPkAAACRAwAAAAA=&#10;" strokecolor="#06f" strokeweight="1pt"/>
                        <v:line id="Line 22" o:spid="_x0000_s1108" style="position:absolute;visibility:visible;mso-wrap-style:square" from="33528,23844" to="33528,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o9PsUAAADbAAAADwAAAGRycy9kb3ducmV2LnhtbESP0WrCQBRE3wX/YblC35qNFcRGVxEh&#10;tfZFmvQDbrPXJG32bshuk9Sv7woFH4eZOcNsdqNpRE+dqy0rmEcxCOLC6ppLBR95+rgC4TyyxsYy&#10;KfglB7vtdLLBRNuB36nPfCkChF2CCirv20RKV1Rk0EW2JQ7exXYGfZBdKXWHQ4CbRj7F8VIarDks&#10;VNjSoaLiO/sxCt6eV4uC8fhyzb8+x7RO+XReHJV6mI37NQhPo7+H/9uvWsFyDrcv4Q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o9PsUAAADbAAAADwAAAAAAAAAA&#10;AAAAAAChAgAAZHJzL2Rvd25yZXYueG1sUEsFBgAAAAAEAAQA+QAAAJMDAAAAAA==&#10;" strokecolor="#06f" strokeweight="1pt"/>
                        <v:line id="Line 42" o:spid="_x0000_s1109" style="position:absolute;visibility:visible;mso-wrap-style:square" from="19812,23622" to="19812,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jScQAAADbAAAADwAAAGRycy9kb3ducmV2LnhtbESP0WrCQBRE3wX/YblC38xGBbHRVaSQ&#10;avsiNf2A2+w1SZu9G7LbJPbru4Lg4zAzZ5jNbjC16Kh1lWUFsygGQZxbXXGh4DNLpysQziNrrC2T&#10;gis52G3How0m2vb8Qd3ZFyJA2CWooPS+SaR0eUkGXWQb4uBdbGvQB9kWUrfYB7ip5TyOl9JgxWGh&#10;xIZeSsp/zr9GwfvzapEzHl7/su+vIa1SfjstDko9TYb9GoSnwT/C9/ZRK1jO4fYl/A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KNJxAAAANsAAAAPAAAAAAAAAAAA&#10;AAAAAKECAABkcnMvZG93bnJldi54bWxQSwUGAAAAAAQABAD5AAAAkgMAAAAA&#10;" strokecolor="#06f" strokeweight="1pt"/>
                      </v:group>
                    </v:group>
                  </v:group>
                </v:group>
              </v:group>
            </w:pict>
          </mc:Fallback>
        </mc:AlternateContent>
      </w:r>
      <w:r w:rsidRPr="00F14825">
        <w:rPr>
          <w:rFonts w:cs="Times New Roman"/>
          <w:b/>
          <w:sz w:val="28"/>
          <w:szCs w:val="28"/>
        </w:rPr>
        <w:t>A</w:t>
      </w:r>
      <w:r>
        <w:rPr>
          <w:rFonts w:cs="Times New Roman"/>
          <w:b/>
          <w:sz w:val="28"/>
          <w:szCs w:val="28"/>
        </w:rPr>
        <w:t>nne</w:t>
      </w:r>
      <w:r w:rsidRPr="00F14825">
        <w:rPr>
          <w:rFonts w:cs="Times New Roman"/>
          <w:b/>
          <w:sz w:val="28"/>
          <w:szCs w:val="28"/>
        </w:rPr>
        <w:t>x 1.3. ADB – Safeguard Policy Statement</w:t>
      </w:r>
    </w:p>
    <w:p w14:paraId="22671604" w14:textId="77777777" w:rsidR="00CF59E1" w:rsidRPr="000F62A5" w:rsidRDefault="00CF59E1" w:rsidP="00E57298">
      <w:pPr>
        <w:tabs>
          <w:tab w:val="left" w:pos="8984"/>
        </w:tabs>
        <w:autoSpaceDE/>
        <w:autoSpaceDN/>
        <w:adjustRightInd/>
        <w:spacing w:after="200" w:line="276" w:lineRule="auto"/>
        <w:jc w:val="center"/>
        <w:rPr>
          <w:rFonts w:cs="Times New Roman"/>
          <w:b/>
          <w:u w:val="single"/>
        </w:rPr>
      </w:pPr>
    </w:p>
    <w:p w14:paraId="67C46B25" w14:textId="77777777" w:rsidR="00CF59E1" w:rsidRPr="000F62A5" w:rsidRDefault="00CF59E1" w:rsidP="00E57298">
      <w:pPr>
        <w:tabs>
          <w:tab w:val="left" w:pos="8984"/>
        </w:tabs>
        <w:autoSpaceDE/>
        <w:autoSpaceDN/>
        <w:adjustRightInd/>
        <w:spacing w:after="200" w:line="276" w:lineRule="auto"/>
        <w:jc w:val="center"/>
        <w:rPr>
          <w:rFonts w:cs="Times New Roman"/>
        </w:rPr>
        <w:sectPr w:rsidR="00CF59E1" w:rsidRPr="000F62A5" w:rsidSect="00755AED">
          <w:pgSz w:w="15840" w:h="12240" w:orient="landscape"/>
          <w:pgMar w:top="1440" w:right="1440" w:bottom="1440" w:left="1843" w:header="720" w:footer="720" w:gutter="0"/>
          <w:cols w:space="720"/>
          <w:docGrid w:linePitch="360"/>
        </w:sectPr>
      </w:pPr>
    </w:p>
    <w:p w14:paraId="754F6685" w14:textId="77777777" w:rsidR="00CF59E1" w:rsidRPr="000F62A5" w:rsidRDefault="00CF59E1" w:rsidP="007211C0">
      <w:pPr>
        <w:autoSpaceDE/>
        <w:autoSpaceDN/>
        <w:adjustRightInd/>
        <w:spacing w:after="200" w:line="276" w:lineRule="auto"/>
        <w:rPr>
          <w:rFonts w:cs="Times New Roman"/>
          <w:b/>
          <w:u w:val="single"/>
        </w:rPr>
        <w:sectPr w:rsidR="00CF59E1" w:rsidRPr="000F62A5" w:rsidSect="00755AED">
          <w:pgSz w:w="15840" w:h="12240" w:orient="landscape"/>
          <w:pgMar w:top="1440" w:right="1440" w:bottom="1440" w:left="1843" w:header="720" w:footer="720" w:gutter="0"/>
          <w:cols w:space="720"/>
          <w:docGrid w:linePitch="360"/>
        </w:sectPr>
      </w:pPr>
      <w:r>
        <w:rPr>
          <w:noProof/>
        </w:rPr>
        <mc:AlternateContent>
          <mc:Choice Requires="wpg">
            <w:drawing>
              <wp:anchor distT="0" distB="0" distL="114300" distR="114300" simplePos="0" relativeHeight="251666944" behindDoc="0" locked="0" layoutInCell="1" allowOverlap="1" wp14:anchorId="5A293480" wp14:editId="79D0042A">
                <wp:simplePos x="0" y="0"/>
                <wp:positionH relativeFrom="column">
                  <wp:posOffset>1433195</wp:posOffset>
                </wp:positionH>
                <wp:positionV relativeFrom="paragraph">
                  <wp:posOffset>202565</wp:posOffset>
                </wp:positionV>
                <wp:extent cx="5055870" cy="5024755"/>
                <wp:effectExtent l="12700" t="12065" r="8255" b="11430"/>
                <wp:wrapNone/>
                <wp:docPr id="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5870" cy="5024755"/>
                          <a:chOff x="3828" y="971"/>
                          <a:chExt cx="7962" cy="7913"/>
                        </a:xfrm>
                      </wpg:grpSpPr>
                      <wpg:grpSp>
                        <wpg:cNvPr id="12" name="Group 3"/>
                        <wpg:cNvGrpSpPr>
                          <a:grpSpLocks/>
                        </wpg:cNvGrpSpPr>
                        <wpg:grpSpPr bwMode="auto">
                          <a:xfrm>
                            <a:off x="3973" y="2143"/>
                            <a:ext cx="7538" cy="5977"/>
                            <a:chOff x="2251" y="1630"/>
                            <a:chExt cx="6829" cy="5312"/>
                          </a:xfrm>
                        </wpg:grpSpPr>
                        <wpg:grpSp>
                          <wpg:cNvPr id="13" name="Group 4"/>
                          <wpg:cNvGrpSpPr>
                            <a:grpSpLocks/>
                          </wpg:cNvGrpSpPr>
                          <wpg:grpSpPr bwMode="auto">
                            <a:xfrm>
                              <a:off x="2251" y="1630"/>
                              <a:ext cx="6829" cy="1182"/>
                              <a:chOff x="2251" y="1630"/>
                              <a:chExt cx="6829" cy="1182"/>
                            </a:xfrm>
                          </wpg:grpSpPr>
                          <wps:wsp>
                            <wps:cNvPr id="14" name="AutoShape 5"/>
                            <wps:cNvSpPr>
                              <a:spLocks noChangeArrowheads="1"/>
                            </wps:cNvSpPr>
                            <wps:spPr bwMode="auto">
                              <a:xfrm>
                                <a:off x="2251" y="1793"/>
                                <a:ext cx="2513" cy="897"/>
                              </a:xfrm>
                              <a:prstGeom prst="roundRect">
                                <a:avLst>
                                  <a:gd name="adj" fmla="val 16667"/>
                                </a:avLst>
                              </a:prstGeom>
                              <a:solidFill>
                                <a:srgbClr val="FFFFFF"/>
                              </a:solidFill>
                              <a:ln w="19050">
                                <a:solidFill>
                                  <a:srgbClr val="4BACC6"/>
                                </a:solidFill>
                                <a:round/>
                                <a:headEnd/>
                                <a:tailEnd/>
                              </a:ln>
                            </wps:spPr>
                            <wps:txbx>
                              <w:txbxContent>
                                <w:p w14:paraId="657B5E76" w14:textId="77777777" w:rsidR="00CF59E1" w:rsidRPr="00700A06" w:rsidRDefault="00CF59E1" w:rsidP="007211C0">
                                  <w:pPr>
                                    <w:jc w:val="center"/>
                                    <w:rPr>
                                      <w:b/>
                                    </w:rPr>
                                  </w:pPr>
                                  <w:r w:rsidRPr="00700A06">
                                    <w:rPr>
                                      <w:b/>
                                    </w:rPr>
                                    <w:t>Integrated Safeguard Policy Statement</w:t>
                                  </w:r>
                                </w:p>
                              </w:txbxContent>
                            </wps:txbx>
                            <wps:bodyPr rot="0" vert="horz" wrap="square" lIns="91440" tIns="45720" rIns="91440" bIns="45720" anchor="t" anchorCtr="0" upright="1">
                              <a:noAutofit/>
                            </wps:bodyPr>
                          </wps:wsp>
                          <wps:wsp>
                            <wps:cNvPr id="15" name="AutoShape 6"/>
                            <wps:cNvSpPr>
                              <a:spLocks noChangeArrowheads="1"/>
                            </wps:cNvSpPr>
                            <wps:spPr bwMode="auto">
                              <a:xfrm>
                                <a:off x="6567" y="1630"/>
                                <a:ext cx="2513" cy="1182"/>
                              </a:xfrm>
                              <a:prstGeom prst="roundRect">
                                <a:avLst>
                                  <a:gd name="adj" fmla="val 16667"/>
                                </a:avLst>
                              </a:prstGeom>
                              <a:solidFill>
                                <a:srgbClr val="FFFFFF"/>
                              </a:solidFill>
                              <a:ln w="19050">
                                <a:solidFill>
                                  <a:srgbClr val="4BACC6"/>
                                </a:solidFill>
                                <a:round/>
                                <a:headEnd/>
                                <a:tailEnd/>
                              </a:ln>
                            </wps:spPr>
                            <wps:txbx>
                              <w:txbxContent>
                                <w:p w14:paraId="657DBBB6" w14:textId="77777777" w:rsidR="00CF59E1" w:rsidRPr="00700A06" w:rsidRDefault="00CF59E1" w:rsidP="007211C0">
                                  <w:pPr>
                                    <w:jc w:val="center"/>
                                    <w:rPr>
                                      <w:sz w:val="16"/>
                                      <w:szCs w:val="16"/>
                                    </w:rPr>
                                  </w:pPr>
                                  <w:r w:rsidRPr="00700A06">
                                    <w:rPr>
                                      <w:sz w:val="16"/>
                                      <w:szCs w:val="16"/>
                                    </w:rPr>
                                    <w:t>Declaration of commitment to environmental and social sustainability</w:t>
                                  </w:r>
                                  <w:r>
                                    <w:rPr>
                                      <w:sz w:val="16"/>
                                      <w:szCs w:val="16"/>
                                    </w:rPr>
                                    <w:t xml:space="preserve"> and to reducing risk of noncompliance</w:t>
                                  </w:r>
                                </w:p>
                              </w:txbxContent>
                            </wps:txbx>
                            <wps:bodyPr rot="0" vert="horz" wrap="square" lIns="91440" tIns="45720" rIns="91440" bIns="45720" anchor="t" anchorCtr="0" upright="1">
                              <a:noAutofit/>
                            </wps:bodyPr>
                          </wps:wsp>
                          <wps:wsp>
                            <wps:cNvPr id="16" name="AutoShape 7"/>
                            <wps:cNvCnPr>
                              <a:cxnSpLocks noChangeShapeType="1"/>
                            </wps:cNvCnPr>
                            <wps:spPr bwMode="auto">
                              <a:xfrm>
                                <a:off x="4764" y="2228"/>
                                <a:ext cx="1803" cy="0"/>
                              </a:xfrm>
                              <a:prstGeom prst="straightConnector1">
                                <a:avLst/>
                              </a:prstGeom>
                              <a:noFill/>
                              <a:ln w="25400">
                                <a:solidFill>
                                  <a:srgbClr val="254061"/>
                                </a:solidFill>
                                <a:round/>
                                <a:headEnd/>
                                <a:tailEnd/>
                              </a:ln>
                              <a:extLst>
                                <a:ext uri="{909E8E84-426E-40DD-AFC4-6F175D3DCCD1}">
                                  <a14:hiddenFill xmlns:a14="http://schemas.microsoft.com/office/drawing/2010/main">
                                    <a:noFill/>
                                  </a14:hiddenFill>
                                </a:ext>
                              </a:extLst>
                            </wps:spPr>
                            <wps:bodyPr/>
                          </wps:wsp>
                        </wpg:grpSp>
                        <wpg:grpSp>
                          <wpg:cNvPr id="17" name="Group 8"/>
                          <wpg:cNvGrpSpPr>
                            <a:grpSpLocks/>
                          </wpg:cNvGrpSpPr>
                          <wpg:grpSpPr bwMode="auto">
                            <a:xfrm>
                              <a:off x="2251" y="2989"/>
                              <a:ext cx="6829" cy="1182"/>
                              <a:chOff x="2251" y="3125"/>
                              <a:chExt cx="6829" cy="1182"/>
                            </a:xfrm>
                          </wpg:grpSpPr>
                          <wps:wsp>
                            <wps:cNvPr id="18" name="AutoShape 9"/>
                            <wps:cNvSpPr>
                              <a:spLocks noChangeArrowheads="1"/>
                            </wps:cNvSpPr>
                            <wps:spPr bwMode="auto">
                              <a:xfrm>
                                <a:off x="2251" y="3274"/>
                                <a:ext cx="2513" cy="897"/>
                              </a:xfrm>
                              <a:prstGeom prst="roundRect">
                                <a:avLst>
                                  <a:gd name="adj" fmla="val 16667"/>
                                </a:avLst>
                              </a:prstGeom>
                              <a:gradFill rotWithShape="1">
                                <a:gsLst>
                                  <a:gs pos="0">
                                    <a:srgbClr val="D1E1F4">
                                      <a:alpha val="50000"/>
                                    </a:srgbClr>
                                  </a:gs>
                                  <a:gs pos="100000">
                                    <a:srgbClr val="8EB4E3">
                                      <a:alpha val="50000"/>
                                    </a:srgbClr>
                                  </a:gs>
                                </a:gsLst>
                                <a:lin ang="5400000" scaled="1"/>
                              </a:gradFill>
                              <a:ln w="9525">
                                <a:solidFill>
                                  <a:srgbClr val="000000"/>
                                </a:solidFill>
                                <a:round/>
                                <a:headEnd/>
                                <a:tailEnd/>
                              </a:ln>
                            </wps:spPr>
                            <wps:txbx>
                              <w:txbxContent>
                                <w:p w14:paraId="790DF1AB" w14:textId="77777777" w:rsidR="00CF59E1" w:rsidRPr="007E33ED" w:rsidRDefault="00CF59E1" w:rsidP="00CF59E1">
                                  <w:pPr>
                                    <w:jc w:val="center"/>
                                    <w:rPr>
                                      <w:b/>
                                      <w:sz w:val="16"/>
                                    </w:rPr>
                                  </w:pPr>
                                </w:p>
                                <w:p w14:paraId="26FD1E31" w14:textId="77777777" w:rsidR="00CF59E1" w:rsidRPr="00700A06" w:rsidRDefault="00CF59E1" w:rsidP="00CF59E1">
                                  <w:pPr>
                                    <w:jc w:val="center"/>
                                    <w:rPr>
                                      <w:b/>
                                    </w:rPr>
                                  </w:pPr>
                                  <w:r>
                                    <w:rPr>
                                      <w:b/>
                                    </w:rPr>
                                    <w:t>Operational Safeguards</w:t>
                                  </w:r>
                                </w:p>
                              </w:txbxContent>
                            </wps:txbx>
                            <wps:bodyPr rot="0" vert="horz" wrap="square" lIns="91440" tIns="45720" rIns="91440" bIns="45720" anchor="t" anchorCtr="0" upright="1">
                              <a:noAutofit/>
                            </wps:bodyPr>
                          </wps:wsp>
                          <wps:wsp>
                            <wps:cNvPr id="19" name="AutoShape 10"/>
                            <wps:cNvSpPr>
                              <a:spLocks noChangeArrowheads="1"/>
                            </wps:cNvSpPr>
                            <wps:spPr bwMode="auto">
                              <a:xfrm>
                                <a:off x="6567" y="3125"/>
                                <a:ext cx="2513" cy="1182"/>
                              </a:xfrm>
                              <a:prstGeom prst="roundRect">
                                <a:avLst>
                                  <a:gd name="adj" fmla="val 16667"/>
                                </a:avLst>
                              </a:prstGeom>
                              <a:gradFill rotWithShape="1">
                                <a:gsLst>
                                  <a:gs pos="0">
                                    <a:srgbClr val="CCDDF2">
                                      <a:alpha val="50000"/>
                                    </a:srgbClr>
                                  </a:gs>
                                  <a:gs pos="100000">
                                    <a:srgbClr val="8EB4E3">
                                      <a:alpha val="50000"/>
                                    </a:srgbClr>
                                  </a:gs>
                                </a:gsLst>
                                <a:lin ang="5400000" scaled="1"/>
                              </a:gradFill>
                              <a:ln w="9525">
                                <a:solidFill>
                                  <a:srgbClr val="000000"/>
                                </a:solidFill>
                                <a:round/>
                                <a:headEnd/>
                                <a:tailEnd/>
                              </a:ln>
                            </wps:spPr>
                            <wps:txbx>
                              <w:txbxContent>
                                <w:p w14:paraId="4973BC00" w14:textId="77777777" w:rsidR="00CF59E1" w:rsidRPr="00700A06" w:rsidRDefault="00CF59E1" w:rsidP="007211C0">
                                  <w:pPr>
                                    <w:jc w:val="center"/>
                                    <w:rPr>
                                      <w:sz w:val="16"/>
                                      <w:szCs w:val="16"/>
                                    </w:rPr>
                                  </w:pPr>
                                  <w:r>
                                    <w:rPr>
                                      <w:sz w:val="16"/>
                                      <w:szCs w:val="16"/>
                                    </w:rPr>
                                    <w:t>Short and focused policy statements that follow Bank commitments and establish operational parameters</w:t>
                                  </w:r>
                                </w:p>
                              </w:txbxContent>
                            </wps:txbx>
                            <wps:bodyPr rot="0" vert="horz" wrap="square" lIns="91440" tIns="45720" rIns="91440" bIns="45720" anchor="t" anchorCtr="0" upright="1">
                              <a:noAutofit/>
                            </wps:bodyPr>
                          </wps:wsp>
                          <wps:wsp>
                            <wps:cNvPr id="20" name="AutoShape 11"/>
                            <wps:cNvCnPr>
                              <a:cxnSpLocks noChangeShapeType="1"/>
                            </wps:cNvCnPr>
                            <wps:spPr bwMode="auto">
                              <a:xfrm>
                                <a:off x="4764" y="3709"/>
                                <a:ext cx="1803" cy="0"/>
                              </a:xfrm>
                              <a:prstGeom prst="straightConnector1">
                                <a:avLst/>
                              </a:prstGeom>
                              <a:noFill/>
                              <a:ln w="25400">
                                <a:solidFill>
                                  <a:srgbClr val="254061"/>
                                </a:solidFill>
                                <a:round/>
                                <a:headEnd/>
                                <a:tailEnd/>
                              </a:ln>
                              <a:extLst>
                                <a:ext uri="{909E8E84-426E-40DD-AFC4-6F175D3DCCD1}">
                                  <a14:hiddenFill xmlns:a14="http://schemas.microsoft.com/office/drawing/2010/main">
                                    <a:noFill/>
                                  </a14:hiddenFill>
                                </a:ext>
                              </a:extLst>
                            </wps:spPr>
                            <wps:bodyPr/>
                          </wps:wsp>
                        </wpg:grpSp>
                        <wpg:grpSp>
                          <wpg:cNvPr id="21" name="Group 12"/>
                          <wpg:cNvGrpSpPr>
                            <a:grpSpLocks/>
                          </wpg:cNvGrpSpPr>
                          <wpg:grpSpPr bwMode="auto">
                            <a:xfrm>
                              <a:off x="2251" y="4361"/>
                              <a:ext cx="6829" cy="1182"/>
                              <a:chOff x="2251" y="4646"/>
                              <a:chExt cx="6829" cy="1182"/>
                            </a:xfrm>
                          </wpg:grpSpPr>
                          <wps:wsp>
                            <wps:cNvPr id="22" name="AutoShape 13"/>
                            <wps:cNvSpPr>
                              <a:spLocks noChangeArrowheads="1"/>
                            </wps:cNvSpPr>
                            <wps:spPr bwMode="auto">
                              <a:xfrm>
                                <a:off x="2251" y="4795"/>
                                <a:ext cx="2513" cy="897"/>
                              </a:xfrm>
                              <a:prstGeom prst="roundRect">
                                <a:avLst>
                                  <a:gd name="adj" fmla="val 16667"/>
                                </a:avLst>
                              </a:prstGeom>
                              <a:gradFill rotWithShape="1">
                                <a:gsLst>
                                  <a:gs pos="0">
                                    <a:srgbClr val="D1E1F4">
                                      <a:alpha val="50000"/>
                                    </a:srgbClr>
                                  </a:gs>
                                  <a:gs pos="100000">
                                    <a:srgbClr val="8EB4E3">
                                      <a:alpha val="50000"/>
                                    </a:srgbClr>
                                  </a:gs>
                                </a:gsLst>
                                <a:lin ang="5400000" scaled="1"/>
                              </a:gradFill>
                              <a:ln w="9525">
                                <a:solidFill>
                                  <a:srgbClr val="000000"/>
                                </a:solidFill>
                                <a:round/>
                                <a:headEnd/>
                                <a:tailEnd/>
                              </a:ln>
                            </wps:spPr>
                            <wps:txbx>
                              <w:txbxContent>
                                <w:p w14:paraId="36851420" w14:textId="77777777" w:rsidR="00CF59E1" w:rsidRDefault="00CF59E1" w:rsidP="007211C0">
                                  <w:pPr>
                                    <w:spacing w:after="120"/>
                                    <w:jc w:val="center"/>
                                    <w:rPr>
                                      <w:b/>
                                    </w:rPr>
                                  </w:pPr>
                                  <w:r>
                                    <w:rPr>
                                      <w:b/>
                                    </w:rPr>
                                    <w:t>ESAP</w:t>
                                  </w:r>
                                </w:p>
                                <w:p w14:paraId="2A61EB44" w14:textId="77777777" w:rsidR="00CF59E1" w:rsidRPr="00700A06" w:rsidRDefault="00CF59E1" w:rsidP="007211C0">
                                  <w:pPr>
                                    <w:spacing w:after="120"/>
                                    <w:jc w:val="center"/>
                                    <w:rPr>
                                      <w:sz w:val="20"/>
                                      <w:szCs w:val="20"/>
                                    </w:rPr>
                                  </w:pPr>
                                  <w:r w:rsidRPr="00700A06">
                                    <w:rPr>
                                      <w:sz w:val="20"/>
                                      <w:szCs w:val="20"/>
                                    </w:rPr>
                                    <w:t>Revised Procedures</w:t>
                                  </w:r>
                                </w:p>
                              </w:txbxContent>
                            </wps:txbx>
                            <wps:bodyPr rot="0" vert="horz" wrap="square" lIns="91440" tIns="45720" rIns="91440" bIns="45720" anchor="t" anchorCtr="0" upright="1">
                              <a:noAutofit/>
                            </wps:bodyPr>
                          </wps:wsp>
                          <wps:wsp>
                            <wps:cNvPr id="23" name="AutoShape 14"/>
                            <wps:cNvSpPr>
                              <a:spLocks noChangeArrowheads="1"/>
                            </wps:cNvSpPr>
                            <wps:spPr bwMode="auto">
                              <a:xfrm>
                                <a:off x="6567" y="4646"/>
                                <a:ext cx="2513" cy="1182"/>
                              </a:xfrm>
                              <a:prstGeom prst="roundRect">
                                <a:avLst>
                                  <a:gd name="adj" fmla="val 16667"/>
                                </a:avLst>
                              </a:prstGeom>
                              <a:gradFill rotWithShape="1">
                                <a:gsLst>
                                  <a:gs pos="0">
                                    <a:srgbClr val="D1E1F4">
                                      <a:alpha val="50000"/>
                                    </a:srgbClr>
                                  </a:gs>
                                  <a:gs pos="100000">
                                    <a:srgbClr val="8EB4E3">
                                      <a:alpha val="50000"/>
                                    </a:srgbClr>
                                  </a:gs>
                                </a:gsLst>
                                <a:lin ang="5400000" scaled="1"/>
                              </a:gradFill>
                              <a:ln w="9525">
                                <a:solidFill>
                                  <a:srgbClr val="000000"/>
                                </a:solidFill>
                                <a:round/>
                                <a:headEnd/>
                                <a:tailEnd/>
                              </a:ln>
                            </wps:spPr>
                            <wps:txbx>
                              <w:txbxContent>
                                <w:p w14:paraId="3F74A3AF" w14:textId="77777777" w:rsidR="00CF59E1" w:rsidRPr="00700A06" w:rsidRDefault="00CF59E1" w:rsidP="007211C0">
                                  <w:pPr>
                                    <w:jc w:val="center"/>
                                    <w:rPr>
                                      <w:sz w:val="16"/>
                                      <w:szCs w:val="16"/>
                                    </w:rPr>
                                  </w:pPr>
                                  <w:r>
                                    <w:rPr>
                                      <w:sz w:val="16"/>
                                      <w:szCs w:val="16"/>
                                    </w:rPr>
                                    <w:t>Procedural and process guidance (documentation, analysis, review and reporting) at each stage of project cycle</w:t>
                                  </w:r>
                                </w:p>
                              </w:txbxContent>
                            </wps:txbx>
                            <wps:bodyPr rot="0" vert="horz" wrap="square" lIns="91440" tIns="45720" rIns="91440" bIns="45720" anchor="t" anchorCtr="0" upright="1">
                              <a:noAutofit/>
                            </wps:bodyPr>
                          </wps:wsp>
                          <wps:wsp>
                            <wps:cNvPr id="24" name="AutoShape 15"/>
                            <wps:cNvCnPr>
                              <a:cxnSpLocks noChangeShapeType="1"/>
                            </wps:cNvCnPr>
                            <wps:spPr bwMode="auto">
                              <a:xfrm>
                                <a:off x="4764" y="5217"/>
                                <a:ext cx="1803" cy="0"/>
                              </a:xfrm>
                              <a:prstGeom prst="straightConnector1">
                                <a:avLst/>
                              </a:prstGeom>
                              <a:noFill/>
                              <a:ln w="25400">
                                <a:solidFill>
                                  <a:srgbClr val="254061"/>
                                </a:solidFill>
                                <a:round/>
                                <a:headEnd/>
                                <a:tailEnd/>
                              </a:ln>
                              <a:extLst>
                                <a:ext uri="{909E8E84-426E-40DD-AFC4-6F175D3DCCD1}">
                                  <a14:hiddenFill xmlns:a14="http://schemas.microsoft.com/office/drawing/2010/main">
                                    <a:noFill/>
                                  </a14:hiddenFill>
                                </a:ext>
                              </a:extLst>
                            </wps:spPr>
                            <wps:bodyPr/>
                          </wps:wsp>
                        </wpg:grpSp>
                        <wpg:grpSp>
                          <wpg:cNvPr id="25" name="Group 16"/>
                          <wpg:cNvGrpSpPr>
                            <a:grpSpLocks/>
                          </wpg:cNvGrpSpPr>
                          <wpg:grpSpPr bwMode="auto">
                            <a:xfrm>
                              <a:off x="2251" y="5760"/>
                              <a:ext cx="6829" cy="1182"/>
                              <a:chOff x="2251" y="6249"/>
                              <a:chExt cx="6829" cy="1182"/>
                            </a:xfrm>
                          </wpg:grpSpPr>
                          <wps:wsp>
                            <wps:cNvPr id="26" name="AutoShape 17"/>
                            <wps:cNvSpPr>
                              <a:spLocks noChangeArrowheads="1"/>
                            </wps:cNvSpPr>
                            <wps:spPr bwMode="auto">
                              <a:xfrm>
                                <a:off x="2251" y="6358"/>
                                <a:ext cx="2513" cy="897"/>
                              </a:xfrm>
                              <a:prstGeom prst="roundRect">
                                <a:avLst>
                                  <a:gd name="adj" fmla="val 16667"/>
                                </a:avLst>
                              </a:prstGeom>
                              <a:gradFill rotWithShape="1">
                                <a:gsLst>
                                  <a:gs pos="0">
                                    <a:srgbClr val="D4E2F4">
                                      <a:alpha val="50000"/>
                                    </a:srgbClr>
                                  </a:gs>
                                  <a:gs pos="100000">
                                    <a:srgbClr val="8EB4E3">
                                      <a:alpha val="50000"/>
                                    </a:srgbClr>
                                  </a:gs>
                                </a:gsLst>
                                <a:lin ang="5400000" scaled="1"/>
                              </a:gradFill>
                              <a:ln w="9525">
                                <a:solidFill>
                                  <a:srgbClr val="000000"/>
                                </a:solidFill>
                                <a:round/>
                                <a:headEnd/>
                                <a:tailEnd/>
                              </a:ln>
                            </wps:spPr>
                            <wps:txbx>
                              <w:txbxContent>
                                <w:p w14:paraId="50A6FAB5" w14:textId="77777777" w:rsidR="00CF59E1" w:rsidRDefault="00CF59E1" w:rsidP="007211C0">
                                  <w:pPr>
                                    <w:spacing w:after="120"/>
                                    <w:jc w:val="center"/>
                                    <w:rPr>
                                      <w:b/>
                                    </w:rPr>
                                  </w:pPr>
                                  <w:r>
                                    <w:rPr>
                                      <w:b/>
                                    </w:rPr>
                                    <w:t>Guidance Notes</w:t>
                                  </w:r>
                                </w:p>
                                <w:p w14:paraId="30ECC201" w14:textId="77777777" w:rsidR="00CF59E1" w:rsidRPr="00700A06" w:rsidRDefault="00CF59E1" w:rsidP="007211C0">
                                  <w:pPr>
                                    <w:spacing w:after="120"/>
                                    <w:jc w:val="center"/>
                                  </w:pPr>
                                  <w:r w:rsidRPr="00700A06">
                                    <w:rPr>
                                      <w:sz w:val="20"/>
                                      <w:szCs w:val="20"/>
                                    </w:rPr>
                                    <w:t>Revised IESIA Guidelines</w:t>
                                  </w:r>
                                </w:p>
                              </w:txbxContent>
                            </wps:txbx>
                            <wps:bodyPr rot="0" vert="horz" wrap="square" lIns="91440" tIns="45720" rIns="91440" bIns="45720" anchor="t" anchorCtr="0" upright="1">
                              <a:noAutofit/>
                            </wps:bodyPr>
                          </wps:wsp>
                          <wps:wsp>
                            <wps:cNvPr id="27" name="AutoShape 18"/>
                            <wps:cNvSpPr>
                              <a:spLocks noChangeArrowheads="1"/>
                            </wps:cNvSpPr>
                            <wps:spPr bwMode="auto">
                              <a:xfrm>
                                <a:off x="6567" y="6249"/>
                                <a:ext cx="2513" cy="1182"/>
                              </a:xfrm>
                              <a:prstGeom prst="roundRect">
                                <a:avLst>
                                  <a:gd name="adj" fmla="val 16667"/>
                                </a:avLst>
                              </a:prstGeom>
                              <a:gradFill rotWithShape="1">
                                <a:gsLst>
                                  <a:gs pos="0">
                                    <a:srgbClr val="CFDFF3">
                                      <a:alpha val="50000"/>
                                    </a:srgbClr>
                                  </a:gs>
                                  <a:gs pos="100000">
                                    <a:srgbClr val="8EB4E3">
                                      <a:alpha val="50000"/>
                                    </a:srgbClr>
                                  </a:gs>
                                </a:gsLst>
                                <a:lin ang="5400000" scaled="1"/>
                              </a:gradFill>
                              <a:ln w="9525">
                                <a:solidFill>
                                  <a:srgbClr val="000000"/>
                                </a:solidFill>
                                <a:round/>
                                <a:headEnd/>
                                <a:tailEnd/>
                              </a:ln>
                            </wps:spPr>
                            <wps:txbx>
                              <w:txbxContent>
                                <w:p w14:paraId="4D42AD36" w14:textId="77777777" w:rsidR="00CF59E1" w:rsidRPr="00700A06" w:rsidRDefault="00CF59E1" w:rsidP="007211C0">
                                  <w:pPr>
                                    <w:jc w:val="center"/>
                                    <w:rPr>
                                      <w:sz w:val="16"/>
                                      <w:szCs w:val="16"/>
                                    </w:rPr>
                                  </w:pPr>
                                  <w:r>
                                    <w:rPr>
                                      <w:sz w:val="16"/>
                                      <w:szCs w:val="16"/>
                                    </w:rPr>
                                    <w:t xml:space="preserve">Detailed (methodological, sectoral and thematic) guidance on integrated environmental and social impact assessment </w:t>
                                  </w:r>
                                </w:p>
                              </w:txbxContent>
                            </wps:txbx>
                            <wps:bodyPr rot="0" vert="horz" wrap="square" lIns="91440" tIns="45720" rIns="91440" bIns="45720" anchor="t" anchorCtr="0" upright="1">
                              <a:noAutofit/>
                            </wps:bodyPr>
                          </wps:wsp>
                          <wps:wsp>
                            <wps:cNvPr id="28" name="AutoShape 19"/>
                            <wps:cNvCnPr>
                              <a:cxnSpLocks noChangeShapeType="1"/>
                            </wps:cNvCnPr>
                            <wps:spPr bwMode="auto">
                              <a:xfrm>
                                <a:off x="4764" y="6806"/>
                                <a:ext cx="1803" cy="0"/>
                              </a:xfrm>
                              <a:prstGeom prst="straightConnector1">
                                <a:avLst/>
                              </a:prstGeom>
                              <a:noFill/>
                              <a:ln w="25400">
                                <a:solidFill>
                                  <a:srgbClr val="254061"/>
                                </a:solidFill>
                                <a:round/>
                                <a:headEnd/>
                                <a:tailEnd/>
                              </a:ln>
                              <a:extLst>
                                <a:ext uri="{909E8E84-426E-40DD-AFC4-6F175D3DCCD1}">
                                  <a14:hiddenFill xmlns:a14="http://schemas.microsoft.com/office/drawing/2010/main">
                                    <a:noFill/>
                                  </a14:hiddenFill>
                                </a:ext>
                              </a:extLst>
                            </wps:spPr>
                            <wps:bodyPr/>
                          </wps:wsp>
                        </wpg:grpSp>
                      </wpg:grpSp>
                      <wps:wsp>
                        <wps:cNvPr id="29" name="Rectangle 20"/>
                        <wps:cNvSpPr>
                          <a:spLocks noChangeArrowheads="1"/>
                        </wps:cNvSpPr>
                        <wps:spPr bwMode="auto">
                          <a:xfrm>
                            <a:off x="3828" y="971"/>
                            <a:ext cx="7683" cy="944"/>
                          </a:xfrm>
                          <a:prstGeom prst="rect">
                            <a:avLst/>
                          </a:prstGeom>
                          <a:solidFill>
                            <a:srgbClr val="FFFFFF"/>
                          </a:solidFill>
                          <a:ln w="9525">
                            <a:solidFill>
                              <a:srgbClr val="FFFFFF"/>
                            </a:solidFill>
                            <a:miter lim="800000"/>
                            <a:headEnd/>
                            <a:tailEnd/>
                          </a:ln>
                        </wps:spPr>
                        <wps:txbx>
                          <w:txbxContent>
                            <w:p w14:paraId="0624FE90" w14:textId="77777777" w:rsidR="00CF59E1" w:rsidRPr="00F14825" w:rsidRDefault="00CF59E1" w:rsidP="00CF59E1">
                              <w:pPr>
                                <w:jc w:val="center"/>
                                <w:rPr>
                                  <w:rFonts w:cs="Times New Roman"/>
                                  <w:b/>
                                  <w:sz w:val="28"/>
                                  <w:szCs w:val="28"/>
                                </w:rPr>
                              </w:pPr>
                              <w:r w:rsidRPr="00F14825">
                                <w:rPr>
                                  <w:rFonts w:cs="Times New Roman"/>
                                  <w:b/>
                                  <w:sz w:val="28"/>
                                  <w:szCs w:val="28"/>
                                </w:rPr>
                                <w:t>A</w:t>
                              </w:r>
                              <w:r>
                                <w:rPr>
                                  <w:rFonts w:cs="Times New Roman"/>
                                  <w:b/>
                                  <w:sz w:val="28"/>
                                  <w:szCs w:val="28"/>
                                </w:rPr>
                                <w:t xml:space="preserve">nnex </w:t>
                              </w:r>
                              <w:r w:rsidRPr="00F14825">
                                <w:rPr>
                                  <w:rFonts w:cs="Times New Roman"/>
                                  <w:b/>
                                  <w:sz w:val="28"/>
                                  <w:szCs w:val="28"/>
                                </w:rPr>
                                <w:t>1.4. AfDB – Conceptual Diagram of the Integrated Safeguards System</w:t>
                              </w:r>
                            </w:p>
                          </w:txbxContent>
                        </wps:txbx>
                        <wps:bodyPr rot="0" vert="horz" wrap="square" lIns="91440" tIns="45720" rIns="91440" bIns="45720" anchor="t" anchorCtr="0" upright="1">
                          <a:noAutofit/>
                        </wps:bodyPr>
                      </wps:wsp>
                      <wps:wsp>
                        <wps:cNvPr id="30" name="Rectangle 21"/>
                        <wps:cNvSpPr>
                          <a:spLocks noChangeArrowheads="1"/>
                        </wps:cNvSpPr>
                        <wps:spPr bwMode="auto">
                          <a:xfrm>
                            <a:off x="3828" y="8396"/>
                            <a:ext cx="7962" cy="488"/>
                          </a:xfrm>
                          <a:prstGeom prst="rect">
                            <a:avLst/>
                          </a:prstGeom>
                          <a:solidFill>
                            <a:srgbClr val="FFFFFF"/>
                          </a:solidFill>
                          <a:ln w="9525">
                            <a:solidFill>
                              <a:srgbClr val="FFFFFF"/>
                            </a:solidFill>
                            <a:miter lim="800000"/>
                            <a:headEnd/>
                            <a:tailEnd/>
                          </a:ln>
                        </wps:spPr>
                        <wps:txbx>
                          <w:txbxContent>
                            <w:p w14:paraId="33F65652" w14:textId="77777777" w:rsidR="00CF59E1" w:rsidRPr="00201BA9" w:rsidRDefault="00CF59E1" w:rsidP="007211C0">
                              <w:pPr>
                                <w:rPr>
                                  <w:sz w:val="16"/>
                                  <w:szCs w:val="16"/>
                                </w:rPr>
                              </w:pPr>
                              <w:r>
                                <w:rPr>
                                  <w:sz w:val="16"/>
                                  <w:szCs w:val="16"/>
                                </w:rPr>
                                <w:t>Source: AfDB’s integrated Safeguards System. Policy Statement and Operational Safeguards</w:t>
                              </w:r>
                              <w:r w:rsidRPr="006A4DB9">
                                <w:rPr>
                                  <w:sz w:val="16"/>
                                  <w:szCs w:val="16"/>
                                </w:rPr>
                                <w:t xml:space="preserve"> </w:t>
                              </w:r>
                              <w:r>
                                <w:rPr>
                                  <w:sz w:val="16"/>
                                  <w:szCs w:val="16"/>
                                </w:rPr>
                                <w:t>(March 2013)</w:t>
                              </w:r>
                            </w:p>
                            <w:p w14:paraId="0C5A52B9" w14:textId="77777777" w:rsidR="00CF59E1" w:rsidRPr="00201BA9" w:rsidRDefault="00CF59E1" w:rsidP="007211C0">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93480" id="Group 111" o:spid="_x0000_s1110" style="position:absolute;margin-left:112.85pt;margin-top:15.95pt;width:398.1pt;height:395.65pt;z-index:251666944" coordorigin="3828,971" coordsize="7962,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">
                <v:group id="Group 3" o:spid="_x0000_s1111" style="position:absolute;left:3973;top:2143;width:7538;height:5977" coordorigin="2251,1630" coordsize="6829,5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4" o:spid="_x0000_s1112" style="position:absolute;left:2251;top:1630;width:6829;height:1182" coordorigin="2251,1630" coordsize="6829,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AutoShape 5" o:spid="_x0000_s1113" style="position:absolute;left:2251;top:1793;width:2513;height:8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CqsEA&#10;AADbAAAADwAAAGRycy9kb3ducmV2LnhtbERPTUsDMRC9C/6HMII3m1VE6trsIoqg4MV2EbwNm+km&#10;bTJZkrS7/fdGEHqbx/ucVTt7J44Ukw2s4HZRgSDug7Y8KOg2bzdLECkja3SBScGJErTN5cUKax0m&#10;/qLjOg+ihHCqUYHJeaylTL0hj2kRRuLCbUP0mAuMg9QRpxLunbyrqgfp0XJpMDjSi6F+vz54BY/m&#10;p3vd998fh9FZ9znt8GQjKnV9NT8/gcg057P43/2uy/x7+PulHC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AwqrBAAAA2wAAAA8AAAAAAAAAAAAAAAAAmAIAAGRycy9kb3du&#10;cmV2LnhtbFBLBQYAAAAABAAEAPUAAACGAwAAAAA=&#10;" strokecolor="#4bacc6" strokeweight="1.5pt">
                      <v:textbox>
                        <w:txbxContent>
                          <w:p w14:paraId="657B5E76" w14:textId="77777777" w:rsidR="00CF59E1" w:rsidRPr="00700A06" w:rsidRDefault="00CF59E1" w:rsidP="007211C0">
                            <w:pPr>
                              <w:jc w:val="center"/>
                              <w:rPr>
                                <w:b/>
                              </w:rPr>
                            </w:pPr>
                            <w:r w:rsidRPr="00700A06">
                              <w:rPr>
                                <w:b/>
                              </w:rPr>
                              <w:t>Integrated Safeguard Policy Statement</w:t>
                            </w:r>
                          </w:p>
                        </w:txbxContent>
                      </v:textbox>
                    </v:roundrect>
                    <v:roundrect id="AutoShape 6" o:spid="_x0000_s1114" style="position:absolute;left:6567;top:1630;width:2513;height:11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nMcEA&#10;AADbAAAADwAAAGRycy9kb3ducmV2LnhtbERPTUsDMRC9C/6HMII3m1VQ6trsIoqg4MV2EbwNm+km&#10;bTJZkrS7/fdGEHqbx/ucVTt7J44Ukw2s4HZRgSDug7Y8KOg2bzdLECkja3SBScGJErTN5cUKax0m&#10;/qLjOg+ihHCqUYHJeaylTL0hj2kRRuLCbUP0mAuMg9QRpxLunbyrqgfp0XJpMDjSi6F+vz54BY/m&#10;p3vd998fh9FZ9znt8GQjKnV9NT8/gcg057P43/2uy/x7+PulHC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ZzHBAAAA2wAAAA8AAAAAAAAAAAAAAAAAmAIAAGRycy9kb3du&#10;cmV2LnhtbFBLBQYAAAAABAAEAPUAAACGAwAAAAA=&#10;" strokecolor="#4bacc6" strokeweight="1.5pt">
                      <v:textbox>
                        <w:txbxContent>
                          <w:p w14:paraId="657DBBB6" w14:textId="77777777" w:rsidR="00CF59E1" w:rsidRPr="00700A06" w:rsidRDefault="00CF59E1" w:rsidP="007211C0">
                            <w:pPr>
                              <w:jc w:val="center"/>
                              <w:rPr>
                                <w:sz w:val="16"/>
                                <w:szCs w:val="16"/>
                              </w:rPr>
                            </w:pPr>
                            <w:r w:rsidRPr="00700A06">
                              <w:rPr>
                                <w:sz w:val="16"/>
                                <w:szCs w:val="16"/>
                              </w:rPr>
                              <w:t>Declaration of commitment to environmental and social sustainability</w:t>
                            </w:r>
                            <w:r>
                              <w:rPr>
                                <w:sz w:val="16"/>
                                <w:szCs w:val="16"/>
                              </w:rPr>
                              <w:t xml:space="preserve"> and to reducing risk of noncompliance</w:t>
                            </w:r>
                          </w:p>
                        </w:txbxContent>
                      </v:textbox>
                    </v:roundrect>
                    <v:shape id="AutoShape 7" o:spid="_x0000_s1115" type="#_x0000_t32" style="position:absolute;left:4764;top:2228;width:18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sMAAADbAAAADwAAAGRycy9kb3ducmV2LnhtbERPTWvCQBC9C/0PyxS8SN1EikrqKtIi&#10;CKWK2ktvQ3ZMotnZsLvG+O/dguBtHu9zZovO1KIl5yvLCtJhAoI4t7riQsHvYfU2BeEDssbaMim4&#10;kYfF/KU3w0zbK++o3YdCxBD2GSooQ2gyKX1ekkE/tA1x5I7WGQwRukJqh9cYbmo5SpKxNFhxbCix&#10;oc+S8vP+YhT8Tbr3wWGbplW7XS3P6cl9/Wy+leq/dssPEIG68BQ/3Gsd54/h/5d4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ix/7DAAAA2wAAAA8AAAAAAAAAAAAA&#10;AAAAoQIAAGRycy9kb3ducmV2LnhtbFBLBQYAAAAABAAEAPkAAACRAwAAAAA=&#10;" strokecolor="#254061" strokeweight="2pt"/>
                  </v:group>
                  <v:group id="Group 8" o:spid="_x0000_s1116" style="position:absolute;left:2251;top:2989;width:6829;height:1182" coordorigin="2251,3125" coordsize="6829,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AutoShape 9" o:spid="_x0000_s1117" style="position:absolute;left:2251;top:3274;width:2513;height:8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15fr8A&#10;AADbAAAADwAAAGRycy9kb3ducmV2LnhtbESPQYvCMBCF74L/IYzgTVOFlaUaRURxr+vqfWjGtthM&#10;ahJr/ffOYcHbDO/Ne9+sNr1rVEch1p4NzKYZKOLC25pLA+e/w+QbVEzIFhvPZOBFETbr4WCFufVP&#10;/qXulEolIRxzNFCl1OZax6Iih3HqW2LRrj44TLKGUtuATwl3jZ5n2UI7rFkaKmxpV1FxOz2cgX13&#10;zq7zx3Hvj1+c/P0QLrsQjBmP+u0SVKI+fcz/1z9W8AVWfpEB9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Xl+vwAAANsAAAAPAAAAAAAAAAAAAAAAAJgCAABkcnMvZG93bnJl&#10;di54bWxQSwUGAAAAAAQABAD1AAAAhAMAAAAA&#10;" fillcolor="#d1e1f4">
                      <v:fill opacity=".5" color2="#8eb4e3" o:opacity2=".5" rotate="t" focus="100%" type="gradient"/>
                      <v:textbox>
                        <w:txbxContent>
                          <w:p w14:paraId="790DF1AB" w14:textId="77777777" w:rsidR="00CF59E1" w:rsidRPr="007E33ED" w:rsidRDefault="00CF59E1" w:rsidP="00CF59E1">
                            <w:pPr>
                              <w:jc w:val="center"/>
                              <w:rPr>
                                <w:b/>
                                <w:sz w:val="16"/>
                              </w:rPr>
                            </w:pPr>
                          </w:p>
                          <w:p w14:paraId="26FD1E31" w14:textId="77777777" w:rsidR="00CF59E1" w:rsidRPr="00700A06" w:rsidRDefault="00CF59E1" w:rsidP="00CF59E1">
                            <w:pPr>
                              <w:jc w:val="center"/>
                              <w:rPr>
                                <w:b/>
                              </w:rPr>
                            </w:pPr>
                            <w:r>
                              <w:rPr>
                                <w:b/>
                              </w:rPr>
                              <w:t>Operational Safeguards</w:t>
                            </w:r>
                          </w:p>
                        </w:txbxContent>
                      </v:textbox>
                    </v:roundrect>
                    <v:roundrect id="AutoShape 10" o:spid="_x0000_s1118" style="position:absolute;left:6567;top:3125;width:2513;height:11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1gPsEA&#10;AADbAAAADwAAAGRycy9kb3ducmV2LnhtbERPTUvDQBC9F/wPywheit0oUtqYTREx4k0aPeQ4ZKdJ&#10;aHY27E7b6K93BcHbPN7nFLvZjepMIQ6eDdytMlDErbcDdwY+P6rbDagoyBZHz2TgiyLsyqtFgbn1&#10;F97TuZZOpRCOORroRaZc69j25DCu/EScuIMPDiXB0Gkb8JLC3ajvs2ytHQ6cGnqc6Lmn9lifnIFl&#10;895INTffD/U2bF4qcS6eXo25uZ6fHkEJzfIv/nO/2TR/C7+/pAN0+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9YD7BAAAA2wAAAA8AAAAAAAAAAAAAAAAAmAIAAGRycy9kb3du&#10;cmV2LnhtbFBLBQYAAAAABAAEAPUAAACGAwAAAAA=&#10;" fillcolor="#ccddf2">
                      <v:fill opacity=".5" color2="#8eb4e3" o:opacity2=".5" rotate="t" focus="100%" type="gradient"/>
                      <v:textbox>
                        <w:txbxContent>
                          <w:p w14:paraId="4973BC00" w14:textId="77777777" w:rsidR="00CF59E1" w:rsidRPr="00700A06" w:rsidRDefault="00CF59E1" w:rsidP="007211C0">
                            <w:pPr>
                              <w:jc w:val="center"/>
                              <w:rPr>
                                <w:sz w:val="16"/>
                                <w:szCs w:val="16"/>
                              </w:rPr>
                            </w:pPr>
                            <w:r>
                              <w:rPr>
                                <w:sz w:val="16"/>
                                <w:szCs w:val="16"/>
                              </w:rPr>
                              <w:t>Short and focused policy statements that follow Bank commitments and establish operational parameters</w:t>
                            </w:r>
                          </w:p>
                        </w:txbxContent>
                      </v:textbox>
                    </v:roundrect>
                    <v:shape id="AutoShape 11" o:spid="_x0000_s1119" type="#_x0000_t32" style="position:absolute;left:4764;top:3709;width:18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wrMIAAADbAAAADwAAAGRycy9kb3ducmV2LnhtbERPz2vCMBS+D/wfwhN2GZpWZEo1ijiE&#10;gWxi9eLt0TzbavNSkqx2//1yGHj8+H4v171pREfO15YVpOMEBHFhdc2lgvNpN5qD8AFZY2OZFPyS&#10;h/Vq8LLETNsHH6nLQyliCPsMFVQhtJmUvqjIoB/bljhyV+sMhghdKbXDRww3jZwkybs0WHNsqLCl&#10;bUXFPf8xCi6zfvp2OqRp3R12m3t6cx9f33ulXof9ZgEiUB+e4n/3p1Ywievjl/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wrMIAAADbAAAADwAAAAAAAAAAAAAA&#10;AAChAgAAZHJzL2Rvd25yZXYueG1sUEsFBgAAAAAEAAQA+QAAAJADAAAAAA==&#10;" strokecolor="#254061" strokeweight="2pt"/>
                  </v:group>
                  <v:group id="Group 12" o:spid="_x0000_s1120" style="position:absolute;left:2251;top:4361;width:6829;height:1182" coordorigin="2251,4646" coordsize="6829,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AutoShape 13" o:spid="_x0000_s1121" style="position:absolute;left:2251;top:4795;width:2513;height:8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EKb8A&#10;AADbAAAADwAAAGRycy9kb3ducmV2LnhtbESPT4vCMBTE74LfITzBm6YWXKRrWkQU9+qfvT+aZ1ts&#10;XmoSa/fbG0HY4zAzv2HWxWBa0ZPzjWUFi3kCgri0uuFKweW8n61A+ICssbVMCv7IQ5GPR2vMtH3y&#10;kfpTqESEsM9QQR1Cl0npy5oM+rntiKN3tc5giNJVUjt8RrhpZZokX9Jgw3Ghxo62NZW308Mo2PWX&#10;5Jo+Djt7WHKw97373Tqn1HQybL5BBBrCf/jT/tEK0hTeX+IPk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YQpvwAAANsAAAAPAAAAAAAAAAAAAAAAAJgCAABkcnMvZG93bnJl&#10;di54bWxQSwUGAAAAAAQABAD1AAAAhAMAAAAA&#10;" fillcolor="#d1e1f4">
                      <v:fill opacity=".5" color2="#8eb4e3" o:opacity2=".5" rotate="t" focus="100%" type="gradient"/>
                      <v:textbox>
                        <w:txbxContent>
                          <w:p w14:paraId="36851420" w14:textId="77777777" w:rsidR="00CF59E1" w:rsidRDefault="00CF59E1" w:rsidP="007211C0">
                            <w:pPr>
                              <w:spacing w:after="120"/>
                              <w:jc w:val="center"/>
                              <w:rPr>
                                <w:b/>
                              </w:rPr>
                            </w:pPr>
                            <w:r>
                              <w:rPr>
                                <w:b/>
                              </w:rPr>
                              <w:t>ESAP</w:t>
                            </w:r>
                          </w:p>
                          <w:p w14:paraId="2A61EB44" w14:textId="77777777" w:rsidR="00CF59E1" w:rsidRPr="00700A06" w:rsidRDefault="00CF59E1" w:rsidP="007211C0">
                            <w:pPr>
                              <w:spacing w:after="120"/>
                              <w:jc w:val="center"/>
                              <w:rPr>
                                <w:sz w:val="20"/>
                                <w:szCs w:val="20"/>
                              </w:rPr>
                            </w:pPr>
                            <w:r w:rsidRPr="00700A06">
                              <w:rPr>
                                <w:sz w:val="20"/>
                                <w:szCs w:val="20"/>
                              </w:rPr>
                              <w:t>Revised Procedures</w:t>
                            </w:r>
                          </w:p>
                        </w:txbxContent>
                      </v:textbox>
                    </v:roundrect>
                    <v:roundrect id="AutoShape 14" o:spid="_x0000_s1122" style="position:absolute;left:6567;top:4646;width:2513;height:11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hssEA&#10;AADbAAAADwAAAGRycy9kb3ducmV2LnhtbESPzWrDMBCE74W+g9hCb41cl4TiWg4h2LjX/N0Xa2Ob&#10;WCtXUmz37atCocdhZr5h8u1iBjGR871lBa+rBARxY3XPrYLzqXp5B+EDssbBMin4Jg/b4vEhx0zb&#10;mQ80HUMrIoR9hgq6EMZMSt90ZNCv7Egcvat1BkOUrpXa4RzhZpBpkmykwZ7jQocj7Ttqbse7UVBO&#10;5+Sa3uvS1msO9qtyl71zSj0/LbsPEIGW8B/+a39qBekb/H6JP0A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1IbLBAAAA2wAAAA8AAAAAAAAAAAAAAAAAmAIAAGRycy9kb3du&#10;cmV2LnhtbFBLBQYAAAAABAAEAPUAAACGAwAAAAA=&#10;" fillcolor="#d1e1f4">
                      <v:fill opacity=".5" color2="#8eb4e3" o:opacity2=".5" rotate="t" focus="100%" type="gradient"/>
                      <v:textbox>
                        <w:txbxContent>
                          <w:p w14:paraId="3F74A3AF" w14:textId="77777777" w:rsidR="00CF59E1" w:rsidRPr="00700A06" w:rsidRDefault="00CF59E1" w:rsidP="007211C0">
                            <w:pPr>
                              <w:jc w:val="center"/>
                              <w:rPr>
                                <w:sz w:val="16"/>
                                <w:szCs w:val="16"/>
                              </w:rPr>
                            </w:pPr>
                            <w:r>
                              <w:rPr>
                                <w:sz w:val="16"/>
                                <w:szCs w:val="16"/>
                              </w:rPr>
                              <w:t>Procedural and process guidance (documentation, analysis, review and reporting) at each stage of project cycle</w:t>
                            </w:r>
                          </w:p>
                        </w:txbxContent>
                      </v:textbox>
                    </v:roundrect>
                    <v:shape id="AutoShape 15" o:spid="_x0000_s1123" type="#_x0000_t32" style="position:absolute;left:4764;top:5217;width:18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A2r8YAAADbAAAADwAAAGRycy9kb3ducmV2LnhtbESPT2vCQBTE74V+h+UVeim6iUiV6CrS&#10;IghSxT8Xb4/sM0nNvg27a4zfvisUPA4z8xtmOu9MLVpyvrKsIO0nIIhzqysuFBwPy94YhA/IGmvL&#10;pOBOHuaz15cpZtreeEftPhQiQthnqKAMocmk9HlJBn3fNsTRO1tnMETpCqkd3iLc1HKQJJ/SYMVx&#10;ocSGvkrKL/urUXAadcOPwzZNq3a7XFzSX/f9s1kr9f7WLSYgAnXhGf5vr7SCwRAeX+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QNq/GAAAA2wAAAA8AAAAAAAAA&#10;AAAAAAAAoQIAAGRycy9kb3ducmV2LnhtbFBLBQYAAAAABAAEAPkAAACUAwAAAAA=&#10;" strokecolor="#254061" strokeweight="2pt"/>
                  </v:group>
                  <v:group id="Group 16" o:spid="_x0000_s1124" style="position:absolute;left:2251;top:5760;width:6829;height:1182" coordorigin="2251,6249" coordsize="6829,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oundrect id="AutoShape 17" o:spid="_x0000_s1125" style="position:absolute;left:2251;top:6358;width:2513;height:8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FsIA&#10;AADbAAAADwAAAGRycy9kb3ducmV2LnhtbESPT4vCMBTE7wt+h/AEb2uqskWqaRFhYREPrn/uj+bZ&#10;VpuX0qRa/fSbBcHjMDO/YZZZb2pxo9ZVlhVMxhEI4tzqigsFx8P35xyE88gaa8uk4EEOsnTwscRE&#10;2zv/0m3vCxEg7BJUUHrfJFK6vCSDbmwb4uCdbWvQB9kWUrd4D3BTy2kUxdJgxWGhxIbWJeXXfWcU&#10;7PTsa6tPO+47dqdnd9x0lypWajTsVwsQnnr/Dr/aP1rBNIb/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Df8WwgAAANsAAAAPAAAAAAAAAAAAAAAAAJgCAABkcnMvZG93&#10;bnJldi54bWxQSwUGAAAAAAQABAD1AAAAhwMAAAAA&#10;" fillcolor="#d4e2f4">
                      <v:fill opacity=".5" color2="#8eb4e3" o:opacity2=".5" rotate="t" focus="100%" type="gradient"/>
                      <v:textbox>
                        <w:txbxContent>
                          <w:p w14:paraId="50A6FAB5" w14:textId="77777777" w:rsidR="00CF59E1" w:rsidRDefault="00CF59E1" w:rsidP="007211C0">
                            <w:pPr>
                              <w:spacing w:after="120"/>
                              <w:jc w:val="center"/>
                              <w:rPr>
                                <w:b/>
                              </w:rPr>
                            </w:pPr>
                            <w:r>
                              <w:rPr>
                                <w:b/>
                              </w:rPr>
                              <w:t>Guidance Notes</w:t>
                            </w:r>
                          </w:p>
                          <w:p w14:paraId="30ECC201" w14:textId="77777777" w:rsidR="00CF59E1" w:rsidRPr="00700A06" w:rsidRDefault="00CF59E1" w:rsidP="007211C0">
                            <w:pPr>
                              <w:spacing w:after="120"/>
                              <w:jc w:val="center"/>
                            </w:pPr>
                            <w:r w:rsidRPr="00700A06">
                              <w:rPr>
                                <w:sz w:val="20"/>
                                <w:szCs w:val="20"/>
                              </w:rPr>
                              <w:t>Revised IESIA Guidelines</w:t>
                            </w:r>
                          </w:p>
                        </w:txbxContent>
                      </v:textbox>
                    </v:roundrect>
                    <v:roundrect id="AutoShape 18" o:spid="_x0000_s1126" style="position:absolute;left:6567;top:6249;width:2513;height:11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u5cMA&#10;AADbAAAADwAAAGRycy9kb3ducmV2LnhtbESP0WoCMRRE3wv9h3ALvtWsIrauRqmFor5U3PoB1811&#10;s3ZzsyZR179vCoU+DjNzhpktOtuIK/lQO1Yw6GcgiEuna64U7L8+nl9BhIissXFMCu4UYDF/fJhh&#10;rt2Nd3QtYiUShEOOCkyMbS5lKA1ZDH3XEifv6LzFmKSvpPZ4S3DbyGGWjaXFmtOCwZbeDZXfxcUq&#10;GDV2aweT0xkP3WY1if64/DRSqd5T9zYFEamL/+G/9lorGL7A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Eu5cMAAADbAAAADwAAAAAAAAAAAAAAAACYAgAAZHJzL2Rv&#10;d25yZXYueG1sUEsFBgAAAAAEAAQA9QAAAIgDAAAAAA==&#10;" fillcolor="#cfdff3">
                      <v:fill opacity=".5" color2="#8eb4e3" o:opacity2=".5" rotate="t" focus="100%" type="gradient"/>
                      <v:textbox>
                        <w:txbxContent>
                          <w:p w14:paraId="4D42AD36" w14:textId="77777777" w:rsidR="00CF59E1" w:rsidRPr="00700A06" w:rsidRDefault="00CF59E1" w:rsidP="007211C0">
                            <w:pPr>
                              <w:jc w:val="center"/>
                              <w:rPr>
                                <w:sz w:val="16"/>
                                <w:szCs w:val="16"/>
                              </w:rPr>
                            </w:pPr>
                            <w:r>
                              <w:rPr>
                                <w:sz w:val="16"/>
                                <w:szCs w:val="16"/>
                              </w:rPr>
                              <w:t xml:space="preserve">Detailed (methodological, sectoral and thematic) guidance on integrated environmental and social impact assessment </w:t>
                            </w:r>
                          </w:p>
                        </w:txbxContent>
                      </v:textbox>
                    </v:roundrect>
                    <v:shape id="AutoShape 19" o:spid="_x0000_s1127" type="#_x0000_t32" style="position:absolute;left:4764;top:6806;width:18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08qsIAAADbAAAADwAAAGRycy9kb3ducmV2LnhtbERPz2vCMBS+D/wfwhN2GZpWZEo1ijiE&#10;gWxi9eLt0TzbavNSkqx2//1yGHj8+H4v171pREfO15YVpOMEBHFhdc2lgvNpN5qD8AFZY2OZFPyS&#10;h/Vq8LLETNsHH6nLQyliCPsMFVQhtJmUvqjIoB/bljhyV+sMhghdKbXDRww3jZwkybs0WHNsqLCl&#10;bUXFPf8xCi6zfvp2OqRp3R12m3t6cx9f33ulXof9ZgEiUB+e4n/3p1YwiWPjl/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08qsIAAADbAAAADwAAAAAAAAAAAAAA&#10;AAChAgAAZHJzL2Rvd25yZXYueG1sUEsFBgAAAAAEAAQA+QAAAJADAAAAAA==&#10;" strokecolor="#254061" strokeweight="2pt"/>
                  </v:group>
                </v:group>
                <v:rect id="Rectangle 20" o:spid="_x0000_s1128" style="position:absolute;left:3828;top:971;width:7683;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riVsQA&#10;AADbAAAADwAAAGRycy9kb3ducmV2LnhtbESPT2vCQBTE74V+h+UJ3upGkVKjm2A1Yg89WP/cH7vP&#10;JJh9G7Krxn76bqHQ4zAzv2EWeW8bcaPO144VjEcJCGLtTM2lguNh8/IGwgdkg41jUvAgD3n2/LTA&#10;1Lg7f9FtH0oRIexTVFCF0KZSel2RRT9yLXH0zq6zGKLsSmk6vEe4beQkSV6lxZrjQoUtrSrSl/3V&#10;KtghrnffW63fi8fntKDVqSDXKDUc9Ms5iEB9+A//tT+MgskM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q4lbEAAAA2wAAAA8AAAAAAAAAAAAAAAAAmAIAAGRycy9k&#10;b3ducmV2LnhtbFBLBQYAAAAABAAEAPUAAACJAwAAAAA=&#10;" strokecolor="white">
                  <v:textbox>
                    <w:txbxContent>
                      <w:p w14:paraId="0624FE90" w14:textId="77777777" w:rsidR="00CF59E1" w:rsidRPr="00F14825" w:rsidRDefault="00CF59E1" w:rsidP="00CF59E1">
                        <w:pPr>
                          <w:jc w:val="center"/>
                          <w:rPr>
                            <w:rFonts w:cs="Times New Roman"/>
                            <w:b/>
                            <w:sz w:val="28"/>
                            <w:szCs w:val="28"/>
                          </w:rPr>
                        </w:pPr>
                        <w:r w:rsidRPr="00F14825">
                          <w:rPr>
                            <w:rFonts w:cs="Times New Roman"/>
                            <w:b/>
                            <w:sz w:val="28"/>
                            <w:szCs w:val="28"/>
                          </w:rPr>
                          <w:t>A</w:t>
                        </w:r>
                        <w:r>
                          <w:rPr>
                            <w:rFonts w:cs="Times New Roman"/>
                            <w:b/>
                            <w:sz w:val="28"/>
                            <w:szCs w:val="28"/>
                          </w:rPr>
                          <w:t xml:space="preserve">nnex </w:t>
                        </w:r>
                        <w:r w:rsidRPr="00F14825">
                          <w:rPr>
                            <w:rFonts w:cs="Times New Roman"/>
                            <w:b/>
                            <w:sz w:val="28"/>
                            <w:szCs w:val="28"/>
                          </w:rPr>
                          <w:t>1.4. AfDB – Conceptual Diagram of the Integrated Safeguards System</w:t>
                        </w:r>
                      </w:p>
                    </w:txbxContent>
                  </v:textbox>
                </v:rect>
                <v:rect id="Rectangle 21" o:spid="_x0000_s1129" style="position:absolute;left:3828;top:8396;width:7962;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dFsAA&#10;AADbAAAADwAAAGRycy9kb3ducmV2LnhtbERPyW7CMBC9I/EP1iD1Bg6LKhQwiCUVHHqgLPeRPSQR&#10;8TiKDYR+fX1A6vHp7fNlayvxoMaXjhUMBwkIYu1MybmC8+mrPwXhA7LByjEpeJGH5aLbmWNq3JN/&#10;6HEMuYgh7FNUUIRQp1J6XZBFP3A1ceSurrEYImxyaRp8xnBbyVGSfEqLJceGAmvaFKRvx7tVcEDc&#10;Hn53Wq+z1/cko80lI1cp9dFrVzMQgdrwL36790bBOK6PX+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dFsAAAADbAAAADwAAAAAAAAAAAAAAAACYAgAAZHJzL2Rvd25y&#10;ZXYueG1sUEsFBgAAAAAEAAQA9QAAAIUDAAAAAA==&#10;" strokecolor="white">
                  <v:textbox>
                    <w:txbxContent>
                      <w:p w14:paraId="33F65652" w14:textId="77777777" w:rsidR="00CF59E1" w:rsidRPr="00201BA9" w:rsidRDefault="00CF59E1" w:rsidP="007211C0">
                        <w:pPr>
                          <w:rPr>
                            <w:sz w:val="16"/>
                            <w:szCs w:val="16"/>
                          </w:rPr>
                        </w:pPr>
                        <w:r>
                          <w:rPr>
                            <w:sz w:val="16"/>
                            <w:szCs w:val="16"/>
                          </w:rPr>
                          <w:t>Source: AfDB’s integrated Safeguards System. Policy Statement and Operational Safeguards</w:t>
                        </w:r>
                        <w:r w:rsidRPr="006A4DB9">
                          <w:rPr>
                            <w:sz w:val="16"/>
                            <w:szCs w:val="16"/>
                          </w:rPr>
                          <w:t xml:space="preserve"> </w:t>
                        </w:r>
                        <w:r>
                          <w:rPr>
                            <w:sz w:val="16"/>
                            <w:szCs w:val="16"/>
                          </w:rPr>
                          <w:t>(March 2013)</w:t>
                        </w:r>
                      </w:p>
                      <w:p w14:paraId="0C5A52B9" w14:textId="77777777" w:rsidR="00CF59E1" w:rsidRPr="00201BA9" w:rsidRDefault="00CF59E1" w:rsidP="007211C0">
                        <w:pPr>
                          <w:rPr>
                            <w:sz w:val="16"/>
                            <w:szCs w:val="16"/>
                          </w:rPr>
                        </w:pPr>
                      </w:p>
                    </w:txbxContent>
                  </v:textbox>
                </v:rect>
              </v:group>
            </w:pict>
          </mc:Fallback>
        </mc:AlternateContent>
      </w:r>
    </w:p>
    <w:p w14:paraId="021CF4BB" w14:textId="77777777" w:rsidR="00CF59E1" w:rsidRPr="00F14825" w:rsidRDefault="00CF59E1" w:rsidP="00CF59E1">
      <w:pPr>
        <w:tabs>
          <w:tab w:val="left" w:pos="8984"/>
        </w:tabs>
        <w:autoSpaceDE/>
        <w:autoSpaceDN/>
        <w:adjustRightInd/>
        <w:spacing w:after="200" w:line="276" w:lineRule="auto"/>
        <w:jc w:val="center"/>
        <w:rPr>
          <w:rFonts w:cs="Times New Roman"/>
          <w:b/>
          <w:sz w:val="28"/>
          <w:szCs w:val="28"/>
        </w:rPr>
      </w:pPr>
      <w:r w:rsidRPr="00F14825">
        <w:rPr>
          <w:rFonts w:cs="Times New Roman"/>
          <w:b/>
          <w:sz w:val="28"/>
          <w:szCs w:val="28"/>
        </w:rPr>
        <w:t>A</w:t>
      </w:r>
      <w:r>
        <w:rPr>
          <w:rFonts w:cs="Times New Roman"/>
          <w:b/>
          <w:sz w:val="28"/>
          <w:szCs w:val="28"/>
        </w:rPr>
        <w:t xml:space="preserve">nnex </w:t>
      </w:r>
      <w:r w:rsidRPr="00F14825">
        <w:rPr>
          <w:rFonts w:cs="Times New Roman"/>
          <w:b/>
          <w:sz w:val="28"/>
          <w:szCs w:val="28"/>
        </w:rPr>
        <w:t>1.5. EBRD Environmental and Social Policy (ESP)</w:t>
      </w:r>
    </w:p>
    <w:p w14:paraId="2BE55984" w14:textId="77777777" w:rsidR="00CF59E1" w:rsidRPr="000F62A5" w:rsidRDefault="00CF59E1" w:rsidP="007211C0">
      <w:pPr>
        <w:tabs>
          <w:tab w:val="left" w:pos="8984"/>
        </w:tabs>
        <w:autoSpaceDE/>
        <w:autoSpaceDN/>
        <w:adjustRightInd/>
        <w:spacing w:after="200" w:line="276" w:lineRule="auto"/>
        <w:jc w:val="center"/>
        <w:rPr>
          <w:rFonts w:cs="Times New Roman"/>
        </w:rPr>
      </w:pPr>
      <w:r>
        <w:rPr>
          <w:rFonts w:cs="Times New Roman"/>
          <w:noProof/>
        </w:rPr>
        <w:drawing>
          <wp:inline distT="0" distB="0" distL="0" distR="0" wp14:anchorId="3C3CB99E" wp14:editId="00A9ADB5">
            <wp:extent cx="6796420" cy="5122912"/>
            <wp:effectExtent l="19050" t="0" r="443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6800969" cy="5126341"/>
                    </a:xfrm>
                    <a:prstGeom prst="rect">
                      <a:avLst/>
                    </a:prstGeom>
                    <a:noFill/>
                    <a:ln w="9525">
                      <a:noFill/>
                      <a:miter lim="800000"/>
                      <a:headEnd/>
                      <a:tailEnd/>
                    </a:ln>
                  </pic:spPr>
                </pic:pic>
              </a:graphicData>
            </a:graphic>
          </wp:inline>
        </w:drawing>
      </w:r>
    </w:p>
    <w:p w14:paraId="18A7DD8C" w14:textId="77777777" w:rsidR="00CF59E1" w:rsidRPr="000F62A5" w:rsidRDefault="00CF59E1" w:rsidP="007211C0">
      <w:pPr>
        <w:tabs>
          <w:tab w:val="left" w:pos="8984"/>
        </w:tabs>
        <w:autoSpaceDE/>
        <w:autoSpaceDN/>
        <w:adjustRightInd/>
        <w:spacing w:after="200" w:line="276" w:lineRule="auto"/>
        <w:rPr>
          <w:rFonts w:cs="Times New Roman"/>
        </w:rPr>
        <w:sectPr w:rsidR="00CF59E1" w:rsidRPr="000F62A5" w:rsidSect="00755AED">
          <w:pgSz w:w="15840" w:h="12240" w:orient="landscape"/>
          <w:pgMar w:top="1440" w:right="1440" w:bottom="1440" w:left="1843" w:header="720" w:footer="720" w:gutter="0"/>
          <w:cols w:space="720"/>
          <w:docGrid w:linePitch="360"/>
        </w:sectPr>
      </w:pPr>
    </w:p>
    <w:p w14:paraId="7AEAFE00" w14:textId="77777777" w:rsidR="00CF59E1" w:rsidRDefault="00CF59E1" w:rsidP="00CF59E1">
      <w:pPr>
        <w:tabs>
          <w:tab w:val="left" w:pos="8984"/>
        </w:tabs>
        <w:autoSpaceDE/>
        <w:autoSpaceDN/>
        <w:adjustRightInd/>
        <w:spacing w:after="200" w:line="276" w:lineRule="auto"/>
        <w:jc w:val="center"/>
        <w:rPr>
          <w:rFonts w:cs="Times New Roman"/>
          <w:b/>
          <w:sz w:val="28"/>
          <w:szCs w:val="28"/>
        </w:rPr>
      </w:pPr>
    </w:p>
    <w:p w14:paraId="241F4468" w14:textId="77777777" w:rsidR="00CF59E1" w:rsidRPr="00F14825" w:rsidRDefault="00CF59E1" w:rsidP="00CF59E1">
      <w:pPr>
        <w:tabs>
          <w:tab w:val="left" w:pos="8984"/>
        </w:tabs>
        <w:autoSpaceDE/>
        <w:autoSpaceDN/>
        <w:adjustRightInd/>
        <w:spacing w:after="200" w:line="276" w:lineRule="auto"/>
        <w:jc w:val="center"/>
        <w:rPr>
          <w:rFonts w:cs="Times New Roman"/>
          <w:b/>
          <w:sz w:val="28"/>
          <w:szCs w:val="28"/>
        </w:rPr>
      </w:pPr>
      <w:r w:rsidRPr="00F14825">
        <w:rPr>
          <w:rFonts w:cs="Times New Roman"/>
          <w:b/>
          <w:sz w:val="28"/>
          <w:szCs w:val="28"/>
        </w:rPr>
        <w:t>A</w:t>
      </w:r>
      <w:r>
        <w:rPr>
          <w:rFonts w:cs="Times New Roman"/>
          <w:b/>
          <w:sz w:val="28"/>
          <w:szCs w:val="28"/>
        </w:rPr>
        <w:t xml:space="preserve">nnex </w:t>
      </w:r>
      <w:r w:rsidRPr="00F14825">
        <w:rPr>
          <w:rFonts w:cs="Times New Roman"/>
          <w:b/>
          <w:sz w:val="28"/>
          <w:szCs w:val="28"/>
        </w:rPr>
        <w:t>1.6. IDB Safeguard System</w:t>
      </w:r>
    </w:p>
    <w:p w14:paraId="5E900DBD" w14:textId="77777777" w:rsidR="00CF59E1" w:rsidRPr="000F62A5" w:rsidRDefault="00CF59E1" w:rsidP="007211C0">
      <w:pPr>
        <w:tabs>
          <w:tab w:val="left" w:pos="8984"/>
        </w:tabs>
        <w:autoSpaceDE/>
        <w:autoSpaceDN/>
        <w:adjustRightInd/>
        <w:spacing w:after="200" w:line="276" w:lineRule="auto"/>
        <w:jc w:val="center"/>
        <w:rPr>
          <w:rFonts w:cs="Times New Roman"/>
          <w:b/>
          <w:u w:val="single"/>
        </w:rPr>
      </w:pPr>
      <w:r>
        <w:rPr>
          <w:rFonts w:cs="Times New Roman"/>
          <w:b/>
          <w:noProof/>
          <w:u w:val="single"/>
        </w:rPr>
        <w:drawing>
          <wp:inline distT="0" distB="0" distL="0" distR="0" wp14:anchorId="08799AED" wp14:editId="3C3922FB">
            <wp:extent cx="7924800" cy="5270360"/>
            <wp:effectExtent l="0" t="0" r="0" b="698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DBSafeguardsPoliciesChart (2) no logo.jpg"/>
                    <pic:cNvPicPr/>
                  </pic:nvPicPr>
                  <pic:blipFill rotWithShape="1">
                    <a:blip r:embed="rId19">
                      <a:extLst>
                        <a:ext uri="{28A0092B-C50C-407E-A947-70E740481C1C}">
                          <a14:useLocalDpi xmlns:a14="http://schemas.microsoft.com/office/drawing/2010/main" val="0"/>
                        </a:ext>
                      </a:extLst>
                    </a:blip>
                    <a:srcRect t="11327"/>
                    <a:stretch/>
                  </pic:blipFill>
                  <pic:spPr bwMode="auto">
                    <a:xfrm>
                      <a:off x="0" y="0"/>
                      <a:ext cx="7924800" cy="5270360"/>
                    </a:xfrm>
                    <a:prstGeom prst="rect">
                      <a:avLst/>
                    </a:prstGeom>
                    <a:ln>
                      <a:noFill/>
                    </a:ln>
                    <a:extLst>
                      <a:ext uri="{53640926-AAD7-44D8-BBD7-CCE9431645EC}">
                        <a14:shadowObscured xmlns:a14="http://schemas.microsoft.com/office/drawing/2010/main"/>
                      </a:ext>
                    </a:extLst>
                  </pic:spPr>
                </pic:pic>
              </a:graphicData>
            </a:graphic>
          </wp:inline>
        </w:drawing>
      </w:r>
    </w:p>
    <w:p w14:paraId="6F2EFF86" w14:textId="08BAE3DD" w:rsidR="00CF59E1" w:rsidRPr="00F14825" w:rsidRDefault="00CF59E1" w:rsidP="00CF59E1">
      <w:pPr>
        <w:autoSpaceDE/>
        <w:autoSpaceDN/>
        <w:adjustRightInd/>
        <w:spacing w:after="200" w:line="276" w:lineRule="auto"/>
        <w:jc w:val="center"/>
        <w:rPr>
          <w:rFonts w:cs="Times New Roman"/>
          <w:b/>
          <w:sz w:val="28"/>
          <w:szCs w:val="28"/>
        </w:rPr>
      </w:pPr>
      <w:r>
        <w:rPr>
          <w:rFonts w:cs="Times New Roman"/>
          <w:b/>
        </w:rPr>
        <w:br w:type="page"/>
      </w:r>
      <w:r w:rsidRPr="007A153E">
        <w:rPr>
          <w:rFonts w:cs="Times New Roman"/>
          <w:b/>
          <w:sz w:val="24"/>
          <w:szCs w:val="24"/>
        </w:rPr>
        <w:t>A</w:t>
      </w:r>
      <w:r>
        <w:rPr>
          <w:rFonts w:cs="Times New Roman"/>
          <w:b/>
          <w:sz w:val="28"/>
          <w:szCs w:val="28"/>
        </w:rPr>
        <w:t>nne</w:t>
      </w:r>
      <w:r w:rsidRPr="00F14825">
        <w:rPr>
          <w:rFonts w:cs="Times New Roman"/>
          <w:b/>
          <w:sz w:val="28"/>
          <w:szCs w:val="28"/>
        </w:rPr>
        <w:t>x 1.7. EIB Safeguard System</w:t>
      </w:r>
      <w:r w:rsidRPr="00CF59E1">
        <w:rPr>
          <w:rFonts w:cs="Times New Roman"/>
          <w:b/>
          <w:sz w:val="24"/>
          <w:szCs w:val="24"/>
        </w:rPr>
        <w:t xml:space="preserve"> </w:t>
      </w:r>
      <w:r w:rsidRPr="007A153E">
        <w:rPr>
          <w:rFonts w:cs="Times New Roman"/>
          <w:b/>
          <w:sz w:val="24"/>
          <w:szCs w:val="24"/>
        </w:rPr>
        <w:t>A</w:t>
      </w:r>
      <w:r>
        <w:rPr>
          <w:rFonts w:cs="Times New Roman"/>
          <w:b/>
          <w:sz w:val="28"/>
          <w:szCs w:val="28"/>
        </w:rPr>
        <w:t>nne</w:t>
      </w:r>
      <w:r w:rsidRPr="00F14825">
        <w:rPr>
          <w:rFonts w:cs="Times New Roman"/>
          <w:b/>
          <w:sz w:val="28"/>
          <w:szCs w:val="28"/>
        </w:rPr>
        <w:t>x 1.7. EIB Safeguard System</w:t>
      </w:r>
    </w:p>
    <w:p w14:paraId="790DA572" w14:textId="77777777" w:rsidR="00CF59E1" w:rsidRPr="00EC71FE" w:rsidRDefault="00CF59E1" w:rsidP="00CF59E1">
      <w:pPr>
        <w:tabs>
          <w:tab w:val="left" w:pos="3261"/>
        </w:tabs>
        <w:rPr>
          <w:rFonts w:cs="Times New Roman"/>
          <w:b/>
          <w:u w:val="single"/>
        </w:rPr>
      </w:pPr>
      <w:r>
        <w:rPr>
          <w:noProof/>
          <w:szCs w:val="20"/>
        </w:rPr>
        <mc:AlternateContent>
          <mc:Choice Requires="wps">
            <w:drawing>
              <wp:anchor distT="0" distB="0" distL="114300" distR="114300" simplePos="0" relativeHeight="251673088" behindDoc="0" locked="0" layoutInCell="1" allowOverlap="1" wp14:anchorId="1B910AAA" wp14:editId="2652E62A">
                <wp:simplePos x="0" y="0"/>
                <wp:positionH relativeFrom="column">
                  <wp:posOffset>5216525</wp:posOffset>
                </wp:positionH>
                <wp:positionV relativeFrom="paragraph">
                  <wp:posOffset>1336040</wp:posOffset>
                </wp:positionV>
                <wp:extent cx="2008505" cy="810260"/>
                <wp:effectExtent l="0" t="0" r="10795" b="2794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8505" cy="810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FFB4CF" w14:textId="77777777" w:rsidR="00CF59E1" w:rsidRPr="00B053DE" w:rsidRDefault="00CF59E1" w:rsidP="00CF59E1">
                            <w:pPr>
                              <w:jc w:val="center"/>
                              <w:rPr>
                                <w:sz w:val="28"/>
                                <w:szCs w:val="28"/>
                              </w:rPr>
                            </w:pPr>
                            <w:r w:rsidRPr="00B053DE">
                              <w:rPr>
                                <w:sz w:val="28"/>
                                <w:szCs w:val="28"/>
                              </w:rPr>
                              <w:t>Environmental and Social Practices and Procedures</w:t>
                            </w: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0AAA" id="Text Box 4" o:spid="_x0000_s1130" type="#_x0000_t202" style="position:absolute;margin-left:410.75pt;margin-top:105.2pt;width:158.15pt;height:63.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" fillcolor="white [3201]" strokeweight=".5pt">
                <v:path arrowok="t"/>
                <v:textbox>
                  <w:txbxContent>
                    <w:p w14:paraId="32FFB4CF" w14:textId="77777777" w:rsidR="00CF59E1" w:rsidRPr="00B053DE" w:rsidRDefault="00CF59E1" w:rsidP="00CF59E1">
                      <w:pPr>
                        <w:jc w:val="center"/>
                        <w:rPr>
                          <w:sz w:val="28"/>
                          <w:szCs w:val="28"/>
                        </w:rPr>
                      </w:pPr>
                      <w:r w:rsidRPr="00B053DE">
                        <w:rPr>
                          <w:sz w:val="28"/>
                          <w:szCs w:val="28"/>
                        </w:rPr>
                        <w:t>Environmental and Social Practices and Procedures</w:t>
                      </w:r>
                      <w:r>
                        <w:rPr>
                          <w:sz w:val="28"/>
                          <w:szCs w:val="28"/>
                        </w:rPr>
                        <w:t xml:space="preserve"> </w:t>
                      </w:r>
                    </w:p>
                  </w:txbxContent>
                </v:textbox>
              </v:shape>
            </w:pict>
          </mc:Fallback>
        </mc:AlternateContent>
      </w:r>
      <w:r>
        <w:rPr>
          <w:noProof/>
          <w:szCs w:val="20"/>
        </w:rPr>
        <mc:AlternateContent>
          <mc:Choice Requires="wps">
            <w:drawing>
              <wp:anchor distT="0" distB="0" distL="114300" distR="114300" simplePos="0" relativeHeight="251670016" behindDoc="0" locked="0" layoutInCell="1" allowOverlap="1" wp14:anchorId="55549AE5" wp14:editId="29C72187">
                <wp:simplePos x="0" y="0"/>
                <wp:positionH relativeFrom="column">
                  <wp:posOffset>5216525</wp:posOffset>
                </wp:positionH>
                <wp:positionV relativeFrom="paragraph">
                  <wp:posOffset>3743960</wp:posOffset>
                </wp:positionV>
                <wp:extent cx="2008505" cy="706755"/>
                <wp:effectExtent l="0" t="0" r="10795" b="1714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8505" cy="706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C83D1F" w14:textId="77777777" w:rsidR="00CF59E1" w:rsidRPr="00B053DE" w:rsidRDefault="00CF59E1" w:rsidP="00CF59E1">
                            <w:pPr>
                              <w:spacing w:before="120"/>
                              <w:jc w:val="center"/>
                              <w:rPr>
                                <w:sz w:val="28"/>
                                <w:szCs w:val="28"/>
                              </w:rPr>
                            </w:pPr>
                            <w:r w:rsidRPr="00B053DE">
                              <w:rPr>
                                <w:sz w:val="28"/>
                                <w:szCs w:val="28"/>
                              </w:rPr>
                              <w:t>Transparency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49AE5" id="Text Box 6" o:spid="_x0000_s1131" type="#_x0000_t202" style="position:absolute;margin-left:410.75pt;margin-top:294.8pt;width:158.15pt;height:55.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" fillcolor="white [3201]" strokeweight=".5pt">
                <v:path arrowok="t"/>
                <v:textbox>
                  <w:txbxContent>
                    <w:p w14:paraId="16C83D1F" w14:textId="77777777" w:rsidR="00CF59E1" w:rsidRPr="00B053DE" w:rsidRDefault="00CF59E1" w:rsidP="00CF59E1">
                      <w:pPr>
                        <w:spacing w:before="120"/>
                        <w:jc w:val="center"/>
                        <w:rPr>
                          <w:sz w:val="28"/>
                          <w:szCs w:val="28"/>
                        </w:rPr>
                      </w:pPr>
                      <w:r w:rsidRPr="00B053DE">
                        <w:rPr>
                          <w:sz w:val="28"/>
                          <w:szCs w:val="28"/>
                        </w:rPr>
                        <w:t>Transparency Policy</w:t>
                      </w:r>
                    </w:p>
                  </w:txbxContent>
                </v:textbox>
              </v:shape>
            </w:pict>
          </mc:Fallback>
        </mc:AlternateContent>
      </w:r>
      <w:r>
        <w:rPr>
          <w:noProof/>
          <w:szCs w:val="20"/>
        </w:rPr>
        <mc:AlternateContent>
          <mc:Choice Requires="wps">
            <w:drawing>
              <wp:anchor distT="0" distB="0" distL="114300" distR="114300" simplePos="0" relativeHeight="251674112" behindDoc="0" locked="0" layoutInCell="1" allowOverlap="1" wp14:anchorId="575E05D1" wp14:editId="4D121198">
                <wp:simplePos x="0" y="0"/>
                <wp:positionH relativeFrom="column">
                  <wp:posOffset>5216525</wp:posOffset>
                </wp:positionH>
                <wp:positionV relativeFrom="paragraph">
                  <wp:posOffset>2435860</wp:posOffset>
                </wp:positionV>
                <wp:extent cx="2008505" cy="947420"/>
                <wp:effectExtent l="0" t="0" r="10795" b="241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8505" cy="947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DD9286" w14:textId="77777777" w:rsidR="00CF59E1" w:rsidRDefault="00CF59E1" w:rsidP="00CF59E1">
                            <w:pPr>
                              <w:jc w:val="center"/>
                              <w:rPr>
                                <w:sz w:val="28"/>
                                <w:szCs w:val="28"/>
                              </w:rPr>
                            </w:pPr>
                            <w:r>
                              <w:rPr>
                                <w:sz w:val="28"/>
                                <w:szCs w:val="28"/>
                              </w:rPr>
                              <w:t>Thematic and Sector Guidance</w:t>
                            </w:r>
                          </w:p>
                          <w:p w14:paraId="414AE45D" w14:textId="77777777" w:rsidR="00CF59E1" w:rsidRPr="00B053DE" w:rsidRDefault="00CF59E1" w:rsidP="00CF59E1">
                            <w:pPr>
                              <w:jc w:val="center"/>
                              <w:rPr>
                                <w:sz w:val="28"/>
                                <w:szCs w:val="28"/>
                              </w:rPr>
                            </w:pPr>
                            <w:r w:rsidRPr="00B053DE">
                              <w:rPr>
                                <w:sz w:val="28"/>
                                <w:szCs w:val="28"/>
                              </w:rPr>
                              <w:t>Sourcebooks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05D1" id="Text Box 5" o:spid="_x0000_s1132" type="#_x0000_t202" style="position:absolute;margin-left:410.75pt;margin-top:191.8pt;width:158.15pt;height:7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" fillcolor="white [3201]" strokeweight=".5pt">
                <v:path arrowok="t"/>
                <v:textbox>
                  <w:txbxContent>
                    <w:p w14:paraId="1ADD9286" w14:textId="77777777" w:rsidR="00CF59E1" w:rsidRDefault="00CF59E1" w:rsidP="00CF59E1">
                      <w:pPr>
                        <w:jc w:val="center"/>
                        <w:rPr>
                          <w:sz w:val="28"/>
                          <w:szCs w:val="28"/>
                        </w:rPr>
                      </w:pPr>
                      <w:r>
                        <w:rPr>
                          <w:sz w:val="28"/>
                          <w:szCs w:val="28"/>
                        </w:rPr>
                        <w:t>Thematic and Sector Guidance</w:t>
                      </w:r>
                    </w:p>
                    <w:p w14:paraId="414AE45D" w14:textId="77777777" w:rsidR="00CF59E1" w:rsidRPr="00B053DE" w:rsidRDefault="00CF59E1" w:rsidP="00CF59E1">
                      <w:pPr>
                        <w:jc w:val="center"/>
                        <w:rPr>
                          <w:sz w:val="28"/>
                          <w:szCs w:val="28"/>
                        </w:rPr>
                      </w:pPr>
                      <w:r w:rsidRPr="00B053DE">
                        <w:rPr>
                          <w:sz w:val="28"/>
                          <w:szCs w:val="28"/>
                        </w:rPr>
                        <w:t>Sourcebooks</w:t>
                      </w:r>
                    </w:p>
                  </w:txbxContent>
                </v:textbox>
              </v:shape>
            </w:pict>
          </mc:Fallback>
        </mc:AlternateContent>
      </w:r>
      <w:r>
        <w:rPr>
          <w:noProof/>
          <w:szCs w:val="20"/>
        </w:rPr>
        <mc:AlternateContent>
          <mc:Choice Requires="wps">
            <w:drawing>
              <wp:anchor distT="0" distB="0" distL="114300" distR="114300" simplePos="0" relativeHeight="251671040" behindDoc="0" locked="0" layoutInCell="1" allowOverlap="1" wp14:anchorId="4939D8EC" wp14:editId="4B43B45E">
                <wp:simplePos x="0" y="0"/>
                <wp:positionH relativeFrom="column">
                  <wp:posOffset>259080</wp:posOffset>
                </wp:positionH>
                <wp:positionV relativeFrom="paragraph">
                  <wp:posOffset>2437130</wp:posOffset>
                </wp:positionV>
                <wp:extent cx="3886200" cy="2466340"/>
                <wp:effectExtent l="0" t="0" r="19050"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2466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279AC6" w14:textId="77777777" w:rsidR="00CF59E1" w:rsidRPr="005A5CD7" w:rsidRDefault="00CF59E1" w:rsidP="00CF59E1">
                            <w:pPr>
                              <w:jc w:val="center"/>
                              <w:rPr>
                                <w:sz w:val="28"/>
                                <w:szCs w:val="28"/>
                              </w:rPr>
                            </w:pPr>
                            <w:r w:rsidRPr="005A5CD7">
                              <w:rPr>
                                <w:sz w:val="28"/>
                                <w:szCs w:val="28"/>
                              </w:rPr>
                              <w:t>Environmental and Social Standards</w:t>
                            </w:r>
                          </w:p>
                          <w:p w14:paraId="176999B7"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Assessment and Management of Environmental and Social Impacts and Risks</w:t>
                            </w:r>
                          </w:p>
                          <w:p w14:paraId="493AB7A7"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Pollution Prevention and Abatement</w:t>
                            </w:r>
                          </w:p>
                          <w:p w14:paraId="6CA46805"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Standards on Biodiversity and Ecosystems</w:t>
                            </w:r>
                          </w:p>
                          <w:p w14:paraId="7A37664C"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Climate-related Standards</w:t>
                            </w:r>
                          </w:p>
                          <w:p w14:paraId="3A5C73C3"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Cultural Heritage</w:t>
                            </w:r>
                          </w:p>
                          <w:p w14:paraId="07D1C6F3"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Involuntary Resettlement</w:t>
                            </w:r>
                          </w:p>
                          <w:p w14:paraId="15CA1A38"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Rights and Interests of Vulnerable Groups</w:t>
                            </w:r>
                          </w:p>
                          <w:p w14:paraId="055C83D4"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Labour Standards</w:t>
                            </w:r>
                          </w:p>
                          <w:p w14:paraId="493A194F"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Occ</w:t>
                            </w:r>
                            <w:r>
                              <w:rPr>
                                <w:szCs w:val="20"/>
                              </w:rPr>
                              <w:t xml:space="preserve">upational and Public Health, </w:t>
                            </w:r>
                            <w:r w:rsidRPr="005A5CD7">
                              <w:rPr>
                                <w:szCs w:val="20"/>
                              </w:rPr>
                              <w:t>Safety</w:t>
                            </w:r>
                            <w:r>
                              <w:rPr>
                                <w:szCs w:val="20"/>
                              </w:rPr>
                              <w:t xml:space="preserve"> and Security</w:t>
                            </w:r>
                          </w:p>
                          <w:p w14:paraId="54E9B581" w14:textId="77777777" w:rsidR="00CF59E1" w:rsidRPr="005A5CD7" w:rsidRDefault="00CF59E1" w:rsidP="009F3E8E">
                            <w:pPr>
                              <w:pStyle w:val="ListParagraph"/>
                              <w:numPr>
                                <w:ilvl w:val="0"/>
                                <w:numId w:val="25"/>
                              </w:numPr>
                              <w:autoSpaceDE/>
                              <w:autoSpaceDN/>
                              <w:adjustRightInd/>
                              <w:ind w:left="567" w:hanging="425"/>
                              <w:rPr>
                                <w:szCs w:val="20"/>
                              </w:rPr>
                            </w:pPr>
                            <w:r w:rsidRPr="005A5CD7">
                              <w:rPr>
                                <w:szCs w:val="20"/>
                              </w:rPr>
                              <w:t>Stakeholder Engagement</w:t>
                            </w:r>
                          </w:p>
                          <w:p w14:paraId="24E4EC7B" w14:textId="77777777" w:rsidR="00CF59E1" w:rsidRDefault="00CF59E1" w:rsidP="00CF59E1">
                            <w:pPr>
                              <w:ind w:hanging="28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9D8EC" id="Text Box 3" o:spid="_x0000_s1133" type="#_x0000_t202" style="position:absolute;margin-left:20.4pt;margin-top:191.9pt;width:306pt;height:19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" fillcolor="white [3201]" strokeweight=".5pt">
                <v:path arrowok="t"/>
                <v:textbox>
                  <w:txbxContent>
                    <w:p w14:paraId="71279AC6" w14:textId="77777777" w:rsidR="00CF59E1" w:rsidRPr="005A5CD7" w:rsidRDefault="00CF59E1" w:rsidP="00CF59E1">
                      <w:pPr>
                        <w:jc w:val="center"/>
                        <w:rPr>
                          <w:sz w:val="28"/>
                          <w:szCs w:val="28"/>
                        </w:rPr>
                      </w:pPr>
                      <w:r w:rsidRPr="005A5CD7">
                        <w:rPr>
                          <w:sz w:val="28"/>
                          <w:szCs w:val="28"/>
                        </w:rPr>
                        <w:t>Environmental and Social Standards</w:t>
                      </w:r>
                    </w:p>
                    <w:p w14:paraId="176999B7"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Assessment and Management of Environmental and Social Impacts and Risks</w:t>
                      </w:r>
                    </w:p>
                    <w:p w14:paraId="493AB7A7"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Pollution Prevention and Abatement</w:t>
                      </w:r>
                    </w:p>
                    <w:p w14:paraId="6CA46805"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Standards on Biodiversity and Ecosystems</w:t>
                      </w:r>
                    </w:p>
                    <w:p w14:paraId="7A37664C"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Climate-related Standards</w:t>
                      </w:r>
                    </w:p>
                    <w:p w14:paraId="3A5C73C3"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Cultural Heritage</w:t>
                      </w:r>
                    </w:p>
                    <w:p w14:paraId="07D1C6F3"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Involuntary Resettlement</w:t>
                      </w:r>
                    </w:p>
                    <w:p w14:paraId="15CA1A38"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Rights and Interests of Vulnerable Groups</w:t>
                      </w:r>
                    </w:p>
                    <w:p w14:paraId="055C83D4"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Labour Standards</w:t>
                      </w:r>
                    </w:p>
                    <w:p w14:paraId="493A194F" w14:textId="77777777" w:rsidR="00CF59E1" w:rsidRPr="005A5CD7" w:rsidRDefault="00CF59E1" w:rsidP="009F3E8E">
                      <w:pPr>
                        <w:pStyle w:val="ListParagraph"/>
                        <w:numPr>
                          <w:ilvl w:val="0"/>
                          <w:numId w:val="25"/>
                        </w:numPr>
                        <w:autoSpaceDE/>
                        <w:autoSpaceDN/>
                        <w:adjustRightInd/>
                        <w:ind w:left="567" w:hanging="283"/>
                        <w:rPr>
                          <w:szCs w:val="20"/>
                        </w:rPr>
                      </w:pPr>
                      <w:r w:rsidRPr="005A5CD7">
                        <w:rPr>
                          <w:szCs w:val="20"/>
                        </w:rPr>
                        <w:t>Occ</w:t>
                      </w:r>
                      <w:r>
                        <w:rPr>
                          <w:szCs w:val="20"/>
                        </w:rPr>
                        <w:t xml:space="preserve">upational and Public Health, </w:t>
                      </w:r>
                      <w:r w:rsidRPr="005A5CD7">
                        <w:rPr>
                          <w:szCs w:val="20"/>
                        </w:rPr>
                        <w:t>Safety</w:t>
                      </w:r>
                      <w:r>
                        <w:rPr>
                          <w:szCs w:val="20"/>
                        </w:rPr>
                        <w:t xml:space="preserve"> and Security</w:t>
                      </w:r>
                    </w:p>
                    <w:p w14:paraId="54E9B581" w14:textId="77777777" w:rsidR="00CF59E1" w:rsidRPr="005A5CD7" w:rsidRDefault="00CF59E1" w:rsidP="009F3E8E">
                      <w:pPr>
                        <w:pStyle w:val="ListParagraph"/>
                        <w:numPr>
                          <w:ilvl w:val="0"/>
                          <w:numId w:val="25"/>
                        </w:numPr>
                        <w:autoSpaceDE/>
                        <w:autoSpaceDN/>
                        <w:adjustRightInd/>
                        <w:ind w:left="567" w:hanging="425"/>
                        <w:rPr>
                          <w:szCs w:val="20"/>
                        </w:rPr>
                      </w:pPr>
                      <w:r w:rsidRPr="005A5CD7">
                        <w:rPr>
                          <w:szCs w:val="20"/>
                        </w:rPr>
                        <w:t>Stakeholder Engagement</w:t>
                      </w:r>
                    </w:p>
                    <w:p w14:paraId="24E4EC7B" w14:textId="77777777" w:rsidR="00CF59E1" w:rsidRDefault="00CF59E1" w:rsidP="00CF59E1">
                      <w:pPr>
                        <w:ind w:hanging="283"/>
                      </w:pPr>
                    </w:p>
                  </w:txbxContent>
                </v:textbox>
              </v:shape>
            </w:pict>
          </mc:Fallback>
        </mc:AlternateContent>
      </w:r>
      <w:r>
        <w:rPr>
          <w:noProof/>
          <w:szCs w:val="20"/>
        </w:rPr>
        <mc:AlternateContent>
          <mc:Choice Requires="wps">
            <w:drawing>
              <wp:anchor distT="0" distB="0" distL="114300" distR="114300" simplePos="0" relativeHeight="251675136" behindDoc="0" locked="0" layoutInCell="1" allowOverlap="1" wp14:anchorId="7F6B63CB" wp14:editId="55E0674B">
                <wp:simplePos x="0" y="0"/>
                <wp:positionH relativeFrom="column">
                  <wp:posOffset>1176020</wp:posOffset>
                </wp:positionH>
                <wp:positionV relativeFrom="paragraph">
                  <wp:posOffset>2007870</wp:posOffset>
                </wp:positionV>
                <wp:extent cx="1856740" cy="429260"/>
                <wp:effectExtent l="0" t="0" r="10160" b="27940"/>
                <wp:wrapNone/>
                <wp:docPr id="7" name="Down Arrow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740" cy="42926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51039F" w14:textId="77777777" w:rsidR="00CF59E1" w:rsidRDefault="00CF59E1" w:rsidP="00CF59E1">
                            <w:pPr>
                              <w:jc w:val="center"/>
                            </w:pPr>
                            <w:r>
                              <w:t>Operationalised 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B63C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7" o:spid="_x0000_s1134" type="#_x0000_t80" style="position:absolute;margin-left:92.6pt;margin-top:158.1pt;width:146.2pt;height:3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" adj="14035,9552,16200,10176" fillcolor="#4f81bd [3204]" strokecolor="#243f60 [1604]" strokeweight="2pt">
                <v:path arrowok="t"/>
                <v:textbox>
                  <w:txbxContent>
                    <w:p w14:paraId="7D51039F" w14:textId="77777777" w:rsidR="00CF59E1" w:rsidRDefault="00CF59E1" w:rsidP="00CF59E1">
                      <w:pPr>
                        <w:jc w:val="center"/>
                      </w:pPr>
                      <w:r>
                        <w:t>Operationalised by</w:t>
                      </w:r>
                    </w:p>
                  </w:txbxContent>
                </v:textbox>
              </v:shape>
            </w:pict>
          </mc:Fallback>
        </mc:AlternateContent>
      </w:r>
      <w:r>
        <w:rPr>
          <w:noProof/>
          <w:szCs w:val="20"/>
        </w:rPr>
        <mc:AlternateContent>
          <mc:Choice Requires="wps">
            <w:drawing>
              <wp:anchor distT="0" distB="0" distL="114300" distR="114300" simplePos="0" relativeHeight="251672064" behindDoc="0" locked="0" layoutInCell="1" allowOverlap="1" wp14:anchorId="1CE78E87" wp14:editId="7A538231">
                <wp:simplePos x="0" y="0"/>
                <wp:positionH relativeFrom="column">
                  <wp:posOffset>259080</wp:posOffset>
                </wp:positionH>
                <wp:positionV relativeFrom="paragraph">
                  <wp:posOffset>1146810</wp:posOffset>
                </wp:positionV>
                <wp:extent cx="3876675" cy="796290"/>
                <wp:effectExtent l="0" t="0" r="28575"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6675" cy="796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04DBE8" w14:textId="77777777" w:rsidR="00CF59E1" w:rsidRPr="00DC07D1" w:rsidRDefault="00CF59E1" w:rsidP="00CF59E1">
                            <w:pPr>
                              <w:jc w:val="center"/>
                              <w:rPr>
                                <w:sz w:val="36"/>
                                <w:szCs w:val="36"/>
                              </w:rPr>
                            </w:pPr>
                            <w:r w:rsidRPr="00DC07D1">
                              <w:rPr>
                                <w:sz w:val="36"/>
                                <w:szCs w:val="36"/>
                              </w:rPr>
                              <w:t>Statement</w:t>
                            </w:r>
                            <w:r>
                              <w:rPr>
                                <w:sz w:val="36"/>
                                <w:szCs w:val="36"/>
                              </w:rPr>
                              <w:t xml:space="preserve"> on Environmental and Social Principles and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78E87" id="_x0000_s1135" type="#_x0000_t202" style="position:absolute;margin-left:20.4pt;margin-top:90.3pt;width:305.25pt;height:6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" fillcolor="white [3201]" strokeweight=".5pt">
                <v:path arrowok="t"/>
                <v:textbox>
                  <w:txbxContent>
                    <w:p w14:paraId="2804DBE8" w14:textId="77777777" w:rsidR="00CF59E1" w:rsidRPr="00DC07D1" w:rsidRDefault="00CF59E1" w:rsidP="00CF59E1">
                      <w:pPr>
                        <w:jc w:val="center"/>
                        <w:rPr>
                          <w:sz w:val="36"/>
                          <w:szCs w:val="36"/>
                        </w:rPr>
                      </w:pPr>
                      <w:r w:rsidRPr="00DC07D1">
                        <w:rPr>
                          <w:sz w:val="36"/>
                          <w:szCs w:val="36"/>
                        </w:rPr>
                        <w:t>Statement</w:t>
                      </w:r>
                      <w:r>
                        <w:rPr>
                          <w:sz w:val="36"/>
                          <w:szCs w:val="36"/>
                        </w:rPr>
                        <w:t xml:space="preserve"> on Environmental and Social Principles and Standards</w:t>
                      </w:r>
                    </w:p>
                  </w:txbxContent>
                </v:textbox>
              </v:shape>
            </w:pict>
          </mc:Fallback>
        </mc:AlternateContent>
      </w:r>
      <w:r w:rsidRPr="00A56936">
        <w:rPr>
          <w:noProof/>
          <w:szCs w:val="20"/>
        </w:rPr>
        <w:drawing>
          <wp:inline distT="0" distB="0" distL="0" distR="0" wp14:anchorId="70B697FF" wp14:editId="27F1F7C4">
            <wp:extent cx="7633054" cy="5061098"/>
            <wp:effectExtent l="38100" t="0" r="44450" b="6350"/>
            <wp:docPr id="11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A3B0FF4" w14:textId="77777777" w:rsidR="00CF59E1" w:rsidRDefault="00CF59E1" w:rsidP="00CF59E1">
      <w:pPr>
        <w:autoSpaceDE/>
        <w:autoSpaceDN/>
        <w:adjustRightInd/>
        <w:spacing w:after="200" w:line="276" w:lineRule="auto"/>
        <w:jc w:val="center"/>
        <w:rPr>
          <w:rFonts w:cs="Times New Roman"/>
          <w:b/>
          <w:sz w:val="28"/>
          <w:szCs w:val="28"/>
        </w:rPr>
        <w:sectPr w:rsidR="00CF59E1" w:rsidSect="00CF59E1">
          <w:type w:val="continuous"/>
          <w:pgSz w:w="15840" w:h="12240" w:orient="landscape"/>
          <w:pgMar w:top="1440" w:right="1440" w:bottom="1440" w:left="1440" w:header="720" w:footer="720" w:gutter="0"/>
          <w:cols w:space="720"/>
          <w:docGrid w:linePitch="360"/>
        </w:sectPr>
      </w:pPr>
    </w:p>
    <w:p w14:paraId="17B23861" w14:textId="77777777" w:rsidR="00CF59E1" w:rsidRDefault="00CF59E1" w:rsidP="00CF59E1">
      <w:pPr>
        <w:pStyle w:val="hhhead1"/>
        <w:numPr>
          <w:ilvl w:val="0"/>
          <w:numId w:val="0"/>
        </w:numPr>
        <w:jc w:val="center"/>
      </w:pPr>
      <w:bookmarkStart w:id="14" w:name="_Toc419114254"/>
      <w:r w:rsidRPr="0081322D">
        <w:t>Annex 2. Thematic Coverage of MDB Safeguard Policies</w:t>
      </w:r>
      <w:bookmarkEnd w:id="14"/>
    </w:p>
    <w:p w14:paraId="25431419" w14:textId="1966CC24" w:rsidR="00CF59E1" w:rsidRDefault="00CF59E1"/>
    <w:tbl>
      <w:tblPr>
        <w:tblStyle w:val="MediumShading1-Accent11"/>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95"/>
        <w:gridCol w:w="698"/>
        <w:gridCol w:w="1259"/>
        <w:gridCol w:w="4698"/>
      </w:tblGrid>
      <w:tr w:rsidR="00CF59E1" w:rsidRPr="001A4B7B" w14:paraId="412F27DD" w14:textId="77777777" w:rsidTr="00CF59E1">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4" w:space="0" w:color="auto"/>
            </w:tcBorders>
            <w:shd w:val="clear" w:color="auto" w:fill="0070C0"/>
          </w:tcPr>
          <w:p w14:paraId="0F51981F" w14:textId="645B7FCF" w:rsidR="00CF59E1" w:rsidRPr="001A4B7B" w:rsidRDefault="00CF59E1" w:rsidP="00CF59E1">
            <w:pPr>
              <w:tabs>
                <w:tab w:val="left" w:pos="1710"/>
              </w:tabs>
              <w:autoSpaceDE/>
              <w:autoSpaceDN/>
              <w:adjustRightInd/>
              <w:rPr>
                <w:rFonts w:asciiTheme="minorHAnsi" w:hAnsiTheme="minorHAnsi"/>
                <w:b w:val="0"/>
              </w:rPr>
            </w:pPr>
            <w:r w:rsidRPr="001A4B7B">
              <w:rPr>
                <w:rFonts w:asciiTheme="minorHAnsi" w:hAnsiTheme="minorHAnsi"/>
              </w:rPr>
              <w:t>Theme</w:t>
            </w:r>
          </w:p>
        </w:tc>
        <w:tc>
          <w:tcPr>
            <w:tcW w:w="0" w:type="auto"/>
            <w:tcBorders>
              <w:top w:val="single" w:sz="4" w:space="0" w:color="auto"/>
            </w:tcBorders>
            <w:shd w:val="clear" w:color="auto" w:fill="0070C0"/>
          </w:tcPr>
          <w:p w14:paraId="48458520" w14:textId="77777777" w:rsidR="00CF59E1" w:rsidRPr="001A4B7B" w:rsidRDefault="00CF59E1" w:rsidP="00CF59E1">
            <w:pPr>
              <w:tabs>
                <w:tab w:val="left" w:pos="1710"/>
              </w:tabs>
              <w:autoSpaceDE/>
              <w:autoSpaceDN/>
              <w:adjustRightInd/>
              <w:rPr>
                <w:rFonts w:asciiTheme="minorHAnsi" w:hAnsiTheme="minorHAnsi"/>
                <w:b w:val="0"/>
              </w:rPr>
            </w:pPr>
            <w:r w:rsidRPr="001A4B7B">
              <w:rPr>
                <w:rFonts w:asciiTheme="minorHAnsi" w:hAnsiTheme="minorHAnsi"/>
              </w:rPr>
              <w:t>MDB</w:t>
            </w:r>
          </w:p>
        </w:tc>
        <w:tc>
          <w:tcPr>
            <w:tcW w:w="1259" w:type="dxa"/>
            <w:tcBorders>
              <w:top w:val="single" w:sz="4" w:space="0" w:color="auto"/>
            </w:tcBorders>
            <w:shd w:val="clear" w:color="auto" w:fill="0070C0"/>
          </w:tcPr>
          <w:p w14:paraId="2E10E861" w14:textId="77777777" w:rsidR="00CF59E1" w:rsidRPr="001A4B7B" w:rsidRDefault="00CF59E1" w:rsidP="00CF59E1">
            <w:pPr>
              <w:tabs>
                <w:tab w:val="left" w:pos="1710"/>
              </w:tabs>
              <w:autoSpaceDE/>
              <w:autoSpaceDN/>
              <w:adjustRightInd/>
              <w:rPr>
                <w:rFonts w:asciiTheme="minorHAnsi" w:hAnsiTheme="minorHAnsi"/>
                <w:b w:val="0"/>
              </w:rPr>
            </w:pPr>
            <w:r w:rsidRPr="001A4B7B">
              <w:rPr>
                <w:rFonts w:asciiTheme="minorHAnsi" w:hAnsiTheme="minorHAnsi"/>
              </w:rPr>
              <w:t>Coverage</w:t>
            </w:r>
          </w:p>
        </w:tc>
        <w:tc>
          <w:tcPr>
            <w:tcW w:w="4698" w:type="dxa"/>
            <w:tcBorders>
              <w:top w:val="single" w:sz="4" w:space="0" w:color="auto"/>
            </w:tcBorders>
            <w:shd w:val="clear" w:color="auto" w:fill="0070C0"/>
          </w:tcPr>
          <w:p w14:paraId="59AF9D37" w14:textId="77777777" w:rsidR="00CF59E1" w:rsidRPr="001A4B7B" w:rsidRDefault="00CF59E1" w:rsidP="00CF59E1">
            <w:pPr>
              <w:tabs>
                <w:tab w:val="left" w:pos="1710"/>
              </w:tabs>
              <w:autoSpaceDE/>
              <w:autoSpaceDN/>
              <w:adjustRightInd/>
              <w:rPr>
                <w:rFonts w:asciiTheme="minorHAnsi" w:hAnsiTheme="minorHAnsi"/>
                <w:b w:val="0"/>
              </w:rPr>
            </w:pPr>
            <w:r w:rsidRPr="001A4B7B">
              <w:rPr>
                <w:rFonts w:asciiTheme="minorHAnsi" w:hAnsiTheme="minorHAnsi"/>
              </w:rPr>
              <w:t>Reference</w:t>
            </w:r>
          </w:p>
        </w:tc>
      </w:tr>
      <w:tr w:rsidR="00CF59E1" w:rsidRPr="001A4B7B" w14:paraId="086020A1"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val="restart"/>
          </w:tcPr>
          <w:p w14:paraId="49191DCE"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b/>
              </w:rPr>
              <w:t xml:space="preserve">Environmental and Social Assessment and Management </w:t>
            </w:r>
          </w:p>
        </w:tc>
        <w:tc>
          <w:tcPr>
            <w:tcW w:w="0" w:type="auto"/>
          </w:tcPr>
          <w:p w14:paraId="63993D7A"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WB</w:t>
            </w:r>
          </w:p>
        </w:tc>
        <w:tc>
          <w:tcPr>
            <w:tcW w:w="1259" w:type="dxa"/>
          </w:tcPr>
          <w:p w14:paraId="08D862C4"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 xml:space="preserve">Yes </w:t>
            </w:r>
          </w:p>
        </w:tc>
        <w:tc>
          <w:tcPr>
            <w:tcW w:w="4698" w:type="dxa"/>
          </w:tcPr>
          <w:p w14:paraId="7051ACD3"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 xml:space="preserve">OP (Operational Policy) 4.01, Environmental Assessment </w:t>
            </w:r>
          </w:p>
        </w:tc>
      </w:tr>
      <w:tr w:rsidR="00CF59E1" w:rsidRPr="001A4B7B" w14:paraId="16AAC3C0"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6AD06B45"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58B02B67"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ADB</w:t>
            </w:r>
          </w:p>
        </w:tc>
        <w:tc>
          <w:tcPr>
            <w:tcW w:w="1259" w:type="dxa"/>
          </w:tcPr>
          <w:p w14:paraId="797DF9A3" w14:textId="77777777" w:rsidR="00CF59E1" w:rsidRPr="001A4B7B" w:rsidRDefault="00CF59E1" w:rsidP="00CF59E1">
            <w:pPr>
              <w:rPr>
                <w:rFonts w:asciiTheme="minorHAnsi" w:hAnsiTheme="minorHAnsi"/>
              </w:rPr>
            </w:pPr>
            <w:r w:rsidRPr="001A4B7B">
              <w:rPr>
                <w:rFonts w:asciiTheme="minorHAnsi" w:hAnsiTheme="minorHAnsi"/>
              </w:rPr>
              <w:t xml:space="preserve">Yes </w:t>
            </w:r>
          </w:p>
        </w:tc>
        <w:tc>
          <w:tcPr>
            <w:tcW w:w="4698" w:type="dxa"/>
          </w:tcPr>
          <w:p w14:paraId="70DEDFA4"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Safeguard Policy Statement (SPS), Safeguard Requirements 1: Environment (</w:t>
            </w:r>
            <w:r w:rsidRPr="001A4B7B">
              <w:rPr>
                <w:rFonts w:asciiTheme="minorHAnsi" w:hAnsiTheme="minorHAnsi" w:cstheme="minorHAnsi"/>
              </w:rPr>
              <w:t>SR 1</w:t>
            </w:r>
            <w:r w:rsidRPr="001A4B7B">
              <w:rPr>
                <w:rFonts w:asciiTheme="minorHAnsi" w:hAnsiTheme="minorHAnsi"/>
              </w:rPr>
              <w:t>)</w:t>
            </w:r>
          </w:p>
          <w:p w14:paraId="3136997B"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Operational Policy (SR 1)</w:t>
            </w:r>
          </w:p>
        </w:tc>
      </w:tr>
      <w:tr w:rsidR="00CF59E1" w:rsidRPr="001A4B7B" w14:paraId="21E38A3F"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30245BD7"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7DE41EB1"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IDB</w:t>
            </w:r>
          </w:p>
        </w:tc>
        <w:tc>
          <w:tcPr>
            <w:tcW w:w="1259" w:type="dxa"/>
          </w:tcPr>
          <w:p w14:paraId="337A7977" w14:textId="77777777" w:rsidR="00CF59E1" w:rsidRPr="001A4B7B" w:rsidRDefault="00CF59E1" w:rsidP="00CF59E1">
            <w:pPr>
              <w:rPr>
                <w:rFonts w:asciiTheme="minorHAnsi" w:hAnsiTheme="minorHAnsi"/>
              </w:rPr>
            </w:pPr>
            <w:r w:rsidRPr="001A4B7B">
              <w:rPr>
                <w:rFonts w:asciiTheme="minorHAnsi" w:hAnsiTheme="minorHAnsi"/>
              </w:rPr>
              <w:t xml:space="preserve">Yes </w:t>
            </w:r>
          </w:p>
        </w:tc>
        <w:tc>
          <w:tcPr>
            <w:tcW w:w="4698" w:type="dxa"/>
          </w:tcPr>
          <w:p w14:paraId="7C92AC29"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OP-703</w:t>
            </w:r>
            <w:r>
              <w:rPr>
                <w:rFonts w:asciiTheme="minorHAnsi" w:hAnsiTheme="minorHAnsi"/>
              </w:rPr>
              <w:t>,</w:t>
            </w:r>
            <w:r w:rsidRPr="001A4B7B">
              <w:rPr>
                <w:rFonts w:asciiTheme="minorHAnsi" w:hAnsiTheme="minorHAnsi"/>
                <w:b/>
              </w:rPr>
              <w:t xml:space="preserve"> </w:t>
            </w:r>
            <w:r w:rsidRPr="001A4B7B">
              <w:rPr>
                <w:rFonts w:asciiTheme="minorHAnsi" w:hAnsiTheme="minorHAnsi"/>
              </w:rPr>
              <w:t xml:space="preserve">Environment and Safeguards Compliance Policy </w:t>
            </w:r>
          </w:p>
        </w:tc>
      </w:tr>
      <w:tr w:rsidR="00CF59E1" w:rsidRPr="001A4B7B" w14:paraId="0AD06D6D"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313B5559"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4C461597"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AfDB</w:t>
            </w:r>
          </w:p>
        </w:tc>
        <w:tc>
          <w:tcPr>
            <w:tcW w:w="1259" w:type="dxa"/>
          </w:tcPr>
          <w:p w14:paraId="37B72F07"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0993EBF9"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Operational Safeguard (OS) 1</w:t>
            </w:r>
            <w:r w:rsidRPr="001A4B7B">
              <w:rPr>
                <w:rFonts w:asciiTheme="minorHAnsi" w:hAnsiTheme="minorHAnsi" w:cstheme="minorHAnsi"/>
              </w:rPr>
              <w:t>,</w:t>
            </w:r>
            <w:r w:rsidRPr="001A4B7B">
              <w:rPr>
                <w:rFonts w:asciiTheme="minorHAnsi" w:hAnsiTheme="minorHAnsi"/>
              </w:rPr>
              <w:t xml:space="preserve"> Environmental and Social Assessment </w:t>
            </w:r>
          </w:p>
        </w:tc>
      </w:tr>
      <w:tr w:rsidR="00CF59E1" w:rsidRPr="001A4B7B" w14:paraId="5C96F0EE"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7902AA63"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764F9637"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IFC</w:t>
            </w:r>
          </w:p>
        </w:tc>
        <w:tc>
          <w:tcPr>
            <w:tcW w:w="1259" w:type="dxa"/>
          </w:tcPr>
          <w:p w14:paraId="6642BEBA" w14:textId="77777777" w:rsidR="00CF59E1" w:rsidRPr="001A4B7B" w:rsidRDefault="00CF59E1" w:rsidP="00CF59E1">
            <w:pPr>
              <w:rPr>
                <w:rFonts w:asciiTheme="minorHAnsi" w:hAnsiTheme="minorHAnsi"/>
              </w:rPr>
            </w:pPr>
            <w:r w:rsidRPr="001A4B7B">
              <w:rPr>
                <w:rFonts w:asciiTheme="minorHAnsi" w:hAnsiTheme="minorHAnsi"/>
              </w:rPr>
              <w:t xml:space="preserve">Yes </w:t>
            </w:r>
          </w:p>
        </w:tc>
        <w:tc>
          <w:tcPr>
            <w:tcW w:w="4698" w:type="dxa"/>
          </w:tcPr>
          <w:p w14:paraId="299BE46D"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 xml:space="preserve">Performance Standard (PS )1, Assessment and Management of Environmental and Social Risks and Impacts </w:t>
            </w:r>
          </w:p>
        </w:tc>
      </w:tr>
      <w:tr w:rsidR="00CF59E1" w:rsidRPr="001A4B7B" w14:paraId="6725D5CD"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25A5B14E"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608FC4D1"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EBRD</w:t>
            </w:r>
          </w:p>
        </w:tc>
        <w:tc>
          <w:tcPr>
            <w:tcW w:w="1259" w:type="dxa"/>
          </w:tcPr>
          <w:p w14:paraId="067E6AB5"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3AD060FE"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 xml:space="preserve">Performance Requirement (PR) 1, Assessment and Management of Environmental and Social Impacts and </w:t>
            </w:r>
            <w:r w:rsidRPr="001A4B7B">
              <w:rPr>
                <w:rFonts w:asciiTheme="minorHAnsi" w:hAnsiTheme="minorHAnsi" w:cstheme="minorHAnsi"/>
              </w:rPr>
              <w:t>Issues</w:t>
            </w:r>
          </w:p>
        </w:tc>
      </w:tr>
      <w:tr w:rsidR="00CF59E1" w:rsidRPr="001A4B7B" w14:paraId="76CC2341"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3187F809" w14:textId="77777777" w:rsidR="00CF59E1" w:rsidRPr="001A4B7B" w:rsidRDefault="00CF59E1" w:rsidP="00CF59E1">
            <w:pPr>
              <w:tabs>
                <w:tab w:val="left" w:pos="1710"/>
              </w:tabs>
              <w:autoSpaceDE/>
              <w:autoSpaceDN/>
              <w:adjustRightInd/>
              <w:rPr>
                <w:rFonts w:asciiTheme="minorHAnsi" w:hAnsiTheme="minorHAnsi"/>
                <w:b/>
                <w:color w:val="000000"/>
              </w:rPr>
            </w:pPr>
          </w:p>
        </w:tc>
        <w:tc>
          <w:tcPr>
            <w:tcW w:w="0" w:type="auto"/>
          </w:tcPr>
          <w:p w14:paraId="48432D96" w14:textId="77777777" w:rsidR="00CF59E1" w:rsidRPr="001A4B7B" w:rsidRDefault="00CF59E1" w:rsidP="00CF59E1">
            <w:pPr>
              <w:tabs>
                <w:tab w:val="left" w:pos="1710"/>
              </w:tabs>
              <w:autoSpaceDE/>
              <w:autoSpaceDN/>
              <w:adjustRightInd/>
              <w:rPr>
                <w:rFonts w:asciiTheme="minorHAnsi" w:hAnsiTheme="minorHAnsi"/>
                <w:color w:val="000000"/>
              </w:rPr>
            </w:pPr>
            <w:r w:rsidRPr="001A4B7B">
              <w:rPr>
                <w:rFonts w:asciiTheme="minorHAnsi" w:hAnsiTheme="minorHAnsi"/>
                <w:color w:val="000000"/>
              </w:rPr>
              <w:t>EIB</w:t>
            </w:r>
          </w:p>
        </w:tc>
        <w:tc>
          <w:tcPr>
            <w:tcW w:w="1259" w:type="dxa"/>
          </w:tcPr>
          <w:p w14:paraId="5438B5CC" w14:textId="77777777" w:rsidR="00CF59E1" w:rsidRPr="001A4B7B" w:rsidRDefault="00CF59E1" w:rsidP="00CF59E1">
            <w:pPr>
              <w:rPr>
                <w:rFonts w:asciiTheme="minorHAnsi" w:hAnsiTheme="minorHAnsi"/>
                <w:color w:val="000000"/>
              </w:rPr>
            </w:pPr>
            <w:r w:rsidRPr="001A4B7B">
              <w:rPr>
                <w:rFonts w:asciiTheme="minorHAnsi" w:hAnsiTheme="minorHAnsi"/>
                <w:color w:val="000000"/>
              </w:rPr>
              <w:t>Yes</w:t>
            </w:r>
          </w:p>
        </w:tc>
        <w:tc>
          <w:tcPr>
            <w:tcW w:w="4698" w:type="dxa"/>
          </w:tcPr>
          <w:p w14:paraId="1EA338F0" w14:textId="77777777" w:rsidR="00CF59E1" w:rsidRPr="001A4B7B" w:rsidRDefault="00CF59E1" w:rsidP="00CF59E1">
            <w:pPr>
              <w:tabs>
                <w:tab w:val="left" w:pos="1710"/>
              </w:tabs>
              <w:autoSpaceDE/>
              <w:autoSpaceDN/>
              <w:adjustRightInd/>
              <w:rPr>
                <w:rFonts w:asciiTheme="minorHAnsi" w:hAnsiTheme="minorHAnsi"/>
                <w:color w:val="000000"/>
              </w:rPr>
            </w:pPr>
            <w:r w:rsidRPr="001A4B7B">
              <w:rPr>
                <w:rFonts w:asciiTheme="minorHAnsi" w:hAnsiTheme="minorHAnsi"/>
              </w:rPr>
              <w:t>Environmental and Social Standard (ESS) 1, Assessment and Management of Environmental and Social Impacts and Risks</w:t>
            </w:r>
          </w:p>
        </w:tc>
      </w:tr>
      <w:tr w:rsidR="00CF59E1" w:rsidRPr="001A4B7B" w14:paraId="2CCB44E5"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val="restart"/>
          </w:tcPr>
          <w:p w14:paraId="10716D2D"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b/>
              </w:rPr>
              <w:t>Strategic Environmental [and Social] Assessment (SEA or SESA)</w:t>
            </w:r>
          </w:p>
        </w:tc>
        <w:tc>
          <w:tcPr>
            <w:tcW w:w="0" w:type="auto"/>
          </w:tcPr>
          <w:p w14:paraId="6A7614DD"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WB</w:t>
            </w:r>
          </w:p>
        </w:tc>
        <w:tc>
          <w:tcPr>
            <w:tcW w:w="1259" w:type="dxa"/>
          </w:tcPr>
          <w:p w14:paraId="4F0B40FE"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7DC940E3"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OP 4.01, Environmental Assessment (as revised 2013)</w:t>
            </w:r>
          </w:p>
        </w:tc>
      </w:tr>
      <w:tr w:rsidR="00CF59E1" w:rsidRPr="001A4B7B" w14:paraId="19A972A5"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0D1EC58F"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708DB38C"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ADB</w:t>
            </w:r>
          </w:p>
        </w:tc>
        <w:tc>
          <w:tcPr>
            <w:tcW w:w="1259" w:type="dxa"/>
          </w:tcPr>
          <w:p w14:paraId="072DEF55"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084351E5"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SR 1, Environment</w:t>
            </w:r>
          </w:p>
        </w:tc>
      </w:tr>
      <w:tr w:rsidR="00CF59E1" w:rsidRPr="001A4B7B" w14:paraId="691F2A18"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149FDD1D"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53F26BB7"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IDB</w:t>
            </w:r>
          </w:p>
        </w:tc>
        <w:tc>
          <w:tcPr>
            <w:tcW w:w="1259" w:type="dxa"/>
          </w:tcPr>
          <w:p w14:paraId="161B1E94"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2970D81A"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OP-703, Environment and Safeguards Compliance Policy</w:t>
            </w:r>
          </w:p>
        </w:tc>
      </w:tr>
      <w:tr w:rsidR="00CF59E1" w:rsidRPr="001A4B7B" w14:paraId="607229F1"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6B9ED3F3"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47360D6F"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AfDB</w:t>
            </w:r>
          </w:p>
        </w:tc>
        <w:tc>
          <w:tcPr>
            <w:tcW w:w="1259" w:type="dxa"/>
          </w:tcPr>
          <w:p w14:paraId="7FAE3469"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591D9F39"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color w:val="000000"/>
              </w:rPr>
              <w:t xml:space="preserve">OS 1, </w:t>
            </w:r>
            <w:r w:rsidRPr="001A4B7B">
              <w:rPr>
                <w:rFonts w:asciiTheme="minorHAnsi" w:hAnsiTheme="minorHAnsi"/>
              </w:rPr>
              <w:t>Environmental and Social Assessment</w:t>
            </w:r>
          </w:p>
        </w:tc>
      </w:tr>
      <w:tr w:rsidR="00CF59E1" w:rsidRPr="001A4B7B" w14:paraId="557189CE"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16BFF365"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5CE9324C"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IFC</w:t>
            </w:r>
          </w:p>
          <w:p w14:paraId="793B67D2" w14:textId="77777777" w:rsidR="00CF59E1" w:rsidRPr="001A4B7B" w:rsidRDefault="00CF59E1" w:rsidP="00CF59E1">
            <w:pPr>
              <w:tabs>
                <w:tab w:val="left" w:pos="1710"/>
              </w:tabs>
              <w:autoSpaceDE/>
              <w:autoSpaceDN/>
              <w:adjustRightInd/>
              <w:rPr>
                <w:rFonts w:asciiTheme="minorHAnsi" w:hAnsiTheme="minorHAnsi"/>
              </w:rPr>
            </w:pPr>
          </w:p>
        </w:tc>
        <w:tc>
          <w:tcPr>
            <w:tcW w:w="1259" w:type="dxa"/>
          </w:tcPr>
          <w:p w14:paraId="770AD7CD" w14:textId="77777777" w:rsidR="00CF59E1" w:rsidRPr="001A4B7B" w:rsidRDefault="00CF59E1" w:rsidP="00CF59E1">
            <w:pPr>
              <w:rPr>
                <w:rFonts w:asciiTheme="minorHAnsi" w:hAnsiTheme="minorHAnsi"/>
              </w:rPr>
            </w:pPr>
            <w:r w:rsidRPr="001A4B7B">
              <w:rPr>
                <w:rFonts w:asciiTheme="minorHAnsi" w:hAnsiTheme="minorHAnsi"/>
              </w:rPr>
              <w:t>Yes (limited)</w:t>
            </w:r>
          </w:p>
        </w:tc>
        <w:tc>
          <w:tcPr>
            <w:tcW w:w="4698" w:type="dxa"/>
          </w:tcPr>
          <w:p w14:paraId="7605BEB1"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color w:val="000000"/>
              </w:rPr>
              <w:t xml:space="preserve">PS 1, </w:t>
            </w:r>
            <w:r w:rsidRPr="001A4B7B">
              <w:rPr>
                <w:rFonts w:asciiTheme="minorHAnsi" w:hAnsiTheme="minorHAnsi"/>
              </w:rPr>
              <w:t>Assessment and Management of Environmental and Social Risks and Impacts</w:t>
            </w:r>
            <w:r w:rsidRPr="001A4B7B">
              <w:rPr>
                <w:rStyle w:val="FootnoteReference"/>
                <w:rFonts w:asciiTheme="minorHAnsi" w:hAnsiTheme="minorHAnsi"/>
                <w:lang w:val="fr-FR"/>
              </w:rPr>
              <w:footnoteReference w:id="98"/>
            </w:r>
          </w:p>
        </w:tc>
      </w:tr>
      <w:tr w:rsidR="00CF59E1" w:rsidRPr="001A4B7B" w14:paraId="502406F3"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7FC08743"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181216F8"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EBRD</w:t>
            </w:r>
          </w:p>
        </w:tc>
        <w:tc>
          <w:tcPr>
            <w:tcW w:w="1259" w:type="dxa"/>
          </w:tcPr>
          <w:p w14:paraId="0907E4DD" w14:textId="77777777" w:rsidR="00CF59E1" w:rsidRPr="001A4B7B" w:rsidRDefault="00CF59E1" w:rsidP="00CF59E1">
            <w:pPr>
              <w:rPr>
                <w:rFonts w:asciiTheme="minorHAnsi" w:hAnsiTheme="minorHAnsi"/>
              </w:rPr>
            </w:pPr>
            <w:r w:rsidRPr="001A4B7B">
              <w:rPr>
                <w:rFonts w:asciiTheme="minorHAnsi" w:hAnsiTheme="minorHAnsi"/>
              </w:rPr>
              <w:t>No</w:t>
            </w:r>
          </w:p>
        </w:tc>
        <w:tc>
          <w:tcPr>
            <w:tcW w:w="4698" w:type="dxa"/>
          </w:tcPr>
          <w:p w14:paraId="0EE3B1AE" w14:textId="77777777" w:rsidR="00CF59E1" w:rsidRPr="001A4B7B" w:rsidRDefault="00CF59E1" w:rsidP="00CF59E1">
            <w:pPr>
              <w:tabs>
                <w:tab w:val="left" w:pos="1710"/>
              </w:tabs>
              <w:autoSpaceDE/>
              <w:autoSpaceDN/>
              <w:adjustRightInd/>
              <w:rPr>
                <w:rFonts w:asciiTheme="minorHAnsi" w:hAnsiTheme="minorHAnsi"/>
              </w:rPr>
            </w:pPr>
          </w:p>
        </w:tc>
      </w:tr>
      <w:tr w:rsidR="00CF59E1" w:rsidRPr="001A4B7B" w14:paraId="0AEF00DA"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112B6E99"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4A3EA0A6"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EIB</w:t>
            </w:r>
          </w:p>
        </w:tc>
        <w:tc>
          <w:tcPr>
            <w:tcW w:w="1259" w:type="dxa"/>
          </w:tcPr>
          <w:p w14:paraId="5FA5DB91"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78E52CA7" w14:textId="77777777" w:rsidR="00CF59E1" w:rsidRPr="001A4B7B" w:rsidRDefault="00CF59E1" w:rsidP="00CF59E1">
            <w:pPr>
              <w:tabs>
                <w:tab w:val="left" w:pos="1710"/>
              </w:tabs>
              <w:autoSpaceDE/>
              <w:autoSpaceDN/>
              <w:adjustRightInd/>
              <w:rPr>
                <w:rFonts w:asciiTheme="minorHAnsi" w:hAnsiTheme="minorHAnsi"/>
                <w:color w:val="000000"/>
                <w:lang w:val="en-GB"/>
              </w:rPr>
            </w:pPr>
            <w:r w:rsidRPr="001A4B7B">
              <w:rPr>
                <w:rFonts w:asciiTheme="minorHAnsi" w:hAnsiTheme="minorHAnsi"/>
                <w:color w:val="000000"/>
                <w:lang w:val="en-GB"/>
              </w:rPr>
              <w:t>ESS 1,</w:t>
            </w:r>
            <w:r w:rsidRPr="001A4B7B">
              <w:rPr>
                <w:rFonts w:asciiTheme="minorHAnsi" w:hAnsiTheme="minorHAnsi"/>
              </w:rPr>
              <w:t xml:space="preserve"> Assessment</w:t>
            </w:r>
            <w:r w:rsidRPr="001A4B7B">
              <w:rPr>
                <w:rFonts w:asciiTheme="minorHAnsi" w:hAnsiTheme="minorHAnsi"/>
                <w:b/>
              </w:rPr>
              <w:t xml:space="preserve"> </w:t>
            </w:r>
            <w:r w:rsidRPr="001A4B7B">
              <w:rPr>
                <w:rFonts w:asciiTheme="minorHAnsi" w:hAnsiTheme="minorHAnsi"/>
              </w:rPr>
              <w:t>and Management of Environmental and Social Impacts and Risks</w:t>
            </w:r>
          </w:p>
        </w:tc>
      </w:tr>
      <w:tr w:rsidR="00CF59E1" w:rsidRPr="001A4B7B" w14:paraId="728652FA"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val="restart"/>
          </w:tcPr>
          <w:p w14:paraId="0E005A2E"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b/>
              </w:rPr>
              <w:t xml:space="preserve">Biodiversity and Natural Resources (natural habitats, forests, natural resource management, </w:t>
            </w:r>
            <w:r w:rsidRPr="001A4B7B">
              <w:rPr>
                <w:rFonts w:asciiTheme="minorHAnsi" w:hAnsiTheme="minorHAnsi" w:cstheme="minorHAnsi"/>
                <w:b/>
                <w:bCs/>
              </w:rPr>
              <w:t>ecosystem</w:t>
            </w:r>
            <w:r w:rsidRPr="001A4B7B">
              <w:rPr>
                <w:rFonts w:asciiTheme="minorHAnsi" w:hAnsiTheme="minorHAnsi"/>
                <w:b/>
              </w:rPr>
              <w:t xml:space="preserve"> services) </w:t>
            </w:r>
          </w:p>
        </w:tc>
        <w:tc>
          <w:tcPr>
            <w:tcW w:w="0" w:type="auto"/>
          </w:tcPr>
          <w:p w14:paraId="3E9045EB"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WB</w:t>
            </w:r>
          </w:p>
        </w:tc>
        <w:tc>
          <w:tcPr>
            <w:tcW w:w="1259" w:type="dxa"/>
          </w:tcPr>
          <w:p w14:paraId="3FD70C7B"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3806A8CB"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OP 4.04, Natural Habitats and OP 4.36, Forests</w:t>
            </w:r>
            <w:r w:rsidRPr="001A4B7B">
              <w:rPr>
                <w:rStyle w:val="FootnoteReference"/>
                <w:rFonts w:asciiTheme="minorHAnsi" w:hAnsiTheme="minorHAnsi"/>
              </w:rPr>
              <w:footnoteReference w:id="99"/>
            </w:r>
            <w:r w:rsidRPr="001A4B7B">
              <w:rPr>
                <w:rFonts w:asciiTheme="minorHAnsi" w:hAnsiTheme="minorHAnsi"/>
              </w:rPr>
              <w:t xml:space="preserve"> </w:t>
            </w:r>
          </w:p>
        </w:tc>
      </w:tr>
      <w:tr w:rsidR="00CF59E1" w:rsidRPr="001A4B7B" w14:paraId="39FB628B"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262A3BDB"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3D46FDED"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ADB</w:t>
            </w:r>
          </w:p>
        </w:tc>
        <w:tc>
          <w:tcPr>
            <w:tcW w:w="1259" w:type="dxa"/>
          </w:tcPr>
          <w:p w14:paraId="67883DDE"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70BA6681"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cstheme="minorHAnsi"/>
              </w:rPr>
              <w:t>SR 1</w:t>
            </w:r>
            <w:r w:rsidRPr="001A4B7B">
              <w:rPr>
                <w:rFonts w:asciiTheme="minorHAnsi" w:hAnsiTheme="minorHAnsi"/>
              </w:rPr>
              <w:t>, Environment,</w:t>
            </w:r>
            <w:r w:rsidRPr="001A4B7B">
              <w:rPr>
                <w:rStyle w:val="FootnoteReference"/>
                <w:rFonts w:asciiTheme="minorHAnsi" w:hAnsiTheme="minorHAnsi"/>
              </w:rPr>
              <w:footnoteReference w:id="100"/>
            </w:r>
            <w:r w:rsidRPr="001A4B7B">
              <w:rPr>
                <w:rFonts w:asciiTheme="minorHAnsi" w:hAnsiTheme="minorHAnsi"/>
              </w:rPr>
              <w:t xml:space="preserve"> Policy on Forestry (1995</w:t>
            </w:r>
            <w:r w:rsidRPr="001A4B7B">
              <w:rPr>
                <w:rFonts w:asciiTheme="minorHAnsi" w:hAnsiTheme="minorHAnsi" w:cstheme="minorHAnsi"/>
              </w:rPr>
              <w:t>)</w:t>
            </w:r>
          </w:p>
        </w:tc>
      </w:tr>
      <w:tr w:rsidR="00CF59E1" w:rsidRPr="001A4B7B" w14:paraId="3026272E"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7C0035C0"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2F1AFCFD"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IDB</w:t>
            </w:r>
          </w:p>
        </w:tc>
        <w:tc>
          <w:tcPr>
            <w:tcW w:w="1259" w:type="dxa"/>
          </w:tcPr>
          <w:p w14:paraId="396841AA"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6FABE2BC"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OP-703</w:t>
            </w:r>
            <w:r>
              <w:rPr>
                <w:rFonts w:asciiTheme="minorHAnsi" w:hAnsiTheme="minorHAnsi"/>
              </w:rPr>
              <w:t>,</w:t>
            </w:r>
            <w:r w:rsidRPr="001A4B7B">
              <w:rPr>
                <w:rFonts w:asciiTheme="minorHAnsi" w:hAnsiTheme="minorHAnsi"/>
                <w:b/>
              </w:rPr>
              <w:t xml:space="preserve"> </w:t>
            </w:r>
            <w:r w:rsidRPr="001A4B7B">
              <w:rPr>
                <w:rFonts w:asciiTheme="minorHAnsi" w:hAnsiTheme="minorHAnsi"/>
              </w:rPr>
              <w:t>Environment and Safeguards Compliance Policy</w:t>
            </w:r>
            <w:r w:rsidRPr="001A4B7B">
              <w:rPr>
                <w:rStyle w:val="FootnoteReference"/>
                <w:rFonts w:asciiTheme="minorHAnsi" w:hAnsiTheme="minorHAnsi"/>
              </w:rPr>
              <w:footnoteReference w:id="101"/>
            </w:r>
          </w:p>
        </w:tc>
      </w:tr>
      <w:tr w:rsidR="00CF59E1" w:rsidRPr="001A4B7B" w14:paraId="473BB1DA"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42B9E44E"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707860F2"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AfDB</w:t>
            </w:r>
          </w:p>
        </w:tc>
        <w:tc>
          <w:tcPr>
            <w:tcW w:w="1259" w:type="dxa"/>
          </w:tcPr>
          <w:p w14:paraId="552C113C"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169E053D"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OS 3, Biodiversity, Renewable Resources and Ecosystem Services</w:t>
            </w:r>
          </w:p>
        </w:tc>
      </w:tr>
      <w:tr w:rsidR="00CF59E1" w:rsidRPr="001A4B7B" w14:paraId="6A5AED66"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5822D6FA"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4B9E2C68"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IFC</w:t>
            </w:r>
          </w:p>
        </w:tc>
        <w:tc>
          <w:tcPr>
            <w:tcW w:w="1259" w:type="dxa"/>
          </w:tcPr>
          <w:p w14:paraId="0E1A67BA"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260A0B29"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color w:val="000000"/>
              </w:rPr>
              <w:t>PS 6, Biodiversity Conservation and Sustainable Management of Living Natural Resources</w:t>
            </w:r>
          </w:p>
        </w:tc>
      </w:tr>
      <w:tr w:rsidR="00CF59E1" w:rsidRPr="001A4B7B" w14:paraId="30A1F273"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3D52432A"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17E76552"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EBRD</w:t>
            </w:r>
          </w:p>
        </w:tc>
        <w:tc>
          <w:tcPr>
            <w:tcW w:w="1259" w:type="dxa"/>
          </w:tcPr>
          <w:p w14:paraId="2326C412"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213CB2BE"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color w:val="000000"/>
              </w:rPr>
              <w:t>PR 6, Biodiversity Conservation and Sustainable Management of Living Natural Resources</w:t>
            </w:r>
            <w:r w:rsidRPr="001A4B7B">
              <w:rPr>
                <w:rStyle w:val="FootnoteReference"/>
                <w:rFonts w:asciiTheme="minorHAnsi" w:hAnsiTheme="minorHAnsi"/>
              </w:rPr>
              <w:footnoteReference w:id="102"/>
            </w:r>
          </w:p>
        </w:tc>
      </w:tr>
      <w:tr w:rsidR="00CF59E1" w:rsidRPr="001A4B7B" w14:paraId="04B5059C"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4FDEEDEF" w14:textId="77777777" w:rsidR="00CF59E1" w:rsidRPr="001A4B7B" w:rsidRDefault="00CF59E1" w:rsidP="00CF59E1">
            <w:pPr>
              <w:tabs>
                <w:tab w:val="left" w:pos="1710"/>
              </w:tabs>
              <w:autoSpaceDE/>
              <w:autoSpaceDN/>
              <w:adjustRightInd/>
              <w:rPr>
                <w:rFonts w:asciiTheme="minorHAnsi" w:hAnsiTheme="minorHAnsi"/>
                <w:b/>
                <w:color w:val="000000"/>
              </w:rPr>
            </w:pPr>
          </w:p>
        </w:tc>
        <w:tc>
          <w:tcPr>
            <w:tcW w:w="0" w:type="auto"/>
          </w:tcPr>
          <w:p w14:paraId="365AC098" w14:textId="77777777" w:rsidR="00CF59E1" w:rsidRPr="001A4B7B" w:rsidRDefault="00CF59E1" w:rsidP="00CF59E1">
            <w:pPr>
              <w:tabs>
                <w:tab w:val="left" w:pos="1710"/>
              </w:tabs>
              <w:autoSpaceDE/>
              <w:autoSpaceDN/>
              <w:adjustRightInd/>
              <w:rPr>
                <w:rFonts w:asciiTheme="minorHAnsi" w:hAnsiTheme="minorHAnsi"/>
                <w:color w:val="000000"/>
              </w:rPr>
            </w:pPr>
            <w:r w:rsidRPr="001A4B7B">
              <w:rPr>
                <w:rFonts w:asciiTheme="minorHAnsi" w:hAnsiTheme="minorHAnsi"/>
                <w:color w:val="000000"/>
              </w:rPr>
              <w:t>EIB</w:t>
            </w:r>
          </w:p>
        </w:tc>
        <w:tc>
          <w:tcPr>
            <w:tcW w:w="1259" w:type="dxa"/>
          </w:tcPr>
          <w:p w14:paraId="529B47BB" w14:textId="77777777" w:rsidR="00CF59E1" w:rsidRPr="001A4B7B" w:rsidRDefault="00CF59E1" w:rsidP="00CF59E1">
            <w:pPr>
              <w:rPr>
                <w:rFonts w:asciiTheme="minorHAnsi" w:hAnsiTheme="minorHAnsi"/>
                <w:color w:val="000000"/>
              </w:rPr>
            </w:pPr>
            <w:r w:rsidRPr="001A4B7B">
              <w:rPr>
                <w:rFonts w:asciiTheme="minorHAnsi" w:hAnsiTheme="minorHAnsi"/>
                <w:color w:val="000000"/>
              </w:rPr>
              <w:t>Yes</w:t>
            </w:r>
          </w:p>
        </w:tc>
        <w:tc>
          <w:tcPr>
            <w:tcW w:w="4698" w:type="dxa"/>
          </w:tcPr>
          <w:p w14:paraId="2A1BB9D6" w14:textId="77777777" w:rsidR="00CF59E1" w:rsidRPr="001A4B7B" w:rsidRDefault="00CF59E1" w:rsidP="00CF59E1">
            <w:pPr>
              <w:tabs>
                <w:tab w:val="left" w:pos="1710"/>
              </w:tabs>
              <w:autoSpaceDE/>
              <w:autoSpaceDN/>
              <w:adjustRightInd/>
              <w:rPr>
                <w:rFonts w:asciiTheme="minorHAnsi" w:hAnsiTheme="minorHAnsi"/>
                <w:b/>
                <w:color w:val="000000"/>
              </w:rPr>
            </w:pPr>
            <w:r w:rsidRPr="001A4B7B">
              <w:rPr>
                <w:rFonts w:asciiTheme="minorHAnsi" w:hAnsiTheme="minorHAnsi"/>
              </w:rPr>
              <w:t>ESS 3, Biodiversity and Ecosystems</w:t>
            </w:r>
            <w:r w:rsidRPr="001A4B7B">
              <w:rPr>
                <w:rStyle w:val="FootnoteReference"/>
                <w:rFonts w:asciiTheme="minorHAnsi" w:hAnsiTheme="minorHAnsi"/>
              </w:rPr>
              <w:footnoteReference w:id="103"/>
            </w:r>
          </w:p>
        </w:tc>
      </w:tr>
      <w:tr w:rsidR="00CF59E1" w:rsidRPr="001A4B7B" w14:paraId="677074A0"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val="restart"/>
          </w:tcPr>
          <w:p w14:paraId="2FA4F45C"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b/>
              </w:rPr>
              <w:t xml:space="preserve">Pollution Prevention and Abatement and Resource Efficiency (environmental health and safety guidelines, chemicals management, pest management) </w:t>
            </w:r>
          </w:p>
        </w:tc>
        <w:tc>
          <w:tcPr>
            <w:tcW w:w="0" w:type="auto"/>
          </w:tcPr>
          <w:p w14:paraId="663F3A39"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WB</w:t>
            </w:r>
          </w:p>
        </w:tc>
        <w:tc>
          <w:tcPr>
            <w:tcW w:w="1259" w:type="dxa"/>
          </w:tcPr>
          <w:p w14:paraId="22A97D84"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5B40FE81"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OP 4.01</w:t>
            </w:r>
            <w:r w:rsidRPr="001A4B7B">
              <w:rPr>
                <w:rFonts w:asciiTheme="minorHAnsi" w:hAnsiTheme="minorHAnsi" w:cstheme="minorHAnsi"/>
              </w:rPr>
              <w:t>,</w:t>
            </w:r>
            <w:r w:rsidRPr="001A4B7B">
              <w:rPr>
                <w:rFonts w:asciiTheme="minorHAnsi" w:hAnsiTheme="minorHAnsi"/>
              </w:rPr>
              <w:t xml:space="preserve"> Environmental Assessment</w:t>
            </w:r>
            <w:r w:rsidRPr="001A4B7B">
              <w:rPr>
                <w:rStyle w:val="FootnoteReference"/>
                <w:rFonts w:asciiTheme="minorHAnsi" w:hAnsiTheme="minorHAnsi"/>
              </w:rPr>
              <w:footnoteReference w:id="104"/>
            </w:r>
          </w:p>
        </w:tc>
      </w:tr>
      <w:tr w:rsidR="00CF59E1" w:rsidRPr="001A4B7B" w14:paraId="741DECBC"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60370F31"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3B4EA850"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ADB</w:t>
            </w:r>
          </w:p>
        </w:tc>
        <w:tc>
          <w:tcPr>
            <w:tcW w:w="1259" w:type="dxa"/>
          </w:tcPr>
          <w:p w14:paraId="539BD2EA"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1BF72A49"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SR 1, Environment</w:t>
            </w:r>
            <w:r w:rsidRPr="001A4B7B">
              <w:rPr>
                <w:rStyle w:val="FootnoteReference"/>
                <w:rFonts w:asciiTheme="minorHAnsi" w:hAnsiTheme="minorHAnsi"/>
              </w:rPr>
              <w:footnoteReference w:id="105"/>
            </w:r>
          </w:p>
        </w:tc>
      </w:tr>
      <w:tr w:rsidR="00CF59E1" w:rsidRPr="001A4B7B" w14:paraId="583C6B66"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3B0FEDAB"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6D1D9F3F"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IDB</w:t>
            </w:r>
          </w:p>
        </w:tc>
        <w:tc>
          <w:tcPr>
            <w:tcW w:w="1259" w:type="dxa"/>
          </w:tcPr>
          <w:p w14:paraId="247323D5"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7032643D"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OP-703,</w:t>
            </w:r>
            <w:r w:rsidRPr="001A4B7B">
              <w:rPr>
                <w:rFonts w:asciiTheme="minorHAnsi" w:hAnsiTheme="minorHAnsi"/>
                <w:b/>
              </w:rPr>
              <w:t xml:space="preserve"> </w:t>
            </w:r>
            <w:r w:rsidRPr="001A4B7B">
              <w:rPr>
                <w:rFonts w:asciiTheme="minorHAnsi" w:hAnsiTheme="minorHAnsi"/>
              </w:rPr>
              <w:t xml:space="preserve">Environment and </w:t>
            </w:r>
            <w:r w:rsidRPr="001A4B7B">
              <w:rPr>
                <w:rFonts w:asciiTheme="minorHAnsi" w:hAnsiTheme="minorHAnsi" w:cstheme="minorHAnsi"/>
              </w:rPr>
              <w:t>Safeguards</w:t>
            </w:r>
            <w:r w:rsidRPr="001A4B7B">
              <w:rPr>
                <w:rFonts w:asciiTheme="minorHAnsi" w:hAnsiTheme="minorHAnsi"/>
              </w:rPr>
              <w:t xml:space="preserve"> Compliance Policy</w:t>
            </w:r>
          </w:p>
        </w:tc>
      </w:tr>
      <w:tr w:rsidR="00CF59E1" w:rsidRPr="001A4B7B" w14:paraId="02182708"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20F10FFC"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5AFEE78C"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AfDB</w:t>
            </w:r>
          </w:p>
        </w:tc>
        <w:tc>
          <w:tcPr>
            <w:tcW w:w="1259" w:type="dxa"/>
          </w:tcPr>
          <w:p w14:paraId="0005DE20"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7C271331"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OS 4, Pollution Prevention and Control, Hazardous Materials and Resources Efficiency</w:t>
            </w:r>
          </w:p>
        </w:tc>
      </w:tr>
      <w:tr w:rsidR="00CF59E1" w:rsidRPr="001A4B7B" w14:paraId="26E06C76"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739E1247"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12302CBA"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IFC</w:t>
            </w:r>
          </w:p>
        </w:tc>
        <w:tc>
          <w:tcPr>
            <w:tcW w:w="1259" w:type="dxa"/>
          </w:tcPr>
          <w:p w14:paraId="5D309A95"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2CA73D1E" w14:textId="77777777" w:rsidR="00CF59E1" w:rsidRPr="001A4B7B" w:rsidRDefault="00CF59E1" w:rsidP="00CF59E1">
            <w:pPr>
              <w:tabs>
                <w:tab w:val="left" w:pos="1710"/>
              </w:tabs>
              <w:autoSpaceDE/>
              <w:autoSpaceDN/>
              <w:adjustRightInd/>
              <w:rPr>
                <w:rFonts w:asciiTheme="minorHAnsi" w:hAnsiTheme="minorHAnsi"/>
                <w:b/>
                <w:lang w:val="pt-BR"/>
              </w:rPr>
            </w:pPr>
            <w:r w:rsidRPr="001A4B7B">
              <w:rPr>
                <w:rFonts w:asciiTheme="minorHAnsi" w:hAnsiTheme="minorHAnsi"/>
                <w:lang w:val="pt-BR"/>
              </w:rPr>
              <w:t>PS 3, Resource Efficiency and Pollution Prevention</w:t>
            </w:r>
          </w:p>
        </w:tc>
      </w:tr>
      <w:tr w:rsidR="00CF59E1" w:rsidRPr="001A4B7B" w14:paraId="147EA38D"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0AADA610"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42C87A52"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EBRD</w:t>
            </w:r>
          </w:p>
        </w:tc>
        <w:tc>
          <w:tcPr>
            <w:tcW w:w="1259" w:type="dxa"/>
          </w:tcPr>
          <w:p w14:paraId="200972B5"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25825835"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PR 3, Resource Efficiency and Pollution Prevention and Control</w:t>
            </w:r>
          </w:p>
        </w:tc>
      </w:tr>
      <w:tr w:rsidR="00CF59E1" w:rsidRPr="001A4B7B" w14:paraId="10202A9D"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595517D6" w14:textId="77777777" w:rsidR="00CF59E1" w:rsidRPr="001A4B7B" w:rsidRDefault="00CF59E1" w:rsidP="00CF59E1">
            <w:pPr>
              <w:tabs>
                <w:tab w:val="left" w:pos="1710"/>
              </w:tabs>
              <w:autoSpaceDE/>
              <w:autoSpaceDN/>
              <w:adjustRightInd/>
              <w:rPr>
                <w:rFonts w:asciiTheme="minorHAnsi" w:hAnsiTheme="minorHAnsi"/>
                <w:b/>
                <w:color w:val="000000"/>
              </w:rPr>
            </w:pPr>
          </w:p>
        </w:tc>
        <w:tc>
          <w:tcPr>
            <w:tcW w:w="0" w:type="auto"/>
          </w:tcPr>
          <w:p w14:paraId="30804EC0" w14:textId="77777777" w:rsidR="00CF59E1" w:rsidRPr="001A4B7B" w:rsidRDefault="00CF59E1" w:rsidP="00CF59E1">
            <w:pPr>
              <w:tabs>
                <w:tab w:val="left" w:pos="1710"/>
              </w:tabs>
              <w:autoSpaceDE/>
              <w:autoSpaceDN/>
              <w:adjustRightInd/>
              <w:rPr>
                <w:rFonts w:asciiTheme="minorHAnsi" w:hAnsiTheme="minorHAnsi"/>
                <w:color w:val="000000"/>
              </w:rPr>
            </w:pPr>
            <w:r w:rsidRPr="001A4B7B">
              <w:rPr>
                <w:rFonts w:asciiTheme="minorHAnsi" w:hAnsiTheme="minorHAnsi"/>
                <w:color w:val="000000"/>
              </w:rPr>
              <w:t>EIB</w:t>
            </w:r>
          </w:p>
        </w:tc>
        <w:tc>
          <w:tcPr>
            <w:tcW w:w="1259" w:type="dxa"/>
          </w:tcPr>
          <w:p w14:paraId="4559E5B4" w14:textId="77777777" w:rsidR="00CF59E1" w:rsidRPr="001A4B7B" w:rsidRDefault="00CF59E1" w:rsidP="00CF59E1">
            <w:pPr>
              <w:rPr>
                <w:rFonts w:asciiTheme="minorHAnsi" w:hAnsiTheme="minorHAnsi"/>
                <w:color w:val="000000"/>
              </w:rPr>
            </w:pPr>
            <w:r w:rsidRPr="001A4B7B">
              <w:rPr>
                <w:rFonts w:asciiTheme="minorHAnsi" w:hAnsiTheme="minorHAnsi"/>
                <w:color w:val="000000"/>
              </w:rPr>
              <w:t>Yes</w:t>
            </w:r>
          </w:p>
        </w:tc>
        <w:tc>
          <w:tcPr>
            <w:tcW w:w="4698" w:type="dxa"/>
          </w:tcPr>
          <w:p w14:paraId="24CE0EF2" w14:textId="77777777" w:rsidR="00CF59E1" w:rsidRPr="001A4B7B" w:rsidRDefault="00CF59E1" w:rsidP="00CF59E1">
            <w:pPr>
              <w:tabs>
                <w:tab w:val="left" w:pos="1710"/>
              </w:tabs>
              <w:autoSpaceDE/>
              <w:autoSpaceDN/>
              <w:adjustRightInd/>
              <w:rPr>
                <w:rFonts w:asciiTheme="minorHAnsi" w:hAnsiTheme="minorHAnsi"/>
                <w:b/>
                <w:color w:val="000000"/>
              </w:rPr>
            </w:pPr>
            <w:r w:rsidRPr="001A4B7B">
              <w:rPr>
                <w:rFonts w:asciiTheme="minorHAnsi" w:hAnsiTheme="minorHAnsi"/>
              </w:rPr>
              <w:t>ESS 2, Pollution Prevention and Abatement</w:t>
            </w:r>
          </w:p>
        </w:tc>
      </w:tr>
      <w:tr w:rsidR="00CF59E1" w:rsidRPr="001A4B7B" w14:paraId="1E9FB82C"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val="restart"/>
          </w:tcPr>
          <w:p w14:paraId="3D0F9490"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b/>
              </w:rPr>
              <w:t>Community Health, Safety and Security</w:t>
            </w:r>
            <w:r w:rsidRPr="001A4B7B">
              <w:rPr>
                <w:rStyle w:val="FootnoteReference"/>
                <w:rFonts w:asciiTheme="minorHAnsi" w:hAnsiTheme="minorHAnsi"/>
                <w:b/>
              </w:rPr>
              <w:footnoteReference w:id="106"/>
            </w:r>
          </w:p>
        </w:tc>
        <w:tc>
          <w:tcPr>
            <w:tcW w:w="0" w:type="auto"/>
          </w:tcPr>
          <w:p w14:paraId="19C335C0"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WB</w:t>
            </w:r>
          </w:p>
        </w:tc>
        <w:tc>
          <w:tcPr>
            <w:tcW w:w="1259" w:type="dxa"/>
          </w:tcPr>
          <w:p w14:paraId="70F1CDA1" w14:textId="77777777" w:rsidR="00CF59E1" w:rsidRPr="001A4B7B" w:rsidRDefault="00CF59E1" w:rsidP="00CF59E1">
            <w:pPr>
              <w:rPr>
                <w:rFonts w:asciiTheme="minorHAnsi" w:hAnsiTheme="minorHAnsi"/>
              </w:rPr>
            </w:pPr>
            <w:r w:rsidRPr="001A4B7B">
              <w:rPr>
                <w:rFonts w:asciiTheme="minorHAnsi" w:hAnsiTheme="minorHAnsi"/>
              </w:rPr>
              <w:t xml:space="preserve">Yes </w:t>
            </w:r>
          </w:p>
        </w:tc>
        <w:tc>
          <w:tcPr>
            <w:tcW w:w="4698" w:type="dxa"/>
          </w:tcPr>
          <w:p w14:paraId="076A9340"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OP4.01</w:t>
            </w:r>
            <w:r w:rsidRPr="001A4B7B">
              <w:rPr>
                <w:rStyle w:val="FootnoteReference"/>
                <w:rFonts w:asciiTheme="minorHAnsi" w:hAnsiTheme="minorHAnsi"/>
              </w:rPr>
              <w:footnoteReference w:id="107"/>
            </w:r>
            <w:r w:rsidRPr="001A4B7B">
              <w:rPr>
                <w:rFonts w:asciiTheme="minorHAnsi" w:hAnsiTheme="minorHAnsi"/>
              </w:rPr>
              <w:t xml:space="preserve"> and with reference to the World Bank Group Environment, Health and Safety Guidelines (</w:t>
            </w:r>
            <w:r w:rsidRPr="001A4B7B">
              <w:rPr>
                <w:rFonts w:asciiTheme="minorHAnsi" w:hAnsiTheme="minorHAnsi" w:cstheme="minorHAnsi"/>
              </w:rPr>
              <w:t xml:space="preserve">WBG </w:t>
            </w:r>
            <w:r w:rsidRPr="001A4B7B">
              <w:rPr>
                <w:rFonts w:asciiTheme="minorHAnsi" w:hAnsiTheme="minorHAnsi"/>
              </w:rPr>
              <w:t>EHSGs</w:t>
            </w:r>
            <w:r w:rsidRPr="001A4B7B">
              <w:rPr>
                <w:rFonts w:asciiTheme="minorHAnsi" w:hAnsiTheme="minorHAnsi" w:cstheme="minorHAnsi"/>
              </w:rPr>
              <w:t>)</w:t>
            </w:r>
          </w:p>
        </w:tc>
      </w:tr>
      <w:tr w:rsidR="00CF59E1" w:rsidRPr="001A4B7B" w14:paraId="44C4FA0C"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7069331E"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0EDAFC83"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ADB</w:t>
            </w:r>
          </w:p>
        </w:tc>
        <w:tc>
          <w:tcPr>
            <w:tcW w:w="1259" w:type="dxa"/>
          </w:tcPr>
          <w:p w14:paraId="0215F5C0" w14:textId="77777777" w:rsidR="00CF59E1" w:rsidRPr="001A4B7B" w:rsidRDefault="00CF59E1" w:rsidP="00CF59E1">
            <w:pPr>
              <w:rPr>
                <w:rFonts w:asciiTheme="minorHAnsi" w:hAnsiTheme="minorHAnsi"/>
              </w:rPr>
            </w:pPr>
            <w:r w:rsidRPr="001A4B7B">
              <w:rPr>
                <w:rFonts w:asciiTheme="minorHAnsi" w:hAnsiTheme="minorHAnsi"/>
              </w:rPr>
              <w:t xml:space="preserve">Yes </w:t>
            </w:r>
          </w:p>
        </w:tc>
        <w:tc>
          <w:tcPr>
            <w:tcW w:w="4698" w:type="dxa"/>
          </w:tcPr>
          <w:p w14:paraId="1F817728"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SR 1, Environment and with reference to WBG EHSGs</w:t>
            </w:r>
          </w:p>
        </w:tc>
      </w:tr>
      <w:tr w:rsidR="00CF59E1" w:rsidRPr="001A4B7B" w14:paraId="677897DB"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53B977E6"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0D398EB8"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IDB</w:t>
            </w:r>
          </w:p>
        </w:tc>
        <w:tc>
          <w:tcPr>
            <w:tcW w:w="1259" w:type="dxa"/>
          </w:tcPr>
          <w:p w14:paraId="7424EC5A" w14:textId="77777777" w:rsidR="00CF59E1" w:rsidRPr="001A4B7B" w:rsidRDefault="00CF59E1" w:rsidP="00CF59E1">
            <w:pPr>
              <w:rPr>
                <w:rFonts w:asciiTheme="minorHAnsi" w:hAnsiTheme="minorHAnsi"/>
              </w:rPr>
            </w:pPr>
            <w:r w:rsidRPr="001A4B7B">
              <w:rPr>
                <w:rFonts w:asciiTheme="minorHAnsi" w:hAnsiTheme="minorHAnsi"/>
              </w:rPr>
              <w:t xml:space="preserve">Yes </w:t>
            </w:r>
          </w:p>
        </w:tc>
        <w:tc>
          <w:tcPr>
            <w:tcW w:w="4698" w:type="dxa"/>
          </w:tcPr>
          <w:p w14:paraId="478C2BC9"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OP-703</w:t>
            </w:r>
            <w:r w:rsidRPr="001A4B7B">
              <w:rPr>
                <w:rFonts w:asciiTheme="minorHAnsi" w:hAnsiTheme="minorHAnsi" w:cstheme="minorHAnsi"/>
              </w:rPr>
              <w:t>,</w:t>
            </w:r>
            <w:r w:rsidRPr="001A4B7B">
              <w:rPr>
                <w:rFonts w:asciiTheme="minorHAnsi" w:hAnsiTheme="minorHAnsi"/>
                <w:b/>
              </w:rPr>
              <w:t xml:space="preserve"> </w:t>
            </w:r>
            <w:r w:rsidRPr="001A4B7B">
              <w:rPr>
                <w:rFonts w:asciiTheme="minorHAnsi" w:hAnsiTheme="minorHAnsi"/>
              </w:rPr>
              <w:t xml:space="preserve">Environment and </w:t>
            </w:r>
            <w:r w:rsidRPr="001A4B7B">
              <w:rPr>
                <w:rFonts w:asciiTheme="minorHAnsi" w:hAnsiTheme="minorHAnsi" w:cstheme="minorHAnsi"/>
              </w:rPr>
              <w:t>Safeguards</w:t>
            </w:r>
            <w:r w:rsidRPr="001A4B7B">
              <w:rPr>
                <w:rFonts w:asciiTheme="minorHAnsi" w:hAnsiTheme="minorHAnsi"/>
              </w:rPr>
              <w:t xml:space="preserve"> Compliance Policy</w:t>
            </w:r>
          </w:p>
        </w:tc>
      </w:tr>
      <w:tr w:rsidR="00CF59E1" w:rsidRPr="001A4B7B" w14:paraId="4B0E1BAD"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1866A499"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34C5349C"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AfDB</w:t>
            </w:r>
          </w:p>
        </w:tc>
        <w:tc>
          <w:tcPr>
            <w:tcW w:w="1259" w:type="dxa"/>
          </w:tcPr>
          <w:p w14:paraId="0C8012E7" w14:textId="77777777" w:rsidR="00CF59E1" w:rsidRPr="001A4B7B" w:rsidRDefault="00CF59E1" w:rsidP="00CF59E1">
            <w:pPr>
              <w:rPr>
                <w:rFonts w:asciiTheme="minorHAnsi" w:hAnsiTheme="minorHAnsi"/>
              </w:rPr>
            </w:pPr>
            <w:r w:rsidRPr="001A4B7B">
              <w:rPr>
                <w:rFonts w:asciiTheme="minorHAnsi" w:hAnsiTheme="minorHAnsi"/>
              </w:rPr>
              <w:t>Yes (limited)</w:t>
            </w:r>
          </w:p>
        </w:tc>
        <w:tc>
          <w:tcPr>
            <w:tcW w:w="4698" w:type="dxa"/>
          </w:tcPr>
          <w:p w14:paraId="2861CD4F"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OS 1, Environmental and Social Assessment</w:t>
            </w:r>
            <w:r w:rsidRPr="001A4B7B">
              <w:rPr>
                <w:rStyle w:val="FootnoteReference"/>
                <w:rFonts w:asciiTheme="minorHAnsi" w:eastAsia="MS Gothic" w:hAnsiTheme="minorHAnsi" w:cstheme="minorHAnsi"/>
              </w:rPr>
              <w:footnoteReference w:id="108"/>
            </w:r>
          </w:p>
        </w:tc>
      </w:tr>
      <w:tr w:rsidR="00CF59E1" w:rsidRPr="001A4B7B" w14:paraId="33DF6812"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77489CBA"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37B18674"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IFC</w:t>
            </w:r>
          </w:p>
        </w:tc>
        <w:tc>
          <w:tcPr>
            <w:tcW w:w="1259" w:type="dxa"/>
          </w:tcPr>
          <w:p w14:paraId="307FE5C9"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359F1B19"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 xml:space="preserve">PS 4, Community Health, Safety and Security </w:t>
            </w:r>
          </w:p>
        </w:tc>
      </w:tr>
      <w:tr w:rsidR="00CF59E1" w:rsidRPr="001A4B7B" w14:paraId="12B50BCE"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1CA85A26"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019734F5"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EBRD</w:t>
            </w:r>
          </w:p>
        </w:tc>
        <w:tc>
          <w:tcPr>
            <w:tcW w:w="1259" w:type="dxa"/>
          </w:tcPr>
          <w:p w14:paraId="20D7439E"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7D49C91B"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 xml:space="preserve">PR 4, Health and Safety </w:t>
            </w:r>
          </w:p>
        </w:tc>
      </w:tr>
      <w:tr w:rsidR="00CF59E1" w:rsidRPr="001A4B7B" w14:paraId="56122A78"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4692AACA"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03AECFC4"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EIB</w:t>
            </w:r>
          </w:p>
        </w:tc>
        <w:tc>
          <w:tcPr>
            <w:tcW w:w="1259" w:type="dxa"/>
          </w:tcPr>
          <w:p w14:paraId="64655783"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1EDB171B"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ESS 9, Occupational and Public Health, Safety and Security</w:t>
            </w:r>
            <w:r w:rsidRPr="001A4B7B">
              <w:rPr>
                <w:rStyle w:val="FootnoteReference"/>
                <w:rFonts w:asciiTheme="minorHAnsi" w:hAnsiTheme="minorHAnsi"/>
              </w:rPr>
              <w:footnoteReference w:id="109"/>
            </w:r>
          </w:p>
        </w:tc>
      </w:tr>
      <w:tr w:rsidR="00CF59E1" w:rsidRPr="001A4B7B" w14:paraId="1C09DCA9"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val="restart"/>
          </w:tcPr>
          <w:p w14:paraId="11F41843"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b/>
              </w:rPr>
              <w:t xml:space="preserve">Climate Change </w:t>
            </w:r>
          </w:p>
          <w:p w14:paraId="5C536D92" w14:textId="77777777" w:rsidR="00CF59E1" w:rsidRPr="001A4B7B" w:rsidRDefault="00CF59E1" w:rsidP="00CF59E1">
            <w:pPr>
              <w:tabs>
                <w:tab w:val="left" w:pos="1710"/>
              </w:tabs>
              <w:autoSpaceDE/>
              <w:autoSpaceDN/>
              <w:adjustRightInd/>
              <w:rPr>
                <w:rFonts w:asciiTheme="minorHAnsi" w:hAnsiTheme="minorHAnsi"/>
                <w:b/>
              </w:rPr>
            </w:pPr>
          </w:p>
          <w:p w14:paraId="079F72D4" w14:textId="77777777" w:rsidR="00CF59E1" w:rsidRPr="001A4B7B" w:rsidRDefault="00CF59E1" w:rsidP="00CF59E1">
            <w:pPr>
              <w:tabs>
                <w:tab w:val="left" w:pos="1710"/>
              </w:tabs>
              <w:autoSpaceDE/>
              <w:autoSpaceDN/>
              <w:adjustRightInd/>
              <w:rPr>
                <w:rFonts w:asciiTheme="minorHAnsi" w:hAnsiTheme="minorHAnsi"/>
                <w:b/>
              </w:rPr>
            </w:pPr>
          </w:p>
          <w:p w14:paraId="0B04DB01" w14:textId="77777777" w:rsidR="00CF59E1" w:rsidRPr="001A4B7B" w:rsidRDefault="00CF59E1" w:rsidP="00CF59E1">
            <w:pPr>
              <w:tabs>
                <w:tab w:val="left" w:pos="1710"/>
              </w:tabs>
              <w:autoSpaceDE/>
              <w:autoSpaceDN/>
              <w:adjustRightInd/>
              <w:rPr>
                <w:rFonts w:asciiTheme="minorHAnsi" w:hAnsiTheme="minorHAnsi"/>
                <w:b/>
              </w:rPr>
            </w:pPr>
          </w:p>
          <w:p w14:paraId="54525A60" w14:textId="77777777" w:rsidR="00CF59E1" w:rsidRPr="001A4B7B" w:rsidRDefault="00CF59E1" w:rsidP="00CF59E1">
            <w:pPr>
              <w:tabs>
                <w:tab w:val="left" w:pos="1710"/>
              </w:tabs>
              <w:autoSpaceDE/>
              <w:autoSpaceDN/>
              <w:adjustRightInd/>
              <w:rPr>
                <w:rFonts w:asciiTheme="minorHAnsi" w:hAnsiTheme="minorHAnsi"/>
                <w:b/>
              </w:rPr>
            </w:pPr>
          </w:p>
          <w:p w14:paraId="76620ABC" w14:textId="77777777" w:rsidR="00CF59E1" w:rsidRPr="001A4B7B" w:rsidRDefault="00CF59E1" w:rsidP="00CF59E1">
            <w:pPr>
              <w:tabs>
                <w:tab w:val="left" w:pos="1710"/>
              </w:tabs>
              <w:autoSpaceDE/>
              <w:autoSpaceDN/>
              <w:adjustRightInd/>
              <w:rPr>
                <w:rFonts w:asciiTheme="minorHAnsi" w:hAnsiTheme="minorHAnsi"/>
                <w:b/>
              </w:rPr>
            </w:pPr>
          </w:p>
          <w:p w14:paraId="2A42C3C9" w14:textId="77777777" w:rsidR="00CF59E1" w:rsidRPr="001A4B7B" w:rsidRDefault="00CF59E1" w:rsidP="00CF59E1">
            <w:pPr>
              <w:tabs>
                <w:tab w:val="left" w:pos="1710"/>
              </w:tabs>
              <w:autoSpaceDE/>
              <w:autoSpaceDN/>
              <w:adjustRightInd/>
              <w:rPr>
                <w:rFonts w:asciiTheme="minorHAnsi" w:hAnsiTheme="minorHAnsi"/>
                <w:b/>
              </w:rPr>
            </w:pPr>
          </w:p>
          <w:p w14:paraId="5E5DC8AA" w14:textId="77777777" w:rsidR="00CF59E1" w:rsidRPr="001A4B7B" w:rsidRDefault="00CF59E1" w:rsidP="00CF59E1">
            <w:pPr>
              <w:tabs>
                <w:tab w:val="left" w:pos="1710"/>
              </w:tabs>
              <w:autoSpaceDE/>
              <w:autoSpaceDN/>
              <w:adjustRightInd/>
              <w:rPr>
                <w:rFonts w:asciiTheme="minorHAnsi" w:hAnsiTheme="minorHAnsi"/>
                <w:b/>
              </w:rPr>
            </w:pPr>
          </w:p>
          <w:p w14:paraId="4EE80902"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36AE771B"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WB</w:t>
            </w:r>
          </w:p>
        </w:tc>
        <w:tc>
          <w:tcPr>
            <w:tcW w:w="1259" w:type="dxa"/>
          </w:tcPr>
          <w:p w14:paraId="5E1C176E"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76BBC1E1"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OP 4.01</w:t>
            </w:r>
            <w:r w:rsidRPr="001A4B7B">
              <w:rPr>
                <w:rFonts w:asciiTheme="minorHAnsi" w:hAnsiTheme="minorHAnsi" w:cstheme="minorHAnsi"/>
              </w:rPr>
              <w:t>,</w:t>
            </w:r>
            <w:r w:rsidRPr="001A4B7B">
              <w:rPr>
                <w:rFonts w:asciiTheme="minorHAnsi" w:hAnsiTheme="minorHAnsi"/>
              </w:rPr>
              <w:t xml:space="preserve"> footnote 5 and EHSGs </w:t>
            </w:r>
          </w:p>
        </w:tc>
      </w:tr>
      <w:tr w:rsidR="00CF59E1" w:rsidRPr="001A4B7B" w14:paraId="260BAE39"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4163060D"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0EEC0594"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ADB</w:t>
            </w:r>
          </w:p>
        </w:tc>
        <w:tc>
          <w:tcPr>
            <w:tcW w:w="1259" w:type="dxa"/>
          </w:tcPr>
          <w:p w14:paraId="0F9EC4FA"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58F765DD"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SR 1, Environment and EHSGs</w:t>
            </w:r>
          </w:p>
        </w:tc>
      </w:tr>
      <w:tr w:rsidR="00CF59E1" w:rsidRPr="001A4B7B" w14:paraId="7544CD57"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29277981"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6A6D1790"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IDB</w:t>
            </w:r>
          </w:p>
        </w:tc>
        <w:tc>
          <w:tcPr>
            <w:tcW w:w="1259" w:type="dxa"/>
          </w:tcPr>
          <w:p w14:paraId="762DD703"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579E76EA"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OP-703,</w:t>
            </w:r>
            <w:r w:rsidRPr="001A4B7B">
              <w:rPr>
                <w:rFonts w:asciiTheme="minorHAnsi" w:hAnsiTheme="minorHAnsi"/>
                <w:b/>
              </w:rPr>
              <w:t xml:space="preserve"> </w:t>
            </w:r>
            <w:r w:rsidRPr="001A4B7B">
              <w:rPr>
                <w:rFonts w:asciiTheme="minorHAnsi" w:hAnsiTheme="minorHAnsi"/>
              </w:rPr>
              <w:t xml:space="preserve">Environment and </w:t>
            </w:r>
            <w:r w:rsidRPr="001A4B7B">
              <w:rPr>
                <w:rFonts w:asciiTheme="minorHAnsi" w:hAnsiTheme="minorHAnsi" w:cstheme="minorHAnsi"/>
              </w:rPr>
              <w:t>Safeguards</w:t>
            </w:r>
            <w:r w:rsidRPr="001A4B7B">
              <w:rPr>
                <w:rFonts w:asciiTheme="minorHAnsi" w:hAnsiTheme="minorHAnsi"/>
              </w:rPr>
              <w:t xml:space="preserve"> Compliance Policy and OP-704</w:t>
            </w:r>
            <w:r w:rsidRPr="001A4B7B">
              <w:rPr>
                <w:rFonts w:asciiTheme="minorHAnsi" w:hAnsiTheme="minorHAnsi" w:cstheme="minorHAnsi"/>
              </w:rPr>
              <w:t>,</w:t>
            </w:r>
            <w:r w:rsidRPr="001A4B7B">
              <w:rPr>
                <w:rFonts w:asciiTheme="minorHAnsi" w:hAnsiTheme="minorHAnsi"/>
              </w:rPr>
              <w:t xml:space="preserve"> Disaster Risk Management </w:t>
            </w:r>
          </w:p>
        </w:tc>
      </w:tr>
      <w:tr w:rsidR="00CF59E1" w:rsidRPr="001A4B7B" w14:paraId="7ADDFA94"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6B8676BE"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208645D8"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AfDB</w:t>
            </w:r>
          </w:p>
        </w:tc>
        <w:tc>
          <w:tcPr>
            <w:tcW w:w="1259" w:type="dxa"/>
          </w:tcPr>
          <w:p w14:paraId="5A323BD2"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542DC4A6"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color w:val="000000"/>
                <w:lang w:val="nb-NO"/>
              </w:rPr>
              <w:t xml:space="preserve">OS 1, </w:t>
            </w:r>
            <w:r w:rsidRPr="001A4B7B">
              <w:rPr>
                <w:rFonts w:asciiTheme="minorHAnsi" w:hAnsiTheme="minorHAnsi"/>
              </w:rPr>
              <w:t>Environmental and Social Assessment</w:t>
            </w:r>
          </w:p>
        </w:tc>
      </w:tr>
      <w:tr w:rsidR="00CF59E1" w:rsidRPr="001A4B7B" w14:paraId="4C29FBBA"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30E2FDA5"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0F2982C7"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IFC</w:t>
            </w:r>
          </w:p>
        </w:tc>
        <w:tc>
          <w:tcPr>
            <w:tcW w:w="1259" w:type="dxa"/>
          </w:tcPr>
          <w:p w14:paraId="468ACBFB"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55C04528"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color w:val="000000"/>
                <w:lang w:val="nb-NO"/>
              </w:rPr>
              <w:t>PS 1,</w:t>
            </w:r>
            <w:r w:rsidRPr="001A4B7B">
              <w:rPr>
                <w:rFonts w:asciiTheme="minorHAnsi" w:eastAsia="MS Gothic" w:hAnsiTheme="minorHAnsi" w:cstheme="minorHAnsi"/>
                <w:color w:val="000000"/>
                <w:lang w:val="nb-NO"/>
              </w:rPr>
              <w:t xml:space="preserve"> </w:t>
            </w:r>
            <w:r w:rsidRPr="001A4B7B">
              <w:rPr>
                <w:rFonts w:asciiTheme="minorHAnsi" w:hAnsiTheme="minorHAnsi"/>
                <w:color w:val="000000"/>
                <w:lang w:val="nb-NO"/>
              </w:rPr>
              <w:t>Assessment and Management of Environmental and Social Risks; PS 3, Resource Efficiency and Pollution Prevention and EHSGs</w:t>
            </w:r>
          </w:p>
        </w:tc>
      </w:tr>
      <w:tr w:rsidR="00CF59E1" w:rsidRPr="001A4B7B" w14:paraId="326D4654"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01AAF381"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164C42AE"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EBRD</w:t>
            </w:r>
          </w:p>
        </w:tc>
        <w:tc>
          <w:tcPr>
            <w:tcW w:w="1259" w:type="dxa"/>
          </w:tcPr>
          <w:p w14:paraId="06A6C424"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46BF42AA"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color w:val="000000"/>
                <w:lang w:val="nb-NO"/>
              </w:rPr>
              <w:t>PR 1,</w:t>
            </w:r>
            <w:r w:rsidRPr="001A4B7B">
              <w:rPr>
                <w:rFonts w:asciiTheme="minorHAnsi" w:hAnsiTheme="minorHAnsi"/>
              </w:rPr>
              <w:t xml:space="preserve"> Assessment and Management of Environmental and Social Impacts and Issues</w:t>
            </w:r>
            <w:r w:rsidRPr="001A4B7B">
              <w:rPr>
                <w:rFonts w:asciiTheme="minorHAnsi" w:hAnsiTheme="minorHAnsi"/>
                <w:color w:val="000000"/>
                <w:lang w:val="nb-NO"/>
              </w:rPr>
              <w:t>; PR 3, Resource Efficiency and Pollution Prevention and Control</w:t>
            </w:r>
          </w:p>
        </w:tc>
      </w:tr>
      <w:tr w:rsidR="00CF59E1" w:rsidRPr="001A4B7B" w14:paraId="79C7CDB9"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252FE4CD"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39694F9C"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EIB</w:t>
            </w:r>
          </w:p>
        </w:tc>
        <w:tc>
          <w:tcPr>
            <w:tcW w:w="1259" w:type="dxa"/>
          </w:tcPr>
          <w:p w14:paraId="181FE3EC"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1A779CD1"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color w:val="000000"/>
                <w:lang w:val="nb-NO"/>
              </w:rPr>
              <w:t>ESS 4</w:t>
            </w:r>
            <w:r w:rsidRPr="001A4B7B">
              <w:rPr>
                <w:rFonts w:asciiTheme="minorHAnsi" w:eastAsia="MS Gothic" w:hAnsiTheme="minorHAnsi" w:cstheme="minorHAnsi"/>
                <w:color w:val="000000"/>
                <w:lang w:val="nb-NO"/>
              </w:rPr>
              <w:t>,</w:t>
            </w:r>
            <w:r w:rsidRPr="001A4B7B">
              <w:rPr>
                <w:rFonts w:asciiTheme="minorHAnsi" w:hAnsiTheme="minorHAnsi"/>
                <w:color w:val="000000"/>
                <w:lang w:val="nb-NO"/>
              </w:rPr>
              <w:t xml:space="preserve"> Climate Related Standards; other references in ESS 1 and </w:t>
            </w:r>
            <w:r w:rsidRPr="001A4B7B">
              <w:rPr>
                <w:rFonts w:asciiTheme="minorHAnsi" w:eastAsia="MS Gothic" w:hAnsiTheme="minorHAnsi" w:cstheme="minorHAnsi"/>
                <w:color w:val="000000"/>
                <w:lang w:val="nb-NO"/>
              </w:rPr>
              <w:t xml:space="preserve">ESS </w:t>
            </w:r>
            <w:r w:rsidRPr="001A4B7B">
              <w:rPr>
                <w:rFonts w:asciiTheme="minorHAnsi" w:hAnsiTheme="minorHAnsi"/>
                <w:color w:val="000000"/>
                <w:lang w:val="nb-NO"/>
              </w:rPr>
              <w:t>3</w:t>
            </w:r>
          </w:p>
        </w:tc>
      </w:tr>
      <w:tr w:rsidR="00CF59E1" w:rsidRPr="001A4B7B" w14:paraId="653CDC24"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val="restart"/>
          </w:tcPr>
          <w:p w14:paraId="012C1D35"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b/>
              </w:rPr>
              <w:t>Physical Cultural Resources and Heritage</w:t>
            </w:r>
          </w:p>
        </w:tc>
        <w:tc>
          <w:tcPr>
            <w:tcW w:w="0" w:type="auto"/>
          </w:tcPr>
          <w:p w14:paraId="14693C6B"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WB</w:t>
            </w:r>
          </w:p>
        </w:tc>
        <w:tc>
          <w:tcPr>
            <w:tcW w:w="1259" w:type="dxa"/>
          </w:tcPr>
          <w:p w14:paraId="243F9743"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369AA1C5"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OP 4.11, Physical Cultural Resources</w:t>
            </w:r>
          </w:p>
        </w:tc>
      </w:tr>
      <w:tr w:rsidR="00CF59E1" w:rsidRPr="001A4B7B" w14:paraId="6CD07551"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6AD643DE"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38F67FFA"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ADB</w:t>
            </w:r>
          </w:p>
        </w:tc>
        <w:tc>
          <w:tcPr>
            <w:tcW w:w="1259" w:type="dxa"/>
          </w:tcPr>
          <w:p w14:paraId="63987C0D"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6BDBDD94"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SR 1, Environment</w:t>
            </w:r>
          </w:p>
        </w:tc>
      </w:tr>
      <w:tr w:rsidR="00CF59E1" w:rsidRPr="001A4B7B" w14:paraId="576BA03A"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14319CB0"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4E54D3F1"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IDB</w:t>
            </w:r>
          </w:p>
        </w:tc>
        <w:tc>
          <w:tcPr>
            <w:tcW w:w="1259" w:type="dxa"/>
          </w:tcPr>
          <w:p w14:paraId="2753B3BF"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51236F24"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OP-703,</w:t>
            </w:r>
            <w:r w:rsidRPr="001A4B7B">
              <w:rPr>
                <w:rFonts w:asciiTheme="minorHAnsi" w:hAnsiTheme="minorHAnsi"/>
                <w:b/>
              </w:rPr>
              <w:t xml:space="preserve"> </w:t>
            </w:r>
            <w:r w:rsidRPr="001A4B7B">
              <w:rPr>
                <w:rFonts w:asciiTheme="minorHAnsi" w:hAnsiTheme="minorHAnsi"/>
              </w:rPr>
              <w:t xml:space="preserve">Environment and </w:t>
            </w:r>
            <w:r w:rsidRPr="001A4B7B">
              <w:rPr>
                <w:rFonts w:asciiTheme="minorHAnsi" w:hAnsiTheme="minorHAnsi" w:cstheme="minorHAnsi"/>
              </w:rPr>
              <w:t>Safeguards</w:t>
            </w:r>
            <w:r w:rsidRPr="001A4B7B">
              <w:rPr>
                <w:rFonts w:asciiTheme="minorHAnsi" w:hAnsiTheme="minorHAnsi"/>
              </w:rPr>
              <w:t xml:space="preserve"> Compliance Policy</w:t>
            </w:r>
          </w:p>
        </w:tc>
      </w:tr>
      <w:tr w:rsidR="00CF59E1" w:rsidRPr="001A4B7B" w14:paraId="28208AB2"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56EEBD57"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1FE29E81"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AfDB</w:t>
            </w:r>
          </w:p>
        </w:tc>
        <w:tc>
          <w:tcPr>
            <w:tcW w:w="1259" w:type="dxa"/>
          </w:tcPr>
          <w:p w14:paraId="53E783EB"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73BCAC07"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 xml:space="preserve">OS 1, Environmental and Social Assessment </w:t>
            </w:r>
          </w:p>
        </w:tc>
      </w:tr>
      <w:tr w:rsidR="00CF59E1" w:rsidRPr="001A4B7B" w14:paraId="39BC74EA"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037595C6"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50FF8EDE"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IFC</w:t>
            </w:r>
          </w:p>
        </w:tc>
        <w:tc>
          <w:tcPr>
            <w:tcW w:w="1259" w:type="dxa"/>
          </w:tcPr>
          <w:p w14:paraId="7718AE7D"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08EAFB6F"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 xml:space="preserve">PS 8, Cultural Heritage </w:t>
            </w:r>
          </w:p>
        </w:tc>
      </w:tr>
      <w:tr w:rsidR="00CF59E1" w:rsidRPr="001A4B7B" w14:paraId="1E100AA0"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0DDE1991"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1C877A03"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EBRD</w:t>
            </w:r>
          </w:p>
        </w:tc>
        <w:tc>
          <w:tcPr>
            <w:tcW w:w="1259" w:type="dxa"/>
          </w:tcPr>
          <w:p w14:paraId="1460909F"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5798DAD5" w14:textId="77777777" w:rsidR="00CF59E1" w:rsidRPr="001A4B7B" w:rsidRDefault="00CF59E1" w:rsidP="00CF59E1">
            <w:pPr>
              <w:tabs>
                <w:tab w:val="left" w:pos="1710"/>
              </w:tabs>
              <w:rPr>
                <w:rFonts w:asciiTheme="minorHAnsi" w:hAnsiTheme="minorHAnsi"/>
                <w:b/>
              </w:rPr>
            </w:pPr>
            <w:r w:rsidRPr="001A4B7B">
              <w:rPr>
                <w:rFonts w:asciiTheme="minorHAnsi" w:hAnsiTheme="minorHAnsi"/>
              </w:rPr>
              <w:t>PR 8, Cultural Heritage</w:t>
            </w:r>
          </w:p>
        </w:tc>
      </w:tr>
      <w:tr w:rsidR="00CF59E1" w:rsidRPr="001A4B7B" w14:paraId="6B36A49D"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68746F85"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55E72186"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EIB</w:t>
            </w:r>
          </w:p>
        </w:tc>
        <w:tc>
          <w:tcPr>
            <w:tcW w:w="1259" w:type="dxa"/>
          </w:tcPr>
          <w:p w14:paraId="1EFDF436"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0F8E8FFD"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ESS 5, Cultural Heritage</w:t>
            </w:r>
          </w:p>
        </w:tc>
      </w:tr>
      <w:tr w:rsidR="00CF59E1" w:rsidRPr="001A4B7B" w14:paraId="530CE565"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val="restart"/>
          </w:tcPr>
          <w:p w14:paraId="2A5614B8"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b/>
              </w:rPr>
              <w:t>Land Acquisition</w:t>
            </w:r>
            <w:r w:rsidRPr="001A4B7B">
              <w:rPr>
                <w:rFonts w:asciiTheme="minorHAnsi" w:hAnsiTheme="minorHAnsi" w:cstheme="minorHAnsi"/>
                <w:b/>
                <w:bCs/>
              </w:rPr>
              <w:t>,</w:t>
            </w:r>
            <w:r w:rsidRPr="001A4B7B">
              <w:rPr>
                <w:rFonts w:asciiTheme="minorHAnsi" w:hAnsiTheme="minorHAnsi"/>
                <w:b/>
              </w:rPr>
              <w:t xml:space="preserve"> Resettlement, Compensation and Tenure </w:t>
            </w:r>
          </w:p>
        </w:tc>
        <w:tc>
          <w:tcPr>
            <w:tcW w:w="0" w:type="auto"/>
          </w:tcPr>
          <w:p w14:paraId="4365B015"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WB</w:t>
            </w:r>
          </w:p>
        </w:tc>
        <w:tc>
          <w:tcPr>
            <w:tcW w:w="1259" w:type="dxa"/>
          </w:tcPr>
          <w:p w14:paraId="2F20FC48"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1F7B2A27"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 xml:space="preserve">OP 4.12, Involuntary Resettlement </w:t>
            </w:r>
          </w:p>
        </w:tc>
      </w:tr>
      <w:tr w:rsidR="00CF59E1" w:rsidRPr="001A4B7B" w14:paraId="79025C19"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30C93B9E"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3300F3C4"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ADB</w:t>
            </w:r>
          </w:p>
        </w:tc>
        <w:tc>
          <w:tcPr>
            <w:tcW w:w="1259" w:type="dxa"/>
          </w:tcPr>
          <w:p w14:paraId="4694781A"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48D04560"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SR 2, Involuntary Resettlement</w:t>
            </w:r>
          </w:p>
        </w:tc>
      </w:tr>
      <w:tr w:rsidR="00CF59E1" w:rsidRPr="001A4B7B" w14:paraId="323D19DE"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6A941E52"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4F5C17B7"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IDB</w:t>
            </w:r>
          </w:p>
        </w:tc>
        <w:tc>
          <w:tcPr>
            <w:tcW w:w="1259" w:type="dxa"/>
          </w:tcPr>
          <w:p w14:paraId="1B069ED9"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6808BCBA"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OP-710, Involuntary Resettlement</w:t>
            </w:r>
          </w:p>
        </w:tc>
      </w:tr>
      <w:tr w:rsidR="00CF59E1" w:rsidRPr="001A4B7B" w14:paraId="17CB4074"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6D161B82"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042A3D78"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AfDB</w:t>
            </w:r>
          </w:p>
        </w:tc>
        <w:tc>
          <w:tcPr>
            <w:tcW w:w="1259" w:type="dxa"/>
          </w:tcPr>
          <w:p w14:paraId="6384E627"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7C7E63E5"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OS 2, Involuntary Resettlement, Land Acquisition, Population Displacement and Compensation</w:t>
            </w:r>
          </w:p>
        </w:tc>
      </w:tr>
      <w:tr w:rsidR="00CF59E1" w:rsidRPr="001A4B7B" w14:paraId="13AA29AB"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6B746A25"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6C18FCA2"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IFC</w:t>
            </w:r>
          </w:p>
        </w:tc>
        <w:tc>
          <w:tcPr>
            <w:tcW w:w="1259" w:type="dxa"/>
          </w:tcPr>
          <w:p w14:paraId="15A0C1F9"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533E2F51"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PS 5, Land Acquisition, Involuntary Resettlement and Economic Displacement</w:t>
            </w:r>
          </w:p>
        </w:tc>
      </w:tr>
      <w:tr w:rsidR="00CF59E1" w:rsidRPr="001A4B7B" w14:paraId="2AD4058A"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020D468A"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5257BF33"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EBRD</w:t>
            </w:r>
          </w:p>
        </w:tc>
        <w:tc>
          <w:tcPr>
            <w:tcW w:w="1259" w:type="dxa"/>
          </w:tcPr>
          <w:p w14:paraId="0B4EE1AC"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6C343B4E"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PR 5, Land Acquisition, Involuntary Resettlement and Economic Displacement</w:t>
            </w:r>
          </w:p>
        </w:tc>
      </w:tr>
      <w:tr w:rsidR="00CF59E1" w:rsidRPr="001A4B7B" w14:paraId="2215CF3B"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22E54FAF"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522EAA2A"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EIB</w:t>
            </w:r>
          </w:p>
        </w:tc>
        <w:tc>
          <w:tcPr>
            <w:tcW w:w="1259" w:type="dxa"/>
          </w:tcPr>
          <w:p w14:paraId="6342F2EF"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1A6EA753"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lang w:val="es-ES"/>
              </w:rPr>
              <w:t xml:space="preserve">ESS 6, </w:t>
            </w:r>
            <w:r w:rsidRPr="003E32E4">
              <w:rPr>
                <w:rFonts w:asciiTheme="minorHAnsi" w:hAnsiTheme="minorHAnsi"/>
              </w:rPr>
              <w:t>Involuntary</w:t>
            </w:r>
            <w:r w:rsidRPr="001A4B7B">
              <w:rPr>
                <w:rFonts w:asciiTheme="minorHAnsi" w:hAnsiTheme="minorHAnsi"/>
                <w:lang w:val="es-ES"/>
              </w:rPr>
              <w:t xml:space="preserve"> </w:t>
            </w:r>
            <w:r w:rsidRPr="003E32E4">
              <w:rPr>
                <w:rFonts w:asciiTheme="minorHAnsi" w:hAnsiTheme="minorHAnsi"/>
              </w:rPr>
              <w:t>Resettlement</w:t>
            </w:r>
          </w:p>
        </w:tc>
      </w:tr>
      <w:tr w:rsidR="00CF59E1" w:rsidRPr="001A4B7B" w14:paraId="04EA9363"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val="restart"/>
          </w:tcPr>
          <w:p w14:paraId="39BBC720"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b/>
              </w:rPr>
              <w:t xml:space="preserve">Indigenous Peoples </w:t>
            </w:r>
          </w:p>
        </w:tc>
        <w:tc>
          <w:tcPr>
            <w:tcW w:w="0" w:type="auto"/>
          </w:tcPr>
          <w:p w14:paraId="73D2F568"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WB</w:t>
            </w:r>
          </w:p>
        </w:tc>
        <w:tc>
          <w:tcPr>
            <w:tcW w:w="1259" w:type="dxa"/>
          </w:tcPr>
          <w:p w14:paraId="7F1D8E5D"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2BEB8218"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OP 4.10</w:t>
            </w:r>
            <w:r w:rsidRPr="001A4B7B">
              <w:rPr>
                <w:rFonts w:asciiTheme="minorHAnsi" w:hAnsiTheme="minorHAnsi" w:cstheme="minorHAnsi"/>
              </w:rPr>
              <w:t>,</w:t>
            </w:r>
            <w:r w:rsidRPr="001A4B7B">
              <w:rPr>
                <w:rFonts w:asciiTheme="minorHAnsi" w:hAnsiTheme="minorHAnsi"/>
              </w:rPr>
              <w:t xml:space="preserve"> Indigenous Peoples</w:t>
            </w:r>
          </w:p>
        </w:tc>
      </w:tr>
      <w:tr w:rsidR="00CF59E1" w:rsidRPr="001A4B7B" w14:paraId="5350E8D4"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3624E713"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40C1A0E3"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ADB</w:t>
            </w:r>
          </w:p>
        </w:tc>
        <w:tc>
          <w:tcPr>
            <w:tcW w:w="1259" w:type="dxa"/>
          </w:tcPr>
          <w:p w14:paraId="5F460E43"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1D9E0C77" w14:textId="77777777" w:rsidR="00CF59E1" w:rsidRPr="001A4B7B" w:rsidRDefault="00CF59E1" w:rsidP="00CF59E1">
            <w:pPr>
              <w:rPr>
                <w:rFonts w:asciiTheme="minorHAnsi" w:hAnsiTheme="minorHAnsi"/>
                <w:b/>
              </w:rPr>
            </w:pPr>
            <w:r w:rsidRPr="001A4B7B">
              <w:rPr>
                <w:rFonts w:asciiTheme="minorHAnsi" w:hAnsiTheme="minorHAnsi"/>
              </w:rPr>
              <w:t>SR 3</w:t>
            </w:r>
            <w:r w:rsidRPr="001A4B7B">
              <w:rPr>
                <w:rFonts w:asciiTheme="minorHAnsi" w:hAnsiTheme="minorHAnsi" w:cstheme="minorHAnsi"/>
              </w:rPr>
              <w:t>,</w:t>
            </w:r>
            <w:r w:rsidRPr="001A4B7B">
              <w:rPr>
                <w:rFonts w:asciiTheme="minorHAnsi" w:hAnsiTheme="minorHAnsi"/>
              </w:rPr>
              <w:t xml:space="preserve"> Indigenous Peoples </w:t>
            </w:r>
          </w:p>
        </w:tc>
      </w:tr>
      <w:tr w:rsidR="00CF59E1" w:rsidRPr="001A4B7B" w14:paraId="5D32FC6C"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6200DE50"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565D7FF9"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IDB</w:t>
            </w:r>
          </w:p>
        </w:tc>
        <w:tc>
          <w:tcPr>
            <w:tcW w:w="1259" w:type="dxa"/>
          </w:tcPr>
          <w:p w14:paraId="5C035649"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07121EC4"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OP-765,</w:t>
            </w:r>
            <w:r w:rsidRPr="001A4B7B">
              <w:rPr>
                <w:rFonts w:asciiTheme="minorHAnsi" w:hAnsiTheme="minorHAnsi"/>
                <w:b/>
              </w:rPr>
              <w:t xml:space="preserve"> </w:t>
            </w:r>
            <w:r w:rsidRPr="001A4B7B">
              <w:rPr>
                <w:rFonts w:asciiTheme="minorHAnsi" w:hAnsiTheme="minorHAnsi"/>
              </w:rPr>
              <w:t>Indigenous Peoples</w:t>
            </w:r>
          </w:p>
        </w:tc>
      </w:tr>
      <w:tr w:rsidR="00CF59E1" w:rsidRPr="001A4B7B" w14:paraId="6C690769"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080AB66C"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1E04F207"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AfDB</w:t>
            </w:r>
          </w:p>
        </w:tc>
        <w:tc>
          <w:tcPr>
            <w:tcW w:w="1259" w:type="dxa"/>
          </w:tcPr>
          <w:p w14:paraId="3EC5B123"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 (limited)</w:t>
            </w:r>
          </w:p>
        </w:tc>
        <w:tc>
          <w:tcPr>
            <w:tcW w:w="4698" w:type="dxa"/>
          </w:tcPr>
          <w:p w14:paraId="41296734" w14:textId="77777777" w:rsidR="00CF59E1" w:rsidRPr="001A4B7B" w:rsidRDefault="00CF59E1" w:rsidP="00CF59E1">
            <w:pPr>
              <w:pStyle w:val="Default"/>
              <w:rPr>
                <w:rFonts w:asciiTheme="minorHAnsi" w:hAnsiTheme="minorHAnsi"/>
                <w:b/>
              </w:rPr>
            </w:pPr>
            <w:r w:rsidRPr="001A4B7B">
              <w:rPr>
                <w:rFonts w:asciiTheme="minorHAnsi" w:hAnsiTheme="minorHAnsi"/>
                <w:sz w:val="22"/>
              </w:rPr>
              <w:t>OS 1, Environmental and Social Assessment</w:t>
            </w:r>
            <w:r w:rsidRPr="001A4B7B">
              <w:rPr>
                <w:rStyle w:val="FootnoteReference"/>
                <w:rFonts w:asciiTheme="minorHAnsi" w:hAnsiTheme="minorHAnsi"/>
                <w:sz w:val="22"/>
              </w:rPr>
              <w:footnoteReference w:id="110"/>
            </w:r>
            <w:r w:rsidRPr="001A4B7B">
              <w:rPr>
                <w:rFonts w:asciiTheme="minorHAnsi" w:hAnsiTheme="minorHAnsi"/>
                <w:sz w:val="22"/>
              </w:rPr>
              <w:t xml:space="preserve"> </w:t>
            </w:r>
          </w:p>
        </w:tc>
      </w:tr>
      <w:tr w:rsidR="00CF59E1" w:rsidRPr="001A4B7B" w14:paraId="2D3C26B7"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144E38F7"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17EC0BEA"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 xml:space="preserve">IFC </w:t>
            </w:r>
          </w:p>
        </w:tc>
        <w:tc>
          <w:tcPr>
            <w:tcW w:w="1259" w:type="dxa"/>
          </w:tcPr>
          <w:p w14:paraId="5591BB9D"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52D76B4C"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cstheme="minorHAnsi"/>
                <w:lang w:val="fr-FR"/>
              </w:rPr>
              <w:t>PS 7</w:t>
            </w:r>
            <w:r w:rsidRPr="001A4B7B">
              <w:rPr>
                <w:rFonts w:asciiTheme="minorHAnsi" w:hAnsiTheme="minorHAnsi"/>
                <w:lang w:val="fr-FR"/>
              </w:rPr>
              <w:t xml:space="preserve">, </w:t>
            </w:r>
            <w:r w:rsidRPr="003E32E4">
              <w:rPr>
                <w:rFonts w:asciiTheme="minorHAnsi" w:hAnsiTheme="minorHAnsi"/>
              </w:rPr>
              <w:t>Indigenous</w:t>
            </w:r>
            <w:r w:rsidRPr="001A4B7B">
              <w:rPr>
                <w:rFonts w:asciiTheme="minorHAnsi" w:hAnsiTheme="minorHAnsi"/>
                <w:lang w:val="fr-FR"/>
              </w:rPr>
              <w:t xml:space="preserve"> Peoples </w:t>
            </w:r>
          </w:p>
        </w:tc>
      </w:tr>
      <w:tr w:rsidR="00CF59E1" w:rsidRPr="001A4B7B" w14:paraId="07576170"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77A607BA"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37837530"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EBRD</w:t>
            </w:r>
          </w:p>
        </w:tc>
        <w:tc>
          <w:tcPr>
            <w:tcW w:w="1259" w:type="dxa"/>
          </w:tcPr>
          <w:p w14:paraId="49338DC6"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59D2CEE1"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lang w:val="fr-FR"/>
              </w:rPr>
              <w:t xml:space="preserve">PR 7, </w:t>
            </w:r>
            <w:r w:rsidRPr="003E32E4">
              <w:rPr>
                <w:rFonts w:asciiTheme="minorHAnsi" w:hAnsiTheme="minorHAnsi"/>
              </w:rPr>
              <w:t>Indigenous</w:t>
            </w:r>
            <w:r w:rsidRPr="001A4B7B">
              <w:rPr>
                <w:rFonts w:asciiTheme="minorHAnsi" w:hAnsiTheme="minorHAnsi"/>
                <w:lang w:val="fr-FR"/>
              </w:rPr>
              <w:t xml:space="preserve"> Peoples</w:t>
            </w:r>
          </w:p>
        </w:tc>
      </w:tr>
      <w:tr w:rsidR="00CF59E1" w:rsidRPr="001A4B7B" w14:paraId="2333DA70"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3E41B50B"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79CB390A"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EIB</w:t>
            </w:r>
          </w:p>
        </w:tc>
        <w:tc>
          <w:tcPr>
            <w:tcW w:w="1259" w:type="dxa"/>
          </w:tcPr>
          <w:p w14:paraId="045830DE"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46576E6B"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ESS 7, Rights and Interests of Vulnerable Groups</w:t>
            </w:r>
          </w:p>
        </w:tc>
      </w:tr>
      <w:tr w:rsidR="00CF59E1" w:rsidRPr="001A4B7B" w14:paraId="0A654080"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val="restart"/>
          </w:tcPr>
          <w:p w14:paraId="174FACD1"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b/>
              </w:rPr>
              <w:t>Free</w:t>
            </w:r>
            <w:r>
              <w:rPr>
                <w:rFonts w:asciiTheme="minorHAnsi" w:hAnsiTheme="minorHAnsi"/>
                <w:b/>
              </w:rPr>
              <w:t>,</w:t>
            </w:r>
            <w:r w:rsidRPr="001A4B7B">
              <w:rPr>
                <w:rFonts w:asciiTheme="minorHAnsi" w:hAnsiTheme="minorHAnsi"/>
                <w:b/>
              </w:rPr>
              <w:t xml:space="preserve"> Prior </w:t>
            </w:r>
            <w:r>
              <w:rPr>
                <w:rFonts w:asciiTheme="minorHAnsi" w:hAnsiTheme="minorHAnsi"/>
                <w:b/>
              </w:rPr>
              <w:t xml:space="preserve">and </w:t>
            </w:r>
            <w:r w:rsidRPr="001A4B7B">
              <w:rPr>
                <w:rFonts w:asciiTheme="minorHAnsi" w:hAnsiTheme="minorHAnsi"/>
                <w:b/>
              </w:rPr>
              <w:t>Informed Consent (FPIC)</w:t>
            </w:r>
          </w:p>
        </w:tc>
        <w:tc>
          <w:tcPr>
            <w:tcW w:w="0" w:type="auto"/>
          </w:tcPr>
          <w:p w14:paraId="66A59541"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WB</w:t>
            </w:r>
          </w:p>
        </w:tc>
        <w:tc>
          <w:tcPr>
            <w:tcW w:w="1259" w:type="dxa"/>
          </w:tcPr>
          <w:p w14:paraId="795BDBD1" w14:textId="77777777" w:rsidR="00CF59E1" w:rsidRPr="001A4B7B" w:rsidRDefault="00CF59E1" w:rsidP="00CF59E1">
            <w:pPr>
              <w:rPr>
                <w:rFonts w:asciiTheme="minorHAnsi" w:hAnsiTheme="minorHAnsi"/>
              </w:rPr>
            </w:pPr>
            <w:r w:rsidRPr="001A4B7B">
              <w:rPr>
                <w:rFonts w:asciiTheme="minorHAnsi" w:hAnsiTheme="minorHAnsi"/>
              </w:rPr>
              <w:t>No</w:t>
            </w:r>
            <w:r w:rsidRPr="001A4B7B">
              <w:rPr>
                <w:rStyle w:val="FootnoteReference"/>
                <w:rFonts w:asciiTheme="minorHAnsi" w:hAnsiTheme="minorHAnsi"/>
              </w:rPr>
              <w:footnoteReference w:id="111"/>
            </w:r>
          </w:p>
        </w:tc>
        <w:tc>
          <w:tcPr>
            <w:tcW w:w="4698" w:type="dxa"/>
          </w:tcPr>
          <w:p w14:paraId="540CCEC5" w14:textId="77777777" w:rsidR="00CF59E1" w:rsidRPr="001A4B7B" w:rsidRDefault="00CF59E1" w:rsidP="00CF59E1">
            <w:pPr>
              <w:rPr>
                <w:rFonts w:asciiTheme="minorHAnsi" w:hAnsiTheme="minorHAnsi"/>
                <w:b/>
              </w:rPr>
            </w:pPr>
          </w:p>
        </w:tc>
      </w:tr>
      <w:tr w:rsidR="00CF59E1" w:rsidRPr="001A4B7B" w14:paraId="60157470"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69681550"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59067B59"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ADB</w:t>
            </w:r>
          </w:p>
        </w:tc>
        <w:tc>
          <w:tcPr>
            <w:tcW w:w="1259" w:type="dxa"/>
          </w:tcPr>
          <w:p w14:paraId="68B6E4A3" w14:textId="77777777" w:rsidR="00CF59E1" w:rsidRPr="001A4B7B" w:rsidRDefault="00CF59E1" w:rsidP="00CF59E1">
            <w:pPr>
              <w:rPr>
                <w:rFonts w:asciiTheme="minorHAnsi" w:hAnsiTheme="minorHAnsi"/>
              </w:rPr>
            </w:pPr>
            <w:r w:rsidRPr="001A4B7B">
              <w:rPr>
                <w:rFonts w:asciiTheme="minorHAnsi" w:hAnsiTheme="minorHAnsi"/>
              </w:rPr>
              <w:t>No</w:t>
            </w:r>
            <w:r w:rsidRPr="001A4B7B">
              <w:rPr>
                <w:rStyle w:val="FootnoteReference"/>
                <w:rFonts w:asciiTheme="minorHAnsi" w:hAnsiTheme="minorHAnsi"/>
              </w:rPr>
              <w:footnoteReference w:id="112"/>
            </w:r>
          </w:p>
        </w:tc>
        <w:tc>
          <w:tcPr>
            <w:tcW w:w="4698" w:type="dxa"/>
          </w:tcPr>
          <w:p w14:paraId="4B6E4337" w14:textId="77777777" w:rsidR="00CF59E1" w:rsidRPr="001A4B7B" w:rsidRDefault="00CF59E1" w:rsidP="00CF59E1">
            <w:pPr>
              <w:rPr>
                <w:rFonts w:asciiTheme="minorHAnsi" w:hAnsiTheme="minorHAnsi"/>
              </w:rPr>
            </w:pPr>
          </w:p>
        </w:tc>
      </w:tr>
      <w:tr w:rsidR="00CF59E1" w:rsidRPr="001A4B7B" w14:paraId="69475F66"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3220D643"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30C89F8F"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IDB</w:t>
            </w:r>
          </w:p>
        </w:tc>
        <w:tc>
          <w:tcPr>
            <w:tcW w:w="1259" w:type="dxa"/>
          </w:tcPr>
          <w:p w14:paraId="1B9DF4E9" w14:textId="77777777" w:rsidR="00CF59E1" w:rsidRPr="001A4B7B" w:rsidRDefault="00CF59E1" w:rsidP="00CF59E1">
            <w:pPr>
              <w:rPr>
                <w:rFonts w:asciiTheme="minorHAnsi" w:hAnsiTheme="minorHAnsi"/>
              </w:rPr>
            </w:pPr>
            <w:r w:rsidRPr="001A4B7B">
              <w:rPr>
                <w:rFonts w:asciiTheme="minorHAnsi" w:hAnsiTheme="minorHAnsi"/>
              </w:rPr>
              <w:t xml:space="preserve">Yes (very limited) </w:t>
            </w:r>
          </w:p>
        </w:tc>
        <w:tc>
          <w:tcPr>
            <w:tcW w:w="4698" w:type="dxa"/>
          </w:tcPr>
          <w:p w14:paraId="15C95ED2" w14:textId="77777777" w:rsidR="00CF59E1" w:rsidRPr="001A4B7B" w:rsidRDefault="00CF59E1" w:rsidP="00CF59E1">
            <w:pPr>
              <w:rPr>
                <w:rFonts w:asciiTheme="minorHAnsi" w:hAnsiTheme="minorHAnsi"/>
              </w:rPr>
            </w:pPr>
            <w:r w:rsidRPr="001A4B7B">
              <w:rPr>
                <w:rFonts w:asciiTheme="minorHAnsi" w:hAnsiTheme="minorHAnsi"/>
              </w:rPr>
              <w:t>OP-765, Indigenous Peoples</w:t>
            </w:r>
            <w:r w:rsidRPr="001A4B7B">
              <w:rPr>
                <w:rStyle w:val="FootnoteReference"/>
                <w:rFonts w:asciiTheme="minorHAnsi" w:hAnsiTheme="minorHAnsi" w:cstheme="minorHAnsi"/>
                <w:sz w:val="24"/>
                <w:szCs w:val="24"/>
              </w:rPr>
              <w:footnoteReference w:id="113"/>
            </w:r>
          </w:p>
        </w:tc>
      </w:tr>
      <w:tr w:rsidR="00CF59E1" w:rsidRPr="001A4B7B" w14:paraId="72A09251"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7223C656"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617CBBDD"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AfDB</w:t>
            </w:r>
          </w:p>
        </w:tc>
        <w:tc>
          <w:tcPr>
            <w:tcW w:w="1259" w:type="dxa"/>
          </w:tcPr>
          <w:p w14:paraId="093FF969" w14:textId="77777777" w:rsidR="00CF59E1" w:rsidRPr="001A4B7B" w:rsidRDefault="00CF59E1" w:rsidP="00CF59E1">
            <w:pPr>
              <w:rPr>
                <w:rFonts w:asciiTheme="minorHAnsi" w:hAnsiTheme="minorHAnsi"/>
              </w:rPr>
            </w:pPr>
            <w:r w:rsidRPr="001A4B7B">
              <w:rPr>
                <w:rFonts w:asciiTheme="minorHAnsi" w:hAnsiTheme="minorHAnsi"/>
              </w:rPr>
              <w:t>No</w:t>
            </w:r>
          </w:p>
        </w:tc>
        <w:tc>
          <w:tcPr>
            <w:tcW w:w="4698" w:type="dxa"/>
          </w:tcPr>
          <w:p w14:paraId="764FE8BD" w14:textId="77777777" w:rsidR="00CF59E1" w:rsidRPr="001A4B7B" w:rsidRDefault="00CF59E1" w:rsidP="00CF59E1">
            <w:pPr>
              <w:rPr>
                <w:rFonts w:asciiTheme="minorHAnsi" w:hAnsiTheme="minorHAnsi"/>
              </w:rPr>
            </w:pPr>
          </w:p>
        </w:tc>
      </w:tr>
      <w:tr w:rsidR="00CF59E1" w:rsidRPr="001A4B7B" w14:paraId="195EFBD8"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151A30C7"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28CE05CE"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IFC</w:t>
            </w:r>
          </w:p>
        </w:tc>
        <w:tc>
          <w:tcPr>
            <w:tcW w:w="1259" w:type="dxa"/>
          </w:tcPr>
          <w:p w14:paraId="02C17C91"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53D47A27" w14:textId="77777777" w:rsidR="00CF59E1" w:rsidRPr="001A4B7B" w:rsidRDefault="00CF59E1" w:rsidP="00CF59E1">
            <w:pPr>
              <w:pStyle w:val="Default"/>
              <w:rPr>
                <w:rFonts w:asciiTheme="minorHAnsi" w:hAnsiTheme="minorHAnsi"/>
              </w:rPr>
            </w:pPr>
            <w:r w:rsidRPr="001A4B7B">
              <w:rPr>
                <w:rFonts w:asciiTheme="minorHAnsi" w:hAnsiTheme="minorHAnsi"/>
                <w:sz w:val="22"/>
              </w:rPr>
              <w:t>PS 7, Indigenous Peoples</w:t>
            </w:r>
            <w:r w:rsidRPr="001A4B7B">
              <w:rPr>
                <w:rStyle w:val="FootnoteReference"/>
                <w:rFonts w:asciiTheme="minorHAnsi" w:hAnsiTheme="minorHAnsi" w:cstheme="minorHAnsi"/>
              </w:rPr>
              <w:footnoteReference w:id="114"/>
            </w:r>
          </w:p>
        </w:tc>
      </w:tr>
      <w:tr w:rsidR="00CF59E1" w:rsidRPr="001A4B7B" w14:paraId="6A413618"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6BF0577F"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7E598EA8"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EBRD</w:t>
            </w:r>
          </w:p>
        </w:tc>
        <w:tc>
          <w:tcPr>
            <w:tcW w:w="1259" w:type="dxa"/>
          </w:tcPr>
          <w:p w14:paraId="4CC2B60C"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64CEBD4E"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PR 7 Indigenous Peoples</w:t>
            </w:r>
            <w:r w:rsidRPr="001A4B7B">
              <w:rPr>
                <w:rStyle w:val="FootnoteReference"/>
                <w:rFonts w:asciiTheme="minorHAnsi" w:hAnsiTheme="minorHAnsi" w:cstheme="minorHAnsi"/>
                <w:sz w:val="24"/>
                <w:szCs w:val="24"/>
              </w:rPr>
              <w:footnoteReference w:id="115"/>
            </w:r>
          </w:p>
        </w:tc>
      </w:tr>
      <w:tr w:rsidR="00CF59E1" w:rsidRPr="001A4B7B" w14:paraId="5A779304"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62C531F9"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421B15F1"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EIB</w:t>
            </w:r>
          </w:p>
        </w:tc>
        <w:tc>
          <w:tcPr>
            <w:tcW w:w="1259" w:type="dxa"/>
          </w:tcPr>
          <w:p w14:paraId="24259B64"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51C700D3" w14:textId="77777777" w:rsidR="00CF59E1" w:rsidRPr="001A4B7B" w:rsidRDefault="00CF59E1" w:rsidP="00CF59E1">
            <w:pPr>
              <w:tabs>
                <w:tab w:val="left" w:pos="7785"/>
              </w:tabs>
              <w:rPr>
                <w:rFonts w:asciiTheme="minorHAnsi" w:hAnsiTheme="minorHAnsi"/>
              </w:rPr>
            </w:pPr>
            <w:r w:rsidRPr="001A4B7B">
              <w:rPr>
                <w:rFonts w:asciiTheme="minorHAnsi" w:hAnsiTheme="minorHAnsi"/>
              </w:rPr>
              <w:t>ESS 7, Rights and Interests of Vulnerable Groups;</w:t>
            </w:r>
            <w:r w:rsidRPr="001A4B7B">
              <w:rPr>
                <w:rFonts w:asciiTheme="minorHAnsi" w:hAnsiTheme="minorHAnsi" w:cstheme="minorHAnsi"/>
              </w:rPr>
              <w:t xml:space="preserve"> </w:t>
            </w:r>
            <w:r w:rsidRPr="001A4B7B">
              <w:rPr>
                <w:rFonts w:asciiTheme="minorHAnsi" w:hAnsiTheme="minorHAnsi"/>
              </w:rPr>
              <w:t>ESS 10, Stakeholder Engagement</w:t>
            </w:r>
          </w:p>
        </w:tc>
      </w:tr>
      <w:tr w:rsidR="00CF59E1" w:rsidRPr="001A4B7B" w14:paraId="5B854E46"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val="restart"/>
          </w:tcPr>
          <w:p w14:paraId="384FDDAA"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b/>
              </w:rPr>
              <w:t xml:space="preserve">Gender </w:t>
            </w:r>
          </w:p>
        </w:tc>
        <w:tc>
          <w:tcPr>
            <w:tcW w:w="0" w:type="auto"/>
          </w:tcPr>
          <w:p w14:paraId="6AF79B19"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WB</w:t>
            </w:r>
          </w:p>
        </w:tc>
        <w:tc>
          <w:tcPr>
            <w:tcW w:w="1259" w:type="dxa"/>
          </w:tcPr>
          <w:p w14:paraId="3805EDD7" w14:textId="77777777" w:rsidR="00CF59E1" w:rsidRPr="001A4B7B" w:rsidRDefault="00CF59E1" w:rsidP="00CF59E1">
            <w:pPr>
              <w:rPr>
                <w:rFonts w:asciiTheme="minorHAnsi" w:hAnsiTheme="minorHAnsi"/>
              </w:rPr>
            </w:pPr>
            <w:r w:rsidRPr="001A4B7B">
              <w:rPr>
                <w:rFonts w:asciiTheme="minorHAnsi" w:hAnsiTheme="minorHAnsi"/>
              </w:rPr>
              <w:t xml:space="preserve">Yes </w:t>
            </w:r>
          </w:p>
        </w:tc>
        <w:tc>
          <w:tcPr>
            <w:tcW w:w="4698" w:type="dxa"/>
          </w:tcPr>
          <w:p w14:paraId="56823057"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OP 4.12, Involuntary Resettlement; OP 4.10, Indigenous Peoples; OP 4.20, Gender</w:t>
            </w:r>
            <w:r w:rsidRPr="001A4B7B">
              <w:rPr>
                <w:rStyle w:val="FootnoteReference"/>
                <w:rFonts w:asciiTheme="minorHAnsi" w:hAnsiTheme="minorHAnsi"/>
              </w:rPr>
              <w:footnoteReference w:id="116"/>
            </w:r>
          </w:p>
        </w:tc>
      </w:tr>
      <w:tr w:rsidR="00CF59E1" w:rsidRPr="001A4B7B" w14:paraId="754703B8"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2418B703"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6331B0ED"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ADB</w:t>
            </w:r>
          </w:p>
          <w:p w14:paraId="045D4ED7" w14:textId="77777777" w:rsidR="00CF59E1" w:rsidRPr="001A4B7B" w:rsidRDefault="00CF59E1" w:rsidP="00CF59E1">
            <w:pPr>
              <w:tabs>
                <w:tab w:val="left" w:pos="1710"/>
              </w:tabs>
              <w:autoSpaceDE/>
              <w:autoSpaceDN/>
              <w:adjustRightInd/>
              <w:rPr>
                <w:rFonts w:asciiTheme="minorHAnsi" w:hAnsiTheme="minorHAnsi"/>
              </w:rPr>
            </w:pPr>
          </w:p>
        </w:tc>
        <w:tc>
          <w:tcPr>
            <w:tcW w:w="1259" w:type="dxa"/>
          </w:tcPr>
          <w:p w14:paraId="0AA64050"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26FDE500" w14:textId="77777777" w:rsidR="00CF59E1" w:rsidRPr="001A4B7B" w:rsidRDefault="00CF59E1" w:rsidP="00CF59E1">
            <w:pPr>
              <w:tabs>
                <w:tab w:val="left" w:pos="1710"/>
              </w:tabs>
              <w:rPr>
                <w:rFonts w:asciiTheme="minorHAnsi" w:hAnsiTheme="minorHAnsi"/>
                <w:b/>
              </w:rPr>
            </w:pPr>
            <w:r w:rsidRPr="001A4B7B">
              <w:rPr>
                <w:rFonts w:asciiTheme="minorHAnsi" w:hAnsiTheme="minorHAnsi"/>
              </w:rPr>
              <w:t>Policy on Gender and Development (2003) and Operations Manual: C2 (2010): Gender and Development; SR 2, Involuntary Resettlement</w:t>
            </w:r>
            <w:r w:rsidRPr="001A4B7B">
              <w:rPr>
                <w:rFonts w:asciiTheme="minorHAnsi" w:hAnsiTheme="minorHAnsi" w:cstheme="minorHAnsi"/>
              </w:rPr>
              <w:t>;</w:t>
            </w:r>
            <w:r w:rsidRPr="001A4B7B">
              <w:rPr>
                <w:rFonts w:asciiTheme="minorHAnsi" w:hAnsiTheme="minorHAnsi"/>
              </w:rPr>
              <w:t xml:space="preserve"> and SR 3, Indigenous Peoples</w:t>
            </w:r>
          </w:p>
        </w:tc>
      </w:tr>
      <w:tr w:rsidR="00CF59E1" w:rsidRPr="001A4B7B" w14:paraId="36925E37"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40669810"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3AE47F25"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IDB</w:t>
            </w:r>
          </w:p>
        </w:tc>
        <w:tc>
          <w:tcPr>
            <w:tcW w:w="1259" w:type="dxa"/>
          </w:tcPr>
          <w:p w14:paraId="6AEE8668"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5BA7270F" w14:textId="77777777" w:rsidR="00CF59E1" w:rsidRPr="001A4B7B" w:rsidRDefault="00CF59E1" w:rsidP="00CF59E1">
            <w:pPr>
              <w:tabs>
                <w:tab w:val="left" w:pos="1710"/>
              </w:tabs>
              <w:rPr>
                <w:rFonts w:asciiTheme="minorHAnsi" w:hAnsiTheme="minorHAnsi"/>
                <w:b/>
              </w:rPr>
            </w:pPr>
            <w:r w:rsidRPr="001A4B7B">
              <w:rPr>
                <w:rFonts w:asciiTheme="minorHAnsi" w:hAnsiTheme="minorHAnsi"/>
              </w:rPr>
              <w:t xml:space="preserve">Gender Equality in Development: Operational Policy (2010) </w:t>
            </w:r>
          </w:p>
        </w:tc>
      </w:tr>
      <w:tr w:rsidR="00CF59E1" w:rsidRPr="001A4B7B" w14:paraId="5B6DF324"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28352FCF"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1B77EB26"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AfDB</w:t>
            </w:r>
          </w:p>
        </w:tc>
        <w:tc>
          <w:tcPr>
            <w:tcW w:w="1259" w:type="dxa"/>
          </w:tcPr>
          <w:p w14:paraId="6284C733"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1ADAEAC9"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OS 1, Environmental and Social Assessment</w:t>
            </w:r>
          </w:p>
        </w:tc>
      </w:tr>
      <w:tr w:rsidR="00CF59E1" w:rsidRPr="001A4B7B" w14:paraId="02C9D751" w14:textId="77777777" w:rsidTr="00CF59E1">
        <w:trPr>
          <w:cnfStyle w:val="000000100000" w:firstRow="0" w:lastRow="0" w:firstColumn="0" w:lastColumn="0" w:oddVBand="0" w:evenVBand="0" w:oddHBand="1" w:evenHBand="0" w:firstRowFirstColumn="0" w:firstRowLastColumn="0" w:lastRowFirstColumn="0" w:lastRowLastColumn="0"/>
          <w:trHeight w:val="503"/>
        </w:trPr>
        <w:tc>
          <w:tcPr>
            <w:tcW w:w="0" w:type="auto"/>
            <w:vMerge/>
          </w:tcPr>
          <w:p w14:paraId="241588EB"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693254DE"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IFC</w:t>
            </w:r>
          </w:p>
        </w:tc>
        <w:tc>
          <w:tcPr>
            <w:tcW w:w="1259" w:type="dxa"/>
          </w:tcPr>
          <w:p w14:paraId="4AEEBD03"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43D5F94D"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Sustainab</w:t>
            </w:r>
            <w:r>
              <w:rPr>
                <w:rFonts w:asciiTheme="minorHAnsi" w:hAnsiTheme="minorHAnsi"/>
              </w:rPr>
              <w:t>ility Policy;</w:t>
            </w:r>
            <w:r w:rsidRPr="001A4B7B">
              <w:rPr>
                <w:rFonts w:asciiTheme="minorHAnsi" w:hAnsiTheme="minorHAnsi"/>
              </w:rPr>
              <w:t xml:space="preserve"> </w:t>
            </w:r>
            <w:r w:rsidRPr="001A4B7B">
              <w:rPr>
                <w:rFonts w:asciiTheme="minorHAnsi" w:hAnsiTheme="minorHAnsi" w:cstheme="minorHAnsi"/>
              </w:rPr>
              <w:t xml:space="preserve">PS 1, </w:t>
            </w:r>
            <w:r w:rsidRPr="001A4B7B">
              <w:rPr>
                <w:rFonts w:asciiTheme="minorHAnsi" w:hAnsiTheme="minorHAnsi"/>
              </w:rPr>
              <w:t>Assessment and Management of Environmental and Social Impacts and Risks; PS 2, Labor and Working Conditions; PS 5,</w:t>
            </w:r>
            <w:r w:rsidRPr="001A4B7B">
              <w:rPr>
                <w:rFonts w:asciiTheme="minorHAnsi" w:hAnsiTheme="minorHAnsi" w:cstheme="minorHAnsi"/>
              </w:rPr>
              <w:t xml:space="preserve"> </w:t>
            </w:r>
            <w:r w:rsidRPr="001A4B7B">
              <w:rPr>
                <w:rFonts w:asciiTheme="minorHAnsi" w:hAnsiTheme="minorHAnsi"/>
              </w:rPr>
              <w:t>Land Acquisition and Involuntary Resettlement</w:t>
            </w:r>
            <w:r w:rsidRPr="001A4B7B">
              <w:rPr>
                <w:rFonts w:asciiTheme="minorHAnsi" w:hAnsiTheme="minorHAnsi" w:cstheme="minorHAnsi"/>
              </w:rPr>
              <w:t>;</w:t>
            </w:r>
            <w:r w:rsidRPr="001A4B7B">
              <w:rPr>
                <w:rFonts w:asciiTheme="minorHAnsi" w:hAnsiTheme="minorHAnsi"/>
              </w:rPr>
              <w:t xml:space="preserve"> and PS 7, Indigenous Peoples </w:t>
            </w:r>
          </w:p>
        </w:tc>
      </w:tr>
      <w:tr w:rsidR="00CF59E1" w:rsidRPr="001A4B7B" w14:paraId="71462FDF"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1455F7D3"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41111260"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EBRD</w:t>
            </w:r>
          </w:p>
        </w:tc>
        <w:tc>
          <w:tcPr>
            <w:tcW w:w="1259" w:type="dxa"/>
          </w:tcPr>
          <w:p w14:paraId="46FACA9C"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1E3BA56E"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lang w:val="en-GB"/>
              </w:rPr>
              <w:t>PR 1</w:t>
            </w:r>
            <w:r w:rsidRPr="001A4B7B">
              <w:rPr>
                <w:rFonts w:asciiTheme="minorHAnsi" w:hAnsiTheme="minorHAnsi" w:cstheme="minorHAnsi"/>
                <w:lang w:val="en-GB"/>
              </w:rPr>
              <w:t>,</w:t>
            </w:r>
            <w:r w:rsidRPr="001A4B7B">
              <w:rPr>
                <w:rFonts w:asciiTheme="minorHAnsi" w:hAnsiTheme="minorHAnsi"/>
                <w:lang w:val="en-GB"/>
              </w:rPr>
              <w:t xml:space="preserve"> </w:t>
            </w:r>
            <w:r w:rsidRPr="001A4B7B">
              <w:rPr>
                <w:rFonts w:asciiTheme="minorHAnsi" w:hAnsiTheme="minorHAnsi"/>
              </w:rPr>
              <w:t>Assessment and Management of Environmental and Social Impacts and Issues</w:t>
            </w:r>
            <w:r w:rsidRPr="001A4B7B">
              <w:rPr>
                <w:rFonts w:asciiTheme="minorHAnsi" w:hAnsiTheme="minorHAnsi"/>
                <w:lang w:val="en-GB"/>
              </w:rPr>
              <w:t>; PR 2,</w:t>
            </w:r>
            <w:r w:rsidRPr="001A4B7B">
              <w:rPr>
                <w:rFonts w:asciiTheme="minorHAnsi" w:hAnsiTheme="minorHAnsi" w:cstheme="minorHAnsi"/>
                <w:lang w:val="en-GB"/>
              </w:rPr>
              <w:t xml:space="preserve"> </w:t>
            </w:r>
            <w:r w:rsidRPr="001A4B7B">
              <w:rPr>
                <w:rFonts w:asciiTheme="minorHAnsi" w:hAnsiTheme="minorHAnsi"/>
                <w:lang w:val="en-GB"/>
              </w:rPr>
              <w:t>Labour and Working Conditions; PR 4</w:t>
            </w:r>
            <w:r w:rsidRPr="001A4B7B">
              <w:rPr>
                <w:rFonts w:asciiTheme="minorHAnsi" w:hAnsiTheme="minorHAnsi" w:cstheme="minorHAnsi"/>
                <w:lang w:val="en-GB"/>
              </w:rPr>
              <w:t xml:space="preserve">, </w:t>
            </w:r>
            <w:r w:rsidRPr="001A4B7B">
              <w:rPr>
                <w:rFonts w:asciiTheme="minorHAnsi" w:hAnsiTheme="minorHAnsi"/>
                <w:lang w:val="en-GB"/>
              </w:rPr>
              <w:t>Health and Safety; PR 5,</w:t>
            </w:r>
            <w:r w:rsidRPr="001A4B7B">
              <w:rPr>
                <w:rFonts w:asciiTheme="minorHAnsi" w:hAnsiTheme="minorHAnsi" w:cstheme="minorHAnsi"/>
                <w:lang w:val="en-GB"/>
              </w:rPr>
              <w:t xml:space="preserve"> </w:t>
            </w:r>
            <w:r w:rsidRPr="001A4B7B">
              <w:rPr>
                <w:rFonts w:asciiTheme="minorHAnsi" w:hAnsiTheme="minorHAnsi"/>
                <w:lang w:val="en-GB"/>
              </w:rPr>
              <w:t>Land Acquisition, Involuntary Resettlement and Economic Displacement; PR7, Indigenous Peoples; and PR 10, Information Disclosure and Stakeholder Engagement</w:t>
            </w:r>
          </w:p>
        </w:tc>
      </w:tr>
      <w:tr w:rsidR="00CF59E1" w:rsidRPr="001A4B7B" w14:paraId="7984137E"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2CA75FB8"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2C0FEA4A"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EIB</w:t>
            </w:r>
          </w:p>
        </w:tc>
        <w:tc>
          <w:tcPr>
            <w:tcW w:w="1259" w:type="dxa"/>
          </w:tcPr>
          <w:p w14:paraId="799BE78E" w14:textId="77777777" w:rsidR="00CF59E1" w:rsidRPr="001A4B7B" w:rsidRDefault="00CF59E1" w:rsidP="00CF59E1">
            <w:pPr>
              <w:rPr>
                <w:rFonts w:asciiTheme="minorHAnsi" w:hAnsiTheme="minorHAnsi"/>
              </w:rPr>
            </w:pPr>
            <w:r w:rsidRPr="001A4B7B">
              <w:rPr>
                <w:rFonts w:asciiTheme="minorHAnsi" w:hAnsiTheme="minorHAnsi"/>
              </w:rPr>
              <w:t>Yes</w:t>
            </w:r>
          </w:p>
        </w:tc>
        <w:tc>
          <w:tcPr>
            <w:tcW w:w="4698" w:type="dxa"/>
          </w:tcPr>
          <w:p w14:paraId="6D0F2825"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ESS 7, Rights and Interests of Vulnerable Groups</w:t>
            </w:r>
          </w:p>
        </w:tc>
      </w:tr>
      <w:tr w:rsidR="00CF59E1" w:rsidRPr="001A4B7B" w14:paraId="1355F285"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val="restart"/>
          </w:tcPr>
          <w:p w14:paraId="5AECB2F2"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b/>
              </w:rPr>
              <w:t>Disability</w:t>
            </w:r>
          </w:p>
        </w:tc>
        <w:tc>
          <w:tcPr>
            <w:tcW w:w="0" w:type="auto"/>
          </w:tcPr>
          <w:p w14:paraId="4599D697"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WB</w:t>
            </w:r>
          </w:p>
        </w:tc>
        <w:tc>
          <w:tcPr>
            <w:tcW w:w="1259" w:type="dxa"/>
          </w:tcPr>
          <w:p w14:paraId="39CA2F2E"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No</w:t>
            </w:r>
          </w:p>
        </w:tc>
        <w:tc>
          <w:tcPr>
            <w:tcW w:w="4698" w:type="dxa"/>
          </w:tcPr>
          <w:p w14:paraId="1C80C6C3" w14:textId="77777777" w:rsidR="00CF59E1" w:rsidRPr="001A4B7B" w:rsidRDefault="00CF59E1" w:rsidP="00CF59E1">
            <w:pPr>
              <w:tabs>
                <w:tab w:val="left" w:pos="1710"/>
              </w:tabs>
              <w:autoSpaceDE/>
              <w:autoSpaceDN/>
              <w:adjustRightInd/>
              <w:rPr>
                <w:rFonts w:asciiTheme="minorHAnsi" w:hAnsiTheme="minorHAnsi"/>
                <w:b/>
              </w:rPr>
            </w:pPr>
          </w:p>
        </w:tc>
      </w:tr>
      <w:tr w:rsidR="00CF59E1" w:rsidRPr="001A4B7B" w14:paraId="1D3F0447"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63459D53"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00B15E29"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ADB</w:t>
            </w:r>
          </w:p>
        </w:tc>
        <w:tc>
          <w:tcPr>
            <w:tcW w:w="1259" w:type="dxa"/>
          </w:tcPr>
          <w:p w14:paraId="2F75F8AD"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No</w:t>
            </w:r>
          </w:p>
        </w:tc>
        <w:tc>
          <w:tcPr>
            <w:tcW w:w="4698" w:type="dxa"/>
          </w:tcPr>
          <w:p w14:paraId="5BD1DE03" w14:textId="77777777" w:rsidR="00CF59E1" w:rsidRPr="001A4B7B" w:rsidRDefault="00CF59E1" w:rsidP="00CF59E1">
            <w:pPr>
              <w:tabs>
                <w:tab w:val="left" w:pos="1710"/>
              </w:tabs>
              <w:autoSpaceDE/>
              <w:autoSpaceDN/>
              <w:adjustRightInd/>
              <w:rPr>
                <w:rFonts w:asciiTheme="minorHAnsi" w:hAnsiTheme="minorHAnsi"/>
                <w:b/>
              </w:rPr>
            </w:pPr>
          </w:p>
        </w:tc>
      </w:tr>
      <w:tr w:rsidR="00CF59E1" w:rsidRPr="001A4B7B" w14:paraId="32978FF1"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1593D83C"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63DB315D"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IDB</w:t>
            </w:r>
          </w:p>
        </w:tc>
        <w:tc>
          <w:tcPr>
            <w:tcW w:w="1259" w:type="dxa"/>
          </w:tcPr>
          <w:p w14:paraId="6B01A622"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No</w:t>
            </w:r>
          </w:p>
        </w:tc>
        <w:tc>
          <w:tcPr>
            <w:tcW w:w="4698" w:type="dxa"/>
          </w:tcPr>
          <w:p w14:paraId="394F4F07" w14:textId="77777777" w:rsidR="00CF59E1" w:rsidRPr="001A4B7B" w:rsidRDefault="00CF59E1" w:rsidP="00CF59E1">
            <w:pPr>
              <w:tabs>
                <w:tab w:val="left" w:pos="1710"/>
              </w:tabs>
              <w:autoSpaceDE/>
              <w:autoSpaceDN/>
              <w:adjustRightInd/>
              <w:rPr>
                <w:rFonts w:asciiTheme="minorHAnsi" w:hAnsiTheme="minorHAnsi"/>
                <w:b/>
              </w:rPr>
            </w:pPr>
          </w:p>
        </w:tc>
      </w:tr>
      <w:tr w:rsidR="00CF59E1" w:rsidRPr="001A4B7B" w14:paraId="76E66868"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7B79E691"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0E8F3699"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AfDB</w:t>
            </w:r>
          </w:p>
        </w:tc>
        <w:tc>
          <w:tcPr>
            <w:tcW w:w="1259" w:type="dxa"/>
          </w:tcPr>
          <w:p w14:paraId="272E510B"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36E7D515"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OS 1, Environmental and Social Assessment includes the “physically handicapped” among categories of “vulnerable groups</w:t>
            </w:r>
            <w:r w:rsidRPr="001A4B7B">
              <w:rPr>
                <w:rFonts w:asciiTheme="minorHAnsi" w:hAnsiTheme="minorHAnsi" w:cstheme="minorHAnsi"/>
              </w:rPr>
              <w:t>”</w:t>
            </w:r>
            <w:r w:rsidRPr="001A4B7B">
              <w:rPr>
                <w:rFonts w:asciiTheme="minorHAnsi" w:hAnsiTheme="minorHAnsi"/>
                <w:b/>
              </w:rPr>
              <w:t xml:space="preserve"> </w:t>
            </w:r>
          </w:p>
        </w:tc>
      </w:tr>
      <w:tr w:rsidR="00CF59E1" w:rsidRPr="001A4B7B" w14:paraId="258AFF5A"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00405F90"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409EBB81"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IFC</w:t>
            </w:r>
          </w:p>
        </w:tc>
        <w:tc>
          <w:tcPr>
            <w:tcW w:w="1259" w:type="dxa"/>
          </w:tcPr>
          <w:p w14:paraId="248C1371"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2CD2942B"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PS 1, Assessment and Management of Environmental and Social Risks and Impacts</w:t>
            </w:r>
          </w:p>
        </w:tc>
      </w:tr>
      <w:tr w:rsidR="00CF59E1" w:rsidRPr="001A4B7B" w14:paraId="68C5BC5C"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6072EF58"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3454E008"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EBRD</w:t>
            </w:r>
          </w:p>
        </w:tc>
        <w:tc>
          <w:tcPr>
            <w:tcW w:w="1259" w:type="dxa"/>
          </w:tcPr>
          <w:p w14:paraId="37235D50"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62BF87B3"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PR 2, Labour and Working Condition</w:t>
            </w:r>
            <w:r>
              <w:rPr>
                <w:rFonts w:asciiTheme="minorHAnsi" w:hAnsiTheme="minorHAnsi"/>
              </w:rPr>
              <w:t>s; PR 4, Health and Safety; and</w:t>
            </w:r>
            <w:r w:rsidRPr="001A4B7B">
              <w:rPr>
                <w:rFonts w:asciiTheme="minorHAnsi" w:hAnsiTheme="minorHAnsi"/>
              </w:rPr>
              <w:t xml:space="preserve"> </w:t>
            </w:r>
            <w:r w:rsidRPr="001A4B7B">
              <w:rPr>
                <w:rFonts w:asciiTheme="minorHAnsi" w:hAnsiTheme="minorHAnsi"/>
                <w:lang w:val="en-GB"/>
              </w:rPr>
              <w:t>PR 5,</w:t>
            </w:r>
            <w:r>
              <w:rPr>
                <w:rFonts w:asciiTheme="minorHAnsi" w:hAnsiTheme="minorHAnsi"/>
                <w:lang w:val="en-GB"/>
              </w:rPr>
              <w:t xml:space="preserve"> </w:t>
            </w:r>
            <w:r w:rsidRPr="001A4B7B">
              <w:rPr>
                <w:rFonts w:asciiTheme="minorHAnsi" w:hAnsiTheme="minorHAnsi"/>
                <w:lang w:val="en-GB"/>
              </w:rPr>
              <w:t>Land Acquisition, Involuntary Resettlement and Economic Displacement</w:t>
            </w:r>
          </w:p>
        </w:tc>
      </w:tr>
      <w:tr w:rsidR="00CF59E1" w:rsidRPr="001A4B7B" w14:paraId="5E49E3EA"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04D80991"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6EF3A19E"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EIB</w:t>
            </w:r>
          </w:p>
        </w:tc>
        <w:tc>
          <w:tcPr>
            <w:tcW w:w="1259" w:type="dxa"/>
          </w:tcPr>
          <w:p w14:paraId="138C0F1B"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No</w:t>
            </w:r>
          </w:p>
        </w:tc>
        <w:tc>
          <w:tcPr>
            <w:tcW w:w="4698" w:type="dxa"/>
          </w:tcPr>
          <w:p w14:paraId="7F2C3714" w14:textId="77777777" w:rsidR="00CF59E1" w:rsidRPr="001A4B7B" w:rsidRDefault="00CF59E1" w:rsidP="00CF59E1">
            <w:pPr>
              <w:tabs>
                <w:tab w:val="left" w:pos="1710"/>
              </w:tabs>
              <w:autoSpaceDE/>
              <w:autoSpaceDN/>
              <w:adjustRightInd/>
              <w:rPr>
                <w:rFonts w:asciiTheme="minorHAnsi" w:hAnsiTheme="minorHAnsi"/>
                <w:b/>
              </w:rPr>
            </w:pPr>
          </w:p>
        </w:tc>
      </w:tr>
      <w:tr w:rsidR="00CF59E1" w:rsidRPr="001A4B7B" w14:paraId="1E5DFA00"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val="restart"/>
          </w:tcPr>
          <w:p w14:paraId="53B96657"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b/>
              </w:rPr>
              <w:t>Core Labor Standards</w:t>
            </w:r>
            <w:r w:rsidRPr="001A4B7B">
              <w:rPr>
                <w:rStyle w:val="FootnoteReference"/>
                <w:rFonts w:asciiTheme="minorHAnsi" w:hAnsiTheme="minorHAnsi"/>
                <w:b/>
              </w:rPr>
              <w:footnoteReference w:id="117"/>
            </w:r>
            <w:r w:rsidRPr="001A4B7B">
              <w:rPr>
                <w:rFonts w:asciiTheme="minorHAnsi" w:hAnsiTheme="minorHAnsi"/>
                <w:b/>
              </w:rPr>
              <w:t xml:space="preserve"> </w:t>
            </w:r>
          </w:p>
        </w:tc>
        <w:tc>
          <w:tcPr>
            <w:tcW w:w="0" w:type="auto"/>
          </w:tcPr>
          <w:p w14:paraId="0A980BBF"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WB</w:t>
            </w:r>
          </w:p>
        </w:tc>
        <w:tc>
          <w:tcPr>
            <w:tcW w:w="1259" w:type="dxa"/>
          </w:tcPr>
          <w:p w14:paraId="060766B2"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No</w:t>
            </w:r>
          </w:p>
        </w:tc>
        <w:tc>
          <w:tcPr>
            <w:tcW w:w="4698" w:type="dxa"/>
          </w:tcPr>
          <w:p w14:paraId="64FB7901" w14:textId="77777777" w:rsidR="00CF59E1" w:rsidRPr="001A4B7B" w:rsidRDefault="00CF59E1" w:rsidP="00CF59E1">
            <w:pPr>
              <w:tabs>
                <w:tab w:val="left" w:pos="1710"/>
              </w:tabs>
              <w:autoSpaceDE/>
              <w:autoSpaceDN/>
              <w:adjustRightInd/>
              <w:rPr>
                <w:rFonts w:asciiTheme="minorHAnsi" w:hAnsiTheme="minorHAnsi"/>
                <w:b/>
              </w:rPr>
            </w:pPr>
          </w:p>
        </w:tc>
      </w:tr>
      <w:tr w:rsidR="00CF59E1" w:rsidRPr="001A4B7B" w14:paraId="7152E028"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164C954A"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1307EFB5"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ADB</w:t>
            </w:r>
          </w:p>
        </w:tc>
        <w:tc>
          <w:tcPr>
            <w:tcW w:w="1259" w:type="dxa"/>
          </w:tcPr>
          <w:p w14:paraId="3283B298"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 (limited)</w:t>
            </w:r>
          </w:p>
        </w:tc>
        <w:tc>
          <w:tcPr>
            <w:tcW w:w="4698" w:type="dxa"/>
          </w:tcPr>
          <w:p w14:paraId="016741C5"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ADB’s SPS makes no direct reference to CLS as part of ADB’s operational safeguard requirements. However, the SPS Prohibited Investment Activities List (Appendix 5) excludes production or activities involving forced and child labor from qualification for ADB financing</w:t>
            </w:r>
          </w:p>
        </w:tc>
      </w:tr>
      <w:tr w:rsidR="00CF59E1" w:rsidRPr="001A4B7B" w14:paraId="0FD80911"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136E4437"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083B9D5E"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IDB</w:t>
            </w:r>
          </w:p>
        </w:tc>
        <w:tc>
          <w:tcPr>
            <w:tcW w:w="1259" w:type="dxa"/>
          </w:tcPr>
          <w:p w14:paraId="7210D924"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 (limited)</w:t>
            </w:r>
          </w:p>
        </w:tc>
        <w:tc>
          <w:tcPr>
            <w:tcW w:w="4698" w:type="dxa"/>
          </w:tcPr>
          <w:p w14:paraId="0B672A8D"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Non-Sovereign Guarantees Exclusion list</w:t>
            </w:r>
            <w:r w:rsidRPr="001A4B7B">
              <w:rPr>
                <w:rFonts w:asciiTheme="minorHAnsi" w:hAnsiTheme="minorHAnsi" w:cstheme="minorHAnsi"/>
              </w:rPr>
              <w:t>;</w:t>
            </w:r>
            <w:r w:rsidRPr="001A4B7B">
              <w:rPr>
                <w:rFonts w:asciiTheme="minorHAnsi" w:hAnsiTheme="minorHAnsi"/>
              </w:rPr>
              <w:t xml:space="preserve"> and Procurement Policy</w:t>
            </w:r>
          </w:p>
        </w:tc>
      </w:tr>
      <w:tr w:rsidR="00CF59E1" w:rsidRPr="001A4B7B" w14:paraId="0F5145A4"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6DE07A3C"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57BE3E51"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AfDB</w:t>
            </w:r>
          </w:p>
        </w:tc>
        <w:tc>
          <w:tcPr>
            <w:tcW w:w="1259" w:type="dxa"/>
          </w:tcPr>
          <w:p w14:paraId="38698045"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426A9E8C"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color w:val="000000"/>
              </w:rPr>
              <w:t>OS 5, Labour Conditions, Health and Safety</w:t>
            </w:r>
          </w:p>
        </w:tc>
      </w:tr>
      <w:tr w:rsidR="00CF59E1" w:rsidRPr="001A4B7B" w14:paraId="55A6E90F"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3BE963D1"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03A72E75"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IFC</w:t>
            </w:r>
          </w:p>
        </w:tc>
        <w:tc>
          <w:tcPr>
            <w:tcW w:w="1259" w:type="dxa"/>
          </w:tcPr>
          <w:p w14:paraId="3FADF6B3"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0FDE13B6"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color w:val="000000"/>
              </w:rPr>
              <w:t>PS 2, Labor and Working Conditions</w:t>
            </w:r>
          </w:p>
        </w:tc>
      </w:tr>
      <w:tr w:rsidR="00CF59E1" w:rsidRPr="001A4B7B" w14:paraId="46C9EC4D"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7F47CA46"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0027D9DE"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EBRD</w:t>
            </w:r>
          </w:p>
        </w:tc>
        <w:tc>
          <w:tcPr>
            <w:tcW w:w="1259" w:type="dxa"/>
          </w:tcPr>
          <w:p w14:paraId="13DDC5A2"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3DF3A33B"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color w:val="000000"/>
              </w:rPr>
              <w:t>PR 2, Labour and Working Conditions</w:t>
            </w:r>
          </w:p>
        </w:tc>
      </w:tr>
      <w:tr w:rsidR="00CF59E1" w:rsidRPr="001A4B7B" w14:paraId="079027E0"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Borders>
              <w:bottom w:val="single" w:sz="4" w:space="0" w:color="auto"/>
            </w:tcBorders>
          </w:tcPr>
          <w:p w14:paraId="4B7B182B" w14:textId="77777777" w:rsidR="00CF59E1" w:rsidRPr="001A4B7B" w:rsidRDefault="00CF59E1" w:rsidP="00CF59E1">
            <w:pPr>
              <w:tabs>
                <w:tab w:val="left" w:pos="1710"/>
              </w:tabs>
              <w:autoSpaceDE/>
              <w:autoSpaceDN/>
              <w:adjustRightInd/>
              <w:rPr>
                <w:rFonts w:asciiTheme="minorHAnsi" w:hAnsiTheme="minorHAnsi"/>
                <w:b/>
              </w:rPr>
            </w:pPr>
          </w:p>
        </w:tc>
        <w:tc>
          <w:tcPr>
            <w:tcW w:w="0" w:type="auto"/>
          </w:tcPr>
          <w:p w14:paraId="4C5B0D6D"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EIB</w:t>
            </w:r>
          </w:p>
        </w:tc>
        <w:tc>
          <w:tcPr>
            <w:tcW w:w="1259" w:type="dxa"/>
          </w:tcPr>
          <w:p w14:paraId="5C1EE656"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287765FB"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ESS 8, Labour Standards</w:t>
            </w:r>
          </w:p>
        </w:tc>
      </w:tr>
      <w:tr w:rsidR="00CF59E1" w:rsidRPr="001A4B7B" w14:paraId="647CE4BF"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val="restart"/>
            <w:tcBorders>
              <w:right w:val="single" w:sz="4" w:space="0" w:color="auto"/>
            </w:tcBorders>
          </w:tcPr>
          <w:p w14:paraId="4056801C" w14:textId="77777777" w:rsidR="00CF59E1" w:rsidRPr="001A4B7B" w:rsidRDefault="00CF59E1" w:rsidP="00CF59E1">
            <w:pPr>
              <w:tabs>
                <w:tab w:val="left" w:pos="1710"/>
              </w:tabs>
              <w:autoSpaceDE/>
              <w:autoSpaceDN/>
              <w:adjustRightInd/>
              <w:rPr>
                <w:rFonts w:asciiTheme="minorHAnsi" w:hAnsiTheme="minorHAnsi"/>
                <w:b/>
              </w:rPr>
            </w:pPr>
            <w:r>
              <w:rPr>
                <w:rFonts w:asciiTheme="minorHAnsi" w:hAnsiTheme="minorHAnsi"/>
                <w:b/>
              </w:rPr>
              <w:t>Occupational Health and S</w:t>
            </w:r>
            <w:r w:rsidRPr="001A4B7B">
              <w:rPr>
                <w:rFonts w:asciiTheme="minorHAnsi" w:hAnsiTheme="minorHAnsi"/>
                <w:b/>
              </w:rPr>
              <w:t>afety</w:t>
            </w:r>
          </w:p>
        </w:tc>
        <w:tc>
          <w:tcPr>
            <w:tcW w:w="0" w:type="auto"/>
            <w:tcBorders>
              <w:left w:val="single" w:sz="4" w:space="0" w:color="auto"/>
            </w:tcBorders>
          </w:tcPr>
          <w:p w14:paraId="517D93CD"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WB</w:t>
            </w:r>
          </w:p>
        </w:tc>
        <w:tc>
          <w:tcPr>
            <w:tcW w:w="1259" w:type="dxa"/>
          </w:tcPr>
          <w:p w14:paraId="599C1350"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 xml:space="preserve">Yes </w:t>
            </w:r>
          </w:p>
        </w:tc>
        <w:tc>
          <w:tcPr>
            <w:tcW w:w="4698" w:type="dxa"/>
          </w:tcPr>
          <w:p w14:paraId="539DB6DB"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OP 4.01</w:t>
            </w:r>
            <w:r w:rsidRPr="001A4B7B">
              <w:rPr>
                <w:rFonts w:asciiTheme="minorHAnsi" w:hAnsiTheme="minorHAnsi" w:cstheme="minorHAnsi"/>
              </w:rPr>
              <w:t>, Environmental Assessment,</w:t>
            </w:r>
            <w:r w:rsidRPr="001A4B7B">
              <w:rPr>
                <w:rFonts w:asciiTheme="minorHAnsi" w:hAnsiTheme="minorHAnsi"/>
              </w:rPr>
              <w:t xml:space="preserve"> via reference to WBG EHSGs </w:t>
            </w:r>
          </w:p>
        </w:tc>
      </w:tr>
      <w:tr w:rsidR="00CF59E1" w:rsidRPr="001A4B7B" w14:paraId="0BEAB54A"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Borders>
              <w:right w:val="single" w:sz="4" w:space="0" w:color="auto"/>
            </w:tcBorders>
          </w:tcPr>
          <w:p w14:paraId="26605086" w14:textId="77777777" w:rsidR="00CF59E1" w:rsidRPr="001A4B7B" w:rsidRDefault="00CF59E1" w:rsidP="00CF59E1">
            <w:pPr>
              <w:tabs>
                <w:tab w:val="left" w:pos="1710"/>
              </w:tabs>
              <w:autoSpaceDE/>
              <w:autoSpaceDN/>
              <w:adjustRightInd/>
              <w:rPr>
                <w:rFonts w:asciiTheme="minorHAnsi" w:hAnsiTheme="minorHAnsi"/>
                <w:b/>
              </w:rPr>
            </w:pPr>
          </w:p>
        </w:tc>
        <w:tc>
          <w:tcPr>
            <w:tcW w:w="0" w:type="auto"/>
            <w:tcBorders>
              <w:left w:val="single" w:sz="4" w:space="0" w:color="auto"/>
            </w:tcBorders>
          </w:tcPr>
          <w:p w14:paraId="57FDF60D"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ADB</w:t>
            </w:r>
          </w:p>
        </w:tc>
        <w:tc>
          <w:tcPr>
            <w:tcW w:w="1259" w:type="dxa"/>
          </w:tcPr>
          <w:p w14:paraId="44D5349A"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424FD6A8"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SR 1</w:t>
            </w:r>
            <w:r w:rsidRPr="001A4B7B">
              <w:rPr>
                <w:rFonts w:asciiTheme="minorHAnsi" w:hAnsiTheme="minorHAnsi" w:cstheme="minorHAnsi"/>
              </w:rPr>
              <w:t>, Environment</w:t>
            </w:r>
            <w:r w:rsidRPr="001A4B7B">
              <w:rPr>
                <w:rFonts w:asciiTheme="minorHAnsi" w:hAnsiTheme="minorHAnsi"/>
              </w:rPr>
              <w:t xml:space="preserve"> and further reference </w:t>
            </w:r>
            <w:r w:rsidRPr="001A4B7B">
              <w:rPr>
                <w:rFonts w:asciiTheme="minorHAnsi" w:hAnsiTheme="minorHAnsi" w:cstheme="minorHAnsi"/>
              </w:rPr>
              <w:t xml:space="preserve">to </w:t>
            </w:r>
            <w:r w:rsidRPr="001A4B7B">
              <w:rPr>
                <w:rFonts w:asciiTheme="minorHAnsi" w:hAnsiTheme="minorHAnsi"/>
              </w:rPr>
              <w:t>WBG EHSGs</w:t>
            </w:r>
          </w:p>
        </w:tc>
      </w:tr>
      <w:tr w:rsidR="00CF59E1" w:rsidRPr="001A4B7B" w14:paraId="69C39EE9"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Borders>
              <w:right w:val="single" w:sz="4" w:space="0" w:color="auto"/>
            </w:tcBorders>
          </w:tcPr>
          <w:p w14:paraId="46398B95" w14:textId="77777777" w:rsidR="00CF59E1" w:rsidRPr="001A4B7B" w:rsidRDefault="00CF59E1" w:rsidP="00CF59E1">
            <w:pPr>
              <w:tabs>
                <w:tab w:val="left" w:pos="1710"/>
              </w:tabs>
              <w:autoSpaceDE/>
              <w:autoSpaceDN/>
              <w:adjustRightInd/>
              <w:rPr>
                <w:rFonts w:asciiTheme="minorHAnsi" w:hAnsiTheme="minorHAnsi"/>
                <w:b/>
              </w:rPr>
            </w:pPr>
          </w:p>
        </w:tc>
        <w:tc>
          <w:tcPr>
            <w:tcW w:w="0" w:type="auto"/>
            <w:tcBorders>
              <w:left w:val="single" w:sz="4" w:space="0" w:color="auto"/>
            </w:tcBorders>
          </w:tcPr>
          <w:p w14:paraId="28ACB9B5"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IDB</w:t>
            </w:r>
          </w:p>
        </w:tc>
        <w:tc>
          <w:tcPr>
            <w:tcW w:w="1259" w:type="dxa"/>
          </w:tcPr>
          <w:p w14:paraId="055D21C9"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 xml:space="preserve">Yes </w:t>
            </w:r>
            <w:r w:rsidRPr="001A4B7B">
              <w:rPr>
                <w:rFonts w:asciiTheme="minorHAnsi" w:hAnsiTheme="minorHAnsi" w:cstheme="minorHAnsi"/>
                <w:bCs/>
              </w:rPr>
              <w:t>(</w:t>
            </w:r>
            <w:r w:rsidRPr="001A4B7B">
              <w:rPr>
                <w:rFonts w:asciiTheme="minorHAnsi" w:hAnsiTheme="minorHAnsi"/>
              </w:rPr>
              <w:t>limited</w:t>
            </w:r>
            <w:r w:rsidRPr="001A4B7B">
              <w:rPr>
                <w:rFonts w:asciiTheme="minorHAnsi" w:hAnsiTheme="minorHAnsi" w:cstheme="minorHAnsi"/>
                <w:bCs/>
              </w:rPr>
              <w:t>)</w:t>
            </w:r>
          </w:p>
        </w:tc>
        <w:tc>
          <w:tcPr>
            <w:tcW w:w="4698" w:type="dxa"/>
          </w:tcPr>
          <w:p w14:paraId="60E5C501"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OP-703</w:t>
            </w:r>
            <w:r w:rsidRPr="001A4B7B">
              <w:rPr>
                <w:rFonts w:asciiTheme="minorHAnsi" w:hAnsiTheme="minorHAnsi" w:cstheme="minorHAnsi"/>
              </w:rPr>
              <w:t>,</w:t>
            </w:r>
            <w:r w:rsidRPr="001A4B7B">
              <w:rPr>
                <w:rFonts w:asciiTheme="minorHAnsi" w:hAnsiTheme="minorHAnsi"/>
              </w:rPr>
              <w:t xml:space="preserve"> Environment and Safeguards Compliance Policy</w:t>
            </w:r>
          </w:p>
        </w:tc>
      </w:tr>
      <w:tr w:rsidR="00CF59E1" w:rsidRPr="001A4B7B" w14:paraId="0C8045E6"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Borders>
              <w:right w:val="single" w:sz="4" w:space="0" w:color="auto"/>
            </w:tcBorders>
          </w:tcPr>
          <w:p w14:paraId="10B451E6" w14:textId="77777777" w:rsidR="00CF59E1" w:rsidRPr="001A4B7B" w:rsidRDefault="00CF59E1" w:rsidP="00CF59E1">
            <w:pPr>
              <w:tabs>
                <w:tab w:val="left" w:pos="1710"/>
              </w:tabs>
              <w:autoSpaceDE/>
              <w:autoSpaceDN/>
              <w:adjustRightInd/>
              <w:rPr>
                <w:rFonts w:asciiTheme="minorHAnsi" w:hAnsiTheme="minorHAnsi"/>
                <w:b/>
              </w:rPr>
            </w:pPr>
          </w:p>
        </w:tc>
        <w:tc>
          <w:tcPr>
            <w:tcW w:w="0" w:type="auto"/>
            <w:tcBorders>
              <w:left w:val="single" w:sz="4" w:space="0" w:color="auto"/>
            </w:tcBorders>
          </w:tcPr>
          <w:p w14:paraId="70B6A4B1"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AfDB</w:t>
            </w:r>
          </w:p>
        </w:tc>
        <w:tc>
          <w:tcPr>
            <w:tcW w:w="1259" w:type="dxa"/>
          </w:tcPr>
          <w:p w14:paraId="29D906B9"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05E3BAC2"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 xml:space="preserve">OS 5, </w:t>
            </w:r>
            <w:r w:rsidRPr="001A4B7B">
              <w:rPr>
                <w:rFonts w:asciiTheme="minorHAnsi" w:hAnsiTheme="minorHAnsi"/>
                <w:color w:val="000000"/>
              </w:rPr>
              <w:t>Labour Conditions, Health and Safety</w:t>
            </w:r>
          </w:p>
        </w:tc>
      </w:tr>
      <w:tr w:rsidR="00CF59E1" w:rsidRPr="001A4B7B" w14:paraId="445A7550"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Borders>
              <w:right w:val="single" w:sz="4" w:space="0" w:color="auto"/>
            </w:tcBorders>
          </w:tcPr>
          <w:p w14:paraId="30063C7B" w14:textId="77777777" w:rsidR="00CF59E1" w:rsidRPr="001A4B7B" w:rsidRDefault="00CF59E1" w:rsidP="00CF59E1">
            <w:pPr>
              <w:tabs>
                <w:tab w:val="left" w:pos="1710"/>
              </w:tabs>
              <w:autoSpaceDE/>
              <w:autoSpaceDN/>
              <w:adjustRightInd/>
              <w:rPr>
                <w:rFonts w:asciiTheme="minorHAnsi" w:hAnsiTheme="minorHAnsi"/>
                <w:b/>
              </w:rPr>
            </w:pPr>
          </w:p>
        </w:tc>
        <w:tc>
          <w:tcPr>
            <w:tcW w:w="0" w:type="auto"/>
            <w:tcBorders>
              <w:left w:val="single" w:sz="4" w:space="0" w:color="auto"/>
            </w:tcBorders>
          </w:tcPr>
          <w:p w14:paraId="7A4B0FCD"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IFC</w:t>
            </w:r>
          </w:p>
        </w:tc>
        <w:tc>
          <w:tcPr>
            <w:tcW w:w="1259" w:type="dxa"/>
          </w:tcPr>
          <w:p w14:paraId="2CAA1280"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1394890D"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 xml:space="preserve">PS 2, </w:t>
            </w:r>
            <w:r w:rsidRPr="001A4B7B">
              <w:rPr>
                <w:rFonts w:asciiTheme="minorHAnsi" w:hAnsiTheme="minorHAnsi"/>
                <w:color w:val="000000"/>
              </w:rPr>
              <w:t>Labor and Working Conditions</w:t>
            </w:r>
          </w:p>
        </w:tc>
      </w:tr>
      <w:tr w:rsidR="00CF59E1" w:rsidRPr="001A4B7B" w14:paraId="0961EF98"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Borders>
              <w:right w:val="single" w:sz="4" w:space="0" w:color="auto"/>
            </w:tcBorders>
          </w:tcPr>
          <w:p w14:paraId="5D5363BD" w14:textId="77777777" w:rsidR="00CF59E1" w:rsidRPr="001A4B7B" w:rsidRDefault="00CF59E1" w:rsidP="00CF59E1">
            <w:pPr>
              <w:tabs>
                <w:tab w:val="left" w:pos="1710"/>
              </w:tabs>
              <w:autoSpaceDE/>
              <w:autoSpaceDN/>
              <w:adjustRightInd/>
              <w:rPr>
                <w:rFonts w:asciiTheme="minorHAnsi" w:hAnsiTheme="minorHAnsi"/>
                <w:b/>
              </w:rPr>
            </w:pPr>
          </w:p>
        </w:tc>
        <w:tc>
          <w:tcPr>
            <w:tcW w:w="0" w:type="auto"/>
            <w:tcBorders>
              <w:left w:val="single" w:sz="4" w:space="0" w:color="auto"/>
            </w:tcBorders>
          </w:tcPr>
          <w:p w14:paraId="63263628"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EBRD</w:t>
            </w:r>
          </w:p>
        </w:tc>
        <w:tc>
          <w:tcPr>
            <w:tcW w:w="1259" w:type="dxa"/>
          </w:tcPr>
          <w:p w14:paraId="4BF876F8"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15F8EB27"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 xml:space="preserve">PR 4, </w:t>
            </w:r>
            <w:r w:rsidRPr="001A4B7B">
              <w:rPr>
                <w:rFonts w:asciiTheme="minorHAnsi" w:hAnsiTheme="minorHAnsi"/>
                <w:color w:val="000000"/>
              </w:rPr>
              <w:t>Health and Safety</w:t>
            </w:r>
          </w:p>
        </w:tc>
      </w:tr>
      <w:tr w:rsidR="00CF59E1" w:rsidRPr="001A4B7B" w14:paraId="00D69B97"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Borders>
              <w:right w:val="single" w:sz="4" w:space="0" w:color="auto"/>
            </w:tcBorders>
          </w:tcPr>
          <w:p w14:paraId="0D314515" w14:textId="77777777" w:rsidR="00CF59E1" w:rsidRPr="001A4B7B" w:rsidRDefault="00CF59E1" w:rsidP="00CF59E1">
            <w:pPr>
              <w:tabs>
                <w:tab w:val="left" w:pos="1710"/>
              </w:tabs>
              <w:autoSpaceDE/>
              <w:autoSpaceDN/>
              <w:adjustRightInd/>
              <w:rPr>
                <w:rFonts w:asciiTheme="minorHAnsi" w:hAnsiTheme="minorHAnsi"/>
                <w:b/>
              </w:rPr>
            </w:pPr>
          </w:p>
        </w:tc>
        <w:tc>
          <w:tcPr>
            <w:tcW w:w="0" w:type="auto"/>
            <w:tcBorders>
              <w:left w:val="single" w:sz="4" w:space="0" w:color="auto"/>
            </w:tcBorders>
          </w:tcPr>
          <w:p w14:paraId="3633E636"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EIB</w:t>
            </w:r>
          </w:p>
        </w:tc>
        <w:tc>
          <w:tcPr>
            <w:tcW w:w="1259" w:type="dxa"/>
          </w:tcPr>
          <w:p w14:paraId="00136636"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0344C8C3" w14:textId="77777777" w:rsidR="00CF59E1" w:rsidRPr="001A4B7B" w:rsidRDefault="00CF59E1" w:rsidP="00CF59E1">
            <w:pPr>
              <w:tabs>
                <w:tab w:val="left" w:pos="1710"/>
              </w:tabs>
              <w:autoSpaceDE/>
              <w:autoSpaceDN/>
              <w:adjustRightInd/>
              <w:rPr>
                <w:rFonts w:asciiTheme="minorHAnsi" w:hAnsiTheme="minorHAnsi"/>
              </w:rPr>
            </w:pPr>
            <w:r>
              <w:rPr>
                <w:rFonts w:asciiTheme="minorHAnsi" w:hAnsiTheme="minorHAnsi"/>
              </w:rPr>
              <w:t>ESS</w:t>
            </w:r>
            <w:r w:rsidRPr="001A4B7B">
              <w:rPr>
                <w:rFonts w:asciiTheme="minorHAnsi" w:hAnsiTheme="minorHAnsi"/>
              </w:rPr>
              <w:t xml:space="preserve"> 9, Occupational and Public Health, Safety and Security</w:t>
            </w:r>
          </w:p>
        </w:tc>
      </w:tr>
      <w:tr w:rsidR="00CF59E1" w:rsidRPr="001A4B7B" w14:paraId="3A8A657A"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val="restart"/>
          </w:tcPr>
          <w:p w14:paraId="441B9A35"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b/>
              </w:rPr>
              <w:t>Human Rights</w:t>
            </w:r>
          </w:p>
        </w:tc>
        <w:tc>
          <w:tcPr>
            <w:tcW w:w="0" w:type="auto"/>
          </w:tcPr>
          <w:p w14:paraId="71F7CD4B"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WB</w:t>
            </w:r>
          </w:p>
        </w:tc>
        <w:tc>
          <w:tcPr>
            <w:tcW w:w="1259" w:type="dxa"/>
          </w:tcPr>
          <w:p w14:paraId="4A8BBAF2"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r w:rsidRPr="001A4B7B">
              <w:rPr>
                <w:rFonts w:asciiTheme="minorHAnsi" w:hAnsiTheme="minorHAnsi" w:cstheme="minorHAnsi"/>
                <w:bCs/>
              </w:rPr>
              <w:t xml:space="preserve"> (</w:t>
            </w:r>
            <w:r w:rsidRPr="001A4B7B">
              <w:rPr>
                <w:rFonts w:asciiTheme="minorHAnsi" w:hAnsiTheme="minorHAnsi"/>
              </w:rPr>
              <w:t>limited</w:t>
            </w:r>
            <w:r w:rsidRPr="001A4B7B">
              <w:rPr>
                <w:rFonts w:asciiTheme="minorHAnsi" w:hAnsiTheme="minorHAnsi" w:cstheme="minorHAnsi"/>
                <w:bCs/>
              </w:rPr>
              <w:t>)</w:t>
            </w:r>
            <w:r w:rsidRPr="001A4B7B">
              <w:rPr>
                <w:rStyle w:val="FootnoteReference"/>
                <w:rFonts w:asciiTheme="minorHAnsi" w:hAnsiTheme="minorHAnsi" w:cstheme="minorHAnsi"/>
                <w:bCs/>
              </w:rPr>
              <w:footnoteReference w:id="118"/>
            </w:r>
          </w:p>
        </w:tc>
        <w:tc>
          <w:tcPr>
            <w:tcW w:w="4698" w:type="dxa"/>
          </w:tcPr>
          <w:p w14:paraId="6D8FA3C3" w14:textId="77777777" w:rsidR="00CF59E1" w:rsidRPr="001A4B7B" w:rsidRDefault="00CF59E1" w:rsidP="00CF59E1">
            <w:pPr>
              <w:rPr>
                <w:rFonts w:asciiTheme="minorHAnsi" w:hAnsiTheme="minorHAnsi"/>
                <w:b/>
              </w:rPr>
            </w:pPr>
            <w:r w:rsidRPr="001A4B7B">
              <w:rPr>
                <w:rFonts w:asciiTheme="minorHAnsi" w:hAnsiTheme="minorHAnsi"/>
              </w:rPr>
              <w:t>OP 4.10, Indigenous Peoples</w:t>
            </w:r>
            <w:r w:rsidRPr="001A4B7B">
              <w:rPr>
                <w:rStyle w:val="FootnoteReference"/>
                <w:rFonts w:asciiTheme="minorHAnsi" w:hAnsiTheme="minorHAnsi"/>
              </w:rPr>
              <w:footnoteReference w:id="119"/>
            </w:r>
            <w:r w:rsidRPr="001A4B7B">
              <w:rPr>
                <w:rFonts w:asciiTheme="minorHAnsi" w:hAnsiTheme="minorHAnsi"/>
                <w:b/>
              </w:rPr>
              <w:t xml:space="preserve"> </w:t>
            </w:r>
          </w:p>
        </w:tc>
      </w:tr>
      <w:tr w:rsidR="00CF59E1" w:rsidRPr="001A4B7B" w14:paraId="5936981E"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6A63DA0D" w14:textId="77777777" w:rsidR="00CF59E1" w:rsidRPr="001A4B7B" w:rsidRDefault="00CF59E1" w:rsidP="00CF59E1">
            <w:pPr>
              <w:tabs>
                <w:tab w:val="left" w:pos="1710"/>
              </w:tabs>
              <w:autoSpaceDE/>
              <w:autoSpaceDN/>
              <w:adjustRightInd/>
              <w:rPr>
                <w:rFonts w:asciiTheme="minorHAnsi" w:hAnsiTheme="minorHAnsi"/>
              </w:rPr>
            </w:pPr>
          </w:p>
        </w:tc>
        <w:tc>
          <w:tcPr>
            <w:tcW w:w="0" w:type="auto"/>
          </w:tcPr>
          <w:p w14:paraId="13B111AC"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ADB</w:t>
            </w:r>
          </w:p>
        </w:tc>
        <w:tc>
          <w:tcPr>
            <w:tcW w:w="1259" w:type="dxa"/>
          </w:tcPr>
          <w:p w14:paraId="0AFFAB03"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r w:rsidRPr="001A4B7B">
              <w:rPr>
                <w:rFonts w:asciiTheme="minorHAnsi" w:hAnsiTheme="minorHAnsi" w:cstheme="minorHAnsi"/>
                <w:bCs/>
              </w:rPr>
              <w:t xml:space="preserve"> (</w:t>
            </w:r>
            <w:r w:rsidRPr="001A4B7B">
              <w:rPr>
                <w:rFonts w:asciiTheme="minorHAnsi" w:hAnsiTheme="minorHAnsi"/>
              </w:rPr>
              <w:t>limited</w:t>
            </w:r>
            <w:r w:rsidRPr="001A4B7B">
              <w:rPr>
                <w:rFonts w:asciiTheme="minorHAnsi" w:hAnsiTheme="minorHAnsi" w:cstheme="minorHAnsi"/>
                <w:bCs/>
              </w:rPr>
              <w:t>)</w:t>
            </w:r>
          </w:p>
        </w:tc>
        <w:tc>
          <w:tcPr>
            <w:tcW w:w="4698" w:type="dxa"/>
          </w:tcPr>
          <w:p w14:paraId="0D50360F"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SR 3, Indigenous Peoples</w:t>
            </w:r>
            <w:r w:rsidRPr="001A4B7B">
              <w:rPr>
                <w:rStyle w:val="FootnoteReference"/>
                <w:rFonts w:asciiTheme="minorHAnsi" w:hAnsiTheme="minorHAnsi"/>
              </w:rPr>
              <w:footnoteReference w:id="120"/>
            </w:r>
          </w:p>
        </w:tc>
      </w:tr>
      <w:tr w:rsidR="00CF59E1" w:rsidRPr="001A4B7B" w14:paraId="5BBD436F"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1E76995B" w14:textId="77777777" w:rsidR="00CF59E1" w:rsidRPr="001A4B7B" w:rsidRDefault="00CF59E1" w:rsidP="00CF59E1">
            <w:pPr>
              <w:tabs>
                <w:tab w:val="left" w:pos="1710"/>
              </w:tabs>
              <w:autoSpaceDE/>
              <w:autoSpaceDN/>
              <w:adjustRightInd/>
              <w:rPr>
                <w:rFonts w:asciiTheme="minorHAnsi" w:hAnsiTheme="minorHAnsi"/>
              </w:rPr>
            </w:pPr>
          </w:p>
        </w:tc>
        <w:tc>
          <w:tcPr>
            <w:tcW w:w="0" w:type="auto"/>
          </w:tcPr>
          <w:p w14:paraId="46E60576"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IDB</w:t>
            </w:r>
          </w:p>
        </w:tc>
        <w:tc>
          <w:tcPr>
            <w:tcW w:w="1259" w:type="dxa"/>
          </w:tcPr>
          <w:p w14:paraId="016C4BB3"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r w:rsidRPr="001A4B7B">
              <w:rPr>
                <w:rFonts w:asciiTheme="minorHAnsi" w:hAnsiTheme="minorHAnsi" w:cstheme="minorHAnsi"/>
                <w:bCs/>
              </w:rPr>
              <w:t xml:space="preserve"> (</w:t>
            </w:r>
            <w:r w:rsidRPr="001A4B7B">
              <w:rPr>
                <w:rFonts w:asciiTheme="minorHAnsi" w:hAnsiTheme="minorHAnsi"/>
              </w:rPr>
              <w:t xml:space="preserve">very </w:t>
            </w:r>
            <w:r w:rsidRPr="001A4B7B">
              <w:rPr>
                <w:rFonts w:asciiTheme="minorHAnsi" w:hAnsiTheme="minorHAnsi" w:cstheme="minorHAnsi"/>
                <w:bCs/>
              </w:rPr>
              <w:t>limited)</w:t>
            </w:r>
          </w:p>
        </w:tc>
        <w:tc>
          <w:tcPr>
            <w:tcW w:w="4698" w:type="dxa"/>
          </w:tcPr>
          <w:p w14:paraId="32A0BE9C"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OP-765, Indigenous Peoples</w:t>
            </w:r>
            <w:r w:rsidRPr="001A4B7B">
              <w:rPr>
                <w:rFonts w:asciiTheme="minorHAnsi" w:hAnsiTheme="minorHAnsi" w:cstheme="minorHAnsi"/>
              </w:rPr>
              <w:t>;</w:t>
            </w:r>
            <w:r w:rsidRPr="001A4B7B">
              <w:rPr>
                <w:rFonts w:asciiTheme="minorHAnsi" w:hAnsiTheme="minorHAnsi"/>
              </w:rPr>
              <w:t xml:space="preserve"> and Guidelines for OP-703</w:t>
            </w:r>
          </w:p>
        </w:tc>
      </w:tr>
      <w:tr w:rsidR="00CF59E1" w:rsidRPr="001A4B7B" w14:paraId="7A9854A0"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06D0D9B9" w14:textId="77777777" w:rsidR="00CF59E1" w:rsidRPr="001A4B7B" w:rsidRDefault="00CF59E1" w:rsidP="00CF59E1">
            <w:pPr>
              <w:tabs>
                <w:tab w:val="left" w:pos="1710"/>
              </w:tabs>
              <w:autoSpaceDE/>
              <w:autoSpaceDN/>
              <w:adjustRightInd/>
              <w:rPr>
                <w:rFonts w:asciiTheme="minorHAnsi" w:hAnsiTheme="minorHAnsi"/>
              </w:rPr>
            </w:pPr>
          </w:p>
        </w:tc>
        <w:tc>
          <w:tcPr>
            <w:tcW w:w="0" w:type="auto"/>
          </w:tcPr>
          <w:p w14:paraId="153D48A7"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AfDB</w:t>
            </w:r>
          </w:p>
        </w:tc>
        <w:tc>
          <w:tcPr>
            <w:tcW w:w="1259" w:type="dxa"/>
          </w:tcPr>
          <w:p w14:paraId="6B18FC37"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p w14:paraId="3890CA1C"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(limited)</w:t>
            </w:r>
          </w:p>
        </w:tc>
        <w:tc>
          <w:tcPr>
            <w:tcW w:w="4698" w:type="dxa"/>
          </w:tcPr>
          <w:p w14:paraId="25A65F07"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rPr>
              <w:t>ISS, Preamble</w:t>
            </w:r>
            <w:r w:rsidRPr="001A4B7B">
              <w:rPr>
                <w:rStyle w:val="FootnoteReference"/>
                <w:rFonts w:asciiTheme="minorHAnsi" w:hAnsiTheme="minorHAnsi"/>
              </w:rPr>
              <w:footnoteReference w:id="121"/>
            </w:r>
            <w:r w:rsidRPr="001A4B7B">
              <w:rPr>
                <w:rFonts w:asciiTheme="minorHAnsi" w:hAnsiTheme="minorHAnsi"/>
              </w:rPr>
              <w:t xml:space="preserve"> </w:t>
            </w:r>
          </w:p>
        </w:tc>
      </w:tr>
      <w:tr w:rsidR="00CF59E1" w:rsidRPr="001A4B7B" w14:paraId="646637BA"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40F36A19" w14:textId="77777777" w:rsidR="00CF59E1" w:rsidRPr="001A4B7B" w:rsidRDefault="00CF59E1" w:rsidP="00CF59E1">
            <w:pPr>
              <w:tabs>
                <w:tab w:val="left" w:pos="1710"/>
              </w:tabs>
              <w:autoSpaceDE/>
              <w:autoSpaceDN/>
              <w:adjustRightInd/>
              <w:rPr>
                <w:rFonts w:asciiTheme="minorHAnsi" w:hAnsiTheme="minorHAnsi"/>
              </w:rPr>
            </w:pPr>
          </w:p>
        </w:tc>
        <w:tc>
          <w:tcPr>
            <w:tcW w:w="0" w:type="auto"/>
          </w:tcPr>
          <w:p w14:paraId="553A112E"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IFC</w:t>
            </w:r>
          </w:p>
          <w:p w14:paraId="2FB1F238" w14:textId="77777777" w:rsidR="00CF59E1" w:rsidRPr="001A4B7B" w:rsidRDefault="00CF59E1" w:rsidP="00CF59E1">
            <w:pPr>
              <w:tabs>
                <w:tab w:val="left" w:pos="1710"/>
              </w:tabs>
              <w:autoSpaceDE/>
              <w:autoSpaceDN/>
              <w:adjustRightInd/>
              <w:rPr>
                <w:rFonts w:asciiTheme="minorHAnsi" w:hAnsiTheme="minorHAnsi"/>
              </w:rPr>
            </w:pPr>
          </w:p>
        </w:tc>
        <w:tc>
          <w:tcPr>
            <w:tcW w:w="1259" w:type="dxa"/>
          </w:tcPr>
          <w:p w14:paraId="58A62662"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p w14:paraId="791B67D9"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(limited)</w:t>
            </w:r>
            <w:r w:rsidRPr="001A4B7B">
              <w:rPr>
                <w:rStyle w:val="FootnoteReference"/>
                <w:rFonts w:asciiTheme="minorHAnsi" w:hAnsiTheme="minorHAnsi"/>
              </w:rPr>
              <w:footnoteReference w:id="122"/>
            </w:r>
          </w:p>
        </w:tc>
        <w:tc>
          <w:tcPr>
            <w:tcW w:w="4698" w:type="dxa"/>
          </w:tcPr>
          <w:p w14:paraId="2B6BDF67" w14:textId="77777777" w:rsidR="00CF59E1" w:rsidRPr="001A4B7B" w:rsidRDefault="00CF59E1" w:rsidP="00CF59E1">
            <w:pPr>
              <w:pStyle w:val="Default"/>
              <w:rPr>
                <w:rFonts w:asciiTheme="minorHAnsi" w:hAnsiTheme="minorHAnsi"/>
                <w:b/>
              </w:rPr>
            </w:pPr>
            <w:r w:rsidRPr="001A4B7B">
              <w:rPr>
                <w:rFonts w:asciiTheme="minorHAnsi" w:hAnsiTheme="minorHAnsi"/>
                <w:sz w:val="22"/>
              </w:rPr>
              <w:t>IFC Sustainability Policy; PS 1, Assessment and Management of Environmental and Social Risks and Impacts</w:t>
            </w:r>
            <w:r w:rsidRPr="001A4B7B">
              <w:rPr>
                <w:rFonts w:asciiTheme="minorHAnsi" w:hAnsiTheme="minorHAnsi" w:cstheme="minorHAnsi"/>
                <w:sz w:val="22"/>
                <w:szCs w:val="22"/>
              </w:rPr>
              <w:t>;</w:t>
            </w:r>
            <w:r w:rsidRPr="001A4B7B">
              <w:rPr>
                <w:rFonts w:asciiTheme="minorHAnsi" w:hAnsiTheme="minorHAnsi"/>
                <w:sz w:val="22"/>
              </w:rPr>
              <w:t xml:space="preserve"> and PS 7, Indigenous Peoples</w:t>
            </w:r>
            <w:r w:rsidRPr="001A4B7B">
              <w:rPr>
                <w:rStyle w:val="FootnoteReference"/>
                <w:rFonts w:asciiTheme="minorHAnsi" w:hAnsiTheme="minorHAnsi"/>
                <w:sz w:val="22"/>
              </w:rPr>
              <w:footnoteReference w:id="123"/>
            </w:r>
          </w:p>
        </w:tc>
      </w:tr>
      <w:tr w:rsidR="00CF59E1" w:rsidRPr="001A4B7B" w14:paraId="11DA7060"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tcPr>
          <w:p w14:paraId="4074B516" w14:textId="77777777" w:rsidR="00CF59E1" w:rsidRPr="001A4B7B" w:rsidRDefault="00CF59E1" w:rsidP="00CF59E1">
            <w:pPr>
              <w:tabs>
                <w:tab w:val="left" w:pos="1710"/>
              </w:tabs>
              <w:autoSpaceDE/>
              <w:autoSpaceDN/>
              <w:adjustRightInd/>
              <w:rPr>
                <w:rFonts w:asciiTheme="minorHAnsi" w:hAnsiTheme="minorHAnsi"/>
              </w:rPr>
            </w:pPr>
          </w:p>
        </w:tc>
        <w:tc>
          <w:tcPr>
            <w:tcW w:w="0" w:type="auto"/>
          </w:tcPr>
          <w:p w14:paraId="5853D0A7"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EBRD</w:t>
            </w:r>
          </w:p>
        </w:tc>
        <w:tc>
          <w:tcPr>
            <w:tcW w:w="1259" w:type="dxa"/>
          </w:tcPr>
          <w:p w14:paraId="22787155"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p w14:paraId="01A09B7B"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(limited)</w:t>
            </w:r>
            <w:r w:rsidRPr="001A4B7B">
              <w:rPr>
                <w:rStyle w:val="FootnoteReference"/>
                <w:rFonts w:asciiTheme="minorHAnsi" w:hAnsiTheme="minorHAnsi"/>
              </w:rPr>
              <w:footnoteReference w:id="124"/>
            </w:r>
          </w:p>
        </w:tc>
        <w:tc>
          <w:tcPr>
            <w:tcW w:w="4698" w:type="dxa"/>
          </w:tcPr>
          <w:p w14:paraId="097969BF" w14:textId="77777777" w:rsidR="00CF59E1" w:rsidRPr="001A4B7B" w:rsidRDefault="00CF59E1" w:rsidP="00CF59E1">
            <w:pPr>
              <w:pStyle w:val="Default"/>
              <w:rPr>
                <w:rFonts w:asciiTheme="minorHAnsi" w:hAnsiTheme="minorHAnsi"/>
                <w:b/>
              </w:rPr>
            </w:pPr>
            <w:r w:rsidRPr="001A4B7B">
              <w:rPr>
                <w:rFonts w:asciiTheme="minorHAnsi" w:hAnsiTheme="minorHAnsi"/>
                <w:sz w:val="22"/>
              </w:rPr>
              <w:t>ESP; PR 1, Assessment and Management of Environmental and Social Impacts and Issues; PR 5, Land Acquisition, Involuntary Resettlement and Economic Displacement</w:t>
            </w:r>
            <w:r w:rsidRPr="001A4B7B">
              <w:rPr>
                <w:rFonts w:asciiTheme="minorHAnsi" w:hAnsiTheme="minorHAnsi" w:cstheme="minorHAnsi"/>
                <w:sz w:val="22"/>
                <w:szCs w:val="22"/>
              </w:rPr>
              <w:t>;</w:t>
            </w:r>
            <w:r w:rsidRPr="001A4B7B">
              <w:rPr>
                <w:rFonts w:asciiTheme="minorHAnsi" w:hAnsiTheme="minorHAnsi"/>
                <w:sz w:val="22"/>
              </w:rPr>
              <w:t xml:space="preserve"> and PR 7, Indigenous Peoples</w:t>
            </w:r>
            <w:r w:rsidRPr="001A4B7B">
              <w:rPr>
                <w:rFonts w:asciiTheme="minorHAnsi" w:hAnsiTheme="minorHAnsi" w:cstheme="minorHAnsi"/>
                <w:sz w:val="22"/>
                <w:szCs w:val="22"/>
              </w:rPr>
              <w:t xml:space="preserve"> </w:t>
            </w:r>
          </w:p>
        </w:tc>
      </w:tr>
      <w:tr w:rsidR="00CF59E1" w:rsidRPr="001A4B7B" w14:paraId="6B702693"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tcPr>
          <w:p w14:paraId="0415C365" w14:textId="77777777" w:rsidR="00CF59E1" w:rsidRPr="001A4B7B" w:rsidRDefault="00CF59E1" w:rsidP="00CF59E1">
            <w:pPr>
              <w:tabs>
                <w:tab w:val="left" w:pos="1710"/>
              </w:tabs>
              <w:autoSpaceDE/>
              <w:autoSpaceDN/>
              <w:adjustRightInd/>
              <w:rPr>
                <w:rFonts w:asciiTheme="minorHAnsi" w:hAnsiTheme="minorHAnsi"/>
              </w:rPr>
            </w:pPr>
          </w:p>
        </w:tc>
        <w:tc>
          <w:tcPr>
            <w:tcW w:w="0" w:type="auto"/>
          </w:tcPr>
          <w:p w14:paraId="51F5B17A"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EIB</w:t>
            </w:r>
          </w:p>
        </w:tc>
        <w:tc>
          <w:tcPr>
            <w:tcW w:w="1259" w:type="dxa"/>
          </w:tcPr>
          <w:p w14:paraId="59A664DB"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r w:rsidRPr="001A4B7B">
              <w:rPr>
                <w:rStyle w:val="FootnoteReference"/>
                <w:rFonts w:asciiTheme="minorHAnsi" w:hAnsiTheme="minorHAnsi"/>
              </w:rPr>
              <w:footnoteReference w:id="125"/>
            </w:r>
          </w:p>
          <w:p w14:paraId="5F780B4F" w14:textId="77777777" w:rsidR="00CF59E1" w:rsidRPr="001A4B7B" w:rsidRDefault="00CF59E1" w:rsidP="00CF59E1">
            <w:pPr>
              <w:tabs>
                <w:tab w:val="left" w:pos="1710"/>
              </w:tabs>
              <w:autoSpaceDE/>
              <w:autoSpaceDN/>
              <w:adjustRightInd/>
              <w:rPr>
                <w:rFonts w:asciiTheme="minorHAnsi" w:hAnsiTheme="minorHAnsi"/>
              </w:rPr>
            </w:pPr>
          </w:p>
        </w:tc>
        <w:tc>
          <w:tcPr>
            <w:tcW w:w="4698" w:type="dxa"/>
          </w:tcPr>
          <w:p w14:paraId="1B56C92B" w14:textId="77777777" w:rsidR="00CF59E1" w:rsidRPr="001A4B7B" w:rsidRDefault="00CF59E1" w:rsidP="00CF59E1">
            <w:pPr>
              <w:rPr>
                <w:rFonts w:asciiTheme="minorHAnsi" w:hAnsiTheme="minorHAnsi"/>
                <w:b/>
              </w:rPr>
            </w:pPr>
            <w:r w:rsidRPr="001A4B7B">
              <w:rPr>
                <w:rFonts w:asciiTheme="minorHAnsi" w:hAnsiTheme="minorHAnsi"/>
              </w:rPr>
              <w:t xml:space="preserve">ESS, Introduction; ESS 1, Assessment and Management of Environmental and Social Impacts and Risk; ESS 6, Involuntary Resettlement; and ESS 7, Rights and Interests </w:t>
            </w:r>
            <w:r w:rsidRPr="001A4B7B">
              <w:rPr>
                <w:rFonts w:asciiTheme="minorHAnsi" w:hAnsiTheme="minorHAnsi" w:cstheme="minorHAnsi"/>
                <w:bCs/>
              </w:rPr>
              <w:t>of</w:t>
            </w:r>
            <w:r w:rsidRPr="001A4B7B">
              <w:rPr>
                <w:rFonts w:asciiTheme="minorHAnsi" w:hAnsiTheme="minorHAnsi"/>
              </w:rPr>
              <w:t xml:space="preserve"> Vulnerable Groups </w:t>
            </w:r>
          </w:p>
        </w:tc>
      </w:tr>
      <w:tr w:rsidR="00CF59E1" w:rsidRPr="001A4B7B" w14:paraId="61A151BF"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val="restart"/>
            <w:shd w:val="clear" w:color="auto" w:fill="auto"/>
          </w:tcPr>
          <w:p w14:paraId="4884B8D5" w14:textId="77777777" w:rsidR="00CF59E1" w:rsidRPr="001A4B7B" w:rsidRDefault="00CF59E1" w:rsidP="00CF59E1">
            <w:pPr>
              <w:tabs>
                <w:tab w:val="left" w:pos="1710"/>
              </w:tabs>
              <w:autoSpaceDE/>
              <w:autoSpaceDN/>
              <w:adjustRightInd/>
              <w:rPr>
                <w:rFonts w:asciiTheme="minorHAnsi" w:hAnsiTheme="minorHAnsi"/>
                <w:b/>
              </w:rPr>
            </w:pPr>
            <w:r w:rsidRPr="001A4B7B">
              <w:rPr>
                <w:rFonts w:asciiTheme="minorHAnsi" w:hAnsiTheme="minorHAnsi"/>
                <w:b/>
              </w:rPr>
              <w:t>List of Excluded or Prohibited Products or Activities</w:t>
            </w:r>
          </w:p>
        </w:tc>
        <w:tc>
          <w:tcPr>
            <w:tcW w:w="0" w:type="auto"/>
          </w:tcPr>
          <w:p w14:paraId="26B39EB8"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WB</w:t>
            </w:r>
          </w:p>
        </w:tc>
        <w:tc>
          <w:tcPr>
            <w:tcW w:w="1259" w:type="dxa"/>
          </w:tcPr>
          <w:p w14:paraId="53DCBC6E"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No</w:t>
            </w:r>
            <w:r w:rsidRPr="001A4B7B">
              <w:rPr>
                <w:rStyle w:val="FootnoteReference"/>
                <w:rFonts w:asciiTheme="minorHAnsi" w:hAnsiTheme="minorHAnsi"/>
              </w:rPr>
              <w:footnoteReference w:id="126"/>
            </w:r>
          </w:p>
        </w:tc>
        <w:tc>
          <w:tcPr>
            <w:tcW w:w="4698" w:type="dxa"/>
          </w:tcPr>
          <w:p w14:paraId="56359BA8" w14:textId="77777777" w:rsidR="00CF59E1" w:rsidRPr="001A4B7B" w:rsidRDefault="00CF59E1" w:rsidP="00CF59E1">
            <w:pPr>
              <w:rPr>
                <w:rFonts w:asciiTheme="minorHAnsi" w:hAnsiTheme="minorHAnsi"/>
                <w:color w:val="000000"/>
              </w:rPr>
            </w:pPr>
            <w:r w:rsidRPr="001A4B7B">
              <w:rPr>
                <w:rFonts w:asciiTheme="minorHAnsi" w:hAnsiTheme="minorHAnsi"/>
                <w:color w:val="000000"/>
              </w:rPr>
              <w:t>N/A</w:t>
            </w:r>
          </w:p>
        </w:tc>
      </w:tr>
      <w:tr w:rsidR="00CF59E1" w:rsidRPr="001A4B7B" w14:paraId="2961D89A" w14:textId="77777777" w:rsidTr="00CF59E1">
        <w:trPr>
          <w:cnfStyle w:val="000000100000" w:firstRow="0" w:lastRow="0" w:firstColumn="0" w:lastColumn="0" w:oddVBand="0" w:evenVBand="0" w:oddHBand="1" w:evenHBand="0" w:firstRowFirstColumn="0" w:firstRowLastColumn="0" w:lastRowFirstColumn="0" w:lastRowLastColumn="0"/>
          <w:trHeight w:val="77"/>
        </w:trPr>
        <w:tc>
          <w:tcPr>
            <w:tcW w:w="0" w:type="auto"/>
            <w:vMerge/>
            <w:shd w:val="clear" w:color="auto" w:fill="auto"/>
          </w:tcPr>
          <w:p w14:paraId="04CA04CD" w14:textId="77777777" w:rsidR="00CF59E1" w:rsidRPr="001A4B7B" w:rsidRDefault="00CF59E1" w:rsidP="00CF59E1">
            <w:pPr>
              <w:tabs>
                <w:tab w:val="left" w:pos="1710"/>
              </w:tabs>
              <w:autoSpaceDE/>
              <w:autoSpaceDN/>
              <w:adjustRightInd/>
              <w:rPr>
                <w:rFonts w:asciiTheme="minorHAnsi" w:hAnsiTheme="minorHAnsi"/>
              </w:rPr>
            </w:pPr>
          </w:p>
        </w:tc>
        <w:tc>
          <w:tcPr>
            <w:tcW w:w="0" w:type="auto"/>
          </w:tcPr>
          <w:p w14:paraId="5526DBFA"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ADB</w:t>
            </w:r>
          </w:p>
        </w:tc>
        <w:tc>
          <w:tcPr>
            <w:tcW w:w="1259" w:type="dxa"/>
          </w:tcPr>
          <w:p w14:paraId="4ED1E5CE"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6569DD76" w14:textId="77777777" w:rsidR="00CF59E1" w:rsidRPr="001A4B7B" w:rsidRDefault="00CF59E1" w:rsidP="00CF59E1">
            <w:pPr>
              <w:rPr>
                <w:rFonts w:asciiTheme="minorHAnsi" w:hAnsiTheme="minorHAnsi"/>
                <w:color w:val="000000"/>
              </w:rPr>
            </w:pPr>
            <w:r w:rsidRPr="001A4B7B">
              <w:rPr>
                <w:rFonts w:asciiTheme="minorHAnsi" w:hAnsiTheme="minorHAnsi"/>
                <w:color w:val="000000"/>
              </w:rPr>
              <w:t>ADB Prohibited Investment Activities List</w:t>
            </w:r>
            <w:r w:rsidRPr="001A4B7B">
              <w:rPr>
                <w:rFonts w:asciiTheme="minorHAnsi" w:hAnsiTheme="minorHAnsi" w:cstheme="minorHAnsi"/>
                <w:bCs/>
                <w:color w:val="000000"/>
              </w:rPr>
              <w:t>;</w:t>
            </w:r>
            <w:r w:rsidRPr="001A4B7B">
              <w:rPr>
                <w:rFonts w:asciiTheme="minorHAnsi" w:hAnsiTheme="minorHAnsi"/>
                <w:color w:val="000000"/>
              </w:rPr>
              <w:t xml:space="preserve"> SPS 2009</w:t>
            </w:r>
          </w:p>
        </w:tc>
      </w:tr>
      <w:tr w:rsidR="00CF59E1" w:rsidRPr="001A4B7B" w14:paraId="05B210F8"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tcPr>
          <w:p w14:paraId="29BF5288" w14:textId="77777777" w:rsidR="00CF59E1" w:rsidRPr="001A4B7B" w:rsidRDefault="00CF59E1" w:rsidP="00CF59E1">
            <w:pPr>
              <w:tabs>
                <w:tab w:val="left" w:pos="1710"/>
              </w:tabs>
              <w:autoSpaceDE/>
              <w:autoSpaceDN/>
              <w:adjustRightInd/>
              <w:rPr>
                <w:rFonts w:asciiTheme="minorHAnsi" w:hAnsiTheme="minorHAnsi"/>
              </w:rPr>
            </w:pPr>
          </w:p>
        </w:tc>
        <w:tc>
          <w:tcPr>
            <w:tcW w:w="0" w:type="auto"/>
          </w:tcPr>
          <w:p w14:paraId="2BCDE2EE"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IDB</w:t>
            </w:r>
          </w:p>
        </w:tc>
        <w:tc>
          <w:tcPr>
            <w:tcW w:w="1259" w:type="dxa"/>
          </w:tcPr>
          <w:p w14:paraId="14878ECB"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2F7DBC6B" w14:textId="77777777" w:rsidR="00CF59E1" w:rsidRPr="001A4B7B" w:rsidRDefault="00CF59E1" w:rsidP="00CF59E1">
            <w:pPr>
              <w:rPr>
                <w:rFonts w:asciiTheme="minorHAnsi" w:hAnsiTheme="minorHAnsi"/>
                <w:color w:val="000000"/>
              </w:rPr>
            </w:pPr>
            <w:r w:rsidRPr="001A4B7B">
              <w:rPr>
                <w:rFonts w:asciiTheme="minorHAnsi" w:hAnsiTheme="minorHAnsi"/>
                <w:color w:val="000000"/>
              </w:rPr>
              <w:t>IDB Exclusion List – Non-Sovereign Guaranteed Loans</w:t>
            </w:r>
          </w:p>
        </w:tc>
      </w:tr>
      <w:tr w:rsidR="00CF59E1" w:rsidRPr="001A4B7B" w14:paraId="2CBD19A4"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shd w:val="clear" w:color="auto" w:fill="auto"/>
          </w:tcPr>
          <w:p w14:paraId="1B41A122" w14:textId="77777777" w:rsidR="00CF59E1" w:rsidRPr="001A4B7B" w:rsidRDefault="00CF59E1" w:rsidP="00CF59E1">
            <w:pPr>
              <w:tabs>
                <w:tab w:val="left" w:pos="1710"/>
              </w:tabs>
              <w:autoSpaceDE/>
              <w:autoSpaceDN/>
              <w:adjustRightInd/>
              <w:rPr>
                <w:rFonts w:asciiTheme="minorHAnsi" w:hAnsiTheme="minorHAnsi"/>
              </w:rPr>
            </w:pPr>
          </w:p>
        </w:tc>
        <w:tc>
          <w:tcPr>
            <w:tcW w:w="0" w:type="auto"/>
          </w:tcPr>
          <w:p w14:paraId="3FCF612E"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AfDB</w:t>
            </w:r>
          </w:p>
        </w:tc>
        <w:tc>
          <w:tcPr>
            <w:tcW w:w="1259" w:type="dxa"/>
          </w:tcPr>
          <w:p w14:paraId="11CFF4A9"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71E9ADCA" w14:textId="77777777" w:rsidR="00CF59E1" w:rsidRPr="001A4B7B" w:rsidRDefault="00CF59E1" w:rsidP="00CF59E1">
            <w:pPr>
              <w:rPr>
                <w:rFonts w:asciiTheme="minorHAnsi" w:hAnsiTheme="minorHAnsi"/>
                <w:color w:val="000000"/>
              </w:rPr>
            </w:pPr>
            <w:r w:rsidRPr="001A4B7B">
              <w:rPr>
                <w:rFonts w:asciiTheme="minorHAnsi" w:hAnsiTheme="minorHAnsi"/>
                <w:color w:val="000000"/>
              </w:rPr>
              <w:t>Negative List (ISS, Policy Statement, para. 18)</w:t>
            </w:r>
          </w:p>
        </w:tc>
      </w:tr>
      <w:tr w:rsidR="00CF59E1" w:rsidRPr="001A4B7B" w14:paraId="671F056A"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tcPr>
          <w:p w14:paraId="6D8D7AC6" w14:textId="77777777" w:rsidR="00CF59E1" w:rsidRPr="001A4B7B" w:rsidRDefault="00CF59E1" w:rsidP="00CF59E1">
            <w:pPr>
              <w:tabs>
                <w:tab w:val="left" w:pos="1710"/>
              </w:tabs>
              <w:autoSpaceDE/>
              <w:autoSpaceDN/>
              <w:adjustRightInd/>
              <w:rPr>
                <w:rFonts w:asciiTheme="minorHAnsi" w:hAnsiTheme="minorHAnsi"/>
              </w:rPr>
            </w:pPr>
          </w:p>
        </w:tc>
        <w:tc>
          <w:tcPr>
            <w:tcW w:w="0" w:type="auto"/>
          </w:tcPr>
          <w:p w14:paraId="67ABE1BB"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IFC</w:t>
            </w:r>
          </w:p>
        </w:tc>
        <w:tc>
          <w:tcPr>
            <w:tcW w:w="1259" w:type="dxa"/>
          </w:tcPr>
          <w:p w14:paraId="47FFC10A"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399D6B02" w14:textId="77777777" w:rsidR="00CF59E1" w:rsidRPr="001A4B7B" w:rsidRDefault="00CF59E1" w:rsidP="00CF59E1">
            <w:pPr>
              <w:rPr>
                <w:rFonts w:asciiTheme="minorHAnsi" w:hAnsiTheme="minorHAnsi"/>
                <w:color w:val="000000"/>
              </w:rPr>
            </w:pPr>
            <w:r w:rsidRPr="001A4B7B">
              <w:rPr>
                <w:rFonts w:asciiTheme="minorHAnsi" w:hAnsiTheme="minorHAnsi"/>
                <w:color w:val="000000"/>
              </w:rPr>
              <w:t>IFC Exclusion List, Sustainability Framework, 2012</w:t>
            </w:r>
          </w:p>
        </w:tc>
      </w:tr>
      <w:tr w:rsidR="00CF59E1" w:rsidRPr="001A4B7B" w14:paraId="25EC1282" w14:textId="77777777" w:rsidTr="00CF59E1">
        <w:trPr>
          <w:cnfStyle w:val="000000100000" w:firstRow="0" w:lastRow="0" w:firstColumn="0" w:lastColumn="0" w:oddVBand="0" w:evenVBand="0" w:oddHBand="1" w:evenHBand="0" w:firstRowFirstColumn="0" w:firstRowLastColumn="0" w:lastRowFirstColumn="0" w:lastRowLastColumn="0"/>
        </w:trPr>
        <w:tc>
          <w:tcPr>
            <w:tcW w:w="0" w:type="auto"/>
            <w:vMerge/>
            <w:shd w:val="clear" w:color="auto" w:fill="auto"/>
          </w:tcPr>
          <w:p w14:paraId="2C1F9D9C" w14:textId="77777777" w:rsidR="00CF59E1" w:rsidRPr="001A4B7B" w:rsidRDefault="00CF59E1" w:rsidP="00CF59E1">
            <w:pPr>
              <w:tabs>
                <w:tab w:val="left" w:pos="1710"/>
              </w:tabs>
              <w:autoSpaceDE/>
              <w:autoSpaceDN/>
              <w:adjustRightInd/>
              <w:rPr>
                <w:rFonts w:asciiTheme="minorHAnsi" w:hAnsiTheme="minorHAnsi"/>
              </w:rPr>
            </w:pPr>
          </w:p>
        </w:tc>
        <w:tc>
          <w:tcPr>
            <w:tcW w:w="0" w:type="auto"/>
          </w:tcPr>
          <w:p w14:paraId="53EE24F0"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EBRD</w:t>
            </w:r>
          </w:p>
        </w:tc>
        <w:tc>
          <w:tcPr>
            <w:tcW w:w="1259" w:type="dxa"/>
          </w:tcPr>
          <w:p w14:paraId="720BFF06"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51438257" w14:textId="77777777" w:rsidR="00CF59E1" w:rsidRPr="001A4B7B" w:rsidRDefault="00CF59E1" w:rsidP="00CF59E1">
            <w:pPr>
              <w:rPr>
                <w:rFonts w:asciiTheme="minorHAnsi" w:hAnsiTheme="minorHAnsi"/>
                <w:color w:val="000000"/>
              </w:rPr>
            </w:pPr>
            <w:r w:rsidRPr="001A4B7B">
              <w:rPr>
                <w:rFonts w:asciiTheme="minorHAnsi" w:hAnsiTheme="minorHAnsi"/>
                <w:color w:val="000000"/>
              </w:rPr>
              <w:t>Environmental and Social Exclusion List, 2014</w:t>
            </w:r>
          </w:p>
        </w:tc>
      </w:tr>
      <w:tr w:rsidR="00CF59E1" w:rsidRPr="00B711E2" w14:paraId="78033117" w14:textId="77777777" w:rsidTr="00CF59E1">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tcPr>
          <w:p w14:paraId="6C8EC2F7" w14:textId="77777777" w:rsidR="00CF59E1" w:rsidRPr="001A4B7B" w:rsidRDefault="00CF59E1" w:rsidP="00CF59E1">
            <w:pPr>
              <w:tabs>
                <w:tab w:val="left" w:pos="1710"/>
              </w:tabs>
              <w:autoSpaceDE/>
              <w:autoSpaceDN/>
              <w:adjustRightInd/>
              <w:rPr>
                <w:rFonts w:asciiTheme="minorHAnsi" w:hAnsiTheme="minorHAnsi"/>
              </w:rPr>
            </w:pPr>
          </w:p>
        </w:tc>
        <w:tc>
          <w:tcPr>
            <w:tcW w:w="0" w:type="auto"/>
          </w:tcPr>
          <w:p w14:paraId="3BDA7158"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EIB</w:t>
            </w:r>
          </w:p>
        </w:tc>
        <w:tc>
          <w:tcPr>
            <w:tcW w:w="1259" w:type="dxa"/>
          </w:tcPr>
          <w:p w14:paraId="463B214C" w14:textId="77777777" w:rsidR="00CF59E1" w:rsidRPr="001A4B7B" w:rsidRDefault="00CF59E1" w:rsidP="00CF59E1">
            <w:pPr>
              <w:tabs>
                <w:tab w:val="left" w:pos="1710"/>
              </w:tabs>
              <w:autoSpaceDE/>
              <w:autoSpaceDN/>
              <w:adjustRightInd/>
              <w:rPr>
                <w:rFonts w:asciiTheme="minorHAnsi" w:hAnsiTheme="minorHAnsi"/>
              </w:rPr>
            </w:pPr>
            <w:r w:rsidRPr="001A4B7B">
              <w:rPr>
                <w:rFonts w:asciiTheme="minorHAnsi" w:hAnsiTheme="minorHAnsi"/>
              </w:rPr>
              <w:t>Yes</w:t>
            </w:r>
          </w:p>
        </w:tc>
        <w:tc>
          <w:tcPr>
            <w:tcW w:w="4698" w:type="dxa"/>
          </w:tcPr>
          <w:p w14:paraId="657942C3" w14:textId="77777777" w:rsidR="00CF59E1" w:rsidRPr="00B711E2" w:rsidRDefault="00CF59E1" w:rsidP="00CF59E1">
            <w:pPr>
              <w:rPr>
                <w:rFonts w:asciiTheme="minorHAnsi" w:hAnsiTheme="minorHAnsi"/>
                <w:color w:val="000000"/>
              </w:rPr>
            </w:pPr>
            <w:r w:rsidRPr="001A4B7B">
              <w:rPr>
                <w:rFonts w:asciiTheme="minorHAnsi" w:hAnsiTheme="minorHAnsi"/>
                <w:color w:val="000000"/>
              </w:rPr>
              <w:t>Activities Excluded from EIB Lending, April 2013</w:t>
            </w:r>
          </w:p>
        </w:tc>
      </w:tr>
    </w:tbl>
    <w:p w14:paraId="2D7F4208" w14:textId="77777777" w:rsidR="00CF59E1" w:rsidRPr="000F62A5" w:rsidRDefault="00CF59E1" w:rsidP="00E66173">
      <w:pPr>
        <w:autoSpaceDE/>
        <w:autoSpaceDN/>
        <w:adjustRightInd/>
        <w:rPr>
          <w:b/>
          <w:bCs/>
        </w:rPr>
      </w:pPr>
    </w:p>
    <w:p w14:paraId="576C0232" w14:textId="2B2996AA" w:rsidR="00CF59E1" w:rsidRDefault="00CF59E1">
      <w:pPr>
        <w:autoSpaceDE/>
        <w:autoSpaceDN/>
        <w:adjustRightInd/>
        <w:rPr>
          <w:rFonts w:cs="Times New Roman"/>
          <w:b/>
          <w:sz w:val="28"/>
          <w:szCs w:val="28"/>
        </w:rPr>
      </w:pPr>
      <w:r>
        <w:rPr>
          <w:rFonts w:cs="Times New Roman"/>
          <w:b/>
          <w:sz w:val="28"/>
          <w:szCs w:val="28"/>
        </w:rPr>
        <w:br w:type="page"/>
      </w:r>
    </w:p>
    <w:p w14:paraId="60D02CD9" w14:textId="3F4D811B" w:rsidR="00CF59E1" w:rsidRDefault="00CF59E1" w:rsidP="00CF59E1">
      <w:pPr>
        <w:pStyle w:val="hhhead1"/>
        <w:numPr>
          <w:ilvl w:val="0"/>
          <w:numId w:val="0"/>
        </w:numPr>
        <w:jc w:val="center"/>
      </w:pPr>
      <w:bookmarkStart w:id="15" w:name="_Toc419114255"/>
      <w:r w:rsidRPr="00E93F38">
        <w:t xml:space="preserve">Annex </w:t>
      </w:r>
      <w:r>
        <w:t>3</w:t>
      </w:r>
      <w:r w:rsidRPr="00E93F38">
        <w:t>.</w:t>
      </w:r>
      <w:r>
        <w:t xml:space="preserve"> </w:t>
      </w:r>
      <w:r w:rsidRPr="00E93F38">
        <w:t xml:space="preserve">MDB </w:t>
      </w:r>
      <w:r>
        <w:t xml:space="preserve">Categorical </w:t>
      </w:r>
      <w:r w:rsidRPr="00E93F38">
        <w:t>Exclusion</w:t>
      </w:r>
      <w:r>
        <w:t xml:space="preserve"> or Prohibition</w:t>
      </w:r>
      <w:r w:rsidRPr="00E93F38">
        <w:t xml:space="preserve"> Lists</w:t>
      </w:r>
      <w:bookmarkEnd w:id="15"/>
    </w:p>
    <w:p w14:paraId="163D6EBC" w14:textId="4DCDF026" w:rsidR="00CF59E1" w:rsidRDefault="00CF59E1"/>
    <w:tbl>
      <w:tblPr>
        <w:tblStyle w:val="MediumShading1-Accent11"/>
        <w:tblW w:w="8659" w:type="dxa"/>
        <w:tblLook w:val="04A0" w:firstRow="1" w:lastRow="0" w:firstColumn="1" w:lastColumn="0" w:noHBand="0" w:noVBand="1"/>
      </w:tblPr>
      <w:tblGrid>
        <w:gridCol w:w="4122"/>
        <w:gridCol w:w="798"/>
        <w:gridCol w:w="803"/>
        <w:gridCol w:w="767"/>
        <w:gridCol w:w="710"/>
        <w:gridCol w:w="750"/>
        <w:gridCol w:w="709"/>
      </w:tblGrid>
      <w:tr w:rsidR="00CF59E1" w:rsidRPr="00745645" w14:paraId="7D2627CE" w14:textId="77777777" w:rsidTr="00CF59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22" w:type="dxa"/>
          </w:tcPr>
          <w:p w14:paraId="7EB3D0F0" w14:textId="70F2308C" w:rsidR="00CF59E1" w:rsidRPr="007B1E91" w:rsidRDefault="00CF59E1" w:rsidP="00E93F38">
            <w:pPr>
              <w:keepNext/>
              <w:keepLines/>
              <w:spacing w:before="200" w:line="276" w:lineRule="auto"/>
              <w:contextualSpacing/>
              <w:outlineLvl w:val="1"/>
            </w:pPr>
            <w:r w:rsidRPr="007B1E91">
              <w:t>Excluded/Prevented Activities</w:t>
            </w:r>
            <w:r w:rsidRPr="007B1E91">
              <w:rPr>
                <w:rStyle w:val="FootnoteReference"/>
              </w:rPr>
              <w:footnoteReference w:id="127"/>
            </w:r>
          </w:p>
        </w:tc>
        <w:tc>
          <w:tcPr>
            <w:tcW w:w="798" w:type="dxa"/>
          </w:tcPr>
          <w:p w14:paraId="536379C1" w14:textId="77777777" w:rsidR="00CF59E1" w:rsidRPr="007B1E91" w:rsidRDefault="00CF59E1" w:rsidP="00E93F38">
            <w:pPr>
              <w:contextualSpacing/>
              <w:jc w:val="center"/>
              <w:cnfStyle w:val="100000000000" w:firstRow="1" w:lastRow="0" w:firstColumn="0" w:lastColumn="0" w:oddVBand="0" w:evenVBand="0" w:oddHBand="0" w:evenHBand="0" w:firstRowFirstColumn="0" w:firstRowLastColumn="0" w:lastRowFirstColumn="0" w:lastRowLastColumn="0"/>
            </w:pPr>
            <w:r w:rsidRPr="007B1E91">
              <w:t>ADB</w:t>
            </w:r>
          </w:p>
        </w:tc>
        <w:tc>
          <w:tcPr>
            <w:tcW w:w="803" w:type="dxa"/>
          </w:tcPr>
          <w:p w14:paraId="2A42B09D" w14:textId="77777777" w:rsidR="00CF59E1" w:rsidRPr="007B1E91" w:rsidRDefault="00CF59E1" w:rsidP="00E93F38">
            <w:pPr>
              <w:contextualSpacing/>
              <w:jc w:val="center"/>
              <w:cnfStyle w:val="100000000000" w:firstRow="1" w:lastRow="0" w:firstColumn="0" w:lastColumn="0" w:oddVBand="0" w:evenVBand="0" w:oddHBand="0" w:evenHBand="0" w:firstRowFirstColumn="0" w:firstRowLastColumn="0" w:lastRowFirstColumn="0" w:lastRowLastColumn="0"/>
            </w:pPr>
            <w:r w:rsidRPr="007B1E91">
              <w:t>AfDB</w:t>
            </w:r>
          </w:p>
        </w:tc>
        <w:tc>
          <w:tcPr>
            <w:tcW w:w="767" w:type="dxa"/>
          </w:tcPr>
          <w:p w14:paraId="5B7E4628" w14:textId="77777777" w:rsidR="00CF59E1" w:rsidRPr="007B1E91" w:rsidRDefault="00CF59E1" w:rsidP="00CF59E1">
            <w:pPr>
              <w:contextualSpacing/>
              <w:jc w:val="center"/>
              <w:cnfStyle w:val="100000000000" w:firstRow="1" w:lastRow="0" w:firstColumn="0" w:lastColumn="0" w:oddVBand="0" w:evenVBand="0" w:oddHBand="0" w:evenHBand="0" w:firstRowFirstColumn="0" w:firstRowLastColumn="0" w:lastRowFirstColumn="0" w:lastRowLastColumn="0"/>
            </w:pPr>
            <w:r w:rsidRPr="007B1E91">
              <w:t>EBRD</w:t>
            </w:r>
          </w:p>
        </w:tc>
        <w:tc>
          <w:tcPr>
            <w:tcW w:w="710" w:type="dxa"/>
          </w:tcPr>
          <w:p w14:paraId="1656658B" w14:textId="77777777" w:rsidR="00CF59E1" w:rsidRPr="007B1E91" w:rsidRDefault="00CF59E1" w:rsidP="00E93F38">
            <w:pPr>
              <w:contextualSpacing/>
              <w:jc w:val="center"/>
              <w:cnfStyle w:val="100000000000" w:firstRow="1" w:lastRow="0" w:firstColumn="0" w:lastColumn="0" w:oddVBand="0" w:evenVBand="0" w:oddHBand="0" w:evenHBand="0" w:firstRowFirstColumn="0" w:firstRowLastColumn="0" w:lastRowFirstColumn="0" w:lastRowLastColumn="0"/>
            </w:pPr>
            <w:r w:rsidRPr="007B1E91">
              <w:t>EIB</w:t>
            </w:r>
          </w:p>
        </w:tc>
        <w:tc>
          <w:tcPr>
            <w:tcW w:w="750" w:type="dxa"/>
          </w:tcPr>
          <w:p w14:paraId="0B824663" w14:textId="77777777" w:rsidR="00CF59E1" w:rsidRPr="007B1E91" w:rsidRDefault="00CF59E1" w:rsidP="00E93F38">
            <w:pPr>
              <w:contextualSpacing/>
              <w:jc w:val="center"/>
              <w:cnfStyle w:val="100000000000" w:firstRow="1" w:lastRow="0" w:firstColumn="0" w:lastColumn="0" w:oddVBand="0" w:evenVBand="0" w:oddHBand="0" w:evenHBand="0" w:firstRowFirstColumn="0" w:firstRowLastColumn="0" w:lastRowFirstColumn="0" w:lastRowLastColumn="0"/>
            </w:pPr>
            <w:r w:rsidRPr="007B1E91">
              <w:t>IDB</w:t>
            </w:r>
            <w:r w:rsidRPr="007B1E91">
              <w:rPr>
                <w:rStyle w:val="FootnoteReference"/>
              </w:rPr>
              <w:footnoteReference w:id="128"/>
            </w:r>
          </w:p>
        </w:tc>
        <w:tc>
          <w:tcPr>
            <w:tcW w:w="709" w:type="dxa"/>
          </w:tcPr>
          <w:p w14:paraId="1FD302FB" w14:textId="77777777" w:rsidR="00CF59E1" w:rsidRPr="007B1E91" w:rsidRDefault="00CF59E1" w:rsidP="00E93F38">
            <w:pPr>
              <w:contextualSpacing/>
              <w:jc w:val="center"/>
              <w:cnfStyle w:val="100000000000" w:firstRow="1" w:lastRow="0" w:firstColumn="0" w:lastColumn="0" w:oddVBand="0" w:evenVBand="0" w:oddHBand="0" w:evenHBand="0" w:firstRowFirstColumn="0" w:firstRowLastColumn="0" w:lastRowFirstColumn="0" w:lastRowLastColumn="0"/>
            </w:pPr>
            <w:r w:rsidRPr="007B1E91">
              <w:t>IFC</w:t>
            </w:r>
          </w:p>
        </w:tc>
      </w:tr>
      <w:tr w:rsidR="00CF59E1" w14:paraId="6090EF3E"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3BD1F4C2" w14:textId="77777777" w:rsidR="00CF59E1" w:rsidRDefault="00CF59E1" w:rsidP="00E93F38">
            <w:pPr>
              <w:contextualSpacing/>
            </w:pPr>
            <w:r>
              <w:t>Harmful or exploitative forms of child labor</w:t>
            </w:r>
          </w:p>
        </w:tc>
        <w:tc>
          <w:tcPr>
            <w:tcW w:w="798" w:type="dxa"/>
          </w:tcPr>
          <w:p w14:paraId="00A7981D"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803" w:type="dxa"/>
          </w:tcPr>
          <w:p w14:paraId="388337A6"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29"/>
            </w:r>
          </w:p>
        </w:tc>
        <w:tc>
          <w:tcPr>
            <w:tcW w:w="767" w:type="dxa"/>
          </w:tcPr>
          <w:p w14:paraId="1CFAAE1B"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57F5F5BC"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50" w:type="dxa"/>
          </w:tcPr>
          <w:p w14:paraId="11E1026B"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30"/>
            </w:r>
          </w:p>
        </w:tc>
        <w:tc>
          <w:tcPr>
            <w:tcW w:w="709" w:type="dxa"/>
          </w:tcPr>
          <w:p w14:paraId="0026838A"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31"/>
            </w:r>
          </w:p>
        </w:tc>
      </w:tr>
      <w:tr w:rsidR="00CF59E1" w14:paraId="376AA776" w14:textId="77777777" w:rsidTr="00CF59E1">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122" w:type="dxa"/>
          </w:tcPr>
          <w:p w14:paraId="3336FA83" w14:textId="77777777" w:rsidR="00CF59E1" w:rsidRDefault="00CF59E1" w:rsidP="00E93F38">
            <w:pPr>
              <w:contextualSpacing/>
            </w:pPr>
            <w:r>
              <w:t>Harmful or exploitative forms of forced labor</w:t>
            </w:r>
          </w:p>
        </w:tc>
        <w:tc>
          <w:tcPr>
            <w:tcW w:w="798" w:type="dxa"/>
          </w:tcPr>
          <w:p w14:paraId="5F354569"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p>
        </w:tc>
        <w:tc>
          <w:tcPr>
            <w:tcW w:w="803" w:type="dxa"/>
          </w:tcPr>
          <w:p w14:paraId="19B4B479"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rsidRPr="00895C5E">
              <w:t>X</w:t>
            </w:r>
            <w:r w:rsidRPr="00895C5E">
              <w:rPr>
                <w:rStyle w:val="FootnoteReference"/>
              </w:rPr>
              <w:footnoteReference w:id="132"/>
            </w:r>
          </w:p>
        </w:tc>
        <w:tc>
          <w:tcPr>
            <w:tcW w:w="767" w:type="dxa"/>
          </w:tcPr>
          <w:p w14:paraId="447C4BF1"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10" w:type="dxa"/>
          </w:tcPr>
          <w:p w14:paraId="6F7A290D"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50" w:type="dxa"/>
          </w:tcPr>
          <w:p w14:paraId="3C85C305"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33"/>
            </w:r>
          </w:p>
        </w:tc>
        <w:tc>
          <w:tcPr>
            <w:tcW w:w="709" w:type="dxa"/>
          </w:tcPr>
          <w:p w14:paraId="729774D9"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34"/>
            </w:r>
          </w:p>
        </w:tc>
      </w:tr>
      <w:tr w:rsidR="00CF59E1" w14:paraId="38602B2D"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11A732CF" w14:textId="77777777" w:rsidR="00CF59E1" w:rsidRDefault="00CF59E1" w:rsidP="008107CD">
            <w:pPr>
              <w:contextualSpacing/>
            </w:pPr>
            <w:r>
              <w:t>Discriminatory labor practices</w:t>
            </w:r>
          </w:p>
        </w:tc>
        <w:tc>
          <w:tcPr>
            <w:tcW w:w="798" w:type="dxa"/>
          </w:tcPr>
          <w:p w14:paraId="5654F9FA"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803" w:type="dxa"/>
          </w:tcPr>
          <w:p w14:paraId="1506D04D"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67" w:type="dxa"/>
          </w:tcPr>
          <w:p w14:paraId="4171E3B4"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4939400A"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50" w:type="dxa"/>
          </w:tcPr>
          <w:p w14:paraId="345A9CB2"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35"/>
            </w:r>
          </w:p>
        </w:tc>
        <w:tc>
          <w:tcPr>
            <w:tcW w:w="709" w:type="dxa"/>
          </w:tcPr>
          <w:p w14:paraId="133A2312"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r>
      <w:tr w:rsidR="00CF59E1" w14:paraId="09F20BBC"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5C653BAE" w14:textId="77777777" w:rsidR="00CF59E1" w:rsidRDefault="00CF59E1" w:rsidP="00E93F38">
            <w:pPr>
              <w:contextualSpacing/>
            </w:pPr>
            <w:r>
              <w:t>Labor practices that prevent employees from freely exercising their right to association and collective bargaining</w:t>
            </w:r>
          </w:p>
        </w:tc>
        <w:tc>
          <w:tcPr>
            <w:tcW w:w="798" w:type="dxa"/>
          </w:tcPr>
          <w:p w14:paraId="32AF765A"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803" w:type="dxa"/>
          </w:tcPr>
          <w:p w14:paraId="105C2301"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67" w:type="dxa"/>
          </w:tcPr>
          <w:p w14:paraId="39B79BB4"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10" w:type="dxa"/>
          </w:tcPr>
          <w:p w14:paraId="53DD2706"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50" w:type="dxa"/>
          </w:tcPr>
          <w:p w14:paraId="662EFAD4"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36"/>
            </w:r>
          </w:p>
        </w:tc>
        <w:tc>
          <w:tcPr>
            <w:tcW w:w="709" w:type="dxa"/>
          </w:tcPr>
          <w:p w14:paraId="33597534"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r>
      <w:tr w:rsidR="00CF59E1" w14:paraId="3C41CB2F"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25B8D57C" w14:textId="77777777" w:rsidR="00CF59E1" w:rsidRPr="004032D3" w:rsidRDefault="00CF59E1" w:rsidP="00E93F38">
            <w:pPr>
              <w:contextualSpacing/>
            </w:pPr>
            <w:r w:rsidRPr="004032D3">
              <w:t>Projects which result in limiting people’s individual rights and freedom in violation of human rights</w:t>
            </w:r>
          </w:p>
        </w:tc>
        <w:tc>
          <w:tcPr>
            <w:tcW w:w="798" w:type="dxa"/>
          </w:tcPr>
          <w:p w14:paraId="3EE2B3A3"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803" w:type="dxa"/>
          </w:tcPr>
          <w:p w14:paraId="1A1259E5"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67" w:type="dxa"/>
          </w:tcPr>
          <w:p w14:paraId="4D0F6C53"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63BB8697"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50" w:type="dxa"/>
          </w:tcPr>
          <w:p w14:paraId="2C2731EA" w14:textId="77777777" w:rsidR="00CF59E1" w:rsidRDefault="00CF59E1" w:rsidP="00CF59E1">
            <w:pPr>
              <w:tabs>
                <w:tab w:val="center" w:pos="252"/>
              </w:tabs>
              <w:contextualSpacing/>
              <w:cnfStyle w:val="000000100000" w:firstRow="0" w:lastRow="0" w:firstColumn="0" w:lastColumn="0" w:oddVBand="0" w:evenVBand="0" w:oddHBand="1" w:evenHBand="0" w:firstRowFirstColumn="0" w:firstRowLastColumn="0" w:lastRowFirstColumn="0" w:lastRowLastColumn="0"/>
            </w:pPr>
            <w:r>
              <w:tab/>
            </w:r>
          </w:p>
        </w:tc>
        <w:tc>
          <w:tcPr>
            <w:tcW w:w="709" w:type="dxa"/>
          </w:tcPr>
          <w:p w14:paraId="76B2966D"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r>
      <w:tr w:rsidR="00CF59E1" w14:paraId="4FF8FF5C"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431CA004" w14:textId="77777777" w:rsidR="00CF59E1" w:rsidRPr="004032D3" w:rsidRDefault="00CF59E1" w:rsidP="00E93F38">
            <w:pPr>
              <w:contextualSpacing/>
            </w:pPr>
            <w:r w:rsidRPr="004032D3">
              <w:t>Noncompliance with workers</w:t>
            </w:r>
            <w:r>
              <w:t>’</w:t>
            </w:r>
            <w:r w:rsidRPr="004032D3">
              <w:t xml:space="preserve"> fundamental principles and rights at work</w:t>
            </w:r>
          </w:p>
        </w:tc>
        <w:tc>
          <w:tcPr>
            <w:tcW w:w="798" w:type="dxa"/>
          </w:tcPr>
          <w:p w14:paraId="3C33A068"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803" w:type="dxa"/>
          </w:tcPr>
          <w:p w14:paraId="239D7F4A"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67" w:type="dxa"/>
          </w:tcPr>
          <w:p w14:paraId="6C28F4A0"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10" w:type="dxa"/>
          </w:tcPr>
          <w:p w14:paraId="7A3D878C"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50" w:type="dxa"/>
          </w:tcPr>
          <w:p w14:paraId="2585F594"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p>
        </w:tc>
        <w:tc>
          <w:tcPr>
            <w:tcW w:w="709" w:type="dxa"/>
          </w:tcPr>
          <w:p w14:paraId="1F2B0203"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r>
      <w:tr w:rsidR="00CF59E1" w14:paraId="75984686"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1E695732" w14:textId="77777777" w:rsidR="00CF59E1" w:rsidRPr="004032D3" w:rsidRDefault="00CF59E1" w:rsidP="00E93F38">
            <w:pPr>
              <w:contextualSpacing/>
            </w:pPr>
            <w:r w:rsidRPr="004032D3">
              <w:t xml:space="preserve">Projects with a </w:t>
            </w:r>
            <w:r>
              <w:t>“</w:t>
            </w:r>
            <w:r w:rsidRPr="004032D3">
              <w:t>political or religious content</w:t>
            </w:r>
            <w:r>
              <w:t>”</w:t>
            </w:r>
          </w:p>
        </w:tc>
        <w:tc>
          <w:tcPr>
            <w:tcW w:w="798" w:type="dxa"/>
          </w:tcPr>
          <w:p w14:paraId="4A42ECC9"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803" w:type="dxa"/>
          </w:tcPr>
          <w:p w14:paraId="0482A9C6"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67" w:type="dxa"/>
          </w:tcPr>
          <w:p w14:paraId="23B7C0BC"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5B69C1CA"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50" w:type="dxa"/>
          </w:tcPr>
          <w:p w14:paraId="033C45E4"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3A51F7B2"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r>
      <w:tr w:rsidR="00CF59E1" w14:paraId="6B6C954E"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6DD671DF" w14:textId="77777777" w:rsidR="00CF59E1" w:rsidRDefault="00CF59E1" w:rsidP="00E93F38">
            <w:pPr>
              <w:contextualSpacing/>
            </w:pPr>
            <w:r>
              <w:t>“Ethically or morally controversial” projects</w:t>
            </w:r>
          </w:p>
        </w:tc>
        <w:tc>
          <w:tcPr>
            <w:tcW w:w="798" w:type="dxa"/>
          </w:tcPr>
          <w:p w14:paraId="56DB6721"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803" w:type="dxa"/>
          </w:tcPr>
          <w:p w14:paraId="3A104537"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67" w:type="dxa"/>
          </w:tcPr>
          <w:p w14:paraId="1D3C1BDC"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10" w:type="dxa"/>
          </w:tcPr>
          <w:p w14:paraId="26058856"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37"/>
            </w:r>
          </w:p>
        </w:tc>
        <w:tc>
          <w:tcPr>
            <w:tcW w:w="750" w:type="dxa"/>
          </w:tcPr>
          <w:p w14:paraId="3D4C14AC"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09" w:type="dxa"/>
          </w:tcPr>
          <w:p w14:paraId="2AC1E4A0"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r>
      <w:tr w:rsidR="00CF59E1" w14:paraId="41B10B42"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3FA8C09B" w14:textId="77777777" w:rsidR="00CF59E1" w:rsidRDefault="00CF59E1" w:rsidP="00CF59E1">
            <w:pPr>
              <w:contextualSpacing/>
            </w:pPr>
            <w:r>
              <w:t>Sex trade and related infrastructure services and media</w:t>
            </w:r>
          </w:p>
        </w:tc>
        <w:tc>
          <w:tcPr>
            <w:tcW w:w="798" w:type="dxa"/>
          </w:tcPr>
          <w:p w14:paraId="47F1CA1B"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803" w:type="dxa"/>
          </w:tcPr>
          <w:p w14:paraId="21E358CF"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67" w:type="dxa"/>
          </w:tcPr>
          <w:p w14:paraId="29D2BF5D"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1504152D"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50" w:type="dxa"/>
          </w:tcPr>
          <w:p w14:paraId="58AD1046"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02563EBA"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r>
      <w:tr w:rsidR="00CF59E1" w14:paraId="6BD6E996"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4009CAD4" w14:textId="77777777" w:rsidR="00CF59E1" w:rsidRDefault="00CF59E1" w:rsidP="00CF59E1">
            <w:pPr>
              <w:contextualSpacing/>
            </w:pPr>
            <w:r>
              <w:t>Abortion Clinics</w:t>
            </w:r>
          </w:p>
        </w:tc>
        <w:tc>
          <w:tcPr>
            <w:tcW w:w="798" w:type="dxa"/>
          </w:tcPr>
          <w:p w14:paraId="52B70E6A"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803" w:type="dxa"/>
          </w:tcPr>
          <w:p w14:paraId="53B0EBD2"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67" w:type="dxa"/>
          </w:tcPr>
          <w:p w14:paraId="4553C608"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10" w:type="dxa"/>
          </w:tcPr>
          <w:p w14:paraId="39E10C94"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38"/>
            </w:r>
          </w:p>
        </w:tc>
        <w:tc>
          <w:tcPr>
            <w:tcW w:w="750" w:type="dxa"/>
          </w:tcPr>
          <w:p w14:paraId="09AC6448"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09" w:type="dxa"/>
          </w:tcPr>
          <w:p w14:paraId="358FE1D1"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r>
      <w:tr w:rsidR="00CF59E1" w14:paraId="43CF279F"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2ECC1774" w14:textId="77777777" w:rsidR="00CF59E1" w:rsidRDefault="00CF59E1" w:rsidP="00CF59E1">
            <w:pPr>
              <w:contextualSpacing/>
            </w:pPr>
            <w:r>
              <w:t>Animal testing</w:t>
            </w:r>
          </w:p>
        </w:tc>
        <w:tc>
          <w:tcPr>
            <w:tcW w:w="798" w:type="dxa"/>
          </w:tcPr>
          <w:p w14:paraId="66AC8FA2"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803" w:type="dxa"/>
          </w:tcPr>
          <w:p w14:paraId="050F3989"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67" w:type="dxa"/>
          </w:tcPr>
          <w:p w14:paraId="341EDDAA"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1F2A92A2"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39"/>
            </w:r>
          </w:p>
        </w:tc>
        <w:tc>
          <w:tcPr>
            <w:tcW w:w="750" w:type="dxa"/>
          </w:tcPr>
          <w:p w14:paraId="3F481C74"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4C78728B"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r>
      <w:tr w:rsidR="00CF59E1" w14:paraId="6225042C" w14:textId="77777777" w:rsidTr="00CF59E1">
        <w:trPr>
          <w:cnfStyle w:val="000000010000" w:firstRow="0" w:lastRow="0" w:firstColumn="0" w:lastColumn="0" w:oddVBand="0" w:evenVBand="0" w:oddHBand="0" w:evenHBand="1"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4122" w:type="dxa"/>
          </w:tcPr>
          <w:p w14:paraId="7D2FD287" w14:textId="77777777" w:rsidR="00CF59E1" w:rsidRDefault="00CF59E1" w:rsidP="00E93F38">
            <w:pPr>
              <w:contextualSpacing/>
            </w:pPr>
            <w:r>
              <w:t xml:space="preserve">Projects “unacceptable in environmental or social terms” </w:t>
            </w:r>
          </w:p>
        </w:tc>
        <w:tc>
          <w:tcPr>
            <w:tcW w:w="798" w:type="dxa"/>
          </w:tcPr>
          <w:p w14:paraId="2EAC8818"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803" w:type="dxa"/>
          </w:tcPr>
          <w:p w14:paraId="2BEDCEB8"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67" w:type="dxa"/>
          </w:tcPr>
          <w:p w14:paraId="5D20460E"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10" w:type="dxa"/>
          </w:tcPr>
          <w:p w14:paraId="3A2C5F6D"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50" w:type="dxa"/>
          </w:tcPr>
          <w:p w14:paraId="5355B85B"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40"/>
            </w:r>
          </w:p>
        </w:tc>
        <w:tc>
          <w:tcPr>
            <w:tcW w:w="709" w:type="dxa"/>
          </w:tcPr>
          <w:p w14:paraId="1A8E5A25"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r>
      <w:tr w:rsidR="00CF59E1" w14:paraId="3CF61E90"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411DF7CE" w14:textId="77777777" w:rsidR="00CF59E1" w:rsidRDefault="00CF59E1" w:rsidP="00E93F38">
            <w:pPr>
              <w:contextualSpacing/>
            </w:pPr>
            <w:r>
              <w:t xml:space="preserve">Production or activities that impinge on the lands owned, or claimed under adjudication, by </w:t>
            </w:r>
            <w:r w:rsidRPr="00AE57DF">
              <w:t>Indigenous Peoples</w:t>
            </w:r>
            <w:r>
              <w:t>, without full documented consent of such peoples</w:t>
            </w:r>
          </w:p>
        </w:tc>
        <w:tc>
          <w:tcPr>
            <w:tcW w:w="798" w:type="dxa"/>
          </w:tcPr>
          <w:p w14:paraId="35B88249"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803" w:type="dxa"/>
          </w:tcPr>
          <w:p w14:paraId="026B0C4E"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67" w:type="dxa"/>
          </w:tcPr>
          <w:p w14:paraId="5FC3C162"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73DEBD85"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50" w:type="dxa"/>
          </w:tcPr>
          <w:p w14:paraId="43197DE5"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43FF874B"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41"/>
            </w:r>
          </w:p>
        </w:tc>
      </w:tr>
      <w:tr w:rsidR="00CF59E1" w14:paraId="7C3093C2"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48FF5DBE" w14:textId="77777777" w:rsidR="00CF59E1" w:rsidRDefault="00CF59E1" w:rsidP="00E93F38">
            <w:pPr>
              <w:contextualSpacing/>
            </w:pPr>
            <w:r>
              <w:t xml:space="preserve">Production or trade of any product or activity deemed </w:t>
            </w:r>
            <w:r w:rsidRPr="00AE57DF">
              <w:t>illegal under host country laws or regulations</w:t>
            </w:r>
          </w:p>
        </w:tc>
        <w:tc>
          <w:tcPr>
            <w:tcW w:w="798" w:type="dxa"/>
          </w:tcPr>
          <w:p w14:paraId="07BC1D4A"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p>
        </w:tc>
        <w:tc>
          <w:tcPr>
            <w:tcW w:w="803" w:type="dxa"/>
          </w:tcPr>
          <w:p w14:paraId="56BC5C80"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p>
        </w:tc>
        <w:tc>
          <w:tcPr>
            <w:tcW w:w="767" w:type="dxa"/>
          </w:tcPr>
          <w:p w14:paraId="13357252"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p>
        </w:tc>
        <w:tc>
          <w:tcPr>
            <w:tcW w:w="710" w:type="dxa"/>
          </w:tcPr>
          <w:p w14:paraId="046F62C6"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42"/>
            </w:r>
          </w:p>
        </w:tc>
        <w:tc>
          <w:tcPr>
            <w:tcW w:w="750" w:type="dxa"/>
          </w:tcPr>
          <w:p w14:paraId="402CF523"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p>
        </w:tc>
        <w:tc>
          <w:tcPr>
            <w:tcW w:w="709" w:type="dxa"/>
          </w:tcPr>
          <w:p w14:paraId="17C503D4"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43"/>
            </w:r>
          </w:p>
        </w:tc>
      </w:tr>
      <w:tr w:rsidR="00CF59E1" w14:paraId="44E5EA18" w14:textId="77777777" w:rsidTr="00CF59E1">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4122" w:type="dxa"/>
          </w:tcPr>
          <w:p w14:paraId="6EA17F12" w14:textId="77777777" w:rsidR="00CF59E1" w:rsidRDefault="00CF59E1" w:rsidP="00E93F38">
            <w:pPr>
              <w:contextualSpacing/>
            </w:pPr>
            <w:r>
              <w:t xml:space="preserve">Production or trade of any product or activity </w:t>
            </w:r>
            <w:r w:rsidRPr="00AE57DF">
              <w:t>deemed illegal under international conventions and agreements</w:t>
            </w:r>
          </w:p>
        </w:tc>
        <w:tc>
          <w:tcPr>
            <w:tcW w:w="798" w:type="dxa"/>
          </w:tcPr>
          <w:p w14:paraId="4494D0A5"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803" w:type="dxa"/>
          </w:tcPr>
          <w:p w14:paraId="1C153491"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44"/>
            </w:r>
          </w:p>
        </w:tc>
        <w:tc>
          <w:tcPr>
            <w:tcW w:w="767" w:type="dxa"/>
          </w:tcPr>
          <w:p w14:paraId="748E645B"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10" w:type="dxa"/>
          </w:tcPr>
          <w:p w14:paraId="15ACF46B"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50" w:type="dxa"/>
          </w:tcPr>
          <w:p w14:paraId="27295C01"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09" w:type="dxa"/>
          </w:tcPr>
          <w:p w14:paraId="78BB4F80"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45"/>
            </w:r>
          </w:p>
        </w:tc>
      </w:tr>
      <w:tr w:rsidR="00CF59E1" w14:paraId="7055CCE8"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435279A7" w14:textId="77777777" w:rsidR="00CF59E1" w:rsidRDefault="00CF59E1" w:rsidP="00E93F38">
            <w:pPr>
              <w:contextualSpacing/>
            </w:pPr>
            <w:r>
              <w:t xml:space="preserve">International trade in </w:t>
            </w:r>
            <w:r w:rsidRPr="00AE57DF">
              <w:t>waste products</w:t>
            </w:r>
          </w:p>
        </w:tc>
        <w:tc>
          <w:tcPr>
            <w:tcW w:w="798" w:type="dxa"/>
          </w:tcPr>
          <w:p w14:paraId="4E11DAD4"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p>
        </w:tc>
        <w:tc>
          <w:tcPr>
            <w:tcW w:w="803" w:type="dxa"/>
          </w:tcPr>
          <w:p w14:paraId="1E04C4B8"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67" w:type="dxa"/>
          </w:tcPr>
          <w:p w14:paraId="37FB882F"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46"/>
            </w:r>
          </w:p>
        </w:tc>
        <w:tc>
          <w:tcPr>
            <w:tcW w:w="710" w:type="dxa"/>
          </w:tcPr>
          <w:p w14:paraId="47A43589"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50" w:type="dxa"/>
          </w:tcPr>
          <w:p w14:paraId="01A6A709"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47"/>
            </w:r>
          </w:p>
        </w:tc>
        <w:tc>
          <w:tcPr>
            <w:tcW w:w="709" w:type="dxa"/>
          </w:tcPr>
          <w:p w14:paraId="7162A4B6"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r>
      <w:tr w:rsidR="00CF59E1" w14:paraId="75A06A70"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26A2D027" w14:textId="77777777" w:rsidR="00CF59E1" w:rsidRDefault="00CF59E1" w:rsidP="00E93F38">
            <w:pPr>
              <w:contextualSpacing/>
            </w:pPr>
            <w:r>
              <w:t xml:space="preserve">Trade in wildlife or wildlife products regulated under </w:t>
            </w:r>
            <w:r w:rsidRPr="00AE57DF">
              <w:t>CITES</w:t>
            </w:r>
            <w:r>
              <w:rPr>
                <w:rStyle w:val="FootnoteReference"/>
              </w:rPr>
              <w:footnoteReference w:id="148"/>
            </w:r>
          </w:p>
        </w:tc>
        <w:tc>
          <w:tcPr>
            <w:tcW w:w="798" w:type="dxa"/>
          </w:tcPr>
          <w:p w14:paraId="4F1822FC"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803" w:type="dxa"/>
          </w:tcPr>
          <w:p w14:paraId="6C030DF0"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67" w:type="dxa"/>
          </w:tcPr>
          <w:p w14:paraId="4C3A9BB6" w14:textId="77777777" w:rsidR="00CF59E1" w:rsidRDefault="00CF59E1" w:rsidP="00CF59E1">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10" w:type="dxa"/>
          </w:tcPr>
          <w:p w14:paraId="7F7461C4"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50" w:type="dxa"/>
          </w:tcPr>
          <w:p w14:paraId="2ED79570"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09" w:type="dxa"/>
          </w:tcPr>
          <w:p w14:paraId="1F8CBFA2"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49"/>
            </w:r>
          </w:p>
        </w:tc>
      </w:tr>
      <w:tr w:rsidR="00CF59E1" w14:paraId="776E2D06"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26203A8F" w14:textId="77777777" w:rsidR="00CF59E1" w:rsidRDefault="00CF59E1" w:rsidP="00CF59E1">
            <w:pPr>
              <w:contextualSpacing/>
            </w:pPr>
            <w:r>
              <w:t>Genetically Modified Organisms</w:t>
            </w:r>
          </w:p>
        </w:tc>
        <w:tc>
          <w:tcPr>
            <w:tcW w:w="798" w:type="dxa"/>
          </w:tcPr>
          <w:p w14:paraId="3D733AC5"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803" w:type="dxa"/>
          </w:tcPr>
          <w:p w14:paraId="08A26199"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67" w:type="dxa"/>
          </w:tcPr>
          <w:p w14:paraId="5886EFBD"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10" w:type="dxa"/>
          </w:tcPr>
          <w:p w14:paraId="4BA8189A"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50"/>
            </w:r>
          </w:p>
        </w:tc>
        <w:tc>
          <w:tcPr>
            <w:tcW w:w="750" w:type="dxa"/>
          </w:tcPr>
          <w:p w14:paraId="0AC497DA"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51"/>
            </w:r>
          </w:p>
        </w:tc>
        <w:tc>
          <w:tcPr>
            <w:tcW w:w="709" w:type="dxa"/>
          </w:tcPr>
          <w:p w14:paraId="330239BF"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r>
      <w:tr w:rsidR="00CF59E1" w14:paraId="09DECA65"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58C23ACF" w14:textId="77777777" w:rsidR="00CF59E1" w:rsidRDefault="00CF59E1" w:rsidP="00E93F38">
            <w:pPr>
              <w:contextualSpacing/>
            </w:pPr>
            <w:r w:rsidRPr="00AE57DF">
              <w:t>Driftnet fishing</w:t>
            </w:r>
            <w:r>
              <w:t xml:space="preserve"> in the marine environment using nets of 2.5 km or more in length </w:t>
            </w:r>
          </w:p>
        </w:tc>
        <w:tc>
          <w:tcPr>
            <w:tcW w:w="798" w:type="dxa"/>
          </w:tcPr>
          <w:p w14:paraId="2E570C50"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52"/>
            </w:r>
          </w:p>
        </w:tc>
        <w:tc>
          <w:tcPr>
            <w:tcW w:w="803" w:type="dxa"/>
          </w:tcPr>
          <w:p w14:paraId="5C802F3B"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67" w:type="dxa"/>
          </w:tcPr>
          <w:p w14:paraId="3CA0BFED"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10" w:type="dxa"/>
          </w:tcPr>
          <w:p w14:paraId="7DEFCA99"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50" w:type="dxa"/>
          </w:tcPr>
          <w:p w14:paraId="733C582C"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09" w:type="dxa"/>
          </w:tcPr>
          <w:p w14:paraId="6D0F9548"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53"/>
            </w:r>
          </w:p>
        </w:tc>
      </w:tr>
      <w:tr w:rsidR="00CF59E1" w14:paraId="1C331F2A"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43073312" w14:textId="77777777" w:rsidR="00CF59E1" w:rsidRDefault="00CF59E1" w:rsidP="00E93F38">
            <w:pPr>
              <w:tabs>
                <w:tab w:val="left" w:pos="0"/>
                <w:tab w:val="left" w:pos="804"/>
              </w:tabs>
              <w:spacing w:before="80"/>
              <w:contextualSpacing/>
            </w:pPr>
            <w:r>
              <w:t xml:space="preserve">Activities prohibited by host country legislation or </w:t>
            </w:r>
            <w:r w:rsidRPr="00AE57DF">
              <w:t>international conventions relating to the protection of biodiversit</w:t>
            </w:r>
            <w:r>
              <w:t xml:space="preserve">y resources </w:t>
            </w:r>
            <w:r w:rsidRPr="00AE57DF">
              <w:t>or cultural heritage</w:t>
            </w:r>
          </w:p>
        </w:tc>
        <w:tc>
          <w:tcPr>
            <w:tcW w:w="798" w:type="dxa"/>
          </w:tcPr>
          <w:p w14:paraId="063F2417"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803" w:type="dxa"/>
          </w:tcPr>
          <w:p w14:paraId="3F584512"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67" w:type="dxa"/>
          </w:tcPr>
          <w:p w14:paraId="385E9EA7"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54"/>
            </w:r>
          </w:p>
        </w:tc>
        <w:tc>
          <w:tcPr>
            <w:tcW w:w="710" w:type="dxa"/>
          </w:tcPr>
          <w:p w14:paraId="20F941B7"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50" w:type="dxa"/>
          </w:tcPr>
          <w:p w14:paraId="155AC32E"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09" w:type="dxa"/>
          </w:tcPr>
          <w:p w14:paraId="55FE69F1"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r>
      <w:tr w:rsidR="00CF59E1" w14:paraId="5B21BBA5"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703F5536" w14:textId="77777777" w:rsidR="00CF59E1" w:rsidRDefault="00CF59E1" w:rsidP="00CF59E1">
            <w:pPr>
              <w:contextualSpacing/>
            </w:pPr>
            <w:r>
              <w:t xml:space="preserve">Production or trade of any product or activity subject to </w:t>
            </w:r>
            <w:r w:rsidRPr="00AE57DF">
              <w:t>international phase</w:t>
            </w:r>
            <w:r>
              <w:t xml:space="preserve"> </w:t>
            </w:r>
            <w:r w:rsidRPr="00AE57DF">
              <w:t xml:space="preserve">outs </w:t>
            </w:r>
            <w:r>
              <w:t xml:space="preserve">or </w:t>
            </w:r>
            <w:r w:rsidRPr="00AE57DF">
              <w:t>bans</w:t>
            </w:r>
            <w:r>
              <w:rPr>
                <w:rStyle w:val="FootnoteReference"/>
              </w:rPr>
              <w:footnoteReference w:id="155"/>
            </w:r>
          </w:p>
        </w:tc>
        <w:tc>
          <w:tcPr>
            <w:tcW w:w="798" w:type="dxa"/>
          </w:tcPr>
          <w:p w14:paraId="48B4F958"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56"/>
            </w:r>
          </w:p>
        </w:tc>
        <w:tc>
          <w:tcPr>
            <w:tcW w:w="803" w:type="dxa"/>
          </w:tcPr>
          <w:p w14:paraId="61CE8134"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57"/>
            </w:r>
          </w:p>
        </w:tc>
        <w:tc>
          <w:tcPr>
            <w:tcW w:w="767" w:type="dxa"/>
          </w:tcPr>
          <w:p w14:paraId="4A3F98BB"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58"/>
            </w:r>
          </w:p>
        </w:tc>
        <w:tc>
          <w:tcPr>
            <w:tcW w:w="710" w:type="dxa"/>
          </w:tcPr>
          <w:p w14:paraId="04D32CE8"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50" w:type="dxa"/>
          </w:tcPr>
          <w:p w14:paraId="346E7422"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59"/>
            </w:r>
          </w:p>
        </w:tc>
        <w:tc>
          <w:tcPr>
            <w:tcW w:w="709" w:type="dxa"/>
          </w:tcPr>
          <w:p w14:paraId="0C6A0A81"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60"/>
            </w:r>
          </w:p>
        </w:tc>
      </w:tr>
      <w:tr w:rsidR="00CF59E1" w14:paraId="6302A870"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38289F67" w14:textId="77777777" w:rsidR="00CF59E1" w:rsidRDefault="00CF59E1" w:rsidP="00E93F38">
            <w:pPr>
              <w:contextualSpacing/>
            </w:pPr>
            <w:r>
              <w:t xml:space="preserve">Production, trade, storage or transport of significant volume of </w:t>
            </w:r>
            <w:r w:rsidRPr="00AE57DF">
              <w:t xml:space="preserve">hazardous chemicals </w:t>
            </w:r>
            <w:r>
              <w:t>or commercial scale usage of hazardous chemicals</w:t>
            </w:r>
          </w:p>
        </w:tc>
        <w:tc>
          <w:tcPr>
            <w:tcW w:w="798" w:type="dxa"/>
          </w:tcPr>
          <w:p w14:paraId="097812EE"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p>
        </w:tc>
        <w:tc>
          <w:tcPr>
            <w:tcW w:w="803" w:type="dxa"/>
          </w:tcPr>
          <w:p w14:paraId="5E7AE623"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67" w:type="dxa"/>
          </w:tcPr>
          <w:p w14:paraId="2BDBB6F7"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10" w:type="dxa"/>
          </w:tcPr>
          <w:p w14:paraId="2706EAF0"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50" w:type="dxa"/>
          </w:tcPr>
          <w:p w14:paraId="4F6FBE6C"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61"/>
            </w:r>
          </w:p>
        </w:tc>
        <w:tc>
          <w:tcPr>
            <w:tcW w:w="709" w:type="dxa"/>
          </w:tcPr>
          <w:p w14:paraId="0CE908C8"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62"/>
            </w:r>
          </w:p>
        </w:tc>
      </w:tr>
      <w:tr w:rsidR="00CF59E1" w14:paraId="4E68816C"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7804AAF9" w14:textId="77777777" w:rsidR="00CF59E1" w:rsidRPr="00E875D0" w:rsidRDefault="00CF59E1" w:rsidP="00E93F38">
            <w:pPr>
              <w:contextualSpacing/>
            </w:pPr>
            <w:r w:rsidRPr="00E875D0">
              <w:t>Radioactive materials including nuclear reactors and components thereof</w:t>
            </w:r>
          </w:p>
        </w:tc>
        <w:tc>
          <w:tcPr>
            <w:tcW w:w="798" w:type="dxa"/>
          </w:tcPr>
          <w:p w14:paraId="66200DF0"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803" w:type="dxa"/>
          </w:tcPr>
          <w:p w14:paraId="76C39736"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67" w:type="dxa"/>
          </w:tcPr>
          <w:p w14:paraId="488CE974"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60E4E446"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 xml:space="preserve"> X</w:t>
            </w:r>
            <w:r>
              <w:rPr>
                <w:rStyle w:val="FootnoteReference"/>
              </w:rPr>
              <w:footnoteReference w:id="163"/>
            </w:r>
          </w:p>
        </w:tc>
        <w:tc>
          <w:tcPr>
            <w:tcW w:w="750" w:type="dxa"/>
          </w:tcPr>
          <w:p w14:paraId="4816492A"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09" w:type="dxa"/>
          </w:tcPr>
          <w:p w14:paraId="1A01B424"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r>
      <w:tr w:rsidR="00CF59E1" w14:paraId="15CD4297"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1A39FCDB" w14:textId="77777777" w:rsidR="00CF59E1" w:rsidRDefault="00CF59E1" w:rsidP="00E93F38">
            <w:pPr>
              <w:contextualSpacing/>
            </w:pPr>
            <w:r>
              <w:t xml:space="preserve">Trade in goods without required </w:t>
            </w:r>
            <w:r w:rsidRPr="004924A0">
              <w:t>export or import licenses</w:t>
            </w:r>
            <w:r>
              <w:t xml:space="preserve"> or other evidence of authorization of transit from the relevant countries of export, import and, if applicable, transit</w:t>
            </w:r>
          </w:p>
        </w:tc>
        <w:tc>
          <w:tcPr>
            <w:tcW w:w="798" w:type="dxa"/>
          </w:tcPr>
          <w:p w14:paraId="3DA61142"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803" w:type="dxa"/>
          </w:tcPr>
          <w:p w14:paraId="26F0F78E"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67" w:type="dxa"/>
          </w:tcPr>
          <w:p w14:paraId="0555CF9E"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p>
        </w:tc>
        <w:tc>
          <w:tcPr>
            <w:tcW w:w="710" w:type="dxa"/>
          </w:tcPr>
          <w:p w14:paraId="480A8962"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50" w:type="dxa"/>
          </w:tcPr>
          <w:p w14:paraId="57455C27"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09" w:type="dxa"/>
          </w:tcPr>
          <w:p w14:paraId="1AED1F0F"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r>
      <w:tr w:rsidR="00CF59E1" w14:paraId="621EE01F"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7E8060E9" w14:textId="77777777" w:rsidR="00CF59E1" w:rsidRDefault="00CF59E1" w:rsidP="00CF59E1">
            <w:pPr>
              <w:contextualSpacing/>
            </w:pPr>
            <w:r>
              <w:t xml:space="preserve">Production of and trade in </w:t>
            </w:r>
            <w:r w:rsidRPr="004924A0">
              <w:t>ozone-depleting substances</w:t>
            </w:r>
            <w:r>
              <w:t xml:space="preserve"> subject to international phase out </w:t>
            </w:r>
          </w:p>
        </w:tc>
        <w:tc>
          <w:tcPr>
            <w:tcW w:w="798" w:type="dxa"/>
          </w:tcPr>
          <w:p w14:paraId="1E12C47B"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803" w:type="dxa"/>
          </w:tcPr>
          <w:p w14:paraId="510863A5"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67" w:type="dxa"/>
          </w:tcPr>
          <w:p w14:paraId="49E39D4A"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64"/>
            </w:r>
          </w:p>
        </w:tc>
        <w:tc>
          <w:tcPr>
            <w:tcW w:w="710" w:type="dxa"/>
          </w:tcPr>
          <w:p w14:paraId="3C15EC63"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50" w:type="dxa"/>
          </w:tcPr>
          <w:p w14:paraId="301A56E6"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65"/>
            </w:r>
          </w:p>
        </w:tc>
        <w:tc>
          <w:tcPr>
            <w:tcW w:w="709" w:type="dxa"/>
          </w:tcPr>
          <w:p w14:paraId="7D849396"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r>
      <w:tr w:rsidR="00CF59E1" w14:paraId="53E83CD4"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5588DE33" w14:textId="77777777" w:rsidR="00CF59E1" w:rsidRDefault="00CF59E1" w:rsidP="00E93F38">
            <w:pPr>
              <w:contextualSpacing/>
            </w:pPr>
            <w:r w:rsidRPr="004924A0">
              <w:t>Persistent organic pollutants</w:t>
            </w:r>
            <w:r>
              <w:t xml:space="preserve"> (POPs)</w:t>
            </w:r>
          </w:p>
        </w:tc>
        <w:tc>
          <w:tcPr>
            <w:tcW w:w="798" w:type="dxa"/>
          </w:tcPr>
          <w:p w14:paraId="7EC13BAA"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803" w:type="dxa"/>
          </w:tcPr>
          <w:p w14:paraId="561AF399"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67" w:type="dxa"/>
          </w:tcPr>
          <w:p w14:paraId="630024BF"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10" w:type="dxa"/>
          </w:tcPr>
          <w:p w14:paraId="178EB05F"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50" w:type="dxa"/>
          </w:tcPr>
          <w:p w14:paraId="5810DF16"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66"/>
            </w:r>
          </w:p>
        </w:tc>
        <w:tc>
          <w:tcPr>
            <w:tcW w:w="709" w:type="dxa"/>
          </w:tcPr>
          <w:p w14:paraId="1A4B4023"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r>
      <w:tr w:rsidR="00CF59E1" w14:paraId="02FC24B0"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0F72811D" w14:textId="77777777" w:rsidR="00CF59E1" w:rsidRDefault="00CF59E1" w:rsidP="00CF59E1">
            <w:pPr>
              <w:contextualSpacing/>
            </w:pPr>
            <w:r>
              <w:t>Production of and trade in products containing polychlorinated biphenyls (PCBs)</w:t>
            </w:r>
          </w:p>
        </w:tc>
        <w:tc>
          <w:tcPr>
            <w:tcW w:w="798" w:type="dxa"/>
          </w:tcPr>
          <w:p w14:paraId="36CFDED2"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803" w:type="dxa"/>
          </w:tcPr>
          <w:p w14:paraId="5FA3FB59"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67" w:type="dxa"/>
          </w:tcPr>
          <w:p w14:paraId="30EE761A"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47358515"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50" w:type="dxa"/>
          </w:tcPr>
          <w:p w14:paraId="6B3F54F6"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09" w:type="dxa"/>
          </w:tcPr>
          <w:p w14:paraId="77AB5581"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r>
      <w:tr w:rsidR="00CF59E1" w14:paraId="5D3E9900"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1E1819EE" w14:textId="77777777" w:rsidR="00CF59E1" w:rsidRPr="004622B5" w:rsidRDefault="00CF59E1" w:rsidP="00E93F38">
            <w:pPr>
              <w:contextualSpacing/>
            </w:pPr>
            <w:r w:rsidRPr="004622B5">
              <w:rPr>
                <w:rFonts w:cs="Arial"/>
                <w:color w:val="000000"/>
              </w:rPr>
              <w:t xml:space="preserve">Production of or trade in </w:t>
            </w:r>
            <w:r w:rsidRPr="004924A0">
              <w:rPr>
                <w:rFonts w:cs="Arial"/>
                <w:color w:val="000000"/>
              </w:rPr>
              <w:t>weapons and munitions</w:t>
            </w:r>
          </w:p>
        </w:tc>
        <w:tc>
          <w:tcPr>
            <w:tcW w:w="798" w:type="dxa"/>
          </w:tcPr>
          <w:p w14:paraId="1DA77677"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67"/>
            </w:r>
          </w:p>
        </w:tc>
        <w:tc>
          <w:tcPr>
            <w:tcW w:w="803" w:type="dxa"/>
          </w:tcPr>
          <w:p w14:paraId="3C7863C9"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p>
        </w:tc>
        <w:tc>
          <w:tcPr>
            <w:tcW w:w="767" w:type="dxa"/>
          </w:tcPr>
          <w:p w14:paraId="7198E477"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10" w:type="dxa"/>
          </w:tcPr>
          <w:p w14:paraId="1181B041"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68"/>
            </w:r>
          </w:p>
        </w:tc>
        <w:tc>
          <w:tcPr>
            <w:tcW w:w="750" w:type="dxa"/>
          </w:tcPr>
          <w:p w14:paraId="37536D61"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p>
        </w:tc>
        <w:tc>
          <w:tcPr>
            <w:tcW w:w="709" w:type="dxa"/>
          </w:tcPr>
          <w:p w14:paraId="1697EBD2"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69"/>
            </w:r>
          </w:p>
        </w:tc>
      </w:tr>
      <w:tr w:rsidR="00CF59E1" w14:paraId="505D59AB" w14:textId="77777777" w:rsidTr="00CF59E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122" w:type="dxa"/>
          </w:tcPr>
          <w:p w14:paraId="45807A4E" w14:textId="77777777" w:rsidR="00CF59E1" w:rsidRPr="004622B5" w:rsidRDefault="00CF59E1" w:rsidP="00E93F38">
            <w:pPr>
              <w:contextualSpacing/>
            </w:pPr>
            <w:r w:rsidRPr="004622B5">
              <w:rPr>
                <w:rFonts w:cs="Arial"/>
                <w:color w:val="000000"/>
              </w:rPr>
              <w:t xml:space="preserve">Production of or trade in </w:t>
            </w:r>
            <w:r w:rsidRPr="004924A0">
              <w:rPr>
                <w:rFonts w:cs="Arial"/>
                <w:color w:val="000000"/>
              </w:rPr>
              <w:t>alcoholic beverages</w:t>
            </w:r>
          </w:p>
        </w:tc>
        <w:tc>
          <w:tcPr>
            <w:tcW w:w="798" w:type="dxa"/>
          </w:tcPr>
          <w:p w14:paraId="6CE0CBFD"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70"/>
            </w:r>
          </w:p>
        </w:tc>
        <w:tc>
          <w:tcPr>
            <w:tcW w:w="803" w:type="dxa"/>
          </w:tcPr>
          <w:p w14:paraId="06FE97F5"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67" w:type="dxa"/>
          </w:tcPr>
          <w:p w14:paraId="70184CF8"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6F4DC46C"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50" w:type="dxa"/>
          </w:tcPr>
          <w:p w14:paraId="157546AB"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71"/>
            </w:r>
          </w:p>
        </w:tc>
        <w:tc>
          <w:tcPr>
            <w:tcW w:w="709" w:type="dxa"/>
          </w:tcPr>
          <w:p w14:paraId="4F24C318"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72"/>
            </w:r>
          </w:p>
        </w:tc>
      </w:tr>
      <w:tr w:rsidR="00CF59E1" w14:paraId="0882ADE5"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2845C8D1" w14:textId="77777777" w:rsidR="00CF59E1" w:rsidRPr="004622B5" w:rsidRDefault="00CF59E1" w:rsidP="00E93F38">
            <w:pPr>
              <w:contextualSpacing/>
            </w:pPr>
            <w:r w:rsidRPr="004622B5">
              <w:rPr>
                <w:rFonts w:cs="Arial"/>
                <w:color w:val="000000"/>
              </w:rPr>
              <w:t xml:space="preserve">Production of or trade in </w:t>
            </w:r>
            <w:r w:rsidRPr="00AE57DF">
              <w:rPr>
                <w:rFonts w:cs="Arial"/>
                <w:color w:val="000000"/>
              </w:rPr>
              <w:t>tobacco</w:t>
            </w:r>
          </w:p>
        </w:tc>
        <w:tc>
          <w:tcPr>
            <w:tcW w:w="798" w:type="dxa"/>
          </w:tcPr>
          <w:p w14:paraId="1835CFA6"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73"/>
            </w:r>
          </w:p>
        </w:tc>
        <w:tc>
          <w:tcPr>
            <w:tcW w:w="803" w:type="dxa"/>
          </w:tcPr>
          <w:p w14:paraId="636BBEFC"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p>
        </w:tc>
        <w:tc>
          <w:tcPr>
            <w:tcW w:w="767" w:type="dxa"/>
          </w:tcPr>
          <w:p w14:paraId="378AC5C7"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10" w:type="dxa"/>
          </w:tcPr>
          <w:p w14:paraId="61D24346"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74"/>
            </w:r>
          </w:p>
        </w:tc>
        <w:tc>
          <w:tcPr>
            <w:tcW w:w="750" w:type="dxa"/>
          </w:tcPr>
          <w:p w14:paraId="5A6BC86B"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75"/>
            </w:r>
          </w:p>
        </w:tc>
        <w:tc>
          <w:tcPr>
            <w:tcW w:w="709" w:type="dxa"/>
          </w:tcPr>
          <w:p w14:paraId="73F4919A"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76"/>
            </w:r>
          </w:p>
        </w:tc>
      </w:tr>
      <w:tr w:rsidR="00CF59E1" w14:paraId="7C50F520"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1855E1DE" w14:textId="77777777" w:rsidR="00CF59E1" w:rsidRPr="004622B5" w:rsidRDefault="00CF59E1" w:rsidP="00E93F38">
            <w:pPr>
              <w:contextualSpacing/>
            </w:pPr>
            <w:r w:rsidRPr="00AE57DF">
              <w:rPr>
                <w:rFonts w:cs="Arial"/>
                <w:color w:val="000000"/>
              </w:rPr>
              <w:t>Gambling</w:t>
            </w:r>
            <w:r w:rsidRPr="004622B5">
              <w:rPr>
                <w:rFonts w:cs="Arial"/>
                <w:color w:val="000000"/>
              </w:rPr>
              <w:t>, casinos, and equivalent enterprises</w:t>
            </w:r>
          </w:p>
        </w:tc>
        <w:tc>
          <w:tcPr>
            <w:tcW w:w="798" w:type="dxa"/>
          </w:tcPr>
          <w:p w14:paraId="31C6B38D"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77"/>
            </w:r>
          </w:p>
        </w:tc>
        <w:tc>
          <w:tcPr>
            <w:tcW w:w="803" w:type="dxa"/>
          </w:tcPr>
          <w:p w14:paraId="2EE30104"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67" w:type="dxa"/>
          </w:tcPr>
          <w:p w14:paraId="55AAB34B"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10AD30F8"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50" w:type="dxa"/>
          </w:tcPr>
          <w:p w14:paraId="5F3C6313"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78"/>
            </w:r>
          </w:p>
        </w:tc>
        <w:tc>
          <w:tcPr>
            <w:tcW w:w="709" w:type="dxa"/>
          </w:tcPr>
          <w:p w14:paraId="2AB1A699"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79"/>
            </w:r>
          </w:p>
        </w:tc>
      </w:tr>
      <w:tr w:rsidR="00CF59E1" w14:paraId="04563AA4"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48D8B9A5" w14:textId="77777777" w:rsidR="00CF59E1" w:rsidRPr="004622B5" w:rsidRDefault="00CF59E1" w:rsidP="00E93F38">
            <w:pPr>
              <w:contextualSpacing/>
              <w:rPr>
                <w:rFonts w:cs="Arial"/>
                <w:color w:val="000000"/>
              </w:rPr>
            </w:pPr>
            <w:r w:rsidRPr="00AE57DF">
              <w:rPr>
                <w:rFonts w:cs="Arial"/>
                <w:color w:val="000000"/>
              </w:rPr>
              <w:t>Speculative real estate</w:t>
            </w:r>
            <w:r>
              <w:rPr>
                <w:rFonts w:cs="Arial"/>
                <w:color w:val="000000"/>
              </w:rPr>
              <w:t xml:space="preserve"> investing or trading </w:t>
            </w:r>
          </w:p>
        </w:tc>
        <w:tc>
          <w:tcPr>
            <w:tcW w:w="798" w:type="dxa"/>
          </w:tcPr>
          <w:p w14:paraId="3D56D3DF"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803" w:type="dxa"/>
          </w:tcPr>
          <w:p w14:paraId="470ADF30"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67" w:type="dxa"/>
          </w:tcPr>
          <w:p w14:paraId="072111BA"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10" w:type="dxa"/>
          </w:tcPr>
          <w:p w14:paraId="1AB1C585"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50" w:type="dxa"/>
          </w:tcPr>
          <w:p w14:paraId="30F33497"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80"/>
            </w:r>
          </w:p>
        </w:tc>
        <w:tc>
          <w:tcPr>
            <w:tcW w:w="709" w:type="dxa"/>
          </w:tcPr>
          <w:p w14:paraId="7D356450"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r>
      <w:tr w:rsidR="00CF59E1" w14:paraId="0701D62C"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7B145681" w14:textId="77777777" w:rsidR="00CF59E1" w:rsidRPr="00A730F1" w:rsidRDefault="00CF59E1" w:rsidP="00E93F38">
            <w:pPr>
              <w:contextualSpacing/>
            </w:pPr>
            <w:r w:rsidRPr="00A730F1">
              <w:rPr>
                <w:rFonts w:cs="Arial"/>
                <w:color w:val="000000"/>
              </w:rPr>
              <w:t xml:space="preserve">Production of or trade in </w:t>
            </w:r>
            <w:r w:rsidRPr="00AE57DF">
              <w:rPr>
                <w:rFonts w:cs="Arial"/>
                <w:color w:val="000000"/>
              </w:rPr>
              <w:t>radioactive materials</w:t>
            </w:r>
            <w:r w:rsidRPr="00A730F1">
              <w:rPr>
                <w:rFonts w:cs="Arial"/>
                <w:color w:val="000000"/>
              </w:rPr>
              <w:t xml:space="preserve"> including nuclear reactors and components thereof</w:t>
            </w:r>
          </w:p>
        </w:tc>
        <w:tc>
          <w:tcPr>
            <w:tcW w:w="798" w:type="dxa"/>
          </w:tcPr>
          <w:p w14:paraId="56478427"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Fonts w:ascii="Arial" w:hAnsi="Arial" w:cs="Arial"/>
                <w:color w:val="000000"/>
              </w:rPr>
              <w:footnoteReference w:id="181"/>
            </w:r>
          </w:p>
        </w:tc>
        <w:tc>
          <w:tcPr>
            <w:tcW w:w="803" w:type="dxa"/>
          </w:tcPr>
          <w:p w14:paraId="10A5BE96"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82"/>
            </w:r>
          </w:p>
        </w:tc>
        <w:tc>
          <w:tcPr>
            <w:tcW w:w="767" w:type="dxa"/>
          </w:tcPr>
          <w:p w14:paraId="418D41FB" w14:textId="77777777" w:rsidR="00CF59E1" w:rsidRDefault="00CF59E1" w:rsidP="00CF59E1">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63290A94" w14:textId="77777777" w:rsidR="00CF59E1" w:rsidRDefault="00CF59E1" w:rsidP="00CF59E1">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50" w:type="dxa"/>
          </w:tcPr>
          <w:p w14:paraId="3887CC26"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83"/>
            </w:r>
          </w:p>
        </w:tc>
        <w:tc>
          <w:tcPr>
            <w:tcW w:w="709" w:type="dxa"/>
          </w:tcPr>
          <w:p w14:paraId="4CAF955C"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84"/>
            </w:r>
          </w:p>
        </w:tc>
      </w:tr>
      <w:tr w:rsidR="00CF59E1" w14:paraId="6AC5443D"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6C82111A" w14:textId="77777777" w:rsidR="00CF59E1" w:rsidRPr="00A730F1" w:rsidRDefault="00CF59E1" w:rsidP="00E93F38">
            <w:pPr>
              <w:contextualSpacing/>
            </w:pPr>
            <w:r w:rsidRPr="00A730F1">
              <w:rPr>
                <w:rFonts w:cs="Arial"/>
                <w:color w:val="000000"/>
              </w:rPr>
              <w:t>Production of, trade in, or use of unbonded asbestos fibers</w:t>
            </w:r>
          </w:p>
        </w:tc>
        <w:tc>
          <w:tcPr>
            <w:tcW w:w="798" w:type="dxa"/>
          </w:tcPr>
          <w:p w14:paraId="54D6F859"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85"/>
            </w:r>
          </w:p>
        </w:tc>
        <w:tc>
          <w:tcPr>
            <w:tcW w:w="803" w:type="dxa"/>
          </w:tcPr>
          <w:p w14:paraId="5602495E"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86"/>
            </w:r>
          </w:p>
        </w:tc>
        <w:tc>
          <w:tcPr>
            <w:tcW w:w="767" w:type="dxa"/>
          </w:tcPr>
          <w:p w14:paraId="30C58F97" w14:textId="77777777" w:rsidR="00CF59E1" w:rsidRDefault="00CF59E1" w:rsidP="00CF59E1">
            <w:pPr>
              <w:contextualSpacing/>
              <w:jc w:val="center"/>
              <w:cnfStyle w:val="000000010000" w:firstRow="0" w:lastRow="0" w:firstColumn="0" w:lastColumn="0" w:oddVBand="0" w:evenVBand="0" w:oddHBand="0" w:evenHBand="1" w:firstRowFirstColumn="0" w:firstRowLastColumn="0" w:lastRowFirstColumn="0" w:lastRowLastColumn="0"/>
            </w:pPr>
            <w:r>
              <w:t>X</w:t>
            </w:r>
          </w:p>
        </w:tc>
        <w:tc>
          <w:tcPr>
            <w:tcW w:w="710" w:type="dxa"/>
          </w:tcPr>
          <w:p w14:paraId="262251AC" w14:textId="77777777" w:rsidR="00CF59E1" w:rsidRDefault="00CF59E1" w:rsidP="00CF59E1">
            <w:pPr>
              <w:contextualSpacing/>
              <w:jc w:val="center"/>
              <w:cnfStyle w:val="000000010000" w:firstRow="0" w:lastRow="0" w:firstColumn="0" w:lastColumn="0" w:oddVBand="0" w:evenVBand="0" w:oddHBand="0" w:evenHBand="1" w:firstRowFirstColumn="0" w:firstRowLastColumn="0" w:lastRowFirstColumn="0" w:lastRowLastColumn="0"/>
            </w:pPr>
          </w:p>
        </w:tc>
        <w:tc>
          <w:tcPr>
            <w:tcW w:w="750" w:type="dxa"/>
          </w:tcPr>
          <w:p w14:paraId="0DA407B5"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87"/>
            </w:r>
          </w:p>
        </w:tc>
        <w:tc>
          <w:tcPr>
            <w:tcW w:w="709" w:type="dxa"/>
          </w:tcPr>
          <w:p w14:paraId="68C86485"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88"/>
            </w:r>
          </w:p>
        </w:tc>
      </w:tr>
      <w:tr w:rsidR="00CF59E1" w14:paraId="6AE43792"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2CD7D704" w14:textId="77777777" w:rsidR="00CF59E1" w:rsidRPr="00A730F1" w:rsidRDefault="00CF59E1" w:rsidP="00E93F38">
            <w:pPr>
              <w:contextualSpacing/>
            </w:pPr>
            <w:r>
              <w:rPr>
                <w:rFonts w:cs="Arial"/>
                <w:color w:val="000000"/>
              </w:rPr>
              <w:t>C</w:t>
            </w:r>
            <w:r w:rsidRPr="00AE57DF">
              <w:rPr>
                <w:rFonts w:cs="Arial"/>
                <w:color w:val="000000"/>
              </w:rPr>
              <w:t>ommercial logging</w:t>
            </w:r>
            <w:r w:rsidRPr="00A730F1">
              <w:rPr>
                <w:rFonts w:cs="Arial"/>
                <w:color w:val="000000"/>
              </w:rPr>
              <w:t xml:space="preserve"> operations or the purchase of logging equipment for use in primary tropical moist forests or old-growth forests</w:t>
            </w:r>
          </w:p>
        </w:tc>
        <w:tc>
          <w:tcPr>
            <w:tcW w:w="798" w:type="dxa"/>
          </w:tcPr>
          <w:p w14:paraId="6F607BDB"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803" w:type="dxa"/>
          </w:tcPr>
          <w:p w14:paraId="637C84BB"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89"/>
            </w:r>
          </w:p>
        </w:tc>
        <w:tc>
          <w:tcPr>
            <w:tcW w:w="767" w:type="dxa"/>
          </w:tcPr>
          <w:p w14:paraId="3AFCE3A8" w14:textId="77777777" w:rsidR="00CF59E1" w:rsidRDefault="00CF59E1" w:rsidP="00CF59E1">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12B68930" w14:textId="77777777" w:rsidR="00CF59E1" w:rsidRDefault="00CF59E1" w:rsidP="00CF59E1">
            <w:pPr>
              <w:contextualSpacing/>
              <w:jc w:val="center"/>
              <w:cnfStyle w:val="000000100000" w:firstRow="0" w:lastRow="0" w:firstColumn="0" w:lastColumn="0" w:oddVBand="0" w:evenVBand="0" w:oddHBand="1" w:evenHBand="0" w:firstRowFirstColumn="0" w:firstRowLastColumn="0" w:lastRowFirstColumn="0" w:lastRowLastColumn="0"/>
            </w:pPr>
          </w:p>
        </w:tc>
        <w:tc>
          <w:tcPr>
            <w:tcW w:w="750" w:type="dxa"/>
          </w:tcPr>
          <w:p w14:paraId="7FB9B227"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90"/>
            </w:r>
          </w:p>
        </w:tc>
        <w:tc>
          <w:tcPr>
            <w:tcW w:w="709" w:type="dxa"/>
          </w:tcPr>
          <w:p w14:paraId="11F47975"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91"/>
            </w:r>
          </w:p>
        </w:tc>
      </w:tr>
      <w:tr w:rsidR="00CF59E1" w14:paraId="64CF92E4"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5034D379" w14:textId="77777777" w:rsidR="00CF59E1" w:rsidRPr="00A730F1" w:rsidRDefault="00CF59E1" w:rsidP="00CF59E1">
            <w:pPr>
              <w:contextualSpacing/>
              <w:rPr>
                <w:rFonts w:cs="Arial"/>
                <w:color w:val="000000"/>
              </w:rPr>
            </w:pPr>
            <w:r w:rsidRPr="00AE57DF">
              <w:rPr>
                <w:rFonts w:cs="Arial"/>
                <w:color w:val="000000"/>
              </w:rPr>
              <w:t>Forestry projects or operations not consistent</w:t>
            </w:r>
            <w:r>
              <w:rPr>
                <w:rFonts w:cs="Arial"/>
                <w:color w:val="000000"/>
              </w:rPr>
              <w:t xml:space="preserve"> with lenders’ environment and safeguard compliance policies</w:t>
            </w:r>
          </w:p>
        </w:tc>
        <w:tc>
          <w:tcPr>
            <w:tcW w:w="798" w:type="dxa"/>
          </w:tcPr>
          <w:p w14:paraId="15A1B77B"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803" w:type="dxa"/>
          </w:tcPr>
          <w:p w14:paraId="78089A16"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67" w:type="dxa"/>
          </w:tcPr>
          <w:p w14:paraId="7D0C24DE"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10" w:type="dxa"/>
          </w:tcPr>
          <w:p w14:paraId="55EF419F"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50" w:type="dxa"/>
          </w:tcPr>
          <w:p w14:paraId="56B55D08"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92"/>
            </w:r>
          </w:p>
        </w:tc>
        <w:tc>
          <w:tcPr>
            <w:tcW w:w="709" w:type="dxa"/>
          </w:tcPr>
          <w:p w14:paraId="06BEE7CF"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93"/>
            </w:r>
          </w:p>
        </w:tc>
      </w:tr>
      <w:tr w:rsidR="00CF59E1" w14:paraId="0F96A50E"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0A43127E" w14:textId="77777777" w:rsidR="00CF59E1" w:rsidRDefault="00CF59E1" w:rsidP="00E93F38">
            <w:pPr>
              <w:contextualSpacing/>
              <w:rPr>
                <w:rFonts w:cs="Arial"/>
                <w:color w:val="000000"/>
              </w:rPr>
            </w:pPr>
            <w:r w:rsidRPr="00AE57DF">
              <w:rPr>
                <w:rFonts w:cs="Arial"/>
                <w:color w:val="000000"/>
              </w:rPr>
              <w:t>Plantation projects</w:t>
            </w:r>
            <w:r>
              <w:rPr>
                <w:rFonts w:cs="Arial"/>
                <w:color w:val="000000"/>
              </w:rPr>
              <w:t xml:space="preserve"> that would require the removal of existing non-degraded natural forest</w:t>
            </w:r>
          </w:p>
        </w:tc>
        <w:tc>
          <w:tcPr>
            <w:tcW w:w="798" w:type="dxa"/>
          </w:tcPr>
          <w:p w14:paraId="4A292132"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803" w:type="dxa"/>
          </w:tcPr>
          <w:p w14:paraId="26EB6890"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67" w:type="dxa"/>
          </w:tcPr>
          <w:p w14:paraId="30171748"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00E4FD20"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50" w:type="dxa"/>
          </w:tcPr>
          <w:p w14:paraId="6BCF718A"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94"/>
            </w:r>
          </w:p>
        </w:tc>
        <w:tc>
          <w:tcPr>
            <w:tcW w:w="709" w:type="dxa"/>
          </w:tcPr>
          <w:p w14:paraId="1043AED4"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r>
      <w:tr w:rsidR="00CF59E1" w14:paraId="506A0758"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2146B9BE" w14:textId="77777777" w:rsidR="00CF59E1" w:rsidRDefault="00CF59E1" w:rsidP="00CF59E1">
            <w:pPr>
              <w:contextualSpacing/>
              <w:rPr>
                <w:rFonts w:cs="Arial"/>
                <w:color w:val="000000"/>
              </w:rPr>
            </w:pPr>
            <w:r>
              <w:rPr>
                <w:rFonts w:cs="Arial"/>
                <w:color w:val="000000"/>
              </w:rPr>
              <w:t xml:space="preserve">Significant </w:t>
            </w:r>
            <w:r w:rsidRPr="00AE57DF">
              <w:rPr>
                <w:rFonts w:cs="Arial"/>
                <w:color w:val="000000"/>
              </w:rPr>
              <w:t xml:space="preserve">degradation of </w:t>
            </w:r>
            <w:r>
              <w:rPr>
                <w:rFonts w:cs="Arial"/>
                <w:color w:val="000000"/>
              </w:rPr>
              <w:t>critical natural habitats including</w:t>
            </w:r>
            <w:r w:rsidRPr="00AE57DF">
              <w:rPr>
                <w:rFonts w:cs="Arial"/>
                <w:color w:val="000000"/>
              </w:rPr>
              <w:t xml:space="preserve"> </w:t>
            </w:r>
            <w:r>
              <w:rPr>
                <w:rFonts w:cs="Arial"/>
                <w:color w:val="000000"/>
              </w:rPr>
              <w:t>protected areas, parks and high conservation areas</w:t>
            </w:r>
          </w:p>
        </w:tc>
        <w:tc>
          <w:tcPr>
            <w:tcW w:w="798" w:type="dxa"/>
          </w:tcPr>
          <w:p w14:paraId="31507595"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803" w:type="dxa"/>
          </w:tcPr>
          <w:p w14:paraId="76BB9A82"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67" w:type="dxa"/>
          </w:tcPr>
          <w:p w14:paraId="16237513"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10" w:type="dxa"/>
          </w:tcPr>
          <w:p w14:paraId="694F1984"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50" w:type="dxa"/>
          </w:tcPr>
          <w:p w14:paraId="1A92BEF6"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95"/>
            </w:r>
          </w:p>
        </w:tc>
        <w:tc>
          <w:tcPr>
            <w:tcW w:w="709" w:type="dxa"/>
          </w:tcPr>
          <w:p w14:paraId="0AB4AD53"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r>
      <w:tr w:rsidR="00CF59E1" w14:paraId="6358B223"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0EA88BAB" w14:textId="77777777" w:rsidR="00CF59E1" w:rsidRDefault="00CF59E1" w:rsidP="00CF59E1">
            <w:pPr>
              <w:contextualSpacing/>
              <w:rPr>
                <w:rFonts w:cs="Arial"/>
                <w:color w:val="000000"/>
              </w:rPr>
            </w:pPr>
            <w:r>
              <w:rPr>
                <w:rFonts w:cs="Arial"/>
                <w:color w:val="000000"/>
              </w:rPr>
              <w:t xml:space="preserve">Large-scale </w:t>
            </w:r>
            <w:r w:rsidRPr="00AE57DF">
              <w:rPr>
                <w:rFonts w:cs="Arial"/>
                <w:color w:val="000000"/>
              </w:rPr>
              <w:t>mining, oi</w:t>
            </w:r>
            <w:r>
              <w:rPr>
                <w:rFonts w:cs="Arial"/>
                <w:color w:val="000000"/>
              </w:rPr>
              <w:t>l</w:t>
            </w:r>
            <w:r w:rsidRPr="00AE57DF">
              <w:rPr>
                <w:rFonts w:cs="Arial"/>
                <w:color w:val="000000"/>
              </w:rPr>
              <w:t xml:space="preserve"> and gas</w:t>
            </w:r>
            <w:r>
              <w:rPr>
                <w:rFonts w:cs="Arial"/>
                <w:color w:val="000000"/>
              </w:rPr>
              <w:t xml:space="preserve"> exploration development and supporting services</w:t>
            </w:r>
          </w:p>
        </w:tc>
        <w:tc>
          <w:tcPr>
            <w:tcW w:w="798" w:type="dxa"/>
          </w:tcPr>
          <w:p w14:paraId="7302EAA5"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803" w:type="dxa"/>
          </w:tcPr>
          <w:p w14:paraId="51F0BFBD"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67" w:type="dxa"/>
          </w:tcPr>
          <w:p w14:paraId="1BF8A2FC"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2C91518C"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50" w:type="dxa"/>
          </w:tcPr>
          <w:p w14:paraId="5DF243F2"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r>
              <w:rPr>
                <w:rStyle w:val="FootnoteReference"/>
              </w:rPr>
              <w:footnoteReference w:id="196"/>
            </w:r>
          </w:p>
        </w:tc>
        <w:tc>
          <w:tcPr>
            <w:tcW w:w="709" w:type="dxa"/>
          </w:tcPr>
          <w:p w14:paraId="32257DD2"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r>
      <w:tr w:rsidR="00CF59E1" w14:paraId="68A99470"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5CB6C22E" w14:textId="77777777" w:rsidR="00CF59E1" w:rsidRPr="00A730F1" w:rsidRDefault="00CF59E1" w:rsidP="00E93F38">
            <w:pPr>
              <w:contextualSpacing/>
              <w:rPr>
                <w:rFonts w:cs="Arial"/>
                <w:color w:val="000000"/>
              </w:rPr>
            </w:pPr>
            <w:r w:rsidRPr="00A730F1">
              <w:rPr>
                <w:rFonts w:cs="Arial"/>
                <w:color w:val="000000"/>
              </w:rPr>
              <w:t>Shipment of oil or other hazardous substances in t</w:t>
            </w:r>
            <w:r w:rsidRPr="00AE57DF">
              <w:rPr>
                <w:rFonts w:cs="Arial"/>
                <w:color w:val="000000"/>
              </w:rPr>
              <w:t>ankers</w:t>
            </w:r>
            <w:r>
              <w:rPr>
                <w:rFonts w:cs="Arial"/>
                <w:color w:val="000000"/>
              </w:rPr>
              <w:t xml:space="preserve"> which </w:t>
            </w:r>
            <w:r w:rsidRPr="00A730F1">
              <w:rPr>
                <w:rFonts w:cs="Arial"/>
                <w:color w:val="000000"/>
              </w:rPr>
              <w:t xml:space="preserve">do </w:t>
            </w:r>
            <w:r>
              <w:rPr>
                <w:rFonts w:cs="Arial"/>
                <w:color w:val="000000"/>
              </w:rPr>
              <w:t xml:space="preserve">not </w:t>
            </w:r>
            <w:r w:rsidRPr="00A730F1">
              <w:rPr>
                <w:rFonts w:cs="Arial"/>
                <w:color w:val="000000"/>
              </w:rPr>
              <w:t>comply with International Maritime Organization Requirements</w:t>
            </w:r>
          </w:p>
        </w:tc>
        <w:tc>
          <w:tcPr>
            <w:tcW w:w="798" w:type="dxa"/>
          </w:tcPr>
          <w:p w14:paraId="6A4433E7"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803" w:type="dxa"/>
          </w:tcPr>
          <w:p w14:paraId="558812E9"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67" w:type="dxa"/>
          </w:tcPr>
          <w:p w14:paraId="604A675C"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r>
              <w:rPr>
                <w:rStyle w:val="FootnoteReference"/>
              </w:rPr>
              <w:footnoteReference w:id="197"/>
            </w:r>
          </w:p>
        </w:tc>
        <w:tc>
          <w:tcPr>
            <w:tcW w:w="710" w:type="dxa"/>
          </w:tcPr>
          <w:p w14:paraId="216C11C9"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50" w:type="dxa"/>
          </w:tcPr>
          <w:p w14:paraId="49F30BEF"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09" w:type="dxa"/>
          </w:tcPr>
          <w:p w14:paraId="0C1DA758"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r>
      <w:tr w:rsidR="00CF59E1" w14:paraId="418759F2"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4CB072BD" w14:textId="77777777" w:rsidR="00CF59E1" w:rsidRPr="00AE57DF" w:rsidRDefault="00CF59E1" w:rsidP="00E93F38">
            <w:pPr>
              <w:contextualSpacing/>
              <w:rPr>
                <w:rFonts w:cs="Arial"/>
                <w:b w:val="0"/>
                <w:color w:val="000000"/>
              </w:rPr>
            </w:pPr>
            <w:r w:rsidRPr="00AE57DF">
              <w:rPr>
                <w:rFonts w:cs="Arial"/>
                <w:color w:val="000000"/>
              </w:rPr>
              <w:t>Platinum</w:t>
            </w:r>
          </w:p>
        </w:tc>
        <w:tc>
          <w:tcPr>
            <w:tcW w:w="798" w:type="dxa"/>
          </w:tcPr>
          <w:p w14:paraId="282EA5A3"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803" w:type="dxa"/>
          </w:tcPr>
          <w:p w14:paraId="2095240D"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67" w:type="dxa"/>
          </w:tcPr>
          <w:p w14:paraId="1494C54A"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2A617510"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50" w:type="dxa"/>
          </w:tcPr>
          <w:p w14:paraId="77D49DBB"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32B4149B"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r>
      <w:tr w:rsidR="00CF59E1" w14:paraId="20C2BDAB"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00927860" w14:textId="77777777" w:rsidR="00CF59E1" w:rsidRPr="00A730F1" w:rsidRDefault="00CF59E1" w:rsidP="00E93F38">
            <w:pPr>
              <w:contextualSpacing/>
              <w:rPr>
                <w:rFonts w:cs="Arial"/>
              </w:rPr>
            </w:pPr>
            <w:r w:rsidRPr="00AE57DF">
              <w:rPr>
                <w:rFonts w:cs="Arial"/>
              </w:rPr>
              <w:t>Pearls</w:t>
            </w:r>
          </w:p>
        </w:tc>
        <w:tc>
          <w:tcPr>
            <w:tcW w:w="798" w:type="dxa"/>
          </w:tcPr>
          <w:p w14:paraId="0E20BE17"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803" w:type="dxa"/>
          </w:tcPr>
          <w:p w14:paraId="19292936"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p>
        </w:tc>
        <w:tc>
          <w:tcPr>
            <w:tcW w:w="767" w:type="dxa"/>
          </w:tcPr>
          <w:p w14:paraId="5B1ECC14"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10" w:type="dxa"/>
          </w:tcPr>
          <w:p w14:paraId="4787FA16"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50" w:type="dxa"/>
          </w:tcPr>
          <w:p w14:paraId="469205D8"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09" w:type="dxa"/>
          </w:tcPr>
          <w:p w14:paraId="6AF6FFDD"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r>
      <w:tr w:rsidR="00CF59E1" w14:paraId="68BB2459"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69F310AD" w14:textId="77777777" w:rsidR="00CF59E1" w:rsidRPr="00A730F1" w:rsidRDefault="00CF59E1" w:rsidP="00E93F38">
            <w:pPr>
              <w:contextualSpacing/>
              <w:rPr>
                <w:rFonts w:cs="Arial"/>
              </w:rPr>
            </w:pPr>
            <w:r w:rsidRPr="00AE57DF">
              <w:rPr>
                <w:rFonts w:cs="Arial"/>
              </w:rPr>
              <w:t>Precious stones</w:t>
            </w:r>
          </w:p>
        </w:tc>
        <w:tc>
          <w:tcPr>
            <w:tcW w:w="798" w:type="dxa"/>
          </w:tcPr>
          <w:p w14:paraId="2CD3A899"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803" w:type="dxa"/>
          </w:tcPr>
          <w:p w14:paraId="4EF7B0B3"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67" w:type="dxa"/>
          </w:tcPr>
          <w:p w14:paraId="0F42A8EF"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0B578D81"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50" w:type="dxa"/>
          </w:tcPr>
          <w:p w14:paraId="38DC3593"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73002C94"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r>
      <w:tr w:rsidR="00CF59E1" w14:paraId="323D0643" w14:textId="77777777" w:rsidTr="00CF5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6E6E4A76" w14:textId="77777777" w:rsidR="00CF59E1" w:rsidRPr="00A730F1" w:rsidRDefault="00CF59E1" w:rsidP="00E93F38">
            <w:pPr>
              <w:contextualSpacing/>
              <w:rPr>
                <w:rFonts w:cs="Arial"/>
              </w:rPr>
            </w:pPr>
            <w:r w:rsidRPr="00AE57DF">
              <w:rPr>
                <w:rFonts w:cs="Arial"/>
              </w:rPr>
              <w:t xml:space="preserve">Gold </w:t>
            </w:r>
            <w:r w:rsidRPr="00A730F1">
              <w:rPr>
                <w:rFonts w:cs="Arial"/>
              </w:rPr>
              <w:t>and related products</w:t>
            </w:r>
          </w:p>
        </w:tc>
        <w:tc>
          <w:tcPr>
            <w:tcW w:w="798" w:type="dxa"/>
          </w:tcPr>
          <w:p w14:paraId="182B92CC"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803" w:type="dxa"/>
          </w:tcPr>
          <w:p w14:paraId="5AAB4E63"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r>
              <w:t>X</w:t>
            </w:r>
          </w:p>
        </w:tc>
        <w:tc>
          <w:tcPr>
            <w:tcW w:w="767" w:type="dxa"/>
          </w:tcPr>
          <w:p w14:paraId="78EB013B"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10" w:type="dxa"/>
          </w:tcPr>
          <w:p w14:paraId="6A9B2965"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50" w:type="dxa"/>
          </w:tcPr>
          <w:p w14:paraId="5D8FF65C"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c>
          <w:tcPr>
            <w:tcW w:w="709" w:type="dxa"/>
          </w:tcPr>
          <w:p w14:paraId="76EB0C1F" w14:textId="77777777" w:rsidR="00CF59E1" w:rsidRDefault="00CF59E1" w:rsidP="00E93F38">
            <w:pPr>
              <w:contextualSpacing/>
              <w:jc w:val="center"/>
              <w:cnfStyle w:val="000000010000" w:firstRow="0" w:lastRow="0" w:firstColumn="0" w:lastColumn="0" w:oddVBand="0" w:evenVBand="0" w:oddHBand="0" w:evenHBand="1" w:firstRowFirstColumn="0" w:firstRowLastColumn="0" w:lastRowFirstColumn="0" w:lastRowLastColumn="0"/>
            </w:pPr>
          </w:p>
        </w:tc>
      </w:tr>
      <w:tr w:rsidR="00CF59E1" w14:paraId="3B93B924" w14:textId="77777777" w:rsidTr="00CF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dxa"/>
          </w:tcPr>
          <w:p w14:paraId="6A25FBB3" w14:textId="77777777" w:rsidR="00CF59E1" w:rsidRPr="00AE57DF" w:rsidRDefault="00CF59E1" w:rsidP="00E93F38">
            <w:pPr>
              <w:contextualSpacing/>
              <w:rPr>
                <w:rFonts w:cs="Arial"/>
                <w:b w:val="0"/>
              </w:rPr>
            </w:pPr>
            <w:r>
              <w:rPr>
                <w:rFonts w:cs="Arial"/>
              </w:rPr>
              <w:t>“</w:t>
            </w:r>
            <w:r w:rsidRPr="00AE57DF">
              <w:rPr>
                <w:rFonts w:cs="Arial"/>
              </w:rPr>
              <w:t>Luxury</w:t>
            </w:r>
            <w:r>
              <w:rPr>
                <w:rFonts w:cs="Arial"/>
              </w:rPr>
              <w:t>”</w:t>
            </w:r>
            <w:r w:rsidRPr="00AE57DF">
              <w:rPr>
                <w:rFonts w:cs="Arial"/>
              </w:rPr>
              <w:t xml:space="preserve"> consumer goods</w:t>
            </w:r>
          </w:p>
        </w:tc>
        <w:tc>
          <w:tcPr>
            <w:tcW w:w="798" w:type="dxa"/>
          </w:tcPr>
          <w:p w14:paraId="4E35E72E"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803" w:type="dxa"/>
          </w:tcPr>
          <w:p w14:paraId="04F2B1CC"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r>
              <w:t>X</w:t>
            </w:r>
          </w:p>
        </w:tc>
        <w:tc>
          <w:tcPr>
            <w:tcW w:w="767" w:type="dxa"/>
          </w:tcPr>
          <w:p w14:paraId="6D9B89AB"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10" w:type="dxa"/>
          </w:tcPr>
          <w:p w14:paraId="02FD458F"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50" w:type="dxa"/>
          </w:tcPr>
          <w:p w14:paraId="496229BC"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55E7E046" w14:textId="77777777" w:rsidR="00CF59E1" w:rsidRDefault="00CF59E1" w:rsidP="00E93F38">
            <w:pPr>
              <w:contextualSpacing/>
              <w:jc w:val="center"/>
              <w:cnfStyle w:val="000000100000" w:firstRow="0" w:lastRow="0" w:firstColumn="0" w:lastColumn="0" w:oddVBand="0" w:evenVBand="0" w:oddHBand="1" w:evenHBand="0" w:firstRowFirstColumn="0" w:firstRowLastColumn="0" w:lastRowFirstColumn="0" w:lastRowLastColumn="0"/>
            </w:pPr>
          </w:p>
        </w:tc>
      </w:tr>
    </w:tbl>
    <w:p w14:paraId="2D328082" w14:textId="77777777" w:rsidR="00CF59E1" w:rsidRPr="00EC71FE" w:rsidRDefault="00CF59E1" w:rsidP="00CF59E1">
      <w:pPr>
        <w:jc w:val="center"/>
        <w:rPr>
          <w:rFonts w:cs="Times New Roman"/>
          <w:b/>
          <w:u w:val="single"/>
        </w:rPr>
      </w:pPr>
    </w:p>
    <w:p w14:paraId="255EBCD5" w14:textId="77777777" w:rsidR="00CF59E1" w:rsidRDefault="00CF59E1">
      <w:pPr>
        <w:autoSpaceDE/>
        <w:autoSpaceDN/>
        <w:adjustRightInd/>
        <w:rPr>
          <w:rFonts w:cs="Times New Roman"/>
          <w:b/>
          <w:sz w:val="28"/>
          <w:szCs w:val="28"/>
        </w:rPr>
        <w:sectPr w:rsidR="00CF59E1" w:rsidSect="00CF59E1">
          <w:pgSz w:w="12240" w:h="15840"/>
          <w:pgMar w:top="1440" w:right="1440" w:bottom="1440" w:left="1440" w:header="720" w:footer="720" w:gutter="0"/>
          <w:cols w:space="720"/>
          <w:docGrid w:linePitch="360"/>
        </w:sectPr>
      </w:pPr>
    </w:p>
    <w:p w14:paraId="15C974AB" w14:textId="7FE61D82" w:rsidR="00CF59E1" w:rsidRPr="00D04661" w:rsidRDefault="00CF59E1" w:rsidP="00CF59E1">
      <w:pPr>
        <w:pStyle w:val="hhhead1"/>
        <w:numPr>
          <w:ilvl w:val="0"/>
          <w:numId w:val="0"/>
        </w:numPr>
        <w:jc w:val="center"/>
      </w:pPr>
      <w:bookmarkStart w:id="16" w:name="_Toc419114256"/>
      <w:r w:rsidRPr="00D04661">
        <w:t xml:space="preserve">Annex 4. Textual Comparison of World Bank, ADB, AfDB, EIB and IDB </w:t>
      </w:r>
      <w:r>
        <w:br/>
      </w:r>
      <w:r w:rsidRPr="00D04661">
        <w:t>Operational Safeguard Requirements</w:t>
      </w:r>
      <w:bookmarkEnd w:id="16"/>
    </w:p>
    <w:tbl>
      <w:tblPr>
        <w:tblW w:w="135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0"/>
        <w:gridCol w:w="7200"/>
      </w:tblGrid>
      <w:tr w:rsidR="00CF59E1" w:rsidRPr="00D8522E" w14:paraId="122714DD" w14:textId="77777777" w:rsidTr="00CF59E1">
        <w:trPr>
          <w:tblHeader/>
        </w:trPr>
        <w:tc>
          <w:tcPr>
            <w:tcW w:w="6390" w:type="dxa"/>
            <w:tcBorders>
              <w:top w:val="single" w:sz="4" w:space="0" w:color="auto"/>
            </w:tcBorders>
            <w:shd w:val="clear" w:color="auto" w:fill="DBE5F1"/>
            <w:vAlign w:val="center"/>
          </w:tcPr>
          <w:p w14:paraId="2B1FDAA6" w14:textId="77777777" w:rsidR="00CF59E1" w:rsidRPr="00D04661" w:rsidRDefault="00CF59E1" w:rsidP="00CF59E1">
            <w:pPr>
              <w:autoSpaceDE/>
              <w:autoSpaceDN/>
              <w:adjustRightInd/>
              <w:spacing w:after="120"/>
              <w:jc w:val="center"/>
              <w:rPr>
                <w:rFonts w:asciiTheme="minorHAnsi" w:eastAsia="Times New Roman" w:hAnsiTheme="minorHAnsi" w:cs="Calibri"/>
                <w:b/>
                <w:bCs/>
              </w:rPr>
            </w:pPr>
            <w:r w:rsidRPr="00D04661">
              <w:rPr>
                <w:rFonts w:asciiTheme="minorHAnsi" w:eastAsia="Times New Roman" w:hAnsiTheme="minorHAnsi" w:cs="Calibri"/>
                <w:b/>
                <w:bCs/>
              </w:rPr>
              <w:t>Principle/ Corresponding World Bank Operational Policy</w:t>
            </w:r>
          </w:p>
        </w:tc>
        <w:tc>
          <w:tcPr>
            <w:tcW w:w="7200" w:type="dxa"/>
            <w:tcBorders>
              <w:top w:val="single" w:sz="4" w:space="0" w:color="auto"/>
            </w:tcBorders>
            <w:shd w:val="clear" w:color="auto" w:fill="DBE5F1"/>
          </w:tcPr>
          <w:p w14:paraId="0013C988" w14:textId="77777777" w:rsidR="00CF59E1" w:rsidRPr="00D04661" w:rsidRDefault="00CF59E1" w:rsidP="00CF59E1">
            <w:pPr>
              <w:autoSpaceDE/>
              <w:autoSpaceDN/>
              <w:adjustRightInd/>
              <w:spacing w:after="120"/>
              <w:rPr>
                <w:rFonts w:asciiTheme="minorHAnsi" w:eastAsia="Times New Roman" w:hAnsiTheme="minorHAnsi" w:cs="Calibri"/>
                <w:b/>
                <w:bCs/>
              </w:rPr>
            </w:pPr>
            <w:r w:rsidRPr="00D04661">
              <w:rPr>
                <w:rFonts w:asciiTheme="minorHAnsi" w:eastAsia="Times New Roman" w:hAnsiTheme="minorHAnsi" w:cs="Calibri"/>
                <w:b/>
                <w:bCs/>
              </w:rPr>
              <w:t>Alternative and Incremental MDB Operational Safeguard Requirements</w:t>
            </w:r>
          </w:p>
        </w:tc>
      </w:tr>
      <w:tr w:rsidR="00CF59E1" w:rsidRPr="00D8522E" w14:paraId="51D4104D" w14:textId="77777777" w:rsidTr="00CF59E1">
        <w:tc>
          <w:tcPr>
            <w:tcW w:w="13590" w:type="dxa"/>
            <w:gridSpan w:val="2"/>
            <w:shd w:val="clear" w:color="auto" w:fill="B8CCE4"/>
            <w:vAlign w:val="center"/>
          </w:tcPr>
          <w:p w14:paraId="00582D72" w14:textId="77777777" w:rsidR="00CF59E1" w:rsidRPr="00D04661" w:rsidRDefault="00CF59E1" w:rsidP="00CF59E1">
            <w:pPr>
              <w:autoSpaceDE/>
              <w:autoSpaceDN/>
              <w:adjustRightInd/>
              <w:spacing w:after="120"/>
              <w:jc w:val="center"/>
              <w:rPr>
                <w:rFonts w:asciiTheme="minorHAnsi" w:hAnsiTheme="minorHAnsi" w:cs="Calibri"/>
                <w:b/>
                <w:bCs/>
              </w:rPr>
            </w:pPr>
            <w:r w:rsidRPr="00D04661">
              <w:rPr>
                <w:rFonts w:asciiTheme="minorHAnsi" w:hAnsiTheme="minorHAnsi" w:cs="Calibri"/>
                <w:b/>
                <w:bCs/>
              </w:rPr>
              <w:t>ENVIRONMENTAL ASSESSMENT</w:t>
            </w:r>
          </w:p>
        </w:tc>
      </w:tr>
      <w:tr w:rsidR="00CF59E1" w:rsidRPr="00D8522E" w14:paraId="5EEBA964" w14:textId="77777777" w:rsidTr="00CF59E1">
        <w:tc>
          <w:tcPr>
            <w:tcW w:w="6390" w:type="dxa"/>
            <w:vMerge w:val="restart"/>
            <w:shd w:val="clear" w:color="auto" w:fill="auto"/>
            <w:vAlign w:val="center"/>
          </w:tcPr>
          <w:p w14:paraId="4F822FDC" w14:textId="77777777" w:rsidR="00CF59E1" w:rsidRPr="001A2712" w:rsidRDefault="00CF59E1" w:rsidP="00CF59E1">
            <w:pPr>
              <w:autoSpaceDE/>
              <w:autoSpaceDN/>
              <w:adjustRightInd/>
              <w:spacing w:after="120"/>
              <w:rPr>
                <w:rFonts w:asciiTheme="minorHAnsi" w:eastAsia="Times New Roman" w:hAnsiTheme="minorHAnsi" w:cs="Calibri"/>
                <w:b/>
              </w:rPr>
            </w:pPr>
            <w:r w:rsidRPr="001A2712">
              <w:rPr>
                <w:rFonts w:asciiTheme="minorHAnsi" w:eastAsia="Times New Roman" w:hAnsiTheme="minorHAnsi" w:cs="Calibri"/>
                <w:b/>
              </w:rPr>
              <w:t>AREA OF INFLUENCE AND DEFINTION AND ASSOCIATED IMPACTS</w:t>
            </w:r>
            <w:r w:rsidRPr="001A2712">
              <w:rPr>
                <w:rFonts w:asciiTheme="minorHAnsi" w:eastAsia="Times New Roman" w:hAnsiTheme="minorHAnsi" w:cs="Calibri"/>
                <w:b/>
                <w:vertAlign w:val="superscript"/>
              </w:rPr>
              <w:footnoteReference w:id="198"/>
            </w:r>
            <w:r w:rsidRPr="001A2712">
              <w:rPr>
                <w:rFonts w:asciiTheme="minorHAnsi" w:eastAsia="Times New Roman" w:hAnsiTheme="minorHAnsi" w:cs="Calibri"/>
                <w:b/>
              </w:rPr>
              <w:t xml:space="preserve"> </w:t>
            </w:r>
          </w:p>
          <w:p w14:paraId="5072F16C" w14:textId="77777777" w:rsidR="00CF59E1" w:rsidRPr="001A2712" w:rsidRDefault="00CF59E1" w:rsidP="00CF59E1">
            <w:pPr>
              <w:pStyle w:val="NormalWeb"/>
              <w:widowControl w:val="0"/>
              <w:spacing w:before="0" w:beforeAutospacing="0" w:after="120" w:afterAutospacing="0"/>
              <w:rPr>
                <w:rFonts w:asciiTheme="minorHAnsi" w:hAnsiTheme="minorHAnsi" w:cs="Arial"/>
                <w:sz w:val="22"/>
                <w:szCs w:val="22"/>
              </w:rPr>
            </w:pPr>
            <w:r w:rsidRPr="001A2712">
              <w:rPr>
                <w:rFonts w:asciiTheme="minorHAnsi" w:hAnsiTheme="minorHAnsi" w:cs="Calibri"/>
                <w:b/>
                <w:sz w:val="22"/>
                <w:szCs w:val="22"/>
              </w:rPr>
              <w:t xml:space="preserve">OP. 4.01, para. </w:t>
            </w:r>
            <w:r w:rsidRPr="001A2712">
              <w:rPr>
                <w:rFonts w:asciiTheme="minorHAnsi" w:hAnsiTheme="minorHAnsi" w:cs="Arial"/>
                <w:b/>
                <w:sz w:val="22"/>
                <w:szCs w:val="22"/>
              </w:rPr>
              <w:t>2</w:t>
            </w:r>
            <w:r w:rsidRPr="001A2712">
              <w:rPr>
                <w:rFonts w:asciiTheme="minorHAnsi" w:hAnsiTheme="minorHAnsi" w:cs="Arial"/>
                <w:sz w:val="22"/>
                <w:szCs w:val="22"/>
              </w:rPr>
              <w:t xml:space="preserve">: </w:t>
            </w:r>
          </w:p>
          <w:p w14:paraId="64A4A8A7" w14:textId="77777777" w:rsidR="00CF59E1" w:rsidRPr="001A2712" w:rsidRDefault="00CF59E1" w:rsidP="00CF59E1">
            <w:pPr>
              <w:pStyle w:val="NormalWeb"/>
              <w:widowControl w:val="0"/>
              <w:spacing w:before="0" w:beforeAutospacing="0" w:after="120" w:afterAutospacing="0"/>
              <w:rPr>
                <w:rFonts w:asciiTheme="minorHAnsi" w:hAnsiTheme="minorHAnsi" w:cs="Arial"/>
                <w:sz w:val="22"/>
                <w:szCs w:val="22"/>
              </w:rPr>
            </w:pPr>
            <w:r>
              <w:rPr>
                <w:rFonts w:asciiTheme="minorHAnsi" w:hAnsiTheme="minorHAnsi" w:cs="Arial"/>
                <w:sz w:val="22"/>
                <w:szCs w:val="22"/>
              </w:rPr>
              <w:t>“</w:t>
            </w:r>
            <w:r w:rsidRPr="001A2712">
              <w:rPr>
                <w:rFonts w:asciiTheme="minorHAnsi" w:hAnsiTheme="minorHAnsi" w:cs="Arial"/>
                <w:sz w:val="22"/>
                <w:szCs w:val="22"/>
              </w:rPr>
              <w:t>EA evaluates a project’s potential environmental risks and impacts in its area of influence…. including all its ancillary aspects</w:t>
            </w:r>
            <w:r>
              <w:rPr>
                <w:rFonts w:asciiTheme="minorHAnsi" w:hAnsiTheme="minorHAnsi" w:cs="Arial"/>
                <w:sz w:val="22"/>
                <w:szCs w:val="22"/>
              </w:rPr>
              <w:t>”</w:t>
            </w:r>
            <w:r w:rsidRPr="001A2712">
              <w:rPr>
                <w:rFonts w:asciiTheme="minorHAnsi" w:hAnsiTheme="minorHAnsi" w:cs="Arial"/>
                <w:sz w:val="22"/>
                <w:szCs w:val="22"/>
              </w:rPr>
              <w:t xml:space="preserve"> </w:t>
            </w:r>
          </w:p>
          <w:p w14:paraId="1BE70881" w14:textId="77777777" w:rsidR="00CF59E1" w:rsidRPr="001A2712" w:rsidRDefault="00CF59E1" w:rsidP="00CF59E1">
            <w:pPr>
              <w:pStyle w:val="NormalWeb"/>
              <w:widowControl w:val="0"/>
              <w:spacing w:before="0" w:beforeAutospacing="0" w:after="120" w:afterAutospacing="0"/>
              <w:rPr>
                <w:rFonts w:asciiTheme="minorHAnsi" w:hAnsiTheme="minorHAnsi" w:cs="Arial"/>
                <w:sz w:val="22"/>
                <w:szCs w:val="22"/>
              </w:rPr>
            </w:pPr>
            <w:r w:rsidRPr="001A2712">
              <w:rPr>
                <w:rFonts w:asciiTheme="minorHAnsi" w:hAnsiTheme="minorHAnsi" w:cs="Arial"/>
                <w:b/>
                <w:sz w:val="22"/>
                <w:szCs w:val="22"/>
              </w:rPr>
              <w:t>OP 4.01 Annex A para. 6</w:t>
            </w:r>
            <w:r w:rsidRPr="001A2712">
              <w:rPr>
                <w:rFonts w:asciiTheme="minorHAnsi" w:hAnsiTheme="minorHAnsi" w:cs="Arial"/>
                <w:sz w:val="22"/>
                <w:szCs w:val="22"/>
              </w:rPr>
              <w:t xml:space="preserve">: </w:t>
            </w:r>
          </w:p>
          <w:p w14:paraId="093DFDAE" w14:textId="77777777" w:rsidR="00CF59E1" w:rsidRPr="00D04661" w:rsidRDefault="00CF59E1" w:rsidP="00CF59E1">
            <w:pPr>
              <w:pStyle w:val="NormalWeb"/>
              <w:widowControl w:val="0"/>
              <w:spacing w:before="0" w:beforeAutospacing="0" w:after="120" w:afterAutospacing="0"/>
              <w:rPr>
                <w:rFonts w:asciiTheme="minorHAnsi" w:hAnsiTheme="minorHAnsi" w:cs="Arial"/>
                <w:sz w:val="22"/>
                <w:szCs w:val="22"/>
              </w:rPr>
            </w:pPr>
            <w:r w:rsidRPr="001A2712">
              <w:rPr>
                <w:rFonts w:asciiTheme="minorHAnsi" w:hAnsiTheme="minorHAnsi" w:cs="Arial"/>
                <w:i/>
                <w:color w:val="000000"/>
                <w:sz w:val="22"/>
                <w:szCs w:val="22"/>
              </w:rPr>
              <w:t>Project area of influence</w:t>
            </w:r>
            <w:r w:rsidRPr="001A2712">
              <w:rPr>
                <w:rFonts w:asciiTheme="minorHAnsi" w:hAnsiTheme="minorHAnsi" w:cs="Arial"/>
                <w:color w:val="000000"/>
                <w:sz w:val="22"/>
                <w:szCs w:val="22"/>
              </w:rPr>
              <w:t xml:space="preserve">: The area likely to be affected by the project, including all its ancillary aspects, such as power transmission corridors, pipelines, canals, tunnels, relocation and access roads, borrow and disposal areas, and construction camps, as well as unplanned developments induced by the project (e.g., spontaneous settlement, logging, or shifting agriculture along access roads). The area of influence may include, for example, (a) the watershed within which the project is located; (b) any affected estuary and coastal zone; (c) off-site areas required for resettlement or compensatory tracts; (d) the airshed (e.g., where airborne pollution such as smoke or dust may enter or leave the area of influence; (e) migratory </w:t>
            </w:r>
            <w:r w:rsidRPr="00D04661">
              <w:rPr>
                <w:rFonts w:asciiTheme="minorHAnsi" w:hAnsiTheme="minorHAnsi" w:cs="Arial"/>
                <w:color w:val="000000"/>
                <w:sz w:val="22"/>
                <w:szCs w:val="22"/>
              </w:rPr>
              <w:t>routes of humans, wildlife, or fish, particularly where they relate to public health, economic activities, or environmental conservation; and (f) areas used for livelihood activities (hunting, fishing, grazing, gathering, agriculture, etc.) or religious or ceremonial purposes of a customary nature.</w:t>
            </w:r>
          </w:p>
          <w:p w14:paraId="2A39B442" w14:textId="77777777" w:rsidR="00CF59E1" w:rsidRPr="00D04661" w:rsidRDefault="00CF59E1" w:rsidP="00CF59E1">
            <w:pPr>
              <w:pStyle w:val="NormalWeb"/>
              <w:widowControl w:val="0"/>
              <w:spacing w:before="0" w:beforeAutospacing="0" w:after="120" w:afterAutospacing="0"/>
              <w:rPr>
                <w:rFonts w:asciiTheme="minorHAnsi" w:hAnsiTheme="minorHAnsi" w:cs="Calibri"/>
                <w:sz w:val="22"/>
                <w:szCs w:val="22"/>
              </w:rPr>
            </w:pPr>
          </w:p>
        </w:tc>
        <w:tc>
          <w:tcPr>
            <w:tcW w:w="7200" w:type="dxa"/>
            <w:shd w:val="clear" w:color="auto" w:fill="auto"/>
          </w:tcPr>
          <w:p w14:paraId="02C51CB9" w14:textId="77777777" w:rsidR="00CF59E1" w:rsidRPr="00D04661" w:rsidRDefault="00CF59E1" w:rsidP="00CF59E1">
            <w:pPr>
              <w:spacing w:after="120"/>
              <w:rPr>
                <w:rFonts w:asciiTheme="minorHAnsi" w:eastAsia="MS Mincho" w:hAnsiTheme="minorHAnsi" w:cs="Calibri"/>
                <w:lang w:eastAsia="ja-JP"/>
              </w:rPr>
            </w:pPr>
            <w:r>
              <w:rPr>
                <w:rFonts w:asciiTheme="minorHAnsi" w:eastAsia="MS Mincho" w:hAnsiTheme="minorHAnsi" w:cs="Calibri"/>
                <w:lang w:eastAsia="ja-JP"/>
              </w:rPr>
              <w:t>“</w:t>
            </w:r>
            <w:r w:rsidRPr="003B4A78">
              <w:rPr>
                <w:rFonts w:asciiTheme="minorHAnsi" w:eastAsia="MS Mincho" w:hAnsiTheme="minorHAnsi" w:cs="Calibri"/>
                <w:lang w:eastAsia="ja-JP"/>
              </w:rPr>
              <w:t>[R]elated or associated facilities [are facilities …that are not funded by the project…</w:t>
            </w:r>
            <w:r>
              <w:rPr>
                <w:rFonts w:asciiTheme="minorHAnsi" w:eastAsia="MS Mincho" w:hAnsiTheme="minorHAnsi" w:cs="Calibri"/>
                <w:lang w:eastAsia="ja-JP"/>
              </w:rPr>
              <w:t>.</w:t>
            </w:r>
            <w:r w:rsidRPr="003B4A78">
              <w:rPr>
                <w:rFonts w:asciiTheme="minorHAnsi" w:eastAsia="MS Mincho" w:hAnsiTheme="minorHAnsi" w:cs="Calibri"/>
                <w:lang w:eastAsia="ja-JP"/>
              </w:rPr>
              <w:t>[but that are] dependent on the project and that would not have been implemented if the project did not exist.</w:t>
            </w:r>
            <w:r>
              <w:rPr>
                <w:rFonts w:asciiTheme="minorHAnsi" w:eastAsia="MS Mincho" w:hAnsiTheme="minorHAnsi" w:cs="Calibri"/>
                <w:lang w:eastAsia="ja-JP"/>
              </w:rPr>
              <w:t>”</w:t>
            </w:r>
            <w:r w:rsidRPr="003B4A78">
              <w:rPr>
                <w:rFonts w:asciiTheme="minorHAnsi" w:eastAsia="MS Mincho" w:hAnsiTheme="minorHAnsi" w:cs="Calibri"/>
                <w:vertAlign w:val="superscript"/>
                <w:lang w:eastAsia="ja-JP"/>
              </w:rPr>
              <w:footnoteReference w:id="199"/>
            </w:r>
            <w:r w:rsidRPr="003B4A78">
              <w:rPr>
                <w:rFonts w:asciiTheme="minorHAnsi" w:eastAsia="MS Mincho" w:hAnsiTheme="minorHAnsi" w:cs="Calibri"/>
                <w:lang w:eastAsia="ja-JP"/>
              </w:rPr>
              <w:t xml:space="preserve"> (</w:t>
            </w:r>
            <w:r w:rsidRPr="003B4A78">
              <w:rPr>
                <w:rFonts w:asciiTheme="minorHAnsi" w:eastAsia="MS Mincho" w:hAnsiTheme="minorHAnsi" w:cs="Calibri"/>
                <w:b/>
                <w:lang w:eastAsia="ja-JP"/>
              </w:rPr>
              <w:t>AfDB, OS 1</w:t>
            </w:r>
            <w:r w:rsidRPr="003B4A78">
              <w:rPr>
                <w:rStyle w:val="FootnoteReference"/>
                <w:rFonts w:asciiTheme="minorHAnsi" w:eastAsia="MS Mincho" w:hAnsiTheme="minorHAnsi" w:cs="Calibri"/>
                <w:b/>
                <w:lang w:eastAsia="ja-JP"/>
              </w:rPr>
              <w:footnoteReference w:id="200"/>
            </w:r>
            <w:r w:rsidRPr="003B4A78">
              <w:rPr>
                <w:rFonts w:asciiTheme="minorHAnsi" w:eastAsia="MS Mincho" w:hAnsiTheme="minorHAnsi" w:cs="Calibri"/>
                <w:b/>
                <w:lang w:eastAsia="ja-JP"/>
              </w:rPr>
              <w:t>, para. 9</w:t>
            </w:r>
            <w:r w:rsidRPr="003B4A78">
              <w:rPr>
                <w:rFonts w:asciiTheme="minorHAnsi" w:eastAsia="MS Mincho" w:hAnsiTheme="minorHAnsi" w:cs="Calibri"/>
                <w:lang w:eastAsia="ja-JP"/>
              </w:rPr>
              <w:t>)</w:t>
            </w:r>
          </w:p>
        </w:tc>
      </w:tr>
      <w:tr w:rsidR="00CF59E1" w:rsidRPr="00D8522E" w14:paraId="2F394489" w14:textId="77777777" w:rsidTr="00CF59E1">
        <w:tc>
          <w:tcPr>
            <w:tcW w:w="6390" w:type="dxa"/>
            <w:vMerge/>
            <w:shd w:val="clear" w:color="auto" w:fill="auto"/>
            <w:vAlign w:val="center"/>
          </w:tcPr>
          <w:p w14:paraId="11CE4669" w14:textId="77777777" w:rsidR="00CF59E1" w:rsidRPr="00D04661" w:rsidRDefault="00CF59E1" w:rsidP="00CF59E1">
            <w:pPr>
              <w:autoSpaceDE/>
              <w:autoSpaceDN/>
              <w:adjustRightInd/>
              <w:spacing w:after="120"/>
              <w:rPr>
                <w:rFonts w:asciiTheme="minorHAnsi" w:eastAsia="Times New Roman" w:hAnsiTheme="minorHAnsi" w:cs="Calibri"/>
              </w:rPr>
            </w:pPr>
          </w:p>
        </w:tc>
        <w:tc>
          <w:tcPr>
            <w:tcW w:w="7200" w:type="dxa"/>
            <w:shd w:val="clear" w:color="auto" w:fill="auto"/>
          </w:tcPr>
          <w:p w14:paraId="316FF5E6" w14:textId="77777777" w:rsidR="00CF59E1" w:rsidRPr="00D04661" w:rsidRDefault="00CF59E1" w:rsidP="00CF59E1">
            <w:pPr>
              <w:spacing w:after="120"/>
              <w:rPr>
                <w:rFonts w:asciiTheme="minorHAnsi" w:eastAsia="MS Mincho" w:hAnsiTheme="minorHAnsi" w:cs="Calibri"/>
                <w:lang w:eastAsia="ja-JP"/>
              </w:rPr>
            </w:pPr>
            <w:r>
              <w:rPr>
                <w:rFonts w:asciiTheme="minorHAnsi" w:eastAsia="MS Mincho" w:hAnsiTheme="minorHAnsi" w:cs="Calibri"/>
                <w:lang w:eastAsia="ja-JP"/>
              </w:rPr>
              <w:t>“</w:t>
            </w:r>
            <w:r w:rsidRPr="003B4A78">
              <w:rPr>
                <w:rFonts w:asciiTheme="minorHAnsi" w:eastAsia="MS Mincho" w:hAnsiTheme="minorHAnsi" w:cs="Calibri"/>
                <w:lang w:eastAsia="ja-JP"/>
              </w:rPr>
              <w:t>[The project’s] area of influence encompasses...</w:t>
            </w:r>
            <w:r w:rsidRPr="003B4A78">
              <w:rPr>
                <w:rFonts w:asciiTheme="minorHAnsi" w:eastAsia="MS Mincho" w:hAnsiTheme="minorHAnsi" w:cs="Calibri"/>
                <w:lang w:eastAsia="zh-MO"/>
              </w:rPr>
              <w:t xml:space="preserve"> (ii) </w:t>
            </w:r>
            <w:r w:rsidRPr="003B4A78">
              <w:rPr>
                <w:rFonts w:asciiTheme="minorHAnsi" w:eastAsia="MS Mincho" w:hAnsiTheme="minorHAnsi" w:cs="Calibri"/>
                <w:lang w:eastAsia="ja-JP"/>
              </w:rPr>
              <w:t>associated facilities that are not funded as part of the project (funding may be provided separately by the borrower/client or by third parties), and whose viability and existence depend exclusively on the project and whose goods or services are essential for successful operation of the project…</w:t>
            </w:r>
            <w:r>
              <w:rPr>
                <w:rFonts w:asciiTheme="minorHAnsi" w:eastAsia="MS Mincho" w:hAnsiTheme="minorHAnsi" w:cs="Calibri"/>
                <w:lang w:eastAsia="ja-JP"/>
              </w:rPr>
              <w:t>”</w:t>
            </w:r>
            <w:r w:rsidRPr="003B4A78">
              <w:rPr>
                <w:rFonts w:asciiTheme="minorHAnsi" w:eastAsia="MS Mincho" w:hAnsiTheme="minorHAnsi" w:cs="Calibri"/>
                <w:lang w:eastAsia="ja-JP"/>
              </w:rPr>
              <w:t xml:space="preserve"> (</w:t>
            </w:r>
            <w:r w:rsidRPr="003B4A78">
              <w:rPr>
                <w:rFonts w:asciiTheme="minorHAnsi" w:eastAsia="MS Mincho" w:hAnsiTheme="minorHAnsi" w:cs="Calibri"/>
                <w:b/>
                <w:lang w:eastAsia="ja-JP"/>
              </w:rPr>
              <w:t>ADB, SPS</w:t>
            </w:r>
            <w:r w:rsidRPr="003B4A78">
              <w:rPr>
                <w:rStyle w:val="FootnoteReference"/>
                <w:rFonts w:asciiTheme="minorHAnsi" w:eastAsia="MS Mincho" w:hAnsiTheme="minorHAnsi" w:cs="Calibri"/>
                <w:b/>
                <w:lang w:eastAsia="ja-JP"/>
              </w:rPr>
              <w:footnoteReference w:id="201"/>
            </w:r>
            <w:r w:rsidRPr="003B4A78">
              <w:rPr>
                <w:rFonts w:asciiTheme="minorHAnsi" w:eastAsia="MS Mincho" w:hAnsiTheme="minorHAnsi" w:cs="Calibri"/>
                <w:b/>
                <w:lang w:eastAsia="ja-JP"/>
              </w:rPr>
              <w:t>, Appendix 1, para. 6)</w:t>
            </w:r>
          </w:p>
        </w:tc>
      </w:tr>
      <w:tr w:rsidR="00CF59E1" w:rsidRPr="00D8522E" w14:paraId="4DC3CA0F" w14:textId="77777777" w:rsidTr="00CF59E1">
        <w:tc>
          <w:tcPr>
            <w:tcW w:w="6390" w:type="dxa"/>
            <w:vMerge/>
            <w:shd w:val="clear" w:color="auto" w:fill="auto"/>
            <w:vAlign w:val="center"/>
          </w:tcPr>
          <w:p w14:paraId="4306F64A" w14:textId="77777777" w:rsidR="00CF59E1" w:rsidRPr="00D04661" w:rsidRDefault="00CF59E1" w:rsidP="00CF59E1">
            <w:pPr>
              <w:autoSpaceDE/>
              <w:autoSpaceDN/>
              <w:adjustRightInd/>
              <w:spacing w:after="120"/>
              <w:rPr>
                <w:rFonts w:asciiTheme="minorHAnsi" w:eastAsia="Times New Roman" w:hAnsiTheme="minorHAnsi" w:cs="Calibri"/>
              </w:rPr>
            </w:pPr>
          </w:p>
        </w:tc>
        <w:tc>
          <w:tcPr>
            <w:tcW w:w="7200" w:type="dxa"/>
            <w:shd w:val="clear" w:color="auto" w:fill="auto"/>
          </w:tcPr>
          <w:p w14:paraId="7D234966" w14:textId="77777777" w:rsidR="00CF59E1" w:rsidRPr="00D04661" w:rsidRDefault="00CF59E1" w:rsidP="00CF59E1">
            <w:pPr>
              <w:spacing w:after="120"/>
              <w:rPr>
                <w:rFonts w:asciiTheme="minorHAnsi" w:eastAsia="MS Mincho" w:hAnsiTheme="minorHAnsi" w:cs="Calibri"/>
                <w:lang w:eastAsia="ja-JP"/>
              </w:rPr>
            </w:pPr>
            <w:r>
              <w:rPr>
                <w:rFonts w:asciiTheme="minorHAnsi" w:eastAsia="MS Mincho" w:hAnsiTheme="minorHAnsi" w:cs="Calibri"/>
                <w:lang w:eastAsia="ja-JP"/>
              </w:rPr>
              <w:t>“</w:t>
            </w:r>
            <w:r w:rsidRPr="003B4A78">
              <w:rPr>
                <w:rFonts w:asciiTheme="minorHAnsi" w:eastAsia="MS Mincho" w:hAnsiTheme="minorHAnsi" w:cs="Calibri"/>
                <w:lang w:eastAsia="ja-JP"/>
              </w:rPr>
              <w:t>Associated facilities… refer to new or additional works and/or infrastructure, irrespective of the source of financing, essential for a Bank-financed project to function, such as: new/additional access roads, railways, power lines, pipelines required to be built for the project; new /additional construction camps or permanent housing for project workers; new/additional power plants required for the project; new/additional project effluent treatment facilities; new/additional warehouses and marine terminals built to handle project goods.</w:t>
            </w:r>
            <w:r>
              <w:rPr>
                <w:rFonts w:asciiTheme="minorHAnsi" w:eastAsia="MS Mincho" w:hAnsiTheme="minorHAnsi" w:cs="Calibri"/>
                <w:lang w:eastAsia="ja-JP"/>
              </w:rPr>
              <w:t>”</w:t>
            </w:r>
            <w:r w:rsidRPr="003B4A78">
              <w:rPr>
                <w:rFonts w:asciiTheme="minorHAnsi" w:eastAsia="MS Mincho" w:hAnsiTheme="minorHAnsi" w:cs="Calibri"/>
                <w:lang w:eastAsia="ja-JP"/>
              </w:rPr>
              <w:t xml:space="preserve"> (</w:t>
            </w:r>
            <w:r w:rsidRPr="003B4A78">
              <w:rPr>
                <w:rFonts w:asciiTheme="minorHAnsi" w:eastAsia="MS Mincho" w:hAnsiTheme="minorHAnsi" w:cs="Calibri"/>
                <w:b/>
                <w:lang w:eastAsia="ja-JP"/>
              </w:rPr>
              <w:t>IDB, Environment and Safeguards Compliance Policy</w:t>
            </w:r>
            <w:r w:rsidRPr="003B4A78">
              <w:rPr>
                <w:rStyle w:val="FootnoteReference"/>
                <w:rFonts w:asciiTheme="minorHAnsi" w:eastAsia="MS Mincho" w:hAnsiTheme="minorHAnsi" w:cs="Calibri"/>
                <w:b/>
                <w:lang w:eastAsia="ja-JP"/>
              </w:rPr>
              <w:footnoteReference w:id="202"/>
            </w:r>
            <w:r w:rsidRPr="003B4A78">
              <w:rPr>
                <w:rFonts w:asciiTheme="minorHAnsi" w:eastAsia="MS Mincho" w:hAnsiTheme="minorHAnsi" w:cs="Calibri"/>
                <w:b/>
                <w:lang w:eastAsia="ja-JP"/>
              </w:rPr>
              <w:t xml:space="preserve"> (ESCP) Para. 6.1</w:t>
            </w:r>
            <w:r w:rsidRPr="003B4A78">
              <w:rPr>
                <w:rFonts w:asciiTheme="minorHAnsi" w:eastAsia="MS Mincho" w:hAnsiTheme="minorHAnsi" w:cs="Calibri"/>
                <w:lang w:eastAsia="ja-JP"/>
              </w:rPr>
              <w:t>)</w:t>
            </w:r>
          </w:p>
        </w:tc>
      </w:tr>
      <w:tr w:rsidR="00CF59E1" w:rsidRPr="00D8522E" w14:paraId="221EB194" w14:textId="77777777" w:rsidTr="00CF59E1">
        <w:tc>
          <w:tcPr>
            <w:tcW w:w="6390" w:type="dxa"/>
            <w:vMerge/>
            <w:shd w:val="clear" w:color="auto" w:fill="auto"/>
            <w:vAlign w:val="center"/>
          </w:tcPr>
          <w:p w14:paraId="6B2B92F7" w14:textId="77777777" w:rsidR="00CF59E1" w:rsidRPr="00D04661" w:rsidRDefault="00CF59E1" w:rsidP="00CF59E1">
            <w:pPr>
              <w:autoSpaceDE/>
              <w:autoSpaceDN/>
              <w:adjustRightInd/>
              <w:spacing w:after="120"/>
              <w:rPr>
                <w:rFonts w:asciiTheme="minorHAnsi" w:eastAsia="Times New Roman" w:hAnsiTheme="minorHAnsi" w:cs="Calibri"/>
              </w:rPr>
            </w:pPr>
          </w:p>
        </w:tc>
        <w:tc>
          <w:tcPr>
            <w:tcW w:w="7200" w:type="dxa"/>
            <w:shd w:val="clear" w:color="auto" w:fill="auto"/>
          </w:tcPr>
          <w:p w14:paraId="01B1EEB1" w14:textId="77777777" w:rsidR="00CF59E1" w:rsidRPr="00D04661" w:rsidRDefault="00CF59E1" w:rsidP="00CF59E1">
            <w:pPr>
              <w:spacing w:after="120"/>
              <w:rPr>
                <w:rFonts w:asciiTheme="minorHAnsi" w:eastAsia="MS Mincho" w:hAnsiTheme="minorHAnsi" w:cs="Calibri"/>
                <w:lang w:eastAsia="ja-JP"/>
              </w:rPr>
            </w:pPr>
            <w:r>
              <w:rPr>
                <w:rFonts w:asciiTheme="minorHAnsi" w:eastAsia="MS Mincho" w:hAnsiTheme="minorHAnsi" w:cs="Calibri"/>
                <w:lang w:eastAsia="ja-JP"/>
              </w:rPr>
              <w:t>“</w:t>
            </w:r>
            <w:r w:rsidRPr="00D04661">
              <w:rPr>
                <w:rFonts w:asciiTheme="minorHAnsi" w:eastAsia="MS Mincho" w:hAnsiTheme="minorHAnsi" w:cs="Calibri"/>
                <w:lang w:eastAsia="ja-JP"/>
              </w:rPr>
              <w:t>[Ancillary/Associated Facilities/infrastructure] are (i) assets and facilities directly owned or managed by the promoter that relate to the project activities to be financed, (ii) supporting activities, assets and facilities owned or under control of parties for the operation of the promoter’s business or for the completion of the project (such as contractors); (iii) associated facilities or businesses that are not funded by the EIB as part of the project and may be separate legal entities yet whose viability and existence depend exclusively on the project or whose goods and services are essential for the successful operation of the project.</w:t>
            </w:r>
            <w:r>
              <w:rPr>
                <w:rFonts w:asciiTheme="minorHAnsi" w:eastAsia="MS Mincho" w:hAnsiTheme="minorHAnsi" w:cs="Calibri"/>
                <w:lang w:eastAsia="ja-JP"/>
              </w:rPr>
              <w:t>”</w:t>
            </w:r>
            <w:r w:rsidRPr="00D04661">
              <w:rPr>
                <w:rFonts w:asciiTheme="minorHAnsi" w:eastAsia="MS Mincho" w:hAnsiTheme="minorHAnsi" w:cs="Calibri"/>
                <w:lang w:eastAsia="ja-JP"/>
              </w:rPr>
              <w:t xml:space="preserve"> (</w:t>
            </w:r>
            <w:r w:rsidRPr="00D04661">
              <w:rPr>
                <w:rFonts w:asciiTheme="minorHAnsi" w:eastAsia="MS Mincho" w:hAnsiTheme="minorHAnsi" w:cs="Calibri"/>
                <w:b/>
                <w:lang w:eastAsia="ja-JP"/>
              </w:rPr>
              <w:t>EIB, ESH</w:t>
            </w:r>
            <w:r>
              <w:rPr>
                <w:rFonts w:asciiTheme="minorHAnsi" w:eastAsia="MS Mincho" w:hAnsiTheme="minorHAnsi" w:cs="Calibri"/>
                <w:b/>
                <w:lang w:eastAsia="ja-JP"/>
              </w:rPr>
              <w:t>,</w:t>
            </w:r>
            <w:r w:rsidRPr="00D04661">
              <w:rPr>
                <w:rStyle w:val="FootnoteReference"/>
                <w:rFonts w:asciiTheme="minorHAnsi" w:eastAsia="MS Mincho" w:hAnsiTheme="minorHAnsi" w:cs="Calibri"/>
                <w:b/>
                <w:lang w:eastAsia="ja-JP"/>
              </w:rPr>
              <w:footnoteReference w:id="203"/>
            </w:r>
            <w:r w:rsidRPr="00D04661">
              <w:rPr>
                <w:rFonts w:asciiTheme="minorHAnsi" w:eastAsia="MS Mincho" w:hAnsiTheme="minorHAnsi" w:cs="Calibri"/>
                <w:b/>
                <w:lang w:eastAsia="ja-JP"/>
              </w:rPr>
              <w:t xml:space="preserve"> Glossary</w:t>
            </w:r>
            <w:r w:rsidRPr="00D04661">
              <w:rPr>
                <w:rFonts w:asciiTheme="minorHAnsi" w:eastAsia="MS Mincho" w:hAnsiTheme="minorHAnsi" w:cs="Calibri"/>
                <w:lang w:eastAsia="ja-JP"/>
              </w:rPr>
              <w:t xml:space="preserve">) </w:t>
            </w:r>
          </w:p>
        </w:tc>
      </w:tr>
      <w:tr w:rsidR="00CF59E1" w:rsidRPr="00D8522E" w14:paraId="52DB43AC" w14:textId="77777777" w:rsidTr="00CF59E1">
        <w:tc>
          <w:tcPr>
            <w:tcW w:w="6390" w:type="dxa"/>
            <w:vMerge w:val="restart"/>
            <w:shd w:val="clear" w:color="auto" w:fill="auto"/>
            <w:vAlign w:val="center"/>
          </w:tcPr>
          <w:p w14:paraId="0E8F33DE" w14:textId="77777777" w:rsidR="00CF59E1" w:rsidRPr="003B4A78" w:rsidRDefault="00CF59E1" w:rsidP="00CF59E1">
            <w:pPr>
              <w:pStyle w:val="NormalWeb"/>
              <w:widowControl w:val="0"/>
              <w:spacing w:before="0" w:beforeAutospacing="0" w:after="120" w:afterAutospacing="0"/>
              <w:rPr>
                <w:rFonts w:asciiTheme="minorHAnsi" w:hAnsiTheme="minorHAnsi" w:cs="Calibri"/>
                <w:b/>
                <w:sz w:val="22"/>
                <w:szCs w:val="22"/>
              </w:rPr>
            </w:pPr>
            <w:r w:rsidRPr="003B4A78">
              <w:rPr>
                <w:rFonts w:asciiTheme="minorHAnsi" w:hAnsiTheme="minorHAnsi" w:cs="Calibri"/>
                <w:b/>
                <w:sz w:val="22"/>
                <w:szCs w:val="22"/>
              </w:rPr>
              <w:t xml:space="preserve">CUMULATIVE IMPACTS </w:t>
            </w:r>
          </w:p>
          <w:p w14:paraId="26C57F80" w14:textId="77777777" w:rsidR="00CF59E1" w:rsidRPr="003B4A78" w:rsidRDefault="00CF59E1" w:rsidP="00CF59E1">
            <w:pPr>
              <w:pStyle w:val="NormalWeb"/>
              <w:widowControl w:val="0"/>
              <w:spacing w:before="0" w:beforeAutospacing="0" w:after="120" w:afterAutospacing="0"/>
              <w:rPr>
                <w:rFonts w:asciiTheme="minorHAnsi" w:hAnsiTheme="minorHAnsi" w:cs="Arial"/>
                <w:sz w:val="22"/>
                <w:szCs w:val="22"/>
              </w:rPr>
            </w:pPr>
            <w:r w:rsidRPr="003B4A78">
              <w:rPr>
                <w:rFonts w:asciiTheme="minorHAnsi" w:hAnsiTheme="minorHAnsi" w:cs="Arial"/>
                <w:b/>
                <w:sz w:val="22"/>
                <w:szCs w:val="22"/>
              </w:rPr>
              <w:t>OP 4.01. Annex A. para.7</w:t>
            </w:r>
            <w:r w:rsidRPr="003B4A78">
              <w:rPr>
                <w:rFonts w:asciiTheme="minorHAnsi" w:hAnsiTheme="minorHAnsi" w:cs="Arial"/>
                <w:sz w:val="22"/>
                <w:szCs w:val="22"/>
              </w:rPr>
              <w:t xml:space="preserve">: </w:t>
            </w:r>
            <w:r>
              <w:rPr>
                <w:rFonts w:asciiTheme="minorHAnsi" w:hAnsiTheme="minorHAnsi" w:cs="Arial"/>
                <w:sz w:val="22"/>
                <w:szCs w:val="22"/>
              </w:rPr>
              <w:t>“</w:t>
            </w:r>
            <w:r w:rsidRPr="003B4A78">
              <w:rPr>
                <w:rFonts w:asciiTheme="minorHAnsi" w:hAnsiTheme="minorHAnsi" w:cs="Arial"/>
                <w:sz w:val="22"/>
                <w:szCs w:val="22"/>
              </w:rPr>
              <w:t>Regional EA pays particular attention to potential cumulative impacts of multiple activities.</w:t>
            </w:r>
            <w:r>
              <w:rPr>
                <w:rFonts w:asciiTheme="minorHAnsi" w:hAnsiTheme="minorHAnsi" w:cs="Arial"/>
                <w:sz w:val="22"/>
                <w:szCs w:val="22"/>
              </w:rPr>
              <w:t>”</w:t>
            </w:r>
            <w:r w:rsidRPr="003B4A78">
              <w:rPr>
                <w:rFonts w:asciiTheme="minorHAnsi" w:hAnsiTheme="minorHAnsi" w:cs="Arial"/>
                <w:sz w:val="22"/>
                <w:szCs w:val="22"/>
              </w:rPr>
              <w:t xml:space="preserve"> </w:t>
            </w:r>
          </w:p>
          <w:p w14:paraId="01B91FA8" w14:textId="77777777" w:rsidR="00CF59E1" w:rsidRDefault="00CF59E1" w:rsidP="00CF59E1">
            <w:pPr>
              <w:pStyle w:val="NormalWeb"/>
              <w:widowControl w:val="0"/>
              <w:spacing w:before="0" w:beforeAutospacing="0" w:after="120" w:afterAutospacing="0"/>
              <w:rPr>
                <w:rFonts w:asciiTheme="minorHAnsi" w:hAnsiTheme="minorHAnsi" w:cs="Arial"/>
                <w:sz w:val="22"/>
                <w:szCs w:val="22"/>
              </w:rPr>
            </w:pPr>
            <w:r w:rsidRPr="003B4A78">
              <w:rPr>
                <w:rFonts w:asciiTheme="minorHAnsi" w:hAnsiTheme="minorHAnsi" w:cs="Arial"/>
                <w:b/>
                <w:sz w:val="22"/>
                <w:szCs w:val="22"/>
              </w:rPr>
              <w:t>OP 4.01. Annex A. para.9</w:t>
            </w:r>
            <w:r w:rsidRPr="003B4A78">
              <w:rPr>
                <w:rFonts w:asciiTheme="minorHAnsi" w:hAnsiTheme="minorHAnsi" w:cs="Arial"/>
                <w:sz w:val="22"/>
                <w:szCs w:val="22"/>
              </w:rPr>
              <w:t>:</w:t>
            </w:r>
            <w:r w:rsidRPr="003B4A78">
              <w:rPr>
                <w:rFonts w:asciiTheme="minorHAnsi" w:hAnsiTheme="minorHAnsi"/>
                <w:color w:val="000000"/>
                <w:sz w:val="22"/>
                <w:szCs w:val="22"/>
              </w:rPr>
              <w:t xml:space="preserve"> </w:t>
            </w:r>
            <w:r>
              <w:rPr>
                <w:rFonts w:asciiTheme="minorHAnsi" w:hAnsiTheme="minorHAnsi"/>
                <w:color w:val="000000"/>
                <w:sz w:val="22"/>
                <w:szCs w:val="22"/>
              </w:rPr>
              <w:t>“</w:t>
            </w:r>
            <w:r w:rsidRPr="003B4A78">
              <w:rPr>
                <w:rFonts w:asciiTheme="minorHAnsi" w:hAnsiTheme="minorHAnsi"/>
                <w:color w:val="000000"/>
                <w:sz w:val="22"/>
                <w:szCs w:val="22"/>
              </w:rPr>
              <w:t>Sectoral EA pays particular attention to potential cumulative impacts of multiple activities.</w:t>
            </w:r>
            <w:r>
              <w:rPr>
                <w:rFonts w:asciiTheme="minorHAnsi" w:hAnsiTheme="minorHAnsi"/>
                <w:color w:val="000000"/>
                <w:sz w:val="22"/>
                <w:szCs w:val="22"/>
              </w:rPr>
              <w:t>”</w:t>
            </w:r>
          </w:p>
          <w:p w14:paraId="36000E74" w14:textId="77777777" w:rsidR="00CF59E1" w:rsidRPr="00D04661" w:rsidRDefault="00CF59E1" w:rsidP="00CF59E1">
            <w:pPr>
              <w:autoSpaceDE/>
              <w:autoSpaceDN/>
              <w:adjustRightInd/>
              <w:spacing w:after="120"/>
              <w:rPr>
                <w:rFonts w:asciiTheme="minorHAnsi" w:eastAsia="Times New Roman" w:hAnsiTheme="minorHAnsi" w:cs="Calibri"/>
              </w:rPr>
            </w:pPr>
          </w:p>
        </w:tc>
        <w:tc>
          <w:tcPr>
            <w:tcW w:w="7200" w:type="dxa"/>
            <w:shd w:val="clear" w:color="auto" w:fill="auto"/>
          </w:tcPr>
          <w:p w14:paraId="3B37483E" w14:textId="77777777" w:rsidR="00CF59E1" w:rsidRPr="00D04661" w:rsidRDefault="00CF59E1" w:rsidP="00CF59E1">
            <w:pPr>
              <w:spacing w:after="120"/>
              <w:rPr>
                <w:rFonts w:asciiTheme="minorHAnsi" w:eastAsia="MS Mincho" w:hAnsiTheme="minorHAnsi" w:cs="Calibri"/>
                <w:lang w:eastAsia="ja-JP"/>
              </w:rPr>
            </w:pPr>
            <w:r>
              <w:rPr>
                <w:rFonts w:asciiTheme="minorHAnsi" w:eastAsia="MS Mincho" w:hAnsiTheme="minorHAnsi" w:cs="Calibri"/>
                <w:lang w:eastAsia="ja-JP"/>
              </w:rPr>
              <w:t>“</w:t>
            </w:r>
            <w:r w:rsidRPr="00D04661">
              <w:rPr>
                <w:rFonts w:asciiTheme="minorHAnsi" w:eastAsia="MS Mincho" w:hAnsiTheme="minorHAnsi" w:cs="Calibri"/>
                <w:lang w:eastAsia="ja-JP"/>
              </w:rPr>
              <w:t>Impacts and risks will be analyzed in the context of the project’s area of influence. This area of influence encompasses…(iii) areas and communities potentially affected by cumulative impacts from further planned development of the project, other sources of similar impacts in the geographical area, any existing project or condition, and other project-related developments that are realistically defined at the time the assessment is undertaken.</w:t>
            </w:r>
            <w:r>
              <w:rPr>
                <w:rFonts w:asciiTheme="minorHAnsi" w:eastAsia="MS Mincho" w:hAnsiTheme="minorHAnsi" w:cs="Calibri"/>
                <w:lang w:eastAsia="ja-JP"/>
              </w:rPr>
              <w:t>”</w:t>
            </w:r>
            <w:r w:rsidRPr="00D04661">
              <w:rPr>
                <w:rFonts w:asciiTheme="minorHAnsi" w:eastAsia="MS Mincho" w:hAnsiTheme="minorHAnsi" w:cs="Calibri"/>
                <w:lang w:eastAsia="ja-JP"/>
              </w:rPr>
              <w:t xml:space="preserve"> (</w:t>
            </w:r>
            <w:r w:rsidRPr="00D04661">
              <w:rPr>
                <w:rFonts w:asciiTheme="minorHAnsi" w:eastAsia="MS Mincho" w:hAnsiTheme="minorHAnsi" w:cs="Calibri"/>
                <w:b/>
                <w:lang w:eastAsia="ja-JP"/>
              </w:rPr>
              <w:t>ADB, SPS, Appendix 1, para. 6)</w:t>
            </w:r>
            <w:r w:rsidRPr="00D04661">
              <w:rPr>
                <w:rFonts w:asciiTheme="minorHAnsi" w:eastAsia="MS Mincho" w:hAnsiTheme="minorHAnsi" w:cs="Calibri"/>
                <w:lang w:eastAsia="ja-JP"/>
              </w:rPr>
              <w:t>)</w:t>
            </w:r>
          </w:p>
        </w:tc>
      </w:tr>
      <w:tr w:rsidR="00CF59E1" w:rsidRPr="00D8522E" w14:paraId="7432FB8F" w14:textId="77777777" w:rsidTr="00CF59E1">
        <w:tc>
          <w:tcPr>
            <w:tcW w:w="6390" w:type="dxa"/>
            <w:vMerge/>
            <w:shd w:val="clear" w:color="auto" w:fill="auto"/>
            <w:vAlign w:val="center"/>
          </w:tcPr>
          <w:p w14:paraId="40BFEC76" w14:textId="77777777" w:rsidR="00CF59E1" w:rsidRPr="00D04661" w:rsidRDefault="00CF59E1" w:rsidP="00CF59E1">
            <w:pPr>
              <w:tabs>
                <w:tab w:val="left" w:pos="720"/>
              </w:tabs>
              <w:autoSpaceDE/>
              <w:autoSpaceDN/>
              <w:adjustRightInd/>
              <w:spacing w:after="120"/>
              <w:rPr>
                <w:rFonts w:asciiTheme="minorHAnsi" w:eastAsia="Times New Roman" w:hAnsiTheme="minorHAnsi" w:cs="Calibri"/>
              </w:rPr>
            </w:pPr>
          </w:p>
        </w:tc>
        <w:tc>
          <w:tcPr>
            <w:tcW w:w="7200" w:type="dxa"/>
            <w:shd w:val="clear" w:color="auto" w:fill="auto"/>
          </w:tcPr>
          <w:p w14:paraId="1DDF2F94" w14:textId="77777777" w:rsidR="00CF59E1" w:rsidRPr="00D04661" w:rsidRDefault="00CF59E1" w:rsidP="00CF59E1">
            <w:pPr>
              <w:pStyle w:val="Default"/>
              <w:spacing w:after="120"/>
              <w:rPr>
                <w:rFonts w:asciiTheme="minorHAnsi" w:eastAsia="MS Mincho" w:hAnsiTheme="minorHAnsi" w:cs="Calibri"/>
                <w:sz w:val="22"/>
                <w:szCs w:val="22"/>
                <w:lang w:eastAsia="ja-JP"/>
              </w:rPr>
            </w:pPr>
            <w:r>
              <w:rPr>
                <w:rFonts w:asciiTheme="minorHAnsi" w:eastAsia="MS Mincho" w:hAnsiTheme="minorHAnsi" w:cs="Calibri"/>
                <w:sz w:val="22"/>
                <w:szCs w:val="22"/>
                <w:lang w:eastAsia="ja-JP"/>
              </w:rPr>
              <w:t>“</w:t>
            </w:r>
            <w:r w:rsidRPr="00D04661">
              <w:rPr>
                <w:rFonts w:asciiTheme="minorHAnsi" w:eastAsia="MS Mincho" w:hAnsiTheme="minorHAnsi" w:cs="Calibri"/>
                <w:sz w:val="22"/>
                <w:szCs w:val="22"/>
                <w:lang w:eastAsia="ja-JP"/>
              </w:rPr>
              <w:t>W</w:t>
            </w:r>
            <w:r w:rsidRPr="00D04661">
              <w:rPr>
                <w:rFonts w:asciiTheme="minorHAnsi" w:hAnsiTheme="minorHAnsi" w:cs="Times New Roman"/>
                <w:sz w:val="22"/>
                <w:szCs w:val="22"/>
              </w:rPr>
              <w:t>here relevant, the assessment also covers possible cumulative impacts: impacts on areas and resources that result from the proposed project in addition to impacts from other existing or planned developments, including from any associated facilities, regardless of which entity undertakes those actions. Cumulative impacts can result from individually minor but collectively significant actions that take place over a period of time.</w:t>
            </w:r>
            <w:r>
              <w:rPr>
                <w:rFonts w:asciiTheme="minorHAnsi" w:hAnsiTheme="minorHAnsi" w:cs="Times New Roman"/>
                <w:sz w:val="22"/>
                <w:szCs w:val="22"/>
              </w:rPr>
              <w:t>”</w:t>
            </w:r>
            <w:r w:rsidRPr="00D04661">
              <w:rPr>
                <w:rFonts w:asciiTheme="minorHAnsi" w:eastAsia="MS Mincho" w:hAnsiTheme="minorHAnsi" w:cs="Calibri"/>
                <w:sz w:val="22"/>
                <w:szCs w:val="22"/>
                <w:lang w:eastAsia="ja-JP"/>
              </w:rPr>
              <w:t xml:space="preserve"> (</w:t>
            </w:r>
            <w:r w:rsidRPr="00D04661">
              <w:rPr>
                <w:rFonts w:asciiTheme="minorHAnsi" w:eastAsia="MS Mincho" w:hAnsiTheme="minorHAnsi" w:cs="Calibri"/>
                <w:b/>
                <w:sz w:val="22"/>
                <w:szCs w:val="22"/>
                <w:lang w:eastAsia="ja-JP"/>
              </w:rPr>
              <w:t>AfDB, OS 1, para. 13</w:t>
            </w:r>
            <w:r w:rsidRPr="00D04661">
              <w:rPr>
                <w:rFonts w:asciiTheme="minorHAnsi" w:eastAsia="MS Mincho" w:hAnsiTheme="minorHAnsi" w:cs="Calibri"/>
                <w:sz w:val="22"/>
                <w:szCs w:val="22"/>
                <w:lang w:eastAsia="ja-JP"/>
              </w:rPr>
              <w:t>)</w:t>
            </w:r>
          </w:p>
          <w:p w14:paraId="163109E6" w14:textId="77777777" w:rsidR="00CF59E1" w:rsidRPr="00D04661" w:rsidRDefault="00CF59E1" w:rsidP="00CF59E1">
            <w:pPr>
              <w:spacing w:after="120"/>
              <w:rPr>
                <w:rFonts w:asciiTheme="minorHAnsi" w:hAnsiTheme="minorHAnsi" w:cs="Times New Roman"/>
              </w:rPr>
            </w:pPr>
            <w:r>
              <w:rPr>
                <w:rFonts w:asciiTheme="minorHAnsi" w:hAnsiTheme="minorHAnsi" w:cs="Times New Roman"/>
              </w:rPr>
              <w:t>“</w:t>
            </w:r>
            <w:r w:rsidRPr="00D04661">
              <w:rPr>
                <w:rFonts w:asciiTheme="minorHAnsi" w:hAnsiTheme="minorHAnsi" w:cs="Times New Roman"/>
              </w:rPr>
              <w:t>Also, due consideration will be given to analyzing compliance with relevant legal requirements; direct, indirect, regional or cumulative impacts, using adequate baseline data as necessary;…</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IDB, ECSP, para. 4.19</w:t>
            </w:r>
            <w:r w:rsidRPr="00D04661">
              <w:rPr>
                <w:rFonts w:asciiTheme="minorHAnsi" w:hAnsiTheme="minorHAnsi" w:cs="Times New Roman"/>
              </w:rPr>
              <w:t>)</w:t>
            </w:r>
          </w:p>
          <w:p w14:paraId="72557AD1" w14:textId="77777777" w:rsidR="00CF59E1" w:rsidRPr="00D04661" w:rsidRDefault="00CF59E1" w:rsidP="00CF59E1">
            <w:pPr>
              <w:spacing w:after="120"/>
              <w:rPr>
                <w:rFonts w:asciiTheme="minorHAnsi" w:hAnsiTheme="minorHAnsi" w:cs="Times New Roman"/>
              </w:rPr>
            </w:pPr>
            <w:r>
              <w:rPr>
                <w:rFonts w:asciiTheme="minorHAnsi" w:hAnsiTheme="minorHAnsi" w:cs="Times New Roman"/>
              </w:rPr>
              <w:t>“</w:t>
            </w:r>
            <w:r w:rsidRPr="00D04661">
              <w:rPr>
                <w:rFonts w:asciiTheme="minorHAnsi" w:hAnsiTheme="minorHAnsi" w:cs="Times New Roman"/>
              </w:rPr>
              <w:t xml:space="preserve">Cumulative impacts are defined as the additional and incremental changes caused by a proposed development in conjunction with other similar developments or as the combined effect of a set of developments taken together. In practice, </w:t>
            </w:r>
            <w:r>
              <w:rPr>
                <w:rFonts w:asciiTheme="minorHAnsi" w:hAnsiTheme="minorHAnsi" w:cs="Times New Roman"/>
              </w:rPr>
              <w:t>“</w:t>
            </w:r>
            <w:r w:rsidRPr="00D04661">
              <w:rPr>
                <w:rFonts w:asciiTheme="minorHAnsi" w:hAnsiTheme="minorHAnsi" w:cs="Times New Roman"/>
              </w:rPr>
              <w:t>effects</w:t>
            </w:r>
            <w:r>
              <w:rPr>
                <w:rFonts w:asciiTheme="minorHAnsi" w:hAnsiTheme="minorHAnsi" w:cs="Times New Roman"/>
              </w:rPr>
              <w:t>”</w:t>
            </w:r>
            <w:r w:rsidRPr="00D04661">
              <w:rPr>
                <w:rFonts w:asciiTheme="minorHAnsi" w:hAnsiTheme="minorHAnsi" w:cs="Times New Roman"/>
              </w:rPr>
              <w:t xml:space="preserve"> and </w:t>
            </w:r>
            <w:r>
              <w:rPr>
                <w:rFonts w:asciiTheme="minorHAnsi" w:hAnsiTheme="minorHAnsi" w:cs="Times New Roman"/>
              </w:rPr>
              <w:t>“</w:t>
            </w:r>
            <w:r w:rsidRPr="00D04661">
              <w:rPr>
                <w:rFonts w:asciiTheme="minorHAnsi" w:hAnsiTheme="minorHAnsi" w:cs="Times New Roman"/>
              </w:rPr>
              <w:t>impacts</w:t>
            </w:r>
            <w:r>
              <w:rPr>
                <w:rFonts w:asciiTheme="minorHAnsi" w:hAnsiTheme="minorHAnsi" w:cs="Times New Roman"/>
              </w:rPr>
              <w:t>”</w:t>
            </w:r>
            <w:r w:rsidRPr="00D04661">
              <w:rPr>
                <w:rFonts w:asciiTheme="minorHAnsi" w:hAnsiTheme="minorHAnsi" w:cs="Times New Roman"/>
              </w:rPr>
              <w:t xml:space="preserve"> are used interchangeably.</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EIB</w:t>
            </w:r>
            <w:r w:rsidRPr="00D04661">
              <w:rPr>
                <w:rStyle w:val="FootnoteReference"/>
                <w:rFonts w:asciiTheme="minorHAnsi" w:hAnsiTheme="minorHAnsi" w:cs="Times New Roman"/>
                <w:b/>
              </w:rPr>
              <w:footnoteReference w:id="204"/>
            </w:r>
            <w:r w:rsidRPr="00D04661">
              <w:rPr>
                <w:rFonts w:asciiTheme="minorHAnsi" w:hAnsiTheme="minorHAnsi" w:cs="Times New Roman"/>
              </w:rPr>
              <w:t>)</w:t>
            </w:r>
          </w:p>
          <w:p w14:paraId="5455A1F4" w14:textId="77777777" w:rsidR="00CF59E1" w:rsidRPr="00D04661" w:rsidRDefault="00CF59E1" w:rsidP="00CF59E1">
            <w:pPr>
              <w:spacing w:after="120"/>
              <w:rPr>
                <w:rFonts w:asciiTheme="minorHAnsi" w:hAnsiTheme="minorHAnsi" w:cs="Times New Roman"/>
              </w:rPr>
            </w:pPr>
            <w:r>
              <w:rPr>
                <w:rFonts w:asciiTheme="minorHAnsi" w:hAnsiTheme="minorHAnsi" w:cs="Times New Roman"/>
              </w:rPr>
              <w:t>“</w:t>
            </w:r>
            <w:r w:rsidRPr="00D04661">
              <w:rPr>
                <w:rFonts w:asciiTheme="minorHAnsi" w:hAnsiTheme="minorHAnsi" w:cs="Times New Roman"/>
              </w:rPr>
              <w:t>The promoter is responsible for […] identifying, describing, and assessing both adverse and positive, direct and indirect, cumulative and in-combination environmental and social impacts, associated with the operation, its ancillary/associated facilities and the project area of influence.</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EIB, ESH, ESS</w:t>
            </w:r>
            <w:r w:rsidRPr="00D04661">
              <w:rPr>
                <w:rStyle w:val="FootnoteReference"/>
                <w:rFonts w:asciiTheme="minorHAnsi" w:hAnsiTheme="minorHAnsi" w:cs="Times New Roman"/>
                <w:b/>
              </w:rPr>
              <w:footnoteReference w:id="205"/>
            </w:r>
            <w:r w:rsidRPr="00D04661">
              <w:rPr>
                <w:rFonts w:asciiTheme="minorHAnsi" w:hAnsiTheme="minorHAnsi" w:cs="Times New Roman"/>
                <w:b/>
              </w:rPr>
              <w:t xml:space="preserve"> 1, para. 5</w:t>
            </w:r>
            <w:r w:rsidRPr="00D04661">
              <w:rPr>
                <w:rFonts w:asciiTheme="minorHAnsi" w:hAnsiTheme="minorHAnsi" w:cs="Times New Roman"/>
              </w:rPr>
              <w:t>)</w:t>
            </w:r>
          </w:p>
        </w:tc>
      </w:tr>
      <w:tr w:rsidR="00CF59E1" w:rsidRPr="00D8522E" w14:paraId="0EC16B65" w14:textId="77777777" w:rsidTr="00CF59E1">
        <w:tc>
          <w:tcPr>
            <w:tcW w:w="6390" w:type="dxa"/>
            <w:vMerge w:val="restart"/>
            <w:shd w:val="clear" w:color="auto" w:fill="auto"/>
            <w:vAlign w:val="center"/>
          </w:tcPr>
          <w:p w14:paraId="62E988B2" w14:textId="77777777" w:rsidR="00CF59E1" w:rsidRPr="003B4A78" w:rsidRDefault="00CF59E1" w:rsidP="00CF59E1">
            <w:pPr>
              <w:autoSpaceDE/>
              <w:autoSpaceDN/>
              <w:adjustRightInd/>
              <w:spacing w:after="120"/>
              <w:rPr>
                <w:rFonts w:asciiTheme="minorHAnsi" w:eastAsia="Times New Roman" w:hAnsiTheme="minorHAnsi" w:cs="Calibri"/>
                <w:b/>
              </w:rPr>
            </w:pPr>
            <w:r w:rsidRPr="003B4A78">
              <w:rPr>
                <w:rFonts w:asciiTheme="minorHAnsi" w:eastAsia="Times New Roman" w:hAnsiTheme="minorHAnsi" w:cs="Calibri"/>
                <w:b/>
              </w:rPr>
              <w:t xml:space="preserve">STRATEGIC ENVIRONMENTAL ASSESSMENT (SEA) </w:t>
            </w:r>
          </w:p>
          <w:p w14:paraId="342DF64C" w14:textId="77777777" w:rsidR="00CF59E1" w:rsidRPr="003B4A78" w:rsidRDefault="00CF59E1" w:rsidP="00CF59E1">
            <w:pPr>
              <w:pStyle w:val="NormalWeb"/>
              <w:spacing w:before="0" w:beforeAutospacing="0" w:after="120" w:afterAutospacing="0"/>
              <w:rPr>
                <w:rFonts w:asciiTheme="minorHAnsi" w:hAnsiTheme="minorHAnsi" w:cs="Arial"/>
                <w:color w:val="000000"/>
                <w:sz w:val="22"/>
                <w:szCs w:val="22"/>
              </w:rPr>
            </w:pPr>
            <w:r w:rsidRPr="003B4A78">
              <w:rPr>
                <w:rFonts w:asciiTheme="minorHAnsi" w:hAnsiTheme="minorHAnsi"/>
                <w:b/>
                <w:sz w:val="22"/>
                <w:szCs w:val="22"/>
              </w:rPr>
              <w:t xml:space="preserve">OP 4.01. para. 7: </w:t>
            </w:r>
            <w:r w:rsidRPr="003B4A78">
              <w:rPr>
                <w:rFonts w:asciiTheme="minorHAnsi" w:hAnsiTheme="minorHAnsi" w:cs="Arial"/>
                <w:color w:val="000000"/>
                <w:sz w:val="22"/>
                <w:szCs w:val="22"/>
              </w:rPr>
              <w:t>Depending on the project, a range of instruments can be used to satisfy the Bank's EA requirement</w:t>
            </w:r>
            <w:r>
              <w:rPr>
                <w:rFonts w:asciiTheme="minorHAnsi" w:hAnsiTheme="minorHAnsi" w:cs="Arial"/>
                <w:color w:val="000000"/>
                <w:sz w:val="22"/>
                <w:szCs w:val="22"/>
              </w:rPr>
              <w:t xml:space="preserve">… </w:t>
            </w:r>
            <w:r w:rsidRPr="003B4A78">
              <w:rPr>
                <w:rFonts w:asciiTheme="minorHAnsi" w:hAnsiTheme="minorHAnsi" w:cs="Arial"/>
                <w:color w:val="000000"/>
                <w:sz w:val="22"/>
                <w:szCs w:val="22"/>
              </w:rPr>
              <w:t>When the project is likely to have sectoral or regional impacts, sectoral or regional EA is required.</w:t>
            </w:r>
            <w:bookmarkStart w:id="17" w:name="fref11"/>
            <w:bookmarkEnd w:id="17"/>
          </w:p>
          <w:p w14:paraId="624E8F15" w14:textId="77777777" w:rsidR="00CF59E1" w:rsidRPr="00D04661" w:rsidRDefault="00CF59E1" w:rsidP="00CF59E1">
            <w:pPr>
              <w:pStyle w:val="NormalWeb"/>
              <w:spacing w:before="0" w:beforeAutospacing="0" w:after="120" w:afterAutospacing="0"/>
              <w:rPr>
                <w:rFonts w:asciiTheme="minorHAnsi" w:hAnsiTheme="minorHAnsi" w:cs="Arial"/>
                <w:i/>
                <w:sz w:val="22"/>
                <w:szCs w:val="22"/>
              </w:rPr>
            </w:pPr>
            <w:r w:rsidRPr="00D04661">
              <w:rPr>
                <w:rFonts w:asciiTheme="minorHAnsi" w:hAnsiTheme="minorHAnsi"/>
                <w:b/>
              </w:rPr>
              <w:t>OP 4.01. Annex A, para. 10</w:t>
            </w:r>
            <w:r w:rsidRPr="00D04661">
              <w:rPr>
                <w:rFonts w:asciiTheme="minorHAnsi" w:hAnsiTheme="minorHAnsi"/>
              </w:rPr>
              <w:t>:</w:t>
            </w:r>
            <w:r w:rsidRPr="00D04661">
              <w:rPr>
                <w:rFonts w:asciiTheme="minorHAnsi" w:hAnsiTheme="minorHAnsi"/>
                <w:sz w:val="22"/>
                <w:szCs w:val="22"/>
              </w:rPr>
              <w:t xml:space="preserve"> </w:t>
            </w:r>
            <w:r w:rsidRPr="00D04661">
              <w:rPr>
                <w:rStyle w:val="Emphasis"/>
                <w:rFonts w:asciiTheme="minorHAnsi" w:hAnsiTheme="minorHAnsi"/>
                <w:i w:val="0"/>
                <w:sz w:val="22"/>
                <w:szCs w:val="22"/>
              </w:rPr>
              <w:t>Strategic environmental and social assessment (SESA)</w:t>
            </w:r>
            <w:r w:rsidRPr="00D04661">
              <w:rPr>
                <w:rFonts w:asciiTheme="minorHAnsi" w:hAnsiTheme="minorHAnsi"/>
                <w:sz w:val="22"/>
                <w:szCs w:val="22"/>
              </w:rPr>
              <w:t xml:space="preserve">: An instrument that describes analytical and participatory approaches that aim to integrate environmental and social considerations into policies, plans and programs and evaluate their inter linkages with economic considerations. The term </w:t>
            </w:r>
            <w:r>
              <w:rPr>
                <w:rFonts w:asciiTheme="minorHAnsi" w:hAnsiTheme="minorHAnsi"/>
                <w:sz w:val="22"/>
                <w:szCs w:val="22"/>
              </w:rPr>
              <w:t>“</w:t>
            </w:r>
            <w:r w:rsidRPr="00D04661">
              <w:rPr>
                <w:rFonts w:asciiTheme="minorHAnsi" w:hAnsiTheme="minorHAnsi"/>
                <w:sz w:val="22"/>
                <w:szCs w:val="22"/>
              </w:rPr>
              <w:t>Strategic Environmental Assessment</w:t>
            </w:r>
            <w:r>
              <w:rPr>
                <w:rFonts w:asciiTheme="minorHAnsi" w:hAnsiTheme="minorHAnsi"/>
                <w:sz w:val="22"/>
                <w:szCs w:val="22"/>
              </w:rPr>
              <w:t>”</w:t>
            </w:r>
            <w:r w:rsidRPr="00D04661">
              <w:rPr>
                <w:rFonts w:asciiTheme="minorHAnsi" w:hAnsiTheme="minorHAnsi"/>
                <w:sz w:val="22"/>
                <w:szCs w:val="22"/>
              </w:rPr>
              <w:t xml:space="preserve"> or </w:t>
            </w:r>
            <w:r>
              <w:rPr>
                <w:rFonts w:asciiTheme="minorHAnsi" w:hAnsiTheme="minorHAnsi"/>
                <w:sz w:val="22"/>
                <w:szCs w:val="22"/>
              </w:rPr>
              <w:t>“</w:t>
            </w:r>
            <w:r w:rsidRPr="00D04661">
              <w:rPr>
                <w:rFonts w:asciiTheme="minorHAnsi" w:hAnsiTheme="minorHAnsi"/>
                <w:sz w:val="22"/>
                <w:szCs w:val="22"/>
              </w:rPr>
              <w:t>SEA</w:t>
            </w:r>
            <w:r>
              <w:rPr>
                <w:rFonts w:asciiTheme="minorHAnsi" w:hAnsiTheme="minorHAnsi"/>
                <w:sz w:val="22"/>
                <w:szCs w:val="22"/>
              </w:rPr>
              <w:t>”</w:t>
            </w:r>
            <w:r w:rsidRPr="00D04661">
              <w:rPr>
                <w:rFonts w:asciiTheme="minorHAnsi" w:hAnsiTheme="minorHAnsi"/>
                <w:sz w:val="22"/>
                <w:szCs w:val="22"/>
              </w:rPr>
              <w:t xml:space="preserve"> may also be used.</w:t>
            </w:r>
          </w:p>
          <w:p w14:paraId="7AD411C9" w14:textId="77777777" w:rsidR="00CF59E1" w:rsidRPr="00D04661" w:rsidRDefault="00CF59E1" w:rsidP="00CF59E1">
            <w:pPr>
              <w:tabs>
                <w:tab w:val="left" w:pos="720"/>
              </w:tabs>
              <w:autoSpaceDE/>
              <w:autoSpaceDN/>
              <w:adjustRightInd/>
              <w:spacing w:after="120"/>
              <w:rPr>
                <w:rFonts w:asciiTheme="minorHAnsi" w:eastAsia="Times New Roman" w:hAnsiTheme="minorHAnsi" w:cs="Calibri"/>
              </w:rPr>
            </w:pPr>
          </w:p>
        </w:tc>
        <w:tc>
          <w:tcPr>
            <w:tcW w:w="7200" w:type="dxa"/>
            <w:shd w:val="clear" w:color="auto" w:fill="auto"/>
          </w:tcPr>
          <w:p w14:paraId="34BB4135"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Use strategic environmental assessment where appropriate….When the project involves the development of or changes to policies, plans, or programs that are likely to have significant environmental impacts that are regional or sectoral, strategic environmental assessment will be required.</w:t>
            </w:r>
            <w:r w:rsidRPr="00D04661">
              <w:rPr>
                <w:rFonts w:asciiTheme="minorHAnsi" w:eastAsia="Times New Roman" w:hAnsiTheme="minorHAnsi" w:cs="Calibri"/>
                <w:i/>
              </w:rPr>
              <w:t xml:space="preserve"> </w:t>
            </w:r>
            <w:r w:rsidRPr="00D04661">
              <w:rPr>
                <w:rFonts w:asciiTheme="minorHAnsi" w:eastAsia="Times New Roman" w:hAnsiTheme="minorHAnsi" w:cs="Calibri"/>
              </w:rPr>
              <w:t>A strategic environmental assessment report will include (i) an analysis of the scenario, (ii) an assessment of long-term and indirect impacts, (iii) a description of the consultation process, and (iv) an explanation of option selected.</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 SPS, Table 1, para. 2 and Appendix1, para. 11).</w:t>
            </w:r>
          </w:p>
        </w:tc>
      </w:tr>
      <w:tr w:rsidR="00CF59E1" w:rsidRPr="00D8522E" w14:paraId="09A497BC" w14:textId="77777777" w:rsidTr="00CF59E1">
        <w:tc>
          <w:tcPr>
            <w:tcW w:w="6390" w:type="dxa"/>
            <w:vMerge/>
            <w:shd w:val="clear" w:color="auto" w:fill="auto"/>
            <w:vAlign w:val="center"/>
          </w:tcPr>
          <w:p w14:paraId="2D41ACB4" w14:textId="77777777" w:rsidR="00CF59E1" w:rsidRPr="00D04661" w:rsidRDefault="00CF59E1" w:rsidP="00CF59E1">
            <w:pPr>
              <w:autoSpaceDE/>
              <w:autoSpaceDN/>
              <w:adjustRightInd/>
              <w:spacing w:after="120"/>
              <w:rPr>
                <w:rFonts w:asciiTheme="minorHAnsi" w:eastAsia="Times New Roman" w:hAnsiTheme="minorHAnsi" w:cs="Calibri"/>
              </w:rPr>
            </w:pPr>
          </w:p>
        </w:tc>
        <w:tc>
          <w:tcPr>
            <w:tcW w:w="7200" w:type="dxa"/>
            <w:shd w:val="clear" w:color="auto" w:fill="auto"/>
          </w:tcPr>
          <w:p w14:paraId="4B8B32E8" w14:textId="77777777" w:rsidR="00CF59E1" w:rsidRPr="00D04661" w:rsidRDefault="00CF59E1" w:rsidP="00CF59E1">
            <w:pPr>
              <w:autoSpaceDE/>
              <w:autoSpaceDN/>
              <w:adjustRightInd/>
              <w:spacing w:after="120"/>
              <w:rPr>
                <w:rFonts w:asciiTheme="minorHAnsi" w:eastAsia="Times New Roman" w:hAnsiTheme="minorHAnsi" w:cs="Calibri"/>
                <w:b/>
              </w:rPr>
            </w:pPr>
            <w:r w:rsidRPr="00D04661" w:rsidDel="00063474">
              <w:rPr>
                <w:rFonts w:asciiTheme="minorHAnsi" w:hAnsiTheme="minorHAnsi" w:cs="Calibri"/>
              </w:rPr>
              <w:t xml:space="preserve"> </w:t>
            </w:r>
            <w:r>
              <w:rPr>
                <w:rFonts w:asciiTheme="minorHAnsi" w:eastAsia="Times New Roman" w:hAnsiTheme="minorHAnsi" w:cs="Calibri"/>
              </w:rPr>
              <w:t>“</w:t>
            </w:r>
            <w:r w:rsidRPr="00D04661">
              <w:rPr>
                <w:rFonts w:asciiTheme="minorHAnsi" w:eastAsia="Times New Roman" w:hAnsiTheme="minorHAnsi" w:cs="Calibri"/>
              </w:rPr>
              <w:t>The Bank will require compliance with specified standards for … Strategic Environmental Assessments (SEAs)… as defined in this Policy and detailed in the Guidelines</w:t>
            </w:r>
            <w:r w:rsidRPr="00D04661">
              <w:rPr>
                <w:rFonts w:asciiTheme="minorHAnsi" w:eastAsia="Times New Roman" w:hAnsiTheme="minorHAnsi" w:cs="Calibri"/>
                <w:b/>
                <w:bCs/>
                <w:i/>
                <w:iCs/>
              </w:rPr>
              <w:t xml:space="preserve">. </w:t>
            </w:r>
            <w:r w:rsidRPr="00D04661">
              <w:rPr>
                <w:rFonts w:asciiTheme="minorHAnsi" w:eastAsia="Times New Roman" w:hAnsiTheme="minorHAnsi" w:cs="Calibri"/>
              </w:rPr>
              <w:t>The SEA has the following objectives: (i) assure that the main environmental risks and opportunities of policies, plans or programs have been properly identified; (ii) engage early on governments and potentially affected parties in the identification and analysis of strategic issues, actions, and development alternatives; (iii) define and agree on a sequence of actions to address systematically and strategically environmental issues and priority actions, summarized in an SEA action plan for adequate monitoring and follow up; and (iv) assure that adequate environmental information is available and collected for the decision-making process. The SEA process should be triggered early in the decision-making process and prior to the implementation of the policies, plans or programs. Recommendations from the SEA process should be incorporated into an operation’s activities</w:t>
            </w:r>
            <w:r>
              <w:rPr>
                <w:rFonts w:asciiTheme="minorHAnsi" w:eastAsia="Times New Roman" w:hAnsiTheme="minorHAnsi" w:cs="Calibri"/>
              </w:rPr>
              <w:t>”</w:t>
            </w:r>
            <w:r w:rsidRPr="00D04661">
              <w:rPr>
                <w:rFonts w:asciiTheme="minorHAnsi" w:eastAsia="Times New Roman" w:hAnsiTheme="minorHAnsi" w:cs="Calibri"/>
              </w:rPr>
              <w:t>…(</w:t>
            </w:r>
            <w:r w:rsidRPr="00D04661">
              <w:rPr>
                <w:rFonts w:asciiTheme="minorHAnsi" w:eastAsia="Times New Roman" w:hAnsiTheme="minorHAnsi" w:cs="Calibri"/>
                <w:b/>
              </w:rPr>
              <w:t>IDB, ESCP para. 4.19)</w:t>
            </w:r>
          </w:p>
          <w:p w14:paraId="362CCCFE" w14:textId="77777777" w:rsidR="00CF59E1" w:rsidRPr="00D04661" w:rsidRDefault="00CF59E1" w:rsidP="00CF59E1">
            <w:pPr>
              <w:spacing w:after="120"/>
              <w:rPr>
                <w:rFonts w:asciiTheme="minorHAnsi" w:eastAsia="Times New Roman" w:hAnsiTheme="minorHAnsi" w:cs="Calibri"/>
                <w:b/>
              </w:rPr>
            </w:pPr>
            <w:r>
              <w:rPr>
                <w:rFonts w:asciiTheme="minorHAnsi" w:hAnsiTheme="minorHAnsi" w:cs="Calibri"/>
              </w:rPr>
              <w:t>“</w:t>
            </w:r>
            <w:r w:rsidRPr="00D04661">
              <w:rPr>
                <w:rFonts w:asciiTheme="minorHAnsi" w:hAnsiTheme="minorHAnsi" w:cs="Times New Roman"/>
              </w:rPr>
              <w:t>The Strategic Environmental Assessment (SEA) addresses the key environmental and associated social impacts of policies, plans and programs.</w:t>
            </w:r>
          </w:p>
          <w:p w14:paraId="6FC0F686" w14:textId="77777777" w:rsidR="00CF59E1" w:rsidRPr="00D8522E" w:rsidRDefault="00CF59E1" w:rsidP="00CF59E1">
            <w:pPr>
              <w:spacing w:after="120"/>
              <w:rPr>
                <w:rFonts w:asciiTheme="minorHAnsi" w:hAnsiTheme="minorHAnsi" w:cs="Calibri"/>
              </w:rPr>
            </w:pPr>
            <w:r w:rsidRPr="00D04661">
              <w:rPr>
                <w:rFonts w:asciiTheme="minorHAnsi" w:hAnsiTheme="minorHAnsi" w:cs="Times New Roman"/>
              </w:rPr>
              <w:t>The SEA is a tool for including environmental and social issues into development planning, decision making and implementation processes at strategic levels, prior to commitments and decisions at the project-level are made</w:t>
            </w:r>
            <w:r w:rsidRPr="00D04661">
              <w:rPr>
                <w:rFonts w:asciiTheme="minorHAnsi" w:hAnsiTheme="minorHAnsi" w:cs="Calibri"/>
              </w:rPr>
              <w:t>…In the context of the Bank’s operations, the SEA is often the appropriate tool for the following types of operations: (i) policy-based lending operations (e.g., structural or sectoral adjustment); (ii) sector-wide loans, such as the tourism sector programs; and (iii) regional plans and programs, such as infrastructure development.</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 xml:space="preserve">IDB, </w:t>
            </w:r>
            <w:r w:rsidRPr="00D8522E">
              <w:rPr>
                <w:rFonts w:asciiTheme="minorHAnsi" w:hAnsiTheme="minorHAnsi" w:cs="TimesNewRoman"/>
                <w:b/>
              </w:rPr>
              <w:t>Implementation Guidelines for the Environment and Safeguards Compliance Policy, (IG-ESCP ) p. 31</w:t>
            </w:r>
            <w:r w:rsidRPr="00D8522E">
              <w:rPr>
                <w:rFonts w:asciiTheme="minorHAnsi" w:hAnsiTheme="minorHAnsi" w:cs="Calibri"/>
              </w:rPr>
              <w:t>)</w:t>
            </w:r>
          </w:p>
          <w:p w14:paraId="58BE731B"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 xml:space="preserve">The overall objective of this standards is to outline the promoter’s responsibility specifically </w:t>
            </w:r>
            <w:r>
              <w:rPr>
                <w:rFonts w:asciiTheme="minorHAnsi" w:hAnsiTheme="minorHAnsi" w:cs="Calibri"/>
              </w:rPr>
              <w:t>“</w:t>
            </w:r>
            <w:r w:rsidRPr="00D04661">
              <w:rPr>
                <w:rFonts w:asciiTheme="minorHAnsi" w:hAnsiTheme="minorHAnsi" w:cs="Calibri"/>
              </w:rPr>
              <w:t>improving the planning process through the performance of a strategic environmental assessment, in order to ensure that environmental and social considerations are taken into account in the selection of alternative, cumulative and large-scale effects are addressed, and a participatory approach applied in the engagement with project-affected individuals and communities, as well as other relevant stakeholders.</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(EIB, ESH, ESS 1, para. 5).</w:t>
            </w:r>
          </w:p>
          <w:p w14:paraId="1D52B98A"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When a plan or programme is located outside the EU, Candidate and potential Candidate countries, the promoter is encouraged to apply the SEA as an important tool towards reaching the objectives introduced by the relevant international treaties (e.g. Espoo Convention) and to manage the development challenges generated by the promotion of sustainable use of natural resources, adaptation and mitigation to climate change, enhancement and maintenance of biodiversity values and ecosystems, landscape and cultural heritage, human well-being, and the protection of human rights. The EIB and the promoter will agree on the need for carrying out an SEA for certain plans and programmes, on a case-by-case analysis</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EIB, ESH, ESS1, para. 16)</w:t>
            </w:r>
          </w:p>
        </w:tc>
      </w:tr>
      <w:tr w:rsidR="00CF59E1" w:rsidRPr="00D8522E" w14:paraId="237BEFA9" w14:textId="77777777" w:rsidTr="00CF59E1">
        <w:tc>
          <w:tcPr>
            <w:tcW w:w="6390" w:type="dxa"/>
            <w:vMerge w:val="restart"/>
            <w:shd w:val="clear" w:color="auto" w:fill="auto"/>
            <w:vAlign w:val="center"/>
          </w:tcPr>
          <w:p w14:paraId="0A5DCE68" w14:textId="77777777" w:rsidR="00CF59E1" w:rsidRPr="00D04661" w:rsidRDefault="00CF59E1" w:rsidP="00CF59E1">
            <w:pPr>
              <w:autoSpaceDE/>
              <w:autoSpaceDN/>
              <w:adjustRightInd/>
              <w:spacing w:after="120"/>
              <w:rPr>
                <w:rFonts w:asciiTheme="minorHAnsi" w:eastAsia="Times New Roman" w:hAnsiTheme="minorHAnsi" w:cs="Calibri"/>
                <w:b/>
                <w:bCs/>
              </w:rPr>
            </w:pPr>
            <w:r w:rsidRPr="00D04661">
              <w:rPr>
                <w:rFonts w:asciiTheme="minorHAnsi" w:eastAsia="Times New Roman" w:hAnsiTheme="minorHAnsi" w:cs="Calibri"/>
                <w:b/>
                <w:bCs/>
              </w:rPr>
              <w:t xml:space="preserve">SCOPE OF IMPACTS ASSESSED </w:t>
            </w:r>
          </w:p>
          <w:p w14:paraId="4BC42DB8" w14:textId="77777777" w:rsidR="00CF59E1" w:rsidRPr="00D04661" w:rsidRDefault="00CF59E1" w:rsidP="00CF59E1">
            <w:pPr>
              <w:autoSpaceDE/>
              <w:autoSpaceDN/>
              <w:adjustRightInd/>
              <w:spacing w:after="120"/>
              <w:rPr>
                <w:rFonts w:asciiTheme="minorHAnsi" w:hAnsiTheme="minorHAnsi" w:cs="Arial"/>
              </w:rPr>
            </w:pPr>
            <w:r w:rsidRPr="00D04661">
              <w:rPr>
                <w:rFonts w:asciiTheme="minorHAnsi" w:eastAsia="Times New Roman" w:hAnsiTheme="minorHAnsi" w:cs="Calibri"/>
                <w:b/>
              </w:rPr>
              <w:t xml:space="preserve">OP 4.01, </w:t>
            </w:r>
            <w:r>
              <w:rPr>
                <w:rFonts w:asciiTheme="minorHAnsi" w:eastAsia="Times New Roman" w:hAnsiTheme="minorHAnsi" w:cs="Calibri"/>
                <w:b/>
              </w:rPr>
              <w:t xml:space="preserve">para. </w:t>
            </w:r>
            <w:r w:rsidRPr="00D04661">
              <w:rPr>
                <w:rFonts w:asciiTheme="minorHAnsi" w:hAnsiTheme="minorHAnsi" w:cs="Arial"/>
                <w:b/>
              </w:rPr>
              <w:t>3</w:t>
            </w:r>
            <w:bookmarkStart w:id="18" w:name="fref5"/>
            <w:bookmarkEnd w:id="18"/>
            <w:r w:rsidRPr="00D04661">
              <w:rPr>
                <w:rFonts w:asciiTheme="minorHAnsi" w:hAnsiTheme="minorHAnsi" w:cs="Arial"/>
              </w:rPr>
              <w:t>. EA takes into account the natural environment (air, water, and land); human health and safety; social aspects (involuntary resettlement, indigenous peoples, and physical cultural resources); and trans-boundary and global environmental aspects. EA considers natural and social aspects in an integrated way.</w:t>
            </w:r>
          </w:p>
          <w:p w14:paraId="401ABFB0" w14:textId="77777777" w:rsidR="00CF59E1" w:rsidRPr="00D04661" w:rsidRDefault="00CF59E1" w:rsidP="00CF59E1">
            <w:pPr>
              <w:autoSpaceDE/>
              <w:autoSpaceDN/>
              <w:adjustRightInd/>
              <w:spacing w:after="120"/>
              <w:rPr>
                <w:rFonts w:asciiTheme="minorHAnsi" w:hAnsiTheme="minorHAnsi" w:cs="Arial"/>
              </w:rPr>
            </w:pPr>
            <w:r w:rsidRPr="00D04661">
              <w:rPr>
                <w:rFonts w:asciiTheme="minorHAnsi" w:hAnsiTheme="minorHAnsi" w:cs="Arial"/>
                <w:b/>
              </w:rPr>
              <w:t>OP 4.01 footnote 5</w:t>
            </w:r>
            <w:r w:rsidRPr="00D04661">
              <w:rPr>
                <w:rFonts w:asciiTheme="minorHAnsi" w:hAnsiTheme="minorHAnsi" w:cs="Arial"/>
              </w:rPr>
              <w:t>:</w:t>
            </w:r>
            <w:bookmarkStart w:id="19" w:name="fn5"/>
            <w:bookmarkEnd w:id="19"/>
            <w:r w:rsidRPr="00D8522E">
              <w:rPr>
                <w:rFonts w:asciiTheme="minorHAnsi" w:hAnsiTheme="minorHAnsi" w:cs="Arial"/>
              </w:rPr>
              <w:t xml:space="preserve"> </w:t>
            </w:r>
            <w:r w:rsidRPr="00D04661">
              <w:rPr>
                <w:rFonts w:asciiTheme="minorHAnsi" w:eastAsia="Times New Roman" w:hAnsiTheme="minorHAnsi" w:cs="Arial"/>
                <w:color w:val="000000"/>
              </w:rPr>
              <w:t>Global environmental issues include climate change, ozone-depleting substances, pollution of international waters, and adverse impacts on biodiversity.</w:t>
            </w:r>
          </w:p>
          <w:p w14:paraId="5D38A697" w14:textId="77777777" w:rsidR="00CF59E1" w:rsidRPr="00D8522E" w:rsidRDefault="00CF59E1" w:rsidP="00CF59E1">
            <w:pPr>
              <w:autoSpaceDE/>
              <w:autoSpaceDN/>
              <w:adjustRightInd/>
              <w:spacing w:after="120"/>
              <w:rPr>
                <w:rFonts w:asciiTheme="minorHAnsi" w:hAnsiTheme="minorHAnsi" w:cs="Arial"/>
              </w:rPr>
            </w:pPr>
            <w:r w:rsidRPr="00D04661">
              <w:rPr>
                <w:rFonts w:asciiTheme="minorHAnsi" w:hAnsiTheme="minorHAnsi" w:cs="Arial"/>
                <w:b/>
              </w:rPr>
              <w:t xml:space="preserve">OP 4.04 </w:t>
            </w:r>
            <w:r>
              <w:rPr>
                <w:rFonts w:asciiTheme="minorHAnsi" w:hAnsiTheme="minorHAnsi" w:cs="Arial"/>
                <w:b/>
              </w:rPr>
              <w:t xml:space="preserve">para. </w:t>
            </w:r>
            <w:r w:rsidRPr="00D04661">
              <w:rPr>
                <w:rFonts w:asciiTheme="minorHAnsi" w:hAnsiTheme="minorHAnsi" w:cs="Arial"/>
                <w:b/>
              </w:rPr>
              <w:t>5</w:t>
            </w:r>
            <w:r w:rsidRPr="00D8522E">
              <w:rPr>
                <w:rFonts w:asciiTheme="minorHAnsi" w:hAnsiTheme="minorHAnsi" w:cs="Arial"/>
              </w:rPr>
              <w:t xml:space="preserve">: </w:t>
            </w:r>
            <w:r w:rsidRPr="00D04661">
              <w:rPr>
                <w:rFonts w:asciiTheme="minorHAnsi" w:hAnsiTheme="minorHAnsi" w:cs="Arial"/>
                <w:color w:val="000000"/>
              </w:rPr>
              <w:t xml:space="preserve">If the environmental assessment indicates that a project would significantly convert or degrade natural habitats, the project includes mitigation measures acceptable to the Bank. </w:t>
            </w:r>
          </w:p>
          <w:p w14:paraId="615BDF05" w14:textId="77777777" w:rsidR="00CF59E1" w:rsidRDefault="00CF59E1" w:rsidP="00CF59E1">
            <w:pPr>
              <w:autoSpaceDE/>
              <w:autoSpaceDN/>
              <w:adjustRightInd/>
              <w:spacing w:after="120"/>
              <w:rPr>
                <w:rFonts w:asciiTheme="minorHAnsi" w:hAnsiTheme="minorHAnsi" w:cs="Arial"/>
              </w:rPr>
            </w:pPr>
            <w:r w:rsidRPr="00D04661">
              <w:rPr>
                <w:rFonts w:asciiTheme="minorHAnsi" w:hAnsiTheme="minorHAnsi" w:cs="Arial"/>
                <w:b/>
              </w:rPr>
              <w:t xml:space="preserve">OP 4.36 </w:t>
            </w:r>
            <w:r>
              <w:rPr>
                <w:rFonts w:asciiTheme="minorHAnsi" w:hAnsiTheme="minorHAnsi" w:cs="Arial"/>
                <w:b/>
              </w:rPr>
              <w:t xml:space="preserve">para. </w:t>
            </w:r>
            <w:r w:rsidRPr="00D04661">
              <w:rPr>
                <w:rFonts w:asciiTheme="minorHAnsi" w:hAnsiTheme="minorHAnsi" w:cs="Arial"/>
                <w:b/>
              </w:rPr>
              <w:t>13</w:t>
            </w:r>
            <w:r w:rsidRPr="00D8522E">
              <w:rPr>
                <w:rFonts w:asciiTheme="minorHAnsi" w:hAnsiTheme="minorHAnsi" w:cs="Arial"/>
              </w:rPr>
              <w:t xml:space="preserve">: </w:t>
            </w:r>
            <w:r w:rsidRPr="00D04661">
              <w:rPr>
                <w:rFonts w:asciiTheme="minorHAnsi" w:hAnsiTheme="minorHAnsi" w:cs="Arial"/>
                <w:color w:val="000000"/>
              </w:rPr>
              <w:t xml:space="preserve">In accordance </w:t>
            </w:r>
            <w:r w:rsidRPr="003B4A78">
              <w:rPr>
                <w:rFonts w:asciiTheme="minorHAnsi" w:hAnsiTheme="minorHAnsi" w:cs="Arial"/>
                <w:color w:val="000000"/>
              </w:rPr>
              <w:t xml:space="preserve">with </w:t>
            </w:r>
            <w:hyperlink r:id="rId25" w:history="1">
              <w:r w:rsidRPr="00A10497">
                <w:rPr>
                  <w:rFonts w:asciiTheme="minorHAnsi" w:hAnsiTheme="minorHAnsi" w:cs="Arial"/>
                </w:rPr>
                <w:t>OP</w:t>
              </w:r>
            </w:hyperlink>
            <w:r w:rsidRPr="00A10497">
              <w:rPr>
                <w:rFonts w:asciiTheme="minorHAnsi" w:hAnsiTheme="minorHAnsi" w:cs="Arial"/>
              </w:rPr>
              <w:t>/</w:t>
            </w:r>
            <w:hyperlink r:id="rId26" w:history="1">
              <w:r w:rsidRPr="00A10497">
                <w:rPr>
                  <w:rFonts w:asciiTheme="minorHAnsi" w:hAnsiTheme="minorHAnsi" w:cs="Arial"/>
                </w:rPr>
                <w:t>BP</w:t>
              </w:r>
            </w:hyperlink>
            <w:r w:rsidRPr="00A10497">
              <w:rPr>
                <w:rFonts w:asciiTheme="minorHAnsi" w:hAnsiTheme="minorHAnsi" w:cs="Arial"/>
              </w:rPr>
              <w:t xml:space="preserve"> </w:t>
            </w:r>
            <w:r w:rsidRPr="003B4A78">
              <w:rPr>
                <w:rFonts w:asciiTheme="minorHAnsi" w:hAnsiTheme="minorHAnsi" w:cs="Arial"/>
                <w:color w:val="000000"/>
              </w:rPr>
              <w:t xml:space="preserve">4.01, </w:t>
            </w:r>
            <w:r w:rsidRPr="003B4A78">
              <w:rPr>
                <w:rFonts w:asciiTheme="minorHAnsi" w:hAnsiTheme="minorHAnsi" w:cs="Arial"/>
                <w:i/>
                <w:iCs/>
                <w:color w:val="000000"/>
              </w:rPr>
              <w:t>Environmental Assessment</w:t>
            </w:r>
            <w:r w:rsidRPr="003B4A78">
              <w:rPr>
                <w:rFonts w:asciiTheme="minorHAnsi" w:hAnsiTheme="minorHAnsi" w:cs="Arial"/>
                <w:color w:val="000000"/>
              </w:rPr>
              <w:t xml:space="preserve">, the environmental assessment (EA) for </w:t>
            </w:r>
            <w:r w:rsidRPr="00D04661">
              <w:rPr>
                <w:rFonts w:asciiTheme="minorHAnsi" w:hAnsiTheme="minorHAnsi" w:cs="Arial"/>
                <w:color w:val="000000"/>
              </w:rPr>
              <w:t>an investment project addresses the potential impact of the project on forests and/or the rights and welfare of local communities.</w:t>
            </w:r>
          </w:p>
          <w:p w14:paraId="1C87BFCD" w14:textId="77777777" w:rsidR="00CF59E1" w:rsidRDefault="00CF59E1" w:rsidP="00CF59E1">
            <w:pPr>
              <w:autoSpaceDE/>
              <w:autoSpaceDN/>
              <w:adjustRightInd/>
              <w:spacing w:after="120"/>
              <w:rPr>
                <w:rFonts w:asciiTheme="minorHAnsi" w:hAnsiTheme="minorHAnsi" w:cs="Arial"/>
                <w:color w:val="000000"/>
              </w:rPr>
            </w:pPr>
            <w:r w:rsidRPr="00D04661">
              <w:rPr>
                <w:rFonts w:asciiTheme="minorHAnsi" w:eastAsia="Times New Roman" w:hAnsiTheme="minorHAnsi" w:cs="Calibri"/>
                <w:b/>
              </w:rPr>
              <w:t xml:space="preserve">OP 4.01, </w:t>
            </w:r>
            <w:r>
              <w:rPr>
                <w:rFonts w:asciiTheme="minorHAnsi" w:eastAsia="Times New Roman" w:hAnsiTheme="minorHAnsi" w:cs="Calibri"/>
                <w:b/>
              </w:rPr>
              <w:t xml:space="preserve">para. </w:t>
            </w:r>
            <w:r w:rsidRPr="00D04661">
              <w:rPr>
                <w:rFonts w:asciiTheme="minorHAnsi" w:hAnsiTheme="minorHAnsi" w:cs="Arial"/>
                <w:b/>
                <w:color w:val="000000"/>
              </w:rPr>
              <w:t>13</w:t>
            </w:r>
            <w:r w:rsidRPr="00D04661">
              <w:rPr>
                <w:rFonts w:asciiTheme="minorHAnsi" w:hAnsiTheme="minorHAnsi" w:cs="Arial"/>
                <w:color w:val="000000"/>
              </w:rPr>
              <w:t>: When the borrower has inadequate legal or technical capacity to carry out key EA-related functions (such as review of EA, environmental monitoring, inspections, or management of mitigatory measures) for a proposed project, the project includes components to strengthen that capacity.</w:t>
            </w:r>
          </w:p>
          <w:p w14:paraId="1ED5CE0D" w14:textId="77777777" w:rsidR="00CF59E1" w:rsidRDefault="00CF59E1" w:rsidP="00CF59E1">
            <w:pPr>
              <w:autoSpaceDE/>
              <w:autoSpaceDN/>
              <w:adjustRightInd/>
              <w:spacing w:after="120"/>
              <w:rPr>
                <w:rFonts w:asciiTheme="minorHAnsi" w:hAnsiTheme="minorHAnsi" w:cs="Arial"/>
              </w:rPr>
            </w:pPr>
            <w:r w:rsidRPr="003B4A78">
              <w:rPr>
                <w:rFonts w:asciiTheme="minorHAnsi" w:eastAsia="Times New Roman" w:hAnsiTheme="minorHAnsi" w:cs="Calibri"/>
                <w:b/>
              </w:rPr>
              <w:t xml:space="preserve">OP 4.01, </w:t>
            </w:r>
            <w:r>
              <w:rPr>
                <w:rFonts w:asciiTheme="minorHAnsi" w:eastAsia="Times New Roman" w:hAnsiTheme="minorHAnsi" w:cs="Calibri"/>
                <w:b/>
              </w:rPr>
              <w:t xml:space="preserve">para. </w:t>
            </w:r>
            <w:r w:rsidRPr="003B4A78">
              <w:rPr>
                <w:rFonts w:asciiTheme="minorHAnsi" w:hAnsiTheme="minorHAnsi" w:cs="Arial"/>
                <w:b/>
                <w:color w:val="000000"/>
              </w:rPr>
              <w:t>2</w:t>
            </w:r>
            <w:r w:rsidRPr="003B4A78">
              <w:rPr>
                <w:rFonts w:asciiTheme="minorHAnsi" w:hAnsiTheme="minorHAnsi" w:cs="Arial"/>
                <w:color w:val="000000"/>
              </w:rPr>
              <w:t>: EA is a process whose breadth, depth, and type of analysis depend on the nature, scale, and potential environmental impact of the proposed project. EA evaluates a project's potential environmental risks and impacts in its area of influence;</w:t>
            </w:r>
            <w:hyperlink r:id="rId27" w:anchor="fn3" w:history="1">
              <w:r w:rsidRPr="003B4A78">
                <w:rPr>
                  <w:rStyle w:val="Strong"/>
                  <w:rFonts w:asciiTheme="minorHAnsi" w:hAnsiTheme="minorHAnsi" w:cs="Arial"/>
                  <w:color w:val="0000FF"/>
                  <w:u w:val="single"/>
                  <w:vertAlign w:val="superscript"/>
                </w:rPr>
                <w:t>3</w:t>
              </w:r>
            </w:hyperlink>
            <w:r w:rsidRPr="003B4A78">
              <w:rPr>
                <w:rFonts w:asciiTheme="minorHAnsi" w:hAnsiTheme="minorHAnsi" w:cs="Arial"/>
                <w:color w:val="000000"/>
              </w:rPr>
              <w:t xml:space="preserve"> </w:t>
            </w:r>
            <w:r>
              <w:rPr>
                <w:rFonts w:asciiTheme="minorHAnsi" w:hAnsiTheme="minorHAnsi" w:cs="Arial"/>
                <w:color w:val="000000"/>
              </w:rPr>
              <w:t xml:space="preserve">(…) </w:t>
            </w:r>
            <w:r w:rsidRPr="003B4A78">
              <w:rPr>
                <w:rFonts w:asciiTheme="minorHAnsi" w:hAnsiTheme="minorHAnsi" w:cs="Arial"/>
                <w:color w:val="000000"/>
              </w:rPr>
              <w:t xml:space="preserve">and includes the process of mitigating and managing adverse environmental impacts throughout project implementation. </w:t>
            </w:r>
          </w:p>
          <w:p w14:paraId="0B4E9381" w14:textId="77777777" w:rsidR="00CF59E1" w:rsidRPr="00D04661" w:rsidRDefault="00CF59E1" w:rsidP="00CF59E1">
            <w:pPr>
              <w:autoSpaceDE/>
              <w:autoSpaceDN/>
              <w:adjustRightInd/>
              <w:spacing w:after="120"/>
              <w:rPr>
                <w:rFonts w:asciiTheme="minorHAnsi" w:hAnsiTheme="minorHAnsi" w:cs="Arial"/>
              </w:rPr>
            </w:pPr>
          </w:p>
        </w:tc>
        <w:tc>
          <w:tcPr>
            <w:tcW w:w="7200" w:type="dxa"/>
            <w:shd w:val="clear" w:color="auto" w:fill="auto"/>
          </w:tcPr>
          <w:p w14:paraId="607D79FA" w14:textId="77777777" w:rsidR="00CF59E1" w:rsidRPr="00D04661" w:rsidRDefault="00CF59E1" w:rsidP="00CF59E1">
            <w:pPr>
              <w:spacing w:after="120"/>
              <w:rPr>
                <w:rFonts w:asciiTheme="minorHAnsi" w:hAnsiTheme="minorHAnsi" w:cs="Calibri"/>
                <w:i/>
              </w:rPr>
            </w:pPr>
            <w:r>
              <w:rPr>
                <w:rFonts w:asciiTheme="minorHAnsi" w:hAnsiTheme="minorHAnsi" w:cs="Calibri"/>
              </w:rPr>
              <w:t>“</w:t>
            </w:r>
            <w:r w:rsidRPr="00D04661">
              <w:rPr>
                <w:rFonts w:asciiTheme="minorHAnsi" w:hAnsiTheme="minorHAnsi" w:cs="Calibri"/>
              </w:rPr>
              <w:t xml:space="preserve"> [EA must address ]</w:t>
            </w:r>
            <w:r w:rsidRPr="00D04661">
              <w:rPr>
                <w:rFonts w:asciiTheme="minorHAnsi" w:hAnsiTheme="minorHAnsi" w:cs="Calibri"/>
                <w:i/>
              </w:rPr>
              <w:t xml:space="preserve"> vulnerable groups and gender issues</w:t>
            </w:r>
            <w:r>
              <w:rPr>
                <w:rFonts w:asciiTheme="minorHAnsi" w:hAnsiTheme="minorHAnsi" w:cs="Calibri"/>
                <w:i/>
              </w:rPr>
              <w:t>”</w:t>
            </w:r>
            <w:r w:rsidRPr="00D04661">
              <w:rPr>
                <w:rFonts w:asciiTheme="minorHAnsi" w:hAnsiTheme="minorHAnsi" w:cs="Calibri"/>
                <w:i/>
              </w:rPr>
              <w:t xml:space="preserve"> (</w:t>
            </w:r>
            <w:r w:rsidRPr="00D04661">
              <w:rPr>
                <w:rFonts w:asciiTheme="minorHAnsi" w:hAnsiTheme="minorHAnsi" w:cs="Calibri"/>
                <w:b/>
                <w:i/>
              </w:rPr>
              <w:t>ADB</w:t>
            </w:r>
            <w:r w:rsidRPr="00D04661">
              <w:rPr>
                <w:rFonts w:asciiTheme="minorHAnsi" w:hAnsiTheme="minorHAnsi" w:cs="Calibri"/>
                <w:i/>
              </w:rPr>
              <w:t>)</w:t>
            </w:r>
            <w:r w:rsidRPr="00D04661">
              <w:rPr>
                <w:rFonts w:asciiTheme="minorHAnsi" w:hAnsiTheme="minorHAnsi" w:cs="Calibri"/>
                <w:i/>
                <w:vertAlign w:val="superscript"/>
              </w:rPr>
              <w:footnoteReference w:id="206"/>
            </w:r>
            <w:r w:rsidRPr="00D04661">
              <w:rPr>
                <w:rFonts w:asciiTheme="minorHAnsi" w:hAnsiTheme="minorHAnsi" w:cs="Calibri"/>
                <w:i/>
              </w:rPr>
              <w:t xml:space="preserve"> (emphasis added)</w:t>
            </w:r>
            <w:r w:rsidRPr="00D04661">
              <w:rPr>
                <w:rStyle w:val="FootnoteReference"/>
                <w:rFonts w:asciiTheme="minorHAnsi" w:eastAsia="Times New Roman" w:hAnsiTheme="minorHAnsi" w:cs="Calibri"/>
                <w:b/>
                <w:bCs/>
                <w:i/>
              </w:rPr>
              <w:t xml:space="preserve"> </w:t>
            </w:r>
            <w:r w:rsidRPr="00D04661">
              <w:rPr>
                <w:rStyle w:val="FootnoteReference"/>
                <w:rFonts w:asciiTheme="minorHAnsi" w:eastAsia="Times New Roman" w:hAnsiTheme="minorHAnsi" w:cs="Calibri"/>
                <w:b/>
                <w:bCs/>
                <w:i/>
              </w:rPr>
              <w:footnoteReference w:id="207"/>
            </w:r>
          </w:p>
          <w:p w14:paraId="48BD5BEA" w14:textId="77777777" w:rsidR="00CF59E1" w:rsidRPr="00D04661" w:rsidRDefault="00CF59E1" w:rsidP="00CF59E1">
            <w:pPr>
              <w:spacing w:after="120"/>
              <w:rPr>
                <w:rFonts w:asciiTheme="minorHAnsi" w:hAnsiTheme="minorHAnsi" w:cs="Calibri"/>
              </w:rPr>
            </w:pPr>
            <w:r>
              <w:rPr>
                <w:rFonts w:asciiTheme="minorHAnsi" w:hAnsiTheme="minorHAnsi" w:cs="Arial"/>
              </w:rPr>
              <w:t>“</w:t>
            </w:r>
            <w:r w:rsidRPr="00D04661">
              <w:rPr>
                <w:rFonts w:asciiTheme="minorHAnsi" w:hAnsiTheme="minorHAnsi" w:cs="Arial"/>
              </w:rPr>
              <w:t>The environmental assessment will consider all potential impacts and risks of the project on physical, biological, socioeconomic (</w:t>
            </w:r>
            <w:r w:rsidRPr="00D04661">
              <w:rPr>
                <w:rFonts w:asciiTheme="minorHAnsi" w:hAnsiTheme="minorHAnsi" w:cs="Arial"/>
                <w:i/>
              </w:rPr>
              <w:t>occupational health and safety</w:t>
            </w:r>
            <w:r w:rsidRPr="00D04661">
              <w:rPr>
                <w:rFonts w:asciiTheme="minorHAnsi" w:hAnsiTheme="minorHAnsi" w:cs="Arial"/>
              </w:rPr>
              <w:t xml:space="preserve">, </w:t>
            </w:r>
            <w:r w:rsidRPr="00D04661">
              <w:rPr>
                <w:rFonts w:asciiTheme="minorHAnsi" w:hAnsiTheme="minorHAnsi" w:cs="Arial"/>
                <w:i/>
              </w:rPr>
              <w:t>community health and safety</w:t>
            </w:r>
            <w:r w:rsidRPr="00D04661">
              <w:rPr>
                <w:rFonts w:asciiTheme="minorHAnsi" w:hAnsiTheme="minorHAnsi" w:cs="Arial"/>
              </w:rPr>
              <w:t xml:space="preserve">, </w:t>
            </w:r>
            <w:r w:rsidRPr="00D04661">
              <w:rPr>
                <w:rFonts w:asciiTheme="minorHAnsi" w:hAnsiTheme="minorHAnsi" w:cs="Arial"/>
                <w:i/>
              </w:rPr>
              <w:t>vulnerable groups and gender issues, and impacts on livelihoods through environmental media</w:t>
            </w:r>
            <w:r w:rsidRPr="00D04661">
              <w:rPr>
                <w:rFonts w:asciiTheme="minorHAnsi" w:hAnsiTheme="minorHAnsi" w:cs="Arial"/>
              </w:rPr>
              <w:t xml:space="preserve"> … and physical cultural resources in an integrated way.</w:t>
            </w:r>
            <w:r>
              <w:rPr>
                <w:rFonts w:asciiTheme="minorHAnsi" w:hAnsiTheme="minorHAnsi" w:cs="Arial"/>
              </w:rPr>
              <w:t>”</w:t>
            </w:r>
            <w:r w:rsidRPr="00D04661">
              <w:rPr>
                <w:rFonts w:asciiTheme="minorHAnsi" w:hAnsiTheme="minorHAnsi" w:cs="Calibri"/>
              </w:rPr>
              <w:t>(</w:t>
            </w:r>
            <w:r w:rsidRPr="00D04661">
              <w:rPr>
                <w:rFonts w:asciiTheme="minorHAnsi" w:hAnsiTheme="minorHAnsi" w:cs="Calibri"/>
                <w:b/>
              </w:rPr>
              <w:t xml:space="preserve">ADB, SPS, Appendix 1, para. 5) </w:t>
            </w:r>
            <w:r w:rsidRPr="00D04661">
              <w:rPr>
                <w:rFonts w:asciiTheme="minorHAnsi" w:hAnsiTheme="minorHAnsi" w:cs="Calibri"/>
              </w:rPr>
              <w:t>(</w:t>
            </w:r>
            <w:r w:rsidRPr="00600FE5">
              <w:rPr>
                <w:rFonts w:asciiTheme="minorHAnsi" w:hAnsiTheme="minorHAnsi" w:cs="Calibri"/>
              </w:rPr>
              <w:t>emphasis</w:t>
            </w:r>
            <w:r w:rsidRPr="00D04661">
              <w:rPr>
                <w:rFonts w:asciiTheme="minorHAnsi" w:hAnsiTheme="minorHAnsi" w:cs="Calibri"/>
                <w:i/>
              </w:rPr>
              <w:t xml:space="preserve"> </w:t>
            </w:r>
            <w:r w:rsidRPr="00600FE5">
              <w:rPr>
                <w:rFonts w:asciiTheme="minorHAnsi" w:hAnsiTheme="minorHAnsi" w:cs="Calibri"/>
              </w:rPr>
              <w:t>added</w:t>
            </w:r>
            <w:r w:rsidRPr="00D8522E">
              <w:rPr>
                <w:rFonts w:asciiTheme="minorHAnsi" w:hAnsiTheme="minorHAnsi" w:cs="Calibri"/>
                <w:b/>
              </w:rPr>
              <w:t>)</w:t>
            </w:r>
            <w:r w:rsidRPr="00D04661">
              <w:rPr>
                <w:rFonts w:asciiTheme="minorHAnsi" w:hAnsiTheme="minorHAnsi" w:cs="Calibri"/>
              </w:rPr>
              <w:t>.</w:t>
            </w:r>
          </w:p>
        </w:tc>
      </w:tr>
      <w:tr w:rsidR="00CF59E1" w:rsidRPr="00D8522E" w14:paraId="5432E3F6" w14:textId="77777777" w:rsidTr="00CF59E1">
        <w:tc>
          <w:tcPr>
            <w:tcW w:w="6390" w:type="dxa"/>
            <w:vMerge/>
            <w:tcBorders>
              <w:bottom w:val="single" w:sz="4" w:space="0" w:color="auto"/>
            </w:tcBorders>
            <w:shd w:val="clear" w:color="auto" w:fill="auto"/>
            <w:vAlign w:val="center"/>
          </w:tcPr>
          <w:p w14:paraId="64A5DD17" w14:textId="77777777" w:rsidR="00CF59E1" w:rsidRPr="00D04661" w:rsidRDefault="00CF59E1" w:rsidP="00CF59E1">
            <w:pPr>
              <w:autoSpaceDE/>
              <w:autoSpaceDN/>
              <w:adjustRightInd/>
              <w:spacing w:after="120"/>
              <w:rPr>
                <w:rFonts w:asciiTheme="minorHAnsi" w:eastAsia="Times New Roman" w:hAnsiTheme="minorHAnsi" w:cs="Calibri"/>
              </w:rPr>
            </w:pPr>
          </w:p>
        </w:tc>
        <w:tc>
          <w:tcPr>
            <w:tcW w:w="7200" w:type="dxa"/>
            <w:tcBorders>
              <w:bottom w:val="single" w:sz="4" w:space="0" w:color="auto"/>
            </w:tcBorders>
            <w:shd w:val="clear" w:color="auto" w:fill="auto"/>
          </w:tcPr>
          <w:p w14:paraId="4A1FAC1F" w14:textId="77777777" w:rsidR="00CF59E1" w:rsidRPr="00D04661" w:rsidRDefault="00CF59E1" w:rsidP="00CF59E1">
            <w:pPr>
              <w:spacing w:after="120"/>
              <w:rPr>
                <w:rFonts w:asciiTheme="minorHAnsi" w:hAnsiTheme="minorHAnsi" w:cs="Calibri"/>
              </w:rPr>
            </w:pPr>
            <w:r>
              <w:rPr>
                <w:rFonts w:asciiTheme="minorHAnsi" w:hAnsiTheme="minorHAnsi" w:cs="Arial"/>
              </w:rPr>
              <w:t>“</w:t>
            </w:r>
            <w:r w:rsidRPr="00D04661">
              <w:rPr>
                <w:rFonts w:asciiTheme="minorHAnsi" w:hAnsiTheme="minorHAnsi" w:cs="Arial"/>
              </w:rPr>
              <w:t xml:space="preserve">The assessment will identify potential transboundary effects, such as air pollution, increased use or contamination of international waterways, as well as global impacts, </w:t>
            </w:r>
            <w:r w:rsidRPr="00D04661">
              <w:rPr>
                <w:rFonts w:asciiTheme="minorHAnsi" w:hAnsiTheme="minorHAnsi" w:cs="Arial"/>
                <w:i/>
              </w:rPr>
              <w:t>such as emission of greenhouse gases</w:t>
            </w:r>
            <w:r w:rsidRPr="00D04661">
              <w:rPr>
                <w:rFonts w:asciiTheme="minorHAnsi" w:hAnsiTheme="minorHAnsi" w:cs="Arial"/>
              </w:rPr>
              <w:t xml:space="preserve"> and impacts on endangered species and habitats.</w:t>
            </w:r>
            <w:r>
              <w:rPr>
                <w:rFonts w:asciiTheme="minorHAnsi" w:hAnsiTheme="minorHAnsi" w:cs="Arial"/>
              </w:rPr>
              <w:t>”</w:t>
            </w:r>
            <w:r w:rsidRPr="00D04661">
              <w:rPr>
                <w:rFonts w:asciiTheme="minorHAnsi" w:hAnsiTheme="minorHAnsi" w:cs="Calibri"/>
              </w:rPr>
              <w:t xml:space="preserve"> (</w:t>
            </w:r>
            <w:r w:rsidRPr="00D04661">
              <w:rPr>
                <w:rFonts w:asciiTheme="minorHAnsi" w:hAnsiTheme="minorHAnsi" w:cs="Calibri"/>
                <w:b/>
              </w:rPr>
              <w:t>ADB, SPS, Appendix 7, para. 7</w:t>
            </w:r>
            <w:r w:rsidRPr="00D04661">
              <w:rPr>
                <w:rFonts w:asciiTheme="minorHAnsi" w:hAnsiTheme="minorHAnsi" w:cs="Calibri"/>
              </w:rPr>
              <w:t>) (</w:t>
            </w:r>
            <w:r w:rsidRPr="00D04661">
              <w:rPr>
                <w:rFonts w:asciiTheme="minorHAnsi" w:hAnsiTheme="minorHAnsi" w:cs="Calibri"/>
                <w:i/>
              </w:rPr>
              <w:t>emphasis added</w:t>
            </w:r>
            <w:r w:rsidRPr="00D04661">
              <w:rPr>
                <w:rFonts w:asciiTheme="minorHAnsi" w:hAnsiTheme="minorHAnsi" w:cs="Calibri"/>
              </w:rPr>
              <w:t>)</w:t>
            </w:r>
          </w:p>
          <w:p w14:paraId="3C1B0943" w14:textId="77777777" w:rsidR="00CF59E1" w:rsidRDefault="00CF59E1" w:rsidP="00CF59E1">
            <w:pPr>
              <w:spacing w:after="120"/>
              <w:rPr>
                <w:rFonts w:asciiTheme="minorHAnsi" w:hAnsiTheme="minorHAnsi" w:cs="Times New Roman"/>
                <w:color w:val="000000"/>
              </w:rPr>
            </w:pPr>
            <w:r>
              <w:rPr>
                <w:rFonts w:asciiTheme="minorHAnsi" w:hAnsiTheme="minorHAnsi" w:cs="Times New Roman"/>
                <w:color w:val="000000"/>
              </w:rPr>
              <w:t>“</w:t>
            </w:r>
            <w:r w:rsidRPr="00D04661">
              <w:rPr>
                <w:rFonts w:asciiTheme="minorHAnsi" w:hAnsiTheme="minorHAnsi" w:cs="Times New Roman"/>
                <w:color w:val="000000"/>
              </w:rPr>
              <w:t xml:space="preserve">The Bank screens projects for </w:t>
            </w:r>
            <w:r w:rsidRPr="00D04661">
              <w:rPr>
                <w:rFonts w:asciiTheme="minorHAnsi" w:hAnsiTheme="minorHAnsi" w:cs="Times New Roman"/>
                <w:i/>
                <w:color w:val="000000"/>
              </w:rPr>
              <w:t>climate change risk</w:t>
            </w:r>
            <w:r w:rsidRPr="00D04661">
              <w:rPr>
                <w:rFonts w:asciiTheme="minorHAnsi" w:hAnsiTheme="minorHAnsi" w:cs="Times New Roman"/>
                <w:color w:val="000000"/>
              </w:rPr>
              <w:t xml:space="preserve"> using the Climate Safeguards System, which provides a category for project climate change risk (Box 3) and requires application of the Adaptation Review and Evaluation Procedures that are commensurate with that category. The Adaptation Review and Evaluation Procedures should be mainstreamed into the project ESMP.</w:t>
            </w:r>
            <w:r>
              <w:rPr>
                <w:rFonts w:asciiTheme="minorHAnsi" w:hAnsiTheme="minorHAnsi" w:cs="Times New Roman"/>
                <w:color w:val="000000"/>
              </w:rPr>
              <w:t>”</w:t>
            </w:r>
            <w:r w:rsidRPr="00D04661">
              <w:rPr>
                <w:rFonts w:asciiTheme="minorHAnsi" w:hAnsiTheme="minorHAnsi" w:cs="Times New Roman"/>
                <w:color w:val="000000"/>
              </w:rPr>
              <w:t xml:space="preserve"> </w:t>
            </w:r>
            <w:r w:rsidRPr="00D04661">
              <w:rPr>
                <w:rFonts w:asciiTheme="minorHAnsi" w:hAnsiTheme="minorHAnsi"/>
              </w:rPr>
              <w:t>(</w:t>
            </w:r>
            <w:r w:rsidRPr="00D04661">
              <w:rPr>
                <w:rFonts w:asciiTheme="minorHAnsi" w:hAnsiTheme="minorHAnsi"/>
                <w:b/>
              </w:rPr>
              <w:t xml:space="preserve">AfDB, OS 1, </w:t>
            </w:r>
            <w:r>
              <w:rPr>
                <w:rFonts w:asciiTheme="minorHAnsi" w:hAnsiTheme="minorHAnsi"/>
                <w:b/>
              </w:rPr>
              <w:t xml:space="preserve">para. </w:t>
            </w:r>
            <w:r w:rsidRPr="00D04661">
              <w:rPr>
                <w:rFonts w:asciiTheme="minorHAnsi" w:hAnsiTheme="minorHAnsi"/>
                <w:b/>
              </w:rPr>
              <w:t>32</w:t>
            </w:r>
            <w:r w:rsidRPr="00D04661">
              <w:rPr>
                <w:rFonts w:asciiTheme="minorHAnsi" w:hAnsiTheme="minorHAnsi"/>
              </w:rPr>
              <w:t>)</w:t>
            </w:r>
            <w:r w:rsidRPr="00D04661">
              <w:rPr>
                <w:rFonts w:asciiTheme="minorHAnsi" w:hAnsiTheme="minorHAnsi" w:cs="Times New Roman"/>
                <w:color w:val="000000"/>
              </w:rPr>
              <w:t xml:space="preserve"> (</w:t>
            </w:r>
            <w:r w:rsidRPr="00D04661">
              <w:rPr>
                <w:rFonts w:asciiTheme="minorHAnsi" w:hAnsiTheme="minorHAnsi" w:cs="Times New Roman"/>
                <w:i/>
                <w:color w:val="000000"/>
              </w:rPr>
              <w:t>emphasis added</w:t>
            </w:r>
            <w:r w:rsidRPr="00D04661">
              <w:rPr>
                <w:rFonts w:asciiTheme="minorHAnsi" w:hAnsiTheme="minorHAnsi" w:cs="Times New Roman"/>
                <w:color w:val="000000"/>
              </w:rPr>
              <w:t>)</w:t>
            </w:r>
          </w:p>
          <w:p w14:paraId="743F2DAC" w14:textId="77777777" w:rsidR="00CF59E1" w:rsidRPr="00246499" w:rsidRDefault="00CF59E1" w:rsidP="00CF59E1">
            <w:pPr>
              <w:spacing w:after="120"/>
              <w:rPr>
                <w:rFonts w:cs="Calibri"/>
              </w:rPr>
            </w:pPr>
            <w:r>
              <w:rPr>
                <w:rFonts w:cs="Calibri"/>
              </w:rPr>
              <w:t>“</w:t>
            </w:r>
            <w:r w:rsidRPr="00246499">
              <w:rPr>
                <w:rFonts w:cs="Calibri"/>
              </w:rPr>
              <w:t>The borrower or client shall evaluate the potential impacts of pollutant discharges and resulting ambient concentrations to the environment considering potential receptors, and assess: (</w:t>
            </w:r>
            <w:r w:rsidRPr="00246499">
              <w:rPr>
                <w:rFonts w:cs="Calibri"/>
                <w:b/>
              </w:rPr>
              <w:t>AfDB, OS 4, para. 11)</w:t>
            </w:r>
          </w:p>
          <w:p w14:paraId="36C813A0" w14:textId="77777777" w:rsidR="00CF59E1" w:rsidRPr="00246499" w:rsidRDefault="00CF59E1" w:rsidP="009F3E8E">
            <w:pPr>
              <w:numPr>
                <w:ilvl w:val="0"/>
                <w:numId w:val="29"/>
              </w:numPr>
              <w:autoSpaceDE/>
              <w:autoSpaceDN/>
              <w:adjustRightInd/>
              <w:spacing w:after="120"/>
              <w:ind w:firstLine="342"/>
              <w:rPr>
                <w:rFonts w:cs="Calibri"/>
              </w:rPr>
            </w:pPr>
            <w:r w:rsidRPr="00246499">
              <w:rPr>
                <w:rFonts w:cs="Calibri"/>
              </w:rPr>
              <w:t xml:space="preserve">Environmental carrying capacity; </w:t>
            </w:r>
          </w:p>
          <w:p w14:paraId="34A5A995" w14:textId="77777777" w:rsidR="00CF59E1" w:rsidRPr="00246499" w:rsidRDefault="00CF59E1" w:rsidP="009F3E8E">
            <w:pPr>
              <w:numPr>
                <w:ilvl w:val="0"/>
                <w:numId w:val="29"/>
              </w:numPr>
              <w:autoSpaceDE/>
              <w:autoSpaceDN/>
              <w:adjustRightInd/>
              <w:spacing w:after="120"/>
              <w:ind w:firstLine="342"/>
              <w:rPr>
                <w:rFonts w:cs="Calibri"/>
              </w:rPr>
            </w:pPr>
            <w:r w:rsidRPr="00246499">
              <w:rPr>
                <w:rFonts w:cs="Calibri"/>
              </w:rPr>
              <w:t xml:space="preserve"> Land use (current and future), soils, and agriculture; </w:t>
            </w:r>
          </w:p>
          <w:p w14:paraId="52678568" w14:textId="77777777" w:rsidR="00CF59E1" w:rsidRPr="00246499" w:rsidRDefault="00CF59E1" w:rsidP="009F3E8E">
            <w:pPr>
              <w:numPr>
                <w:ilvl w:val="0"/>
                <w:numId w:val="29"/>
              </w:numPr>
              <w:autoSpaceDE/>
              <w:autoSpaceDN/>
              <w:adjustRightInd/>
              <w:spacing w:after="120"/>
              <w:ind w:firstLine="342"/>
              <w:rPr>
                <w:rFonts w:cs="Calibri"/>
              </w:rPr>
            </w:pPr>
            <w:r w:rsidRPr="00246499">
              <w:rPr>
                <w:rFonts w:cs="Calibri"/>
              </w:rPr>
              <w:t xml:space="preserve">Surrounding communities and poverty conditions; </w:t>
            </w:r>
          </w:p>
          <w:p w14:paraId="6875BD2C" w14:textId="77777777" w:rsidR="00CF59E1" w:rsidRPr="00246499" w:rsidRDefault="00CF59E1" w:rsidP="009F3E8E">
            <w:pPr>
              <w:numPr>
                <w:ilvl w:val="0"/>
                <w:numId w:val="29"/>
              </w:numPr>
              <w:autoSpaceDE/>
              <w:autoSpaceDN/>
              <w:adjustRightInd/>
              <w:spacing w:after="120"/>
              <w:ind w:firstLine="342"/>
              <w:rPr>
                <w:rFonts w:cs="Calibri"/>
              </w:rPr>
            </w:pPr>
            <w:r w:rsidRPr="00246499">
              <w:rPr>
                <w:rFonts w:cs="Calibri"/>
              </w:rPr>
              <w:t xml:space="preserve">Local, regional, and trans-boundary potential impacts; </w:t>
            </w:r>
          </w:p>
          <w:p w14:paraId="07E72B63" w14:textId="77777777" w:rsidR="00CF59E1" w:rsidRPr="00246499" w:rsidRDefault="00CF59E1" w:rsidP="009F3E8E">
            <w:pPr>
              <w:numPr>
                <w:ilvl w:val="0"/>
                <w:numId w:val="29"/>
              </w:numPr>
              <w:autoSpaceDE/>
              <w:autoSpaceDN/>
              <w:adjustRightInd/>
              <w:spacing w:after="120"/>
              <w:ind w:firstLine="342"/>
              <w:rPr>
                <w:rFonts w:cs="Calibri"/>
              </w:rPr>
            </w:pPr>
            <w:r w:rsidRPr="00246499">
              <w:rPr>
                <w:rFonts w:cs="Calibri"/>
              </w:rPr>
              <w:t xml:space="preserve">Proximity to environmentally sensitive areas and populations; </w:t>
            </w:r>
          </w:p>
          <w:p w14:paraId="4A7825BE" w14:textId="77777777" w:rsidR="00CF59E1" w:rsidRPr="00246499" w:rsidRDefault="00CF59E1" w:rsidP="009F3E8E">
            <w:pPr>
              <w:numPr>
                <w:ilvl w:val="0"/>
                <w:numId w:val="29"/>
              </w:numPr>
              <w:autoSpaceDE/>
              <w:autoSpaceDN/>
              <w:adjustRightInd/>
              <w:spacing w:after="120"/>
              <w:ind w:firstLine="342"/>
              <w:rPr>
                <w:rFonts w:cs="Calibri"/>
              </w:rPr>
            </w:pPr>
            <w:r w:rsidRPr="00246499">
              <w:rPr>
                <w:rFonts w:cs="Calibri"/>
              </w:rPr>
              <w:t xml:space="preserve">Proximity to surface and groundwater sources; and, </w:t>
            </w:r>
          </w:p>
          <w:p w14:paraId="7E4CCD60" w14:textId="77777777" w:rsidR="00CF59E1" w:rsidRDefault="00CF59E1" w:rsidP="009F3E8E">
            <w:pPr>
              <w:numPr>
                <w:ilvl w:val="0"/>
                <w:numId w:val="29"/>
              </w:numPr>
              <w:spacing w:after="120"/>
              <w:ind w:firstLine="342"/>
              <w:rPr>
                <w:rFonts w:cs="Calibri"/>
              </w:rPr>
            </w:pPr>
            <w:r w:rsidRPr="00246499">
              <w:rPr>
                <w:rFonts w:cs="Calibri"/>
              </w:rPr>
              <w:t>Potential cumulative impacts.</w:t>
            </w:r>
            <w:r>
              <w:rPr>
                <w:rFonts w:cs="Calibri"/>
              </w:rPr>
              <w:t>”</w:t>
            </w:r>
            <w:r w:rsidRPr="00246499">
              <w:rPr>
                <w:rFonts w:cs="Calibri"/>
              </w:rPr>
              <w:t xml:space="preserve"> </w:t>
            </w:r>
          </w:p>
          <w:p w14:paraId="636FD688" w14:textId="77777777" w:rsidR="00CF59E1" w:rsidRPr="00D04661" w:rsidRDefault="00CF59E1" w:rsidP="00CF59E1">
            <w:pPr>
              <w:spacing w:after="120"/>
              <w:rPr>
                <w:rFonts w:asciiTheme="minorHAnsi" w:eastAsia="MS Gothic" w:hAnsiTheme="minorHAnsi" w:cs="Calibri"/>
                <w:bCs/>
                <w:color w:val="4F81BD"/>
              </w:rPr>
            </w:pPr>
            <w:r>
              <w:rPr>
                <w:rFonts w:asciiTheme="minorHAnsi" w:hAnsiTheme="minorHAnsi" w:cs="Times New Roman"/>
              </w:rPr>
              <w:t>“</w:t>
            </w:r>
            <w:r w:rsidRPr="00D04661">
              <w:rPr>
                <w:rFonts w:asciiTheme="minorHAnsi" w:hAnsiTheme="minorHAnsi" w:cs="Times New Roman"/>
              </w:rPr>
              <w:t>In addition to risks posed by environmental impacts, the Bank will identify</w:t>
            </w:r>
            <w:r w:rsidRPr="00D04661">
              <w:rPr>
                <w:rFonts w:asciiTheme="minorHAnsi" w:hAnsiTheme="minorHAnsi" w:cs="Times New Roman"/>
                <w:b/>
              </w:rPr>
              <w:t xml:space="preserve"> </w:t>
            </w:r>
            <w:r w:rsidRPr="00D04661">
              <w:rPr>
                <w:rFonts w:asciiTheme="minorHAnsi" w:hAnsiTheme="minorHAnsi" w:cs="Times New Roman"/>
              </w:rPr>
              <w:t xml:space="preserve">and manage other risk factors that may affect the environmental sustainability of its operations. These risk factors may include elements such as the </w:t>
            </w:r>
            <w:r w:rsidRPr="00D04661">
              <w:rPr>
                <w:rFonts w:asciiTheme="minorHAnsi" w:hAnsiTheme="minorHAnsi" w:cs="Times New Roman"/>
                <w:i/>
              </w:rPr>
              <w:t>governance capacity of executing agencies/borrower and of third parties</w:t>
            </w:r>
            <w:r w:rsidRPr="00D04661">
              <w:rPr>
                <w:rFonts w:asciiTheme="minorHAnsi" w:hAnsiTheme="minorHAnsi" w:cs="Times New Roman"/>
              </w:rPr>
              <w:t xml:space="preserve">, </w:t>
            </w:r>
            <w:r w:rsidRPr="00D04661">
              <w:rPr>
                <w:rFonts w:asciiTheme="minorHAnsi" w:hAnsiTheme="minorHAnsi" w:cs="Times New Roman"/>
                <w:i/>
              </w:rPr>
              <w:t>sector-related risks</w:t>
            </w:r>
            <w:r w:rsidRPr="00D04661">
              <w:rPr>
                <w:rFonts w:asciiTheme="minorHAnsi" w:hAnsiTheme="minorHAnsi" w:cs="Times New Roman"/>
              </w:rPr>
              <w:t xml:space="preserve">, risks associated with highly sensitive environmental and social concerns, and </w:t>
            </w:r>
            <w:r w:rsidRPr="00D04661">
              <w:rPr>
                <w:rFonts w:asciiTheme="minorHAnsi" w:hAnsiTheme="minorHAnsi" w:cs="Times New Roman"/>
                <w:i/>
              </w:rPr>
              <w:t>vulnerability to disasters</w:t>
            </w:r>
            <w:r w:rsidRPr="00D04661">
              <w:rPr>
                <w:rFonts w:asciiTheme="minorHAnsi" w:hAnsiTheme="minorHAnsi" w:cs="Times New Roman"/>
              </w:rPr>
              <w:t>. Depending on the nature and the severity of the risks, the Bank will engage with the executing agency/borrower and relevant third parties to develop appropriate me</w:t>
            </w:r>
            <w:r>
              <w:rPr>
                <w:rFonts w:asciiTheme="minorHAnsi" w:hAnsiTheme="minorHAnsi" w:cs="Times New Roman"/>
              </w:rPr>
              <w:t xml:space="preserve">asures for managing such risks.” </w:t>
            </w:r>
            <w:r w:rsidRPr="00D04661">
              <w:rPr>
                <w:rFonts w:asciiTheme="minorHAnsi" w:hAnsiTheme="minorHAnsi" w:cs="Times New Roman"/>
              </w:rPr>
              <w:t>(</w:t>
            </w:r>
            <w:r w:rsidRPr="00D04661">
              <w:rPr>
                <w:rFonts w:asciiTheme="minorHAnsi" w:hAnsiTheme="minorHAnsi" w:cs="Times New Roman"/>
                <w:b/>
              </w:rPr>
              <w:t>IDB, ESCP para. 4.18</w:t>
            </w:r>
            <w:r w:rsidRPr="00D04661">
              <w:rPr>
                <w:rFonts w:asciiTheme="minorHAnsi" w:hAnsiTheme="minorHAnsi" w:cs="Times New Roman"/>
              </w:rPr>
              <w:t>) (</w:t>
            </w:r>
            <w:r w:rsidRPr="00D04661">
              <w:rPr>
                <w:rFonts w:asciiTheme="minorHAnsi" w:hAnsiTheme="minorHAnsi" w:cs="Times New Roman"/>
                <w:i/>
              </w:rPr>
              <w:t>emphasis added</w:t>
            </w:r>
            <w:r w:rsidRPr="00D04661">
              <w:rPr>
                <w:rFonts w:asciiTheme="minorHAnsi" w:hAnsiTheme="minorHAnsi" w:cs="Times New Roman"/>
              </w:rPr>
              <w:t>)</w:t>
            </w:r>
          </w:p>
          <w:p w14:paraId="54860695" w14:textId="77777777" w:rsidR="00CF59E1" w:rsidRPr="00D04661" w:rsidRDefault="00CF59E1" w:rsidP="00CF59E1">
            <w:pPr>
              <w:spacing w:after="120"/>
              <w:rPr>
                <w:rFonts w:asciiTheme="minorHAnsi" w:hAnsiTheme="minorHAnsi" w:cs="Calibri"/>
              </w:rPr>
            </w:pPr>
            <w:r w:rsidRPr="00D8522E">
              <w:rPr>
                <w:rFonts w:asciiTheme="minorHAnsi" w:hAnsiTheme="minorHAnsi" w:cs="Calibri"/>
              </w:rPr>
              <w:t xml:space="preserve"> </w:t>
            </w:r>
            <w:r>
              <w:rPr>
                <w:rFonts w:asciiTheme="minorHAnsi" w:hAnsiTheme="minorHAnsi" w:cs="Calibri"/>
              </w:rPr>
              <w:t>“</w:t>
            </w:r>
            <w:r w:rsidRPr="00D04661">
              <w:rPr>
                <w:rFonts w:asciiTheme="minorHAnsi" w:hAnsiTheme="minorHAnsi" w:cs="Calibri"/>
              </w:rPr>
              <w:t xml:space="preserve">EIA considers </w:t>
            </w:r>
            <w:r w:rsidRPr="00D04661">
              <w:rPr>
                <w:rFonts w:asciiTheme="minorHAnsi" w:hAnsiTheme="minorHAnsi" w:cs="Calibri"/>
                <w:i/>
              </w:rPr>
              <w:t>the entire project cycle</w:t>
            </w:r>
            <w:r w:rsidRPr="00D04661">
              <w:rPr>
                <w:rFonts w:asciiTheme="minorHAnsi" w:hAnsiTheme="minorHAnsi" w:cs="Calibri"/>
              </w:rPr>
              <w:t xml:space="preserve">, from the design stage to construction, operation </w:t>
            </w:r>
            <w:r w:rsidRPr="00D04661">
              <w:rPr>
                <w:rFonts w:asciiTheme="minorHAnsi" w:hAnsiTheme="minorHAnsi" w:cs="Calibri"/>
                <w:i/>
              </w:rPr>
              <w:t>and decommissioning, if applicable</w:t>
            </w:r>
            <w:r w:rsidRPr="00D04661">
              <w:rPr>
                <w:rFonts w:asciiTheme="minorHAnsi" w:hAnsiTheme="minorHAnsi" w:cs="Calibri"/>
              </w:rPr>
              <w:t>.</w:t>
            </w:r>
            <w:r>
              <w:rPr>
                <w:rFonts w:asciiTheme="minorHAnsi" w:hAnsiTheme="minorHAnsi" w:cs="Calibri"/>
              </w:rPr>
              <w:t>”</w:t>
            </w:r>
            <w:r w:rsidRPr="00D04661">
              <w:rPr>
                <w:rFonts w:asciiTheme="minorHAnsi" w:hAnsiTheme="minorHAnsi" w:cs="Calibri"/>
              </w:rPr>
              <w:t>(</w:t>
            </w:r>
            <w:r w:rsidRPr="00D04661">
              <w:rPr>
                <w:rFonts w:asciiTheme="minorHAnsi" w:hAnsiTheme="minorHAnsi" w:cs="Calibri"/>
                <w:b/>
              </w:rPr>
              <w:t>IDB, IG-ESCPS, p. 30</w:t>
            </w:r>
            <w:r w:rsidRPr="00D04661">
              <w:rPr>
                <w:rFonts w:asciiTheme="minorHAnsi" w:hAnsiTheme="minorHAnsi" w:cs="Calibri"/>
              </w:rPr>
              <w:t>) (</w:t>
            </w:r>
            <w:r w:rsidRPr="00D04661">
              <w:rPr>
                <w:rFonts w:asciiTheme="minorHAnsi" w:hAnsiTheme="minorHAnsi" w:cs="Calibri"/>
                <w:i/>
              </w:rPr>
              <w:t>emphasis added</w:t>
            </w:r>
            <w:r w:rsidRPr="00D04661">
              <w:rPr>
                <w:rFonts w:asciiTheme="minorHAnsi" w:hAnsiTheme="minorHAnsi" w:cs="Calibri"/>
              </w:rPr>
              <w:t>)</w:t>
            </w:r>
          </w:p>
          <w:p w14:paraId="34B7608A" w14:textId="77777777" w:rsidR="00CF59E1" w:rsidRPr="00D04661" w:rsidRDefault="00CF59E1" w:rsidP="00CF59E1">
            <w:pPr>
              <w:spacing w:after="120"/>
              <w:rPr>
                <w:rFonts w:asciiTheme="minorHAnsi" w:hAnsiTheme="minorHAnsi" w:cs="Times New Roman"/>
              </w:rPr>
            </w:pPr>
            <w:r>
              <w:rPr>
                <w:rFonts w:asciiTheme="minorHAnsi" w:hAnsiTheme="minorHAnsi" w:cs="Times New Roman"/>
              </w:rPr>
              <w:t>“</w:t>
            </w:r>
            <w:r w:rsidRPr="00D04661">
              <w:rPr>
                <w:rFonts w:asciiTheme="minorHAnsi" w:hAnsiTheme="minorHAnsi" w:cs="Times New Roman"/>
              </w:rPr>
              <w:t>Projects will be subject to an environmental and social impact assessment if they are likely to have significant effects on the environment, human health and well-being and interfere with human rights. (</w:t>
            </w:r>
            <w:r w:rsidRPr="00D04661">
              <w:rPr>
                <w:rFonts w:asciiTheme="minorHAnsi" w:hAnsiTheme="minorHAnsi" w:cs="Times New Roman"/>
                <w:b/>
              </w:rPr>
              <w:t>EIB, ESH, ESS 1, para. 8).</w:t>
            </w:r>
          </w:p>
          <w:p w14:paraId="79FF62E0" w14:textId="77777777" w:rsidR="00CF59E1" w:rsidRPr="00D04661" w:rsidRDefault="00CF59E1" w:rsidP="00CF59E1">
            <w:pPr>
              <w:spacing w:after="120"/>
              <w:rPr>
                <w:rFonts w:asciiTheme="minorHAnsi" w:hAnsiTheme="minorHAnsi" w:cs="Times New Roman"/>
                <w:b/>
              </w:rPr>
            </w:pPr>
            <w:r>
              <w:rPr>
                <w:rFonts w:asciiTheme="minorHAnsi" w:hAnsiTheme="minorHAnsi" w:cs="Times New Roman"/>
              </w:rPr>
              <w:t>“</w:t>
            </w:r>
            <w:r w:rsidRPr="00D04661">
              <w:rPr>
                <w:rFonts w:asciiTheme="minorHAnsi" w:hAnsiTheme="minorHAnsi" w:cs="Times New Roman"/>
              </w:rPr>
              <w:t>For projects outside the EU, the ESIA must be consistent with the principles contained in the EU EIS Directive and best international practice, taking into account national laws and regulations and any obligations and standards of multilateral agreements to which the host country is a party to. Specific attention should be given to integrating the impacts on human rights,</w:t>
            </w:r>
            <w:r w:rsidRPr="00D04661">
              <w:rPr>
                <w:rFonts w:asciiTheme="minorHAnsi" w:hAnsiTheme="minorHAnsi" w:cs="Times New Roman"/>
                <w:b/>
              </w:rPr>
              <w:t xml:space="preserve"> </w:t>
            </w:r>
            <w:r w:rsidRPr="00D04661">
              <w:rPr>
                <w:rFonts w:asciiTheme="minorHAnsi" w:hAnsiTheme="minorHAnsi" w:cs="Times New Roman"/>
              </w:rPr>
              <w:t>biodiversity, climate change, cultural heritage and disaster risks into the overall ESIA.</w:t>
            </w:r>
            <w:r>
              <w:rPr>
                <w:rFonts w:asciiTheme="minorHAnsi" w:hAnsiTheme="minorHAnsi" w:cs="Times New Roman"/>
              </w:rPr>
              <w:t>”</w:t>
            </w:r>
            <w:r w:rsidRPr="00D04661">
              <w:rPr>
                <w:rFonts w:asciiTheme="minorHAnsi" w:hAnsiTheme="minorHAnsi" w:cs="Times New Roman"/>
                <w:b/>
              </w:rPr>
              <w:t xml:space="preserve"> (EIB), ESH, ESS 1, para. 11).)</w:t>
            </w:r>
          </w:p>
          <w:p w14:paraId="558115EC" w14:textId="77777777" w:rsidR="00CF59E1" w:rsidRPr="00D04661" w:rsidRDefault="00CF59E1" w:rsidP="00CF59E1">
            <w:pPr>
              <w:spacing w:after="120"/>
              <w:rPr>
                <w:rFonts w:asciiTheme="minorHAnsi" w:hAnsiTheme="minorHAnsi" w:cs="Calibri"/>
              </w:rPr>
            </w:pPr>
            <w:r w:rsidRPr="00D04661">
              <w:rPr>
                <w:rFonts w:asciiTheme="minorHAnsi" w:hAnsiTheme="minorHAnsi" w:cs="Times New Roman"/>
              </w:rPr>
              <w:t xml:space="preserve"> </w:t>
            </w:r>
            <w:r>
              <w:rPr>
                <w:rFonts w:asciiTheme="minorHAnsi" w:hAnsiTheme="minorHAnsi" w:cs="Arial"/>
                <w:bCs/>
              </w:rPr>
              <w:t>“</w:t>
            </w:r>
            <w:r w:rsidRPr="00D04661">
              <w:rPr>
                <w:rFonts w:asciiTheme="minorHAnsi" w:hAnsiTheme="minorHAnsi" w:cs="Arial"/>
                <w:bCs/>
              </w:rPr>
              <w:t xml:space="preserve">Assessment Area- </w:t>
            </w:r>
            <w:r w:rsidRPr="00D04661">
              <w:rPr>
                <w:rFonts w:asciiTheme="minorHAnsi" w:hAnsiTheme="minorHAnsi" w:cs="Arial"/>
              </w:rPr>
              <w:t>The location for assessment of impacts on environmental and social values and associated components. The assessment area is dependent on the environmental and social values and associated components being measured, and needs to consider the footprint of the activity and its area of influence.</w:t>
            </w:r>
            <w:r>
              <w:rPr>
                <w:rFonts w:asciiTheme="minorHAnsi" w:hAnsiTheme="minorHAnsi" w:cs="Arial"/>
              </w:rPr>
              <w:t>”</w:t>
            </w:r>
            <w:r w:rsidRPr="00D04661">
              <w:rPr>
                <w:rFonts w:asciiTheme="minorHAnsi" w:hAnsiTheme="minorHAnsi" w:cs="Arial"/>
                <w:b/>
              </w:rPr>
              <w:t xml:space="preserve"> (EIB, ESH, ESS 1, para. 27.)</w:t>
            </w:r>
          </w:p>
        </w:tc>
      </w:tr>
      <w:tr w:rsidR="00CF59E1" w:rsidRPr="00D8522E" w14:paraId="7172B613" w14:textId="77777777" w:rsidTr="00CF59E1">
        <w:tc>
          <w:tcPr>
            <w:tcW w:w="6390" w:type="dxa"/>
            <w:vMerge w:val="restart"/>
            <w:shd w:val="clear" w:color="auto" w:fill="auto"/>
            <w:vAlign w:val="center"/>
          </w:tcPr>
          <w:p w14:paraId="3F603D6B" w14:textId="77777777" w:rsidR="00CF59E1" w:rsidRPr="00D04661" w:rsidRDefault="00CF59E1" w:rsidP="00CF59E1">
            <w:pPr>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 xml:space="preserve">APPLICABLE LEGAL FRAMEWORK </w:t>
            </w:r>
          </w:p>
          <w:p w14:paraId="6A20FEAC" w14:textId="77777777" w:rsidR="00CF59E1" w:rsidRPr="00D04661" w:rsidRDefault="00CF59E1" w:rsidP="00CF59E1">
            <w:pPr>
              <w:spacing w:after="120"/>
              <w:rPr>
                <w:rFonts w:asciiTheme="minorHAnsi" w:hAnsiTheme="minorHAnsi" w:cs="Arial"/>
              </w:rPr>
            </w:pPr>
            <w:r w:rsidRPr="00D04661">
              <w:rPr>
                <w:rFonts w:asciiTheme="minorHAnsi" w:hAnsiTheme="minorHAnsi" w:cs="Arial"/>
                <w:b/>
              </w:rPr>
              <w:t xml:space="preserve">OP 4.01 </w:t>
            </w:r>
            <w:r>
              <w:rPr>
                <w:rFonts w:asciiTheme="minorHAnsi" w:hAnsiTheme="minorHAnsi" w:cs="Arial"/>
                <w:b/>
              </w:rPr>
              <w:t>para.</w:t>
            </w:r>
            <w:r w:rsidRPr="00D04661">
              <w:rPr>
                <w:rFonts w:asciiTheme="minorHAnsi" w:hAnsiTheme="minorHAnsi" w:cs="Arial"/>
                <w:b/>
              </w:rPr>
              <w:t xml:space="preserve"> 3</w:t>
            </w:r>
            <w:r w:rsidRPr="00D04661">
              <w:rPr>
                <w:rFonts w:asciiTheme="minorHAnsi" w:hAnsiTheme="minorHAnsi" w:cs="Arial"/>
              </w:rPr>
              <w:t>: EA also takes into account...; national environmental action plans; the country’s overall policy framework, and] national legislation, related to the environment and social aspects; and obligations of the country, pertaining to project activities, under relevant international environmental treaties and agreements. The Bank does not finance project activities that would contravene such country obligations, as identified during the EA.</w:t>
            </w:r>
            <w:r>
              <w:rPr>
                <w:rFonts w:asciiTheme="minorHAnsi" w:hAnsiTheme="minorHAnsi" w:cs="Arial"/>
              </w:rPr>
              <w:t>”</w:t>
            </w:r>
          </w:p>
          <w:p w14:paraId="0ED6ED4C" w14:textId="77777777" w:rsidR="00CF59E1" w:rsidRPr="00D04661" w:rsidRDefault="00CF59E1" w:rsidP="00CF59E1">
            <w:pPr>
              <w:spacing w:after="120"/>
              <w:rPr>
                <w:rFonts w:asciiTheme="minorHAnsi" w:hAnsiTheme="minorHAnsi" w:cs="Arial"/>
              </w:rPr>
            </w:pPr>
            <w:r w:rsidRPr="00D04661">
              <w:rPr>
                <w:rFonts w:asciiTheme="minorHAnsi" w:hAnsiTheme="minorHAnsi" w:cs="Arial"/>
                <w:b/>
              </w:rPr>
              <w:t xml:space="preserve">OP 4.36 </w:t>
            </w:r>
            <w:r>
              <w:rPr>
                <w:rFonts w:asciiTheme="minorHAnsi" w:hAnsiTheme="minorHAnsi" w:cs="Arial"/>
                <w:b/>
              </w:rPr>
              <w:t xml:space="preserve">para. </w:t>
            </w:r>
            <w:r w:rsidRPr="00D04661">
              <w:rPr>
                <w:rFonts w:asciiTheme="minorHAnsi" w:hAnsiTheme="minorHAnsi" w:cs="Arial"/>
                <w:b/>
              </w:rPr>
              <w:t>6</w:t>
            </w:r>
            <w:r w:rsidRPr="00D04661">
              <w:rPr>
                <w:rFonts w:asciiTheme="minorHAnsi" w:hAnsiTheme="minorHAnsi" w:cs="Arial"/>
              </w:rPr>
              <w:t>:</w:t>
            </w:r>
            <w:r w:rsidRPr="00D04661">
              <w:rPr>
                <w:rFonts w:asciiTheme="minorHAnsi" w:hAnsiTheme="minorHAnsi" w:cs="Arial"/>
                <w:color w:val="000000"/>
              </w:rPr>
              <w:t xml:space="preserve"> The Bank does not finance projects that contravene applicable international environmental agreements.</w:t>
            </w:r>
          </w:p>
          <w:p w14:paraId="665A23CB" w14:textId="77777777" w:rsidR="00CF59E1" w:rsidRPr="00D04661" w:rsidRDefault="00CF59E1" w:rsidP="00CF59E1">
            <w:pPr>
              <w:spacing w:after="120"/>
              <w:rPr>
                <w:rFonts w:asciiTheme="minorHAnsi" w:eastAsia="Times New Roman" w:hAnsiTheme="minorHAnsi" w:cs="Calibri"/>
                <w:b/>
              </w:rPr>
            </w:pPr>
          </w:p>
        </w:tc>
        <w:tc>
          <w:tcPr>
            <w:tcW w:w="7200" w:type="dxa"/>
            <w:shd w:val="clear" w:color="auto" w:fill="auto"/>
          </w:tcPr>
          <w:p w14:paraId="2B1C22E0" w14:textId="77777777" w:rsidR="00CF59E1" w:rsidRPr="00D04661" w:rsidRDefault="00CF59E1" w:rsidP="00CF59E1">
            <w:pPr>
              <w:spacing w:after="120"/>
              <w:rPr>
                <w:rFonts w:asciiTheme="minorHAnsi" w:hAnsiTheme="minorHAnsi" w:cs="Calibri"/>
              </w:rPr>
            </w:pPr>
            <w:r>
              <w:rPr>
                <w:rStyle w:val="Hyperlink"/>
                <w:rFonts w:asciiTheme="minorHAnsi" w:hAnsiTheme="minorHAnsi"/>
                <w:color w:val="auto"/>
                <w:u w:val="none"/>
              </w:rPr>
              <w:t>“</w:t>
            </w:r>
            <w:r w:rsidRPr="00D04661">
              <w:rPr>
                <w:rFonts w:asciiTheme="minorHAnsi" w:hAnsiTheme="minorHAnsi" w:cs="Arial"/>
              </w:rPr>
              <w:t>ADB will not finance projects that do not comply with its safeguard policy statement, nor will it finance projects that do not comply with the host country’s social and environmental laws and regulations</w:t>
            </w:r>
            <w:r w:rsidRPr="00D04661">
              <w:rPr>
                <w:rFonts w:asciiTheme="minorHAnsi" w:hAnsiTheme="minorHAnsi" w:cs="Calibri"/>
                <w:vertAlign w:val="superscript"/>
              </w:rPr>
              <w:footnoteReference w:id="208"/>
            </w:r>
            <w:r w:rsidRPr="00D04661">
              <w:rPr>
                <w:rFonts w:asciiTheme="minorHAnsi" w:hAnsiTheme="minorHAnsi" w:cs="Arial"/>
              </w:rPr>
              <w:t>, including those laws implementing host country obligations under international law.</w:t>
            </w:r>
            <w:r>
              <w:rPr>
                <w:rFonts w:asciiTheme="minorHAnsi" w:hAnsiTheme="minorHAnsi" w:cs="Arial"/>
              </w:rPr>
              <w:t>”</w:t>
            </w:r>
            <w:r w:rsidRPr="00D04661">
              <w:rPr>
                <w:rFonts w:asciiTheme="minorHAnsi" w:hAnsiTheme="minorHAnsi" w:cs="Calibri"/>
              </w:rPr>
              <w:t>(</w:t>
            </w:r>
            <w:r w:rsidRPr="00D04661">
              <w:rPr>
                <w:rFonts w:asciiTheme="minorHAnsi" w:hAnsiTheme="minorHAnsi" w:cs="Calibri"/>
                <w:b/>
              </w:rPr>
              <w:t xml:space="preserve">ADB, </w:t>
            </w:r>
            <w:r w:rsidRPr="00D8522E">
              <w:rPr>
                <w:rFonts w:asciiTheme="minorHAnsi" w:hAnsiTheme="minorHAnsi" w:cs="Calibri"/>
                <w:b/>
              </w:rPr>
              <w:t xml:space="preserve">SPS, </w:t>
            </w:r>
            <w:r w:rsidRPr="00D8522E">
              <w:rPr>
                <w:rFonts w:asciiTheme="minorHAnsi" w:hAnsiTheme="minorHAnsi" w:cs="Arial"/>
                <w:b/>
                <w:bCs/>
              </w:rPr>
              <w:t>Overarching Statement on ADB</w:t>
            </w:r>
            <w:r w:rsidRPr="00A56233">
              <w:rPr>
                <w:rFonts w:asciiTheme="minorHAnsi" w:hAnsiTheme="minorHAnsi" w:cs="Arial"/>
                <w:b/>
                <w:bCs/>
              </w:rPr>
              <w:t>’s Commitment and Policy Principles, para. 47</w:t>
            </w:r>
            <w:r w:rsidRPr="00A56233">
              <w:rPr>
                <w:rFonts w:asciiTheme="minorHAnsi" w:hAnsiTheme="minorHAnsi" w:cs="Calibri"/>
                <w:b/>
              </w:rPr>
              <w:t xml:space="preserve"> </w:t>
            </w:r>
            <w:r w:rsidRPr="00A56233">
              <w:rPr>
                <w:rFonts w:asciiTheme="minorHAnsi" w:hAnsiTheme="minorHAnsi" w:cs="Calibri"/>
              </w:rPr>
              <w:t>)</w:t>
            </w:r>
          </w:p>
        </w:tc>
      </w:tr>
      <w:tr w:rsidR="00CF59E1" w:rsidRPr="00D8522E" w14:paraId="3D9BC4B7" w14:textId="77777777" w:rsidTr="00CF59E1">
        <w:tc>
          <w:tcPr>
            <w:tcW w:w="6390" w:type="dxa"/>
            <w:vMerge/>
            <w:shd w:val="clear" w:color="auto" w:fill="auto"/>
            <w:vAlign w:val="center"/>
          </w:tcPr>
          <w:p w14:paraId="58BFFAC6" w14:textId="77777777" w:rsidR="00CF59E1" w:rsidRPr="00D04661" w:rsidRDefault="00CF59E1" w:rsidP="00CF59E1">
            <w:pPr>
              <w:autoSpaceDE/>
              <w:autoSpaceDN/>
              <w:adjustRightInd/>
              <w:spacing w:after="120"/>
              <w:rPr>
                <w:rFonts w:asciiTheme="minorHAnsi" w:eastAsia="Times New Roman" w:hAnsiTheme="minorHAnsi" w:cs="Calibri"/>
              </w:rPr>
            </w:pPr>
          </w:p>
        </w:tc>
        <w:tc>
          <w:tcPr>
            <w:tcW w:w="7200" w:type="dxa"/>
            <w:shd w:val="clear" w:color="auto" w:fill="auto"/>
          </w:tcPr>
          <w:p w14:paraId="58047224" w14:textId="77777777" w:rsidR="00CF59E1" w:rsidRPr="00D04661" w:rsidRDefault="00CF59E1" w:rsidP="00CF59E1">
            <w:pPr>
              <w:spacing w:after="120"/>
              <w:rPr>
                <w:rFonts w:asciiTheme="minorHAnsi" w:eastAsia="MS Mincho" w:hAnsiTheme="minorHAnsi" w:cs="Calibri"/>
                <w:lang w:eastAsia="ja-JP"/>
              </w:rPr>
            </w:pPr>
            <w:r>
              <w:rPr>
                <w:rFonts w:asciiTheme="minorHAnsi" w:eastAsia="MS Mincho" w:hAnsiTheme="minorHAnsi" w:cs="Calibri"/>
                <w:lang w:eastAsia="ja-JP"/>
              </w:rPr>
              <w:t>“</w:t>
            </w:r>
            <w:r w:rsidRPr="00D04661">
              <w:rPr>
                <w:rFonts w:asciiTheme="minorHAnsi" w:eastAsia="MS Mincho" w:hAnsiTheme="minorHAnsi" w:cs="Calibri"/>
                <w:lang w:eastAsia="ja-JP"/>
              </w:rPr>
              <w:t>The Bank intends that the assessment process will support and strengthen existing country systems for environmental, climate and social risk management…. To achieve this objective, the borrower or client shall conduct the assessment and preparation of an ESMP in a manner that complies with existing country systems for assessing and managing environmental risk in addition to the AfDB’s requirements.</w:t>
            </w:r>
            <w:r>
              <w:rPr>
                <w:rFonts w:asciiTheme="minorHAnsi" w:eastAsia="MS Mincho" w:hAnsiTheme="minorHAnsi" w:cs="Calibri"/>
                <w:lang w:eastAsia="ja-JP"/>
              </w:rPr>
              <w:t>”</w:t>
            </w:r>
            <w:r w:rsidRPr="00D04661">
              <w:rPr>
                <w:rFonts w:asciiTheme="minorHAnsi" w:eastAsia="MS Mincho" w:hAnsiTheme="minorHAnsi" w:cs="Calibri"/>
                <w:lang w:eastAsia="ja-JP"/>
              </w:rPr>
              <w:t xml:space="preserve"> (</w:t>
            </w:r>
            <w:r w:rsidRPr="00D04661">
              <w:rPr>
                <w:rFonts w:asciiTheme="minorHAnsi" w:eastAsia="MS Mincho" w:hAnsiTheme="minorHAnsi" w:cs="Calibri"/>
                <w:b/>
                <w:lang w:eastAsia="ja-JP"/>
              </w:rPr>
              <w:t>AfDB, OS 1, para. 16</w:t>
            </w:r>
            <w:r w:rsidRPr="00D04661">
              <w:rPr>
                <w:rFonts w:asciiTheme="minorHAnsi" w:eastAsia="MS Mincho" w:hAnsiTheme="minorHAnsi" w:cs="Calibri"/>
                <w:lang w:eastAsia="ja-JP"/>
              </w:rPr>
              <w:t>)</w:t>
            </w:r>
          </w:p>
        </w:tc>
      </w:tr>
      <w:tr w:rsidR="00CF59E1" w:rsidRPr="00D8522E" w14:paraId="510D2827" w14:textId="77777777" w:rsidTr="00CF59E1">
        <w:tc>
          <w:tcPr>
            <w:tcW w:w="6390" w:type="dxa"/>
            <w:vMerge/>
            <w:shd w:val="clear" w:color="auto" w:fill="auto"/>
            <w:vAlign w:val="center"/>
          </w:tcPr>
          <w:p w14:paraId="1BD68111" w14:textId="77777777" w:rsidR="00CF59E1" w:rsidRPr="00D04661" w:rsidRDefault="00CF59E1" w:rsidP="00CF59E1">
            <w:pPr>
              <w:autoSpaceDE/>
              <w:autoSpaceDN/>
              <w:adjustRightInd/>
              <w:spacing w:after="120"/>
              <w:rPr>
                <w:rFonts w:asciiTheme="minorHAnsi" w:eastAsia="Times New Roman" w:hAnsiTheme="minorHAnsi" w:cs="Calibri"/>
              </w:rPr>
            </w:pPr>
          </w:p>
        </w:tc>
        <w:tc>
          <w:tcPr>
            <w:tcW w:w="7200" w:type="dxa"/>
            <w:shd w:val="clear" w:color="auto" w:fill="auto"/>
          </w:tcPr>
          <w:p w14:paraId="0F2221D3" w14:textId="77777777" w:rsidR="00CF59E1" w:rsidRPr="00D04661" w:rsidRDefault="00CF59E1" w:rsidP="00CF59E1">
            <w:pPr>
              <w:spacing w:after="120"/>
              <w:rPr>
                <w:rFonts w:asciiTheme="minorHAnsi" w:hAnsiTheme="minorHAnsi" w:cs="Calibri"/>
              </w:rPr>
            </w:pPr>
            <w:r>
              <w:rPr>
                <w:rFonts w:asciiTheme="minorHAnsi" w:hAnsiTheme="minorHAnsi" w:cs="Times New Roman"/>
                <w:color w:val="000000"/>
              </w:rPr>
              <w:t>“</w:t>
            </w:r>
            <w:r w:rsidRPr="00D04661">
              <w:rPr>
                <w:rFonts w:asciiTheme="minorHAnsi" w:hAnsiTheme="minorHAnsi" w:cs="Times New Roman"/>
                <w:color w:val="000000"/>
              </w:rPr>
              <w:t>To the extent possible, the assessment complies with the relevant legislation and standards applicable in the local jurisdiction, bearing in mind the equivalence of standards with those of the Bank, and it takes into consideration national- or regional- level programming documents.</w:t>
            </w:r>
            <w:r>
              <w:rPr>
                <w:rFonts w:asciiTheme="minorHAnsi" w:hAnsiTheme="minorHAnsi" w:cs="Times New Roman"/>
                <w:color w:val="000000"/>
              </w:rPr>
              <w:t>”</w:t>
            </w:r>
            <w:r w:rsidRPr="00D04661">
              <w:rPr>
                <w:rFonts w:asciiTheme="minorHAnsi" w:hAnsiTheme="minorHAnsi" w:cs="Calibri"/>
              </w:rPr>
              <w:t xml:space="preserve"> (</w:t>
            </w:r>
            <w:r w:rsidRPr="00D04661">
              <w:rPr>
                <w:rFonts w:asciiTheme="minorHAnsi" w:hAnsiTheme="minorHAnsi" w:cs="Calibri"/>
                <w:b/>
              </w:rPr>
              <w:t>AfDB, OS 1, para. 15</w:t>
            </w:r>
            <w:r w:rsidRPr="00D04661">
              <w:rPr>
                <w:rFonts w:asciiTheme="minorHAnsi" w:hAnsiTheme="minorHAnsi" w:cs="Calibri"/>
              </w:rPr>
              <w:t>)</w:t>
            </w:r>
          </w:p>
          <w:p w14:paraId="2B785B6B"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[M]itigation measures and actions will be identified so that the project is designed, constructed and operated in compliance with applicable laws and regulations…</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ADB. S PS, Appendix 1, para. 2</w:t>
            </w:r>
            <w:r w:rsidRPr="00D04661">
              <w:rPr>
                <w:rFonts w:asciiTheme="minorHAnsi" w:hAnsiTheme="minorHAnsi" w:cs="Calibri"/>
              </w:rPr>
              <w:t>)</w:t>
            </w:r>
          </w:p>
          <w:p w14:paraId="4357E173" w14:textId="77777777" w:rsidR="00CF59E1" w:rsidRPr="00D04661" w:rsidRDefault="00CF59E1" w:rsidP="00CF59E1">
            <w:pPr>
              <w:spacing w:after="120"/>
              <w:rPr>
                <w:rFonts w:asciiTheme="minorHAnsi" w:hAnsiTheme="minorHAnsi" w:cs="Times New Roman"/>
              </w:rPr>
            </w:pPr>
            <w:r>
              <w:rPr>
                <w:rFonts w:asciiTheme="minorHAnsi" w:hAnsiTheme="minorHAnsi" w:cs="Times New Roman"/>
              </w:rPr>
              <w:t>“</w:t>
            </w:r>
            <w:r w:rsidRPr="00D04661">
              <w:rPr>
                <w:rFonts w:asciiTheme="minorHAnsi" w:hAnsiTheme="minorHAnsi" w:cs="Times New Roman"/>
              </w:rPr>
              <w:t>The Bank will also require the borrower for that operation to ensure that it is designed and carried out in compliance with environmental laws and regulations of the country where the operation is being implemented…</w:t>
            </w:r>
            <w:r>
              <w:rPr>
                <w:rFonts w:asciiTheme="minorHAnsi" w:hAnsiTheme="minorHAnsi" w:cs="Times New Roman"/>
              </w:rPr>
              <w:t>”</w:t>
            </w:r>
            <w:r w:rsidRPr="00D04661">
              <w:rPr>
                <w:rFonts w:asciiTheme="minorHAnsi" w:hAnsiTheme="minorHAnsi" w:cs="Times New Roman"/>
              </w:rPr>
              <w:t>(</w:t>
            </w:r>
            <w:r w:rsidRPr="00D04661">
              <w:rPr>
                <w:rFonts w:asciiTheme="minorHAnsi" w:hAnsiTheme="minorHAnsi" w:cs="Times New Roman"/>
                <w:b/>
              </w:rPr>
              <w:t>IDB, ESCP, para. 4.15</w:t>
            </w:r>
            <w:r w:rsidRPr="00D04661">
              <w:rPr>
                <w:rFonts w:asciiTheme="minorHAnsi" w:hAnsiTheme="minorHAnsi" w:cs="Times New Roman"/>
              </w:rPr>
              <w:t>)</w:t>
            </w:r>
          </w:p>
          <w:p w14:paraId="1D70E0DB" w14:textId="77777777" w:rsidR="00CF59E1" w:rsidRPr="00D04661" w:rsidRDefault="00CF59E1" w:rsidP="00CF59E1">
            <w:pPr>
              <w:spacing w:after="120"/>
              <w:rPr>
                <w:rFonts w:asciiTheme="minorHAnsi" w:hAnsiTheme="minorHAnsi" w:cs="Times New Roman"/>
              </w:rPr>
            </w:pPr>
            <w:r>
              <w:rPr>
                <w:rFonts w:asciiTheme="minorHAnsi" w:hAnsiTheme="minorHAnsi" w:cs="Times New Roman"/>
              </w:rPr>
              <w:t>“</w:t>
            </w:r>
            <w:r w:rsidRPr="00D04661">
              <w:rPr>
                <w:rFonts w:asciiTheme="minorHAnsi" w:hAnsiTheme="minorHAnsi" w:cs="Times New Roman"/>
              </w:rPr>
              <w:t>The EIA process includes, as a minimum:…Also, due consideration will be given to analyzing compliance with relevant legal requirements….(</w:t>
            </w:r>
            <w:r w:rsidRPr="00D04661">
              <w:rPr>
                <w:rFonts w:asciiTheme="minorHAnsi" w:hAnsiTheme="minorHAnsi" w:cs="Times New Roman"/>
                <w:b/>
              </w:rPr>
              <w:t>IDB</w:t>
            </w:r>
            <w:r>
              <w:rPr>
                <w:rFonts w:asciiTheme="minorHAnsi" w:hAnsiTheme="minorHAnsi" w:cs="Times New Roman"/>
                <w:b/>
              </w:rPr>
              <w:t xml:space="preserve"> ESCP 4.19</w:t>
            </w:r>
            <w:r w:rsidRPr="00D04661">
              <w:rPr>
                <w:rFonts w:asciiTheme="minorHAnsi" w:hAnsiTheme="minorHAnsi" w:cs="Times New Roman"/>
              </w:rPr>
              <w:t>)</w:t>
            </w:r>
          </w:p>
          <w:p w14:paraId="0E6EF080" w14:textId="77777777" w:rsidR="00CF59E1" w:rsidRPr="00D04661" w:rsidRDefault="00CF59E1" w:rsidP="00CF59E1">
            <w:pPr>
              <w:spacing w:after="120"/>
              <w:rPr>
                <w:rFonts w:asciiTheme="minorHAnsi" w:hAnsiTheme="minorHAnsi" w:cs="Calibri"/>
              </w:rPr>
            </w:pPr>
            <w:r>
              <w:rPr>
                <w:rFonts w:asciiTheme="minorHAnsi" w:hAnsiTheme="minorHAnsi" w:cs="Times New Roman"/>
              </w:rPr>
              <w:t>“</w:t>
            </w:r>
            <w:r w:rsidRPr="00D04661">
              <w:rPr>
                <w:rFonts w:asciiTheme="minorHAnsi" w:hAnsiTheme="minorHAnsi" w:cs="Times New Roman"/>
              </w:rPr>
              <w:t>All EIB-supported operations will comply with host country laws and regulations, meet the requirements of applicable international conventions and agreements ratified by the host country, observe … International …Human Rights.</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(EIB, Handbook, A.5)</w:t>
            </w:r>
            <w:r w:rsidRPr="00D04661">
              <w:rPr>
                <w:rFonts w:asciiTheme="minorHAnsi" w:hAnsiTheme="minorHAnsi" w:cs="Times New Roman"/>
              </w:rPr>
              <w:t xml:space="preserve"> </w:t>
            </w:r>
          </w:p>
        </w:tc>
      </w:tr>
      <w:tr w:rsidR="00CF59E1" w:rsidRPr="00D8522E" w14:paraId="3E627F84" w14:textId="77777777" w:rsidTr="00CF59E1">
        <w:tc>
          <w:tcPr>
            <w:tcW w:w="6390" w:type="dxa"/>
            <w:shd w:val="clear" w:color="auto" w:fill="auto"/>
            <w:vAlign w:val="center"/>
          </w:tcPr>
          <w:p w14:paraId="00CA4F37" w14:textId="77777777" w:rsidR="00CF59E1" w:rsidRPr="00D04661" w:rsidRDefault="00CF59E1" w:rsidP="00CF59E1">
            <w:pPr>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SCREENING AND CATEGORIZATION</w:t>
            </w:r>
          </w:p>
          <w:p w14:paraId="6C4DABCC" w14:textId="77777777" w:rsidR="00CF59E1" w:rsidRPr="00D04661" w:rsidRDefault="00CF59E1" w:rsidP="00CF59E1">
            <w:pPr>
              <w:autoSpaceDE/>
              <w:autoSpaceDN/>
              <w:adjustRightInd/>
              <w:spacing w:after="120"/>
              <w:rPr>
                <w:rFonts w:asciiTheme="minorHAnsi" w:eastAsia="Times New Roman" w:hAnsiTheme="minorHAnsi" w:cs="Arial"/>
              </w:rPr>
            </w:pPr>
            <w:r w:rsidRPr="00D04661">
              <w:rPr>
                <w:rFonts w:asciiTheme="minorHAnsi" w:eastAsia="Times New Roman" w:hAnsiTheme="minorHAnsi" w:cs="Arial"/>
                <w:b/>
              </w:rPr>
              <w:t xml:space="preserve">OP 4.01, </w:t>
            </w:r>
            <w:r>
              <w:rPr>
                <w:rFonts w:asciiTheme="minorHAnsi" w:eastAsia="Times New Roman" w:hAnsiTheme="minorHAnsi" w:cs="Arial"/>
                <w:b/>
              </w:rPr>
              <w:t xml:space="preserve">para. </w:t>
            </w:r>
            <w:r w:rsidRPr="00D04661">
              <w:rPr>
                <w:rFonts w:asciiTheme="minorHAnsi" w:eastAsia="Times New Roman" w:hAnsiTheme="minorHAnsi" w:cs="Arial"/>
                <w:b/>
              </w:rPr>
              <w:t>8:</w:t>
            </w:r>
            <w:r w:rsidRPr="00D04661">
              <w:rPr>
                <w:rFonts w:asciiTheme="minorHAnsi" w:eastAsia="Times New Roman" w:hAnsiTheme="minorHAnsi" w:cs="Arial"/>
              </w:rPr>
              <w:t xml:space="preserve"> The Bank undertakes environmental screening of each proposed project to determine the appropriate extent and type of EA. The Bank classifies the proposed project into one of four categories, depending on the type, location, sensitivity, and scale of the project and the nature and magnitude of its potential environmental impacts.</w:t>
            </w:r>
          </w:p>
          <w:p w14:paraId="7AC4A180" w14:textId="77777777" w:rsidR="00CF59E1" w:rsidRPr="00D04661" w:rsidRDefault="00CF59E1" w:rsidP="00CF59E1">
            <w:pPr>
              <w:autoSpaceDE/>
              <w:autoSpaceDN/>
              <w:adjustRightInd/>
              <w:spacing w:after="120"/>
              <w:rPr>
                <w:rFonts w:asciiTheme="minorHAnsi" w:eastAsia="Times New Roman" w:hAnsiTheme="minorHAnsi" w:cs="Arial"/>
              </w:rPr>
            </w:pPr>
            <w:r w:rsidRPr="00D04661">
              <w:rPr>
                <w:rFonts w:asciiTheme="minorHAnsi" w:eastAsia="Times New Roman" w:hAnsiTheme="minorHAnsi" w:cs="Arial"/>
              </w:rPr>
              <w:t xml:space="preserve">(a) </w:t>
            </w:r>
            <w:r w:rsidRPr="00D04661">
              <w:rPr>
                <w:rFonts w:asciiTheme="minorHAnsi" w:eastAsia="Times New Roman" w:hAnsiTheme="minorHAnsi" w:cs="Arial"/>
                <w:i/>
                <w:iCs/>
              </w:rPr>
              <w:t>Category A</w:t>
            </w:r>
            <w:r w:rsidRPr="00D04661">
              <w:rPr>
                <w:rFonts w:asciiTheme="minorHAnsi" w:eastAsia="Times New Roman" w:hAnsiTheme="minorHAnsi" w:cs="Arial"/>
              </w:rPr>
              <w:t xml:space="preserve">: A proposed project is classified as Category A if it is likely to have </w:t>
            </w:r>
            <w:r w:rsidRPr="00D04661">
              <w:rPr>
                <w:rFonts w:asciiTheme="minorHAnsi" w:eastAsia="Times New Roman" w:hAnsiTheme="minorHAnsi" w:cs="Arial"/>
                <w:i/>
              </w:rPr>
              <w:t>significant adverse environmental</w:t>
            </w:r>
            <w:r w:rsidRPr="00D04661">
              <w:rPr>
                <w:rFonts w:asciiTheme="minorHAnsi" w:eastAsia="Times New Roman" w:hAnsiTheme="minorHAnsi" w:cs="Arial"/>
              </w:rPr>
              <w:t xml:space="preserve"> impacts that are </w:t>
            </w:r>
            <w:r>
              <w:rPr>
                <w:rFonts w:asciiTheme="minorHAnsi" w:eastAsia="Times New Roman" w:hAnsiTheme="minorHAnsi" w:cs="Arial"/>
                <w:i/>
              </w:rPr>
              <w:t>sensitive</w:t>
            </w:r>
            <w:r>
              <w:rPr>
                <w:rFonts w:asciiTheme="minorHAnsi" w:eastAsia="Times New Roman" w:hAnsiTheme="minorHAnsi" w:cs="Arial"/>
              </w:rPr>
              <w:t>,</w:t>
            </w:r>
            <w:hyperlink r:id="rId28" w:anchor="fn12" w:history="1">
              <w:r w:rsidRPr="00D04661">
                <w:rPr>
                  <w:rFonts w:asciiTheme="minorHAnsi" w:eastAsia="Times New Roman" w:hAnsiTheme="minorHAnsi" w:cs="Arial"/>
                  <w:b/>
                  <w:bCs/>
                  <w:u w:val="single"/>
                  <w:vertAlign w:val="superscript"/>
                </w:rPr>
                <w:t>12</w:t>
              </w:r>
            </w:hyperlink>
            <w:r w:rsidRPr="00D04661">
              <w:rPr>
                <w:rFonts w:asciiTheme="minorHAnsi" w:eastAsia="Times New Roman" w:hAnsiTheme="minorHAnsi" w:cs="Arial"/>
              </w:rPr>
              <w:t xml:space="preserve"> </w:t>
            </w:r>
            <w:r w:rsidRPr="00D04661">
              <w:rPr>
                <w:rFonts w:asciiTheme="minorHAnsi" w:eastAsia="Times New Roman" w:hAnsiTheme="minorHAnsi" w:cs="Arial"/>
                <w:i/>
              </w:rPr>
              <w:t>diverse</w:t>
            </w:r>
            <w:r w:rsidRPr="00D04661">
              <w:rPr>
                <w:rFonts w:asciiTheme="minorHAnsi" w:eastAsia="Times New Roman" w:hAnsiTheme="minorHAnsi" w:cs="Arial"/>
              </w:rPr>
              <w:t xml:space="preserve">, or </w:t>
            </w:r>
            <w:r w:rsidRPr="00D04661">
              <w:rPr>
                <w:rFonts w:asciiTheme="minorHAnsi" w:eastAsia="Times New Roman" w:hAnsiTheme="minorHAnsi" w:cs="Arial"/>
                <w:i/>
              </w:rPr>
              <w:t>unprecedented</w:t>
            </w:r>
            <w:r w:rsidRPr="00D04661">
              <w:rPr>
                <w:rFonts w:asciiTheme="minorHAnsi" w:eastAsia="Times New Roman" w:hAnsiTheme="minorHAnsi" w:cs="Arial"/>
              </w:rPr>
              <w:t>. These impacts may affect an area broader than the sites or facilities subject to physical works.…. For a Category A project, the borrower is responsible for preparing a report, normally an EIA (or a suitably comprehensive regional or sectoral EA) that includes, as necessary, elements of the other instruments referred to in para. 7.</w:t>
            </w:r>
          </w:p>
          <w:p w14:paraId="6474A28F" w14:textId="77777777" w:rsidR="00CF59E1" w:rsidRPr="00D04661" w:rsidRDefault="00CF59E1" w:rsidP="00CF59E1">
            <w:pPr>
              <w:autoSpaceDE/>
              <w:autoSpaceDN/>
              <w:adjustRightInd/>
              <w:spacing w:after="120"/>
              <w:rPr>
                <w:rFonts w:asciiTheme="minorHAnsi" w:eastAsia="Times New Roman" w:hAnsiTheme="minorHAnsi" w:cs="Arial"/>
              </w:rPr>
            </w:pPr>
            <w:r w:rsidRPr="00D04661">
              <w:rPr>
                <w:rFonts w:asciiTheme="minorHAnsi" w:eastAsia="Times New Roman" w:hAnsiTheme="minorHAnsi" w:cs="Arial"/>
              </w:rPr>
              <w:t xml:space="preserve">(b) </w:t>
            </w:r>
            <w:r w:rsidRPr="00D04661">
              <w:rPr>
                <w:rFonts w:asciiTheme="minorHAnsi" w:eastAsia="Times New Roman" w:hAnsiTheme="minorHAnsi" w:cs="Arial"/>
                <w:i/>
                <w:iCs/>
              </w:rPr>
              <w:t>Category B</w:t>
            </w:r>
            <w:r w:rsidRPr="00D04661">
              <w:rPr>
                <w:rFonts w:asciiTheme="minorHAnsi" w:eastAsia="Times New Roman" w:hAnsiTheme="minorHAnsi" w:cs="Arial"/>
              </w:rPr>
              <w:t xml:space="preserve">: A proposed project is classified as Category B if its potential adverse environmental impacts on human populations or environmentally important areas--including wetlands, forests, grasslands, and other natural habitats--are less adverse than those of Category A projects. These impacts are site-specific; few if any of them are irreversible; and in most cases mitigatory measures can be designed more readily than for Category A projects. The scope of EA for a Category B project may vary from project to project, but it is narrower than that of Category A EA. </w:t>
            </w:r>
            <w:bookmarkStart w:id="20" w:name="fref13"/>
            <w:bookmarkEnd w:id="20"/>
            <w:r w:rsidRPr="00D04661">
              <w:rPr>
                <w:rFonts w:asciiTheme="minorHAnsi" w:eastAsia="Times New Roman" w:hAnsiTheme="minorHAnsi" w:cs="Arial"/>
              </w:rPr>
              <w:fldChar w:fldCharType="begin"/>
            </w:r>
            <w:r w:rsidRPr="00D04661">
              <w:rPr>
                <w:rFonts w:asciiTheme="minorHAnsi" w:eastAsia="Times New Roman" w:hAnsiTheme="minorHAnsi" w:cs="Arial"/>
              </w:rPr>
              <w:instrText xml:space="preserve"> HYPERLINK "http://web.worldbank.org/WBSITE/EXTERNAL/PROJECTS/EXTPOLICIES/EXTOPMANUAL/0,,contentMDK:20064724~menuPK:64701637~pagePK:64709096~piPK:64709108~theSitePK:502184,00.html" \l "fn13" </w:instrText>
            </w:r>
            <w:r w:rsidRPr="00D04661">
              <w:rPr>
                <w:rFonts w:asciiTheme="minorHAnsi" w:eastAsia="Times New Roman" w:hAnsiTheme="minorHAnsi" w:cs="Arial"/>
              </w:rPr>
              <w:fldChar w:fldCharType="separate"/>
            </w:r>
            <w:r w:rsidRPr="00D04661">
              <w:rPr>
                <w:rFonts w:asciiTheme="minorHAnsi" w:eastAsia="Times New Roman" w:hAnsiTheme="minorHAnsi" w:cs="Arial"/>
                <w:b/>
                <w:bCs/>
                <w:u w:val="single"/>
                <w:vertAlign w:val="superscript"/>
              </w:rPr>
              <w:t>13</w:t>
            </w:r>
            <w:r w:rsidRPr="00D04661">
              <w:rPr>
                <w:rFonts w:asciiTheme="minorHAnsi" w:eastAsia="Times New Roman" w:hAnsiTheme="minorHAnsi" w:cs="Arial"/>
              </w:rPr>
              <w:fldChar w:fldCharType="end"/>
            </w:r>
          </w:p>
          <w:p w14:paraId="698D39EA" w14:textId="77777777" w:rsidR="00CF59E1" w:rsidRPr="00EB19F0" w:rsidRDefault="00CF59E1" w:rsidP="00CF59E1">
            <w:pPr>
              <w:autoSpaceDE/>
              <w:autoSpaceDN/>
              <w:adjustRightInd/>
              <w:spacing w:after="120"/>
              <w:rPr>
                <w:rFonts w:asciiTheme="minorHAnsi" w:eastAsia="Times New Roman" w:hAnsiTheme="minorHAnsi" w:cs="Arial"/>
              </w:rPr>
            </w:pPr>
            <w:r w:rsidRPr="00D04661">
              <w:rPr>
                <w:rFonts w:asciiTheme="minorHAnsi" w:eastAsia="Times New Roman" w:hAnsiTheme="minorHAnsi" w:cs="Arial"/>
              </w:rPr>
              <w:t xml:space="preserve">(c) </w:t>
            </w:r>
            <w:r w:rsidRPr="00D04661">
              <w:rPr>
                <w:rFonts w:asciiTheme="minorHAnsi" w:eastAsia="Times New Roman" w:hAnsiTheme="minorHAnsi" w:cs="Arial"/>
                <w:iCs/>
              </w:rPr>
              <w:t>Category C</w:t>
            </w:r>
            <w:r w:rsidRPr="00D04661">
              <w:rPr>
                <w:rFonts w:asciiTheme="minorHAnsi" w:eastAsia="Times New Roman" w:hAnsiTheme="minorHAnsi" w:cs="Arial"/>
              </w:rPr>
              <w:t xml:space="preserve">: A proposed project is classified as Category C if it is likely to have minimal or no adverse environmental impacts. Beyond </w:t>
            </w:r>
            <w:r w:rsidRPr="00EB19F0">
              <w:rPr>
                <w:rFonts w:asciiTheme="minorHAnsi" w:eastAsia="Times New Roman" w:hAnsiTheme="minorHAnsi" w:cs="Arial"/>
              </w:rPr>
              <w:t xml:space="preserve">screening, no further EA action is required for a Category C project. </w:t>
            </w:r>
          </w:p>
          <w:p w14:paraId="69F3AA69" w14:textId="77777777" w:rsidR="00CF59E1" w:rsidRPr="00EB19F0" w:rsidRDefault="00CF59E1" w:rsidP="00CF59E1">
            <w:pPr>
              <w:autoSpaceDE/>
              <w:autoSpaceDN/>
              <w:adjustRightInd/>
              <w:spacing w:after="120"/>
              <w:rPr>
                <w:rFonts w:asciiTheme="minorHAnsi" w:eastAsia="Times New Roman" w:hAnsiTheme="minorHAnsi" w:cs="Arial"/>
              </w:rPr>
            </w:pPr>
            <w:r w:rsidRPr="00EB19F0">
              <w:rPr>
                <w:rFonts w:asciiTheme="minorHAnsi" w:eastAsia="Times New Roman" w:hAnsiTheme="minorHAnsi" w:cs="Arial"/>
              </w:rPr>
              <w:t xml:space="preserve">(d) </w:t>
            </w:r>
            <w:r w:rsidRPr="00EB19F0">
              <w:rPr>
                <w:rFonts w:asciiTheme="minorHAnsi" w:eastAsia="Times New Roman" w:hAnsiTheme="minorHAnsi" w:cs="Arial"/>
                <w:i/>
                <w:iCs/>
              </w:rPr>
              <w:t>Category FI</w:t>
            </w:r>
            <w:r w:rsidRPr="00EB19F0">
              <w:rPr>
                <w:rFonts w:asciiTheme="minorHAnsi" w:eastAsia="Times New Roman" w:hAnsiTheme="minorHAnsi" w:cs="Arial"/>
              </w:rPr>
              <w:t>: A proposed project is classified as Category FI if it involves investment of Bank funds through a financial intermediary, in subprojects that may result in adverse environmental impacts.</w:t>
            </w:r>
          </w:p>
          <w:p w14:paraId="43DD6745" w14:textId="77777777" w:rsidR="00CF59E1" w:rsidRPr="00D04661" w:rsidRDefault="00CF59E1" w:rsidP="00CF59E1">
            <w:pPr>
              <w:autoSpaceDE/>
              <w:autoSpaceDN/>
              <w:adjustRightInd/>
              <w:spacing w:after="120"/>
              <w:rPr>
                <w:rFonts w:asciiTheme="minorHAnsi" w:eastAsia="Times New Roman" w:hAnsiTheme="minorHAnsi" w:cs="Calibri"/>
                <w:b/>
              </w:rPr>
            </w:pPr>
          </w:p>
        </w:tc>
        <w:tc>
          <w:tcPr>
            <w:tcW w:w="7200" w:type="dxa"/>
            <w:shd w:val="clear" w:color="auto" w:fill="auto"/>
          </w:tcPr>
          <w:p w14:paraId="1FCF95D7" w14:textId="77777777" w:rsidR="00CF59E1" w:rsidRPr="00D04661" w:rsidRDefault="00CF59E1" w:rsidP="00CF59E1">
            <w:pPr>
              <w:spacing w:after="120"/>
              <w:rPr>
                <w:rFonts w:asciiTheme="minorHAnsi" w:hAnsiTheme="minorHAnsi" w:cs="Arial"/>
              </w:rPr>
            </w:pPr>
            <w:r>
              <w:rPr>
                <w:rFonts w:asciiTheme="minorHAnsi" w:hAnsiTheme="minorHAnsi" w:cs="Arial"/>
              </w:rPr>
              <w:t>“</w:t>
            </w:r>
            <w:r w:rsidRPr="00D04661">
              <w:rPr>
                <w:rFonts w:asciiTheme="minorHAnsi" w:hAnsiTheme="minorHAnsi" w:cs="Arial"/>
              </w:rPr>
              <w:t xml:space="preserve">For projects located in the EU, Candidate and potential Candidate countries, </w:t>
            </w:r>
            <w:r w:rsidRPr="00D04661">
              <w:rPr>
                <w:rFonts w:asciiTheme="minorHAnsi" w:hAnsiTheme="minorHAnsi" w:cs="Arial"/>
                <w:i/>
              </w:rPr>
              <w:t>the promoter will apply the classification provided by the Annexes I and II of the EU EIA Directive or relevant EU legislation and criteria qualifying for a social assessment (</w:t>
            </w:r>
            <w:r w:rsidRPr="00D04661">
              <w:rPr>
                <w:rFonts w:asciiTheme="minorHAnsi" w:hAnsiTheme="minorHAnsi" w:cs="Arial"/>
              </w:rPr>
              <w:t xml:space="preserve">see Standards 6 to 9).. For projects outside of the EU, Candidate and potential Candidate countries, the promoter shall be consistent with the classification provided by EU legislation, </w:t>
            </w:r>
            <w:r w:rsidRPr="00D04661">
              <w:rPr>
                <w:rFonts w:asciiTheme="minorHAnsi" w:hAnsiTheme="minorHAnsi" w:cs="Arial"/>
                <w:i/>
              </w:rPr>
              <w:t xml:space="preserve">as well as the national environmental and social legislation </w:t>
            </w:r>
            <w:r w:rsidRPr="00D04661">
              <w:rPr>
                <w:rFonts w:asciiTheme="minorHAnsi" w:hAnsiTheme="minorHAnsi" w:cs="Arial"/>
              </w:rPr>
              <w:t>and applicable international best practice.</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EIB, ESH, ESS 1, para.21</w:t>
            </w:r>
            <w:r w:rsidRPr="00D04661">
              <w:rPr>
                <w:rFonts w:asciiTheme="minorHAnsi" w:hAnsiTheme="minorHAnsi" w:cs="Arial"/>
              </w:rPr>
              <w:t>)</w:t>
            </w:r>
            <w:r w:rsidRPr="00D04661">
              <w:rPr>
                <w:rStyle w:val="FootnoteReference"/>
                <w:rFonts w:asciiTheme="minorHAnsi" w:hAnsiTheme="minorHAnsi" w:cs="Arial"/>
              </w:rPr>
              <w:footnoteReference w:id="209"/>
            </w:r>
          </w:p>
          <w:p w14:paraId="79B40F6D" w14:textId="77777777" w:rsidR="00CF59E1" w:rsidRPr="00D04661" w:rsidRDefault="00CF59E1" w:rsidP="00CF59E1">
            <w:pPr>
              <w:spacing w:after="120"/>
              <w:rPr>
                <w:rFonts w:asciiTheme="minorHAnsi" w:hAnsiTheme="minorHAnsi" w:cs="Times New Roman"/>
                <w:color w:val="000000"/>
              </w:rPr>
            </w:pPr>
            <w:r>
              <w:rPr>
                <w:rFonts w:asciiTheme="minorHAnsi" w:hAnsiTheme="minorHAnsi" w:cs="Times New Roman"/>
                <w:iCs/>
                <w:color w:val="000000"/>
              </w:rPr>
              <w:t>“</w:t>
            </w:r>
            <w:r w:rsidRPr="00D04661">
              <w:rPr>
                <w:rFonts w:asciiTheme="minorHAnsi" w:hAnsiTheme="minorHAnsi" w:cs="Times New Roman"/>
                <w:iCs/>
                <w:color w:val="000000"/>
              </w:rPr>
              <w:t>Category 1: Bank operations likely to cause significant environmental and social impacts</w:t>
            </w:r>
            <w:r w:rsidRPr="00D04661">
              <w:rPr>
                <w:rFonts w:asciiTheme="minorHAnsi" w:hAnsiTheme="minorHAnsi" w:cs="Times New Roman"/>
                <w:i/>
                <w:iCs/>
                <w:color w:val="000000"/>
              </w:rPr>
              <w:t xml:space="preserve">. </w:t>
            </w:r>
            <w:r w:rsidRPr="00D04661">
              <w:rPr>
                <w:rFonts w:asciiTheme="minorHAnsi" w:hAnsiTheme="minorHAnsi" w:cs="Times New Roman"/>
                <w:color w:val="000000"/>
              </w:rPr>
              <w:t xml:space="preserve">Category 1 projects are likely to induce significant and/or irreversible adverse environmental </w:t>
            </w:r>
            <w:r w:rsidRPr="00D04661">
              <w:rPr>
                <w:rFonts w:asciiTheme="minorHAnsi" w:hAnsiTheme="minorHAnsi" w:cs="Times New Roman"/>
                <w:i/>
                <w:color w:val="000000"/>
              </w:rPr>
              <w:t>and/or social impacts</w:t>
            </w:r>
            <w:r w:rsidRPr="00D04661">
              <w:rPr>
                <w:rFonts w:asciiTheme="minorHAnsi" w:hAnsiTheme="minorHAnsi" w:cs="Times New Roman"/>
                <w:color w:val="000000"/>
              </w:rPr>
              <w:t xml:space="preserve">, or to significantly affect environmental </w:t>
            </w:r>
            <w:r w:rsidRPr="00D04661">
              <w:rPr>
                <w:rFonts w:asciiTheme="minorHAnsi" w:hAnsiTheme="minorHAnsi" w:cs="Times New Roman"/>
                <w:i/>
                <w:color w:val="000000"/>
              </w:rPr>
              <w:t>or social components</w:t>
            </w:r>
            <w:r w:rsidRPr="00D04661">
              <w:rPr>
                <w:rFonts w:asciiTheme="minorHAnsi" w:hAnsiTheme="minorHAnsi" w:cs="Times New Roman"/>
                <w:color w:val="000000"/>
              </w:rPr>
              <w:t xml:space="preserve"> that the Bank </w:t>
            </w:r>
            <w:r w:rsidRPr="00D04661">
              <w:rPr>
                <w:rFonts w:asciiTheme="minorHAnsi" w:hAnsiTheme="minorHAnsi" w:cs="Times New Roman"/>
                <w:i/>
                <w:color w:val="000000"/>
              </w:rPr>
              <w:t>or the borrowing country considers sensitive.</w:t>
            </w:r>
            <w:r w:rsidRPr="00D04661">
              <w:rPr>
                <w:rFonts w:asciiTheme="minorHAnsi" w:hAnsiTheme="minorHAnsi" w:cs="Times New Roman"/>
                <w:color w:val="000000"/>
              </w:rPr>
              <w:t xml:space="preserve"> </w:t>
            </w:r>
            <w:r w:rsidRPr="00D04661">
              <w:rPr>
                <w:rFonts w:asciiTheme="minorHAnsi" w:hAnsiTheme="minorHAnsi" w:cs="Times New Roman"/>
                <w:i/>
                <w:color w:val="000000"/>
              </w:rPr>
              <w:t>In some cases, projects are included in Category 1 because of their potential cumulative impacts or the potential impacts of associated facilities.</w:t>
            </w:r>
            <w:r w:rsidRPr="00D04661">
              <w:rPr>
                <w:rFonts w:asciiTheme="minorHAnsi" w:hAnsiTheme="minorHAnsi" w:cs="Times New Roman"/>
                <w:color w:val="000000"/>
              </w:rPr>
              <w:t xml:space="preserve"> </w:t>
            </w:r>
            <w:r w:rsidRPr="00D04661">
              <w:rPr>
                <w:rFonts w:asciiTheme="minorHAnsi" w:hAnsiTheme="minorHAnsi" w:cs="Times New Roman"/>
                <w:i/>
                <w:color w:val="000000"/>
              </w:rPr>
              <w:t>Any project requiring a Full Resettlement Action Plan …under the provisions of the Bank’s policy on involuntary resettlement is also deemed to be Category 1</w:t>
            </w:r>
            <w:r w:rsidRPr="00D04661">
              <w:rPr>
                <w:rFonts w:asciiTheme="minorHAnsi" w:hAnsiTheme="minorHAnsi" w:cs="Times New Roman"/>
                <w:color w:val="000000"/>
              </w:rPr>
              <w:t>.</w:t>
            </w:r>
            <w:r>
              <w:rPr>
                <w:rFonts w:asciiTheme="minorHAnsi" w:hAnsiTheme="minorHAnsi" w:cs="Times New Roman"/>
                <w:color w:val="000000"/>
              </w:rPr>
              <w:t>”</w:t>
            </w:r>
            <w:r w:rsidRPr="00D04661">
              <w:rPr>
                <w:rStyle w:val="FootnoteReference"/>
                <w:rFonts w:asciiTheme="minorHAnsi" w:hAnsiTheme="minorHAnsi" w:cs="Times New Roman"/>
                <w:color w:val="000000"/>
              </w:rPr>
              <w:footnoteReference w:id="210"/>
            </w:r>
            <w:r w:rsidRPr="00D04661">
              <w:rPr>
                <w:rFonts w:asciiTheme="minorHAnsi" w:hAnsiTheme="minorHAnsi" w:cs="Times New Roman"/>
                <w:color w:val="000000"/>
              </w:rPr>
              <w:t xml:space="preserve"> (</w:t>
            </w:r>
            <w:r w:rsidRPr="00D04661">
              <w:rPr>
                <w:rFonts w:asciiTheme="minorHAnsi" w:hAnsiTheme="minorHAnsi" w:cs="Times New Roman"/>
                <w:b/>
                <w:color w:val="000000"/>
              </w:rPr>
              <w:t>AfDB, OS 1, para. 23)</w:t>
            </w:r>
          </w:p>
          <w:p w14:paraId="0BC0BCE4"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 xml:space="preserve">Any operation that is </w:t>
            </w:r>
            <w:r w:rsidRPr="00D04661">
              <w:rPr>
                <w:rFonts w:asciiTheme="minorHAnsi" w:hAnsiTheme="minorHAnsi" w:cs="Calibri"/>
                <w:i/>
              </w:rPr>
              <w:t>likely to cause</w:t>
            </w:r>
            <w:r w:rsidRPr="00D04661">
              <w:rPr>
                <w:rFonts w:asciiTheme="minorHAnsi" w:hAnsiTheme="minorHAnsi" w:cs="Calibri"/>
              </w:rPr>
              <w:t xml:space="preserve"> significant environmental and </w:t>
            </w:r>
            <w:r w:rsidRPr="00D04661">
              <w:rPr>
                <w:rFonts w:asciiTheme="minorHAnsi" w:hAnsiTheme="minorHAnsi" w:cs="Calibri"/>
                <w:i/>
              </w:rPr>
              <w:t>associated social impacts</w:t>
            </w:r>
            <w:r w:rsidRPr="00D04661">
              <w:rPr>
                <w:rFonts w:asciiTheme="minorHAnsi" w:hAnsiTheme="minorHAnsi" w:cs="Calibri"/>
              </w:rPr>
              <w:t xml:space="preserve">, or have </w:t>
            </w:r>
            <w:r w:rsidRPr="00D04661">
              <w:rPr>
                <w:rFonts w:asciiTheme="minorHAnsi" w:hAnsiTheme="minorHAnsi" w:cs="Calibri"/>
                <w:i/>
              </w:rPr>
              <w:t>profound implications affecting natural resources,</w:t>
            </w:r>
            <w:r w:rsidRPr="00D04661">
              <w:rPr>
                <w:rFonts w:asciiTheme="minorHAnsi" w:hAnsiTheme="minorHAnsi" w:cs="Calibri"/>
              </w:rPr>
              <w:t xml:space="preserve"> will be classified as Category </w:t>
            </w:r>
            <w:r>
              <w:rPr>
                <w:rFonts w:asciiTheme="minorHAnsi" w:hAnsiTheme="minorHAnsi" w:cs="Calibri"/>
              </w:rPr>
              <w:t>“</w:t>
            </w:r>
            <w:r w:rsidRPr="00D04661">
              <w:rPr>
                <w:rFonts w:asciiTheme="minorHAnsi" w:hAnsiTheme="minorHAnsi" w:cs="Calibri"/>
              </w:rPr>
              <w:t>A.</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(IDB</w:t>
            </w:r>
            <w:r w:rsidRPr="00D04661">
              <w:rPr>
                <w:rFonts w:asciiTheme="minorHAnsi" w:hAnsiTheme="minorHAnsi" w:cs="Calibri"/>
              </w:rPr>
              <w:t xml:space="preserve">), </w:t>
            </w:r>
            <w:r w:rsidRPr="00D04661">
              <w:rPr>
                <w:rFonts w:asciiTheme="minorHAnsi" w:hAnsiTheme="minorHAnsi" w:cs="Calibri"/>
                <w:b/>
              </w:rPr>
              <w:t>ESCP para. 4.17</w:t>
            </w:r>
            <w:r w:rsidRPr="00D04661">
              <w:rPr>
                <w:rFonts w:asciiTheme="minorHAnsi" w:hAnsiTheme="minorHAnsi" w:cs="Calibri"/>
              </w:rPr>
              <w:t>);</w:t>
            </w:r>
          </w:p>
          <w:p w14:paraId="7C1B26B4" w14:textId="77777777" w:rsidR="00CF59E1" w:rsidRPr="003E5240" w:rsidRDefault="00CF59E1" w:rsidP="009F3E8E">
            <w:pPr>
              <w:pStyle w:val="ListParagraph"/>
              <w:numPr>
                <w:ilvl w:val="0"/>
                <w:numId w:val="36"/>
              </w:numPr>
              <w:spacing w:after="120"/>
              <w:ind w:left="360"/>
              <w:contextualSpacing w:val="0"/>
              <w:rPr>
                <w:rFonts w:asciiTheme="minorHAnsi" w:hAnsiTheme="minorHAnsi" w:cs="Times New Roman"/>
              </w:rPr>
            </w:pPr>
            <w:r w:rsidRPr="003E5240">
              <w:rPr>
                <w:rFonts w:asciiTheme="minorHAnsi" w:hAnsiTheme="minorHAnsi" w:cs="Times New Roman"/>
              </w:rPr>
              <w:t xml:space="preserve">Operations that are likely to cause mostly local and short-term negative environmental and associated social impacts and for which effective mitigation measures are readily available will be classified as </w:t>
            </w:r>
            <w:r w:rsidRPr="003E5240">
              <w:rPr>
                <w:rFonts w:asciiTheme="minorHAnsi" w:hAnsiTheme="minorHAnsi" w:cs="Times New Roman"/>
                <w:i/>
                <w:iCs/>
              </w:rPr>
              <w:t xml:space="preserve">Category </w:t>
            </w:r>
            <w:r>
              <w:rPr>
                <w:rFonts w:asciiTheme="minorHAnsi" w:hAnsiTheme="minorHAnsi" w:cs="Times New Roman"/>
                <w:i/>
                <w:iCs/>
              </w:rPr>
              <w:t>“</w:t>
            </w:r>
            <w:r w:rsidRPr="003E5240">
              <w:rPr>
                <w:rFonts w:asciiTheme="minorHAnsi" w:hAnsiTheme="minorHAnsi" w:cs="Times New Roman"/>
                <w:i/>
                <w:iCs/>
              </w:rPr>
              <w:t>B.</w:t>
            </w:r>
            <w:r>
              <w:rPr>
                <w:rFonts w:asciiTheme="minorHAnsi" w:hAnsiTheme="minorHAnsi" w:cs="Times New Roman"/>
                <w:i/>
                <w:iCs/>
              </w:rPr>
              <w:t>”</w:t>
            </w:r>
            <w:r w:rsidRPr="003E5240">
              <w:rPr>
                <w:rFonts w:asciiTheme="minorHAnsi" w:hAnsiTheme="minorHAnsi" w:cs="Times New Roman"/>
                <w:i/>
                <w:iCs/>
              </w:rPr>
              <w:t xml:space="preserve"> </w:t>
            </w:r>
            <w:r w:rsidRPr="003E5240">
              <w:rPr>
                <w:rFonts w:asciiTheme="minorHAnsi" w:hAnsiTheme="minorHAnsi" w:cs="Times New Roman"/>
              </w:rPr>
              <w:t>These operations will normally require an environmental and/or social analysis, according to and focusing on, the specific issues identified in the screening process, and an environmental and social management plan (ESMP).</w:t>
            </w:r>
          </w:p>
          <w:p w14:paraId="38A8CA37" w14:textId="77777777" w:rsidR="00CF59E1" w:rsidRPr="00D04661" w:rsidRDefault="00CF59E1" w:rsidP="009F3E8E">
            <w:pPr>
              <w:pStyle w:val="ListParagraph"/>
              <w:numPr>
                <w:ilvl w:val="0"/>
                <w:numId w:val="36"/>
              </w:numPr>
              <w:spacing w:after="120"/>
              <w:ind w:left="360"/>
              <w:contextualSpacing w:val="0"/>
              <w:rPr>
                <w:rFonts w:asciiTheme="minorHAnsi" w:hAnsiTheme="minorHAnsi" w:cs="Calibri"/>
              </w:rPr>
            </w:pPr>
            <w:r w:rsidRPr="003E5240">
              <w:rPr>
                <w:rFonts w:asciiTheme="minorHAnsi" w:hAnsiTheme="minorHAnsi" w:cs="Times New Roman"/>
                <w:iCs/>
              </w:rPr>
              <w:t>Operations</w:t>
            </w:r>
            <w:r w:rsidRPr="00D8522E">
              <w:rPr>
                <w:rFonts w:asciiTheme="minorHAnsi" w:hAnsiTheme="minorHAnsi" w:cs="Times New Roman"/>
              </w:rPr>
              <w:t xml:space="preserve"> that are likely to cause minimal or no negative environmental</w:t>
            </w:r>
            <w:r w:rsidRPr="00D04661">
              <w:rPr>
                <w:rFonts w:asciiTheme="minorHAnsi" w:hAnsiTheme="minorHAnsi" w:cs="Times New Roman"/>
              </w:rPr>
              <w:t xml:space="preserve"> and associated social impacts will be classified as </w:t>
            </w:r>
            <w:r w:rsidRPr="00D04661">
              <w:rPr>
                <w:rFonts w:asciiTheme="minorHAnsi" w:hAnsiTheme="minorHAnsi" w:cs="Times New Roman"/>
                <w:i/>
                <w:iCs/>
              </w:rPr>
              <w:t xml:space="preserve">Category </w:t>
            </w:r>
            <w:r>
              <w:rPr>
                <w:rFonts w:asciiTheme="minorHAnsi" w:hAnsiTheme="minorHAnsi" w:cs="Times New Roman"/>
                <w:i/>
                <w:iCs/>
              </w:rPr>
              <w:t>“</w:t>
            </w:r>
            <w:r w:rsidRPr="00D04661">
              <w:rPr>
                <w:rFonts w:asciiTheme="minorHAnsi" w:hAnsiTheme="minorHAnsi" w:cs="Times New Roman"/>
                <w:i/>
                <w:iCs/>
              </w:rPr>
              <w:t>C.</w:t>
            </w:r>
            <w:r>
              <w:rPr>
                <w:rFonts w:asciiTheme="minorHAnsi" w:hAnsiTheme="minorHAnsi" w:cs="Times New Roman"/>
                <w:i/>
                <w:iCs/>
              </w:rPr>
              <w:t>”</w:t>
            </w:r>
            <w:r w:rsidRPr="00D04661">
              <w:rPr>
                <w:rFonts w:asciiTheme="minorHAnsi" w:hAnsiTheme="minorHAnsi" w:cs="Times New Roman"/>
                <w:i/>
                <w:iCs/>
              </w:rPr>
              <w:t xml:space="preserve"> </w:t>
            </w:r>
            <w:r w:rsidRPr="00D04661">
              <w:rPr>
                <w:rFonts w:asciiTheme="minorHAnsi" w:hAnsiTheme="minorHAnsi" w:cs="Times New Roman"/>
              </w:rPr>
              <w:t>These operations do not require an environmental or social analysis beyond the screening and scoping analysis for determining the classification. However, where relevant, these operations will establish safeguard or monitoring requirements</w:t>
            </w:r>
          </w:p>
        </w:tc>
      </w:tr>
      <w:tr w:rsidR="00CF59E1" w:rsidRPr="00D8522E" w14:paraId="557E1589" w14:textId="77777777" w:rsidTr="00CF59E1">
        <w:tc>
          <w:tcPr>
            <w:tcW w:w="6390" w:type="dxa"/>
            <w:shd w:val="clear" w:color="auto" w:fill="auto"/>
            <w:vAlign w:val="center"/>
          </w:tcPr>
          <w:p w14:paraId="63C2B521" w14:textId="77777777" w:rsidR="00CF59E1" w:rsidRPr="00D04661" w:rsidRDefault="00CF59E1" w:rsidP="00CF59E1">
            <w:pPr>
              <w:spacing w:after="120"/>
              <w:rPr>
                <w:rFonts w:asciiTheme="minorHAnsi" w:hAnsiTheme="minorHAnsi" w:cs="Calibri"/>
                <w:b/>
              </w:rPr>
            </w:pPr>
            <w:r w:rsidRPr="00D04661">
              <w:rPr>
                <w:rFonts w:asciiTheme="minorHAnsi" w:hAnsiTheme="minorHAnsi" w:cs="Calibri"/>
                <w:b/>
              </w:rPr>
              <w:t>COMPLIANCE WITH COUNTRY OBLIGATIONS UNDER MULTILATERAL ENVIRONMENTAL AGREEMENTS</w:t>
            </w:r>
          </w:p>
          <w:p w14:paraId="3FABAC73" w14:textId="77777777" w:rsidR="00CF59E1" w:rsidRPr="003B4A78" w:rsidRDefault="00CF59E1" w:rsidP="00CF59E1">
            <w:pPr>
              <w:spacing w:after="120"/>
              <w:rPr>
                <w:rFonts w:asciiTheme="minorHAnsi" w:hAnsiTheme="minorHAnsi" w:cs="Calibri"/>
              </w:rPr>
            </w:pPr>
            <w:r w:rsidRPr="00D04661">
              <w:rPr>
                <w:rFonts w:asciiTheme="minorHAnsi" w:hAnsiTheme="minorHAnsi" w:cs="Arial"/>
                <w:b/>
              </w:rPr>
              <w:t xml:space="preserve">OP 4.01 </w:t>
            </w:r>
            <w:r>
              <w:rPr>
                <w:rFonts w:asciiTheme="minorHAnsi" w:hAnsiTheme="minorHAnsi" w:cs="Arial"/>
                <w:b/>
              </w:rPr>
              <w:t>para.</w:t>
            </w:r>
            <w:r w:rsidRPr="00D04661">
              <w:rPr>
                <w:rFonts w:asciiTheme="minorHAnsi" w:hAnsiTheme="minorHAnsi" w:cs="Arial"/>
                <w:b/>
              </w:rPr>
              <w:t xml:space="preserve"> 3</w:t>
            </w:r>
            <w:r w:rsidRPr="00D04661">
              <w:rPr>
                <w:rFonts w:asciiTheme="minorHAnsi" w:hAnsiTheme="minorHAnsi" w:cs="Arial"/>
              </w:rPr>
              <w:t xml:space="preserve">: EA also takes into account...; …obligations of the country, pertaining to project activities, under </w:t>
            </w:r>
            <w:r w:rsidRPr="003B4A78">
              <w:rPr>
                <w:rFonts w:asciiTheme="minorHAnsi" w:hAnsiTheme="minorHAnsi" w:cs="Arial"/>
              </w:rPr>
              <w:t>relevant international environmental treaties and agreements. The Bank does not finance project activities that would contravene such country obligations, as identified during the EA.</w:t>
            </w:r>
            <w:r>
              <w:rPr>
                <w:rFonts w:asciiTheme="minorHAnsi" w:hAnsiTheme="minorHAnsi" w:cs="Arial"/>
              </w:rPr>
              <w:t>”</w:t>
            </w:r>
          </w:p>
          <w:p w14:paraId="38037C1D" w14:textId="77777777" w:rsidR="00CF59E1" w:rsidRPr="003B4A78" w:rsidRDefault="00CF59E1" w:rsidP="00CF59E1">
            <w:pPr>
              <w:spacing w:after="120"/>
              <w:rPr>
                <w:rFonts w:asciiTheme="minorHAnsi" w:hAnsiTheme="minorHAnsi" w:cs="Arial"/>
              </w:rPr>
            </w:pPr>
            <w:r w:rsidRPr="003B4A78">
              <w:rPr>
                <w:rFonts w:asciiTheme="minorHAnsi" w:hAnsiTheme="minorHAnsi" w:cs="Arial"/>
                <w:b/>
              </w:rPr>
              <w:t xml:space="preserve">OP 4.36 </w:t>
            </w:r>
            <w:r>
              <w:rPr>
                <w:rFonts w:asciiTheme="minorHAnsi" w:hAnsiTheme="minorHAnsi" w:cs="Arial"/>
                <w:b/>
              </w:rPr>
              <w:t xml:space="preserve">para. </w:t>
            </w:r>
            <w:r w:rsidRPr="003B4A78">
              <w:rPr>
                <w:rFonts w:asciiTheme="minorHAnsi" w:hAnsiTheme="minorHAnsi" w:cs="Arial"/>
                <w:b/>
              </w:rPr>
              <w:t>6</w:t>
            </w:r>
            <w:r w:rsidRPr="003B4A78">
              <w:rPr>
                <w:rFonts w:asciiTheme="minorHAnsi" w:hAnsiTheme="minorHAnsi" w:cs="Arial"/>
              </w:rPr>
              <w:t>:</w:t>
            </w:r>
            <w:r w:rsidRPr="003B4A78">
              <w:rPr>
                <w:rFonts w:asciiTheme="minorHAnsi" w:hAnsiTheme="minorHAnsi" w:cs="Arial"/>
                <w:color w:val="000000"/>
              </w:rPr>
              <w:t xml:space="preserve"> The Bank does not finance projects that contravene applicable international environmental agreements.</w:t>
            </w:r>
          </w:p>
          <w:p w14:paraId="78BD312F" w14:textId="77777777" w:rsidR="00CF59E1" w:rsidRPr="00D04661" w:rsidRDefault="00CF59E1" w:rsidP="00CF59E1">
            <w:pPr>
              <w:spacing w:after="120"/>
              <w:rPr>
                <w:rFonts w:asciiTheme="minorHAnsi" w:hAnsiTheme="minorHAnsi" w:cs="Times New Roman"/>
              </w:rPr>
            </w:pPr>
          </w:p>
        </w:tc>
        <w:tc>
          <w:tcPr>
            <w:tcW w:w="7200" w:type="dxa"/>
            <w:shd w:val="clear" w:color="auto" w:fill="auto"/>
          </w:tcPr>
          <w:p w14:paraId="0D14D150"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[ADB] will not ….</w:t>
            </w:r>
            <w:r w:rsidRPr="00D04661">
              <w:rPr>
                <w:rFonts w:asciiTheme="minorHAnsi" w:eastAsia="MS Mincho" w:hAnsiTheme="minorHAnsi" w:cs="Calibri"/>
                <w:lang w:eastAsia="ja-JP"/>
              </w:rPr>
              <w:t>finance projects that do not comply with the host country’s laws ….including those laws implementing host country obligations under international law.</w:t>
            </w:r>
            <w:r>
              <w:rPr>
                <w:rFonts w:asciiTheme="minorHAnsi" w:eastAsia="MS Mincho" w:hAnsiTheme="minorHAnsi" w:cs="Calibri"/>
                <w:lang w:eastAsia="ja-JP"/>
              </w:rPr>
              <w:t>”</w:t>
            </w:r>
            <w:r w:rsidRPr="00D04661">
              <w:rPr>
                <w:rFonts w:asciiTheme="minorHAnsi" w:hAnsiTheme="minorHAnsi" w:cs="Calibri"/>
                <w:vertAlign w:val="superscript"/>
              </w:rPr>
              <w:footnoteReference w:id="211"/>
            </w:r>
            <w:r w:rsidRPr="00D04661">
              <w:rPr>
                <w:rFonts w:asciiTheme="minorHAnsi" w:hAnsiTheme="minorHAnsi" w:cs="Calibri"/>
              </w:rPr>
              <w:t xml:space="preserve"> (</w:t>
            </w:r>
            <w:r w:rsidRPr="00D04661">
              <w:rPr>
                <w:rFonts w:asciiTheme="minorHAnsi" w:hAnsiTheme="minorHAnsi" w:cs="Calibri"/>
                <w:b/>
              </w:rPr>
              <w:t xml:space="preserve">ADB, </w:t>
            </w:r>
            <w:r w:rsidRPr="00D8522E">
              <w:rPr>
                <w:rFonts w:asciiTheme="minorHAnsi" w:hAnsiTheme="minorHAnsi" w:cs="Calibri"/>
                <w:b/>
              </w:rPr>
              <w:t xml:space="preserve">SPS, </w:t>
            </w:r>
            <w:r w:rsidRPr="00D8522E">
              <w:rPr>
                <w:rFonts w:asciiTheme="minorHAnsi" w:hAnsiTheme="minorHAnsi" w:cs="Arial"/>
                <w:b/>
                <w:bCs/>
              </w:rPr>
              <w:t xml:space="preserve">Overarching Statement </w:t>
            </w:r>
            <w:r w:rsidRPr="00A56233">
              <w:rPr>
                <w:rFonts w:asciiTheme="minorHAnsi" w:hAnsiTheme="minorHAnsi" w:cs="Arial"/>
                <w:b/>
                <w:bCs/>
              </w:rPr>
              <w:t>on ADB’s Commitment and Policy Principles, para. 47</w:t>
            </w:r>
            <w:r w:rsidRPr="00D04661">
              <w:rPr>
                <w:rFonts w:asciiTheme="minorHAnsi" w:hAnsiTheme="minorHAnsi" w:cs="Calibri"/>
              </w:rPr>
              <w:t>)</w:t>
            </w:r>
          </w:p>
          <w:p w14:paraId="72AE99A4" w14:textId="77777777" w:rsidR="00CF59E1" w:rsidRPr="00D04661" w:rsidRDefault="00CF59E1" w:rsidP="00CF59E1">
            <w:pPr>
              <w:spacing w:after="120"/>
              <w:rPr>
                <w:rFonts w:asciiTheme="minorHAnsi" w:hAnsiTheme="minorHAnsi" w:cs="Times New Roman"/>
              </w:rPr>
            </w:pPr>
            <w:r>
              <w:rPr>
                <w:rFonts w:asciiTheme="minorHAnsi" w:hAnsiTheme="minorHAnsi" w:cs="Times New Roman"/>
              </w:rPr>
              <w:t>“</w:t>
            </w:r>
            <w:r w:rsidRPr="00D04661">
              <w:rPr>
                <w:rFonts w:asciiTheme="minorHAnsi" w:hAnsiTheme="minorHAnsi" w:cs="Times New Roman"/>
              </w:rPr>
              <w:t>The Bank will also require the borrower for that operation to ensure that it is designed and carried out in compliance with …national obligations established under ratified Multilateral Environmental Agreements (MEAs).</w:t>
            </w:r>
            <w:r>
              <w:rPr>
                <w:rFonts w:asciiTheme="minorHAnsi" w:hAnsiTheme="minorHAnsi" w:cs="Times New Roman"/>
              </w:rPr>
              <w:t>”</w:t>
            </w:r>
            <w:r w:rsidRPr="00D04661">
              <w:rPr>
                <w:rFonts w:asciiTheme="minorHAnsi" w:hAnsiTheme="minorHAnsi" w:cs="Times New Roman"/>
              </w:rPr>
              <w:t>(</w:t>
            </w:r>
            <w:r w:rsidRPr="00D04661">
              <w:rPr>
                <w:rFonts w:asciiTheme="minorHAnsi" w:hAnsiTheme="minorHAnsi" w:cs="Times New Roman"/>
                <w:b/>
              </w:rPr>
              <w:t>IDB, ESCP para. 4.15)</w:t>
            </w:r>
          </w:p>
          <w:p w14:paraId="2F490F88" w14:textId="77777777" w:rsidR="00CF59E1" w:rsidRPr="00D04661" w:rsidRDefault="00CF59E1" w:rsidP="00CF59E1">
            <w:pPr>
              <w:spacing w:after="120"/>
              <w:rPr>
                <w:rFonts w:asciiTheme="minorHAnsi" w:hAnsiTheme="minorHAnsi" w:cs="Times New Roman"/>
              </w:rPr>
            </w:pPr>
            <w:r>
              <w:rPr>
                <w:rFonts w:asciiTheme="minorHAnsi" w:hAnsiTheme="minorHAnsi" w:cs="Times New Roman"/>
              </w:rPr>
              <w:t>“</w:t>
            </w:r>
            <w:r w:rsidRPr="00D04661">
              <w:rPr>
                <w:rFonts w:asciiTheme="minorHAnsi" w:hAnsiTheme="minorHAnsi" w:cs="Times New Roman"/>
              </w:rPr>
              <w:t>All EIB-supported operation have to comply with the relevant international agreements and conventions ratified by the host country. In particular, the provisions of the following treaties and conventions apply (</w:t>
            </w:r>
            <w:r w:rsidRPr="00D04661">
              <w:rPr>
                <w:rFonts w:asciiTheme="minorHAnsi" w:hAnsiTheme="minorHAnsi" w:cs="Times New Roman"/>
                <w:b/>
              </w:rPr>
              <w:t xml:space="preserve">EIB </w:t>
            </w:r>
            <w:r w:rsidRPr="00D04661">
              <w:rPr>
                <w:rFonts w:asciiTheme="minorHAnsi" w:hAnsiTheme="minorHAnsi" w:cs="Times New Roman"/>
              </w:rPr>
              <w:t>)</w:t>
            </w:r>
          </w:p>
          <w:p w14:paraId="20E59E10" w14:textId="77777777" w:rsidR="00CF59E1" w:rsidRPr="00D04661" w:rsidRDefault="00CF59E1" w:rsidP="009F3E8E">
            <w:pPr>
              <w:numPr>
                <w:ilvl w:val="0"/>
                <w:numId w:val="31"/>
              </w:numPr>
              <w:spacing w:after="120"/>
              <w:ind w:left="360"/>
              <w:rPr>
                <w:rFonts w:asciiTheme="minorHAnsi" w:hAnsiTheme="minorHAnsi" w:cs="Calibri"/>
              </w:rPr>
            </w:pPr>
            <w:r w:rsidRPr="00D04661">
              <w:rPr>
                <w:rFonts w:asciiTheme="minorHAnsi" w:hAnsiTheme="minorHAnsi" w:cs="Times New Roman"/>
              </w:rPr>
              <w:t>UN ECE Espoo Convention on Environmental Impact Assessment in a Transboundary Context concerning environmental impact assessment in a transboundary context;</w:t>
            </w:r>
          </w:p>
          <w:p w14:paraId="23ED947F" w14:textId="77777777" w:rsidR="00CF59E1" w:rsidRPr="00D04661" w:rsidRDefault="00CF59E1" w:rsidP="009F3E8E">
            <w:pPr>
              <w:numPr>
                <w:ilvl w:val="0"/>
                <w:numId w:val="31"/>
              </w:numPr>
              <w:spacing w:after="120"/>
              <w:ind w:left="360"/>
              <w:rPr>
                <w:rFonts w:asciiTheme="minorHAnsi" w:hAnsiTheme="minorHAnsi" w:cs="Calibri"/>
              </w:rPr>
            </w:pPr>
            <w:r w:rsidRPr="00D04661">
              <w:rPr>
                <w:rFonts w:asciiTheme="minorHAnsi" w:hAnsiTheme="minorHAnsi" w:cs="Times New Roman"/>
              </w:rPr>
              <w:t>UN ECE Aarhus Convention, with the requirements related to access to information, public participation in decision-making and access to justice in environmental matters;</w:t>
            </w:r>
          </w:p>
          <w:p w14:paraId="6C6686F4" w14:textId="77777777" w:rsidR="00CF59E1" w:rsidRPr="00D04661" w:rsidRDefault="00CF59E1" w:rsidP="009F3E8E">
            <w:pPr>
              <w:numPr>
                <w:ilvl w:val="0"/>
                <w:numId w:val="31"/>
              </w:numPr>
              <w:spacing w:after="120"/>
              <w:ind w:left="360"/>
              <w:rPr>
                <w:rFonts w:asciiTheme="minorHAnsi" w:hAnsiTheme="minorHAnsi" w:cs="Calibri"/>
              </w:rPr>
            </w:pPr>
            <w:r w:rsidRPr="00D04661">
              <w:rPr>
                <w:rFonts w:asciiTheme="minorHAnsi" w:hAnsiTheme="minorHAnsi" w:cs="Times New Roman"/>
              </w:rPr>
              <w:t>United Nations Convention on Biological Diversity focusing on the assessment of the significant adverse effects of projects on biological diversity;</w:t>
            </w:r>
          </w:p>
          <w:p w14:paraId="34542F09" w14:textId="77777777" w:rsidR="00CF59E1" w:rsidRPr="00D04661" w:rsidRDefault="00CF59E1" w:rsidP="009F3E8E">
            <w:pPr>
              <w:numPr>
                <w:ilvl w:val="0"/>
                <w:numId w:val="31"/>
              </w:numPr>
              <w:spacing w:after="120"/>
              <w:ind w:left="360"/>
              <w:rPr>
                <w:rFonts w:asciiTheme="minorHAnsi" w:hAnsiTheme="minorHAnsi" w:cs="Calibri"/>
              </w:rPr>
            </w:pPr>
            <w:r w:rsidRPr="00D04661">
              <w:rPr>
                <w:rFonts w:asciiTheme="minorHAnsi" w:hAnsiTheme="minorHAnsi" w:cs="Times New Roman"/>
              </w:rPr>
              <w:t>United Nations Framework Convention on Climate Change and its UNFCCC’s Kyoto Protocol;</w:t>
            </w:r>
          </w:p>
          <w:p w14:paraId="1C9D316E" w14:textId="77777777" w:rsidR="00CF59E1" w:rsidRPr="00D04661" w:rsidRDefault="00CF59E1" w:rsidP="009F3E8E">
            <w:pPr>
              <w:numPr>
                <w:ilvl w:val="0"/>
                <w:numId w:val="31"/>
              </w:numPr>
              <w:spacing w:after="120"/>
              <w:ind w:left="360"/>
              <w:rPr>
                <w:rFonts w:asciiTheme="minorHAnsi" w:hAnsiTheme="minorHAnsi" w:cs="Calibri"/>
              </w:rPr>
            </w:pPr>
            <w:r w:rsidRPr="00D04661">
              <w:rPr>
                <w:rFonts w:asciiTheme="minorHAnsi" w:hAnsiTheme="minorHAnsi" w:cs="Times New Roman"/>
              </w:rPr>
              <w:t>United Nations Hyogo Framework for Action Programme (2005-2015) which stresses the need to put in place procedures for assessment of the disaster risk implications of major infrastructure projects.</w:t>
            </w:r>
          </w:p>
        </w:tc>
      </w:tr>
      <w:tr w:rsidR="00CF59E1" w:rsidRPr="00D8522E" w14:paraId="37DE0D44" w14:textId="77777777" w:rsidTr="00CF59E1">
        <w:tc>
          <w:tcPr>
            <w:tcW w:w="6390" w:type="dxa"/>
            <w:shd w:val="clear" w:color="auto" w:fill="auto"/>
            <w:vAlign w:val="center"/>
          </w:tcPr>
          <w:p w14:paraId="610D1B09" w14:textId="77777777" w:rsidR="00CF59E1" w:rsidRPr="00113061" w:rsidRDefault="00CF59E1" w:rsidP="00CF59E1">
            <w:pPr>
              <w:spacing w:after="120"/>
              <w:rPr>
                <w:rFonts w:asciiTheme="minorHAnsi" w:hAnsiTheme="minorHAnsi" w:cs="Calibri"/>
                <w:b/>
              </w:rPr>
            </w:pPr>
            <w:r w:rsidRPr="00113061">
              <w:rPr>
                <w:rFonts w:asciiTheme="minorHAnsi" w:hAnsiTheme="minorHAnsi" w:cs="Calibri"/>
                <w:b/>
              </w:rPr>
              <w:t>ENVIRONMENTAL MANAGEMENT PLANNING</w:t>
            </w:r>
          </w:p>
          <w:p w14:paraId="4ED3022F" w14:textId="77777777" w:rsidR="00CF59E1" w:rsidRDefault="00CF59E1" w:rsidP="00CF59E1">
            <w:pPr>
              <w:pStyle w:val="NormalWeb"/>
              <w:spacing w:before="0" w:beforeAutospacing="0" w:after="120" w:afterAutospacing="0"/>
              <w:rPr>
                <w:rFonts w:asciiTheme="minorHAnsi" w:hAnsiTheme="minorHAnsi" w:cs="Arial"/>
                <w:sz w:val="22"/>
                <w:szCs w:val="22"/>
              </w:rPr>
            </w:pPr>
            <w:r w:rsidRPr="003B4A78">
              <w:rPr>
                <w:rFonts w:asciiTheme="minorHAnsi" w:hAnsiTheme="minorHAnsi" w:cs="Calibri"/>
                <w:b/>
                <w:sz w:val="22"/>
                <w:szCs w:val="22"/>
              </w:rPr>
              <w:t>OP 4.01, para.2</w:t>
            </w:r>
            <w:r w:rsidRPr="003B4A78">
              <w:rPr>
                <w:rFonts w:asciiTheme="minorHAnsi" w:hAnsiTheme="minorHAnsi" w:cs="Arial"/>
                <w:sz w:val="22"/>
                <w:szCs w:val="22"/>
              </w:rPr>
              <w:t>: The Bank favors preventive measures over mitigatory or compensatory measures, whenever feasible….EA … includes the process of mitigating and managing adverse environmental impacts throughout project implementation</w:t>
            </w:r>
          </w:p>
          <w:p w14:paraId="10079DB8" w14:textId="77777777" w:rsidR="00CF59E1" w:rsidRPr="00444BD1" w:rsidRDefault="00CF59E1" w:rsidP="00CF59E1">
            <w:pPr>
              <w:pStyle w:val="NormalWeb"/>
              <w:spacing w:before="0" w:beforeAutospacing="0" w:after="120" w:afterAutospacing="0"/>
              <w:rPr>
                <w:rFonts w:asciiTheme="minorHAnsi" w:hAnsiTheme="minorHAnsi" w:cs="Arial"/>
                <w:sz w:val="22"/>
                <w:szCs w:val="22"/>
              </w:rPr>
            </w:pPr>
            <w:r w:rsidRPr="00444BD1">
              <w:rPr>
                <w:rFonts w:asciiTheme="minorHAnsi" w:hAnsiTheme="minorHAnsi" w:cs="Calibri"/>
                <w:b/>
                <w:sz w:val="22"/>
                <w:szCs w:val="22"/>
              </w:rPr>
              <w:t xml:space="preserve">OP 4.01, </w:t>
            </w:r>
            <w:r>
              <w:rPr>
                <w:rFonts w:asciiTheme="minorHAnsi" w:hAnsiTheme="minorHAnsi" w:cs="Calibri"/>
                <w:b/>
                <w:sz w:val="22"/>
                <w:szCs w:val="22"/>
              </w:rPr>
              <w:t xml:space="preserve">para. </w:t>
            </w:r>
            <w:r w:rsidRPr="00D04661">
              <w:rPr>
                <w:rFonts w:asciiTheme="minorHAnsi" w:hAnsiTheme="minorHAnsi" w:cs="Arial"/>
                <w:color w:val="000000"/>
                <w:sz w:val="22"/>
                <w:szCs w:val="22"/>
              </w:rPr>
              <w:t>7: Depending on the project, a range of instruments can be used to satisfy the Bank's EA requirement</w:t>
            </w:r>
            <w:r>
              <w:rPr>
                <w:rFonts w:asciiTheme="minorHAnsi" w:hAnsiTheme="minorHAnsi" w:cs="Arial"/>
                <w:color w:val="000000"/>
                <w:sz w:val="22"/>
                <w:szCs w:val="22"/>
              </w:rPr>
              <w:t>…</w:t>
            </w:r>
            <w:r w:rsidRPr="00D04661">
              <w:rPr>
                <w:rFonts w:asciiTheme="minorHAnsi" w:hAnsiTheme="minorHAnsi" w:cs="Arial"/>
                <w:color w:val="000000"/>
                <w:sz w:val="22"/>
                <w:szCs w:val="22"/>
              </w:rPr>
              <w:t xml:space="preserve"> environmental audit, hazard or risk assessment, environmental management plan (EMP) and environmental and social management framework (ESMF).</w:t>
            </w:r>
          </w:p>
          <w:tbl>
            <w:tblPr>
              <w:tblW w:w="5000" w:type="pct"/>
              <w:tblCellSpacing w:w="0" w:type="dxa"/>
              <w:tblLayout w:type="fixed"/>
              <w:tblCellMar>
                <w:left w:w="0" w:type="dxa"/>
                <w:right w:w="0" w:type="dxa"/>
              </w:tblCellMar>
              <w:tblLook w:val="04A0" w:firstRow="1" w:lastRow="0" w:firstColumn="1" w:lastColumn="0" w:noHBand="0" w:noVBand="1"/>
              <w:tblDescription w:val="OP 4.01, Annex C - Environmental Management Plan"/>
            </w:tblPr>
            <w:tblGrid>
              <w:gridCol w:w="6174"/>
            </w:tblGrid>
            <w:tr w:rsidR="00CF59E1" w:rsidRPr="00CF59E1" w14:paraId="4A527659" w14:textId="77777777">
              <w:trPr>
                <w:tblCellSpacing w:w="0" w:type="dxa"/>
              </w:trPr>
              <w:tc>
                <w:tcPr>
                  <w:tcW w:w="5000" w:type="pct"/>
                  <w:hideMark/>
                </w:tcPr>
                <w:p w14:paraId="0F3A4AC1" w14:textId="77777777" w:rsidR="00CF59E1" w:rsidRPr="00D04661" w:rsidRDefault="00CF59E1" w:rsidP="00CF59E1">
                  <w:pPr>
                    <w:pStyle w:val="NormalWeb"/>
                    <w:spacing w:before="0" w:beforeAutospacing="0" w:after="120" w:afterAutospacing="0"/>
                    <w:rPr>
                      <w:rFonts w:asciiTheme="minorHAnsi" w:hAnsiTheme="minorHAnsi" w:cs="Arial"/>
                      <w:b/>
                      <w:bCs/>
                      <w:color w:val="000000"/>
                      <w:kern w:val="36"/>
                      <w:lang w:val="fr-FR"/>
                    </w:rPr>
                  </w:pPr>
                  <w:r w:rsidRPr="00D04661">
                    <w:rPr>
                      <w:rFonts w:asciiTheme="minorHAnsi" w:hAnsiTheme="minorHAnsi" w:cs="Arial"/>
                      <w:b/>
                      <w:bCs/>
                      <w:color w:val="000000"/>
                      <w:kern w:val="36"/>
                      <w:sz w:val="22"/>
                      <w:szCs w:val="22"/>
                      <w:lang w:val="fr-FR"/>
                    </w:rPr>
                    <w:t xml:space="preserve">OP 4.01, Annex C - </w:t>
                  </w:r>
                  <w:r w:rsidRPr="00273DB8">
                    <w:rPr>
                      <w:rFonts w:asciiTheme="minorHAnsi" w:hAnsiTheme="minorHAnsi" w:cs="Arial"/>
                      <w:b/>
                      <w:bCs/>
                      <w:color w:val="000000"/>
                      <w:kern w:val="36"/>
                      <w:sz w:val="22"/>
                      <w:szCs w:val="22"/>
                      <w:lang w:val="fr-FR"/>
                    </w:rPr>
                    <w:t>Environmental</w:t>
                  </w:r>
                  <w:r w:rsidRPr="00D04661">
                    <w:rPr>
                      <w:rFonts w:asciiTheme="minorHAnsi" w:hAnsiTheme="minorHAnsi" w:cs="Arial"/>
                      <w:b/>
                      <w:bCs/>
                      <w:color w:val="000000"/>
                      <w:kern w:val="36"/>
                      <w:sz w:val="22"/>
                      <w:szCs w:val="22"/>
                      <w:lang w:val="fr-FR"/>
                    </w:rPr>
                    <w:t xml:space="preserve"> Management Plan</w:t>
                  </w:r>
                </w:p>
              </w:tc>
            </w:tr>
            <w:tr w:rsidR="00CF59E1" w:rsidRPr="00113061" w14:paraId="595606B7" w14:textId="77777777">
              <w:trPr>
                <w:tblCellSpacing w:w="0" w:type="dxa"/>
              </w:trPr>
              <w:tc>
                <w:tcPr>
                  <w:tcW w:w="960" w:type="dxa"/>
                  <w:hideMark/>
                </w:tcPr>
                <w:p w14:paraId="589322ED"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1.  A project's environmental management plan (EMP) consists of the set of mitigation, monitoring, and institutional measures to be taken during implementation and operation to eliminate adverse environmental and social impacts, offset them, or reduce them to acceptable levels. The plan also includes the actions needed to implement these measures.</w:t>
                  </w:r>
                  <w:hyperlink r:id="rId29" w:anchor="f1" w:history="1">
                    <w:r w:rsidRPr="00D04661">
                      <w:rPr>
                        <w:rFonts w:asciiTheme="minorHAnsi" w:eastAsia="Times New Roman" w:hAnsiTheme="minorHAnsi" w:cs="Arial"/>
                        <w:color w:val="204E84"/>
                        <w:u w:val="single"/>
                        <w:vertAlign w:val="superscript"/>
                      </w:rPr>
                      <w:t>1</w:t>
                    </w:r>
                  </w:hyperlink>
                  <w:r w:rsidRPr="00D04661">
                    <w:rPr>
                      <w:rFonts w:asciiTheme="minorHAnsi" w:eastAsia="Times New Roman" w:hAnsiTheme="minorHAnsi" w:cs="Arial"/>
                      <w:color w:val="000000"/>
                    </w:rPr>
                    <w:t>  Management plans are essential elements of EA reports for Category A projects; for many Category B projects, the EA may result in a management plan only. To prepare a management plan, the borrower and its EA design team (a) identify the set of responses to potentially adverse impacts; (b) determine requirements for ensuring that those responses are made effectively and in a timely manner; and (c) describe the means for meeting those requirements.</w:t>
                  </w:r>
                  <w:hyperlink r:id="rId30" w:anchor="f1" w:history="1">
                    <w:r w:rsidRPr="00D04661">
                      <w:rPr>
                        <w:rFonts w:asciiTheme="minorHAnsi" w:eastAsia="Times New Roman" w:hAnsiTheme="minorHAnsi" w:cs="Arial"/>
                        <w:color w:val="204E84"/>
                        <w:u w:val="single"/>
                        <w:vertAlign w:val="superscript"/>
                      </w:rPr>
                      <w:t>2</w:t>
                    </w:r>
                  </w:hyperlink>
                  <w:r w:rsidRPr="00D04661">
                    <w:rPr>
                      <w:rFonts w:asciiTheme="minorHAnsi" w:eastAsia="Times New Roman" w:hAnsiTheme="minorHAnsi" w:cs="Arial"/>
                      <w:color w:val="000000"/>
                    </w:rPr>
                    <w:t>  More specifically, the EMP includes the following components.</w:t>
                  </w:r>
                </w:p>
                <w:p w14:paraId="1FAFBBD6"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i/>
                      <w:iCs/>
                      <w:color w:val="000000"/>
                    </w:rPr>
                    <w:t>Mitigation</w:t>
                  </w:r>
                </w:p>
                <w:p w14:paraId="33C5BD23"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2.  The EMP identifies feasible and cost-effective measures that may reduce potentially significant adverse environmental impacts to acceptable levels.  The plan includes compensatory measures if mitigation measures are not feasible, cost-effective, or sufficient.  Specifically, the EMP</w:t>
                  </w:r>
                </w:p>
                <w:p w14:paraId="43F5AAA0"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 xml:space="preserve">(a)  identifies and summarizes all anticipated significant adverse environmental impacts (including those involving </w:t>
                  </w:r>
                  <w:r>
                    <w:rPr>
                      <w:rFonts w:asciiTheme="minorHAnsi" w:eastAsia="Times New Roman" w:hAnsiTheme="minorHAnsi" w:cs="Arial"/>
                      <w:color w:val="000000"/>
                    </w:rPr>
                    <w:t>i</w:t>
                  </w:r>
                  <w:r w:rsidRPr="00D04661">
                    <w:rPr>
                      <w:rFonts w:asciiTheme="minorHAnsi" w:eastAsia="Times New Roman" w:hAnsiTheme="minorHAnsi" w:cs="Arial"/>
                      <w:color w:val="000000"/>
                    </w:rPr>
                    <w:t xml:space="preserve">ndigenous </w:t>
                  </w:r>
                  <w:r>
                    <w:rPr>
                      <w:rFonts w:asciiTheme="minorHAnsi" w:eastAsia="Times New Roman" w:hAnsiTheme="minorHAnsi" w:cs="Arial"/>
                      <w:color w:val="000000"/>
                    </w:rPr>
                    <w:t>people</w:t>
                  </w:r>
                  <w:r w:rsidRPr="00D04661">
                    <w:rPr>
                      <w:rFonts w:asciiTheme="minorHAnsi" w:eastAsia="Times New Roman" w:hAnsiTheme="minorHAnsi" w:cs="Arial"/>
                      <w:color w:val="000000"/>
                    </w:rPr>
                    <w:t>or involuntary resettlement);</w:t>
                  </w:r>
                </w:p>
                <w:p w14:paraId="429F9DD5"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(b)  describes--with technical details--each mitigation measure, including the type of impact to which it relates and the conditions under which it is required (e.g., continuously or in the event of contingencies), together with designs, equipment descriptions, and operating procedures, as appropriate;</w:t>
                  </w:r>
                </w:p>
                <w:p w14:paraId="0076C8D4"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(c)  estimates any potential environmental impacts of these measures; and</w:t>
                  </w:r>
                </w:p>
                <w:p w14:paraId="68031553"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highlight w:val="yellow"/>
                    </w:rPr>
                    <w:t>(</w:t>
                  </w:r>
                  <w:r w:rsidRPr="00D04661">
                    <w:rPr>
                      <w:rFonts w:asciiTheme="minorHAnsi" w:eastAsia="Times New Roman" w:hAnsiTheme="minorHAnsi" w:cs="Arial"/>
                      <w:color w:val="000000"/>
                    </w:rPr>
                    <w:t xml:space="preserve">d)  provides linkage with any other mitigation plans (e.g., for involuntary resettlement, </w:t>
                  </w:r>
                  <w:r>
                    <w:rPr>
                      <w:rFonts w:asciiTheme="minorHAnsi" w:eastAsia="Times New Roman" w:hAnsiTheme="minorHAnsi" w:cs="Arial"/>
                      <w:color w:val="000000"/>
                    </w:rPr>
                    <w:t>i</w:t>
                  </w:r>
                  <w:r w:rsidRPr="00D04661">
                    <w:rPr>
                      <w:rFonts w:asciiTheme="minorHAnsi" w:eastAsia="Times New Roman" w:hAnsiTheme="minorHAnsi" w:cs="Arial"/>
                      <w:color w:val="000000"/>
                    </w:rPr>
                    <w:t xml:space="preserve">ndigenous </w:t>
                  </w:r>
                  <w:r>
                    <w:rPr>
                      <w:rFonts w:asciiTheme="minorHAnsi" w:eastAsia="Times New Roman" w:hAnsiTheme="minorHAnsi" w:cs="Arial"/>
                      <w:color w:val="000000"/>
                    </w:rPr>
                    <w:t>p</w:t>
                  </w:r>
                  <w:r w:rsidRPr="00D04661">
                    <w:rPr>
                      <w:rFonts w:asciiTheme="minorHAnsi" w:eastAsia="Times New Roman" w:hAnsiTheme="minorHAnsi" w:cs="Arial"/>
                      <w:color w:val="000000"/>
                    </w:rPr>
                    <w:t>eoples, or cultural property) required for the project.</w:t>
                  </w:r>
                </w:p>
              </w:tc>
            </w:tr>
            <w:tr w:rsidR="00CF59E1" w:rsidRPr="00113061" w14:paraId="03044431" w14:textId="77777777" w:rsidTr="00CF59E1">
              <w:trPr>
                <w:tblCellSpacing w:w="0" w:type="dxa"/>
              </w:trPr>
              <w:tc>
                <w:tcPr>
                  <w:tcW w:w="6354" w:type="dxa"/>
                  <w:hideMark/>
                </w:tcPr>
                <w:p w14:paraId="544C7F8F"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i/>
                      <w:iCs/>
                      <w:color w:val="000000"/>
                    </w:rPr>
                    <w:t>Monitoring</w:t>
                  </w:r>
                </w:p>
                <w:p w14:paraId="15C66C11" w14:textId="77777777" w:rsidR="00CF59E1" w:rsidRPr="007B632F"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 xml:space="preserve">3.  Environmental monitoring during project implementation provides information about key environmental aspects of the project, particularly the environmental impacts of the project and the effectiveness of mitigation measures.  Such information enables the borrower and the Bank to evaluate the success of mitigation as part of project </w:t>
                  </w:r>
                  <w:r w:rsidRPr="00113061">
                    <w:rPr>
                      <w:rFonts w:asciiTheme="minorHAnsi" w:eastAsia="Times New Roman" w:hAnsiTheme="minorHAnsi" w:cs="Arial"/>
                      <w:color w:val="000000"/>
                    </w:rPr>
                    <w:t xml:space="preserve">needed.  Therefore, the EMP identifies monitoring objectives and </w:t>
                  </w:r>
                  <w:r w:rsidRPr="007B632F">
                    <w:rPr>
                      <w:rFonts w:asciiTheme="minorHAnsi" w:eastAsia="Times New Roman" w:hAnsiTheme="minorHAnsi" w:cs="Arial"/>
                      <w:color w:val="000000"/>
                    </w:rPr>
                    <w:t>specifies the type of monitoring, with linkages to the impacts assessed in the EA report and the mitigation measures described in the EMP.  Specifically, the monitoring section of the EMP provides(a)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w:t>
                  </w:r>
                </w:p>
                <w:p w14:paraId="782C76DA" w14:textId="77777777" w:rsidR="00CF59E1" w:rsidRPr="007B632F" w:rsidRDefault="00CF59E1" w:rsidP="00CF59E1">
                  <w:pPr>
                    <w:autoSpaceDE/>
                    <w:autoSpaceDN/>
                    <w:adjustRightInd/>
                    <w:spacing w:after="120"/>
                    <w:rPr>
                      <w:rFonts w:asciiTheme="minorHAnsi" w:eastAsia="Times New Roman" w:hAnsiTheme="minorHAnsi" w:cs="Arial"/>
                      <w:color w:val="000000"/>
                    </w:rPr>
                  </w:pPr>
                  <w:r w:rsidRPr="007B632F">
                    <w:rPr>
                      <w:rFonts w:asciiTheme="minorHAnsi" w:eastAsia="Times New Roman" w:hAnsiTheme="minorHAnsi" w:cs="Arial"/>
                      <w:color w:val="000000"/>
                    </w:rPr>
                    <w:t> </w:t>
                  </w:r>
                  <w:r w:rsidRPr="007B632F">
                    <w:rPr>
                      <w:rFonts w:asciiTheme="minorHAnsi" w:eastAsia="Times New Roman" w:hAnsiTheme="minorHAnsi" w:cs="Arial"/>
                      <w:i/>
                      <w:iCs/>
                      <w:color w:val="000000"/>
                    </w:rPr>
                    <w:t>Capacity Development and Training</w:t>
                  </w:r>
                </w:p>
                <w:p w14:paraId="5CD88F9E" w14:textId="77777777" w:rsidR="00CF59E1" w:rsidRPr="007B632F" w:rsidRDefault="00CF59E1" w:rsidP="00CF59E1">
                  <w:pPr>
                    <w:autoSpaceDE/>
                    <w:autoSpaceDN/>
                    <w:adjustRightInd/>
                    <w:spacing w:after="120"/>
                    <w:rPr>
                      <w:rFonts w:asciiTheme="minorHAnsi" w:eastAsia="Times New Roman" w:hAnsiTheme="minorHAnsi" w:cs="Arial"/>
                      <w:color w:val="000000"/>
                    </w:rPr>
                  </w:pPr>
                  <w:r w:rsidRPr="007B632F">
                    <w:rPr>
                      <w:rFonts w:asciiTheme="minorHAnsi" w:eastAsia="Times New Roman" w:hAnsiTheme="minorHAnsi" w:cs="Arial"/>
                      <w:color w:val="000000"/>
                    </w:rPr>
                    <w:t>4.  To support timely and effective implementation of environmental project components and mitigation measures, the EMP draws on the EA's assessment of the existence, role, and capability of environmental units on site or at the agency and ministry level.</w:t>
                  </w:r>
                  <w:hyperlink r:id="rId31" w:anchor="f1" w:history="1">
                    <w:r w:rsidRPr="007B632F">
                      <w:rPr>
                        <w:rFonts w:asciiTheme="minorHAnsi" w:eastAsia="Times New Roman" w:hAnsiTheme="minorHAnsi" w:cs="Arial"/>
                        <w:color w:val="204E84"/>
                        <w:u w:val="single"/>
                        <w:vertAlign w:val="superscript"/>
                      </w:rPr>
                      <w:t>3</w:t>
                    </w:r>
                  </w:hyperlink>
                  <w:r w:rsidRPr="007B632F">
                    <w:rPr>
                      <w:rFonts w:asciiTheme="minorHAnsi" w:eastAsia="Times New Roman" w:hAnsiTheme="minorHAnsi" w:cs="Arial"/>
                      <w:color w:val="000000"/>
                    </w:rPr>
                    <w:t>  If necessary, the EMP recommends the establishment or expansion of such units, and the training of staff, to allow implementation of EA recommendations.  Specifically, the EMP provides a specific description of institutional arrangements--who is responsible for carrying out the mitigatory and monitoring measures (e.g., for operation, supervision, enforcement, monitoring of implementation, remedial action, financing, reporting, and staff training). To strengthen environmental management capability in the agencies responsible for implementation, most EMPs cover one or more of the following additional topics: (a) technical assistance programs, (b) procurement of equipment and supplies, and (c) organizational changes.</w:t>
                  </w:r>
                </w:p>
                <w:p w14:paraId="7B0A7524" w14:textId="77777777" w:rsidR="00CF59E1" w:rsidRPr="007B632F" w:rsidRDefault="00CF59E1" w:rsidP="00CF59E1">
                  <w:pPr>
                    <w:autoSpaceDE/>
                    <w:autoSpaceDN/>
                    <w:adjustRightInd/>
                    <w:spacing w:after="120"/>
                    <w:rPr>
                      <w:rFonts w:asciiTheme="minorHAnsi" w:eastAsia="Times New Roman" w:hAnsiTheme="minorHAnsi" w:cs="Arial"/>
                      <w:color w:val="000000"/>
                    </w:rPr>
                  </w:pPr>
                  <w:r w:rsidRPr="007B632F">
                    <w:rPr>
                      <w:rFonts w:asciiTheme="minorHAnsi" w:eastAsia="Times New Roman" w:hAnsiTheme="minorHAnsi" w:cs="Arial"/>
                      <w:i/>
                      <w:iCs/>
                      <w:color w:val="000000"/>
                    </w:rPr>
                    <w:t>Implementation Schedule and Cost Estimates</w:t>
                  </w:r>
                </w:p>
                <w:p w14:paraId="5B3CD0A0" w14:textId="77777777" w:rsidR="00CF59E1" w:rsidRPr="007B632F" w:rsidRDefault="00CF59E1" w:rsidP="00CF59E1">
                  <w:pPr>
                    <w:autoSpaceDE/>
                    <w:autoSpaceDN/>
                    <w:adjustRightInd/>
                    <w:spacing w:after="120"/>
                    <w:rPr>
                      <w:rFonts w:asciiTheme="minorHAnsi" w:eastAsia="Times New Roman" w:hAnsiTheme="minorHAnsi" w:cs="Arial"/>
                      <w:color w:val="000000"/>
                    </w:rPr>
                  </w:pPr>
                  <w:r w:rsidRPr="007B632F">
                    <w:rPr>
                      <w:rFonts w:asciiTheme="minorHAnsi" w:eastAsia="Times New Roman" w:hAnsiTheme="minorHAnsi" w:cs="Arial"/>
                      <w:color w:val="000000"/>
                    </w:rPr>
                    <w:t>5.  For all three aspects (mitigation, monitoring, and capacity development), the EMP provides (a) an implementation schedule for measures that must be carried out as part of the project, showing phasing and coordination with overall project implementation plans; and (b) the capital and recurrent cost estimates and sources of funds for implementing the EMP.  These figures are also integrated into the total project cost tables.</w:t>
                  </w:r>
                </w:p>
                <w:p w14:paraId="471C6F5A" w14:textId="77777777" w:rsidR="00CF59E1" w:rsidRPr="007B632F" w:rsidRDefault="00CF59E1" w:rsidP="00CF59E1">
                  <w:pPr>
                    <w:autoSpaceDE/>
                    <w:autoSpaceDN/>
                    <w:adjustRightInd/>
                    <w:spacing w:after="120"/>
                    <w:rPr>
                      <w:rFonts w:asciiTheme="minorHAnsi" w:eastAsia="Times New Roman" w:hAnsiTheme="minorHAnsi" w:cs="Arial"/>
                      <w:color w:val="000000"/>
                    </w:rPr>
                  </w:pPr>
                  <w:r w:rsidRPr="007B632F">
                    <w:rPr>
                      <w:rFonts w:asciiTheme="minorHAnsi" w:eastAsia="Times New Roman" w:hAnsiTheme="minorHAnsi" w:cs="Arial"/>
                      <w:i/>
                      <w:iCs/>
                      <w:color w:val="000000"/>
                    </w:rPr>
                    <w:t>Integration of EMP with Project</w:t>
                  </w:r>
                </w:p>
                <w:p w14:paraId="28E8B8BF" w14:textId="77777777" w:rsidR="00CF59E1" w:rsidRPr="00113061" w:rsidRDefault="00CF59E1" w:rsidP="00CF59E1">
                  <w:pPr>
                    <w:autoSpaceDE/>
                    <w:autoSpaceDN/>
                    <w:adjustRightInd/>
                    <w:spacing w:after="120"/>
                    <w:rPr>
                      <w:rFonts w:ascii="Arial" w:eastAsia="Times New Roman" w:hAnsi="Arial" w:cs="Arial"/>
                      <w:color w:val="000000"/>
                      <w:sz w:val="18"/>
                      <w:szCs w:val="18"/>
                    </w:rPr>
                  </w:pPr>
                  <w:r w:rsidRPr="007B632F">
                    <w:rPr>
                      <w:rFonts w:asciiTheme="minorHAnsi" w:eastAsia="Times New Roman" w:hAnsiTheme="minorHAnsi" w:cs="Arial"/>
                      <w:color w:val="000000"/>
                    </w:rPr>
                    <w:t>6.  The borrower's decision to proceed with a project, and the Bank's decision to support it, are predicated in part on the expectation that the EMP will be executed effectively. Consequently, the Bank expects the plan to be specific in its description of the individual mitigation and monitoring measures and its assignment of institutional responsibilities, and it must be integrated into the project's overall planning, design, budget, and implementation. Such integration is achieved by establishing the EMP within the project so that the plan will receive funding and supervision along with the other components</w:t>
                  </w:r>
                  <w:r>
                    <w:rPr>
                      <w:rFonts w:asciiTheme="minorHAnsi" w:eastAsia="Times New Roman" w:hAnsiTheme="minorHAnsi" w:cs="Arial"/>
                      <w:color w:val="000000"/>
                    </w:rPr>
                    <w:t xml:space="preserve"> </w:t>
                  </w:r>
                  <w:r w:rsidRPr="00113061">
                    <w:rPr>
                      <w:rFonts w:ascii="Arial" w:eastAsia="Times New Roman" w:hAnsi="Arial" w:cs="Arial"/>
                      <w:color w:val="000000"/>
                      <w:sz w:val="20"/>
                      <w:szCs w:val="20"/>
                    </w:rPr>
                    <w:t>supervision, and allows corrective action to be taken when.</w:t>
                  </w:r>
                </w:p>
              </w:tc>
            </w:tr>
          </w:tbl>
          <w:p w14:paraId="55B8C63E" w14:textId="77777777" w:rsidR="00CF59E1" w:rsidRDefault="00CF59E1" w:rsidP="00CF59E1">
            <w:pPr>
              <w:pStyle w:val="NormalWeb"/>
              <w:spacing w:before="0" w:beforeAutospacing="0" w:after="120" w:afterAutospacing="0"/>
              <w:rPr>
                <w:rFonts w:asciiTheme="minorHAnsi" w:hAnsiTheme="minorHAnsi" w:cs="Arial"/>
                <w:b/>
                <w:sz w:val="22"/>
                <w:szCs w:val="22"/>
              </w:rPr>
            </w:pPr>
          </w:p>
          <w:p w14:paraId="2C9A2C71" w14:textId="77777777" w:rsidR="00CF59E1" w:rsidRDefault="00CF59E1" w:rsidP="00CF59E1">
            <w:pPr>
              <w:pStyle w:val="NormalWeb"/>
              <w:spacing w:before="0" w:beforeAutospacing="0" w:after="120" w:afterAutospacing="0"/>
              <w:rPr>
                <w:rFonts w:asciiTheme="minorHAnsi" w:hAnsiTheme="minorHAnsi" w:cs="Arial"/>
                <w:b/>
                <w:sz w:val="22"/>
                <w:szCs w:val="22"/>
              </w:rPr>
            </w:pPr>
            <w:r w:rsidRPr="00D04661">
              <w:rPr>
                <w:rFonts w:asciiTheme="minorHAnsi" w:hAnsiTheme="minorHAnsi" w:cs="Arial"/>
                <w:b/>
                <w:sz w:val="22"/>
                <w:szCs w:val="22"/>
              </w:rPr>
              <w:t xml:space="preserve">OP 4.04 </w:t>
            </w:r>
            <w:r>
              <w:rPr>
                <w:rFonts w:asciiTheme="minorHAnsi" w:hAnsiTheme="minorHAnsi" w:cs="Arial"/>
                <w:b/>
                <w:sz w:val="22"/>
                <w:szCs w:val="22"/>
              </w:rPr>
              <w:t>(Natural Habitats)</w:t>
            </w:r>
          </w:p>
          <w:p w14:paraId="31A7B575" w14:textId="77777777" w:rsidR="00CF59E1" w:rsidRPr="00640A44" w:rsidRDefault="00CF59E1" w:rsidP="00CF59E1">
            <w:pPr>
              <w:pStyle w:val="NormalWeb"/>
              <w:spacing w:before="0" w:beforeAutospacing="0" w:after="120" w:afterAutospacing="0"/>
              <w:rPr>
                <w:rFonts w:asciiTheme="minorHAnsi" w:hAnsiTheme="minorHAnsi" w:cs="Calibri"/>
                <w:sz w:val="22"/>
                <w:szCs w:val="22"/>
              </w:rPr>
            </w:pPr>
            <w:r>
              <w:rPr>
                <w:rFonts w:asciiTheme="minorHAnsi" w:hAnsiTheme="minorHAnsi" w:cs="Arial"/>
                <w:b/>
                <w:sz w:val="22"/>
                <w:szCs w:val="22"/>
              </w:rPr>
              <w:t xml:space="preserve">Para. </w:t>
            </w:r>
            <w:r w:rsidRPr="00D04661">
              <w:rPr>
                <w:rFonts w:asciiTheme="minorHAnsi" w:hAnsiTheme="minorHAnsi" w:cs="Arial"/>
                <w:b/>
                <w:sz w:val="22"/>
                <w:szCs w:val="22"/>
              </w:rPr>
              <w:t>10</w:t>
            </w:r>
            <w:r w:rsidRPr="00D8522E">
              <w:rPr>
                <w:rFonts w:asciiTheme="minorHAnsi" w:hAnsiTheme="minorHAnsi" w:cs="Arial"/>
                <w:color w:val="000000"/>
                <w:sz w:val="22"/>
                <w:szCs w:val="22"/>
              </w:rPr>
              <w:t>:</w:t>
            </w:r>
            <w:r w:rsidRPr="00D04661">
              <w:rPr>
                <w:rFonts w:asciiTheme="minorHAnsi" w:hAnsiTheme="minorHAnsi" w:cs="Arial"/>
                <w:color w:val="000000"/>
                <w:sz w:val="22"/>
                <w:szCs w:val="22"/>
              </w:rPr>
              <w:t xml:space="preserve"> The Bank expects the borrower to take into account the views, roles, and rights of groups, including local nongovernmental organizations and local communities,</w:t>
            </w:r>
            <w:hyperlink r:id="rId32" w:anchor="f1" w:history="1">
              <w:r w:rsidRPr="00D04661">
                <w:rPr>
                  <w:rFonts w:asciiTheme="minorHAnsi" w:hAnsiTheme="minorHAnsi" w:cs="Arial"/>
                  <w:color w:val="000099"/>
                  <w:sz w:val="22"/>
                  <w:szCs w:val="22"/>
                  <w:u w:val="single"/>
                  <w:vertAlign w:val="superscript"/>
                </w:rPr>
                <w:t>6</w:t>
              </w:r>
            </w:hyperlink>
            <w:r w:rsidRPr="00D04661">
              <w:rPr>
                <w:rFonts w:asciiTheme="minorHAnsi" w:hAnsiTheme="minorHAnsi" w:cs="Arial"/>
                <w:color w:val="000000"/>
                <w:sz w:val="22"/>
                <w:szCs w:val="22"/>
              </w:rPr>
              <w:t xml:space="preserve"> affected by Bank-financed projects involving natural habitats, and to involve such people in planning, designing, implementing, monitoring, and evaluating such projects. Involvement may include identifying appropriate conservation measures, managing protected areas and other natural habitats, and monitoring and evaluating specific projects. The Bank encourages governments to provide such people with appropriate information and incentives to protect natural habitats.</w:t>
            </w:r>
          </w:p>
        </w:tc>
        <w:tc>
          <w:tcPr>
            <w:tcW w:w="7200" w:type="dxa"/>
            <w:shd w:val="clear" w:color="auto" w:fill="auto"/>
          </w:tcPr>
          <w:p w14:paraId="09E90B25" w14:textId="77777777" w:rsidR="00CF59E1" w:rsidRPr="004C796F" w:rsidRDefault="00CF59E1" w:rsidP="00CF59E1">
            <w:pPr>
              <w:spacing w:after="120"/>
              <w:rPr>
                <w:rFonts w:asciiTheme="minorHAnsi" w:hAnsiTheme="minorHAnsi" w:cs="Arial"/>
                <w:b/>
                <w:bCs/>
              </w:rPr>
            </w:pPr>
            <w:r w:rsidRPr="004C796F">
              <w:rPr>
                <w:rFonts w:asciiTheme="minorHAnsi" w:hAnsiTheme="minorHAnsi" w:cs="Arial"/>
                <w:b/>
                <w:bCs/>
              </w:rPr>
              <w:t>ADB, SPS, Appendix 1</w:t>
            </w:r>
          </w:p>
          <w:p w14:paraId="4C5D426A" w14:textId="77777777" w:rsidR="00CF59E1" w:rsidRDefault="00CF59E1" w:rsidP="00CF59E1">
            <w:pPr>
              <w:spacing w:after="120"/>
              <w:rPr>
                <w:rFonts w:asciiTheme="minorHAnsi" w:hAnsiTheme="minorHAnsi" w:cs="Arial"/>
              </w:rPr>
            </w:pPr>
            <w:r w:rsidRPr="004C796F">
              <w:rPr>
                <w:rFonts w:asciiTheme="minorHAnsi" w:hAnsiTheme="minorHAnsi" w:cs="Arial"/>
              </w:rPr>
              <w:t>12</w:t>
            </w:r>
            <w:r>
              <w:rPr>
                <w:rFonts w:asciiTheme="minorHAnsi" w:hAnsiTheme="minorHAnsi" w:cs="Arial"/>
              </w:rPr>
              <w:t>…..</w:t>
            </w:r>
            <w:r w:rsidRPr="004C796F">
              <w:rPr>
                <w:rFonts w:asciiTheme="minorHAnsi" w:hAnsiTheme="minorHAnsi" w:cs="Arial"/>
              </w:rPr>
              <w:t>. Key considerations include mitigation of</w:t>
            </w:r>
            <w:r>
              <w:rPr>
                <w:rFonts w:asciiTheme="minorHAnsi" w:hAnsiTheme="minorHAnsi" w:cs="Arial"/>
              </w:rPr>
              <w:t xml:space="preserve"> </w:t>
            </w:r>
            <w:r w:rsidRPr="004C796F">
              <w:rPr>
                <w:rFonts w:asciiTheme="minorHAnsi" w:hAnsiTheme="minorHAnsi" w:cs="Arial"/>
              </w:rPr>
              <w:t xml:space="preserve">potential adverse impacts to the level of </w:t>
            </w:r>
            <w:r>
              <w:rPr>
                <w:rFonts w:asciiTheme="minorHAnsi" w:hAnsiTheme="minorHAnsi" w:cs="Arial"/>
              </w:rPr>
              <w:t>“</w:t>
            </w:r>
            <w:r w:rsidRPr="004C796F">
              <w:rPr>
                <w:rFonts w:asciiTheme="minorHAnsi" w:hAnsiTheme="minorHAnsi" w:cs="Arial"/>
              </w:rPr>
              <w:t>no significant harm to third parties</w:t>
            </w:r>
            <w:r>
              <w:rPr>
                <w:rFonts w:asciiTheme="minorHAnsi" w:hAnsiTheme="minorHAnsi" w:cs="Arial"/>
              </w:rPr>
              <w:t>”</w:t>
            </w:r>
            <w:r w:rsidRPr="004C796F">
              <w:rPr>
                <w:rFonts w:asciiTheme="minorHAnsi" w:hAnsiTheme="minorHAnsi" w:cs="Arial"/>
              </w:rPr>
              <w:t>, the polluter pays</w:t>
            </w:r>
            <w:r>
              <w:rPr>
                <w:rFonts w:asciiTheme="minorHAnsi" w:hAnsiTheme="minorHAnsi" w:cs="Arial"/>
              </w:rPr>
              <w:t xml:space="preserve"> </w:t>
            </w:r>
            <w:r w:rsidRPr="004C796F">
              <w:rPr>
                <w:rFonts w:asciiTheme="minorHAnsi" w:hAnsiTheme="minorHAnsi" w:cs="Arial"/>
              </w:rPr>
              <w:t>principle, the precautionary approach, and adaptive management.</w:t>
            </w:r>
          </w:p>
          <w:p w14:paraId="30C9AA49" w14:textId="77777777" w:rsidR="00CF59E1" w:rsidRDefault="00CF59E1" w:rsidP="00CF59E1">
            <w:pPr>
              <w:spacing w:after="120"/>
              <w:rPr>
                <w:rFonts w:asciiTheme="minorHAnsi" w:hAnsiTheme="minorHAnsi" w:cs="Arial"/>
              </w:rPr>
            </w:pPr>
            <w:r w:rsidRPr="004C796F">
              <w:rPr>
                <w:rFonts w:asciiTheme="minorHAnsi" w:hAnsiTheme="minorHAnsi" w:cs="Arial"/>
              </w:rPr>
              <w:t>13. If some residual impacts are likely to remain significant after mitigation, the EMP will also</w:t>
            </w:r>
            <w:r>
              <w:rPr>
                <w:rFonts w:asciiTheme="minorHAnsi" w:hAnsiTheme="minorHAnsi" w:cs="Arial"/>
              </w:rPr>
              <w:t xml:space="preserve"> </w:t>
            </w:r>
            <w:r w:rsidRPr="004C796F">
              <w:rPr>
                <w:rFonts w:asciiTheme="minorHAnsi" w:hAnsiTheme="minorHAnsi" w:cs="Arial"/>
              </w:rPr>
              <w:t>include appropriate compensatory measures (offset) that aim to ensure that the project does not</w:t>
            </w:r>
            <w:r>
              <w:rPr>
                <w:rFonts w:asciiTheme="minorHAnsi" w:hAnsiTheme="minorHAnsi" w:cs="Arial"/>
              </w:rPr>
              <w:t xml:space="preserve"> </w:t>
            </w:r>
            <w:r w:rsidRPr="004C796F">
              <w:rPr>
                <w:rFonts w:asciiTheme="minorHAnsi" w:hAnsiTheme="minorHAnsi" w:cs="Arial"/>
              </w:rPr>
              <w:t>cause significant net degradation to the environment. Such measures may relate, for instance,</w:t>
            </w:r>
            <w:r>
              <w:rPr>
                <w:rFonts w:asciiTheme="minorHAnsi" w:hAnsiTheme="minorHAnsi" w:cs="Arial"/>
              </w:rPr>
              <w:t xml:space="preserve"> </w:t>
            </w:r>
            <w:r w:rsidRPr="004C796F">
              <w:rPr>
                <w:rFonts w:asciiTheme="minorHAnsi" w:hAnsiTheme="minorHAnsi" w:cs="Arial"/>
              </w:rPr>
              <w:t>to conservation of habitat and biodiversity, preservation of ambient conditions, and greenhouse</w:t>
            </w:r>
            <w:r>
              <w:rPr>
                <w:rFonts w:asciiTheme="minorHAnsi" w:hAnsiTheme="minorHAnsi" w:cs="Arial"/>
              </w:rPr>
              <w:t xml:space="preserve"> </w:t>
            </w:r>
            <w:r w:rsidRPr="004C796F">
              <w:rPr>
                <w:rFonts w:asciiTheme="minorHAnsi" w:hAnsiTheme="minorHAnsi" w:cs="Arial"/>
              </w:rPr>
              <w:t>gas emissions. Monetary compensation in lieu of offset is acceptable in exceptional</w:t>
            </w:r>
            <w:r>
              <w:rPr>
                <w:rFonts w:asciiTheme="minorHAnsi" w:hAnsiTheme="minorHAnsi" w:cs="Arial"/>
              </w:rPr>
              <w:t xml:space="preserve"> </w:t>
            </w:r>
            <w:r w:rsidRPr="004C796F">
              <w:rPr>
                <w:rFonts w:asciiTheme="minorHAnsi" w:hAnsiTheme="minorHAnsi" w:cs="Arial"/>
              </w:rPr>
              <w:t>circumstances, provided that the compensation is used to provide environmental benefits of the</w:t>
            </w:r>
            <w:r>
              <w:rPr>
                <w:rFonts w:asciiTheme="minorHAnsi" w:hAnsiTheme="minorHAnsi" w:cs="Arial"/>
              </w:rPr>
              <w:t xml:space="preserve"> </w:t>
            </w:r>
            <w:r w:rsidRPr="004C796F">
              <w:rPr>
                <w:rFonts w:asciiTheme="minorHAnsi" w:hAnsiTheme="minorHAnsi" w:cs="Arial"/>
              </w:rPr>
              <w:t>same nature and is commensurate with the project’s residual impact.</w:t>
            </w:r>
          </w:p>
          <w:p w14:paraId="43967AD3" w14:textId="77777777" w:rsidR="00CF59E1" w:rsidRDefault="00CF59E1" w:rsidP="00CF59E1">
            <w:pPr>
              <w:spacing w:after="120"/>
              <w:rPr>
                <w:rFonts w:asciiTheme="minorHAnsi" w:hAnsiTheme="minorHAnsi" w:cs="Arial"/>
              </w:rPr>
            </w:pPr>
            <w:r w:rsidRPr="004C796F">
              <w:rPr>
                <w:rFonts w:asciiTheme="minorHAnsi" w:hAnsiTheme="minorHAnsi" w:cs="Arial"/>
              </w:rPr>
              <w:t>14. The EMP will define expected outcomes as measurable events to the extent possible</w:t>
            </w:r>
            <w:r>
              <w:rPr>
                <w:rFonts w:asciiTheme="minorHAnsi" w:hAnsiTheme="minorHAnsi" w:cs="Arial"/>
              </w:rPr>
              <w:t xml:space="preserve"> </w:t>
            </w:r>
            <w:r w:rsidRPr="004C796F">
              <w:rPr>
                <w:rFonts w:asciiTheme="minorHAnsi" w:hAnsiTheme="minorHAnsi" w:cs="Arial"/>
              </w:rPr>
              <w:t>and will include performance indicators or targets that can be tracked over defined periods. It</w:t>
            </w:r>
            <w:r>
              <w:rPr>
                <w:rFonts w:asciiTheme="minorHAnsi" w:hAnsiTheme="minorHAnsi" w:cs="Arial"/>
              </w:rPr>
              <w:t xml:space="preserve"> </w:t>
            </w:r>
            <w:r w:rsidRPr="004C796F">
              <w:rPr>
                <w:rFonts w:asciiTheme="minorHAnsi" w:hAnsiTheme="minorHAnsi" w:cs="Arial"/>
              </w:rPr>
              <w:t>will be responsive to changes in project design, such as a major change in project location or</w:t>
            </w:r>
            <w:r>
              <w:rPr>
                <w:rFonts w:asciiTheme="minorHAnsi" w:hAnsiTheme="minorHAnsi" w:cs="Arial"/>
              </w:rPr>
              <w:t xml:space="preserve"> </w:t>
            </w:r>
            <w:r w:rsidRPr="004C796F">
              <w:rPr>
                <w:rFonts w:asciiTheme="minorHAnsi" w:hAnsiTheme="minorHAnsi" w:cs="Arial"/>
              </w:rPr>
              <w:t>route, or in technology, unforeseen events, and monitoring results.</w:t>
            </w:r>
          </w:p>
          <w:p w14:paraId="7EF2D55A" w14:textId="77777777" w:rsidR="00CF59E1" w:rsidRDefault="00CF59E1" w:rsidP="00CF59E1">
            <w:pPr>
              <w:spacing w:after="120"/>
              <w:rPr>
                <w:rFonts w:asciiTheme="minorHAnsi" w:hAnsiTheme="minorHAnsi" w:cs="Arial"/>
              </w:rPr>
            </w:pPr>
            <w:r w:rsidRPr="004C796F">
              <w:rPr>
                <w:rFonts w:asciiTheme="minorHAnsi" w:hAnsiTheme="minorHAnsi" w:cs="Arial"/>
              </w:rPr>
              <w:t>15. At times, a third party’s involvement will influence implementation of the EMP. A third</w:t>
            </w:r>
            <w:r>
              <w:rPr>
                <w:rFonts w:asciiTheme="minorHAnsi" w:hAnsiTheme="minorHAnsi" w:cs="Arial"/>
              </w:rPr>
              <w:t xml:space="preserve"> </w:t>
            </w:r>
            <w:r w:rsidRPr="004C796F">
              <w:rPr>
                <w:rFonts w:asciiTheme="minorHAnsi" w:hAnsiTheme="minorHAnsi" w:cs="Arial"/>
              </w:rPr>
              <w:t>party may be, inter alia, a government agency, a contractor, or an operator of an associated</w:t>
            </w:r>
            <w:r>
              <w:rPr>
                <w:rFonts w:asciiTheme="minorHAnsi" w:hAnsiTheme="minorHAnsi" w:cs="Arial"/>
              </w:rPr>
              <w:t xml:space="preserve"> </w:t>
            </w:r>
            <w:r w:rsidRPr="004C796F">
              <w:rPr>
                <w:rFonts w:asciiTheme="minorHAnsi" w:hAnsiTheme="minorHAnsi" w:cs="Arial"/>
              </w:rPr>
              <w:t>facility. When the third-party risk is high and the borrower/client has control or influence over the</w:t>
            </w:r>
            <w:r>
              <w:rPr>
                <w:rFonts w:asciiTheme="minorHAnsi" w:hAnsiTheme="minorHAnsi" w:cs="Arial"/>
              </w:rPr>
              <w:t xml:space="preserve"> </w:t>
            </w:r>
            <w:r w:rsidRPr="004C796F">
              <w:rPr>
                <w:rFonts w:asciiTheme="minorHAnsi" w:hAnsiTheme="minorHAnsi" w:cs="Arial"/>
              </w:rPr>
              <w:t>actions and behavior of the third party, the borrower/client will collaborate with the third party to</w:t>
            </w:r>
            <w:r>
              <w:rPr>
                <w:rFonts w:asciiTheme="minorHAnsi" w:hAnsiTheme="minorHAnsi" w:cs="Arial"/>
              </w:rPr>
              <w:t xml:space="preserve"> </w:t>
            </w:r>
            <w:r w:rsidRPr="004C796F">
              <w:rPr>
                <w:rFonts w:asciiTheme="minorHAnsi" w:hAnsiTheme="minorHAnsi" w:cs="Arial"/>
              </w:rPr>
              <w:t>achieve the outcome consistent with the requirements for the borrower/client. Specific actions</w:t>
            </w:r>
            <w:r>
              <w:rPr>
                <w:rFonts w:asciiTheme="minorHAnsi" w:hAnsiTheme="minorHAnsi" w:cs="Arial"/>
              </w:rPr>
              <w:t xml:space="preserve"> </w:t>
            </w:r>
            <w:r w:rsidRPr="004C796F">
              <w:rPr>
                <w:rFonts w:asciiTheme="minorHAnsi" w:hAnsiTheme="minorHAnsi" w:cs="Arial"/>
              </w:rPr>
              <w:t>will be determined on a case-by-case basis.</w:t>
            </w:r>
          </w:p>
          <w:p w14:paraId="44EFE2B1" w14:textId="77777777" w:rsidR="00CF59E1" w:rsidRDefault="00CF59E1" w:rsidP="00CF59E1">
            <w:pPr>
              <w:spacing w:after="120"/>
              <w:rPr>
                <w:rFonts w:asciiTheme="minorHAnsi" w:hAnsiTheme="minorHAnsi" w:cs="Arial"/>
                <w:b/>
                <w:bCs/>
              </w:rPr>
            </w:pPr>
            <w:r w:rsidRPr="00C87D25">
              <w:rPr>
                <w:rFonts w:asciiTheme="minorHAnsi" w:hAnsiTheme="minorHAnsi" w:cs="Arial"/>
                <w:b/>
                <w:bCs/>
              </w:rPr>
              <w:t>Annex 1 to Appendix 1 OUTLINE OF AN ENVIRONMENTAL IMPACT ASSESSMENT REPORT</w:t>
            </w:r>
          </w:p>
          <w:p w14:paraId="41D88A06" w14:textId="77777777" w:rsidR="00CF59E1" w:rsidRPr="00C87D25" w:rsidRDefault="00CF59E1" w:rsidP="009F3E8E">
            <w:pPr>
              <w:numPr>
                <w:ilvl w:val="0"/>
                <w:numId w:val="34"/>
              </w:numPr>
              <w:tabs>
                <w:tab w:val="left" w:pos="684"/>
              </w:tabs>
              <w:kinsoku w:val="0"/>
              <w:overflowPunct w:val="0"/>
              <w:spacing w:after="120"/>
              <w:ind w:hanging="720"/>
              <w:rPr>
                <w:rFonts w:asciiTheme="minorHAnsi" w:hAnsiTheme="minorHAnsi" w:cs="Arial"/>
              </w:rPr>
            </w:pPr>
            <w:r w:rsidRPr="00C87D25">
              <w:rPr>
                <w:rFonts w:asciiTheme="minorHAnsi" w:hAnsiTheme="minorHAnsi" w:cs="Arial"/>
                <w:b/>
                <w:bCs/>
              </w:rPr>
              <w:t>Environmental</w:t>
            </w:r>
            <w:r w:rsidRPr="00C87D25">
              <w:rPr>
                <w:rFonts w:asciiTheme="minorHAnsi" w:hAnsiTheme="minorHAnsi" w:cs="Arial"/>
                <w:b/>
                <w:bCs/>
                <w:spacing w:val="-17"/>
              </w:rPr>
              <w:t xml:space="preserve"> </w:t>
            </w:r>
            <w:r w:rsidRPr="00C87D25">
              <w:rPr>
                <w:rFonts w:asciiTheme="minorHAnsi" w:hAnsiTheme="minorHAnsi" w:cs="Arial"/>
                <w:b/>
                <w:bCs/>
              </w:rPr>
              <w:t>Management</w:t>
            </w:r>
            <w:r w:rsidRPr="00C87D25">
              <w:rPr>
                <w:rFonts w:asciiTheme="minorHAnsi" w:hAnsiTheme="minorHAnsi" w:cs="Arial"/>
                <w:b/>
                <w:bCs/>
                <w:spacing w:val="-17"/>
              </w:rPr>
              <w:t xml:space="preserve"> </w:t>
            </w:r>
            <w:r w:rsidRPr="00C87D25">
              <w:rPr>
                <w:rFonts w:asciiTheme="minorHAnsi" w:hAnsiTheme="minorHAnsi" w:cs="Arial"/>
                <w:b/>
                <w:bCs/>
              </w:rPr>
              <w:t>Plan</w:t>
            </w:r>
          </w:p>
          <w:p w14:paraId="2B33ED56" w14:textId="77777777" w:rsidR="00CF59E1" w:rsidRPr="00C87D25" w:rsidRDefault="00CF59E1" w:rsidP="00CF59E1">
            <w:pPr>
              <w:kinsoku w:val="0"/>
              <w:overflowPunct w:val="0"/>
              <w:spacing w:after="120"/>
              <w:ind w:left="39" w:right="117" w:firstLine="720"/>
              <w:jc w:val="both"/>
              <w:rPr>
                <w:rFonts w:asciiTheme="minorHAnsi" w:hAnsiTheme="minorHAnsi" w:cs="Arial"/>
              </w:rPr>
            </w:pPr>
            <w:r w:rsidRPr="00C87D25">
              <w:rPr>
                <w:rFonts w:asciiTheme="minorHAnsi" w:hAnsiTheme="minorHAnsi" w:cs="Arial"/>
              </w:rPr>
              <w:t>This</w:t>
            </w:r>
            <w:r w:rsidRPr="00C87D25">
              <w:rPr>
                <w:rFonts w:asciiTheme="minorHAnsi" w:hAnsiTheme="minorHAnsi" w:cs="Arial"/>
                <w:spacing w:val="32"/>
              </w:rPr>
              <w:t xml:space="preserve"> </w:t>
            </w:r>
            <w:r w:rsidRPr="00C87D25">
              <w:rPr>
                <w:rFonts w:asciiTheme="minorHAnsi" w:hAnsiTheme="minorHAnsi" w:cs="Arial"/>
              </w:rPr>
              <w:t>section</w:t>
            </w:r>
            <w:r w:rsidRPr="00C87D25">
              <w:rPr>
                <w:rFonts w:asciiTheme="minorHAnsi" w:hAnsiTheme="minorHAnsi" w:cs="Arial"/>
                <w:spacing w:val="33"/>
              </w:rPr>
              <w:t xml:space="preserve"> </w:t>
            </w:r>
            <w:r w:rsidRPr="00C87D25">
              <w:rPr>
                <w:rFonts w:asciiTheme="minorHAnsi" w:hAnsiTheme="minorHAnsi" w:cs="Arial"/>
              </w:rPr>
              <w:t>deals</w:t>
            </w:r>
            <w:r w:rsidRPr="00C87D25">
              <w:rPr>
                <w:rFonts w:asciiTheme="minorHAnsi" w:hAnsiTheme="minorHAnsi" w:cs="Arial"/>
                <w:spacing w:val="34"/>
              </w:rPr>
              <w:t xml:space="preserve"> </w:t>
            </w:r>
            <w:r w:rsidRPr="00C87D25">
              <w:rPr>
                <w:rFonts w:asciiTheme="minorHAnsi" w:hAnsiTheme="minorHAnsi" w:cs="Arial"/>
              </w:rPr>
              <w:t>with</w:t>
            </w:r>
            <w:r w:rsidRPr="00C87D25">
              <w:rPr>
                <w:rFonts w:asciiTheme="minorHAnsi" w:hAnsiTheme="minorHAnsi" w:cs="Arial"/>
                <w:spacing w:val="33"/>
              </w:rPr>
              <w:t xml:space="preserve"> </w:t>
            </w:r>
            <w:r w:rsidRPr="00C87D25">
              <w:rPr>
                <w:rFonts w:asciiTheme="minorHAnsi" w:hAnsiTheme="minorHAnsi" w:cs="Arial"/>
              </w:rPr>
              <w:t>the</w:t>
            </w:r>
            <w:r w:rsidRPr="00C87D25">
              <w:rPr>
                <w:rFonts w:asciiTheme="minorHAnsi" w:hAnsiTheme="minorHAnsi" w:cs="Arial"/>
                <w:spacing w:val="34"/>
              </w:rPr>
              <w:t xml:space="preserve"> </w:t>
            </w:r>
            <w:r w:rsidRPr="00C87D25">
              <w:rPr>
                <w:rFonts w:asciiTheme="minorHAnsi" w:hAnsiTheme="minorHAnsi" w:cs="Arial"/>
              </w:rPr>
              <w:t>set</w:t>
            </w:r>
            <w:r w:rsidRPr="00C87D25">
              <w:rPr>
                <w:rFonts w:asciiTheme="minorHAnsi" w:hAnsiTheme="minorHAnsi" w:cs="Arial"/>
                <w:spacing w:val="33"/>
              </w:rPr>
              <w:t xml:space="preserve"> </w:t>
            </w:r>
            <w:r w:rsidRPr="00C87D25">
              <w:rPr>
                <w:rFonts w:asciiTheme="minorHAnsi" w:hAnsiTheme="minorHAnsi" w:cs="Arial"/>
              </w:rPr>
              <w:t>of</w:t>
            </w:r>
            <w:r w:rsidRPr="00C87D25">
              <w:rPr>
                <w:rFonts w:asciiTheme="minorHAnsi" w:hAnsiTheme="minorHAnsi" w:cs="Arial"/>
                <w:spacing w:val="33"/>
              </w:rPr>
              <w:t xml:space="preserve"> </w:t>
            </w:r>
            <w:r w:rsidRPr="00C87D25">
              <w:rPr>
                <w:rFonts w:asciiTheme="minorHAnsi" w:hAnsiTheme="minorHAnsi" w:cs="Arial"/>
              </w:rPr>
              <w:t>mitigation</w:t>
            </w:r>
            <w:r w:rsidRPr="00C87D25">
              <w:rPr>
                <w:rFonts w:asciiTheme="minorHAnsi" w:hAnsiTheme="minorHAnsi" w:cs="Arial"/>
                <w:spacing w:val="34"/>
              </w:rPr>
              <w:t xml:space="preserve"> </w:t>
            </w:r>
            <w:r w:rsidRPr="00C87D25">
              <w:rPr>
                <w:rFonts w:asciiTheme="minorHAnsi" w:hAnsiTheme="minorHAnsi" w:cs="Arial"/>
                <w:spacing w:val="-1"/>
              </w:rPr>
              <w:t>and</w:t>
            </w:r>
            <w:r w:rsidRPr="00C87D25">
              <w:rPr>
                <w:rFonts w:asciiTheme="minorHAnsi" w:hAnsiTheme="minorHAnsi" w:cs="Arial"/>
                <w:spacing w:val="33"/>
              </w:rPr>
              <w:t xml:space="preserve"> </w:t>
            </w:r>
            <w:r w:rsidRPr="00C87D25">
              <w:rPr>
                <w:rFonts w:asciiTheme="minorHAnsi" w:hAnsiTheme="minorHAnsi" w:cs="Arial"/>
              </w:rPr>
              <w:t>management</w:t>
            </w:r>
            <w:r w:rsidRPr="00C87D25">
              <w:rPr>
                <w:rFonts w:asciiTheme="minorHAnsi" w:hAnsiTheme="minorHAnsi" w:cs="Arial"/>
                <w:spacing w:val="34"/>
              </w:rPr>
              <w:t xml:space="preserve"> </w:t>
            </w:r>
            <w:r w:rsidRPr="00C87D25">
              <w:rPr>
                <w:rFonts w:asciiTheme="minorHAnsi" w:hAnsiTheme="minorHAnsi" w:cs="Arial"/>
              </w:rPr>
              <w:t>measures</w:t>
            </w:r>
            <w:r w:rsidRPr="00C87D25">
              <w:rPr>
                <w:rFonts w:asciiTheme="minorHAnsi" w:hAnsiTheme="minorHAnsi" w:cs="Arial"/>
                <w:spacing w:val="34"/>
              </w:rPr>
              <w:t xml:space="preserve"> </w:t>
            </w:r>
            <w:r w:rsidRPr="00C87D25">
              <w:rPr>
                <w:rFonts w:asciiTheme="minorHAnsi" w:hAnsiTheme="minorHAnsi" w:cs="Arial"/>
              </w:rPr>
              <w:t>to</w:t>
            </w:r>
            <w:r w:rsidRPr="00C87D25">
              <w:rPr>
                <w:rFonts w:asciiTheme="minorHAnsi" w:hAnsiTheme="minorHAnsi" w:cs="Arial"/>
                <w:spacing w:val="33"/>
              </w:rPr>
              <w:t xml:space="preserve"> </w:t>
            </w:r>
            <w:r w:rsidRPr="00C87D25">
              <w:rPr>
                <w:rFonts w:asciiTheme="minorHAnsi" w:hAnsiTheme="minorHAnsi" w:cs="Arial"/>
              </w:rPr>
              <w:t>be</w:t>
            </w:r>
            <w:r w:rsidRPr="00C87D25">
              <w:rPr>
                <w:rFonts w:asciiTheme="minorHAnsi" w:hAnsiTheme="minorHAnsi" w:cs="Arial"/>
                <w:spacing w:val="34"/>
              </w:rPr>
              <w:t xml:space="preserve"> </w:t>
            </w:r>
            <w:r w:rsidRPr="00C87D25">
              <w:rPr>
                <w:rFonts w:asciiTheme="minorHAnsi" w:hAnsiTheme="minorHAnsi" w:cs="Arial"/>
                <w:spacing w:val="-1"/>
              </w:rPr>
              <w:t>taken</w:t>
            </w:r>
            <w:r w:rsidRPr="00C87D25">
              <w:rPr>
                <w:rFonts w:asciiTheme="minorHAnsi" w:hAnsiTheme="minorHAnsi" w:cs="Arial"/>
                <w:spacing w:val="26"/>
                <w:w w:val="99"/>
              </w:rPr>
              <w:t xml:space="preserve"> </w:t>
            </w:r>
            <w:r w:rsidRPr="00C87D25">
              <w:rPr>
                <w:rFonts w:asciiTheme="minorHAnsi" w:hAnsiTheme="minorHAnsi" w:cs="Arial"/>
              </w:rPr>
              <w:t>during</w:t>
            </w:r>
            <w:r w:rsidRPr="00C87D25">
              <w:rPr>
                <w:rFonts w:asciiTheme="minorHAnsi" w:hAnsiTheme="minorHAnsi" w:cs="Arial"/>
                <w:spacing w:val="52"/>
              </w:rPr>
              <w:t xml:space="preserve"> </w:t>
            </w:r>
            <w:r w:rsidRPr="00C87D25">
              <w:rPr>
                <w:rFonts w:asciiTheme="minorHAnsi" w:hAnsiTheme="minorHAnsi" w:cs="Arial"/>
              </w:rPr>
              <w:t>project</w:t>
            </w:r>
            <w:r w:rsidRPr="00C87D25">
              <w:rPr>
                <w:rFonts w:asciiTheme="minorHAnsi" w:hAnsiTheme="minorHAnsi" w:cs="Arial"/>
                <w:spacing w:val="53"/>
              </w:rPr>
              <w:t xml:space="preserve"> </w:t>
            </w:r>
            <w:r w:rsidRPr="00C87D25">
              <w:rPr>
                <w:rFonts w:asciiTheme="minorHAnsi" w:hAnsiTheme="minorHAnsi" w:cs="Arial"/>
              </w:rPr>
              <w:t>implementation</w:t>
            </w:r>
            <w:r w:rsidRPr="00C87D25">
              <w:rPr>
                <w:rFonts w:asciiTheme="minorHAnsi" w:hAnsiTheme="minorHAnsi" w:cs="Arial"/>
                <w:spacing w:val="53"/>
              </w:rPr>
              <w:t xml:space="preserve"> </w:t>
            </w:r>
            <w:r w:rsidRPr="00C87D25">
              <w:rPr>
                <w:rFonts w:asciiTheme="minorHAnsi" w:hAnsiTheme="minorHAnsi" w:cs="Arial"/>
              </w:rPr>
              <w:t>to</w:t>
            </w:r>
            <w:r w:rsidRPr="00C87D25">
              <w:rPr>
                <w:rFonts w:asciiTheme="minorHAnsi" w:hAnsiTheme="minorHAnsi" w:cs="Arial"/>
                <w:spacing w:val="53"/>
              </w:rPr>
              <w:t xml:space="preserve"> </w:t>
            </w:r>
            <w:r w:rsidRPr="00C87D25">
              <w:rPr>
                <w:rFonts w:asciiTheme="minorHAnsi" w:hAnsiTheme="minorHAnsi" w:cs="Arial"/>
              </w:rPr>
              <w:t>avoid,</w:t>
            </w:r>
            <w:r w:rsidRPr="00C87D25">
              <w:rPr>
                <w:rFonts w:asciiTheme="minorHAnsi" w:hAnsiTheme="minorHAnsi" w:cs="Arial"/>
                <w:spacing w:val="53"/>
              </w:rPr>
              <w:t xml:space="preserve"> </w:t>
            </w:r>
            <w:r w:rsidRPr="00C87D25">
              <w:rPr>
                <w:rFonts w:asciiTheme="minorHAnsi" w:hAnsiTheme="minorHAnsi" w:cs="Arial"/>
              </w:rPr>
              <w:t>reduce,</w:t>
            </w:r>
            <w:r w:rsidRPr="00C87D25">
              <w:rPr>
                <w:rFonts w:asciiTheme="minorHAnsi" w:hAnsiTheme="minorHAnsi" w:cs="Arial"/>
                <w:spacing w:val="53"/>
              </w:rPr>
              <w:t xml:space="preserve"> </w:t>
            </w:r>
            <w:r w:rsidRPr="00C87D25">
              <w:rPr>
                <w:rFonts w:asciiTheme="minorHAnsi" w:hAnsiTheme="minorHAnsi" w:cs="Arial"/>
              </w:rPr>
              <w:t>mitigate,</w:t>
            </w:r>
            <w:r w:rsidRPr="00C87D25">
              <w:rPr>
                <w:rFonts w:asciiTheme="minorHAnsi" w:hAnsiTheme="minorHAnsi" w:cs="Arial"/>
                <w:spacing w:val="53"/>
              </w:rPr>
              <w:t xml:space="preserve"> </w:t>
            </w:r>
            <w:r w:rsidRPr="00C87D25">
              <w:rPr>
                <w:rFonts w:asciiTheme="minorHAnsi" w:hAnsiTheme="minorHAnsi" w:cs="Arial"/>
              </w:rPr>
              <w:t>or</w:t>
            </w:r>
            <w:r w:rsidRPr="00C87D25">
              <w:rPr>
                <w:rFonts w:asciiTheme="minorHAnsi" w:hAnsiTheme="minorHAnsi" w:cs="Arial"/>
                <w:spacing w:val="53"/>
              </w:rPr>
              <w:t xml:space="preserve"> </w:t>
            </w:r>
            <w:r w:rsidRPr="00C87D25">
              <w:rPr>
                <w:rFonts w:asciiTheme="minorHAnsi" w:hAnsiTheme="minorHAnsi" w:cs="Arial"/>
              </w:rPr>
              <w:t>compensate</w:t>
            </w:r>
            <w:r w:rsidRPr="00C87D25">
              <w:rPr>
                <w:rFonts w:asciiTheme="minorHAnsi" w:hAnsiTheme="minorHAnsi" w:cs="Arial"/>
                <w:spacing w:val="53"/>
              </w:rPr>
              <w:t xml:space="preserve"> </w:t>
            </w:r>
            <w:r w:rsidRPr="00C87D25">
              <w:rPr>
                <w:rFonts w:asciiTheme="minorHAnsi" w:hAnsiTheme="minorHAnsi" w:cs="Arial"/>
              </w:rPr>
              <w:t>for</w:t>
            </w:r>
            <w:r w:rsidRPr="00C87D25">
              <w:rPr>
                <w:rFonts w:asciiTheme="minorHAnsi" w:hAnsiTheme="minorHAnsi" w:cs="Arial"/>
                <w:spacing w:val="53"/>
              </w:rPr>
              <w:t xml:space="preserve"> </w:t>
            </w:r>
            <w:r w:rsidRPr="00C87D25">
              <w:rPr>
                <w:rFonts w:asciiTheme="minorHAnsi" w:hAnsiTheme="minorHAnsi" w:cs="Arial"/>
              </w:rPr>
              <w:t>adverse</w:t>
            </w:r>
            <w:r w:rsidRPr="00C87D25">
              <w:rPr>
                <w:rFonts w:asciiTheme="minorHAnsi" w:hAnsiTheme="minorHAnsi" w:cs="Arial"/>
                <w:spacing w:val="21"/>
                <w:w w:val="99"/>
              </w:rPr>
              <w:t xml:space="preserve"> </w:t>
            </w:r>
            <w:r w:rsidRPr="00C87D25">
              <w:rPr>
                <w:rFonts w:asciiTheme="minorHAnsi" w:hAnsiTheme="minorHAnsi" w:cs="Arial"/>
              </w:rPr>
              <w:t>environmental</w:t>
            </w:r>
            <w:r w:rsidRPr="00C87D25">
              <w:rPr>
                <w:rFonts w:asciiTheme="minorHAnsi" w:hAnsiTheme="minorHAnsi" w:cs="Arial"/>
                <w:spacing w:val="6"/>
              </w:rPr>
              <w:t xml:space="preserve"> </w:t>
            </w:r>
            <w:r w:rsidRPr="00C87D25">
              <w:rPr>
                <w:rFonts w:asciiTheme="minorHAnsi" w:hAnsiTheme="minorHAnsi" w:cs="Arial"/>
              </w:rPr>
              <w:t>impacts</w:t>
            </w:r>
            <w:r w:rsidRPr="00C87D25">
              <w:rPr>
                <w:rFonts w:asciiTheme="minorHAnsi" w:hAnsiTheme="minorHAnsi" w:cs="Arial"/>
                <w:spacing w:val="6"/>
              </w:rPr>
              <w:t xml:space="preserve"> </w:t>
            </w:r>
            <w:r w:rsidRPr="00C87D25">
              <w:rPr>
                <w:rFonts w:asciiTheme="minorHAnsi" w:hAnsiTheme="minorHAnsi" w:cs="Arial"/>
                <w:spacing w:val="-1"/>
              </w:rPr>
              <w:t>(in</w:t>
            </w:r>
            <w:r w:rsidRPr="00C87D25">
              <w:rPr>
                <w:rFonts w:asciiTheme="minorHAnsi" w:hAnsiTheme="minorHAnsi" w:cs="Arial"/>
                <w:spacing w:val="6"/>
              </w:rPr>
              <w:t xml:space="preserve"> </w:t>
            </w:r>
            <w:r w:rsidRPr="00C87D25">
              <w:rPr>
                <w:rFonts w:asciiTheme="minorHAnsi" w:hAnsiTheme="minorHAnsi" w:cs="Arial"/>
              </w:rPr>
              <w:t>that</w:t>
            </w:r>
            <w:r w:rsidRPr="00C87D25">
              <w:rPr>
                <w:rFonts w:asciiTheme="minorHAnsi" w:hAnsiTheme="minorHAnsi" w:cs="Arial"/>
                <w:spacing w:val="6"/>
              </w:rPr>
              <w:t xml:space="preserve"> </w:t>
            </w:r>
            <w:r w:rsidRPr="00C87D25">
              <w:rPr>
                <w:rFonts w:asciiTheme="minorHAnsi" w:hAnsiTheme="minorHAnsi" w:cs="Arial"/>
              </w:rPr>
              <w:t>order</w:t>
            </w:r>
            <w:r w:rsidRPr="00C87D25">
              <w:rPr>
                <w:rFonts w:asciiTheme="minorHAnsi" w:hAnsiTheme="minorHAnsi" w:cs="Arial"/>
                <w:spacing w:val="5"/>
              </w:rPr>
              <w:t xml:space="preserve"> </w:t>
            </w:r>
            <w:r w:rsidRPr="00C87D25">
              <w:rPr>
                <w:rFonts w:asciiTheme="minorHAnsi" w:hAnsiTheme="minorHAnsi" w:cs="Arial"/>
              </w:rPr>
              <w:t>of</w:t>
            </w:r>
            <w:r w:rsidRPr="00C87D25">
              <w:rPr>
                <w:rFonts w:asciiTheme="minorHAnsi" w:hAnsiTheme="minorHAnsi" w:cs="Arial"/>
                <w:spacing w:val="6"/>
              </w:rPr>
              <w:t xml:space="preserve"> </w:t>
            </w:r>
            <w:r w:rsidRPr="00C87D25">
              <w:rPr>
                <w:rFonts w:asciiTheme="minorHAnsi" w:hAnsiTheme="minorHAnsi" w:cs="Arial"/>
              </w:rPr>
              <w:t>priority).</w:t>
            </w:r>
            <w:r w:rsidRPr="00C87D25">
              <w:rPr>
                <w:rFonts w:asciiTheme="minorHAnsi" w:hAnsiTheme="minorHAnsi" w:cs="Arial"/>
                <w:spacing w:val="6"/>
              </w:rPr>
              <w:t xml:space="preserve"> </w:t>
            </w:r>
            <w:r w:rsidRPr="00C87D25">
              <w:rPr>
                <w:rFonts w:asciiTheme="minorHAnsi" w:hAnsiTheme="minorHAnsi" w:cs="Arial"/>
                <w:spacing w:val="-1"/>
              </w:rPr>
              <w:t>It</w:t>
            </w:r>
            <w:r w:rsidRPr="00C87D25">
              <w:rPr>
                <w:rFonts w:asciiTheme="minorHAnsi" w:hAnsiTheme="minorHAnsi" w:cs="Arial"/>
                <w:spacing w:val="6"/>
              </w:rPr>
              <w:t xml:space="preserve"> </w:t>
            </w:r>
            <w:r w:rsidRPr="00C87D25">
              <w:rPr>
                <w:rFonts w:asciiTheme="minorHAnsi" w:hAnsiTheme="minorHAnsi" w:cs="Arial"/>
              </w:rPr>
              <w:t>may</w:t>
            </w:r>
            <w:r w:rsidRPr="00C87D25">
              <w:rPr>
                <w:rFonts w:asciiTheme="minorHAnsi" w:hAnsiTheme="minorHAnsi" w:cs="Arial"/>
                <w:spacing w:val="6"/>
              </w:rPr>
              <w:t xml:space="preserve"> </w:t>
            </w:r>
            <w:r w:rsidRPr="00C87D25">
              <w:rPr>
                <w:rFonts w:asciiTheme="minorHAnsi" w:hAnsiTheme="minorHAnsi" w:cs="Arial"/>
              </w:rPr>
              <w:t>include</w:t>
            </w:r>
            <w:r w:rsidRPr="00C87D25">
              <w:rPr>
                <w:rFonts w:asciiTheme="minorHAnsi" w:hAnsiTheme="minorHAnsi" w:cs="Arial"/>
                <w:spacing w:val="6"/>
              </w:rPr>
              <w:t xml:space="preserve"> </w:t>
            </w:r>
            <w:r w:rsidRPr="00C87D25">
              <w:rPr>
                <w:rFonts w:asciiTheme="minorHAnsi" w:hAnsiTheme="minorHAnsi" w:cs="Arial"/>
              </w:rPr>
              <w:t>multiple</w:t>
            </w:r>
            <w:r w:rsidRPr="00C87D25">
              <w:rPr>
                <w:rFonts w:asciiTheme="minorHAnsi" w:hAnsiTheme="minorHAnsi" w:cs="Arial"/>
                <w:spacing w:val="6"/>
              </w:rPr>
              <w:t xml:space="preserve"> </w:t>
            </w:r>
            <w:r w:rsidRPr="00C87D25">
              <w:rPr>
                <w:rFonts w:asciiTheme="minorHAnsi" w:hAnsiTheme="minorHAnsi" w:cs="Arial"/>
              </w:rPr>
              <w:t>management</w:t>
            </w:r>
            <w:r w:rsidRPr="00C87D25">
              <w:rPr>
                <w:rFonts w:asciiTheme="minorHAnsi" w:hAnsiTheme="minorHAnsi" w:cs="Arial"/>
                <w:spacing w:val="6"/>
              </w:rPr>
              <w:t xml:space="preserve"> </w:t>
            </w:r>
            <w:r w:rsidRPr="00C87D25">
              <w:rPr>
                <w:rFonts w:asciiTheme="minorHAnsi" w:hAnsiTheme="minorHAnsi" w:cs="Arial"/>
              </w:rPr>
              <w:t>plans</w:t>
            </w:r>
            <w:r w:rsidRPr="00C87D25">
              <w:rPr>
                <w:rFonts w:asciiTheme="minorHAnsi" w:hAnsiTheme="minorHAnsi" w:cs="Arial"/>
                <w:spacing w:val="7"/>
              </w:rPr>
              <w:t xml:space="preserve"> </w:t>
            </w:r>
            <w:r w:rsidRPr="00C87D25">
              <w:rPr>
                <w:rFonts w:asciiTheme="minorHAnsi" w:hAnsiTheme="minorHAnsi" w:cs="Arial"/>
              </w:rPr>
              <w:t>and</w:t>
            </w:r>
            <w:r w:rsidRPr="00C87D25">
              <w:rPr>
                <w:rFonts w:asciiTheme="minorHAnsi" w:hAnsiTheme="minorHAnsi" w:cs="Arial"/>
                <w:spacing w:val="22"/>
                <w:w w:val="99"/>
              </w:rPr>
              <w:t xml:space="preserve"> </w:t>
            </w:r>
            <w:r w:rsidRPr="00C87D25">
              <w:rPr>
                <w:rFonts w:asciiTheme="minorHAnsi" w:hAnsiTheme="minorHAnsi" w:cs="Arial"/>
              </w:rPr>
              <w:t>actions.</w:t>
            </w:r>
            <w:r w:rsidRPr="00C87D25">
              <w:rPr>
                <w:rFonts w:asciiTheme="minorHAnsi" w:hAnsiTheme="minorHAnsi" w:cs="Arial"/>
                <w:spacing w:val="-5"/>
              </w:rPr>
              <w:t xml:space="preserve"> </w:t>
            </w:r>
            <w:r w:rsidRPr="00C87D25">
              <w:rPr>
                <w:rFonts w:asciiTheme="minorHAnsi" w:hAnsiTheme="minorHAnsi" w:cs="Arial"/>
              </w:rPr>
              <w:t>It</w:t>
            </w:r>
            <w:r w:rsidRPr="00C87D25">
              <w:rPr>
                <w:rFonts w:asciiTheme="minorHAnsi" w:hAnsiTheme="minorHAnsi" w:cs="Arial"/>
                <w:spacing w:val="-3"/>
              </w:rPr>
              <w:t xml:space="preserve"> </w:t>
            </w:r>
            <w:r w:rsidRPr="00C87D25">
              <w:rPr>
                <w:rFonts w:asciiTheme="minorHAnsi" w:hAnsiTheme="minorHAnsi" w:cs="Arial"/>
                <w:spacing w:val="-1"/>
              </w:rPr>
              <w:t>includes</w:t>
            </w:r>
            <w:r w:rsidRPr="00C87D25">
              <w:rPr>
                <w:rFonts w:asciiTheme="minorHAnsi" w:hAnsiTheme="minorHAnsi" w:cs="Arial"/>
                <w:spacing w:val="-4"/>
              </w:rPr>
              <w:t xml:space="preserve"> </w:t>
            </w:r>
            <w:r w:rsidRPr="00C87D25">
              <w:rPr>
                <w:rFonts w:asciiTheme="minorHAnsi" w:hAnsiTheme="minorHAnsi" w:cs="Arial"/>
                <w:spacing w:val="-1"/>
              </w:rPr>
              <w:t>the</w:t>
            </w:r>
            <w:r w:rsidRPr="00C87D25">
              <w:rPr>
                <w:rFonts w:asciiTheme="minorHAnsi" w:hAnsiTheme="minorHAnsi" w:cs="Arial"/>
                <w:spacing w:val="-3"/>
              </w:rPr>
              <w:t xml:space="preserve"> </w:t>
            </w:r>
            <w:r w:rsidRPr="00C87D25">
              <w:rPr>
                <w:rFonts w:asciiTheme="minorHAnsi" w:hAnsiTheme="minorHAnsi" w:cs="Arial"/>
                <w:spacing w:val="-1"/>
              </w:rPr>
              <w:t>following</w:t>
            </w:r>
            <w:r w:rsidRPr="00C87D25">
              <w:rPr>
                <w:rFonts w:asciiTheme="minorHAnsi" w:hAnsiTheme="minorHAnsi" w:cs="Arial"/>
                <w:spacing w:val="-3"/>
              </w:rPr>
              <w:t xml:space="preserve"> </w:t>
            </w:r>
            <w:r w:rsidRPr="00C87D25">
              <w:rPr>
                <w:rFonts w:asciiTheme="minorHAnsi" w:hAnsiTheme="minorHAnsi" w:cs="Arial"/>
              </w:rPr>
              <w:t>key</w:t>
            </w:r>
            <w:r w:rsidRPr="00C87D25">
              <w:rPr>
                <w:rFonts w:asciiTheme="minorHAnsi" w:hAnsiTheme="minorHAnsi" w:cs="Arial"/>
                <w:spacing w:val="-6"/>
              </w:rPr>
              <w:t xml:space="preserve"> </w:t>
            </w:r>
            <w:r w:rsidRPr="00C87D25">
              <w:rPr>
                <w:rFonts w:asciiTheme="minorHAnsi" w:hAnsiTheme="minorHAnsi" w:cs="Arial"/>
              </w:rPr>
              <w:t>components</w:t>
            </w:r>
            <w:r w:rsidRPr="00C87D25">
              <w:rPr>
                <w:rFonts w:asciiTheme="minorHAnsi" w:hAnsiTheme="minorHAnsi" w:cs="Arial"/>
                <w:spacing w:val="-3"/>
              </w:rPr>
              <w:t xml:space="preserve"> </w:t>
            </w:r>
            <w:r w:rsidRPr="00C87D25">
              <w:rPr>
                <w:rFonts w:asciiTheme="minorHAnsi" w:hAnsiTheme="minorHAnsi" w:cs="Arial"/>
              </w:rPr>
              <w:t>(with</w:t>
            </w:r>
            <w:r w:rsidRPr="00C87D25">
              <w:rPr>
                <w:rFonts w:asciiTheme="minorHAnsi" w:hAnsiTheme="minorHAnsi" w:cs="Arial"/>
                <w:spacing w:val="-3"/>
              </w:rPr>
              <w:t xml:space="preserve"> </w:t>
            </w:r>
            <w:r w:rsidRPr="00C87D25">
              <w:rPr>
                <w:rFonts w:asciiTheme="minorHAnsi" w:hAnsiTheme="minorHAnsi" w:cs="Arial"/>
              </w:rPr>
              <w:t>the</w:t>
            </w:r>
            <w:r w:rsidRPr="00C87D25">
              <w:rPr>
                <w:rFonts w:asciiTheme="minorHAnsi" w:hAnsiTheme="minorHAnsi" w:cs="Arial"/>
                <w:spacing w:val="-5"/>
              </w:rPr>
              <w:t xml:space="preserve"> </w:t>
            </w:r>
            <w:r w:rsidRPr="00C87D25">
              <w:rPr>
                <w:rFonts w:asciiTheme="minorHAnsi" w:hAnsiTheme="minorHAnsi" w:cs="Arial"/>
              </w:rPr>
              <w:t>level</w:t>
            </w:r>
            <w:r w:rsidRPr="00C87D25">
              <w:rPr>
                <w:rFonts w:asciiTheme="minorHAnsi" w:hAnsiTheme="minorHAnsi" w:cs="Arial"/>
                <w:spacing w:val="-3"/>
              </w:rPr>
              <w:t xml:space="preserve"> </w:t>
            </w:r>
            <w:r w:rsidRPr="00C87D25">
              <w:rPr>
                <w:rFonts w:asciiTheme="minorHAnsi" w:hAnsiTheme="minorHAnsi" w:cs="Arial"/>
              </w:rPr>
              <w:t>of</w:t>
            </w:r>
            <w:r w:rsidRPr="00C87D25">
              <w:rPr>
                <w:rFonts w:asciiTheme="minorHAnsi" w:hAnsiTheme="minorHAnsi" w:cs="Arial"/>
                <w:spacing w:val="-3"/>
              </w:rPr>
              <w:t xml:space="preserve"> </w:t>
            </w:r>
            <w:r w:rsidRPr="00C87D25">
              <w:rPr>
                <w:rFonts w:asciiTheme="minorHAnsi" w:hAnsiTheme="minorHAnsi" w:cs="Arial"/>
              </w:rPr>
              <w:t>detail</w:t>
            </w:r>
            <w:r w:rsidRPr="00C87D25">
              <w:rPr>
                <w:rFonts w:asciiTheme="minorHAnsi" w:hAnsiTheme="minorHAnsi" w:cs="Arial"/>
                <w:spacing w:val="-4"/>
              </w:rPr>
              <w:t xml:space="preserve"> </w:t>
            </w:r>
            <w:r w:rsidRPr="00C87D25">
              <w:rPr>
                <w:rFonts w:asciiTheme="minorHAnsi" w:hAnsiTheme="minorHAnsi" w:cs="Arial"/>
              </w:rPr>
              <w:t>commensurate</w:t>
            </w:r>
            <w:r w:rsidRPr="00C87D25">
              <w:rPr>
                <w:rFonts w:asciiTheme="minorHAnsi" w:hAnsiTheme="minorHAnsi" w:cs="Arial"/>
                <w:spacing w:val="-3"/>
              </w:rPr>
              <w:t xml:space="preserve"> </w:t>
            </w:r>
            <w:r w:rsidRPr="00C87D25">
              <w:rPr>
                <w:rFonts w:asciiTheme="minorHAnsi" w:hAnsiTheme="minorHAnsi" w:cs="Arial"/>
              </w:rPr>
              <w:t>with</w:t>
            </w:r>
            <w:r w:rsidRPr="00C87D25">
              <w:rPr>
                <w:rFonts w:asciiTheme="minorHAnsi" w:hAnsiTheme="minorHAnsi" w:cs="Arial"/>
                <w:spacing w:val="-4"/>
              </w:rPr>
              <w:t xml:space="preserve"> </w:t>
            </w:r>
            <w:r w:rsidRPr="00C87D25">
              <w:rPr>
                <w:rFonts w:asciiTheme="minorHAnsi" w:hAnsiTheme="minorHAnsi" w:cs="Arial"/>
              </w:rPr>
              <w:t>the</w:t>
            </w:r>
            <w:r w:rsidRPr="00C87D25">
              <w:rPr>
                <w:rFonts w:asciiTheme="minorHAnsi" w:hAnsiTheme="minorHAnsi" w:cs="Arial"/>
                <w:spacing w:val="35"/>
                <w:w w:val="99"/>
              </w:rPr>
              <w:t xml:space="preserve"> </w:t>
            </w:r>
            <w:r w:rsidRPr="00C87D25">
              <w:rPr>
                <w:rFonts w:asciiTheme="minorHAnsi" w:hAnsiTheme="minorHAnsi" w:cs="Arial"/>
              </w:rPr>
              <w:t>project’s</w:t>
            </w:r>
            <w:r w:rsidRPr="00C87D25">
              <w:rPr>
                <w:rFonts w:asciiTheme="minorHAnsi" w:hAnsiTheme="minorHAnsi" w:cs="Arial"/>
                <w:spacing w:val="-10"/>
              </w:rPr>
              <w:t xml:space="preserve"> </w:t>
            </w:r>
            <w:r w:rsidRPr="00C87D25">
              <w:rPr>
                <w:rFonts w:asciiTheme="minorHAnsi" w:hAnsiTheme="minorHAnsi" w:cs="Arial"/>
              </w:rPr>
              <w:t>impacts</w:t>
            </w:r>
            <w:r w:rsidRPr="00C87D25">
              <w:rPr>
                <w:rFonts w:asciiTheme="minorHAnsi" w:hAnsiTheme="minorHAnsi" w:cs="Arial"/>
                <w:spacing w:val="-8"/>
              </w:rPr>
              <w:t xml:space="preserve"> </w:t>
            </w:r>
            <w:r w:rsidRPr="00C87D25">
              <w:rPr>
                <w:rFonts w:asciiTheme="minorHAnsi" w:hAnsiTheme="minorHAnsi" w:cs="Arial"/>
              </w:rPr>
              <w:t>and</w:t>
            </w:r>
            <w:r w:rsidRPr="00C87D25">
              <w:rPr>
                <w:rFonts w:asciiTheme="minorHAnsi" w:hAnsiTheme="minorHAnsi" w:cs="Arial"/>
                <w:spacing w:val="-9"/>
              </w:rPr>
              <w:t xml:space="preserve"> </w:t>
            </w:r>
            <w:r w:rsidRPr="00C87D25">
              <w:rPr>
                <w:rFonts w:asciiTheme="minorHAnsi" w:hAnsiTheme="minorHAnsi" w:cs="Arial"/>
                <w:spacing w:val="-1"/>
              </w:rPr>
              <w:t>risks):</w:t>
            </w:r>
          </w:p>
          <w:p w14:paraId="0224B7F7" w14:textId="77777777" w:rsidR="00CF59E1" w:rsidRPr="00363F3B" w:rsidRDefault="00CF59E1" w:rsidP="009F3E8E">
            <w:pPr>
              <w:numPr>
                <w:ilvl w:val="1"/>
                <w:numId w:val="34"/>
              </w:numPr>
              <w:tabs>
                <w:tab w:val="left" w:pos="594"/>
                <w:tab w:val="left" w:pos="1224"/>
              </w:tabs>
              <w:kinsoku w:val="0"/>
              <w:overflowPunct w:val="0"/>
              <w:spacing w:after="120"/>
              <w:ind w:hanging="1506"/>
              <w:rPr>
                <w:rFonts w:asciiTheme="minorHAnsi" w:hAnsiTheme="minorHAnsi" w:cs="Arial"/>
                <w:sz w:val="21"/>
                <w:szCs w:val="21"/>
              </w:rPr>
            </w:pPr>
            <w:r w:rsidRPr="00363F3B">
              <w:rPr>
                <w:rFonts w:asciiTheme="minorHAnsi" w:hAnsiTheme="minorHAnsi" w:cs="Arial"/>
              </w:rPr>
              <w:t>Mitigation:</w:t>
            </w:r>
          </w:p>
          <w:p w14:paraId="55B2294A" w14:textId="77777777" w:rsidR="00CF59E1" w:rsidRPr="00363F3B" w:rsidRDefault="00CF59E1" w:rsidP="009F3E8E">
            <w:pPr>
              <w:numPr>
                <w:ilvl w:val="2"/>
                <w:numId w:val="34"/>
              </w:numPr>
              <w:tabs>
                <w:tab w:val="left" w:pos="594"/>
                <w:tab w:val="left" w:pos="1224"/>
              </w:tabs>
              <w:kinsoku w:val="0"/>
              <w:overflowPunct w:val="0"/>
              <w:spacing w:after="120"/>
              <w:ind w:left="1134" w:right="118" w:hanging="516"/>
              <w:jc w:val="both"/>
              <w:rPr>
                <w:rFonts w:asciiTheme="minorHAnsi" w:hAnsiTheme="minorHAnsi" w:cs="Arial"/>
              </w:rPr>
            </w:pPr>
            <w:r w:rsidRPr="00C87D25">
              <w:rPr>
                <w:rFonts w:asciiTheme="minorHAnsi" w:hAnsiTheme="minorHAnsi" w:cs="Arial"/>
              </w:rPr>
              <w:t>identifies</w:t>
            </w:r>
            <w:r w:rsidRPr="00C87D25">
              <w:rPr>
                <w:rFonts w:asciiTheme="minorHAnsi" w:hAnsiTheme="minorHAnsi" w:cs="Arial"/>
                <w:spacing w:val="24"/>
              </w:rPr>
              <w:t xml:space="preserve"> </w:t>
            </w:r>
            <w:r w:rsidRPr="00C87D25">
              <w:rPr>
                <w:rFonts w:asciiTheme="minorHAnsi" w:hAnsiTheme="minorHAnsi" w:cs="Arial"/>
                <w:spacing w:val="-1"/>
              </w:rPr>
              <w:t>and</w:t>
            </w:r>
            <w:r w:rsidRPr="00C87D25">
              <w:rPr>
                <w:rFonts w:asciiTheme="minorHAnsi" w:hAnsiTheme="minorHAnsi" w:cs="Arial"/>
                <w:spacing w:val="25"/>
              </w:rPr>
              <w:t xml:space="preserve"> </w:t>
            </w:r>
            <w:r w:rsidRPr="00C87D25">
              <w:rPr>
                <w:rFonts w:asciiTheme="minorHAnsi" w:hAnsiTheme="minorHAnsi" w:cs="Arial"/>
              </w:rPr>
              <w:t>summarizes</w:t>
            </w:r>
            <w:r w:rsidRPr="00C87D25">
              <w:rPr>
                <w:rFonts w:asciiTheme="minorHAnsi" w:hAnsiTheme="minorHAnsi" w:cs="Arial"/>
                <w:spacing w:val="24"/>
              </w:rPr>
              <w:t xml:space="preserve"> </w:t>
            </w:r>
            <w:r w:rsidRPr="00C87D25">
              <w:rPr>
                <w:rFonts w:asciiTheme="minorHAnsi" w:hAnsiTheme="minorHAnsi" w:cs="Arial"/>
                <w:spacing w:val="-1"/>
              </w:rPr>
              <w:t>anticipated</w:t>
            </w:r>
            <w:r w:rsidRPr="00C87D25">
              <w:rPr>
                <w:rFonts w:asciiTheme="minorHAnsi" w:hAnsiTheme="minorHAnsi" w:cs="Arial"/>
                <w:spacing w:val="25"/>
              </w:rPr>
              <w:t xml:space="preserve"> </w:t>
            </w:r>
            <w:r w:rsidRPr="00C87D25">
              <w:rPr>
                <w:rFonts w:asciiTheme="minorHAnsi" w:hAnsiTheme="minorHAnsi" w:cs="Arial"/>
                <w:spacing w:val="-1"/>
              </w:rPr>
              <w:t>significant</w:t>
            </w:r>
            <w:r w:rsidRPr="00C87D25">
              <w:rPr>
                <w:rFonts w:asciiTheme="minorHAnsi" w:hAnsiTheme="minorHAnsi" w:cs="Arial"/>
                <w:spacing w:val="25"/>
              </w:rPr>
              <w:t xml:space="preserve"> </w:t>
            </w:r>
            <w:r w:rsidRPr="00C87D25">
              <w:rPr>
                <w:rFonts w:asciiTheme="minorHAnsi" w:hAnsiTheme="minorHAnsi" w:cs="Arial"/>
              </w:rPr>
              <w:t>adverse</w:t>
            </w:r>
            <w:r w:rsidRPr="00C87D25">
              <w:rPr>
                <w:rFonts w:asciiTheme="minorHAnsi" w:hAnsiTheme="minorHAnsi" w:cs="Arial"/>
                <w:spacing w:val="24"/>
              </w:rPr>
              <w:t xml:space="preserve"> </w:t>
            </w:r>
            <w:r>
              <w:rPr>
                <w:rFonts w:asciiTheme="minorHAnsi" w:hAnsiTheme="minorHAnsi" w:cs="Arial"/>
              </w:rPr>
              <w:t xml:space="preserve"> </w:t>
            </w:r>
            <w:r w:rsidRPr="00363F3B">
              <w:rPr>
                <w:rFonts w:asciiTheme="minorHAnsi" w:hAnsiTheme="minorHAnsi" w:cs="Arial"/>
              </w:rPr>
              <w:t>environme</w:t>
            </w:r>
            <w:r w:rsidRPr="00D04661">
              <w:rPr>
                <w:rFonts w:asciiTheme="minorHAnsi" w:hAnsiTheme="minorHAnsi" w:cs="Arial"/>
              </w:rPr>
              <w:t>ntal</w:t>
            </w:r>
            <w:r w:rsidRPr="00D04661">
              <w:rPr>
                <w:rFonts w:asciiTheme="minorHAnsi" w:hAnsiTheme="minorHAnsi" w:cs="Arial"/>
                <w:spacing w:val="45"/>
                <w:w w:val="99"/>
              </w:rPr>
              <w:t xml:space="preserve"> </w:t>
            </w:r>
            <w:r w:rsidRPr="00D04661">
              <w:rPr>
                <w:rFonts w:asciiTheme="minorHAnsi" w:hAnsiTheme="minorHAnsi" w:cs="Arial"/>
                <w:spacing w:val="-1"/>
              </w:rPr>
              <w:t>impacts</w:t>
            </w:r>
            <w:r w:rsidRPr="00D04661">
              <w:rPr>
                <w:rFonts w:asciiTheme="minorHAnsi" w:hAnsiTheme="minorHAnsi" w:cs="Arial"/>
                <w:spacing w:val="-9"/>
              </w:rPr>
              <w:t xml:space="preserve"> </w:t>
            </w:r>
            <w:r w:rsidRPr="00D04661">
              <w:rPr>
                <w:rFonts w:asciiTheme="minorHAnsi" w:hAnsiTheme="minorHAnsi" w:cs="Arial"/>
              </w:rPr>
              <w:t>and</w:t>
            </w:r>
            <w:r w:rsidRPr="00D04661">
              <w:rPr>
                <w:rFonts w:asciiTheme="minorHAnsi" w:hAnsiTheme="minorHAnsi" w:cs="Arial"/>
                <w:spacing w:val="-9"/>
              </w:rPr>
              <w:t xml:space="preserve"> </w:t>
            </w:r>
            <w:r w:rsidRPr="00D04661">
              <w:rPr>
                <w:rFonts w:asciiTheme="minorHAnsi" w:hAnsiTheme="minorHAnsi" w:cs="Arial"/>
              </w:rPr>
              <w:t>risks;</w:t>
            </w:r>
          </w:p>
          <w:p w14:paraId="2EE6DC52" w14:textId="77777777" w:rsidR="00CF59E1" w:rsidRPr="00D04661" w:rsidRDefault="00CF59E1" w:rsidP="009F3E8E">
            <w:pPr>
              <w:numPr>
                <w:ilvl w:val="2"/>
                <w:numId w:val="34"/>
              </w:numPr>
              <w:tabs>
                <w:tab w:val="left" w:pos="594"/>
                <w:tab w:val="left" w:pos="1224"/>
              </w:tabs>
              <w:kinsoku w:val="0"/>
              <w:overflowPunct w:val="0"/>
              <w:spacing w:after="120"/>
              <w:ind w:left="1134" w:right="118" w:hanging="516"/>
              <w:jc w:val="both"/>
              <w:rPr>
                <w:rFonts w:asciiTheme="minorHAnsi" w:hAnsiTheme="minorHAnsi" w:cs="Arial"/>
                <w:spacing w:val="-1"/>
              </w:rPr>
            </w:pPr>
            <w:r w:rsidRPr="00363F3B">
              <w:rPr>
                <w:rFonts w:asciiTheme="minorHAnsi" w:hAnsiTheme="minorHAnsi" w:cs="Arial"/>
              </w:rPr>
              <w:t>describes</w:t>
            </w:r>
            <w:r w:rsidRPr="00D04661">
              <w:rPr>
                <w:rFonts w:asciiTheme="minorHAnsi" w:hAnsiTheme="minorHAnsi" w:cs="Arial"/>
                <w:spacing w:val="37"/>
              </w:rPr>
              <w:t xml:space="preserve"> </w:t>
            </w:r>
            <w:r w:rsidRPr="00D04661">
              <w:rPr>
                <w:rFonts w:asciiTheme="minorHAnsi" w:hAnsiTheme="minorHAnsi" w:cs="Arial"/>
                <w:spacing w:val="-1"/>
              </w:rPr>
              <w:t>each</w:t>
            </w:r>
            <w:r w:rsidRPr="00D04661">
              <w:rPr>
                <w:rFonts w:asciiTheme="minorHAnsi" w:hAnsiTheme="minorHAnsi" w:cs="Arial"/>
                <w:spacing w:val="38"/>
              </w:rPr>
              <w:t xml:space="preserve"> </w:t>
            </w:r>
            <w:r w:rsidRPr="00D04661">
              <w:rPr>
                <w:rFonts w:asciiTheme="minorHAnsi" w:hAnsiTheme="minorHAnsi" w:cs="Arial"/>
              </w:rPr>
              <w:t>mitigation</w:t>
            </w:r>
            <w:r w:rsidRPr="00D04661">
              <w:rPr>
                <w:rFonts w:asciiTheme="minorHAnsi" w:hAnsiTheme="minorHAnsi" w:cs="Arial"/>
                <w:spacing w:val="38"/>
              </w:rPr>
              <w:t xml:space="preserve"> </w:t>
            </w:r>
            <w:r w:rsidRPr="00D04661">
              <w:rPr>
                <w:rFonts w:asciiTheme="minorHAnsi" w:hAnsiTheme="minorHAnsi" w:cs="Arial"/>
              </w:rPr>
              <w:t>measure</w:t>
            </w:r>
            <w:r w:rsidRPr="00D04661">
              <w:rPr>
                <w:rFonts w:asciiTheme="minorHAnsi" w:hAnsiTheme="minorHAnsi" w:cs="Arial"/>
                <w:spacing w:val="39"/>
              </w:rPr>
              <w:t xml:space="preserve"> </w:t>
            </w:r>
            <w:r w:rsidRPr="00D04661">
              <w:rPr>
                <w:rFonts w:asciiTheme="minorHAnsi" w:hAnsiTheme="minorHAnsi" w:cs="Arial"/>
              </w:rPr>
              <w:t>with</w:t>
            </w:r>
            <w:r w:rsidRPr="00D04661">
              <w:rPr>
                <w:rFonts w:asciiTheme="minorHAnsi" w:hAnsiTheme="minorHAnsi" w:cs="Arial"/>
                <w:spacing w:val="38"/>
              </w:rPr>
              <w:t xml:space="preserve"> </w:t>
            </w:r>
            <w:r w:rsidRPr="00D04661">
              <w:rPr>
                <w:rFonts w:asciiTheme="minorHAnsi" w:hAnsiTheme="minorHAnsi" w:cs="Arial"/>
              </w:rPr>
              <w:t>technical</w:t>
            </w:r>
            <w:r w:rsidRPr="00D04661">
              <w:rPr>
                <w:rFonts w:asciiTheme="minorHAnsi" w:hAnsiTheme="minorHAnsi" w:cs="Arial"/>
                <w:spacing w:val="38"/>
              </w:rPr>
              <w:t xml:space="preserve"> </w:t>
            </w:r>
            <w:r w:rsidRPr="00D04661">
              <w:rPr>
                <w:rFonts w:asciiTheme="minorHAnsi" w:hAnsiTheme="minorHAnsi" w:cs="Arial"/>
              </w:rPr>
              <w:t>details,</w:t>
            </w:r>
            <w:r w:rsidRPr="00D04661">
              <w:rPr>
                <w:rFonts w:asciiTheme="minorHAnsi" w:hAnsiTheme="minorHAnsi" w:cs="Arial"/>
                <w:spacing w:val="37"/>
              </w:rPr>
              <w:t xml:space="preserve"> </w:t>
            </w:r>
            <w:r w:rsidRPr="00D04661">
              <w:rPr>
                <w:rFonts w:asciiTheme="minorHAnsi" w:hAnsiTheme="minorHAnsi" w:cs="Arial"/>
              </w:rPr>
              <w:t xml:space="preserve"> including</w:t>
            </w:r>
            <w:r w:rsidRPr="00D04661">
              <w:rPr>
                <w:rFonts w:asciiTheme="minorHAnsi" w:hAnsiTheme="minorHAnsi" w:cs="Arial"/>
                <w:spacing w:val="37"/>
              </w:rPr>
              <w:t xml:space="preserve"> </w:t>
            </w:r>
            <w:r w:rsidRPr="00D04661">
              <w:rPr>
                <w:rFonts w:asciiTheme="minorHAnsi" w:hAnsiTheme="minorHAnsi" w:cs="Arial"/>
                <w:spacing w:val="-1"/>
              </w:rPr>
              <w:t>the</w:t>
            </w:r>
            <w:r w:rsidRPr="00D04661">
              <w:rPr>
                <w:rFonts w:asciiTheme="minorHAnsi" w:hAnsiTheme="minorHAnsi" w:cs="Arial"/>
                <w:spacing w:val="25"/>
                <w:w w:val="99"/>
              </w:rPr>
              <w:t xml:space="preserve"> </w:t>
            </w:r>
            <w:r w:rsidRPr="00D04661">
              <w:rPr>
                <w:rFonts w:asciiTheme="minorHAnsi" w:hAnsiTheme="minorHAnsi" w:cs="Arial"/>
              </w:rPr>
              <w:t>type</w:t>
            </w:r>
            <w:r w:rsidRPr="00D04661">
              <w:rPr>
                <w:rFonts w:asciiTheme="minorHAnsi" w:hAnsiTheme="minorHAnsi" w:cs="Arial"/>
                <w:spacing w:val="39"/>
              </w:rPr>
              <w:t xml:space="preserve"> </w:t>
            </w:r>
            <w:r w:rsidRPr="00D04661">
              <w:rPr>
                <w:rFonts w:asciiTheme="minorHAnsi" w:hAnsiTheme="minorHAnsi" w:cs="Arial"/>
              </w:rPr>
              <w:t>of</w:t>
            </w:r>
            <w:r w:rsidRPr="00D04661">
              <w:rPr>
                <w:rFonts w:asciiTheme="minorHAnsi" w:hAnsiTheme="minorHAnsi" w:cs="Arial"/>
                <w:spacing w:val="40"/>
              </w:rPr>
              <w:t xml:space="preserve"> </w:t>
            </w:r>
            <w:r w:rsidRPr="00D04661">
              <w:rPr>
                <w:rFonts w:asciiTheme="minorHAnsi" w:hAnsiTheme="minorHAnsi" w:cs="Arial"/>
              </w:rPr>
              <w:t>impact</w:t>
            </w:r>
            <w:r w:rsidRPr="00D04661">
              <w:rPr>
                <w:rFonts w:asciiTheme="minorHAnsi" w:hAnsiTheme="minorHAnsi" w:cs="Arial"/>
                <w:spacing w:val="40"/>
              </w:rPr>
              <w:t xml:space="preserve"> </w:t>
            </w:r>
            <w:r w:rsidRPr="00D04661">
              <w:rPr>
                <w:rFonts w:asciiTheme="minorHAnsi" w:hAnsiTheme="minorHAnsi" w:cs="Arial"/>
              </w:rPr>
              <w:t>to</w:t>
            </w:r>
            <w:r w:rsidRPr="00D04661">
              <w:rPr>
                <w:rFonts w:asciiTheme="minorHAnsi" w:hAnsiTheme="minorHAnsi" w:cs="Arial"/>
                <w:spacing w:val="40"/>
              </w:rPr>
              <w:t xml:space="preserve"> </w:t>
            </w:r>
            <w:r w:rsidRPr="00D04661">
              <w:rPr>
                <w:rFonts w:asciiTheme="minorHAnsi" w:hAnsiTheme="minorHAnsi" w:cs="Arial"/>
              </w:rPr>
              <w:t>which</w:t>
            </w:r>
            <w:r w:rsidRPr="00D04661">
              <w:rPr>
                <w:rFonts w:asciiTheme="minorHAnsi" w:hAnsiTheme="minorHAnsi" w:cs="Arial"/>
                <w:spacing w:val="40"/>
              </w:rPr>
              <w:t xml:space="preserve"> </w:t>
            </w:r>
            <w:r w:rsidRPr="00D04661">
              <w:rPr>
                <w:rFonts w:asciiTheme="minorHAnsi" w:hAnsiTheme="minorHAnsi" w:cs="Arial"/>
              </w:rPr>
              <w:t>it</w:t>
            </w:r>
            <w:r w:rsidRPr="00D04661">
              <w:rPr>
                <w:rFonts w:asciiTheme="minorHAnsi" w:hAnsiTheme="minorHAnsi" w:cs="Arial"/>
                <w:spacing w:val="40"/>
              </w:rPr>
              <w:t xml:space="preserve"> </w:t>
            </w:r>
            <w:r w:rsidRPr="00D04661">
              <w:rPr>
                <w:rFonts w:asciiTheme="minorHAnsi" w:hAnsiTheme="minorHAnsi" w:cs="Arial"/>
              </w:rPr>
              <w:t>relates</w:t>
            </w:r>
            <w:r w:rsidRPr="00D04661">
              <w:rPr>
                <w:rFonts w:asciiTheme="minorHAnsi" w:hAnsiTheme="minorHAnsi" w:cs="Arial"/>
                <w:spacing w:val="40"/>
              </w:rPr>
              <w:t xml:space="preserve"> </w:t>
            </w:r>
            <w:r w:rsidRPr="00D04661">
              <w:rPr>
                <w:rFonts w:asciiTheme="minorHAnsi" w:hAnsiTheme="minorHAnsi" w:cs="Arial"/>
              </w:rPr>
              <w:t>and</w:t>
            </w:r>
            <w:r w:rsidRPr="00D04661">
              <w:rPr>
                <w:rFonts w:asciiTheme="minorHAnsi" w:hAnsiTheme="minorHAnsi" w:cs="Arial"/>
                <w:spacing w:val="-1"/>
              </w:rPr>
              <w:t xml:space="preserve"> conditions  under</w:t>
            </w:r>
            <w:r w:rsidRPr="00D04661">
              <w:rPr>
                <w:rFonts w:asciiTheme="minorHAnsi" w:hAnsiTheme="minorHAnsi" w:cs="Arial"/>
                <w:spacing w:val="40"/>
              </w:rPr>
              <w:t xml:space="preserve"> </w:t>
            </w:r>
            <w:r w:rsidRPr="00D04661">
              <w:rPr>
                <w:rFonts w:asciiTheme="minorHAnsi" w:hAnsiTheme="minorHAnsi" w:cs="Arial"/>
              </w:rPr>
              <w:t>which</w:t>
            </w:r>
            <w:r w:rsidRPr="00D04661">
              <w:rPr>
                <w:rFonts w:asciiTheme="minorHAnsi" w:hAnsiTheme="minorHAnsi" w:cs="Arial"/>
                <w:spacing w:val="40"/>
              </w:rPr>
              <w:t xml:space="preserve"> </w:t>
            </w:r>
            <w:r w:rsidRPr="00D04661">
              <w:rPr>
                <w:rFonts w:asciiTheme="minorHAnsi" w:hAnsiTheme="minorHAnsi" w:cs="Arial"/>
              </w:rPr>
              <w:t>it</w:t>
            </w:r>
            <w:r w:rsidRPr="00D04661">
              <w:rPr>
                <w:rFonts w:asciiTheme="minorHAnsi" w:hAnsiTheme="minorHAnsi" w:cs="Arial"/>
                <w:spacing w:val="39"/>
              </w:rPr>
              <w:t xml:space="preserve"> </w:t>
            </w:r>
            <w:r w:rsidRPr="00D04661">
              <w:rPr>
                <w:rFonts w:asciiTheme="minorHAnsi" w:hAnsiTheme="minorHAnsi" w:cs="Arial"/>
              </w:rPr>
              <w:t>is</w:t>
            </w:r>
            <w:r w:rsidRPr="00D04661">
              <w:rPr>
                <w:rFonts w:asciiTheme="minorHAnsi" w:hAnsiTheme="minorHAnsi" w:cs="Arial"/>
                <w:spacing w:val="25"/>
                <w:w w:val="99"/>
              </w:rPr>
              <w:t xml:space="preserve"> </w:t>
            </w:r>
            <w:r w:rsidRPr="00D04661">
              <w:rPr>
                <w:rFonts w:asciiTheme="minorHAnsi" w:hAnsiTheme="minorHAnsi" w:cs="Arial"/>
              </w:rPr>
              <w:t>required</w:t>
            </w:r>
            <w:r w:rsidRPr="00D04661">
              <w:rPr>
                <w:rFonts w:asciiTheme="minorHAnsi" w:hAnsiTheme="minorHAnsi" w:cs="Arial"/>
                <w:spacing w:val="53"/>
              </w:rPr>
              <w:t xml:space="preserve"> </w:t>
            </w:r>
            <w:r w:rsidRPr="00D04661">
              <w:rPr>
                <w:rFonts w:asciiTheme="minorHAnsi" w:hAnsiTheme="minorHAnsi" w:cs="Arial"/>
                <w:spacing w:val="-1"/>
              </w:rPr>
              <w:t>(for</w:t>
            </w:r>
            <w:r w:rsidRPr="00D04661">
              <w:rPr>
                <w:rFonts w:asciiTheme="minorHAnsi" w:hAnsiTheme="minorHAnsi" w:cs="Arial"/>
                <w:spacing w:val="54"/>
              </w:rPr>
              <w:t xml:space="preserve"> </w:t>
            </w:r>
            <w:r w:rsidRPr="00D04661">
              <w:rPr>
                <w:rFonts w:asciiTheme="minorHAnsi" w:hAnsiTheme="minorHAnsi" w:cs="Arial"/>
                <w:spacing w:val="-1"/>
              </w:rPr>
              <w:t xml:space="preserve">instance, </w:t>
            </w:r>
            <w:r w:rsidRPr="00D04661">
              <w:rPr>
                <w:rFonts w:asciiTheme="minorHAnsi" w:hAnsiTheme="minorHAnsi" w:cs="Arial"/>
              </w:rPr>
              <w:t>continuously</w:t>
            </w:r>
            <w:r w:rsidRPr="00D04661">
              <w:rPr>
                <w:rFonts w:asciiTheme="minorHAnsi" w:hAnsiTheme="minorHAnsi" w:cs="Arial"/>
                <w:spacing w:val="54"/>
              </w:rPr>
              <w:t xml:space="preserve"> </w:t>
            </w:r>
            <w:r w:rsidRPr="00D04661">
              <w:rPr>
                <w:rFonts w:asciiTheme="minorHAnsi" w:hAnsiTheme="minorHAnsi" w:cs="Arial"/>
              </w:rPr>
              <w:t>or</w:t>
            </w:r>
            <w:r w:rsidRPr="00D04661">
              <w:rPr>
                <w:rFonts w:asciiTheme="minorHAnsi" w:hAnsiTheme="minorHAnsi" w:cs="Arial"/>
                <w:spacing w:val="54"/>
              </w:rPr>
              <w:t xml:space="preserve"> </w:t>
            </w:r>
            <w:r w:rsidRPr="00D04661">
              <w:rPr>
                <w:rFonts w:asciiTheme="minorHAnsi" w:hAnsiTheme="minorHAnsi" w:cs="Arial"/>
              </w:rPr>
              <w:t>in</w:t>
            </w:r>
            <w:r w:rsidRPr="00D04661">
              <w:rPr>
                <w:rFonts w:asciiTheme="minorHAnsi" w:hAnsiTheme="minorHAnsi" w:cs="Arial"/>
                <w:spacing w:val="53"/>
              </w:rPr>
              <w:t xml:space="preserve"> </w:t>
            </w:r>
            <w:r w:rsidRPr="00D04661">
              <w:rPr>
                <w:rFonts w:asciiTheme="minorHAnsi" w:hAnsiTheme="minorHAnsi" w:cs="Arial"/>
              </w:rPr>
              <w:t>the</w:t>
            </w:r>
            <w:r w:rsidRPr="00D04661">
              <w:rPr>
                <w:rFonts w:asciiTheme="minorHAnsi" w:hAnsiTheme="minorHAnsi" w:cs="Arial"/>
                <w:spacing w:val="51"/>
              </w:rPr>
              <w:t xml:space="preserve"> </w:t>
            </w:r>
            <w:r w:rsidRPr="00D04661">
              <w:rPr>
                <w:rFonts w:asciiTheme="minorHAnsi" w:hAnsiTheme="minorHAnsi" w:cs="Arial"/>
              </w:rPr>
              <w:t>event</w:t>
            </w:r>
            <w:r w:rsidRPr="00D04661">
              <w:rPr>
                <w:rFonts w:asciiTheme="minorHAnsi" w:hAnsiTheme="minorHAnsi" w:cs="Arial"/>
                <w:spacing w:val="54"/>
              </w:rPr>
              <w:t xml:space="preserve"> </w:t>
            </w:r>
            <w:r w:rsidRPr="00D04661">
              <w:rPr>
                <w:rFonts w:asciiTheme="minorHAnsi" w:hAnsiTheme="minorHAnsi" w:cs="Arial"/>
              </w:rPr>
              <w:t>of</w:t>
            </w:r>
            <w:r w:rsidRPr="00D04661">
              <w:rPr>
                <w:rFonts w:asciiTheme="minorHAnsi" w:hAnsiTheme="minorHAnsi" w:cs="Arial"/>
                <w:spacing w:val="54"/>
              </w:rPr>
              <w:t xml:space="preserve"> </w:t>
            </w:r>
            <w:r w:rsidRPr="00D04661">
              <w:rPr>
                <w:rFonts w:asciiTheme="minorHAnsi" w:hAnsiTheme="minorHAnsi" w:cs="Arial"/>
                <w:spacing w:val="-1"/>
              </w:rPr>
              <w:t>contingencies),</w:t>
            </w:r>
            <w:r w:rsidRPr="00D04661">
              <w:rPr>
                <w:rFonts w:asciiTheme="minorHAnsi" w:hAnsiTheme="minorHAnsi" w:cs="Arial"/>
                <w:spacing w:val="49"/>
                <w:w w:val="99"/>
              </w:rPr>
              <w:t xml:space="preserve"> </w:t>
            </w:r>
            <w:r w:rsidRPr="00D04661">
              <w:rPr>
                <w:rFonts w:asciiTheme="minorHAnsi" w:hAnsiTheme="minorHAnsi" w:cs="Arial"/>
              </w:rPr>
              <w:t>together</w:t>
            </w:r>
            <w:r w:rsidRPr="00D04661">
              <w:rPr>
                <w:rFonts w:asciiTheme="minorHAnsi" w:hAnsiTheme="minorHAnsi" w:cs="Arial"/>
                <w:spacing w:val="-2"/>
              </w:rPr>
              <w:t xml:space="preserve"> </w:t>
            </w:r>
            <w:r w:rsidRPr="00D04661">
              <w:rPr>
                <w:rFonts w:asciiTheme="minorHAnsi" w:hAnsiTheme="minorHAnsi" w:cs="Arial"/>
              </w:rPr>
              <w:t>with designs,</w:t>
            </w:r>
            <w:r w:rsidRPr="00D04661">
              <w:rPr>
                <w:rFonts w:asciiTheme="minorHAnsi" w:hAnsiTheme="minorHAnsi" w:cs="Arial"/>
                <w:spacing w:val="-2"/>
              </w:rPr>
              <w:t xml:space="preserve"> </w:t>
            </w:r>
            <w:r w:rsidRPr="00D04661">
              <w:rPr>
                <w:rFonts w:asciiTheme="minorHAnsi" w:hAnsiTheme="minorHAnsi" w:cs="Arial"/>
                <w:spacing w:val="-1"/>
              </w:rPr>
              <w:t>equipment</w:t>
            </w:r>
            <w:r w:rsidRPr="00D04661">
              <w:rPr>
                <w:rFonts w:asciiTheme="minorHAnsi" w:hAnsiTheme="minorHAnsi" w:cs="Arial"/>
                <w:spacing w:val="-2"/>
              </w:rPr>
              <w:t xml:space="preserve"> </w:t>
            </w:r>
            <w:r w:rsidRPr="00D04661">
              <w:rPr>
                <w:rFonts w:asciiTheme="minorHAnsi" w:hAnsiTheme="minorHAnsi" w:cs="Arial"/>
                <w:spacing w:val="-1"/>
              </w:rPr>
              <w:t>descriptions,</w:t>
            </w:r>
            <w:r w:rsidRPr="00D04661">
              <w:rPr>
                <w:rFonts w:asciiTheme="minorHAnsi" w:hAnsiTheme="minorHAnsi" w:cs="Arial"/>
                <w:spacing w:val="-2"/>
              </w:rPr>
              <w:t xml:space="preserve"> </w:t>
            </w:r>
            <w:r w:rsidRPr="00D04661">
              <w:rPr>
                <w:rFonts w:asciiTheme="minorHAnsi" w:hAnsiTheme="minorHAnsi" w:cs="Arial"/>
              </w:rPr>
              <w:t>and</w:t>
            </w:r>
            <w:r w:rsidRPr="00D04661">
              <w:rPr>
                <w:rFonts w:asciiTheme="minorHAnsi" w:hAnsiTheme="minorHAnsi" w:cs="Arial"/>
                <w:spacing w:val="-2"/>
              </w:rPr>
              <w:t xml:space="preserve"> </w:t>
            </w:r>
            <w:r w:rsidRPr="00D04661">
              <w:rPr>
                <w:rFonts w:asciiTheme="minorHAnsi" w:hAnsiTheme="minorHAnsi" w:cs="Arial"/>
              </w:rPr>
              <w:t>operating</w:t>
            </w:r>
            <w:r>
              <w:rPr>
                <w:rFonts w:asciiTheme="minorHAnsi" w:hAnsiTheme="minorHAnsi" w:cs="Arial"/>
                <w:spacing w:val="-2"/>
              </w:rPr>
              <w:t xml:space="preserve"> </w:t>
            </w:r>
            <w:r w:rsidRPr="00363F3B">
              <w:rPr>
                <w:rFonts w:asciiTheme="minorHAnsi" w:hAnsiTheme="minorHAnsi" w:cs="Arial"/>
              </w:rPr>
              <w:t>procedures,</w:t>
            </w:r>
            <w:r w:rsidRPr="00363F3B">
              <w:rPr>
                <w:rFonts w:asciiTheme="minorHAnsi" w:hAnsiTheme="minorHAnsi" w:cs="Arial"/>
                <w:spacing w:val="40"/>
                <w:w w:val="99"/>
              </w:rPr>
              <w:t xml:space="preserve"> </w:t>
            </w:r>
            <w:r w:rsidRPr="00D04661">
              <w:rPr>
                <w:rFonts w:asciiTheme="minorHAnsi" w:hAnsiTheme="minorHAnsi" w:cs="Arial"/>
              </w:rPr>
              <w:t>as</w:t>
            </w:r>
            <w:r w:rsidRPr="00D04661">
              <w:rPr>
                <w:rFonts w:asciiTheme="minorHAnsi" w:hAnsiTheme="minorHAnsi" w:cs="Arial"/>
                <w:spacing w:val="-9"/>
              </w:rPr>
              <w:t xml:space="preserve"> </w:t>
            </w:r>
            <w:r w:rsidRPr="00D04661">
              <w:rPr>
                <w:rFonts w:asciiTheme="minorHAnsi" w:hAnsiTheme="minorHAnsi" w:cs="Arial"/>
                <w:spacing w:val="-1"/>
              </w:rPr>
              <w:t>appropriate….</w:t>
            </w:r>
          </w:p>
          <w:p w14:paraId="699EF780" w14:textId="77777777" w:rsidR="00CF59E1" w:rsidRPr="003C216C" w:rsidRDefault="00CF59E1" w:rsidP="009F3E8E">
            <w:pPr>
              <w:pStyle w:val="ListParagraph"/>
              <w:numPr>
                <w:ilvl w:val="1"/>
                <w:numId w:val="34"/>
              </w:numPr>
              <w:tabs>
                <w:tab w:val="left" w:pos="594"/>
                <w:tab w:val="left" w:pos="1224"/>
                <w:tab w:val="left" w:pos="2281"/>
              </w:tabs>
              <w:kinsoku w:val="0"/>
              <w:overflowPunct w:val="0"/>
              <w:spacing w:after="120"/>
              <w:ind w:right="115" w:hanging="1506"/>
              <w:contextualSpacing w:val="0"/>
              <w:jc w:val="both"/>
              <w:rPr>
                <w:rFonts w:asciiTheme="minorHAnsi" w:hAnsiTheme="minorHAnsi" w:cs="Arial"/>
              </w:rPr>
            </w:pPr>
            <w:r w:rsidRPr="003C216C">
              <w:rPr>
                <w:rFonts w:asciiTheme="minorHAnsi" w:hAnsiTheme="minorHAnsi" w:cs="Arial"/>
              </w:rPr>
              <w:t>Monitoring:</w:t>
            </w:r>
          </w:p>
          <w:p w14:paraId="1289CECE" w14:textId="77777777" w:rsidR="00CF59E1" w:rsidRPr="004056D9" w:rsidRDefault="00CF59E1" w:rsidP="009F3E8E">
            <w:pPr>
              <w:numPr>
                <w:ilvl w:val="2"/>
                <w:numId w:val="34"/>
              </w:numPr>
              <w:tabs>
                <w:tab w:val="left" w:pos="594"/>
                <w:tab w:val="left" w:pos="1224"/>
              </w:tabs>
              <w:kinsoku w:val="0"/>
              <w:overflowPunct w:val="0"/>
              <w:spacing w:after="120"/>
              <w:ind w:left="1224" w:right="118" w:hanging="450"/>
              <w:jc w:val="both"/>
              <w:rPr>
                <w:rFonts w:ascii="Arial" w:hAnsi="Arial" w:cs="Arial"/>
              </w:rPr>
            </w:pPr>
            <w:r w:rsidRPr="004056D9">
              <w:rPr>
                <w:rFonts w:asciiTheme="minorHAnsi" w:hAnsiTheme="minorHAnsi" w:cs="Arial"/>
                <w:spacing w:val="-1"/>
              </w:rPr>
              <w:t>describes</w:t>
            </w:r>
            <w:r w:rsidRPr="00363F3B">
              <w:rPr>
                <w:rFonts w:asciiTheme="minorHAnsi" w:hAnsiTheme="minorHAnsi" w:cs="Arial"/>
                <w:spacing w:val="46"/>
              </w:rPr>
              <w:t xml:space="preserve"> </w:t>
            </w:r>
            <w:r w:rsidRPr="00363F3B">
              <w:rPr>
                <w:rFonts w:asciiTheme="minorHAnsi" w:hAnsiTheme="minorHAnsi" w:cs="Arial"/>
              </w:rPr>
              <w:t>monitoring</w:t>
            </w:r>
            <w:r w:rsidRPr="00363F3B">
              <w:rPr>
                <w:rFonts w:asciiTheme="minorHAnsi" w:hAnsiTheme="minorHAnsi" w:cs="Arial"/>
                <w:spacing w:val="47"/>
              </w:rPr>
              <w:t xml:space="preserve"> </w:t>
            </w:r>
            <w:r w:rsidRPr="00363F3B">
              <w:rPr>
                <w:rFonts w:asciiTheme="minorHAnsi" w:hAnsiTheme="minorHAnsi" w:cs="Arial"/>
              </w:rPr>
              <w:t>measures</w:t>
            </w:r>
            <w:r w:rsidRPr="00D04661">
              <w:rPr>
                <w:rFonts w:asciiTheme="minorHAnsi" w:hAnsiTheme="minorHAnsi" w:cs="Arial"/>
                <w:spacing w:val="47"/>
              </w:rPr>
              <w:t xml:space="preserve"> </w:t>
            </w:r>
            <w:r w:rsidRPr="00D04661">
              <w:rPr>
                <w:rFonts w:asciiTheme="minorHAnsi" w:hAnsiTheme="minorHAnsi" w:cs="Arial"/>
              </w:rPr>
              <w:t>with</w:t>
            </w:r>
            <w:r w:rsidRPr="00D04661">
              <w:rPr>
                <w:rFonts w:asciiTheme="minorHAnsi" w:hAnsiTheme="minorHAnsi" w:cs="Arial"/>
                <w:spacing w:val="47"/>
              </w:rPr>
              <w:t xml:space="preserve"> </w:t>
            </w:r>
            <w:r w:rsidRPr="00D04661">
              <w:rPr>
                <w:rFonts w:asciiTheme="minorHAnsi" w:hAnsiTheme="minorHAnsi" w:cs="Arial"/>
              </w:rPr>
              <w:t>technical</w:t>
            </w:r>
            <w:r w:rsidRPr="00D04661">
              <w:rPr>
                <w:rFonts w:asciiTheme="minorHAnsi" w:hAnsiTheme="minorHAnsi" w:cs="Arial"/>
                <w:spacing w:val="47"/>
              </w:rPr>
              <w:t xml:space="preserve"> </w:t>
            </w:r>
            <w:r w:rsidRPr="00D04661">
              <w:rPr>
                <w:rFonts w:asciiTheme="minorHAnsi" w:hAnsiTheme="minorHAnsi" w:cs="Arial"/>
                <w:spacing w:val="-1"/>
              </w:rPr>
              <w:t>details,</w:t>
            </w:r>
            <w:r w:rsidRPr="00D04661">
              <w:rPr>
                <w:rFonts w:asciiTheme="minorHAnsi" w:hAnsiTheme="minorHAnsi" w:cs="Arial"/>
                <w:spacing w:val="47"/>
              </w:rPr>
              <w:t xml:space="preserve"> </w:t>
            </w:r>
            <w:r w:rsidRPr="00D04661">
              <w:rPr>
                <w:rFonts w:asciiTheme="minorHAnsi" w:hAnsiTheme="minorHAnsi" w:cs="Arial"/>
                <w:spacing w:val="-1"/>
              </w:rPr>
              <w:t>including</w:t>
            </w:r>
            <w:r w:rsidRPr="00D04661">
              <w:rPr>
                <w:rFonts w:asciiTheme="minorHAnsi" w:hAnsiTheme="minorHAnsi" w:cs="Arial"/>
                <w:spacing w:val="29"/>
                <w:w w:val="99"/>
              </w:rPr>
              <w:t xml:space="preserve"> </w:t>
            </w:r>
            <w:r w:rsidRPr="00D04661">
              <w:rPr>
                <w:rFonts w:asciiTheme="minorHAnsi" w:hAnsiTheme="minorHAnsi" w:cs="Arial"/>
              </w:rPr>
              <w:t>parameters</w:t>
            </w:r>
            <w:r w:rsidRPr="00D04661">
              <w:rPr>
                <w:rFonts w:asciiTheme="minorHAnsi" w:hAnsiTheme="minorHAnsi" w:cs="Arial"/>
                <w:spacing w:val="43"/>
              </w:rPr>
              <w:t xml:space="preserve"> </w:t>
            </w:r>
            <w:r w:rsidRPr="00D04661">
              <w:rPr>
                <w:rFonts w:asciiTheme="minorHAnsi" w:hAnsiTheme="minorHAnsi" w:cs="Arial"/>
              </w:rPr>
              <w:t>to</w:t>
            </w:r>
            <w:r w:rsidRPr="00D04661">
              <w:rPr>
                <w:rFonts w:asciiTheme="minorHAnsi" w:hAnsiTheme="minorHAnsi" w:cs="Arial"/>
                <w:spacing w:val="43"/>
              </w:rPr>
              <w:t xml:space="preserve"> </w:t>
            </w:r>
            <w:r w:rsidRPr="00D04661">
              <w:rPr>
                <w:rFonts w:asciiTheme="minorHAnsi" w:hAnsiTheme="minorHAnsi" w:cs="Arial"/>
              </w:rPr>
              <w:t>be</w:t>
            </w:r>
            <w:r w:rsidRPr="00D04661">
              <w:rPr>
                <w:rFonts w:asciiTheme="minorHAnsi" w:hAnsiTheme="minorHAnsi" w:cs="Arial"/>
                <w:spacing w:val="43"/>
              </w:rPr>
              <w:t xml:space="preserve"> </w:t>
            </w:r>
            <w:r w:rsidRPr="00D04661">
              <w:rPr>
                <w:rFonts w:asciiTheme="minorHAnsi" w:hAnsiTheme="minorHAnsi" w:cs="Arial"/>
              </w:rPr>
              <w:t>measured,</w:t>
            </w:r>
            <w:r w:rsidRPr="00D04661">
              <w:rPr>
                <w:rFonts w:asciiTheme="minorHAnsi" w:hAnsiTheme="minorHAnsi" w:cs="Arial"/>
                <w:spacing w:val="44"/>
              </w:rPr>
              <w:t xml:space="preserve"> </w:t>
            </w:r>
            <w:r w:rsidRPr="00D04661">
              <w:rPr>
                <w:rFonts w:asciiTheme="minorHAnsi" w:hAnsiTheme="minorHAnsi" w:cs="Arial"/>
              </w:rPr>
              <w:t>methods</w:t>
            </w:r>
            <w:r w:rsidRPr="00D04661">
              <w:rPr>
                <w:rFonts w:asciiTheme="minorHAnsi" w:hAnsiTheme="minorHAnsi" w:cs="Arial"/>
                <w:spacing w:val="43"/>
              </w:rPr>
              <w:t xml:space="preserve"> </w:t>
            </w:r>
            <w:r w:rsidRPr="00D04661">
              <w:rPr>
                <w:rFonts w:asciiTheme="minorHAnsi" w:hAnsiTheme="minorHAnsi" w:cs="Arial"/>
              </w:rPr>
              <w:t>to</w:t>
            </w:r>
            <w:r w:rsidRPr="00D04661">
              <w:rPr>
                <w:rFonts w:asciiTheme="minorHAnsi" w:hAnsiTheme="minorHAnsi" w:cs="Arial"/>
                <w:spacing w:val="43"/>
              </w:rPr>
              <w:t xml:space="preserve"> </w:t>
            </w:r>
            <w:r w:rsidRPr="00D04661">
              <w:rPr>
                <w:rFonts w:asciiTheme="minorHAnsi" w:hAnsiTheme="minorHAnsi" w:cs="Arial"/>
              </w:rPr>
              <w:t>be</w:t>
            </w:r>
            <w:r w:rsidRPr="00D04661">
              <w:rPr>
                <w:rFonts w:asciiTheme="minorHAnsi" w:hAnsiTheme="minorHAnsi" w:cs="Arial"/>
                <w:spacing w:val="42"/>
              </w:rPr>
              <w:t xml:space="preserve"> </w:t>
            </w:r>
            <w:r w:rsidRPr="00D04661">
              <w:rPr>
                <w:rFonts w:asciiTheme="minorHAnsi" w:hAnsiTheme="minorHAnsi" w:cs="Arial"/>
              </w:rPr>
              <w:t>used,</w:t>
            </w:r>
            <w:r w:rsidRPr="00D04661">
              <w:rPr>
                <w:rFonts w:asciiTheme="minorHAnsi" w:hAnsiTheme="minorHAnsi" w:cs="Arial"/>
                <w:spacing w:val="44"/>
              </w:rPr>
              <w:t xml:space="preserve"> </w:t>
            </w:r>
            <w:r w:rsidRPr="00D04661">
              <w:rPr>
                <w:rFonts w:asciiTheme="minorHAnsi" w:hAnsiTheme="minorHAnsi" w:cs="Arial"/>
                <w:spacing w:val="-1"/>
              </w:rPr>
              <w:t>sampling</w:t>
            </w:r>
            <w:r w:rsidRPr="00D04661">
              <w:rPr>
                <w:rFonts w:asciiTheme="minorHAnsi" w:hAnsiTheme="minorHAnsi" w:cs="Arial"/>
                <w:spacing w:val="43"/>
              </w:rPr>
              <w:t xml:space="preserve"> </w:t>
            </w:r>
            <w:r w:rsidRPr="00D04661">
              <w:rPr>
                <w:rFonts w:asciiTheme="minorHAnsi" w:hAnsiTheme="minorHAnsi" w:cs="Arial"/>
                <w:spacing w:val="-1"/>
              </w:rPr>
              <w:t xml:space="preserve">locations,  </w:t>
            </w:r>
            <w:r w:rsidRPr="00D04661">
              <w:rPr>
                <w:rFonts w:asciiTheme="minorHAnsi" w:hAnsiTheme="minorHAnsi" w:cs="Arial"/>
              </w:rPr>
              <w:t>frequency of measurements, detection limits and definition of thresholds that will signal the need for corrective actions; and</w:t>
            </w:r>
          </w:p>
          <w:p w14:paraId="4BCF7E7D" w14:textId="77777777" w:rsidR="00CF59E1" w:rsidRPr="00D04661" w:rsidRDefault="00CF59E1" w:rsidP="009F3E8E">
            <w:pPr>
              <w:numPr>
                <w:ilvl w:val="2"/>
                <w:numId w:val="34"/>
              </w:numPr>
              <w:tabs>
                <w:tab w:val="left" w:pos="594"/>
                <w:tab w:val="left" w:pos="1224"/>
              </w:tabs>
              <w:kinsoku w:val="0"/>
              <w:overflowPunct w:val="0"/>
              <w:spacing w:after="120"/>
              <w:ind w:left="1224" w:right="118" w:hanging="450"/>
              <w:jc w:val="both"/>
              <w:rPr>
                <w:rFonts w:ascii="Arial" w:hAnsi="Arial" w:cs="Arial"/>
              </w:rPr>
            </w:pPr>
            <w:r w:rsidRPr="00363F3B">
              <w:rPr>
                <w:rFonts w:asciiTheme="minorHAnsi" w:hAnsiTheme="minorHAnsi" w:cs="Arial"/>
              </w:rPr>
              <w:t>describes monitoring and reporting procedures to ensure early detection of conditions that necessitate particular</w:t>
            </w:r>
            <w:r w:rsidRPr="00D04661">
              <w:rPr>
                <w:rFonts w:ascii="Arial" w:hAnsi="Arial" w:cs="Arial"/>
              </w:rPr>
              <w:t xml:space="preserve"> </w:t>
            </w:r>
            <w:r w:rsidRPr="00D04661">
              <w:rPr>
                <w:rFonts w:asciiTheme="minorHAnsi" w:hAnsiTheme="minorHAnsi" w:cs="Arial"/>
              </w:rPr>
              <w:t>mitigation measures and document the progress and results of mitigation.</w:t>
            </w:r>
          </w:p>
          <w:p w14:paraId="72347073" w14:textId="77777777" w:rsidR="00CF59E1" w:rsidRPr="004056D9" w:rsidRDefault="00CF59E1" w:rsidP="009F3E8E">
            <w:pPr>
              <w:pStyle w:val="ListParagraph"/>
              <w:numPr>
                <w:ilvl w:val="0"/>
                <w:numId w:val="35"/>
              </w:numPr>
              <w:spacing w:after="120"/>
              <w:ind w:left="692" w:hanging="634"/>
              <w:contextualSpacing w:val="0"/>
              <w:rPr>
                <w:rFonts w:cs="Arial"/>
              </w:rPr>
            </w:pPr>
            <w:r w:rsidRPr="00363F3B">
              <w:rPr>
                <w:rFonts w:cs="Arial"/>
              </w:rPr>
              <w:t>Performance indicators: describes the desired outcomes as measurable events to the extent possible, such as performance indicators, targets, or acceptance criteria that can be t</w:t>
            </w:r>
            <w:r w:rsidRPr="004056D9">
              <w:rPr>
                <w:rFonts w:cs="Arial"/>
              </w:rPr>
              <w:t>racked over defined time periods.</w:t>
            </w:r>
          </w:p>
          <w:p w14:paraId="60CAF352" w14:textId="77777777" w:rsidR="00CF59E1" w:rsidRDefault="00CF59E1" w:rsidP="00CF59E1">
            <w:pPr>
              <w:spacing w:after="120"/>
              <w:rPr>
                <w:rFonts w:asciiTheme="minorHAnsi" w:hAnsiTheme="minorHAnsi" w:cs="Times New Roman"/>
              </w:rPr>
            </w:pPr>
            <w:r>
              <w:rPr>
                <w:rFonts w:asciiTheme="minorHAnsi" w:hAnsiTheme="minorHAnsi" w:cs="Times New Roman"/>
              </w:rPr>
              <w:t>“</w:t>
            </w:r>
            <w:r w:rsidRPr="00640A44">
              <w:rPr>
                <w:rFonts w:asciiTheme="minorHAnsi" w:hAnsiTheme="minorHAnsi" w:cs="Times New Roman"/>
              </w:rPr>
              <w:t>The Bank applies safeguards throughout the project cycle to ensure the environmental sustainability of all Bank-financed operations. In line with sustainable development practices</w:t>
            </w:r>
            <w:r w:rsidRPr="00D04661">
              <w:rPr>
                <w:rFonts w:asciiTheme="minorHAnsi" w:hAnsiTheme="minorHAnsi" w:cs="Times New Roman"/>
                <w:b/>
                <w:i/>
              </w:rPr>
              <w:t xml:space="preserve">, </w:t>
            </w:r>
            <w:r w:rsidRPr="00D04661">
              <w:rPr>
                <w:rFonts w:asciiTheme="minorHAnsi" w:hAnsiTheme="minorHAnsi" w:cs="Times New Roman"/>
                <w:i/>
              </w:rPr>
              <w:t>the Bank takes a general precautionary approach to environmental impacts</w:t>
            </w:r>
            <w:r w:rsidRPr="00D04661">
              <w:rPr>
                <w:rFonts w:asciiTheme="minorHAnsi" w:hAnsiTheme="minorHAnsi" w:cs="Times New Roman"/>
              </w:rPr>
              <w:t>.</w:t>
            </w:r>
            <w:r>
              <w:rPr>
                <w:rFonts w:asciiTheme="minorHAnsi" w:hAnsiTheme="minorHAnsi" w:cs="Times New Roman"/>
              </w:rPr>
              <w:t>”</w:t>
            </w:r>
            <w:r w:rsidRPr="00640A44">
              <w:rPr>
                <w:rFonts w:asciiTheme="minorHAnsi" w:hAnsiTheme="minorHAnsi" w:cs="Times New Roman"/>
              </w:rPr>
              <w:t xml:space="preserve"> (</w:t>
            </w:r>
            <w:r w:rsidRPr="00640A44">
              <w:rPr>
                <w:rFonts w:asciiTheme="minorHAnsi" w:hAnsiTheme="minorHAnsi" w:cs="Times New Roman"/>
                <w:b/>
              </w:rPr>
              <w:t>IDB, ESCP, para. 4.13</w:t>
            </w:r>
            <w:r w:rsidRPr="00640A44">
              <w:rPr>
                <w:rFonts w:asciiTheme="minorHAnsi" w:hAnsiTheme="minorHAnsi" w:cs="Times New Roman"/>
              </w:rPr>
              <w:t>)</w:t>
            </w:r>
            <w:r>
              <w:rPr>
                <w:rFonts w:asciiTheme="minorHAnsi" w:hAnsiTheme="minorHAnsi" w:cs="Times New Roman"/>
              </w:rPr>
              <w:t xml:space="preserve"> (emphasis added)</w:t>
            </w:r>
          </w:p>
          <w:p w14:paraId="64E58141" w14:textId="77777777" w:rsidR="00CF59E1" w:rsidRDefault="00CF59E1" w:rsidP="00CF59E1">
            <w:pPr>
              <w:spacing w:after="120"/>
              <w:rPr>
                <w:rFonts w:asciiTheme="minorHAnsi" w:hAnsiTheme="minorHAnsi" w:cs="Times New Roman"/>
              </w:rPr>
            </w:pPr>
            <w:r w:rsidRPr="00640A44">
              <w:rPr>
                <w:rFonts w:asciiTheme="minorHAnsi" w:hAnsiTheme="minorHAnsi" w:cs="Times New Roman"/>
              </w:rPr>
              <w:t xml:space="preserve">The </w:t>
            </w:r>
            <w:r w:rsidRPr="00D04661">
              <w:rPr>
                <w:rFonts w:asciiTheme="minorHAnsi" w:hAnsiTheme="minorHAnsi" w:cs="Times New Roman"/>
                <w:i/>
              </w:rPr>
              <w:t>EIB requires the application of the precautionary principle</w:t>
            </w:r>
            <w:r w:rsidRPr="00640A44">
              <w:rPr>
                <w:rFonts w:asciiTheme="minorHAnsi" w:hAnsiTheme="minorHAnsi" w:cs="Times New Roman"/>
              </w:rPr>
              <w:t xml:space="preserve"> through the mitigation hierarchy in order to promoter more sustainable patterns of development in the regions it operates.</w:t>
            </w:r>
            <w:r>
              <w:rPr>
                <w:rFonts w:asciiTheme="minorHAnsi" w:hAnsiTheme="minorHAnsi" w:cs="Times New Roman"/>
              </w:rPr>
              <w:t>”</w:t>
            </w:r>
            <w:r w:rsidRPr="00640A44">
              <w:rPr>
                <w:rFonts w:asciiTheme="minorHAnsi" w:hAnsiTheme="minorHAnsi" w:cs="Times New Roman"/>
              </w:rPr>
              <w:t xml:space="preserve"> </w:t>
            </w:r>
            <w:r w:rsidRPr="00C87D25">
              <w:rPr>
                <w:rFonts w:asciiTheme="minorHAnsi" w:hAnsiTheme="minorHAnsi" w:cs="Times New Roman"/>
                <w:b/>
              </w:rPr>
              <w:t>(EIB</w:t>
            </w:r>
            <w:r>
              <w:rPr>
                <w:rFonts w:asciiTheme="minorHAnsi" w:hAnsiTheme="minorHAnsi" w:cs="Times New Roman"/>
              </w:rPr>
              <w:t>)</w:t>
            </w:r>
          </w:p>
          <w:p w14:paraId="539C8D1A" w14:textId="77777777" w:rsidR="00CF59E1" w:rsidRPr="00D8522E" w:rsidRDefault="00CF59E1" w:rsidP="00CF59E1">
            <w:pPr>
              <w:spacing w:after="120"/>
              <w:rPr>
                <w:rFonts w:asciiTheme="minorHAnsi" w:hAnsiTheme="minorHAnsi" w:cs="Calibri"/>
                <w:color w:val="E36C0A"/>
              </w:rPr>
            </w:pPr>
          </w:p>
        </w:tc>
      </w:tr>
      <w:tr w:rsidR="00CF59E1" w:rsidRPr="00D8522E" w14:paraId="4A33BE03" w14:textId="77777777" w:rsidTr="00CF59E1">
        <w:tc>
          <w:tcPr>
            <w:tcW w:w="6390" w:type="dxa"/>
            <w:shd w:val="clear" w:color="auto" w:fill="auto"/>
            <w:vAlign w:val="center"/>
          </w:tcPr>
          <w:p w14:paraId="5CAFB5FB" w14:textId="77777777" w:rsidR="00CF59E1" w:rsidRDefault="00CF59E1" w:rsidP="00CF59E1">
            <w:pPr>
              <w:spacing w:after="120"/>
              <w:rPr>
                <w:rFonts w:asciiTheme="minorHAnsi" w:hAnsiTheme="minorHAnsi" w:cs="Calibri"/>
                <w:b/>
              </w:rPr>
            </w:pPr>
            <w:r>
              <w:rPr>
                <w:rFonts w:asciiTheme="minorHAnsi" w:hAnsiTheme="minorHAnsi" w:cs="Calibri"/>
                <w:b/>
              </w:rPr>
              <w:t>REFERENCE  TO THE WORLD BANK GROUP ENVIRONMENTAL, HEALTH AND SAFETY GUIDELINES (EHSGs</w:t>
            </w:r>
          </w:p>
          <w:p w14:paraId="5BE53493" w14:textId="77777777" w:rsidR="00CF59E1" w:rsidRDefault="00CF59E1" w:rsidP="00CF59E1">
            <w:pPr>
              <w:spacing w:after="120"/>
              <w:rPr>
                <w:rFonts w:asciiTheme="minorHAnsi" w:hAnsiTheme="minorHAnsi" w:cs="Arial"/>
                <w:color w:val="000000"/>
              </w:rPr>
            </w:pPr>
            <w:r w:rsidRPr="00E42AA2">
              <w:rPr>
                <w:rFonts w:asciiTheme="minorHAnsi" w:hAnsiTheme="minorHAnsi" w:cs="Calibri"/>
                <w:b/>
              </w:rPr>
              <w:t>OP. 4.01</w:t>
            </w:r>
            <w:r w:rsidRPr="00B06303">
              <w:rPr>
                <w:rFonts w:asciiTheme="minorHAnsi" w:hAnsiTheme="minorHAnsi" w:cs="Calibri"/>
                <w:b/>
              </w:rPr>
              <w:t xml:space="preserve">, para. 6.  </w:t>
            </w:r>
            <w:r w:rsidRPr="00D04661">
              <w:rPr>
                <w:rFonts w:asciiTheme="minorHAnsi" w:hAnsiTheme="minorHAnsi" w:cs="Arial"/>
                <w:color w:val="000000"/>
              </w:rPr>
              <w:t xml:space="preserve">The </w:t>
            </w:r>
            <w:r w:rsidRPr="00D04661">
              <w:rPr>
                <w:rStyle w:val="Emphasis"/>
                <w:rFonts w:asciiTheme="minorHAnsi" w:hAnsiTheme="minorHAnsi" w:cs="Arial"/>
                <w:color w:val="000000"/>
              </w:rPr>
              <w:t>Pollution Prevention and Abatement Handbook</w:t>
            </w:r>
            <w:bookmarkStart w:id="21" w:name="fref9"/>
            <w:bookmarkEnd w:id="21"/>
            <w:r>
              <w:rPr>
                <w:rStyle w:val="FootnoteReference"/>
                <w:rFonts w:asciiTheme="minorHAnsi" w:hAnsiTheme="minorHAnsi" w:cs="Calibri"/>
                <w:b/>
              </w:rPr>
              <w:footnoteReference w:id="212"/>
            </w:r>
            <w:r w:rsidRPr="00D04661">
              <w:rPr>
                <w:rFonts w:asciiTheme="minorHAnsi" w:hAnsiTheme="minorHAnsi" w:cs="Arial"/>
                <w:color w:val="000000"/>
              </w:rPr>
              <w:t xml:space="preserve"> describes pollution prevention and abatement measures and emission levels that are normally acceptable to the Bank. However, taking into account borrower country legislation and local conditions, the EA may recommend alternative emission levels and approaches to pollution prevention and abatement for the project. The EA report must provide full and detailed justification for the levels and approaches chosen for the particular project or site</w:t>
            </w:r>
          </w:p>
          <w:p w14:paraId="031ED5CE" w14:textId="77777777" w:rsidR="00CF59E1" w:rsidRDefault="00CF59E1" w:rsidP="00CF59E1">
            <w:pPr>
              <w:spacing w:after="120"/>
              <w:rPr>
                <w:rFonts w:asciiTheme="minorHAnsi" w:hAnsiTheme="minorHAnsi" w:cs="Calibri"/>
                <w:b/>
              </w:rPr>
            </w:pPr>
            <w:r w:rsidRPr="00D04661">
              <w:rPr>
                <w:rFonts w:asciiTheme="minorHAnsi" w:hAnsiTheme="minorHAnsi" w:cs="Arial"/>
                <w:color w:val="000000"/>
                <w:sz w:val="20"/>
                <w:szCs w:val="20"/>
              </w:rPr>
              <w:t>Footnotes 1 and 9:</w:t>
            </w:r>
            <w:r>
              <w:rPr>
                <w:rFonts w:asciiTheme="minorHAnsi" w:hAnsiTheme="minorHAnsi" w:cs="Arial"/>
                <w:color w:val="000000"/>
              </w:rPr>
              <w:t xml:space="preserve">  </w:t>
            </w:r>
            <w:r>
              <w:rPr>
                <w:rFonts w:ascii="Arial" w:eastAsia="Times" w:hAnsi="Arial" w:cs="Arial"/>
                <w:color w:val="000000"/>
                <w:sz w:val="15"/>
                <w:szCs w:val="15"/>
              </w:rPr>
              <w:t>World Bank Group Environment[al], Health and Safety Guidelines (EHSGs) have replaced the 1998 Pollution Prevention and Abatement Handbook (PPAH). Guidelines as to what constitutes acceptable pollution prevention and abatement measures and emission levels in a Bank financed project can be found in the EHSGs. For complete reference, consult the</w:t>
            </w:r>
            <w:r>
              <w:rPr>
                <w:rFonts w:ascii="Arial" w:eastAsia="Times" w:hAnsi="Arial" w:cs="Arial"/>
                <w:color w:val="000000"/>
                <w:szCs w:val="20"/>
              </w:rPr>
              <w:t> </w:t>
            </w:r>
            <w:hyperlink r:id="rId33" w:history="1">
              <w:r>
                <w:rPr>
                  <w:rStyle w:val="Emphasis"/>
                  <w:rFonts w:ascii="Arial" w:eastAsia="Times" w:hAnsi="Arial" w:cs="Arial"/>
                  <w:color w:val="204E84"/>
                  <w:sz w:val="15"/>
                  <w:szCs w:val="15"/>
                  <w:u w:val="single"/>
                </w:rPr>
                <w:t>World Bank Group Environmental Health and Safety Guidelines</w:t>
              </w:r>
            </w:hyperlink>
            <w:r>
              <w:rPr>
                <w:rFonts w:eastAsia="Times"/>
                <w:color w:val="000000"/>
                <w:szCs w:val="20"/>
              </w:rPr>
              <w:t xml:space="preserve">. </w:t>
            </w:r>
            <w:r>
              <w:rPr>
                <w:rFonts w:ascii="Arial" w:eastAsia="Times" w:hAnsi="Arial" w:cs="Arial"/>
                <w:color w:val="000000"/>
                <w:sz w:val="15"/>
                <w:szCs w:val="15"/>
              </w:rPr>
              <w:t>Please check the website [www1.ifc.org/wps/wcm/connect/Topics_Ext_Content/IFC_External_Corporate_Site/IFC+Sustainability/Sustainability+Framework/Environmental,+Health,+and+Safety+Guidelines/] for the most recent version.</w:t>
            </w:r>
          </w:p>
          <w:p w14:paraId="50FCF09D" w14:textId="77777777" w:rsidR="00CF59E1" w:rsidRPr="00113061" w:rsidRDefault="00CF59E1" w:rsidP="00CF59E1">
            <w:pPr>
              <w:spacing w:after="120"/>
              <w:rPr>
                <w:rFonts w:asciiTheme="minorHAnsi" w:hAnsiTheme="minorHAnsi" w:cs="Calibri"/>
                <w:b/>
              </w:rPr>
            </w:pPr>
          </w:p>
        </w:tc>
        <w:tc>
          <w:tcPr>
            <w:tcW w:w="7200" w:type="dxa"/>
            <w:shd w:val="clear" w:color="auto" w:fill="auto"/>
          </w:tcPr>
          <w:p w14:paraId="12A79A65" w14:textId="77777777" w:rsidR="00CF59E1" w:rsidRDefault="00CF59E1" w:rsidP="00CF59E1">
            <w:pPr>
              <w:spacing w:after="120"/>
              <w:rPr>
                <w:rFonts w:asciiTheme="minorHAnsi" w:hAnsiTheme="minorHAnsi" w:cs="Arial"/>
                <w:b/>
              </w:rPr>
            </w:pPr>
            <w:r w:rsidRPr="00D04661">
              <w:rPr>
                <w:rFonts w:asciiTheme="minorHAnsi" w:hAnsiTheme="minorHAnsi" w:cs="Arial"/>
              </w:rPr>
              <w:t>[Policy Principle] 9. Apply pollution prevention and control technologies and practices consistent with international good practices as reflected in internationally recognized standards such as the World Bank Group’s Environmental, Health and Safety Guidelines</w:t>
            </w:r>
            <w:r>
              <w:rPr>
                <w:rFonts w:asciiTheme="minorHAnsi" w:hAnsiTheme="minorHAnsi" w:cs="Arial"/>
              </w:rPr>
              <w:t>. (</w:t>
            </w:r>
            <w:r w:rsidRPr="00D04661">
              <w:rPr>
                <w:rFonts w:asciiTheme="minorHAnsi" w:hAnsiTheme="minorHAnsi" w:cs="Arial"/>
                <w:b/>
              </w:rPr>
              <w:t>ADB, SPS, Table 1, Environmental Safeguards)</w:t>
            </w:r>
          </w:p>
          <w:p w14:paraId="42DAD9A0" w14:textId="77777777" w:rsidR="00CF59E1" w:rsidRDefault="00CF59E1" w:rsidP="00CF59E1">
            <w:pPr>
              <w:spacing w:after="120"/>
              <w:rPr>
                <w:rFonts w:asciiTheme="minorHAnsi" w:hAnsiTheme="minorHAnsi" w:cs="Arial"/>
                <w:b/>
                <w:bCs/>
              </w:rPr>
            </w:pPr>
            <w:r w:rsidRPr="00D04661">
              <w:rPr>
                <w:rFonts w:asciiTheme="minorHAnsi" w:hAnsiTheme="minorHAnsi" w:cs="Arial"/>
              </w:rPr>
              <w:t xml:space="preserve">33. During the design, construction, and operation of the project the borrower/client will apply pollution prevention and control technologies and practices consistent with international good practice, as reflected in internationally recognized standards such as the World Bank Group’s </w:t>
            </w:r>
            <w:r w:rsidRPr="00D04661">
              <w:rPr>
                <w:rFonts w:asciiTheme="minorHAnsi" w:hAnsiTheme="minorHAnsi" w:cs="Arial"/>
                <w:i/>
                <w:iCs/>
              </w:rPr>
              <w:t>Environment[al], Health and Safety Guidelines.</w:t>
            </w:r>
            <w:r w:rsidRPr="00D04661">
              <w:rPr>
                <w:rFonts w:asciiTheme="minorHAnsi" w:hAnsiTheme="minorHAnsi" w:cs="Arial"/>
                <w:sz w:val="14"/>
                <w:szCs w:val="14"/>
              </w:rPr>
              <w:t xml:space="preserve"> </w:t>
            </w:r>
            <w:r w:rsidRPr="00D04661">
              <w:rPr>
                <w:rFonts w:asciiTheme="minorHAnsi" w:hAnsiTheme="minorHAnsi" w:cs="Arial"/>
              </w:rPr>
              <w:t>These standards contain performance levels and measures that are normally acceptable and applicable to projects. When host country regulations differ from these levels and measures, the borrower/client will achieve whichever is more stringent. If less stringent levels or measures are appropriate in view of specific project circumstances, the borrower/client will provide full and detailed justification for any proposed alternatives that are</w:t>
            </w:r>
            <w:r>
              <w:rPr>
                <w:rFonts w:ascii="Arial" w:hAnsi="Arial" w:cs="Arial"/>
              </w:rPr>
              <w:t xml:space="preserve"> </w:t>
            </w:r>
            <w:r w:rsidRPr="00D04661">
              <w:rPr>
                <w:rFonts w:asciiTheme="minorHAnsi" w:hAnsiTheme="minorHAnsi" w:cs="Arial"/>
              </w:rPr>
              <w:t>consistent with the requirements presented in this document. (</w:t>
            </w:r>
            <w:r w:rsidRPr="00D04661">
              <w:rPr>
                <w:rFonts w:asciiTheme="minorHAnsi" w:hAnsiTheme="minorHAnsi" w:cs="Arial"/>
                <w:b/>
              </w:rPr>
              <w:t xml:space="preserve">ADB, SPS, Appendix 1. </w:t>
            </w:r>
            <w:r w:rsidRPr="00D04661">
              <w:rPr>
                <w:rFonts w:asciiTheme="minorHAnsi" w:hAnsiTheme="minorHAnsi" w:cs="Arial"/>
                <w:b/>
                <w:bCs/>
              </w:rPr>
              <w:t>9. Pollution Prevention and Abatement)</w:t>
            </w:r>
          </w:p>
          <w:p w14:paraId="60DBAD29" w14:textId="77777777" w:rsidR="00CF59E1" w:rsidRDefault="00CF59E1" w:rsidP="00CF59E1">
            <w:pPr>
              <w:spacing w:after="120"/>
              <w:rPr>
                <w:rFonts w:asciiTheme="minorHAnsi" w:hAnsiTheme="minorHAnsi" w:cs="Arial"/>
                <w:b/>
                <w:bCs/>
              </w:rPr>
            </w:pPr>
            <w:r w:rsidRPr="00D04661">
              <w:rPr>
                <w:rFonts w:asciiTheme="minorHAnsi" w:hAnsiTheme="minorHAnsi" w:cs="Arial"/>
              </w:rPr>
              <w:t xml:space="preserve">41. The borrower/client will apply preventive and protective measures consistent with international good practice, as reflected in internationally recognized standards such as the World Bank Group’s </w:t>
            </w:r>
            <w:r w:rsidRPr="00D04661">
              <w:rPr>
                <w:rFonts w:asciiTheme="minorHAnsi" w:hAnsiTheme="minorHAnsi" w:cs="Arial"/>
                <w:i/>
                <w:iCs/>
              </w:rPr>
              <w:t xml:space="preserve">Environment[al], Health and Safety Guidelines. </w:t>
            </w:r>
            <w:r w:rsidRPr="00D04661">
              <w:rPr>
                <w:rFonts w:asciiTheme="minorHAnsi" w:hAnsiTheme="minorHAnsi" w:cs="Arial"/>
                <w:b/>
                <w:iCs/>
              </w:rPr>
              <w:t>(ADB, SPS, Appendix</w:t>
            </w:r>
            <w:r w:rsidRPr="00D04661">
              <w:rPr>
                <w:rFonts w:asciiTheme="minorHAnsi" w:hAnsiTheme="minorHAnsi" w:cs="Arial"/>
                <w:iCs/>
              </w:rPr>
              <w:t xml:space="preserve"> 1. </w:t>
            </w:r>
            <w:r w:rsidRPr="00D04661">
              <w:rPr>
                <w:rFonts w:asciiTheme="minorHAnsi" w:hAnsiTheme="minorHAnsi" w:cs="Arial"/>
                <w:b/>
                <w:bCs/>
              </w:rPr>
              <w:t>10. Health and Safety. a. Occupational Health and Safety</w:t>
            </w:r>
          </w:p>
          <w:p w14:paraId="668ED628" w14:textId="77777777" w:rsidR="00CF59E1" w:rsidRPr="00D04661" w:rsidRDefault="00CF59E1" w:rsidP="00CF59E1">
            <w:pPr>
              <w:spacing w:after="120"/>
              <w:rPr>
                <w:rFonts w:asciiTheme="minorHAnsi" w:hAnsiTheme="minorHAnsi" w:cs="HelveticaNeueLTStd-Lt"/>
              </w:rPr>
            </w:pPr>
            <w:r w:rsidRPr="00D04661">
              <w:rPr>
                <w:rFonts w:asciiTheme="minorHAnsi" w:hAnsiTheme="minorHAnsi" w:cs="HelveticaNeueLTStd-Md"/>
              </w:rPr>
              <w:t>Pollution prevention and</w:t>
            </w:r>
            <w:r>
              <w:rPr>
                <w:rFonts w:asciiTheme="minorHAnsi" w:hAnsiTheme="minorHAnsi" w:cs="HelveticaNeueLTStd-Md"/>
              </w:rPr>
              <w:t xml:space="preserve"> </w:t>
            </w:r>
            <w:r w:rsidRPr="00D04661">
              <w:rPr>
                <w:rFonts w:asciiTheme="minorHAnsi" w:hAnsiTheme="minorHAnsi" w:cs="HelveticaNeueLTStd-Md"/>
              </w:rPr>
              <w:t>control, and resource efficiency</w:t>
            </w:r>
            <w:r>
              <w:rPr>
                <w:rFonts w:asciiTheme="minorHAnsi" w:hAnsiTheme="minorHAnsi" w:cs="HelveticaNeueLTStd-Md"/>
              </w:rPr>
              <w:t xml:space="preserve"> </w:t>
            </w:r>
            <w:r w:rsidRPr="00D04661">
              <w:rPr>
                <w:rFonts w:asciiTheme="minorHAnsi" w:hAnsiTheme="minorHAnsi" w:cs="HelveticaNeueLTStd-Lt"/>
              </w:rPr>
              <w:t>The borrower or client applies</w:t>
            </w:r>
            <w:r>
              <w:rPr>
                <w:rFonts w:asciiTheme="minorHAnsi" w:hAnsiTheme="minorHAnsi" w:cs="HelveticaNeueLTStd-Lt"/>
              </w:rPr>
              <w:t xml:space="preserve"> </w:t>
            </w:r>
            <w:r w:rsidRPr="00D04661">
              <w:rPr>
                <w:rFonts w:asciiTheme="minorHAnsi" w:hAnsiTheme="minorHAnsi" w:cs="HelveticaNeueLTStd-Lt"/>
              </w:rPr>
              <w:t>pollution prevention and control</w:t>
            </w:r>
            <w:r>
              <w:rPr>
                <w:rFonts w:asciiTheme="minorHAnsi" w:hAnsiTheme="minorHAnsi" w:cs="HelveticaNeueLTStd-Lt"/>
              </w:rPr>
              <w:t xml:space="preserve"> </w:t>
            </w:r>
            <w:r w:rsidRPr="00D04661">
              <w:rPr>
                <w:rFonts w:asciiTheme="minorHAnsi" w:hAnsiTheme="minorHAnsi" w:cs="HelveticaNeueLTStd-Lt"/>
              </w:rPr>
              <w:t>measures consistent with national</w:t>
            </w:r>
            <w:r>
              <w:rPr>
                <w:rFonts w:asciiTheme="minorHAnsi" w:hAnsiTheme="minorHAnsi" w:cs="HelveticaNeueLTStd-Lt"/>
              </w:rPr>
              <w:t xml:space="preserve"> </w:t>
            </w:r>
            <w:r w:rsidRPr="00D04661">
              <w:rPr>
                <w:rFonts w:asciiTheme="minorHAnsi" w:hAnsiTheme="minorHAnsi" w:cs="HelveticaNeueLTStd-Lt"/>
              </w:rPr>
              <w:t>legislation and standards, applicable</w:t>
            </w:r>
            <w:r>
              <w:rPr>
                <w:rFonts w:asciiTheme="minorHAnsi" w:hAnsiTheme="minorHAnsi" w:cs="HelveticaNeueLTStd-Lt"/>
              </w:rPr>
              <w:t xml:space="preserve"> </w:t>
            </w:r>
            <w:r w:rsidRPr="00D04661">
              <w:rPr>
                <w:rFonts w:asciiTheme="minorHAnsi" w:hAnsiTheme="minorHAnsi" w:cs="HelveticaNeueLTStd-Lt"/>
              </w:rPr>
              <w:t>international conventions, and</w:t>
            </w:r>
          </w:p>
          <w:p w14:paraId="10BABBB0" w14:textId="77777777" w:rsidR="00CF59E1" w:rsidRPr="00D04661" w:rsidRDefault="00CF59E1" w:rsidP="00CF59E1">
            <w:pPr>
              <w:spacing w:after="120"/>
              <w:rPr>
                <w:rFonts w:asciiTheme="minorHAnsi" w:hAnsiTheme="minorHAnsi" w:cs="HelveticaNeueLTStd-Lt"/>
              </w:rPr>
            </w:pPr>
            <w:r w:rsidRPr="00D04661">
              <w:rPr>
                <w:rFonts w:asciiTheme="minorHAnsi" w:hAnsiTheme="minorHAnsi" w:cs="HelveticaNeueLTStd-Lt"/>
              </w:rPr>
              <w:t>internationally recognised standards</w:t>
            </w:r>
            <w:r>
              <w:rPr>
                <w:rFonts w:asciiTheme="minorHAnsi" w:hAnsiTheme="minorHAnsi" w:cs="HelveticaNeueLTStd-Lt"/>
              </w:rPr>
              <w:t xml:space="preserve"> </w:t>
            </w:r>
            <w:r w:rsidRPr="00D04661">
              <w:rPr>
                <w:rFonts w:asciiTheme="minorHAnsi" w:hAnsiTheme="minorHAnsi" w:cs="HelveticaNeueLTStd-Lt"/>
              </w:rPr>
              <w:t>and good practice, particularly the</w:t>
            </w:r>
          </w:p>
          <w:p w14:paraId="66BF0BC7" w14:textId="77777777" w:rsidR="00CF59E1" w:rsidRPr="004056D9" w:rsidRDefault="00CF59E1" w:rsidP="00CF59E1">
            <w:pPr>
              <w:spacing w:after="120"/>
              <w:rPr>
                <w:rFonts w:asciiTheme="minorHAnsi" w:hAnsiTheme="minorHAnsi" w:cs="Arial"/>
                <w:b/>
                <w:bCs/>
              </w:rPr>
            </w:pPr>
            <w:r w:rsidRPr="00D04661">
              <w:rPr>
                <w:rFonts w:asciiTheme="minorHAnsi" w:hAnsiTheme="minorHAnsi" w:cs="HelveticaNeueLTStd-Lt"/>
              </w:rPr>
              <w:t>EHS Guidelines</w:t>
            </w:r>
            <w:r>
              <w:rPr>
                <w:rStyle w:val="FootnoteReference"/>
                <w:rFonts w:asciiTheme="minorHAnsi" w:hAnsiTheme="minorHAnsi" w:cs="HelveticaNeueLTStd-Lt"/>
              </w:rPr>
              <w:footnoteReference w:id="213"/>
            </w:r>
            <w:r w:rsidRPr="00D04661">
              <w:rPr>
                <w:rFonts w:asciiTheme="minorHAnsi" w:hAnsiTheme="minorHAnsi" w:cs="HelveticaNeueLTStd-Lt"/>
              </w:rPr>
              <w:t>.</w:t>
            </w:r>
            <w:r>
              <w:rPr>
                <w:rFonts w:asciiTheme="minorHAnsi" w:hAnsiTheme="minorHAnsi" w:cs="HelveticaNeueLTStd-Lt"/>
              </w:rPr>
              <w:t xml:space="preserve"> </w:t>
            </w:r>
            <w:r w:rsidRPr="00D04661">
              <w:rPr>
                <w:rFonts w:asciiTheme="minorHAnsi" w:hAnsiTheme="minorHAnsi" w:cs="HelveticaNeueLTStd-Lt"/>
              </w:rPr>
              <w:t>When national legislation and regulations</w:t>
            </w:r>
            <w:r>
              <w:rPr>
                <w:rFonts w:asciiTheme="minorHAnsi" w:hAnsiTheme="minorHAnsi" w:cs="HelveticaNeueLTStd-Lt"/>
              </w:rPr>
              <w:t xml:space="preserve"> </w:t>
            </w:r>
            <w:r w:rsidRPr="00D04661">
              <w:rPr>
                <w:rFonts w:asciiTheme="minorHAnsi" w:hAnsiTheme="minorHAnsi" w:cs="HelveticaNeueLTStd-Lt"/>
              </w:rPr>
              <w:t>differ from the standards and measures</w:t>
            </w:r>
            <w:r>
              <w:rPr>
                <w:rFonts w:asciiTheme="minorHAnsi" w:hAnsiTheme="minorHAnsi" w:cs="HelveticaNeueLTStd-Lt"/>
              </w:rPr>
              <w:t xml:space="preserve"> </w:t>
            </w:r>
            <w:r w:rsidRPr="00D04661">
              <w:rPr>
                <w:rFonts w:asciiTheme="minorHAnsi" w:hAnsiTheme="minorHAnsi" w:cs="HelveticaNeueLTStd-Lt"/>
              </w:rPr>
              <w:t>presented in the EHS Guidelines,</w:t>
            </w:r>
            <w:r>
              <w:rPr>
                <w:rFonts w:asciiTheme="minorHAnsi" w:hAnsiTheme="minorHAnsi" w:cs="HelveticaNeueLTStd-Lt"/>
              </w:rPr>
              <w:t xml:space="preserve"> </w:t>
            </w:r>
            <w:r w:rsidRPr="00D04661">
              <w:rPr>
                <w:rFonts w:asciiTheme="minorHAnsi" w:hAnsiTheme="minorHAnsi" w:cs="HelveticaNeueLTStd-Lt"/>
              </w:rPr>
              <w:t>borrowers or clients are normally</w:t>
            </w:r>
            <w:r>
              <w:rPr>
                <w:rFonts w:asciiTheme="minorHAnsi" w:hAnsiTheme="minorHAnsi" w:cs="HelveticaNeueLTStd-Lt"/>
              </w:rPr>
              <w:t xml:space="preserve"> </w:t>
            </w:r>
            <w:r w:rsidRPr="00D04661">
              <w:rPr>
                <w:rFonts w:asciiTheme="minorHAnsi" w:hAnsiTheme="minorHAnsi" w:cs="HelveticaNeueLTStd-Lt"/>
              </w:rPr>
              <w:t>required to achieve whichever is more</w:t>
            </w:r>
            <w:r>
              <w:rPr>
                <w:rFonts w:asciiTheme="minorHAnsi" w:hAnsiTheme="minorHAnsi" w:cs="HelveticaNeueLTStd-Lt"/>
              </w:rPr>
              <w:t xml:space="preserve"> </w:t>
            </w:r>
            <w:r w:rsidRPr="00D04661">
              <w:rPr>
                <w:rFonts w:asciiTheme="minorHAnsi" w:hAnsiTheme="minorHAnsi" w:cs="HelveticaNeueLTStd-Lt"/>
              </w:rPr>
              <w:t xml:space="preserve">stringent. </w:t>
            </w:r>
            <w:r>
              <w:rPr>
                <w:rFonts w:asciiTheme="minorHAnsi" w:hAnsiTheme="minorHAnsi" w:cs="HelveticaNeueLTStd-Lt"/>
              </w:rPr>
              <w:t xml:space="preserve"> H</w:t>
            </w:r>
            <w:r w:rsidRPr="00D04661">
              <w:rPr>
                <w:rFonts w:asciiTheme="minorHAnsi" w:hAnsiTheme="minorHAnsi" w:cs="HelveticaNeueLTStd-Lt"/>
              </w:rPr>
              <w:t>owever, if less stringent</w:t>
            </w:r>
            <w:r>
              <w:rPr>
                <w:rFonts w:asciiTheme="minorHAnsi" w:hAnsiTheme="minorHAnsi" w:cs="HelveticaNeueLTStd-Lt"/>
              </w:rPr>
              <w:t xml:space="preserve"> </w:t>
            </w:r>
            <w:r w:rsidRPr="00D04661">
              <w:rPr>
                <w:rFonts w:asciiTheme="minorHAnsi" w:hAnsiTheme="minorHAnsi" w:cs="HelveticaNeueLTStd-Lt"/>
              </w:rPr>
              <w:t>levels or measures are appropriate to</w:t>
            </w:r>
            <w:r>
              <w:rPr>
                <w:rFonts w:asciiTheme="minorHAnsi" w:hAnsiTheme="minorHAnsi" w:cs="HelveticaNeueLTStd-Lt"/>
              </w:rPr>
              <w:t xml:space="preserve"> </w:t>
            </w:r>
            <w:r w:rsidRPr="00D04661">
              <w:rPr>
                <w:rFonts w:asciiTheme="minorHAnsi" w:hAnsiTheme="minorHAnsi" w:cs="HelveticaNeueLTStd-Lt"/>
              </w:rPr>
              <w:t>specific project circumstances, the</w:t>
            </w:r>
            <w:r>
              <w:rPr>
                <w:rFonts w:asciiTheme="minorHAnsi" w:hAnsiTheme="minorHAnsi" w:cs="HelveticaNeueLTStd-Lt"/>
              </w:rPr>
              <w:t xml:space="preserve"> </w:t>
            </w:r>
            <w:r w:rsidRPr="00D04661">
              <w:rPr>
                <w:rFonts w:asciiTheme="minorHAnsi" w:hAnsiTheme="minorHAnsi" w:cs="HelveticaNeueLTStd-Lt"/>
              </w:rPr>
              <w:t>borrower or client provides full and</w:t>
            </w:r>
            <w:r>
              <w:rPr>
                <w:rFonts w:asciiTheme="minorHAnsi" w:hAnsiTheme="minorHAnsi" w:cs="HelveticaNeueLTStd-Lt"/>
              </w:rPr>
              <w:t xml:space="preserve"> </w:t>
            </w:r>
            <w:r w:rsidRPr="00D04661">
              <w:rPr>
                <w:rFonts w:asciiTheme="minorHAnsi" w:hAnsiTheme="minorHAnsi" w:cs="HelveticaNeueLTStd-Lt"/>
              </w:rPr>
              <w:t>detailed justification for any proposed</w:t>
            </w:r>
            <w:r>
              <w:rPr>
                <w:rFonts w:asciiTheme="minorHAnsi" w:hAnsiTheme="minorHAnsi" w:cs="HelveticaNeueLTStd-Lt"/>
              </w:rPr>
              <w:t xml:space="preserve"> </w:t>
            </w:r>
            <w:r w:rsidRPr="00D04661">
              <w:rPr>
                <w:rFonts w:asciiTheme="minorHAnsi" w:hAnsiTheme="minorHAnsi" w:cs="HelveticaNeueLTStd-Lt"/>
              </w:rPr>
              <w:t>alternatives through the environmental</w:t>
            </w:r>
            <w:r>
              <w:rPr>
                <w:rFonts w:asciiTheme="minorHAnsi" w:hAnsiTheme="minorHAnsi" w:cs="HelveticaNeueLTStd-Lt"/>
              </w:rPr>
              <w:t xml:space="preserve"> </w:t>
            </w:r>
            <w:r w:rsidRPr="00D04661">
              <w:rPr>
                <w:rFonts w:asciiTheme="minorHAnsi" w:hAnsiTheme="minorHAnsi" w:cs="HelveticaNeueLTStd-Lt"/>
              </w:rPr>
              <w:t>and social assessment process. This</w:t>
            </w:r>
            <w:r>
              <w:rPr>
                <w:rFonts w:asciiTheme="minorHAnsi" w:hAnsiTheme="minorHAnsi" w:cs="HelveticaNeueLTStd-Lt"/>
              </w:rPr>
              <w:t xml:space="preserve"> </w:t>
            </w:r>
            <w:r w:rsidRPr="00D04661">
              <w:rPr>
                <w:rFonts w:asciiTheme="minorHAnsi" w:hAnsiTheme="minorHAnsi" w:cs="HelveticaNeueLTStd-Lt"/>
              </w:rPr>
              <w:t>justification demonstrates that the choice</w:t>
            </w:r>
            <w:r>
              <w:rPr>
                <w:rFonts w:asciiTheme="minorHAnsi" w:hAnsiTheme="minorHAnsi" w:cs="HelveticaNeueLTStd-Lt"/>
              </w:rPr>
              <w:t xml:space="preserve"> </w:t>
            </w:r>
            <w:r w:rsidRPr="00D04661">
              <w:rPr>
                <w:rFonts w:asciiTheme="minorHAnsi" w:hAnsiTheme="minorHAnsi" w:cs="HelveticaNeueLTStd-Lt"/>
              </w:rPr>
              <w:t>of any alternate performance levels is</w:t>
            </w:r>
            <w:r>
              <w:rPr>
                <w:rFonts w:asciiTheme="minorHAnsi" w:hAnsiTheme="minorHAnsi" w:cs="HelveticaNeueLTStd-Lt"/>
              </w:rPr>
              <w:t xml:space="preserve"> </w:t>
            </w:r>
            <w:r w:rsidRPr="00D04661">
              <w:rPr>
                <w:rFonts w:asciiTheme="minorHAnsi" w:hAnsiTheme="minorHAnsi" w:cs="HelveticaNeueLTStd-Lt"/>
              </w:rPr>
              <w:t>consistent with the overall</w:t>
            </w:r>
            <w:r>
              <w:rPr>
                <w:rFonts w:asciiTheme="minorHAnsi" w:hAnsiTheme="minorHAnsi" w:cs="HelveticaNeueLTStd-Lt"/>
              </w:rPr>
              <w:t xml:space="preserve"> r</w:t>
            </w:r>
            <w:r w:rsidRPr="00D04661">
              <w:rPr>
                <w:rFonts w:asciiTheme="minorHAnsi" w:hAnsiTheme="minorHAnsi" w:cs="HelveticaNeueLTStd-Lt"/>
              </w:rPr>
              <w:t>equirements</w:t>
            </w:r>
            <w:r>
              <w:rPr>
                <w:rFonts w:asciiTheme="minorHAnsi" w:hAnsiTheme="minorHAnsi" w:cs="HelveticaNeueLTStd-Lt"/>
              </w:rPr>
              <w:t xml:space="preserve"> </w:t>
            </w:r>
            <w:r w:rsidRPr="00D04661">
              <w:rPr>
                <w:rFonts w:asciiTheme="minorHAnsi" w:hAnsiTheme="minorHAnsi" w:cs="HelveticaNeueLTStd-Lt"/>
              </w:rPr>
              <w:t>of this OS and internationally agreed</w:t>
            </w:r>
            <w:r>
              <w:rPr>
                <w:rFonts w:asciiTheme="minorHAnsi" w:hAnsiTheme="minorHAnsi" w:cs="HelveticaNeueLTStd-Lt"/>
              </w:rPr>
              <w:t xml:space="preserve"> </w:t>
            </w:r>
            <w:r w:rsidRPr="00D04661">
              <w:rPr>
                <w:rFonts w:asciiTheme="minorHAnsi" w:hAnsiTheme="minorHAnsi" w:cs="HelveticaNeueLTStd-Lt"/>
              </w:rPr>
              <w:t>best available techniques</w:t>
            </w:r>
            <w:r w:rsidRPr="003E5240">
              <w:rPr>
                <w:rFonts w:asciiTheme="minorHAnsi" w:hAnsiTheme="minorHAnsi" w:cs="HelveticaNeueLTStd-Lt"/>
              </w:rPr>
              <w:t xml:space="preserve"> and best environmental practice. </w:t>
            </w:r>
            <w:r w:rsidRPr="003E5240">
              <w:rPr>
                <w:rFonts w:asciiTheme="minorHAnsi" w:hAnsiTheme="minorHAnsi" w:cs="HelveticaNeueLTStd-Lt"/>
                <w:b/>
              </w:rPr>
              <w:t xml:space="preserve">(AfDB, OS 4. </w:t>
            </w:r>
            <w:r w:rsidRPr="003E5240">
              <w:rPr>
                <w:rFonts w:asciiTheme="minorHAnsi" w:hAnsiTheme="minorHAnsi" w:cs="HelveticaNeueLTStd-Bd"/>
                <w:b/>
              </w:rPr>
              <w:t>Pollution Prevention and Control, Hazardous Materials and Resource Efficiency; Requirements)</w:t>
            </w:r>
          </w:p>
        </w:tc>
      </w:tr>
      <w:tr w:rsidR="00CF59E1" w:rsidRPr="00D8522E" w14:paraId="14723C42" w14:textId="77777777" w:rsidTr="00CF59E1">
        <w:tc>
          <w:tcPr>
            <w:tcW w:w="6390" w:type="dxa"/>
            <w:shd w:val="clear" w:color="auto" w:fill="auto"/>
            <w:vAlign w:val="center"/>
          </w:tcPr>
          <w:p w14:paraId="3E0D686F" w14:textId="77777777" w:rsidR="00CF59E1" w:rsidRPr="00D04661" w:rsidRDefault="00CF59E1" w:rsidP="00CF59E1">
            <w:pPr>
              <w:spacing w:after="120"/>
              <w:rPr>
                <w:rFonts w:asciiTheme="minorHAnsi" w:hAnsiTheme="minorHAnsi" w:cs="Calibri"/>
                <w:b/>
              </w:rPr>
            </w:pPr>
            <w:r w:rsidRPr="00D04661">
              <w:rPr>
                <w:rFonts w:asciiTheme="minorHAnsi" w:hAnsiTheme="minorHAnsi" w:cs="Calibri"/>
                <w:b/>
              </w:rPr>
              <w:t>GREENHOUSE GAS (GHG) EMISSIONS</w:t>
            </w:r>
          </w:p>
          <w:p w14:paraId="236C4105" w14:textId="77777777" w:rsidR="00CF59E1" w:rsidRPr="003B4A78" w:rsidRDefault="00CF59E1" w:rsidP="00CF59E1">
            <w:pPr>
              <w:autoSpaceDE/>
              <w:autoSpaceDN/>
              <w:adjustRightInd/>
              <w:spacing w:after="120"/>
              <w:rPr>
                <w:rFonts w:asciiTheme="minorHAnsi" w:hAnsiTheme="minorHAnsi" w:cs="Arial"/>
              </w:rPr>
            </w:pPr>
            <w:r w:rsidRPr="003B4A78">
              <w:rPr>
                <w:rFonts w:asciiTheme="minorHAnsi" w:eastAsia="Times New Roman" w:hAnsiTheme="minorHAnsi" w:cs="Calibri"/>
                <w:b/>
              </w:rPr>
              <w:t xml:space="preserve">OP 4.01, </w:t>
            </w:r>
            <w:r>
              <w:rPr>
                <w:rFonts w:asciiTheme="minorHAnsi" w:eastAsia="Times New Roman" w:hAnsiTheme="minorHAnsi" w:cs="Calibri"/>
                <w:b/>
              </w:rPr>
              <w:t xml:space="preserve">para. </w:t>
            </w:r>
            <w:r w:rsidRPr="003B4A78">
              <w:rPr>
                <w:rFonts w:asciiTheme="minorHAnsi" w:hAnsiTheme="minorHAnsi" w:cs="Arial"/>
                <w:b/>
              </w:rPr>
              <w:t>3</w:t>
            </w:r>
            <w:r w:rsidRPr="003B4A78">
              <w:rPr>
                <w:rFonts w:asciiTheme="minorHAnsi" w:hAnsiTheme="minorHAnsi" w:cs="Arial"/>
              </w:rPr>
              <w:t xml:space="preserve">: EA takes into account </w:t>
            </w:r>
            <w:r>
              <w:rPr>
                <w:rFonts w:asciiTheme="minorHAnsi" w:hAnsiTheme="minorHAnsi" w:cs="Arial"/>
              </w:rPr>
              <w:t>(…</w:t>
            </w:r>
            <w:r w:rsidRPr="003B4A78">
              <w:rPr>
                <w:rFonts w:asciiTheme="minorHAnsi" w:hAnsiTheme="minorHAnsi" w:cs="Arial"/>
              </w:rPr>
              <w:t xml:space="preserve">); and trans-boundary and global environmental aspects. </w:t>
            </w:r>
          </w:p>
          <w:p w14:paraId="0B07165D" w14:textId="77777777" w:rsidR="00CF59E1" w:rsidRPr="00D8522E" w:rsidRDefault="00CF59E1" w:rsidP="00CF59E1">
            <w:pPr>
              <w:autoSpaceDE/>
              <w:autoSpaceDN/>
              <w:adjustRightInd/>
              <w:spacing w:after="120"/>
              <w:rPr>
                <w:rFonts w:asciiTheme="minorHAnsi" w:eastAsia="Times New Roman" w:hAnsiTheme="minorHAnsi" w:cs="Arial"/>
                <w:color w:val="000000"/>
              </w:rPr>
            </w:pPr>
            <w:r w:rsidRPr="003B4A78">
              <w:rPr>
                <w:rFonts w:asciiTheme="minorHAnsi" w:hAnsiTheme="minorHAnsi" w:cs="Arial"/>
                <w:b/>
              </w:rPr>
              <w:t>OP 4.01 footnote 5</w:t>
            </w:r>
            <w:r w:rsidRPr="00D8522E">
              <w:rPr>
                <w:rFonts w:asciiTheme="minorHAnsi" w:hAnsiTheme="minorHAnsi" w:cs="Arial"/>
              </w:rPr>
              <w:t xml:space="preserve">: </w:t>
            </w:r>
            <w:r w:rsidRPr="00A56233">
              <w:rPr>
                <w:rFonts w:asciiTheme="minorHAnsi" w:eastAsia="Times New Roman" w:hAnsiTheme="minorHAnsi" w:cs="Arial"/>
                <w:color w:val="000000"/>
              </w:rPr>
              <w:t>Global environmental issues include climate change, ozone-depleting substances, pollution of international waters, and adverse impacts on biodiversity.</w:t>
            </w:r>
          </w:p>
          <w:p w14:paraId="29F1B472" w14:textId="77777777" w:rsidR="00CF59E1" w:rsidRPr="003B4A78" w:rsidRDefault="00CF59E1" w:rsidP="00CF59E1">
            <w:pPr>
              <w:spacing w:after="120"/>
              <w:rPr>
                <w:rFonts w:asciiTheme="minorHAnsi" w:hAnsiTheme="minorHAnsi" w:cs="Arial"/>
              </w:rPr>
            </w:pPr>
            <w:r w:rsidRPr="003B4A78">
              <w:rPr>
                <w:rFonts w:asciiTheme="minorHAnsi" w:hAnsiTheme="minorHAnsi" w:cs="Calibri"/>
                <w:b/>
              </w:rPr>
              <w:t>OP 4.01, para.6</w:t>
            </w:r>
            <w:r w:rsidRPr="003B4A78">
              <w:rPr>
                <w:rFonts w:asciiTheme="minorHAnsi" w:hAnsiTheme="minorHAnsi" w:cs="Calibri"/>
              </w:rPr>
              <w:t>.</w:t>
            </w:r>
            <w:r w:rsidRPr="003B4A78">
              <w:rPr>
                <w:rFonts w:asciiTheme="minorHAnsi" w:hAnsiTheme="minorHAnsi" w:cs="Arial"/>
              </w:rPr>
              <w:t xml:space="preserve"> The Pollution Prevention and Abatement Handbook [PPAH] describes pollution prevention and abatement measures and emission levels that are normally acceptable to the Bank.</w:t>
            </w:r>
            <w:r w:rsidRPr="003B4A78">
              <w:rPr>
                <w:rFonts w:asciiTheme="minorHAnsi" w:hAnsiTheme="minorHAnsi" w:cs="Arial"/>
                <w:color w:val="000000"/>
              </w:rPr>
              <w:t xml:space="preserve"> However, taking into account borrower country legislation and local conditions, the EA may recommend alternative emission levels and approaches to pollution prevention and abatement for the project. The EA report must provide full and detailed justification for the levels and approaches chosen for the particular project or site.</w:t>
            </w:r>
          </w:p>
          <w:p w14:paraId="38A437E8" w14:textId="77777777" w:rsidR="00CF59E1" w:rsidRPr="00D04661" w:rsidRDefault="00CF59E1" w:rsidP="00CF59E1">
            <w:pPr>
              <w:tabs>
                <w:tab w:val="left" w:pos="162"/>
              </w:tabs>
              <w:spacing w:after="120"/>
              <w:rPr>
                <w:rFonts w:asciiTheme="minorHAnsi" w:eastAsia="MS Gothic" w:hAnsiTheme="minorHAnsi" w:cs="Arial"/>
                <w:b/>
                <w:bCs/>
                <w:highlight w:val="lightGray"/>
              </w:rPr>
            </w:pPr>
            <w:r w:rsidRPr="00D04661">
              <w:rPr>
                <w:rFonts w:asciiTheme="minorHAnsi" w:hAnsiTheme="minorHAnsi" w:cs="Arial Narrow"/>
                <w:highlight w:val="lightGray"/>
              </w:rPr>
              <w:t>.</w:t>
            </w:r>
          </w:p>
          <w:p w14:paraId="0F01857E" w14:textId="77777777" w:rsidR="00CF59E1" w:rsidRPr="00D04661" w:rsidRDefault="00CF59E1" w:rsidP="00CF59E1">
            <w:pPr>
              <w:spacing w:after="120"/>
              <w:rPr>
                <w:rFonts w:asciiTheme="minorHAnsi" w:hAnsiTheme="minorHAnsi" w:cs="Calibri"/>
                <w:iCs/>
              </w:rPr>
            </w:pPr>
          </w:p>
        </w:tc>
        <w:tc>
          <w:tcPr>
            <w:tcW w:w="7200" w:type="dxa"/>
            <w:shd w:val="clear" w:color="auto" w:fill="auto"/>
          </w:tcPr>
          <w:p w14:paraId="486AEDD1" w14:textId="77777777" w:rsidR="00CF59E1" w:rsidRPr="00D04661" w:rsidRDefault="00CF59E1" w:rsidP="00CF59E1">
            <w:pPr>
              <w:spacing w:after="120"/>
              <w:rPr>
                <w:rFonts w:asciiTheme="minorHAnsi" w:hAnsiTheme="minorHAnsi" w:cs="Calibri"/>
              </w:rPr>
            </w:pPr>
            <w:r>
              <w:rPr>
                <w:rFonts w:asciiTheme="minorHAnsi" w:hAnsiTheme="minorHAnsi"/>
                <w:lang w:val="en-GB"/>
              </w:rPr>
              <w:t>“</w:t>
            </w:r>
            <w:r w:rsidRPr="00D04661">
              <w:rPr>
                <w:rFonts w:asciiTheme="minorHAnsi" w:hAnsiTheme="minorHAnsi"/>
                <w:lang w:val="en-GB"/>
              </w:rPr>
              <w:t xml:space="preserve">The Bank will develop and pilot a GHG tracking tool consistent with the provisions of the UNFCCC and without prejudging current negotiations under the Convention. Upon completion of the GHG tracking tool (December 2015), the Bank will report ex-ante on GHG emissions estimated to be produced by the Bank’s investments on a project-by-project basis and will report on GHG emissions (gross and net) in project documentation. The Bank will also report reductions in emissions achieved as a result of the Bank’s investments. In reporting on GHG emissions the Bank will be guided by two principles </w:t>
            </w:r>
            <w:r w:rsidRPr="00D04661">
              <w:rPr>
                <w:rFonts w:asciiTheme="minorHAnsi" w:hAnsiTheme="minorHAnsi" w:cs="Calibri"/>
              </w:rPr>
              <w:t>(</w:t>
            </w:r>
            <w:r w:rsidRPr="00D04661">
              <w:rPr>
                <w:rFonts w:asciiTheme="minorHAnsi" w:hAnsiTheme="minorHAnsi" w:cs="Calibri"/>
                <w:b/>
              </w:rPr>
              <w:t>AfDB, OS 4, para. 15</w:t>
            </w:r>
            <w:r w:rsidRPr="00D04661">
              <w:rPr>
                <w:rFonts w:asciiTheme="minorHAnsi" w:hAnsiTheme="minorHAnsi" w:cs="Calibri"/>
              </w:rPr>
              <w:t>)</w:t>
            </w:r>
            <w:r w:rsidRPr="00D04661">
              <w:rPr>
                <w:rFonts w:asciiTheme="minorHAnsi" w:hAnsiTheme="minorHAnsi"/>
                <w:lang w:val="en-GB"/>
              </w:rPr>
              <w:t>:</w:t>
            </w:r>
          </w:p>
          <w:p w14:paraId="493249DC" w14:textId="77777777" w:rsidR="00CF59E1" w:rsidRPr="003E5240" w:rsidRDefault="00CF59E1" w:rsidP="009F3E8E">
            <w:pPr>
              <w:pStyle w:val="ListParagraph"/>
              <w:numPr>
                <w:ilvl w:val="0"/>
                <w:numId w:val="37"/>
              </w:numPr>
              <w:autoSpaceDE/>
              <w:autoSpaceDN/>
              <w:adjustRightInd/>
              <w:spacing w:after="120"/>
              <w:ind w:left="360"/>
              <w:contextualSpacing w:val="0"/>
              <w:rPr>
                <w:rFonts w:asciiTheme="minorHAnsi" w:eastAsia="Times New Roman" w:hAnsiTheme="minorHAnsi"/>
                <w:lang w:val="en-GB"/>
              </w:rPr>
            </w:pPr>
            <w:r w:rsidRPr="003E5240">
              <w:rPr>
                <w:rFonts w:asciiTheme="minorHAnsi" w:eastAsia="Times New Roman" w:hAnsiTheme="minorHAnsi"/>
                <w:lang w:val="en-GB"/>
              </w:rPr>
              <w:t>Full disclosure of information in line with its Disclosure and Access to Information policy.</w:t>
            </w:r>
          </w:p>
          <w:p w14:paraId="29485C15" w14:textId="77777777" w:rsidR="00CF59E1" w:rsidRPr="003E5240" w:rsidRDefault="00CF59E1" w:rsidP="009F3E8E">
            <w:pPr>
              <w:pStyle w:val="ListParagraph"/>
              <w:numPr>
                <w:ilvl w:val="0"/>
                <w:numId w:val="37"/>
              </w:numPr>
              <w:autoSpaceDE/>
              <w:autoSpaceDN/>
              <w:adjustRightInd/>
              <w:spacing w:after="120"/>
              <w:ind w:left="360"/>
              <w:contextualSpacing w:val="0"/>
              <w:rPr>
                <w:rFonts w:asciiTheme="minorHAnsi" w:hAnsiTheme="minorHAnsi"/>
                <w:lang w:val="en-GB"/>
              </w:rPr>
            </w:pPr>
            <w:r w:rsidRPr="003E5240">
              <w:rPr>
                <w:rFonts w:asciiTheme="minorHAnsi" w:eastAsia="Times New Roman" w:hAnsiTheme="minorHAnsi"/>
                <w:lang w:val="en-GB"/>
              </w:rPr>
              <w:t>Graduated reporting, rather than adopting a GHG threshold for reporting the Bank will undertake graduated reporting that is informed by the results of piloting the GHG tracking tool. The Bank will initially report on emissions for Category 1 operations.</w:t>
            </w:r>
            <w:r>
              <w:rPr>
                <w:rFonts w:asciiTheme="minorHAnsi" w:eastAsia="Times New Roman" w:hAnsiTheme="minorHAnsi"/>
                <w:lang w:val="en-GB"/>
              </w:rPr>
              <w:t>”</w:t>
            </w:r>
            <w:r w:rsidRPr="003E5240">
              <w:rPr>
                <w:rFonts w:asciiTheme="minorHAnsi" w:eastAsia="Times New Roman" w:hAnsiTheme="minorHAnsi"/>
                <w:lang w:val="en-GB"/>
              </w:rPr>
              <w:t xml:space="preserve"> </w:t>
            </w:r>
          </w:p>
          <w:p w14:paraId="58015F54" w14:textId="77777777" w:rsidR="00CF59E1" w:rsidRPr="00D04661" w:rsidRDefault="00CF59E1" w:rsidP="00CF59E1">
            <w:pPr>
              <w:spacing w:after="120"/>
              <w:rPr>
                <w:rFonts w:asciiTheme="minorHAnsi" w:hAnsiTheme="minorHAnsi" w:cs="Arial"/>
              </w:rPr>
            </w:pPr>
            <w:r>
              <w:rPr>
                <w:rFonts w:asciiTheme="minorHAnsi" w:hAnsiTheme="minorHAnsi"/>
              </w:rPr>
              <w:t>“</w:t>
            </w:r>
            <w:r w:rsidRPr="00D04661">
              <w:rPr>
                <w:rFonts w:asciiTheme="minorHAnsi" w:hAnsiTheme="minorHAnsi" w:cs="Arial"/>
              </w:rPr>
              <w:t>The borrower/client will promote the reduction of project-related anthropogenic greenhouse gas emissions in a manner appropriate to the nature and scale of project operations and impacts. During the development or operation of projects that are expected to or currently produce significant quantities of greenhouse gases,</w:t>
            </w:r>
            <w:r w:rsidRPr="00D04661">
              <w:rPr>
                <w:rFonts w:asciiTheme="minorHAnsi" w:hAnsiTheme="minorHAnsi" w:cs="Arial"/>
                <w:vertAlign w:val="superscript"/>
              </w:rPr>
              <w:t xml:space="preserve">10 </w:t>
            </w:r>
            <w:r w:rsidRPr="00D04661">
              <w:rPr>
                <w:rFonts w:asciiTheme="minorHAnsi" w:hAnsiTheme="minorHAnsi" w:cs="Arial"/>
              </w:rPr>
              <w:t xml:space="preserve">the borrower/client will quantify direct emissions from the facilities within the physical project boundary and indirect emissions associated with the off-site production of power used by the project. The borrower/client will conduct quantification and monitoring of greenhouse gas emissions annually in accordance with internationally recognized methodologies. </w:t>
            </w:r>
            <w:r w:rsidRPr="00D04661">
              <w:rPr>
                <w:rFonts w:asciiTheme="minorHAnsi" w:hAnsiTheme="minorHAnsi" w:cs="Arial"/>
                <w:vertAlign w:val="superscript"/>
              </w:rPr>
              <w:t>11</w:t>
            </w:r>
            <w:r w:rsidRPr="00D04661">
              <w:rPr>
                <w:rFonts w:asciiTheme="minorHAnsi" w:hAnsiTheme="minorHAnsi" w:cs="Arial"/>
              </w:rPr>
              <w:t xml:space="preserve"> In addition, the borrower/client will evaluate technically and financially feasible and cost-effective options to reduce or offset project-related greenhouse gas emissions during project design and operation, and pursue appropriate options. (Footnote 10: Even though the significance of a project’s contribution to greenhouse gas emissions varies between industry sectors, the significance threshold to be considered for these requirements is generally 100,000 tons of carbon dioxide equivalent per year for the aggregate emissions of direct sources and indirect sources associated with electricity purchased for own consumption; Footnote 11: Estimation methodologies are provided by the Intergovernmental Panel on Climate Change (IPCC), various international organizations, and relevant host country agencies.)</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ADB, SPS, Appendix 1, para. 39)</w:t>
            </w:r>
          </w:p>
          <w:p w14:paraId="47B30137" w14:textId="77777777" w:rsidR="00CF59E1" w:rsidRPr="00D04661" w:rsidRDefault="00CF59E1" w:rsidP="00CF59E1">
            <w:pPr>
              <w:spacing w:after="120"/>
              <w:rPr>
                <w:rFonts w:asciiTheme="minorHAnsi" w:hAnsiTheme="minorHAnsi" w:cs="Arial"/>
              </w:rPr>
            </w:pPr>
            <w:r>
              <w:rPr>
                <w:rFonts w:asciiTheme="minorHAnsi" w:hAnsiTheme="minorHAnsi" w:cs="Arial"/>
              </w:rPr>
              <w:t>“</w:t>
            </w:r>
            <w:r w:rsidRPr="00D04661">
              <w:rPr>
                <w:rFonts w:asciiTheme="minorHAnsi" w:hAnsiTheme="minorHAnsi" w:cs="Arial"/>
              </w:rPr>
              <w:t xml:space="preserve">The borrower/client will apply preventive and protective measures consistent with international good practice, as reflected in internationally recognized standards such as the World Bank Group’s </w:t>
            </w:r>
            <w:r w:rsidRPr="00D04661">
              <w:rPr>
                <w:rFonts w:asciiTheme="minorHAnsi" w:hAnsiTheme="minorHAnsi" w:cs="Arial"/>
                <w:i/>
                <w:iCs/>
              </w:rPr>
              <w:t>Environment, Health and Safety Guidelines.</w:t>
            </w:r>
            <w:r>
              <w:rPr>
                <w:rFonts w:asciiTheme="minorHAnsi" w:hAnsiTheme="minorHAnsi" w:cs="Arial"/>
                <w:i/>
                <w:iCs/>
              </w:rPr>
              <w:t>”</w:t>
            </w:r>
            <w:r w:rsidRPr="00D04661">
              <w:rPr>
                <w:rFonts w:asciiTheme="minorHAnsi" w:hAnsiTheme="minorHAnsi" w:cs="Arial"/>
                <w:iCs/>
              </w:rPr>
              <w:t xml:space="preserve"> (</w:t>
            </w:r>
            <w:r w:rsidRPr="00D04661">
              <w:rPr>
                <w:rFonts w:asciiTheme="minorHAnsi" w:hAnsiTheme="minorHAnsi" w:cs="Arial"/>
                <w:b/>
                <w:iCs/>
              </w:rPr>
              <w:t xml:space="preserve">ADB, SPS, Appendix 1, para. 40 </w:t>
            </w:r>
            <w:r w:rsidRPr="00D04661">
              <w:rPr>
                <w:rFonts w:asciiTheme="minorHAnsi" w:hAnsiTheme="minorHAnsi" w:cs="Arial"/>
                <w:iCs/>
              </w:rPr>
              <w:t>)</w:t>
            </w:r>
          </w:p>
          <w:p w14:paraId="394283CE" w14:textId="77777777" w:rsidR="00CF59E1" w:rsidRPr="00D04661" w:rsidRDefault="00CF59E1" w:rsidP="00CF59E1">
            <w:pPr>
              <w:spacing w:after="120"/>
              <w:rPr>
                <w:rFonts w:asciiTheme="minorHAnsi" w:hAnsiTheme="minorHAnsi" w:cs="SymbolMT"/>
              </w:rPr>
            </w:pPr>
            <w:r>
              <w:rPr>
                <w:rFonts w:asciiTheme="minorHAnsi" w:hAnsiTheme="minorHAnsi" w:cs="Times New Roman"/>
              </w:rPr>
              <w:t>“</w:t>
            </w:r>
            <w:r w:rsidRPr="00D04661">
              <w:rPr>
                <w:rFonts w:asciiTheme="minorHAnsi" w:hAnsiTheme="minorHAnsi" w:cs="Times New Roman"/>
              </w:rPr>
              <w:t>As part of agreed mitigation measures, the Bank may require that the borrower, where feasible and cost effective, adopt cleaner production processes, energy-efficiency or renewable energy.</w:t>
            </w:r>
            <w:r>
              <w:rPr>
                <w:rFonts w:asciiTheme="minorHAnsi" w:hAnsiTheme="minorHAnsi" w:cs="Times New Roman"/>
              </w:rPr>
              <w:t>”</w:t>
            </w:r>
            <w:r w:rsidRPr="00D04661">
              <w:rPr>
                <w:rFonts w:asciiTheme="minorHAnsi" w:hAnsiTheme="minorHAnsi" w:cs="SymbolMT"/>
              </w:rPr>
              <w:t xml:space="preserve"> </w:t>
            </w:r>
            <w:r w:rsidRPr="00D04661">
              <w:rPr>
                <w:rFonts w:asciiTheme="minorHAnsi" w:hAnsiTheme="minorHAnsi" w:cs="SymbolMT"/>
                <w:b/>
              </w:rPr>
              <w:t>(IDB, ESCP para. 4.28)</w:t>
            </w:r>
          </w:p>
          <w:p w14:paraId="47C75418" w14:textId="77777777" w:rsidR="00CF59E1" w:rsidRPr="00D04661" w:rsidRDefault="00CF59E1" w:rsidP="00CF59E1">
            <w:pPr>
              <w:spacing w:after="120"/>
              <w:rPr>
                <w:rFonts w:asciiTheme="minorHAnsi" w:hAnsiTheme="minorHAnsi" w:cs="Times New Roman"/>
                <w:b/>
              </w:rPr>
            </w:pPr>
            <w:r>
              <w:rPr>
                <w:rFonts w:asciiTheme="minorHAnsi" w:hAnsiTheme="minorHAnsi" w:cs="Times New Roman"/>
              </w:rPr>
              <w:t>“</w:t>
            </w:r>
            <w:r w:rsidRPr="00D04661">
              <w:rPr>
                <w:rFonts w:asciiTheme="minorHAnsi" w:hAnsiTheme="minorHAnsi" w:cs="Times New Roman"/>
              </w:rPr>
              <w:t>The Bank encourages the reduction and control of greenhouse gas (GHG) emissions in a manner appropriate to the nature and scale of operations. Operations that produce significant quantities of greenhouse gases will annually quantify direct GHG emissions, in accordance with the emission estimation methodologies of the Intergovernmental Panel on Climate Change (IPCC) or other internationally accepted methodologies.</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(IDB, ESCP para. 4.28)</w:t>
            </w:r>
            <w:r w:rsidRPr="00D04661">
              <w:rPr>
                <w:rStyle w:val="FootnoteReference"/>
                <w:rFonts w:asciiTheme="minorHAnsi" w:hAnsiTheme="minorHAnsi" w:cs="Times New Roman"/>
                <w:b/>
              </w:rPr>
              <w:footnoteReference w:id="214"/>
            </w:r>
          </w:p>
          <w:p w14:paraId="44F209E4" w14:textId="77777777" w:rsidR="00CF59E1" w:rsidRPr="00D04661" w:rsidRDefault="00CF59E1" w:rsidP="00CF59E1">
            <w:pPr>
              <w:spacing w:after="120"/>
              <w:rPr>
                <w:rFonts w:asciiTheme="minorHAnsi" w:hAnsiTheme="minorHAnsi" w:cs="Calibri"/>
              </w:rPr>
            </w:pPr>
            <w:r>
              <w:rPr>
                <w:rFonts w:asciiTheme="minorHAnsi" w:hAnsiTheme="minorHAnsi" w:cs="Times New Roman"/>
              </w:rPr>
              <w:t>“</w:t>
            </w:r>
            <w:r w:rsidRPr="00D04661">
              <w:rPr>
                <w:rFonts w:asciiTheme="minorHAnsi" w:hAnsiTheme="minorHAnsi" w:cs="Times New Roman"/>
              </w:rPr>
              <w:t>EIB requires the application of Best Available Techniques. For investment loans and fully appraised allocations under framework loans, an assessment of the GHG emissions produced as a result of the project, based on proprietary sector-specific methodologies, is systematically carried out and reported for projects emitting more than 100kt CO2eq/yr in absolute terms or leading to an emission variation of more than 20kt CO2eq/yr. …When appraising the economic case for a project which results in significant change in GHG emissions, as may be the case with energy, industry or transport projects, the EIB incorporates an economic cost of carbon. The central value for a tonne of CO2eq is currently approximately 30 EUR per tome (for an emission in 2013), rising to nearly EUR 50 in 2030. This approach, based to a large degree on the evidence around the costs of meeting long term emissions targets is distinct from the financial price of carbon, such as the spot price on traded markets, which may be used in the financial analysis.</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(EIB, ESH, ESS 4, para. 2).</w:t>
            </w:r>
          </w:p>
        </w:tc>
      </w:tr>
      <w:tr w:rsidR="00CF59E1" w:rsidRPr="00D8522E" w14:paraId="409FB346" w14:textId="77777777" w:rsidTr="00CF59E1">
        <w:tc>
          <w:tcPr>
            <w:tcW w:w="6390" w:type="dxa"/>
            <w:vMerge w:val="restart"/>
            <w:shd w:val="clear" w:color="auto" w:fill="auto"/>
            <w:vAlign w:val="center"/>
          </w:tcPr>
          <w:p w14:paraId="7D7E6DF0" w14:textId="77777777" w:rsidR="00CF59E1" w:rsidRPr="003B4A78" w:rsidRDefault="00CF59E1" w:rsidP="00CF59E1">
            <w:pPr>
              <w:spacing w:after="120"/>
              <w:rPr>
                <w:rFonts w:asciiTheme="minorHAnsi" w:eastAsia="MS Mincho" w:hAnsiTheme="minorHAnsi" w:cs="Calibri"/>
                <w:b/>
                <w:lang w:eastAsia="ja-JP"/>
              </w:rPr>
            </w:pPr>
            <w:r w:rsidRPr="003B4A78">
              <w:rPr>
                <w:rFonts w:asciiTheme="minorHAnsi" w:eastAsia="MS Mincho" w:hAnsiTheme="minorHAnsi" w:cs="Calibri"/>
                <w:b/>
                <w:lang w:eastAsia="ja-JP"/>
              </w:rPr>
              <w:t>MONITORING AND SUPERVISION</w:t>
            </w:r>
          </w:p>
          <w:p w14:paraId="764C98B4" w14:textId="77777777" w:rsidR="00CF59E1" w:rsidRDefault="00CF59E1" w:rsidP="00CF59E1">
            <w:pPr>
              <w:tabs>
                <w:tab w:val="left" w:pos="900"/>
              </w:tabs>
              <w:spacing w:after="120"/>
              <w:rPr>
                <w:rFonts w:asciiTheme="minorHAnsi" w:hAnsiTheme="minorHAnsi" w:cs="Calibri"/>
                <w:lang w:eastAsia="zh-MO"/>
              </w:rPr>
            </w:pPr>
            <w:r w:rsidRPr="003B4A78">
              <w:rPr>
                <w:rFonts w:asciiTheme="minorHAnsi" w:hAnsiTheme="minorHAnsi" w:cs="Calibri"/>
                <w:b/>
                <w:lang w:eastAsia="zh-MO"/>
              </w:rPr>
              <w:t>OP 4.01, Annex C, para. 1</w:t>
            </w:r>
            <w:r w:rsidRPr="003B4A78">
              <w:rPr>
                <w:rFonts w:asciiTheme="minorHAnsi" w:hAnsiTheme="minorHAnsi" w:cs="Calibri"/>
                <w:lang w:eastAsia="zh-MO"/>
              </w:rPr>
              <w:t xml:space="preserve">: </w:t>
            </w:r>
            <w:r w:rsidRPr="003B4A78">
              <w:rPr>
                <w:rFonts w:asciiTheme="minorHAnsi" w:hAnsiTheme="minorHAnsi" w:cs="Arial"/>
                <w:color w:val="000000"/>
              </w:rPr>
              <w:t>A project's environmental management plan (EMP) consists of the set of mitigation, monitoring, and institutional measures to be taken during implementation and operation to eliminate adverse environmental and social impacts, offset them, or reduce them to acceptable levels.</w:t>
            </w:r>
          </w:p>
          <w:p w14:paraId="738B2FCB" w14:textId="77777777" w:rsidR="00CF59E1" w:rsidRDefault="00CF59E1" w:rsidP="00CF59E1">
            <w:pPr>
              <w:tabs>
                <w:tab w:val="left" w:pos="900"/>
              </w:tabs>
              <w:spacing w:after="120"/>
              <w:rPr>
                <w:rFonts w:asciiTheme="minorHAnsi" w:hAnsiTheme="minorHAnsi" w:cs="Arial"/>
              </w:rPr>
            </w:pPr>
            <w:r w:rsidRPr="003B4A78">
              <w:rPr>
                <w:rFonts w:asciiTheme="minorHAnsi" w:hAnsiTheme="minorHAnsi" w:cs="Calibri"/>
                <w:b/>
                <w:lang w:eastAsia="zh-MO"/>
              </w:rPr>
              <w:t>OP 4.01, Annex C, para. 3</w:t>
            </w:r>
            <w:r w:rsidRPr="003B4A78">
              <w:rPr>
                <w:rFonts w:asciiTheme="minorHAnsi" w:hAnsiTheme="minorHAnsi" w:cs="Calibri"/>
                <w:lang w:eastAsia="zh-MO"/>
              </w:rPr>
              <w:t>:</w:t>
            </w:r>
            <w:r>
              <w:rPr>
                <w:rFonts w:asciiTheme="minorHAnsi" w:hAnsiTheme="minorHAnsi" w:cs="Calibri"/>
                <w:lang w:eastAsia="zh-MO"/>
              </w:rPr>
              <w:t xml:space="preserve"> </w:t>
            </w:r>
            <w:r w:rsidRPr="003B4A78">
              <w:rPr>
                <w:rFonts w:asciiTheme="minorHAnsi" w:hAnsiTheme="minorHAnsi" w:cs="Arial"/>
              </w:rPr>
              <w:t>Environmental monitoring during project implementation ….enables the borrower and the Bank to evaluate the success of mitigation as part of project supervision, and allows corrective action to be taken when needed. …</w:t>
            </w:r>
          </w:p>
          <w:p w14:paraId="3DB56912" w14:textId="77777777" w:rsidR="00CF59E1" w:rsidRPr="00D04661" w:rsidRDefault="00CF59E1" w:rsidP="00CF59E1">
            <w:pPr>
              <w:spacing w:after="120"/>
              <w:rPr>
                <w:rFonts w:asciiTheme="minorHAnsi" w:hAnsiTheme="minorHAnsi" w:cs="Times New Roman"/>
                <w:color w:val="000000"/>
              </w:rPr>
            </w:pPr>
          </w:p>
          <w:p w14:paraId="738CA7C9" w14:textId="77777777" w:rsidR="00CF59E1" w:rsidRDefault="00CF59E1" w:rsidP="00CF59E1">
            <w:pPr>
              <w:spacing w:after="120"/>
              <w:rPr>
                <w:rFonts w:asciiTheme="minorHAnsi" w:hAnsiTheme="minorHAnsi" w:cs="Times New Roman"/>
                <w:color w:val="000000"/>
              </w:rPr>
            </w:pPr>
            <w:r w:rsidRPr="00D04661">
              <w:rPr>
                <w:rFonts w:asciiTheme="minorHAnsi" w:hAnsiTheme="minorHAnsi"/>
                <w:b/>
              </w:rPr>
              <w:t xml:space="preserve">OP 10.00 </w:t>
            </w:r>
            <w:r>
              <w:rPr>
                <w:rFonts w:asciiTheme="minorHAnsi" w:hAnsiTheme="minorHAnsi"/>
                <w:b/>
              </w:rPr>
              <w:t xml:space="preserve">para. </w:t>
            </w:r>
            <w:r w:rsidRPr="00D04661">
              <w:rPr>
                <w:rFonts w:asciiTheme="minorHAnsi" w:hAnsiTheme="minorHAnsi"/>
                <w:b/>
              </w:rPr>
              <w:t>21</w:t>
            </w:r>
            <w:r w:rsidRPr="00D04661">
              <w:rPr>
                <w:rFonts w:asciiTheme="minorHAnsi" w:hAnsiTheme="minorHAnsi"/>
              </w:rPr>
              <w:t xml:space="preserve">: </w:t>
            </w:r>
            <w:r w:rsidRPr="00D04661">
              <w:rPr>
                <w:rFonts w:asciiTheme="minorHAnsi" w:hAnsiTheme="minorHAnsi" w:cs="Times New Roman"/>
                <w:color w:val="000000"/>
              </w:rPr>
              <w:t xml:space="preserve">The Bank also provides implementation support to the Borrower or the member country by reviewing information on implementation progress, progress towards achievement of the Project’s development objectives and related results, and updates the risks and related management measures. </w:t>
            </w:r>
          </w:p>
          <w:p w14:paraId="760DB876" w14:textId="77777777" w:rsidR="00CF59E1" w:rsidRDefault="00CF59E1" w:rsidP="00CF59E1">
            <w:pPr>
              <w:spacing w:after="120"/>
              <w:rPr>
                <w:rFonts w:asciiTheme="minorHAnsi" w:eastAsia="Times New Roman" w:hAnsiTheme="minorHAnsi" w:cs="Arial"/>
                <w:color w:val="000000"/>
              </w:rPr>
            </w:pPr>
            <w:r w:rsidRPr="00D04661">
              <w:rPr>
                <w:rFonts w:asciiTheme="minorHAnsi" w:hAnsiTheme="minorHAnsi"/>
                <w:b/>
              </w:rPr>
              <w:t xml:space="preserve">OP 4.01 </w:t>
            </w:r>
            <w:r>
              <w:rPr>
                <w:rFonts w:asciiTheme="minorHAnsi" w:hAnsiTheme="minorHAnsi"/>
                <w:b/>
              </w:rPr>
              <w:t xml:space="preserve">para. </w:t>
            </w:r>
            <w:r w:rsidRPr="00D04661">
              <w:rPr>
                <w:rFonts w:asciiTheme="minorHAnsi" w:hAnsiTheme="minorHAnsi"/>
                <w:b/>
              </w:rPr>
              <w:t>4</w:t>
            </w:r>
            <w:r w:rsidRPr="00D04661">
              <w:rPr>
                <w:rFonts w:asciiTheme="minorHAnsi" w:hAnsiTheme="minorHAnsi"/>
              </w:rPr>
              <w:t xml:space="preserve">: </w:t>
            </w:r>
            <w:r w:rsidRPr="00D04661">
              <w:rPr>
                <w:rFonts w:asciiTheme="minorHAnsi" w:eastAsia="Times New Roman" w:hAnsiTheme="minorHAnsi" w:cs="Arial"/>
                <w:color w:val="000000"/>
              </w:rPr>
              <w:t>For Category A projects that are highly risky or contentious or that involve serious and multidimensional environmental concerns, the borrower should normally also engage an advisory panel of independent, internationally recognized environmental specialists to advise on all aspects of the project relevant to the EA.</w:t>
            </w:r>
            <w:bookmarkStart w:id="22" w:name="fref8"/>
            <w:bookmarkEnd w:id="22"/>
            <w:r w:rsidRPr="00D04661">
              <w:rPr>
                <w:rFonts w:asciiTheme="minorHAnsi" w:eastAsia="Times New Roman" w:hAnsiTheme="minorHAnsi" w:cs="Arial"/>
                <w:color w:val="000000"/>
              </w:rPr>
              <w:fldChar w:fldCharType="begin"/>
            </w:r>
            <w:r w:rsidRPr="00D04661">
              <w:rPr>
                <w:rFonts w:asciiTheme="minorHAnsi" w:eastAsia="Times New Roman" w:hAnsiTheme="minorHAnsi" w:cs="Arial"/>
                <w:color w:val="000000"/>
              </w:rPr>
              <w:instrText xml:space="preserve"> HYPERLINK "http://intranet.worldbank.org/WBSITE/INTRANET/OPSMANUAL/0,,contentMDK:20064724~menuPK:51456940~pagePK:51457169~piPK:51457175~theSitePK:210385,00.html" \l "fn8" </w:instrText>
            </w:r>
            <w:r w:rsidRPr="00D04661">
              <w:rPr>
                <w:rFonts w:asciiTheme="minorHAnsi" w:eastAsia="Times New Roman" w:hAnsiTheme="minorHAnsi" w:cs="Arial"/>
                <w:color w:val="000000"/>
              </w:rPr>
              <w:fldChar w:fldCharType="separate"/>
            </w:r>
            <w:r w:rsidRPr="00D04661">
              <w:rPr>
                <w:rFonts w:asciiTheme="minorHAnsi" w:eastAsia="Times New Roman" w:hAnsiTheme="minorHAnsi" w:cs="Arial"/>
                <w:b/>
                <w:bCs/>
                <w:color w:val="0000FF"/>
                <w:u w:val="single"/>
                <w:vertAlign w:val="superscript"/>
              </w:rPr>
              <w:t>8</w:t>
            </w:r>
            <w:r w:rsidRPr="00D04661">
              <w:rPr>
                <w:rFonts w:asciiTheme="minorHAnsi" w:eastAsia="Times New Roman" w:hAnsiTheme="minorHAnsi" w:cs="Arial"/>
                <w:color w:val="000000"/>
              </w:rPr>
              <w:fldChar w:fldCharType="end"/>
            </w:r>
            <w:r w:rsidRPr="00D04661">
              <w:rPr>
                <w:rFonts w:asciiTheme="minorHAnsi" w:eastAsia="Times New Roman" w:hAnsiTheme="minorHAnsi" w:cs="Arial"/>
                <w:color w:val="000000"/>
              </w:rPr>
              <w:t xml:space="preserve"> The role of the advisory panel depends on the degree to which project preparation has progressed, and on the extent and quality of any EA work completed, at the time the Bank begins to consider the project.</w:t>
            </w:r>
          </w:p>
          <w:p w14:paraId="076A7D2F" w14:textId="77777777" w:rsidR="00CF59E1" w:rsidRPr="00D04661" w:rsidRDefault="00CF59E1" w:rsidP="00CF59E1">
            <w:pPr>
              <w:spacing w:after="120"/>
              <w:rPr>
                <w:rFonts w:asciiTheme="minorHAnsi" w:eastAsia="Times New Roman" w:hAnsiTheme="minorHAnsi" w:cs="Arial"/>
                <w:color w:val="000000"/>
              </w:rPr>
            </w:pPr>
            <w:r w:rsidRPr="00D04661">
              <w:rPr>
                <w:rFonts w:asciiTheme="minorHAnsi" w:hAnsiTheme="minorHAnsi"/>
                <w:b/>
              </w:rPr>
              <w:t>OP 4.01 Annex C</w:t>
            </w:r>
            <w:r w:rsidRPr="00D04661">
              <w:rPr>
                <w:rFonts w:asciiTheme="minorHAnsi" w:hAnsiTheme="minorHAnsi"/>
              </w:rPr>
              <w:t xml:space="preserve"> (Content of EMP): </w:t>
            </w:r>
            <w:r w:rsidRPr="00D04661">
              <w:rPr>
                <w:rFonts w:asciiTheme="minorHAnsi" w:eastAsia="Times New Roman" w:hAnsiTheme="minorHAnsi" w:cs="Arial"/>
                <w:color w:val="000000"/>
              </w:rPr>
              <w:t>Environmental monitoring during project implementation provides information about key environmental aspects of the project, particularly the environmental impacts of the project and the effectiveness of mitigation measures. Such information enables the borrower and the Bank to evaluate the success of mitigation as part of project supervision, and allows corrective action to be taken when needed. Therefore, the EMP identifies monitoring objectives and specifies the type of monitoring, with linkages to the impacts assessed in the EA report and the mitigation measures described in the EMP. Specifically, the monitoring section of the EMP provides(a)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w:t>
            </w:r>
          </w:p>
          <w:p w14:paraId="1B51205C" w14:textId="77777777" w:rsidR="00CF59E1" w:rsidRPr="00D04661" w:rsidRDefault="00CF59E1" w:rsidP="00CF59E1">
            <w:pPr>
              <w:pStyle w:val="pabid7"/>
              <w:spacing w:before="0" w:beforeAutospacing="0" w:after="120" w:afterAutospacing="0"/>
              <w:rPr>
                <w:rFonts w:asciiTheme="minorHAnsi" w:hAnsiTheme="minorHAnsi"/>
                <w:sz w:val="22"/>
                <w:szCs w:val="22"/>
              </w:rPr>
            </w:pPr>
          </w:p>
        </w:tc>
        <w:tc>
          <w:tcPr>
            <w:tcW w:w="7200" w:type="dxa"/>
            <w:shd w:val="clear" w:color="auto" w:fill="auto"/>
          </w:tcPr>
          <w:p w14:paraId="12532A50" w14:textId="77777777" w:rsidR="00CF59E1" w:rsidRPr="00D04661" w:rsidRDefault="00CF59E1" w:rsidP="00CF59E1">
            <w:pPr>
              <w:spacing w:after="120"/>
              <w:rPr>
                <w:rFonts w:asciiTheme="minorHAnsi" w:hAnsiTheme="minorHAnsi" w:cs="Calibri"/>
                <w:lang w:eastAsia="zh-MO"/>
              </w:rPr>
            </w:pPr>
            <w:r>
              <w:rPr>
                <w:rFonts w:asciiTheme="minorHAnsi" w:hAnsiTheme="minorHAnsi" w:cs="Calibri"/>
                <w:lang w:eastAsia="zh-MO"/>
              </w:rPr>
              <w:t>“</w:t>
            </w:r>
            <w:r w:rsidRPr="00D04661">
              <w:rPr>
                <w:rFonts w:asciiTheme="minorHAnsi" w:hAnsiTheme="minorHAnsi" w:cs="Calibri"/>
                <w:lang w:eastAsia="zh-MO"/>
              </w:rPr>
              <w:t>Both the borrower/client and [The Bank] have their own separate monitoring responsibilities…</w:t>
            </w:r>
            <w:r>
              <w:rPr>
                <w:rFonts w:asciiTheme="minorHAnsi" w:hAnsiTheme="minorHAnsi" w:cs="Calibri"/>
                <w:lang w:eastAsia="zh-MO"/>
              </w:rPr>
              <w:t>”</w:t>
            </w:r>
            <w:r w:rsidRPr="00D04661">
              <w:rPr>
                <w:rFonts w:asciiTheme="minorHAnsi" w:hAnsiTheme="minorHAnsi" w:cs="Calibri"/>
                <w:lang w:eastAsia="zh-MO"/>
              </w:rPr>
              <w:t>(</w:t>
            </w:r>
            <w:r w:rsidRPr="00D04661">
              <w:rPr>
                <w:rFonts w:asciiTheme="minorHAnsi" w:hAnsiTheme="minorHAnsi" w:cs="Calibri"/>
                <w:b/>
                <w:lang w:eastAsia="zh-MO"/>
              </w:rPr>
              <w:t>ADB, SPS, Policy Delivery Process, General Requirements, para. 57)</w:t>
            </w:r>
            <w:r w:rsidRPr="00D04661">
              <w:rPr>
                <w:rFonts w:asciiTheme="minorHAnsi" w:hAnsiTheme="minorHAnsi" w:cs="Calibri"/>
                <w:lang w:eastAsia="zh-MO"/>
              </w:rPr>
              <w:t xml:space="preserve"> </w:t>
            </w:r>
          </w:p>
          <w:p w14:paraId="1B8AFE14" w14:textId="77777777" w:rsidR="00CF59E1" w:rsidRPr="00D04661" w:rsidRDefault="00CF59E1" w:rsidP="00CF59E1">
            <w:pPr>
              <w:spacing w:after="120"/>
              <w:rPr>
                <w:rFonts w:asciiTheme="minorHAnsi" w:hAnsiTheme="minorHAnsi" w:cs="Calibri"/>
              </w:rPr>
            </w:pPr>
            <w:r w:rsidRPr="00D04661">
              <w:rPr>
                <w:rFonts w:asciiTheme="minorHAnsi" w:hAnsiTheme="minorHAnsi" w:cs="Calibri"/>
              </w:rPr>
              <w:t xml:space="preserve">Borrowers/clients are </w:t>
            </w:r>
            <w:r w:rsidRPr="00D04661">
              <w:rPr>
                <w:rFonts w:asciiTheme="minorHAnsi" w:hAnsiTheme="minorHAnsi" w:cs="Calibri"/>
                <w:lang w:eastAsia="zh-MO"/>
              </w:rPr>
              <w:t xml:space="preserve">required </w:t>
            </w:r>
            <w:r w:rsidRPr="00D04661">
              <w:rPr>
                <w:rFonts w:asciiTheme="minorHAnsi" w:hAnsiTheme="minorHAnsi" w:cs="Calibri"/>
              </w:rPr>
              <w:t xml:space="preserve">to: </w:t>
            </w:r>
          </w:p>
          <w:p w14:paraId="3E4215E4" w14:textId="77777777" w:rsidR="00CF59E1" w:rsidRPr="00D04661" w:rsidRDefault="00CF59E1" w:rsidP="009F3E8E">
            <w:pPr>
              <w:numPr>
                <w:ilvl w:val="0"/>
                <w:numId w:val="38"/>
              </w:numPr>
              <w:tabs>
                <w:tab w:val="left" w:pos="900"/>
              </w:tabs>
              <w:autoSpaceDE/>
              <w:autoSpaceDN/>
              <w:adjustRightInd/>
              <w:spacing w:after="120"/>
              <w:ind w:left="360"/>
              <w:rPr>
                <w:rFonts w:asciiTheme="minorHAnsi" w:hAnsiTheme="minorHAnsi" w:cs="Calibri"/>
              </w:rPr>
            </w:pPr>
            <w:r>
              <w:rPr>
                <w:rFonts w:asciiTheme="minorHAnsi" w:hAnsiTheme="minorHAnsi" w:cs="Calibri"/>
              </w:rPr>
              <w:t>“</w:t>
            </w:r>
            <w:r w:rsidRPr="00D04661">
              <w:rPr>
                <w:rFonts w:asciiTheme="minorHAnsi" w:hAnsiTheme="minorHAnsi" w:cs="Calibri"/>
              </w:rPr>
              <w:t xml:space="preserve">Implement safeguard measures and relevant safeguard plans, as </w:t>
            </w:r>
            <w:r w:rsidRPr="00D04661">
              <w:rPr>
                <w:rFonts w:asciiTheme="minorHAnsi" w:hAnsiTheme="minorHAnsi" w:cs="Calibri"/>
                <w:lang w:eastAsia="zh-MO"/>
              </w:rPr>
              <w:t xml:space="preserve">provided </w:t>
            </w:r>
            <w:r w:rsidRPr="00D04661">
              <w:rPr>
                <w:rFonts w:asciiTheme="minorHAnsi" w:hAnsiTheme="minorHAnsi" w:cs="Calibri"/>
              </w:rPr>
              <w:t>in</w:t>
            </w:r>
            <w:r w:rsidRPr="00D04661">
              <w:rPr>
                <w:rFonts w:asciiTheme="minorHAnsi" w:hAnsiTheme="minorHAnsi" w:cs="Calibri"/>
                <w:lang w:eastAsia="zh-MO"/>
              </w:rPr>
              <w:t xml:space="preserve"> the legal agreements</w:t>
            </w:r>
            <w:r w:rsidRPr="00D04661">
              <w:rPr>
                <w:rFonts w:asciiTheme="minorHAnsi" w:hAnsiTheme="minorHAnsi" w:cs="Calibri"/>
              </w:rPr>
              <w:t>, and to submit periodic monitoring reports on their implementation</w:t>
            </w:r>
            <w:r w:rsidRPr="00D04661">
              <w:rPr>
                <w:rFonts w:asciiTheme="minorHAnsi" w:hAnsiTheme="minorHAnsi" w:cs="Calibri"/>
                <w:lang w:eastAsia="zh-MO"/>
              </w:rPr>
              <w:t xml:space="preserve"> performance</w:t>
            </w:r>
            <w:r w:rsidRPr="00D04661">
              <w:rPr>
                <w:rFonts w:asciiTheme="minorHAnsi" w:hAnsiTheme="minorHAnsi" w:cs="Calibri"/>
              </w:rPr>
              <w:t>.</w:t>
            </w:r>
            <w:r>
              <w:rPr>
                <w:rFonts w:asciiTheme="minorHAnsi" w:hAnsiTheme="minorHAnsi" w:cs="Calibri"/>
              </w:rPr>
              <w:t>”</w:t>
            </w:r>
            <w:r w:rsidRPr="00D04661">
              <w:rPr>
                <w:rFonts w:asciiTheme="minorHAnsi" w:hAnsiTheme="minorHAnsi" w:cs="Calibri"/>
              </w:rPr>
              <w:t xml:space="preserve"> </w:t>
            </w:r>
          </w:p>
          <w:p w14:paraId="084E9064" w14:textId="77777777" w:rsidR="00CF59E1" w:rsidRPr="00D04661" w:rsidRDefault="00CF59E1" w:rsidP="009F3E8E">
            <w:pPr>
              <w:numPr>
                <w:ilvl w:val="0"/>
                <w:numId w:val="38"/>
              </w:numPr>
              <w:tabs>
                <w:tab w:val="left" w:pos="900"/>
              </w:tabs>
              <w:autoSpaceDE/>
              <w:autoSpaceDN/>
              <w:adjustRightInd/>
              <w:spacing w:after="120"/>
              <w:ind w:left="360"/>
              <w:rPr>
                <w:rFonts w:asciiTheme="minorHAnsi" w:hAnsiTheme="minorHAnsi" w:cs="Calibri"/>
              </w:rPr>
            </w:pPr>
            <w:r>
              <w:rPr>
                <w:rFonts w:asciiTheme="minorHAnsi" w:hAnsiTheme="minorHAnsi" w:cs="Calibri"/>
              </w:rPr>
              <w:t>“</w:t>
            </w:r>
            <w:r w:rsidRPr="00D04661">
              <w:rPr>
                <w:rFonts w:asciiTheme="minorHAnsi" w:hAnsiTheme="minorHAnsi" w:cs="Calibri"/>
              </w:rPr>
              <w:t xml:space="preserve">Establish </w:t>
            </w:r>
            <w:r w:rsidRPr="00D04661">
              <w:rPr>
                <w:rFonts w:asciiTheme="minorHAnsi" w:hAnsiTheme="minorHAnsi" w:cs="Calibri"/>
                <w:lang w:eastAsia="zh-MO"/>
              </w:rPr>
              <w:t xml:space="preserve">and maintain </w:t>
            </w:r>
            <w:r w:rsidRPr="00D04661">
              <w:rPr>
                <w:rFonts w:asciiTheme="minorHAnsi" w:hAnsiTheme="minorHAnsi" w:cs="Calibri"/>
              </w:rPr>
              <w:t xml:space="preserve">procedures to monitor </w:t>
            </w:r>
            <w:r w:rsidRPr="00D04661">
              <w:rPr>
                <w:rFonts w:asciiTheme="minorHAnsi" w:hAnsiTheme="minorHAnsi" w:cs="Calibri"/>
                <w:lang w:eastAsia="zh-MO"/>
              </w:rPr>
              <w:t>the progress of implementation of safeguard plans;</w:t>
            </w:r>
            <w:r>
              <w:rPr>
                <w:rFonts w:asciiTheme="minorHAnsi" w:hAnsiTheme="minorHAnsi" w:cs="Calibri"/>
                <w:lang w:eastAsia="zh-MO"/>
              </w:rPr>
              <w:t>”</w:t>
            </w:r>
            <w:r w:rsidRPr="00D04661">
              <w:rPr>
                <w:rFonts w:asciiTheme="minorHAnsi" w:hAnsiTheme="minorHAnsi" w:cs="Calibri"/>
                <w:lang w:eastAsia="zh-MO"/>
              </w:rPr>
              <w:t xml:space="preserve"> </w:t>
            </w:r>
          </w:p>
          <w:p w14:paraId="49060785" w14:textId="77777777" w:rsidR="00CF59E1" w:rsidRPr="00D04661" w:rsidRDefault="00CF59E1" w:rsidP="009F3E8E">
            <w:pPr>
              <w:numPr>
                <w:ilvl w:val="0"/>
                <w:numId w:val="38"/>
              </w:numPr>
              <w:tabs>
                <w:tab w:val="left" w:pos="900"/>
              </w:tabs>
              <w:autoSpaceDE/>
              <w:autoSpaceDN/>
              <w:adjustRightInd/>
              <w:spacing w:after="120"/>
              <w:ind w:left="360"/>
              <w:rPr>
                <w:rFonts w:asciiTheme="minorHAnsi" w:hAnsiTheme="minorHAnsi" w:cs="Calibri"/>
              </w:rPr>
            </w:pPr>
            <w:r>
              <w:rPr>
                <w:rFonts w:asciiTheme="minorHAnsi" w:hAnsiTheme="minorHAnsi" w:cs="Calibri"/>
                <w:lang w:eastAsia="zh-MO"/>
              </w:rPr>
              <w:t>“</w:t>
            </w:r>
            <w:r w:rsidRPr="00D04661">
              <w:rPr>
                <w:rFonts w:asciiTheme="minorHAnsi" w:hAnsiTheme="minorHAnsi" w:cs="Calibri"/>
                <w:lang w:eastAsia="zh-MO"/>
              </w:rPr>
              <w:t>V</w:t>
            </w:r>
            <w:r w:rsidRPr="00D04661">
              <w:rPr>
                <w:rFonts w:asciiTheme="minorHAnsi" w:hAnsiTheme="minorHAnsi" w:cs="Calibri"/>
              </w:rPr>
              <w:t>erify the compliance with safeguard measures and their progress toward intended outcomes;</w:t>
            </w:r>
            <w:r>
              <w:rPr>
                <w:rFonts w:asciiTheme="minorHAnsi" w:hAnsiTheme="minorHAnsi" w:cs="Calibri"/>
              </w:rPr>
              <w:t>”</w:t>
            </w:r>
            <w:r w:rsidRPr="00D04661">
              <w:rPr>
                <w:rFonts w:asciiTheme="minorHAnsi" w:hAnsiTheme="minorHAnsi" w:cs="Calibri"/>
              </w:rPr>
              <w:t xml:space="preserve"> </w:t>
            </w:r>
          </w:p>
          <w:p w14:paraId="075B6631" w14:textId="77777777" w:rsidR="00CF59E1" w:rsidRPr="00D04661" w:rsidRDefault="00CF59E1" w:rsidP="009F3E8E">
            <w:pPr>
              <w:numPr>
                <w:ilvl w:val="0"/>
                <w:numId w:val="38"/>
              </w:numPr>
              <w:tabs>
                <w:tab w:val="left" w:pos="900"/>
                <w:tab w:val="left" w:pos="1620"/>
              </w:tabs>
              <w:autoSpaceDE/>
              <w:autoSpaceDN/>
              <w:adjustRightInd/>
              <w:spacing w:after="120"/>
              <w:ind w:left="360"/>
              <w:rPr>
                <w:rFonts w:asciiTheme="minorHAnsi" w:hAnsiTheme="minorHAnsi" w:cs="Calibri"/>
              </w:rPr>
            </w:pPr>
            <w:r>
              <w:rPr>
                <w:rFonts w:asciiTheme="minorHAnsi" w:hAnsiTheme="minorHAnsi" w:cs="Calibri"/>
              </w:rPr>
              <w:t>“</w:t>
            </w:r>
            <w:r w:rsidRPr="00D04661">
              <w:rPr>
                <w:rFonts w:asciiTheme="minorHAnsi" w:hAnsiTheme="minorHAnsi" w:cs="Calibri"/>
              </w:rPr>
              <w:t xml:space="preserve">Document </w:t>
            </w:r>
            <w:r w:rsidRPr="00D04661">
              <w:rPr>
                <w:rFonts w:asciiTheme="minorHAnsi" w:hAnsiTheme="minorHAnsi" w:cs="Calibri"/>
                <w:lang w:eastAsia="zh-MO"/>
              </w:rPr>
              <w:t xml:space="preserve">and </w:t>
            </w:r>
            <w:r w:rsidRPr="00D04661">
              <w:rPr>
                <w:rFonts w:asciiTheme="minorHAnsi" w:hAnsiTheme="minorHAnsi" w:cs="Calibri"/>
                <w:i/>
                <w:lang w:eastAsia="zh-MO"/>
              </w:rPr>
              <w:t>disclose</w:t>
            </w:r>
            <w:r w:rsidRPr="00D04661">
              <w:rPr>
                <w:rFonts w:asciiTheme="minorHAnsi" w:hAnsiTheme="minorHAnsi" w:cs="Calibri"/>
                <w:lang w:eastAsia="zh-MO"/>
              </w:rPr>
              <w:t xml:space="preserve"> </w:t>
            </w:r>
            <w:r w:rsidRPr="00D04661">
              <w:rPr>
                <w:rFonts w:asciiTheme="minorHAnsi" w:hAnsiTheme="minorHAnsi" w:cs="Calibri"/>
              </w:rPr>
              <w:t>monitoring results and identify necessary corrective and preventive actions in the periodic monitoring reports;</w:t>
            </w:r>
            <w:r>
              <w:rPr>
                <w:rFonts w:asciiTheme="minorHAnsi" w:hAnsiTheme="minorHAnsi" w:cs="Calibri"/>
              </w:rPr>
              <w:t>”</w:t>
            </w:r>
          </w:p>
          <w:p w14:paraId="586C165A" w14:textId="77777777" w:rsidR="00CF59E1" w:rsidRPr="00D04661" w:rsidRDefault="00CF59E1" w:rsidP="009F3E8E">
            <w:pPr>
              <w:numPr>
                <w:ilvl w:val="0"/>
                <w:numId w:val="38"/>
              </w:numPr>
              <w:tabs>
                <w:tab w:val="left" w:pos="900"/>
                <w:tab w:val="left" w:pos="1620"/>
              </w:tabs>
              <w:autoSpaceDE/>
              <w:autoSpaceDN/>
              <w:adjustRightInd/>
              <w:spacing w:after="120"/>
              <w:ind w:left="360"/>
              <w:rPr>
                <w:rFonts w:asciiTheme="minorHAnsi" w:hAnsiTheme="minorHAnsi" w:cs="Calibri"/>
              </w:rPr>
            </w:pPr>
            <w:r>
              <w:rPr>
                <w:rFonts w:asciiTheme="minorHAnsi" w:hAnsiTheme="minorHAnsi" w:cs="Calibri"/>
              </w:rPr>
              <w:t>“</w:t>
            </w:r>
            <w:r w:rsidRPr="00D04661">
              <w:rPr>
                <w:rFonts w:asciiTheme="minorHAnsi" w:hAnsiTheme="minorHAnsi" w:cs="Calibri"/>
              </w:rPr>
              <w:t>Follow up on these actions to ensure progress toward the desired outcomes;</w:t>
            </w:r>
            <w:r>
              <w:rPr>
                <w:rFonts w:asciiTheme="minorHAnsi" w:hAnsiTheme="minorHAnsi" w:cs="Calibri"/>
              </w:rPr>
              <w:t>”</w:t>
            </w:r>
          </w:p>
          <w:p w14:paraId="45A26F82" w14:textId="77777777" w:rsidR="00CF59E1" w:rsidRPr="00D04661" w:rsidRDefault="00CF59E1" w:rsidP="009F3E8E">
            <w:pPr>
              <w:numPr>
                <w:ilvl w:val="0"/>
                <w:numId w:val="38"/>
              </w:numPr>
              <w:tabs>
                <w:tab w:val="left" w:pos="900"/>
                <w:tab w:val="left" w:pos="1620"/>
              </w:tabs>
              <w:autoSpaceDE/>
              <w:autoSpaceDN/>
              <w:adjustRightInd/>
              <w:spacing w:after="120"/>
              <w:ind w:left="360"/>
              <w:rPr>
                <w:rFonts w:asciiTheme="minorHAnsi" w:hAnsiTheme="minorHAnsi" w:cs="Calibri"/>
              </w:rPr>
            </w:pPr>
            <w:r w:rsidRPr="00D04661">
              <w:rPr>
                <w:rFonts w:asciiTheme="minorHAnsi" w:hAnsiTheme="minorHAnsi" w:cs="Calibri"/>
              </w:rPr>
              <w:t xml:space="preserve"> </w:t>
            </w:r>
            <w:r>
              <w:rPr>
                <w:rFonts w:asciiTheme="minorHAnsi" w:hAnsiTheme="minorHAnsi" w:cs="Calibri"/>
              </w:rPr>
              <w:t>“</w:t>
            </w:r>
            <w:r w:rsidRPr="00D04661">
              <w:rPr>
                <w:rFonts w:asciiTheme="minorHAnsi" w:hAnsiTheme="minorHAnsi" w:cs="Calibri"/>
              </w:rPr>
              <w:t>R</w:t>
            </w:r>
            <w:r w:rsidRPr="00D04661">
              <w:rPr>
                <w:rFonts w:asciiTheme="minorHAnsi" w:hAnsiTheme="minorHAnsi" w:cs="Calibri"/>
                <w:lang w:eastAsia="zh-MO"/>
              </w:rPr>
              <w:t>equire</w:t>
            </w:r>
            <w:r w:rsidRPr="00D04661">
              <w:rPr>
                <w:rFonts w:asciiTheme="minorHAnsi" w:hAnsiTheme="minorHAnsi" w:cs="Calibri"/>
              </w:rPr>
              <w:t xml:space="preserve"> borrowers/clients to … </w:t>
            </w:r>
            <w:r w:rsidRPr="00D04661">
              <w:rPr>
                <w:rFonts w:asciiTheme="minorHAnsi" w:hAnsiTheme="minorHAnsi" w:cs="Calibri"/>
                <w:lang w:eastAsia="zh-MO"/>
              </w:rPr>
              <w:t>submit</w:t>
            </w:r>
            <w:r w:rsidRPr="00D04661">
              <w:rPr>
                <w:rFonts w:asciiTheme="minorHAnsi" w:hAnsiTheme="minorHAnsi" w:cs="Calibri"/>
              </w:rPr>
              <w:t xml:space="preserve"> periodic </w:t>
            </w:r>
            <w:r w:rsidRPr="00D04661">
              <w:rPr>
                <w:rFonts w:asciiTheme="minorHAnsi" w:hAnsiTheme="minorHAnsi" w:cs="Calibri"/>
                <w:lang w:eastAsia="zh-MO"/>
              </w:rPr>
              <w:t xml:space="preserve">monitoring </w:t>
            </w:r>
            <w:r w:rsidRPr="00D04661">
              <w:rPr>
                <w:rFonts w:asciiTheme="minorHAnsi" w:hAnsiTheme="minorHAnsi" w:cs="Calibri"/>
              </w:rPr>
              <w:t>reports on safeguard measures as agreed with ADB.</w:t>
            </w:r>
            <w:r>
              <w:rPr>
                <w:rFonts w:asciiTheme="minorHAnsi" w:hAnsiTheme="minorHAnsi" w:cs="Calibri"/>
              </w:rPr>
              <w:t>”</w:t>
            </w:r>
          </w:p>
          <w:p w14:paraId="039CAEE3" w14:textId="77777777" w:rsidR="00CF59E1" w:rsidRPr="00D04661" w:rsidRDefault="00CF59E1" w:rsidP="00CF59E1">
            <w:pPr>
              <w:tabs>
                <w:tab w:val="left" w:pos="900"/>
              </w:tabs>
              <w:spacing w:after="120"/>
              <w:rPr>
                <w:rFonts w:asciiTheme="minorHAnsi" w:hAnsiTheme="minorHAnsi" w:cs="Calibri"/>
              </w:rPr>
            </w:pPr>
            <w:r>
              <w:rPr>
                <w:rFonts w:asciiTheme="minorHAnsi" w:hAnsiTheme="minorHAnsi" w:cs="Calibri"/>
              </w:rPr>
              <w:t>“</w:t>
            </w:r>
            <w:r w:rsidRPr="00D04661">
              <w:rPr>
                <w:rFonts w:asciiTheme="minorHAnsi" w:hAnsiTheme="minorHAnsi" w:cs="Calibri"/>
              </w:rPr>
              <w:t>[The Bank] is required to…</w:t>
            </w:r>
            <w:r>
              <w:rPr>
                <w:rFonts w:asciiTheme="minorHAnsi" w:hAnsiTheme="minorHAnsi" w:cs="Calibri"/>
              </w:rPr>
              <w:t>”</w:t>
            </w:r>
            <w:r w:rsidRPr="00D04661">
              <w:rPr>
                <w:rFonts w:asciiTheme="minorHAnsi" w:hAnsiTheme="minorHAnsi" w:cs="Calibri"/>
              </w:rPr>
              <w:t>[r]eview… project performance against borrowers’/clients’ commitments as agreed in the legal documents.</w:t>
            </w:r>
            <w:r>
              <w:rPr>
                <w:rFonts w:asciiTheme="minorHAnsi" w:hAnsiTheme="minorHAnsi" w:cs="Calibri"/>
              </w:rPr>
              <w:t>”</w:t>
            </w:r>
            <w:r w:rsidRPr="00D04661">
              <w:rPr>
                <w:rFonts w:asciiTheme="minorHAnsi" w:hAnsiTheme="minorHAnsi" w:cs="Calibri"/>
              </w:rPr>
              <w:t xml:space="preserve"> </w:t>
            </w:r>
            <w:r>
              <w:rPr>
                <w:rFonts w:asciiTheme="minorHAnsi" w:hAnsiTheme="minorHAnsi" w:cs="Calibri"/>
              </w:rPr>
              <w:t>“</w:t>
            </w:r>
            <w:r w:rsidRPr="00D04661">
              <w:rPr>
                <w:rFonts w:asciiTheme="minorHAnsi" w:hAnsiTheme="minorHAnsi" w:cs="Calibri"/>
              </w:rPr>
              <w:t>The extent of [the Bank’s] monitoring and supervision activities will be commensurate with the project’s risks and impacts.</w:t>
            </w:r>
            <w:r>
              <w:rPr>
                <w:rFonts w:asciiTheme="minorHAnsi" w:hAnsiTheme="minorHAnsi" w:cs="Calibri"/>
              </w:rPr>
              <w:t>”</w:t>
            </w:r>
            <w:r w:rsidRPr="00D04661">
              <w:rPr>
                <w:rFonts w:asciiTheme="minorHAnsi" w:hAnsiTheme="minorHAnsi" w:cs="Calibri"/>
              </w:rPr>
              <w:t xml:space="preserve"> </w:t>
            </w:r>
          </w:p>
          <w:p w14:paraId="2CEDFA15"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Monitoring and supervising of social and environmental safeguards is integrated into the project pe</w:t>
            </w:r>
            <w:r w:rsidRPr="00D04661">
              <w:rPr>
                <w:rFonts w:asciiTheme="minorHAnsi" w:hAnsiTheme="minorHAnsi" w:cs="Calibri"/>
                <w:b/>
              </w:rPr>
              <w:t>rfo</w:t>
            </w:r>
            <w:r w:rsidRPr="00D04661">
              <w:rPr>
                <w:rFonts w:asciiTheme="minorHAnsi" w:hAnsiTheme="minorHAnsi" w:cs="Calibri"/>
              </w:rPr>
              <w:t>rmance management system.</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ADB,</w:t>
            </w:r>
            <w:r w:rsidRPr="00D04661">
              <w:rPr>
                <w:rFonts w:asciiTheme="minorHAnsi" w:hAnsiTheme="minorHAnsi" w:cs="Calibri"/>
                <w:b/>
                <w:lang w:eastAsia="zh-MO"/>
              </w:rPr>
              <w:t xml:space="preserve"> SPS, Policy Delivery Process, General Requirements, para. 57)</w:t>
            </w:r>
            <w:r w:rsidRPr="00D04661">
              <w:rPr>
                <w:rFonts w:asciiTheme="minorHAnsi" w:hAnsiTheme="minorHAnsi" w:cs="Calibri"/>
                <w:lang w:eastAsia="zh-MO"/>
              </w:rPr>
              <w:t xml:space="preserve"> </w:t>
            </w:r>
          </w:p>
        </w:tc>
      </w:tr>
      <w:tr w:rsidR="00CF59E1" w:rsidRPr="00D8522E" w14:paraId="43060C2F" w14:textId="77777777" w:rsidTr="00CF59E1">
        <w:tc>
          <w:tcPr>
            <w:tcW w:w="6390" w:type="dxa"/>
            <w:vMerge/>
            <w:shd w:val="clear" w:color="auto" w:fill="auto"/>
            <w:vAlign w:val="center"/>
          </w:tcPr>
          <w:p w14:paraId="49AD4E62" w14:textId="77777777" w:rsidR="00CF59E1" w:rsidRPr="00D04661" w:rsidRDefault="00CF59E1" w:rsidP="00CF59E1">
            <w:pPr>
              <w:spacing w:after="120"/>
              <w:rPr>
                <w:rFonts w:asciiTheme="minorHAnsi" w:eastAsia="MS Mincho" w:hAnsiTheme="minorHAnsi" w:cs="Calibri"/>
                <w:lang w:eastAsia="ja-JP"/>
              </w:rPr>
            </w:pPr>
          </w:p>
        </w:tc>
        <w:tc>
          <w:tcPr>
            <w:tcW w:w="7200" w:type="dxa"/>
            <w:shd w:val="clear" w:color="auto" w:fill="auto"/>
          </w:tcPr>
          <w:p w14:paraId="18A4EA28" w14:textId="77777777" w:rsidR="00CF59E1" w:rsidRPr="00D04661" w:rsidRDefault="00CF59E1" w:rsidP="00CF59E1">
            <w:pPr>
              <w:spacing w:after="120"/>
              <w:rPr>
                <w:rFonts w:asciiTheme="minorHAnsi" w:hAnsiTheme="minorHAnsi" w:cs="Times New Roman"/>
              </w:rPr>
            </w:pPr>
            <w:r>
              <w:rPr>
                <w:rFonts w:asciiTheme="minorHAnsi" w:hAnsiTheme="minorHAnsi" w:cs="Times New Roman"/>
              </w:rPr>
              <w:t>“</w:t>
            </w:r>
            <w:r w:rsidRPr="00D04661">
              <w:rPr>
                <w:rFonts w:asciiTheme="minorHAnsi" w:hAnsiTheme="minorHAnsi" w:cs="Times New Roman"/>
              </w:rPr>
              <w:t xml:space="preserve">The Bank will monitor the executing agency/borrower’s compliance with all safeguard requirements stipulated in the loan agreement and project operating or credit regulations. </w:t>
            </w:r>
            <w:r w:rsidRPr="00D04661">
              <w:rPr>
                <w:rFonts w:asciiTheme="minorHAnsi" w:hAnsiTheme="minorHAnsi" w:cs="Times New Roman"/>
                <w:i/>
              </w:rPr>
              <w:t xml:space="preserve">Safeguard requirements, such as those in an ESMP must be incorporated into the project contract documents, its operating </w:t>
            </w:r>
            <w:r w:rsidRPr="00D04661">
              <w:rPr>
                <w:rFonts w:asciiTheme="minorHAnsi" w:hAnsiTheme="minorHAnsi" w:cs="Times New Roman"/>
              </w:rPr>
              <w:t>or credit regulations, or the project bidding documents, as appropriate, setting out as necessary milestones, timeframes and corresponding budgetary allocations to implement and monitor the plan during the course of the project. Safeguard indicators, as appropriate, should be clearly defined in the logical/results framework, followed up in project monitoring reports and reviewed in mid-term reviews and project completion reports</w:t>
            </w:r>
            <w:r w:rsidRPr="00D04661">
              <w:rPr>
                <w:rFonts w:asciiTheme="minorHAnsi" w:hAnsiTheme="minorHAnsi" w:cs="Times New Roman"/>
                <w:i/>
              </w:rPr>
              <w:t>.</w:t>
            </w:r>
            <w:r w:rsidRPr="00D04661">
              <w:rPr>
                <w:rFonts w:asciiTheme="minorHAnsi" w:hAnsiTheme="minorHAnsi" w:cs="Times New Roman"/>
              </w:rPr>
              <w:t xml:space="preserve"> Compliance with safeguard commitments and identification of unexpected safeguard issues will be analyzed, reviewed and reported as part of Bank’s administration and portfolio review missions. Category </w:t>
            </w:r>
            <w:r>
              <w:rPr>
                <w:rFonts w:asciiTheme="minorHAnsi" w:hAnsiTheme="minorHAnsi" w:cs="Times New Roman"/>
              </w:rPr>
              <w:t>“</w:t>
            </w:r>
            <w:r w:rsidRPr="00D04661">
              <w:rPr>
                <w:rFonts w:asciiTheme="minorHAnsi" w:hAnsiTheme="minorHAnsi" w:cs="Times New Roman"/>
              </w:rPr>
              <w:t>A</w:t>
            </w:r>
            <w:r>
              <w:rPr>
                <w:rFonts w:asciiTheme="minorHAnsi" w:hAnsiTheme="minorHAnsi" w:cs="Times New Roman"/>
              </w:rPr>
              <w:t>”</w:t>
            </w:r>
            <w:r w:rsidRPr="00D04661">
              <w:rPr>
                <w:rFonts w:asciiTheme="minorHAnsi" w:hAnsiTheme="minorHAnsi" w:cs="Times New Roman"/>
              </w:rPr>
              <w:t xml:space="preserve"> projects will be reviewed at least annually to assess safeguard compliance. Whenever ex-post evaluations are conducted, these will evaluate the sustainability outcomes of an operation.</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IDB, ECSP para. 4.21)</w:t>
            </w:r>
          </w:p>
          <w:p w14:paraId="09B7D13C" w14:textId="77777777" w:rsidR="00CF59E1" w:rsidRPr="00D04661" w:rsidRDefault="00CF59E1" w:rsidP="00CF59E1">
            <w:pPr>
              <w:spacing w:after="120"/>
              <w:rPr>
                <w:rFonts w:asciiTheme="minorHAnsi" w:hAnsiTheme="minorHAnsi" w:cs="Times New Roman"/>
                <w:b/>
              </w:rPr>
            </w:pPr>
            <w:r>
              <w:rPr>
                <w:rFonts w:asciiTheme="minorHAnsi" w:hAnsiTheme="minorHAnsi" w:cs="Times New Roman"/>
              </w:rPr>
              <w:t>“</w:t>
            </w:r>
            <w:r w:rsidRPr="00D04661">
              <w:rPr>
                <w:rFonts w:asciiTheme="minorHAnsi" w:hAnsiTheme="minorHAnsi" w:cs="Times New Roman"/>
              </w:rPr>
              <w:t>The ESMP must include: … the framework for the monitoring of social and environmental impacts and risks throughout the execution of the operation, including clearly defined indicators, monitoring schedules, responsibilities and costs.</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IDB, ESCP, para. 4.19)</w:t>
            </w:r>
          </w:p>
          <w:p w14:paraId="6BE28FF5" w14:textId="77777777" w:rsidR="00CF59E1" w:rsidRPr="00D04661" w:rsidRDefault="00CF59E1" w:rsidP="00CF59E1">
            <w:pPr>
              <w:spacing w:after="120"/>
              <w:rPr>
                <w:rFonts w:asciiTheme="minorHAnsi" w:hAnsiTheme="minorHAnsi" w:cs="Times New Roman"/>
              </w:rPr>
            </w:pPr>
            <w:r w:rsidRPr="00D8522E">
              <w:rPr>
                <w:rFonts w:asciiTheme="minorHAnsi" w:hAnsiTheme="minorHAnsi" w:cs="Times New Roman"/>
              </w:rPr>
              <w:t xml:space="preserve"> </w:t>
            </w:r>
            <w:r>
              <w:rPr>
                <w:rFonts w:asciiTheme="minorHAnsi" w:hAnsiTheme="minorHAnsi" w:cs="Times New Roman"/>
              </w:rPr>
              <w:t>“</w:t>
            </w:r>
            <w:r w:rsidRPr="00D04661">
              <w:rPr>
                <w:rFonts w:asciiTheme="minorHAnsi" w:hAnsiTheme="minorHAnsi" w:cs="Times New Roman"/>
              </w:rPr>
              <w:t>For some high safeguard risk operations that, in the Bank’s opinion, raise complex and sensitive environmental, social, or health and safety concerns, the borrower should normally establish an advisory panel of experts to provide guidance for the design and/or execution of the operation on issues relevant to the EA process including health and safety.</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IDB, ESCP para. 4.17)</w:t>
            </w:r>
          </w:p>
          <w:p w14:paraId="6DB9ADCD" w14:textId="77777777" w:rsidR="00CF59E1" w:rsidRPr="00D04661" w:rsidRDefault="00CF59E1" w:rsidP="00CF59E1">
            <w:pPr>
              <w:spacing w:after="120"/>
              <w:rPr>
                <w:rFonts w:asciiTheme="minorHAnsi" w:hAnsiTheme="minorHAnsi" w:cs="Times New Roman"/>
                <w:b/>
              </w:rPr>
            </w:pPr>
            <w:r w:rsidRPr="00D04661">
              <w:rPr>
                <w:rFonts w:asciiTheme="minorHAnsi" w:hAnsiTheme="minorHAnsi" w:cs="Times New Roman"/>
              </w:rPr>
              <w:t xml:space="preserve">The ESMP must include </w:t>
            </w:r>
            <w:r w:rsidRPr="00D04661">
              <w:rPr>
                <w:rFonts w:asciiTheme="minorHAnsi" w:hAnsiTheme="minorHAnsi" w:cs="Times New Roman"/>
                <w:b/>
              </w:rPr>
              <w:t>the consultation or participation program agreed for the operation (IDB, ESCP Para. 4.19)</w:t>
            </w:r>
          </w:p>
          <w:p w14:paraId="074D7ECC" w14:textId="77777777" w:rsidR="00CF59E1" w:rsidRPr="00D04661" w:rsidRDefault="00CF59E1" w:rsidP="00CF59E1">
            <w:pPr>
              <w:spacing w:after="120"/>
              <w:rPr>
                <w:rFonts w:asciiTheme="minorHAnsi" w:hAnsiTheme="minorHAnsi" w:cs="Calibri"/>
                <w:lang w:eastAsia="zh-MO"/>
              </w:rPr>
            </w:pPr>
            <w:r>
              <w:rPr>
                <w:rFonts w:asciiTheme="minorHAnsi" w:hAnsiTheme="minorHAnsi" w:cs="Calibri"/>
              </w:rPr>
              <w:t>“</w:t>
            </w:r>
            <w:r w:rsidRPr="00D04661">
              <w:rPr>
                <w:rFonts w:asciiTheme="minorHAnsi" w:hAnsiTheme="minorHAnsi" w:cs="Calibri"/>
              </w:rPr>
              <w:t>Affected parties also may be asked to play a role in monitoring the ESMP.</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 xml:space="preserve">(IDB, IG-ESCP, p. 32) </w:t>
            </w:r>
          </w:p>
        </w:tc>
      </w:tr>
      <w:tr w:rsidR="00CF59E1" w:rsidRPr="00D8522E" w14:paraId="6BC83568" w14:textId="77777777" w:rsidTr="00CF59E1">
        <w:tc>
          <w:tcPr>
            <w:tcW w:w="6390" w:type="dxa"/>
            <w:vMerge w:val="restart"/>
            <w:shd w:val="clear" w:color="auto" w:fill="auto"/>
            <w:vAlign w:val="center"/>
          </w:tcPr>
          <w:p w14:paraId="5A0E4A21" w14:textId="77777777" w:rsidR="00CF59E1" w:rsidRPr="00D04661" w:rsidRDefault="00CF59E1" w:rsidP="00CF59E1">
            <w:pPr>
              <w:spacing w:after="120"/>
              <w:rPr>
                <w:rFonts w:asciiTheme="minorHAnsi" w:eastAsia="MS Mincho" w:hAnsiTheme="minorHAnsi" w:cs="Calibri"/>
                <w:b/>
                <w:lang w:eastAsia="ja-JP"/>
              </w:rPr>
            </w:pPr>
            <w:r w:rsidRPr="00D04661">
              <w:rPr>
                <w:rFonts w:asciiTheme="minorHAnsi" w:eastAsia="MS Mincho" w:hAnsiTheme="minorHAnsi" w:cs="Calibri"/>
                <w:b/>
                <w:lang w:eastAsia="ja-JP"/>
              </w:rPr>
              <w:t xml:space="preserve">STAKEHOLDER PARTICIPATION IN EA PROCESS </w:t>
            </w:r>
          </w:p>
          <w:p w14:paraId="713EB2C5" w14:textId="77777777" w:rsidR="00CF59E1" w:rsidRPr="003B4A78" w:rsidRDefault="00CF59E1" w:rsidP="00CF59E1">
            <w:pPr>
              <w:spacing w:after="120"/>
              <w:rPr>
                <w:rFonts w:asciiTheme="minorHAnsi" w:hAnsiTheme="minorHAnsi" w:cs="Arial"/>
              </w:rPr>
            </w:pPr>
            <w:r w:rsidRPr="00D04661">
              <w:rPr>
                <w:rFonts w:asciiTheme="minorHAnsi" w:hAnsiTheme="minorHAnsi" w:cs="Arial"/>
                <w:b/>
              </w:rPr>
              <w:t xml:space="preserve">OP 4.01, </w:t>
            </w:r>
            <w:r>
              <w:rPr>
                <w:rFonts w:asciiTheme="minorHAnsi" w:hAnsiTheme="minorHAnsi" w:cs="Arial"/>
                <w:b/>
              </w:rPr>
              <w:t>para.</w:t>
            </w:r>
            <w:r w:rsidRPr="00D04661">
              <w:rPr>
                <w:rFonts w:asciiTheme="minorHAnsi" w:hAnsiTheme="minorHAnsi" w:cs="Arial"/>
                <w:b/>
              </w:rPr>
              <w:t xml:space="preserve"> 14</w:t>
            </w:r>
            <w:r w:rsidRPr="00D04661">
              <w:rPr>
                <w:rFonts w:asciiTheme="minorHAnsi" w:hAnsiTheme="minorHAnsi" w:cs="Arial"/>
              </w:rPr>
              <w:t xml:space="preserve">: </w:t>
            </w:r>
            <w:r>
              <w:rPr>
                <w:rFonts w:asciiTheme="minorHAnsi" w:hAnsiTheme="minorHAnsi" w:cs="Arial"/>
              </w:rPr>
              <w:t>“</w:t>
            </w:r>
            <w:r w:rsidRPr="00D04661">
              <w:rPr>
                <w:rFonts w:asciiTheme="minorHAnsi" w:hAnsiTheme="minorHAnsi" w:cs="Arial"/>
              </w:rPr>
              <w:t xml:space="preserve">For all Category A and B projects … during the EA process, the borrower consults project-affected groups and local non-governmental organizations (NGOs) about the project’s environmental aspects and takes their views into account. The borrower initiates such consultations as early as possible. For Category A projects, the borrower consults these groups at least twice: (a) shortly after environmental screening and before the terms of reference for the EA are finalized; and (b) once a draft EA report is prepared. In addition, the borrower consults with such groups throughout project implementation as necessary to address </w:t>
            </w:r>
            <w:r w:rsidRPr="003B4A78">
              <w:rPr>
                <w:rFonts w:asciiTheme="minorHAnsi" w:hAnsiTheme="minorHAnsi" w:cs="Arial"/>
              </w:rPr>
              <w:t>EA-related issues that affect them</w:t>
            </w:r>
          </w:p>
          <w:p w14:paraId="0D5D2728" w14:textId="77777777" w:rsidR="00CF59E1" w:rsidRDefault="00CF59E1" w:rsidP="00CF59E1">
            <w:pPr>
              <w:spacing w:after="120"/>
              <w:rPr>
                <w:rFonts w:asciiTheme="minorHAnsi" w:eastAsia="Times New Roman" w:hAnsiTheme="minorHAnsi" w:cs="Arial"/>
                <w:color w:val="000000"/>
              </w:rPr>
            </w:pPr>
            <w:r w:rsidRPr="003B4A78">
              <w:rPr>
                <w:rFonts w:asciiTheme="minorHAnsi" w:hAnsiTheme="minorHAnsi" w:cs="Arial"/>
                <w:b/>
              </w:rPr>
              <w:t xml:space="preserve">OP 4.01, </w:t>
            </w:r>
            <w:r>
              <w:rPr>
                <w:rFonts w:asciiTheme="minorHAnsi" w:hAnsiTheme="minorHAnsi" w:cs="Arial"/>
                <w:b/>
              </w:rPr>
              <w:t>para.</w:t>
            </w:r>
            <w:r w:rsidRPr="003B4A78">
              <w:rPr>
                <w:rFonts w:asciiTheme="minorHAnsi" w:hAnsiTheme="minorHAnsi" w:cs="Arial"/>
                <w:b/>
              </w:rPr>
              <w:t xml:space="preserve"> 15</w:t>
            </w:r>
            <w:r w:rsidRPr="003B4A78">
              <w:rPr>
                <w:rFonts w:asciiTheme="minorHAnsi" w:hAnsiTheme="minorHAnsi" w:cs="Arial"/>
              </w:rPr>
              <w:t>:</w:t>
            </w:r>
            <w:r w:rsidRPr="003B4A78">
              <w:rPr>
                <w:rFonts w:asciiTheme="minorHAnsi" w:eastAsia="Times New Roman" w:hAnsiTheme="minorHAnsi" w:cs="Arial"/>
                <w:color w:val="000000"/>
              </w:rPr>
              <w:t xml:space="preserve"> For meaningful consultations between the borrower and project-affected groups and local NGOs on all Category A and B projects proposed for IBRD or IDA financing, the borrower provides relevant material in a timely manner prior to consultation and in a form and language that are understandable and accessible to the groups being consulted.</w:t>
            </w:r>
          </w:p>
          <w:p w14:paraId="49B3D91C" w14:textId="77777777" w:rsidR="00CF59E1" w:rsidRPr="003B4A78" w:rsidRDefault="00CF59E1" w:rsidP="00CF59E1">
            <w:pPr>
              <w:spacing w:after="120"/>
              <w:rPr>
                <w:rFonts w:asciiTheme="minorHAnsi" w:hAnsiTheme="minorHAnsi" w:cs="Arial"/>
              </w:rPr>
            </w:pPr>
            <w:r w:rsidRPr="003B4A78">
              <w:rPr>
                <w:rFonts w:asciiTheme="minorHAnsi" w:hAnsiTheme="minorHAnsi" w:cs="Arial"/>
                <w:b/>
              </w:rPr>
              <w:t xml:space="preserve">OP 4.01, </w:t>
            </w:r>
            <w:r>
              <w:rPr>
                <w:rFonts w:asciiTheme="minorHAnsi" w:hAnsiTheme="minorHAnsi" w:cs="Arial"/>
                <w:b/>
              </w:rPr>
              <w:t>para.</w:t>
            </w:r>
            <w:r w:rsidRPr="003B4A78">
              <w:rPr>
                <w:rFonts w:asciiTheme="minorHAnsi" w:hAnsiTheme="minorHAnsi" w:cs="Arial"/>
                <w:b/>
              </w:rPr>
              <w:t xml:space="preserve"> 16</w:t>
            </w:r>
            <w:r w:rsidRPr="003B4A78">
              <w:rPr>
                <w:rFonts w:asciiTheme="minorHAnsi" w:hAnsiTheme="minorHAnsi" w:cs="Arial"/>
              </w:rPr>
              <w:t>:</w:t>
            </w:r>
            <w:r w:rsidRPr="003B4A78">
              <w:rPr>
                <w:rFonts w:asciiTheme="minorHAnsi" w:eastAsia="Times New Roman" w:hAnsiTheme="minorHAnsi" w:cs="Arial"/>
                <w:color w:val="000000"/>
              </w:rPr>
              <w:t xml:space="preserve"> For a Category A project, the borrower provides for the initial consultation a summary of the proposed project's objectives, description, and potential impacts; for consultation after the draft EA report is prepared, the borrower provides a summary of the EA's conclusions. In addition, for a Category A project, the borrower makes the draft EA report available at a public place accessible to project-affected groups and local NGOs. For projects described in paragraph 9 above, the borrower/FI ensures that EA reports for Category A subprojects are made available in a public place accessible to affected groups and local NGOs.</w:t>
            </w:r>
          </w:p>
          <w:p w14:paraId="139CEE20" w14:textId="77777777" w:rsidR="00CF59E1" w:rsidRDefault="00CF59E1" w:rsidP="00CF59E1">
            <w:pPr>
              <w:autoSpaceDE/>
              <w:autoSpaceDN/>
              <w:adjustRightInd/>
              <w:spacing w:after="120"/>
              <w:rPr>
                <w:rFonts w:asciiTheme="minorHAnsi" w:eastAsia="Times New Roman" w:hAnsiTheme="minorHAnsi" w:cs="Arial"/>
                <w:color w:val="000000"/>
              </w:rPr>
            </w:pPr>
            <w:r w:rsidRPr="003B4A78">
              <w:rPr>
                <w:rFonts w:asciiTheme="minorHAnsi" w:hAnsiTheme="minorHAnsi" w:cs="Arial"/>
                <w:b/>
              </w:rPr>
              <w:t xml:space="preserve">OP 4.01, </w:t>
            </w:r>
            <w:r>
              <w:rPr>
                <w:rFonts w:asciiTheme="minorHAnsi" w:hAnsiTheme="minorHAnsi" w:cs="Arial"/>
                <w:b/>
              </w:rPr>
              <w:t>para.</w:t>
            </w:r>
            <w:r w:rsidRPr="003B4A78">
              <w:rPr>
                <w:rFonts w:asciiTheme="minorHAnsi" w:hAnsiTheme="minorHAnsi" w:cs="Arial"/>
                <w:b/>
              </w:rPr>
              <w:t xml:space="preserve"> 17</w:t>
            </w:r>
            <w:r w:rsidRPr="003B4A78">
              <w:rPr>
                <w:rFonts w:asciiTheme="minorHAnsi" w:hAnsiTheme="minorHAnsi" w:cs="Arial"/>
              </w:rPr>
              <w:t>:</w:t>
            </w:r>
            <w:r w:rsidRPr="003B4A78">
              <w:rPr>
                <w:rFonts w:asciiTheme="minorHAnsi" w:eastAsia="Times New Roman" w:hAnsiTheme="minorHAnsi" w:cs="Arial"/>
                <w:color w:val="000000"/>
              </w:rPr>
              <w:t xml:space="preserve"> Any separate Category B report for a project proposed for IDA financing is made available to project-affected groups and local NGOs. Public availability in the borrowing country and official receipt by the Bank of Category A reports for projects proposed for IBRD or IDA financing, and of any Category B EA report for projects proposed for IDA funding, are prerequisites to Bank appraisal of these projects.</w:t>
            </w:r>
          </w:p>
          <w:p w14:paraId="06680B22" w14:textId="77777777" w:rsidR="00CF59E1" w:rsidRPr="00D04661" w:rsidRDefault="00CF59E1" w:rsidP="00CF59E1">
            <w:pPr>
              <w:spacing w:after="120"/>
              <w:rPr>
                <w:rFonts w:asciiTheme="minorHAnsi" w:eastAsia="MS Mincho" w:hAnsiTheme="minorHAnsi" w:cs="Calibri"/>
                <w:lang w:eastAsia="ja-JP"/>
              </w:rPr>
            </w:pPr>
            <w:r w:rsidRPr="003B4A78">
              <w:rPr>
                <w:rFonts w:asciiTheme="minorHAnsi" w:hAnsiTheme="minorHAnsi" w:cs="Arial"/>
                <w:b/>
              </w:rPr>
              <w:t>OP 4.01, Footn</w:t>
            </w:r>
            <w:r>
              <w:rPr>
                <w:rFonts w:asciiTheme="minorHAnsi" w:hAnsiTheme="minorHAnsi" w:cs="Arial"/>
                <w:b/>
              </w:rPr>
              <w:t>ote</w:t>
            </w:r>
            <w:r w:rsidRPr="003B4A78">
              <w:rPr>
                <w:rFonts w:asciiTheme="minorHAnsi" w:hAnsiTheme="minorHAnsi" w:cs="Arial"/>
                <w:b/>
              </w:rPr>
              <w:t xml:space="preserve"> 19</w:t>
            </w:r>
            <w:bookmarkStart w:id="23" w:name="fn19"/>
            <w:bookmarkEnd w:id="23"/>
            <w:r w:rsidRPr="00D8522E">
              <w:rPr>
                <w:rFonts w:asciiTheme="minorHAnsi" w:hAnsiTheme="minorHAnsi" w:cs="Arial"/>
                <w:color w:val="000000"/>
              </w:rPr>
              <w:t>:</w:t>
            </w:r>
            <w:r w:rsidRPr="003B4A78">
              <w:rPr>
                <w:rFonts w:asciiTheme="minorHAnsi" w:hAnsiTheme="minorHAnsi" w:cs="Arial"/>
                <w:color w:val="000000"/>
              </w:rPr>
              <w:t xml:space="preserve"> For projects with major social components, consultations are also required by other Bank policies--for example, </w:t>
            </w:r>
            <w:hyperlink r:id="rId34" w:history="1">
              <w:r w:rsidRPr="003B4A78">
                <w:rPr>
                  <w:rFonts w:asciiTheme="minorHAnsi" w:hAnsiTheme="minorHAnsi" w:cs="Arial"/>
                  <w:color w:val="000099"/>
                  <w:u w:val="single"/>
                </w:rPr>
                <w:t>OP</w:t>
              </w:r>
            </w:hyperlink>
            <w:r w:rsidRPr="003B4A78">
              <w:rPr>
                <w:rFonts w:asciiTheme="minorHAnsi" w:hAnsiTheme="minorHAnsi" w:cs="Arial"/>
                <w:color w:val="000000"/>
              </w:rPr>
              <w:t>/</w:t>
            </w:r>
            <w:hyperlink r:id="rId35" w:history="1">
              <w:r w:rsidRPr="003B4A78">
                <w:rPr>
                  <w:rFonts w:asciiTheme="minorHAnsi" w:hAnsiTheme="minorHAnsi" w:cs="Arial"/>
                  <w:color w:val="000099"/>
                  <w:u w:val="single"/>
                </w:rPr>
                <w:t>BP</w:t>
              </w:r>
            </w:hyperlink>
            <w:r w:rsidRPr="003B4A78">
              <w:rPr>
                <w:rFonts w:asciiTheme="minorHAnsi" w:hAnsiTheme="minorHAnsi" w:cs="Arial"/>
                <w:color w:val="000000"/>
              </w:rPr>
              <w:t xml:space="preserve"> 4.10, </w:t>
            </w:r>
            <w:r w:rsidRPr="003B4A78">
              <w:rPr>
                <w:rFonts w:asciiTheme="minorHAnsi" w:hAnsiTheme="minorHAnsi" w:cs="Arial"/>
                <w:i/>
                <w:iCs/>
                <w:color w:val="000000"/>
              </w:rPr>
              <w:t>Indigenous Peoples</w:t>
            </w:r>
            <w:r w:rsidRPr="003B4A78">
              <w:rPr>
                <w:rFonts w:asciiTheme="minorHAnsi" w:hAnsiTheme="minorHAnsi" w:cs="Arial"/>
                <w:color w:val="000000"/>
              </w:rPr>
              <w:t xml:space="preserve">, and </w:t>
            </w:r>
            <w:hyperlink r:id="rId36" w:history="1">
              <w:r w:rsidRPr="003B4A78">
                <w:rPr>
                  <w:rFonts w:asciiTheme="minorHAnsi" w:hAnsiTheme="minorHAnsi" w:cs="Arial"/>
                  <w:color w:val="000099"/>
                  <w:u w:val="single"/>
                </w:rPr>
                <w:t>OP</w:t>
              </w:r>
            </w:hyperlink>
            <w:r w:rsidRPr="003B4A78">
              <w:rPr>
                <w:rFonts w:asciiTheme="minorHAnsi" w:hAnsiTheme="minorHAnsi" w:cs="Arial"/>
                <w:color w:val="000000"/>
              </w:rPr>
              <w:t>/</w:t>
            </w:r>
            <w:hyperlink r:id="rId37" w:history="1">
              <w:r w:rsidRPr="003B4A78">
                <w:rPr>
                  <w:rFonts w:asciiTheme="minorHAnsi" w:hAnsiTheme="minorHAnsi" w:cs="Arial"/>
                  <w:color w:val="000099"/>
                  <w:u w:val="single"/>
                </w:rPr>
                <w:t>BP</w:t>
              </w:r>
            </w:hyperlink>
            <w:r w:rsidRPr="003B4A78">
              <w:rPr>
                <w:rFonts w:asciiTheme="minorHAnsi" w:hAnsiTheme="minorHAnsi" w:cs="Arial"/>
                <w:color w:val="000000"/>
              </w:rPr>
              <w:t xml:space="preserve"> 4.12, </w:t>
            </w:r>
            <w:r w:rsidRPr="003B4A78">
              <w:rPr>
                <w:rFonts w:asciiTheme="minorHAnsi" w:hAnsiTheme="minorHAnsi" w:cs="Arial"/>
                <w:i/>
                <w:iCs/>
                <w:color w:val="000000"/>
              </w:rPr>
              <w:t>Involuntary Resettlement</w:t>
            </w:r>
          </w:p>
        </w:tc>
        <w:tc>
          <w:tcPr>
            <w:tcW w:w="7200" w:type="dxa"/>
            <w:shd w:val="clear" w:color="auto" w:fill="auto"/>
          </w:tcPr>
          <w:p w14:paraId="607FD218" w14:textId="77777777" w:rsidR="00CF59E1" w:rsidRPr="00D04661" w:rsidRDefault="00CF59E1" w:rsidP="00CF59E1">
            <w:pPr>
              <w:spacing w:after="120"/>
              <w:rPr>
                <w:rFonts w:asciiTheme="minorHAnsi" w:hAnsiTheme="minorHAnsi" w:cs="Times New Roman"/>
              </w:rPr>
            </w:pPr>
            <w:r>
              <w:rPr>
                <w:rFonts w:asciiTheme="minorHAnsi" w:hAnsiTheme="minorHAnsi" w:cs="Calibri"/>
              </w:rPr>
              <w:t>“</w:t>
            </w:r>
            <w:r w:rsidRPr="00D04661">
              <w:rPr>
                <w:rFonts w:asciiTheme="minorHAnsi" w:hAnsiTheme="minorHAnsi" w:cs="Calibri"/>
              </w:rPr>
              <w:t>F</w:t>
            </w:r>
            <w:r w:rsidRPr="00D04661">
              <w:rPr>
                <w:rFonts w:asciiTheme="minorHAnsi" w:hAnsiTheme="minorHAnsi" w:cs="Times New Roman"/>
              </w:rPr>
              <w:t>or consultation purposes, appropriate information will be provided in location(s), format(s) and language(s) to allow for affected parties to be meaningfully consulted, to form an opinion and to comment on the proposed course of action. EIAs and/or other relevant environmental analyses will be made available to the public consistent with the Bank’s Disclosure of Information Policy (OP-102). During execution, affected parties should be kept informed of those project-related environmental and associated social mitigation measures affecting them, as defined in the ESMP.</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 xml:space="preserve">IDB, ESCP, para. 4.20 </w:t>
            </w:r>
            <w:r w:rsidRPr="00D04661">
              <w:rPr>
                <w:rFonts w:asciiTheme="minorHAnsi" w:hAnsiTheme="minorHAnsi" w:cs="Times New Roman"/>
              </w:rPr>
              <w:t>)</w:t>
            </w:r>
          </w:p>
          <w:p w14:paraId="22ABCC25"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 xml:space="preserve">ESMPs outline responsibilities for public consultation and disclosure, and describe mechanisms for feedback and remedial action… [and] indicate the estimated costs of these activities. … </w:t>
            </w:r>
            <w:r w:rsidRPr="00D04661">
              <w:rPr>
                <w:rFonts w:asciiTheme="minorHAnsi" w:hAnsiTheme="minorHAnsi" w:cs="Calibri"/>
                <w:i/>
              </w:rPr>
              <w:t>Public consultations may improve the design of mitigation and monitoring measures, and should be considered in the finalization of ESMPs.</w:t>
            </w:r>
            <w:r>
              <w:rPr>
                <w:rFonts w:asciiTheme="minorHAnsi" w:hAnsiTheme="minorHAnsi" w:cs="Calibri"/>
                <w:i/>
              </w:rPr>
              <w:t>”</w:t>
            </w:r>
            <w:r w:rsidRPr="00D04661">
              <w:rPr>
                <w:rFonts w:asciiTheme="minorHAnsi" w:hAnsiTheme="minorHAnsi" w:cs="Calibri"/>
              </w:rPr>
              <w:t xml:space="preserve"> (</w:t>
            </w:r>
            <w:r w:rsidRPr="00D04661">
              <w:rPr>
                <w:rFonts w:asciiTheme="minorHAnsi" w:hAnsiTheme="minorHAnsi" w:cs="Calibri"/>
                <w:b/>
              </w:rPr>
              <w:t>IDB, IG-ESCP, p. 32</w:t>
            </w:r>
            <w:r w:rsidRPr="00D04661">
              <w:rPr>
                <w:rFonts w:asciiTheme="minorHAnsi" w:hAnsiTheme="minorHAnsi" w:cs="Calibri"/>
              </w:rPr>
              <w:t>) (</w:t>
            </w:r>
            <w:r w:rsidRPr="00D04661">
              <w:rPr>
                <w:rFonts w:asciiTheme="minorHAnsi" w:hAnsiTheme="minorHAnsi" w:cs="Calibri"/>
                <w:i/>
              </w:rPr>
              <w:t>emphasis added</w:t>
            </w:r>
            <w:r w:rsidRPr="00D04661">
              <w:rPr>
                <w:rFonts w:asciiTheme="minorHAnsi" w:hAnsiTheme="minorHAnsi" w:cs="Calibri"/>
              </w:rPr>
              <w:t>)</w:t>
            </w:r>
          </w:p>
          <w:p w14:paraId="33C370B9" w14:textId="77777777" w:rsidR="00CF59E1" w:rsidRPr="003E5240" w:rsidRDefault="00CF59E1" w:rsidP="00CF59E1">
            <w:pPr>
              <w:spacing w:after="120"/>
              <w:rPr>
                <w:rFonts w:asciiTheme="minorHAnsi" w:hAnsiTheme="minorHAnsi" w:cs="Times New Roman"/>
              </w:rPr>
            </w:pPr>
            <w:r>
              <w:rPr>
                <w:rFonts w:asciiTheme="minorHAnsi" w:hAnsiTheme="minorHAnsi" w:cs="Times New Roman"/>
              </w:rPr>
              <w:t>“</w:t>
            </w:r>
            <w:r w:rsidRPr="00D04661">
              <w:rPr>
                <w:rFonts w:asciiTheme="minorHAnsi" w:hAnsiTheme="minorHAnsi" w:cs="Times New Roman"/>
              </w:rPr>
              <w:t>The ESMP must include: …the consultation or participation program agreed for the operation.</w:t>
            </w:r>
            <w:r>
              <w:rPr>
                <w:rFonts w:asciiTheme="minorHAnsi" w:hAnsiTheme="minorHAnsi" w:cs="Times New Roman"/>
              </w:rPr>
              <w:t>”</w:t>
            </w:r>
            <w:r w:rsidRPr="00D04661">
              <w:rPr>
                <w:rFonts w:asciiTheme="minorHAnsi" w:hAnsiTheme="minorHAnsi" w:cs="Times New Roman"/>
              </w:rPr>
              <w:t>(</w:t>
            </w:r>
            <w:r w:rsidRPr="00D04661">
              <w:rPr>
                <w:rFonts w:asciiTheme="minorHAnsi" w:hAnsiTheme="minorHAnsi" w:cs="Times New Roman"/>
                <w:b/>
              </w:rPr>
              <w:t>IDB. ESCP. Para. 4.19)</w:t>
            </w:r>
            <w:r w:rsidRPr="00D04661">
              <w:rPr>
                <w:rFonts w:asciiTheme="minorHAnsi" w:hAnsiTheme="minorHAnsi" w:cs="Times New Roman"/>
              </w:rPr>
              <w:t xml:space="preserve"> </w:t>
            </w:r>
          </w:p>
        </w:tc>
      </w:tr>
      <w:tr w:rsidR="00CF59E1" w:rsidRPr="00D8522E" w14:paraId="02F6A236" w14:textId="77777777" w:rsidTr="00CF59E1">
        <w:tc>
          <w:tcPr>
            <w:tcW w:w="6390" w:type="dxa"/>
            <w:vMerge/>
            <w:shd w:val="clear" w:color="auto" w:fill="auto"/>
            <w:vAlign w:val="center"/>
          </w:tcPr>
          <w:p w14:paraId="7AB5CC91" w14:textId="77777777" w:rsidR="00CF59E1" w:rsidRPr="00D04661" w:rsidRDefault="00CF59E1" w:rsidP="00CF59E1">
            <w:pPr>
              <w:spacing w:after="120"/>
              <w:rPr>
                <w:rFonts w:asciiTheme="minorHAnsi" w:eastAsia="MS Mincho" w:hAnsiTheme="minorHAnsi" w:cs="Calibri"/>
                <w:lang w:eastAsia="ja-JP"/>
              </w:rPr>
            </w:pPr>
          </w:p>
        </w:tc>
        <w:tc>
          <w:tcPr>
            <w:tcW w:w="7200" w:type="dxa"/>
            <w:shd w:val="clear" w:color="auto" w:fill="auto"/>
          </w:tcPr>
          <w:p w14:paraId="2B75C532"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For projects with significant adverse environment…impacts, [</w:t>
            </w:r>
            <w:r w:rsidRPr="00D04661">
              <w:rPr>
                <w:rFonts w:asciiTheme="minorHAnsi" w:hAnsiTheme="minorHAnsi" w:cs="Calibri"/>
                <w:i/>
              </w:rPr>
              <w:t>Bank] project teams will participate</w:t>
            </w:r>
            <w:r w:rsidRPr="00D04661">
              <w:rPr>
                <w:rFonts w:asciiTheme="minorHAnsi" w:hAnsiTheme="minorHAnsi" w:cs="Calibri"/>
              </w:rPr>
              <w:t xml:space="preserve"> in consultation activities to understand the concerns of affected people and ensure that such concerns are addressed in project design and safeguard plans.</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 xml:space="preserve">ADB, </w:t>
            </w:r>
            <w:r w:rsidRPr="00D04661">
              <w:rPr>
                <w:rFonts w:asciiTheme="minorHAnsi" w:hAnsiTheme="minorHAnsi" w:cs="Calibri"/>
                <w:b/>
                <w:lang w:eastAsia="zh-MO"/>
              </w:rPr>
              <w:t>SPS, Policy Delivery Process, General Requirements, para. 54</w:t>
            </w:r>
            <w:r w:rsidRPr="00D04661">
              <w:rPr>
                <w:rFonts w:asciiTheme="minorHAnsi" w:hAnsiTheme="minorHAnsi" w:cs="Calibri"/>
              </w:rPr>
              <w:t>)</w:t>
            </w:r>
          </w:p>
          <w:p w14:paraId="601AE601" w14:textId="77777777" w:rsidR="00CF59E1" w:rsidRPr="00D04661" w:rsidRDefault="00CF59E1" w:rsidP="00CF59E1">
            <w:pPr>
              <w:spacing w:after="120"/>
              <w:rPr>
                <w:rFonts w:asciiTheme="minorHAnsi" w:hAnsiTheme="minorHAnsi" w:cs="Calibri"/>
              </w:rPr>
            </w:pPr>
            <w:r>
              <w:rPr>
                <w:rFonts w:asciiTheme="minorHAnsi" w:hAnsiTheme="minorHAnsi" w:cs="Arial"/>
              </w:rPr>
              <w:t>“</w:t>
            </w:r>
            <w:r w:rsidRPr="00D04661">
              <w:rPr>
                <w:rFonts w:asciiTheme="minorHAnsi" w:hAnsiTheme="minorHAnsi" w:cs="Arial"/>
              </w:rPr>
              <w:t>Meaningful consultation is a process that (i) begins early in the project preparation stage and is carried out on an ongoing basis throughout the project cycle; (ii) provides timely disclosure of relevant and adequate information that is understandable and readily accessible to affected people; (iii) is undertaken in an atmosphere free of intimidation or coercion; (iv) is gender inclusive and responsive, and tailored to the needs of disadvantaged and vulnerable groups; and (v) enables the incorporation of all relevant views of affected people and other stakeholders into decision making, such as project design, mitigation measures, the sharing of development benefits and opportunities, and implementation issues.</w:t>
            </w:r>
            <w:r>
              <w:rPr>
                <w:rFonts w:asciiTheme="minorHAnsi" w:hAnsiTheme="minorHAnsi" w:cs="Arial"/>
              </w:rPr>
              <w:t>”</w:t>
            </w:r>
            <w:r w:rsidRPr="00D04661">
              <w:rPr>
                <w:rFonts w:asciiTheme="minorHAnsi" w:hAnsiTheme="minorHAnsi" w:cs="Calibri"/>
              </w:rPr>
              <w:t xml:space="preserve"> (</w:t>
            </w:r>
            <w:r w:rsidRPr="00D04661">
              <w:rPr>
                <w:rFonts w:asciiTheme="minorHAnsi" w:hAnsiTheme="minorHAnsi" w:cs="Calibri"/>
                <w:b/>
              </w:rPr>
              <w:t xml:space="preserve">ADB, </w:t>
            </w:r>
            <w:r w:rsidRPr="00D04661">
              <w:rPr>
                <w:rFonts w:asciiTheme="minorHAnsi" w:hAnsiTheme="minorHAnsi" w:cs="Calibri"/>
                <w:b/>
                <w:lang w:eastAsia="zh-MO"/>
              </w:rPr>
              <w:t>SPS, Policy Delivery Process, General Requirements, para. 54</w:t>
            </w:r>
            <w:r w:rsidRPr="00D04661">
              <w:rPr>
                <w:rFonts w:asciiTheme="minorHAnsi" w:hAnsiTheme="minorHAnsi" w:cs="Calibri"/>
              </w:rPr>
              <w:t>).</w:t>
            </w:r>
          </w:p>
        </w:tc>
      </w:tr>
      <w:tr w:rsidR="00CF59E1" w:rsidRPr="00D8522E" w14:paraId="198A5FC3" w14:textId="77777777" w:rsidTr="00CF59E1">
        <w:tc>
          <w:tcPr>
            <w:tcW w:w="6390" w:type="dxa"/>
            <w:vMerge/>
            <w:shd w:val="clear" w:color="auto" w:fill="auto"/>
            <w:vAlign w:val="center"/>
          </w:tcPr>
          <w:p w14:paraId="4AB9B008" w14:textId="77777777" w:rsidR="00CF59E1" w:rsidRPr="00D04661" w:rsidRDefault="00CF59E1" w:rsidP="00CF59E1">
            <w:pPr>
              <w:spacing w:after="120"/>
              <w:rPr>
                <w:rFonts w:asciiTheme="minorHAnsi" w:eastAsia="MS Mincho" w:hAnsiTheme="minorHAnsi" w:cs="Calibri"/>
                <w:lang w:eastAsia="ja-JP"/>
              </w:rPr>
            </w:pPr>
          </w:p>
        </w:tc>
        <w:tc>
          <w:tcPr>
            <w:tcW w:w="7200" w:type="dxa"/>
            <w:shd w:val="clear" w:color="auto" w:fill="auto"/>
          </w:tcPr>
          <w:p w14:paraId="50A30883"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 xml:space="preserve">The borrower or client shall establish a credible, independent and empowered </w:t>
            </w:r>
            <w:r w:rsidRPr="00D04661">
              <w:rPr>
                <w:rFonts w:asciiTheme="minorHAnsi" w:hAnsiTheme="minorHAnsi" w:cs="Calibri"/>
                <w:i/>
              </w:rPr>
              <w:t>local grievance and redress mechanism</w:t>
            </w:r>
            <w:r w:rsidRPr="00D04661">
              <w:rPr>
                <w:rFonts w:asciiTheme="minorHAnsi" w:hAnsiTheme="minorHAnsi" w:cs="Calibri"/>
              </w:rPr>
              <w:t xml:space="preserve"> to receive, facilitate and follow up on the resolution of the affected people’s grievances and concerns regarding the environmental and social performance of the project. The local grievance mechanism </w:t>
            </w:r>
            <w:r w:rsidRPr="00D04661">
              <w:rPr>
                <w:rFonts w:asciiTheme="minorHAnsi" w:eastAsia="Times New Roman" w:hAnsiTheme="minorHAnsi" w:cs="Calibri"/>
                <w:b/>
                <w:vertAlign w:val="superscript"/>
              </w:rPr>
              <w:footnoteReference w:id="215"/>
            </w:r>
            <w:r w:rsidRPr="00D04661">
              <w:rPr>
                <w:rFonts w:asciiTheme="minorHAnsi" w:eastAsia="Times New Roman" w:hAnsiTheme="minorHAnsi" w:cs="Calibri"/>
                <w:b/>
                <w:u w:val="single"/>
              </w:rPr>
              <w:t xml:space="preserve"> </w:t>
            </w:r>
            <w:r w:rsidRPr="00D04661">
              <w:rPr>
                <w:rFonts w:asciiTheme="minorHAnsi" w:hAnsiTheme="minorHAnsi" w:cs="Calibri"/>
              </w:rPr>
              <w:t>needs to be sufficiently independent, empowered and accessible to the stakeholders at all times during the project cycle and all responses to grievances shall be recorded and included in project supervision formats and reports.</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AfDB, OS 1, para. 55</w:t>
            </w:r>
            <w:r w:rsidRPr="00D04661">
              <w:rPr>
                <w:rFonts w:asciiTheme="minorHAnsi" w:hAnsiTheme="minorHAnsi" w:cs="Calibri"/>
              </w:rPr>
              <w:t>) (</w:t>
            </w:r>
            <w:r w:rsidRPr="00D04661">
              <w:rPr>
                <w:rFonts w:asciiTheme="minorHAnsi" w:hAnsiTheme="minorHAnsi" w:cs="Calibri"/>
                <w:i/>
              </w:rPr>
              <w:t>emphasis added</w:t>
            </w:r>
            <w:r w:rsidRPr="00D04661">
              <w:rPr>
                <w:rFonts w:asciiTheme="minorHAnsi" w:hAnsiTheme="minorHAnsi" w:cs="Calibri"/>
              </w:rPr>
              <w:t>)</w:t>
            </w:r>
          </w:p>
        </w:tc>
      </w:tr>
      <w:tr w:rsidR="00CF59E1" w:rsidRPr="00D8522E" w14:paraId="5C531629" w14:textId="77777777" w:rsidTr="00CF59E1">
        <w:tc>
          <w:tcPr>
            <w:tcW w:w="6390" w:type="dxa"/>
            <w:vMerge/>
            <w:shd w:val="clear" w:color="auto" w:fill="auto"/>
            <w:vAlign w:val="center"/>
          </w:tcPr>
          <w:p w14:paraId="6C886AF8" w14:textId="77777777" w:rsidR="00CF59E1" w:rsidRPr="00D04661" w:rsidRDefault="00CF59E1" w:rsidP="00CF59E1">
            <w:pPr>
              <w:spacing w:after="120"/>
              <w:rPr>
                <w:rFonts w:asciiTheme="minorHAnsi" w:eastAsia="MS Mincho" w:hAnsiTheme="minorHAnsi" w:cs="Calibri"/>
                <w:lang w:eastAsia="ja-JP"/>
              </w:rPr>
            </w:pPr>
          </w:p>
        </w:tc>
        <w:tc>
          <w:tcPr>
            <w:tcW w:w="7200" w:type="dxa"/>
            <w:shd w:val="clear" w:color="auto" w:fill="auto"/>
          </w:tcPr>
          <w:p w14:paraId="487C8F99" w14:textId="77777777" w:rsidR="00CF59E1" w:rsidRPr="00D04661" w:rsidRDefault="00CF59E1" w:rsidP="00CF59E1">
            <w:pPr>
              <w:spacing w:after="120"/>
              <w:rPr>
                <w:rFonts w:asciiTheme="minorHAnsi" w:eastAsia="MS Mincho" w:hAnsiTheme="minorHAnsi"/>
                <w:b/>
                <w:lang w:eastAsia="ja-JP"/>
              </w:rPr>
            </w:pPr>
            <w:r>
              <w:rPr>
                <w:rFonts w:asciiTheme="minorHAnsi" w:eastAsia="MS Mincho" w:hAnsiTheme="minorHAnsi"/>
                <w:lang w:eastAsia="ja-JP"/>
              </w:rPr>
              <w:t>“</w:t>
            </w:r>
            <w:r w:rsidRPr="00D04661">
              <w:rPr>
                <w:rFonts w:asciiTheme="minorHAnsi" w:eastAsia="MS Mincho" w:hAnsiTheme="minorHAnsi"/>
                <w:lang w:eastAsia="ja-JP"/>
              </w:rPr>
              <w:t xml:space="preserve">Standard 10 outlines a </w:t>
            </w:r>
            <w:r w:rsidRPr="00D04661">
              <w:rPr>
                <w:rFonts w:asciiTheme="minorHAnsi" w:eastAsia="MS Mincho" w:hAnsiTheme="minorHAnsi"/>
                <w:i/>
                <w:lang w:eastAsia="ja-JP"/>
              </w:rPr>
              <w:t>systematic approach to stakeholder engagement</w:t>
            </w:r>
            <w:r w:rsidRPr="00D04661">
              <w:rPr>
                <w:rFonts w:asciiTheme="minorHAnsi" w:eastAsia="MS Mincho" w:hAnsiTheme="minorHAnsi"/>
                <w:lang w:eastAsia="ja-JP"/>
              </w:rPr>
              <w:t xml:space="preserve">.., Stakeholder engagement is an inclusive and </w:t>
            </w:r>
            <w:r w:rsidRPr="00D04661">
              <w:rPr>
                <w:rFonts w:asciiTheme="minorHAnsi" w:eastAsia="MS Mincho" w:hAnsiTheme="minorHAnsi"/>
                <w:i/>
                <w:lang w:eastAsia="ja-JP"/>
              </w:rPr>
              <w:t>iterative process</w:t>
            </w:r>
            <w:r w:rsidRPr="00D04661">
              <w:rPr>
                <w:rFonts w:asciiTheme="minorHAnsi" w:eastAsia="MS Mincho" w:hAnsiTheme="minorHAnsi"/>
                <w:lang w:eastAsia="ja-JP"/>
              </w:rPr>
              <w:t xml:space="preserve"> that involves, in varying degrees, </w:t>
            </w:r>
            <w:r w:rsidRPr="00D04661">
              <w:rPr>
                <w:rFonts w:asciiTheme="minorHAnsi" w:eastAsia="MS Mincho" w:hAnsiTheme="minorHAnsi"/>
                <w:i/>
                <w:lang w:eastAsia="ja-JP"/>
              </w:rPr>
              <w:t>stakeholder analysis and engagement planning</w:t>
            </w:r>
            <w:r w:rsidRPr="00D04661">
              <w:rPr>
                <w:rFonts w:asciiTheme="minorHAnsi" w:eastAsia="MS Mincho" w:hAnsiTheme="minorHAnsi"/>
                <w:lang w:eastAsia="ja-JP"/>
              </w:rPr>
              <w:t>, and stakeholder participation, and a mechanism ensuring access to grievance and remedy.</w:t>
            </w:r>
            <w:r>
              <w:rPr>
                <w:rFonts w:asciiTheme="minorHAnsi" w:eastAsia="MS Mincho" w:hAnsiTheme="minorHAnsi"/>
                <w:lang w:eastAsia="ja-JP"/>
              </w:rPr>
              <w:t>”</w:t>
            </w:r>
            <w:r w:rsidRPr="00D04661">
              <w:rPr>
                <w:rFonts w:asciiTheme="minorHAnsi" w:eastAsia="MS Mincho" w:hAnsiTheme="minorHAnsi"/>
                <w:lang w:eastAsia="ja-JP"/>
              </w:rPr>
              <w:t xml:space="preserve"> </w:t>
            </w:r>
            <w:r w:rsidRPr="00D04661">
              <w:rPr>
                <w:rFonts w:asciiTheme="minorHAnsi" w:eastAsia="MS Mincho" w:hAnsiTheme="minorHAnsi"/>
                <w:b/>
                <w:lang w:eastAsia="ja-JP"/>
              </w:rPr>
              <w:t>(EIB, ESH, ESS 10, para. 2)</w:t>
            </w:r>
          </w:p>
          <w:p w14:paraId="6D9DC2D0" w14:textId="77777777" w:rsidR="00CF59E1" w:rsidRPr="00D04661" w:rsidRDefault="00CF59E1" w:rsidP="00CF59E1">
            <w:pPr>
              <w:spacing w:after="120"/>
              <w:rPr>
                <w:rFonts w:asciiTheme="minorHAnsi" w:eastAsia="MS Mincho" w:hAnsiTheme="minorHAnsi"/>
                <w:i/>
                <w:lang w:eastAsia="ja-JP"/>
              </w:rPr>
            </w:pPr>
            <w:r>
              <w:rPr>
                <w:rFonts w:asciiTheme="minorHAnsi" w:eastAsia="MS Mincho" w:hAnsiTheme="minorHAnsi"/>
                <w:lang w:eastAsia="ja-JP"/>
              </w:rPr>
              <w:t>“</w:t>
            </w:r>
            <w:r w:rsidRPr="00D04661">
              <w:rPr>
                <w:rFonts w:asciiTheme="minorHAnsi" w:eastAsia="MS Mincho" w:hAnsiTheme="minorHAnsi"/>
                <w:lang w:eastAsia="ja-JP"/>
              </w:rPr>
              <w:t xml:space="preserve">Stakeholder engagement, including disclosure and dissemination of information, will be planned for and carried out in line with the principles of prior, informed and free </w:t>
            </w:r>
            <w:r w:rsidRPr="00D04661">
              <w:rPr>
                <w:rFonts w:asciiTheme="minorHAnsi" w:eastAsia="MS Mincho" w:hAnsiTheme="minorHAnsi"/>
                <w:i/>
                <w:lang w:eastAsia="ja-JP"/>
              </w:rPr>
              <w:t>engagement and informed participation</w:t>
            </w:r>
            <w:r w:rsidRPr="00D04661">
              <w:rPr>
                <w:rFonts w:asciiTheme="minorHAnsi" w:eastAsia="MS Mincho" w:hAnsiTheme="minorHAnsi"/>
                <w:lang w:eastAsia="ja-JP"/>
              </w:rPr>
              <w:t xml:space="preserve">,….. </w:t>
            </w:r>
            <w:r w:rsidRPr="00D04661">
              <w:rPr>
                <w:rFonts w:asciiTheme="minorHAnsi" w:eastAsia="MS Mincho" w:hAnsiTheme="minorHAnsi"/>
                <w:i/>
                <w:lang w:eastAsia="ja-JP"/>
              </w:rPr>
              <w:t>In the event that broad community support is not attained, the promoter is expected to dedicate all necessary resources and time to additional community engagement and public consultation initiatives, as required</w:t>
            </w:r>
            <w:r w:rsidRPr="00D04661">
              <w:rPr>
                <w:rFonts w:asciiTheme="minorHAnsi" w:eastAsia="MS Mincho" w:hAnsiTheme="minorHAnsi"/>
                <w:lang w:eastAsia="ja-JP"/>
              </w:rPr>
              <w:t>.</w:t>
            </w:r>
            <w:r>
              <w:rPr>
                <w:rFonts w:asciiTheme="minorHAnsi" w:eastAsia="MS Mincho" w:hAnsiTheme="minorHAnsi"/>
                <w:lang w:eastAsia="ja-JP"/>
              </w:rPr>
              <w:t>”</w:t>
            </w:r>
            <w:r w:rsidRPr="00D04661">
              <w:rPr>
                <w:rFonts w:asciiTheme="minorHAnsi" w:eastAsia="MS Mincho" w:hAnsiTheme="minorHAnsi"/>
                <w:lang w:eastAsia="ja-JP"/>
              </w:rPr>
              <w:t xml:space="preserve"> </w:t>
            </w:r>
            <w:r w:rsidRPr="00D04661">
              <w:rPr>
                <w:rFonts w:asciiTheme="minorHAnsi" w:eastAsia="MS Mincho" w:hAnsiTheme="minorHAnsi"/>
                <w:b/>
                <w:lang w:eastAsia="ja-JP"/>
              </w:rPr>
              <w:t>(EIB, ESH, ESS 10, para. 17)</w:t>
            </w:r>
            <w:r w:rsidRPr="00D04661">
              <w:rPr>
                <w:rFonts w:asciiTheme="minorHAnsi" w:eastAsia="MS Mincho" w:hAnsiTheme="minorHAnsi"/>
                <w:lang w:eastAsia="ja-JP"/>
              </w:rPr>
              <w:t xml:space="preserve"> (</w:t>
            </w:r>
            <w:r w:rsidRPr="00D04661">
              <w:rPr>
                <w:rFonts w:asciiTheme="minorHAnsi" w:eastAsia="MS Mincho" w:hAnsiTheme="minorHAnsi"/>
                <w:i/>
                <w:lang w:eastAsia="ja-JP"/>
              </w:rPr>
              <w:t>emphasis added)</w:t>
            </w:r>
          </w:p>
          <w:p w14:paraId="5847846C" w14:textId="77777777" w:rsidR="00CF59E1" w:rsidRPr="00D04661" w:rsidRDefault="00CF59E1" w:rsidP="00CF59E1">
            <w:pPr>
              <w:spacing w:after="120"/>
              <w:rPr>
                <w:rFonts w:asciiTheme="minorHAnsi" w:eastAsia="MS Mincho" w:hAnsiTheme="minorHAnsi"/>
                <w:lang w:eastAsia="ja-JP"/>
              </w:rPr>
            </w:pPr>
            <w:r>
              <w:rPr>
                <w:rFonts w:asciiTheme="minorHAnsi" w:eastAsia="MS Mincho" w:hAnsiTheme="minorHAnsi"/>
                <w:lang w:eastAsia="ja-JP"/>
              </w:rPr>
              <w:t>“</w:t>
            </w:r>
            <w:r w:rsidRPr="00D04661">
              <w:rPr>
                <w:rFonts w:asciiTheme="minorHAnsi" w:eastAsia="MS Mincho" w:hAnsiTheme="minorHAnsi"/>
                <w:lang w:eastAsia="ja-JP"/>
              </w:rPr>
              <w:t xml:space="preserve">Factors such as ……, </w:t>
            </w:r>
            <w:r w:rsidRPr="00D04661">
              <w:rPr>
                <w:rFonts w:asciiTheme="minorHAnsi" w:eastAsia="MS Mincho" w:hAnsiTheme="minorHAnsi"/>
                <w:i/>
                <w:lang w:eastAsia="ja-JP"/>
              </w:rPr>
              <w:t>unequal gender relations</w:t>
            </w:r>
            <w:r w:rsidRPr="00D04661">
              <w:rPr>
                <w:rFonts w:asciiTheme="minorHAnsi" w:eastAsia="MS Mincho" w:hAnsiTheme="minorHAnsi"/>
                <w:lang w:eastAsia="ja-JP"/>
              </w:rPr>
              <w:t xml:space="preserve"> …to be carefully considered by the promoter when pursuing an effective disclosure and information dissemination campaign.</w:t>
            </w:r>
            <w:r>
              <w:rPr>
                <w:rFonts w:asciiTheme="minorHAnsi" w:eastAsia="MS Mincho" w:hAnsiTheme="minorHAnsi"/>
                <w:lang w:eastAsia="ja-JP"/>
              </w:rPr>
              <w:t>”</w:t>
            </w:r>
            <w:r w:rsidRPr="00D04661">
              <w:rPr>
                <w:rFonts w:asciiTheme="minorHAnsi" w:eastAsia="MS Mincho" w:hAnsiTheme="minorHAnsi"/>
                <w:lang w:eastAsia="ja-JP"/>
              </w:rPr>
              <w:t xml:space="preserve"> (</w:t>
            </w:r>
            <w:r w:rsidRPr="00D04661">
              <w:rPr>
                <w:rFonts w:asciiTheme="minorHAnsi" w:eastAsia="MS Mincho" w:hAnsiTheme="minorHAnsi"/>
                <w:b/>
                <w:bCs/>
                <w:lang w:eastAsia="ja-JP"/>
              </w:rPr>
              <w:t>EIB, ESH, ESS 10, para. 20</w:t>
            </w:r>
            <w:r w:rsidRPr="00D04661">
              <w:rPr>
                <w:rFonts w:asciiTheme="minorHAnsi" w:eastAsia="MS Mincho" w:hAnsiTheme="minorHAnsi"/>
                <w:lang w:eastAsia="ja-JP"/>
              </w:rPr>
              <w:t>)</w:t>
            </w:r>
          </w:p>
          <w:p w14:paraId="4AAFFB93" w14:textId="77777777" w:rsidR="00CF59E1" w:rsidRPr="00D04661" w:rsidRDefault="00CF59E1" w:rsidP="00CF59E1">
            <w:pPr>
              <w:spacing w:after="120"/>
              <w:rPr>
                <w:rFonts w:asciiTheme="minorHAnsi" w:eastAsia="MS Mincho" w:hAnsiTheme="minorHAnsi"/>
                <w:lang w:eastAsia="ja-JP"/>
              </w:rPr>
            </w:pPr>
            <w:r>
              <w:rPr>
                <w:rFonts w:asciiTheme="minorHAnsi" w:eastAsia="MS Mincho" w:hAnsiTheme="minorHAnsi"/>
                <w:lang w:eastAsia="ja-JP"/>
              </w:rPr>
              <w:t>“</w:t>
            </w:r>
            <w:r w:rsidRPr="00D04661">
              <w:rPr>
                <w:rFonts w:asciiTheme="minorHAnsi" w:eastAsia="MS Mincho" w:hAnsiTheme="minorHAnsi"/>
                <w:lang w:eastAsia="ja-JP"/>
              </w:rPr>
              <w:t xml:space="preserve">For projects outside the EU, a </w:t>
            </w:r>
            <w:r w:rsidRPr="00D04661">
              <w:rPr>
                <w:rFonts w:asciiTheme="minorHAnsi" w:eastAsia="MS Mincho" w:hAnsiTheme="minorHAnsi"/>
                <w:i/>
                <w:lang w:eastAsia="ja-JP"/>
              </w:rPr>
              <w:t>stakeholder engagement plan</w:t>
            </w:r>
            <w:r w:rsidRPr="00D04661">
              <w:rPr>
                <w:rFonts w:asciiTheme="minorHAnsi" w:eastAsia="MS Mincho" w:hAnsiTheme="minorHAnsi"/>
                <w:lang w:eastAsia="ja-JP"/>
              </w:rPr>
              <w:t xml:space="preserve">, </w:t>
            </w:r>
            <w:r w:rsidRPr="00D04661">
              <w:rPr>
                <w:rFonts w:asciiTheme="minorHAnsi" w:eastAsia="MS Mincho" w:hAnsiTheme="minorHAnsi"/>
                <w:i/>
                <w:lang w:eastAsia="ja-JP"/>
              </w:rPr>
              <w:t>including a grievance mechanism, is mandatory as part of the ESIA process</w:t>
            </w:r>
            <w:r w:rsidRPr="00D04661">
              <w:rPr>
                <w:rFonts w:asciiTheme="minorHAnsi" w:eastAsia="MS Mincho" w:hAnsiTheme="minorHAnsi"/>
                <w:lang w:eastAsia="ja-JP"/>
              </w:rPr>
              <w:t>. In line with Standards 7 and 10, where the EIB operations and/or components thereof impact or threaten the customary rights and interests of indigenous communities, the Team is to ascertain that a satisfactory FPIC process has been carried out.</w:t>
            </w:r>
            <w:r>
              <w:rPr>
                <w:rFonts w:asciiTheme="minorHAnsi" w:eastAsia="MS Mincho" w:hAnsiTheme="minorHAnsi"/>
                <w:lang w:eastAsia="ja-JP"/>
              </w:rPr>
              <w:t>”</w:t>
            </w:r>
            <w:r w:rsidRPr="00D04661">
              <w:rPr>
                <w:rFonts w:asciiTheme="minorHAnsi" w:eastAsia="MS Mincho" w:hAnsiTheme="minorHAnsi"/>
                <w:lang w:eastAsia="ja-JP"/>
              </w:rPr>
              <w:t xml:space="preserve"> </w:t>
            </w:r>
            <w:r w:rsidRPr="00D04661">
              <w:rPr>
                <w:rFonts w:asciiTheme="minorHAnsi" w:eastAsia="MS Mincho" w:hAnsiTheme="minorHAnsi"/>
                <w:b/>
                <w:lang w:eastAsia="ja-JP"/>
              </w:rPr>
              <w:t xml:space="preserve">(EIB, Handbook Volume II, Environmental and Social Practices and Procedures (ESPP), para. 164 ) </w:t>
            </w:r>
            <w:r w:rsidRPr="00D04661">
              <w:rPr>
                <w:rFonts w:asciiTheme="minorHAnsi" w:eastAsia="MS Mincho" w:hAnsiTheme="minorHAnsi"/>
                <w:lang w:eastAsia="ja-JP"/>
              </w:rPr>
              <w:t>(</w:t>
            </w:r>
            <w:r w:rsidRPr="00D04661">
              <w:rPr>
                <w:rFonts w:asciiTheme="minorHAnsi" w:eastAsia="MS Mincho" w:hAnsiTheme="minorHAnsi"/>
                <w:i/>
                <w:lang w:eastAsia="ja-JP"/>
              </w:rPr>
              <w:t>emphasis added</w:t>
            </w:r>
            <w:r w:rsidRPr="00D04661">
              <w:rPr>
                <w:rFonts w:asciiTheme="minorHAnsi" w:eastAsia="MS Mincho" w:hAnsiTheme="minorHAnsi"/>
                <w:lang w:eastAsia="ja-JP"/>
              </w:rPr>
              <w:t>)</w:t>
            </w:r>
          </w:p>
        </w:tc>
      </w:tr>
      <w:tr w:rsidR="00CF59E1" w:rsidRPr="00D8522E" w14:paraId="6E0FF977" w14:textId="77777777" w:rsidTr="00CF59E1">
        <w:tc>
          <w:tcPr>
            <w:tcW w:w="6390" w:type="dxa"/>
            <w:shd w:val="clear" w:color="auto" w:fill="auto"/>
            <w:vAlign w:val="center"/>
          </w:tcPr>
          <w:p w14:paraId="7A8601FA" w14:textId="77777777" w:rsidR="00CF59E1" w:rsidRPr="00D04661" w:rsidRDefault="00CF59E1" w:rsidP="00CF59E1">
            <w:pPr>
              <w:spacing w:after="120"/>
              <w:rPr>
                <w:rFonts w:asciiTheme="minorHAnsi" w:eastAsia="MS Mincho" w:hAnsiTheme="minorHAnsi" w:cs="Calibri"/>
                <w:b/>
                <w:lang w:eastAsia="ja-JP"/>
              </w:rPr>
            </w:pPr>
            <w:r w:rsidRPr="00D04661">
              <w:rPr>
                <w:rFonts w:asciiTheme="minorHAnsi" w:eastAsia="MS Mincho" w:hAnsiTheme="minorHAnsi" w:cs="Calibri"/>
                <w:b/>
                <w:lang w:eastAsia="ja-JP"/>
              </w:rPr>
              <w:t>INTEGRATION OF EA</w:t>
            </w:r>
          </w:p>
          <w:p w14:paraId="0206C0EC" w14:textId="77777777" w:rsidR="00CF59E1" w:rsidRPr="00D04661" w:rsidRDefault="00CF59E1" w:rsidP="00CF59E1">
            <w:pPr>
              <w:pStyle w:val="NormalWeb"/>
              <w:spacing w:before="0" w:beforeAutospacing="0" w:after="120" w:afterAutospacing="0"/>
              <w:rPr>
                <w:rFonts w:asciiTheme="minorHAnsi" w:eastAsia="MS Mincho" w:hAnsiTheme="minorHAnsi" w:cs="Calibri"/>
                <w:sz w:val="22"/>
                <w:szCs w:val="22"/>
                <w:lang w:eastAsia="ja-JP"/>
              </w:rPr>
            </w:pPr>
            <w:r w:rsidRPr="00D04661">
              <w:rPr>
                <w:rFonts w:asciiTheme="minorHAnsi" w:hAnsiTheme="minorHAnsi" w:cs="Arial"/>
                <w:b/>
                <w:sz w:val="22"/>
                <w:szCs w:val="22"/>
              </w:rPr>
              <w:t xml:space="preserve">OP 4.01 </w:t>
            </w:r>
            <w:r>
              <w:rPr>
                <w:rFonts w:asciiTheme="minorHAnsi" w:hAnsiTheme="minorHAnsi" w:cs="Arial"/>
                <w:b/>
                <w:sz w:val="22"/>
                <w:szCs w:val="22"/>
              </w:rPr>
              <w:t xml:space="preserve">para. </w:t>
            </w:r>
            <w:r w:rsidRPr="00D04661">
              <w:rPr>
                <w:rFonts w:asciiTheme="minorHAnsi" w:hAnsiTheme="minorHAnsi" w:cs="Arial"/>
                <w:b/>
                <w:sz w:val="22"/>
                <w:szCs w:val="22"/>
              </w:rPr>
              <w:t>2</w:t>
            </w:r>
            <w:r w:rsidRPr="00D04661">
              <w:rPr>
                <w:rFonts w:asciiTheme="minorHAnsi" w:hAnsiTheme="minorHAnsi" w:cs="Arial"/>
                <w:sz w:val="22"/>
                <w:szCs w:val="22"/>
              </w:rPr>
              <w:t>: and Footnote 7 EA]</w:t>
            </w:r>
            <w:r>
              <w:rPr>
                <w:rFonts w:asciiTheme="minorHAnsi" w:hAnsiTheme="minorHAnsi" w:cs="Arial"/>
                <w:sz w:val="22"/>
                <w:szCs w:val="22"/>
              </w:rPr>
              <w:t xml:space="preserve"> </w:t>
            </w:r>
            <w:r w:rsidRPr="00D04661">
              <w:rPr>
                <w:rFonts w:asciiTheme="minorHAnsi" w:hAnsiTheme="minorHAnsi" w:cs="Arial"/>
                <w:sz w:val="22"/>
                <w:szCs w:val="22"/>
              </w:rPr>
              <w:t>is integrated closely with the economic, financial, institutional, social, and technical analyses of a proposed project.,..to ensure that… environmental considerations are given adequate weight in project selection, siting, and design decisions</w:t>
            </w:r>
          </w:p>
        </w:tc>
        <w:tc>
          <w:tcPr>
            <w:tcW w:w="7200" w:type="dxa"/>
            <w:shd w:val="clear" w:color="auto" w:fill="auto"/>
          </w:tcPr>
          <w:p w14:paraId="5823BCD4" w14:textId="77777777" w:rsidR="00CF59E1" w:rsidRPr="003E5240" w:rsidRDefault="00CF59E1" w:rsidP="00CF59E1">
            <w:pPr>
              <w:spacing w:after="120"/>
              <w:rPr>
                <w:rFonts w:asciiTheme="minorHAnsi" w:hAnsiTheme="minorHAnsi" w:cs="Arial"/>
                <w:lang w:val="en-GB" w:eastAsia="en-GB"/>
              </w:rPr>
            </w:pPr>
            <w:r>
              <w:rPr>
                <w:rFonts w:asciiTheme="minorHAnsi" w:hAnsiTheme="minorHAnsi" w:cs="Arial"/>
                <w:lang w:eastAsia="en-GB"/>
              </w:rPr>
              <w:t>“</w:t>
            </w:r>
            <w:r w:rsidRPr="00D04661">
              <w:rPr>
                <w:rFonts w:asciiTheme="minorHAnsi" w:hAnsiTheme="minorHAnsi"/>
              </w:rPr>
              <w:t>Environmental Due Diligence…</w:t>
            </w:r>
            <w:r w:rsidRPr="00D04661">
              <w:rPr>
                <w:rFonts w:asciiTheme="minorHAnsi" w:hAnsiTheme="minorHAnsi"/>
                <w:i/>
              </w:rPr>
              <w:t>e</w:t>
            </w:r>
            <w:r w:rsidRPr="00D04661">
              <w:rPr>
                <w:rFonts w:asciiTheme="minorHAnsi" w:hAnsiTheme="minorHAnsi" w:cs="Arial"/>
                <w:i/>
                <w:lang w:val="en-GB" w:eastAsia="en-GB"/>
              </w:rPr>
              <w:t>nsures that the findings of the EIA/ESIA, where required, are taken into account in the EIB appraisal and reflected in the work on risk assessment and mitigation, the cost-benefit analysis, the design and costing of the project and project management during implementation and operation</w:t>
            </w:r>
            <w:r w:rsidRPr="00D04661">
              <w:rPr>
                <w:rFonts w:asciiTheme="minorHAnsi" w:hAnsiTheme="minorHAnsi" w:cs="Arial"/>
                <w:lang w:val="en-GB" w:eastAsia="en-GB"/>
              </w:rPr>
              <w:t>.</w:t>
            </w:r>
            <w:r>
              <w:rPr>
                <w:rFonts w:asciiTheme="minorHAnsi" w:hAnsiTheme="minorHAnsi" w:cs="Arial"/>
                <w:lang w:val="en-GB" w:eastAsia="en-GB"/>
              </w:rPr>
              <w:t>”</w:t>
            </w:r>
            <w:r w:rsidRPr="00D04661">
              <w:rPr>
                <w:rFonts w:asciiTheme="minorHAnsi" w:hAnsiTheme="minorHAnsi" w:cs="Arial"/>
                <w:lang w:val="en-GB" w:eastAsia="en-GB"/>
              </w:rPr>
              <w:t xml:space="preserve"> (</w:t>
            </w:r>
            <w:r w:rsidRPr="00D04661">
              <w:rPr>
                <w:rFonts w:asciiTheme="minorHAnsi" w:hAnsiTheme="minorHAnsi" w:cs="Arial"/>
                <w:b/>
                <w:lang w:val="en-GB" w:eastAsia="en-GB"/>
              </w:rPr>
              <w:t>EIB, Handbook, Vol. II, ESPP, B.2.1</w:t>
            </w:r>
            <w:r w:rsidRPr="00D04661">
              <w:rPr>
                <w:rFonts w:asciiTheme="minorHAnsi" w:hAnsiTheme="minorHAnsi" w:cs="Arial"/>
                <w:lang w:val="en-GB" w:eastAsia="en-GB"/>
              </w:rPr>
              <w:t>) (</w:t>
            </w:r>
            <w:r w:rsidRPr="00D04661">
              <w:rPr>
                <w:rFonts w:asciiTheme="minorHAnsi" w:hAnsiTheme="minorHAnsi" w:cs="Arial"/>
                <w:i/>
                <w:lang w:val="en-GB" w:eastAsia="en-GB"/>
              </w:rPr>
              <w:t>emphasis added</w:t>
            </w:r>
            <w:r w:rsidRPr="00D04661">
              <w:rPr>
                <w:rFonts w:asciiTheme="minorHAnsi" w:hAnsiTheme="minorHAnsi" w:cs="Arial"/>
                <w:lang w:val="en-GB" w:eastAsia="en-GB"/>
              </w:rPr>
              <w:t>)</w:t>
            </w:r>
          </w:p>
        </w:tc>
      </w:tr>
      <w:tr w:rsidR="00CF59E1" w:rsidRPr="00D8522E" w14:paraId="0431C2CE" w14:textId="77777777" w:rsidTr="00CF59E1">
        <w:tc>
          <w:tcPr>
            <w:tcW w:w="13590" w:type="dxa"/>
            <w:gridSpan w:val="2"/>
            <w:shd w:val="clear" w:color="auto" w:fill="C4BC96"/>
            <w:vAlign w:val="center"/>
          </w:tcPr>
          <w:p w14:paraId="75E24303" w14:textId="77777777" w:rsidR="00CF59E1" w:rsidRPr="00D04661" w:rsidRDefault="00CF59E1" w:rsidP="00CF59E1">
            <w:pPr>
              <w:spacing w:after="120"/>
              <w:jc w:val="center"/>
              <w:rPr>
                <w:rFonts w:asciiTheme="minorHAnsi" w:hAnsiTheme="minorHAnsi" w:cs="Calibri"/>
                <w:b/>
                <w:bCs/>
              </w:rPr>
            </w:pPr>
            <w:r w:rsidRPr="00D04661">
              <w:rPr>
                <w:rFonts w:asciiTheme="minorHAnsi" w:hAnsiTheme="minorHAnsi" w:cs="Calibri"/>
                <w:b/>
                <w:bCs/>
              </w:rPr>
              <w:t>NATURAL HABITATS</w:t>
            </w:r>
          </w:p>
        </w:tc>
      </w:tr>
      <w:tr w:rsidR="00CF59E1" w:rsidRPr="00D8522E" w14:paraId="633EC960" w14:textId="77777777" w:rsidTr="00CF59E1">
        <w:tc>
          <w:tcPr>
            <w:tcW w:w="6390" w:type="dxa"/>
            <w:shd w:val="clear" w:color="auto" w:fill="auto"/>
            <w:vAlign w:val="center"/>
          </w:tcPr>
          <w:p w14:paraId="040AFDEE" w14:textId="77777777" w:rsidR="00CF59E1" w:rsidRPr="00D04661" w:rsidRDefault="00CF59E1" w:rsidP="00CF59E1">
            <w:pPr>
              <w:spacing w:after="120"/>
              <w:rPr>
                <w:rFonts w:asciiTheme="minorHAnsi" w:eastAsia="MS Mincho" w:hAnsiTheme="minorHAnsi" w:cs="Calibri"/>
                <w:b/>
                <w:lang w:eastAsia="ja-JP"/>
              </w:rPr>
            </w:pPr>
            <w:r w:rsidRPr="00D04661">
              <w:rPr>
                <w:rFonts w:asciiTheme="minorHAnsi" w:eastAsia="MS Mincho" w:hAnsiTheme="minorHAnsi" w:cs="Calibri"/>
                <w:b/>
                <w:lang w:eastAsia="ja-JP"/>
              </w:rPr>
              <w:t>DEFINITION, SCOPE AND APPLICATION</w:t>
            </w:r>
          </w:p>
          <w:p w14:paraId="34BC4391" w14:textId="77777777" w:rsidR="00CF59E1" w:rsidRPr="00EB19F0" w:rsidRDefault="00CF59E1" w:rsidP="00CF59E1">
            <w:pPr>
              <w:spacing w:after="120"/>
              <w:rPr>
                <w:rFonts w:asciiTheme="minorHAnsi" w:hAnsiTheme="minorHAnsi" w:cs="Arial"/>
              </w:rPr>
            </w:pPr>
            <w:r w:rsidRPr="00D04661">
              <w:rPr>
                <w:rFonts w:asciiTheme="minorHAnsi" w:eastAsia="MS Mincho" w:hAnsiTheme="minorHAnsi" w:cs="Calibri"/>
                <w:lang w:eastAsia="ja-JP"/>
              </w:rPr>
              <w:t xml:space="preserve"> </w:t>
            </w:r>
            <w:r w:rsidRPr="00D04661">
              <w:rPr>
                <w:rFonts w:asciiTheme="minorHAnsi" w:hAnsiTheme="minorHAnsi" w:cs="Arial"/>
                <w:b/>
              </w:rPr>
              <w:t>OP 4.04, Annex A, 1.a</w:t>
            </w:r>
            <w:r w:rsidRPr="00D04661">
              <w:rPr>
                <w:rFonts w:asciiTheme="minorHAnsi" w:hAnsiTheme="minorHAnsi" w:cs="Arial"/>
              </w:rPr>
              <w:t xml:space="preserve">: </w:t>
            </w:r>
            <w:r>
              <w:rPr>
                <w:rFonts w:asciiTheme="minorHAnsi" w:hAnsiTheme="minorHAnsi" w:cs="Arial"/>
              </w:rPr>
              <w:t>“</w:t>
            </w:r>
            <w:r w:rsidRPr="00D04661">
              <w:rPr>
                <w:rFonts w:asciiTheme="minorHAnsi" w:hAnsiTheme="minorHAnsi" w:cs="Arial"/>
              </w:rPr>
              <w:t xml:space="preserve">Natural habitats are land and water areas where (i) the ecosystems’ bio-logical communities are formed largely by native plant and animal species, and (ii) human activity has not essentially modified the area’s primary ecological functions. All natural habitats have important biological, social, economic, and existence value. Important natural habitats may occur in tropical humid, dry, and cloud forests; temperate and boreal forests; Mediterranean-type shrub lands; natural arid and semi-arid lands; mangrove swamps, </w:t>
            </w:r>
            <w:r w:rsidRPr="00EB19F0">
              <w:rPr>
                <w:rFonts w:asciiTheme="minorHAnsi" w:hAnsiTheme="minorHAnsi" w:cs="Arial"/>
              </w:rPr>
              <w:t>coastal marshes, and other wetlands; estuaries; sea grass beds; coral reefs; freshwater lakes and rivers; alpine and sub alpine environments, including herb fields, grasslands, and Paramus; and tropical and temperate grasslands.</w:t>
            </w:r>
          </w:p>
          <w:p w14:paraId="3578DCAE" w14:textId="77777777" w:rsidR="00CF59E1" w:rsidRPr="00D04661" w:rsidRDefault="00CF59E1" w:rsidP="00CF59E1">
            <w:pPr>
              <w:spacing w:after="120"/>
              <w:rPr>
                <w:rFonts w:asciiTheme="minorHAnsi" w:eastAsia="MS Mincho" w:hAnsiTheme="minorHAnsi" w:cs="Calibri"/>
                <w:u w:val="single"/>
                <w:lang w:eastAsia="ja-JP"/>
              </w:rPr>
            </w:pPr>
          </w:p>
        </w:tc>
        <w:tc>
          <w:tcPr>
            <w:tcW w:w="7200" w:type="dxa"/>
            <w:shd w:val="clear" w:color="auto" w:fill="auto"/>
          </w:tcPr>
          <w:p w14:paraId="78B6D23A" w14:textId="77777777" w:rsidR="00CF59E1" w:rsidRPr="00D04661" w:rsidRDefault="00CF59E1" w:rsidP="00CF59E1">
            <w:pPr>
              <w:spacing w:after="120"/>
              <w:rPr>
                <w:rFonts w:asciiTheme="minorHAnsi" w:hAnsiTheme="minorHAnsi" w:cs="Calibri"/>
              </w:rPr>
            </w:pPr>
            <w:r>
              <w:rPr>
                <w:rFonts w:asciiTheme="minorHAnsi" w:hAnsiTheme="minorHAnsi"/>
                <w:iCs/>
              </w:rPr>
              <w:t>“</w:t>
            </w:r>
            <w:r w:rsidRPr="00D04661">
              <w:rPr>
                <w:rFonts w:asciiTheme="minorHAnsi" w:hAnsiTheme="minorHAnsi"/>
                <w:iCs/>
              </w:rPr>
              <w:t>Habitat</w:t>
            </w:r>
            <w:r w:rsidRPr="00D04661">
              <w:rPr>
                <w:rFonts w:asciiTheme="minorHAnsi" w:hAnsiTheme="minorHAnsi"/>
                <w:i/>
                <w:iCs/>
              </w:rPr>
              <w:t xml:space="preserve"> </w:t>
            </w:r>
            <w:r w:rsidRPr="00D04661">
              <w:rPr>
                <w:rFonts w:asciiTheme="minorHAnsi" w:hAnsiTheme="minorHAnsi"/>
              </w:rPr>
              <w:t>is defined as a terrestrial, freshwater, or marine geographical unit or an airway passage that supports complexities of living organisms and their interactions with the non-living environment.</w:t>
            </w:r>
            <w:r>
              <w:rPr>
                <w:rFonts w:asciiTheme="minorHAnsi" w:hAnsiTheme="minorHAnsi"/>
              </w:rPr>
              <w:t>”</w:t>
            </w:r>
            <w:r w:rsidRPr="00D04661">
              <w:rPr>
                <w:rFonts w:asciiTheme="minorHAnsi" w:hAnsiTheme="minorHAnsi"/>
              </w:rPr>
              <w:t xml:space="preserve"> (</w:t>
            </w:r>
            <w:r w:rsidRPr="00D04661">
              <w:rPr>
                <w:rFonts w:asciiTheme="minorHAnsi" w:hAnsiTheme="minorHAnsi"/>
                <w:b/>
              </w:rPr>
              <w:t>AfDB</w:t>
            </w:r>
            <w:r w:rsidRPr="00D04661">
              <w:rPr>
                <w:rFonts w:asciiTheme="minorHAnsi" w:hAnsiTheme="minorHAnsi"/>
              </w:rPr>
              <w:t xml:space="preserve">) </w:t>
            </w:r>
          </w:p>
          <w:p w14:paraId="18AC052A"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The OS shall specifically apply to Bank operations that will: (</w:t>
            </w:r>
            <w:r w:rsidRPr="00D04661">
              <w:rPr>
                <w:rFonts w:asciiTheme="minorHAnsi" w:hAnsiTheme="minorHAnsi" w:cs="Calibri"/>
                <w:b/>
              </w:rPr>
              <w:t>AfDB</w:t>
            </w:r>
            <w:r w:rsidRPr="00D04661">
              <w:rPr>
                <w:rFonts w:asciiTheme="minorHAnsi" w:hAnsiTheme="minorHAnsi" w:cs="Calibri"/>
              </w:rPr>
              <w:t>)</w:t>
            </w:r>
          </w:p>
          <w:p w14:paraId="1A4EED1C" w14:textId="77777777" w:rsidR="00CF59E1" w:rsidRPr="00D04661" w:rsidRDefault="00CF59E1" w:rsidP="009F3E8E">
            <w:pPr>
              <w:numPr>
                <w:ilvl w:val="0"/>
                <w:numId w:val="26"/>
              </w:numPr>
              <w:autoSpaceDE/>
              <w:autoSpaceDN/>
              <w:adjustRightInd/>
              <w:spacing w:after="120"/>
              <w:ind w:left="998" w:hanging="540"/>
              <w:rPr>
                <w:rFonts w:asciiTheme="minorHAnsi" w:hAnsiTheme="minorHAnsi" w:cs="Calibri"/>
              </w:rPr>
            </w:pPr>
            <w:r w:rsidRPr="00D04661">
              <w:rPr>
                <w:rFonts w:asciiTheme="minorHAnsi" w:hAnsiTheme="minorHAnsi" w:cs="Calibri"/>
              </w:rPr>
              <w:t xml:space="preserve">Be located in any type of habitat; </w:t>
            </w:r>
          </w:p>
          <w:p w14:paraId="60EAFE45" w14:textId="77777777" w:rsidR="00CF59E1" w:rsidRPr="00D04661" w:rsidRDefault="00CF59E1" w:rsidP="009F3E8E">
            <w:pPr>
              <w:numPr>
                <w:ilvl w:val="0"/>
                <w:numId w:val="26"/>
              </w:numPr>
              <w:autoSpaceDE/>
              <w:autoSpaceDN/>
              <w:adjustRightInd/>
              <w:spacing w:after="120"/>
              <w:ind w:left="998" w:hanging="540"/>
              <w:rPr>
                <w:rFonts w:asciiTheme="minorHAnsi" w:hAnsiTheme="minorHAnsi" w:cs="Calibri"/>
              </w:rPr>
            </w:pPr>
            <w:r w:rsidRPr="00D04661">
              <w:rPr>
                <w:rFonts w:asciiTheme="minorHAnsi" w:hAnsiTheme="minorHAnsi" w:cs="Calibri"/>
              </w:rPr>
              <w:t xml:space="preserve">Be located in areas providing </w:t>
            </w:r>
            <w:r w:rsidRPr="00D04661">
              <w:rPr>
                <w:rFonts w:asciiTheme="minorHAnsi" w:hAnsiTheme="minorHAnsi" w:cs="Calibri"/>
                <w:i/>
              </w:rPr>
              <w:t>ecosystem services</w:t>
            </w:r>
            <w:r w:rsidRPr="00D04661">
              <w:rPr>
                <w:rFonts w:asciiTheme="minorHAnsi" w:hAnsiTheme="minorHAnsi" w:cs="Calibri"/>
              </w:rPr>
              <w:t xml:space="preserve"> upon which potentially affected stakeholders are dependent for survival, sustenance, livelihood or primary income, or which are used for sustaining the project; </w:t>
            </w:r>
          </w:p>
          <w:p w14:paraId="322998A0" w14:textId="77777777" w:rsidR="00CF59E1" w:rsidRPr="00D04661" w:rsidRDefault="00CF59E1" w:rsidP="009F3E8E">
            <w:pPr>
              <w:numPr>
                <w:ilvl w:val="0"/>
                <w:numId w:val="26"/>
              </w:numPr>
              <w:autoSpaceDE/>
              <w:autoSpaceDN/>
              <w:adjustRightInd/>
              <w:spacing w:after="120"/>
              <w:ind w:left="998" w:hanging="540"/>
              <w:rPr>
                <w:rFonts w:asciiTheme="minorHAnsi" w:hAnsiTheme="minorHAnsi" w:cs="Calibri"/>
              </w:rPr>
            </w:pPr>
            <w:r w:rsidRPr="00D04661">
              <w:rPr>
                <w:rFonts w:asciiTheme="minorHAnsi" w:hAnsiTheme="minorHAnsi" w:cs="Calibri"/>
                <w:i/>
              </w:rPr>
              <w:t>Extract renewable natural resources as a main purpose</w:t>
            </w:r>
            <w:r w:rsidRPr="00D04661">
              <w:rPr>
                <w:rFonts w:asciiTheme="minorHAnsi" w:hAnsiTheme="minorHAnsi" w:cs="Calibri"/>
              </w:rPr>
              <w:t xml:space="preserve"> (e.g. plantation forestry, commercial harvesting, agriculture, livestock, fisheries and aquaculture); and </w:t>
            </w:r>
          </w:p>
          <w:p w14:paraId="00D0F9C3" w14:textId="77777777" w:rsidR="00CF59E1" w:rsidRPr="00D04661" w:rsidRDefault="00CF59E1" w:rsidP="009F3E8E">
            <w:pPr>
              <w:numPr>
                <w:ilvl w:val="0"/>
                <w:numId w:val="26"/>
              </w:numPr>
              <w:autoSpaceDE/>
              <w:autoSpaceDN/>
              <w:adjustRightInd/>
              <w:spacing w:after="120"/>
              <w:ind w:left="998" w:hanging="540"/>
              <w:rPr>
                <w:rFonts w:asciiTheme="minorHAnsi" w:hAnsiTheme="minorHAnsi" w:cs="Calibri"/>
              </w:rPr>
            </w:pPr>
            <w:r w:rsidRPr="00D04661">
              <w:rPr>
                <w:rFonts w:asciiTheme="minorHAnsi" w:hAnsiTheme="minorHAnsi" w:cs="Calibri"/>
              </w:rPr>
              <w:t xml:space="preserve">Involve the </w:t>
            </w:r>
            <w:r w:rsidRPr="00D04661">
              <w:rPr>
                <w:rFonts w:asciiTheme="minorHAnsi" w:hAnsiTheme="minorHAnsi" w:cs="Calibri"/>
                <w:i/>
              </w:rPr>
              <w:t>use of and commercialisation of an indigenous knowledge system</w:t>
            </w:r>
            <w:r>
              <w:rPr>
                <w:rFonts w:asciiTheme="minorHAnsi" w:hAnsiTheme="minorHAnsi" w:cs="Calibri"/>
              </w:rPr>
              <w:t>.”</w:t>
            </w:r>
          </w:p>
          <w:p w14:paraId="6C0A53D3" w14:textId="77777777" w:rsidR="00CF59E1" w:rsidRPr="00D04661" w:rsidRDefault="00CF59E1" w:rsidP="00CF59E1">
            <w:pPr>
              <w:autoSpaceDE/>
              <w:autoSpaceDN/>
              <w:adjustRightInd/>
              <w:spacing w:after="120"/>
              <w:ind w:left="72" w:hanging="72"/>
              <w:rPr>
                <w:rFonts w:asciiTheme="minorHAnsi" w:hAnsiTheme="minorHAnsi" w:cs="Calibri"/>
              </w:rPr>
            </w:pPr>
            <w:r>
              <w:rPr>
                <w:rFonts w:asciiTheme="minorHAnsi" w:hAnsiTheme="minorHAnsi" w:cs="Calibri"/>
              </w:rPr>
              <w:t>“</w:t>
            </w:r>
            <w:r w:rsidRPr="00D04661">
              <w:rPr>
                <w:rFonts w:asciiTheme="minorHAnsi" w:hAnsiTheme="minorHAnsi" w:cs="Calibri"/>
              </w:rPr>
              <w:t>For all projects financed by the EIB, the promoter must demonstrate that a range of alternatives and their impacts on biodiversity has been analysed. The promoter is also required to apply the mitigation hierarchy, i.e. to take appropriate measures to avoid, minimize or rehabilitate/mitigate impacts that may damage biological biodiversity. Where residual adverse impacts on biodiversity remain, the promoter may propose biodivers</w:t>
            </w:r>
            <w:r>
              <w:rPr>
                <w:rFonts w:asciiTheme="minorHAnsi" w:hAnsiTheme="minorHAnsi" w:cs="Calibri"/>
              </w:rPr>
              <w:t xml:space="preserve">ity offsets, where appropriate.” </w:t>
            </w:r>
            <w:r w:rsidRPr="00D04661">
              <w:rPr>
                <w:rFonts w:asciiTheme="minorHAnsi" w:hAnsiTheme="minorHAnsi" w:cs="Calibri"/>
              </w:rPr>
              <w:t>(</w:t>
            </w:r>
            <w:r w:rsidRPr="00D04661">
              <w:rPr>
                <w:rFonts w:asciiTheme="minorHAnsi" w:hAnsiTheme="minorHAnsi" w:cs="Calibri"/>
                <w:b/>
              </w:rPr>
              <w:t>EIB Statement, para. 70)</w:t>
            </w:r>
          </w:p>
        </w:tc>
      </w:tr>
      <w:tr w:rsidR="00CF59E1" w:rsidRPr="00D8522E" w14:paraId="444E4021" w14:textId="77777777" w:rsidTr="00CF59E1">
        <w:tc>
          <w:tcPr>
            <w:tcW w:w="6390" w:type="dxa"/>
            <w:vMerge w:val="restart"/>
            <w:shd w:val="clear" w:color="auto" w:fill="auto"/>
            <w:vAlign w:val="center"/>
          </w:tcPr>
          <w:p w14:paraId="7AC059B0" w14:textId="77777777" w:rsidR="00CF59E1" w:rsidRPr="00D04661" w:rsidRDefault="00CF59E1" w:rsidP="00CF59E1">
            <w:pPr>
              <w:spacing w:after="120"/>
              <w:rPr>
                <w:rFonts w:asciiTheme="minorHAnsi" w:hAnsiTheme="minorHAnsi" w:cs="Calibri"/>
                <w:b/>
              </w:rPr>
            </w:pPr>
            <w:r w:rsidRPr="00D04661">
              <w:rPr>
                <w:rFonts w:asciiTheme="minorHAnsi" w:hAnsiTheme="minorHAnsi" w:cs="Calibri"/>
                <w:b/>
              </w:rPr>
              <w:t>SCREENING AND IMPACTS</w:t>
            </w:r>
          </w:p>
          <w:p w14:paraId="403DB1C5" w14:textId="77777777" w:rsidR="00CF59E1" w:rsidRDefault="00CF59E1" w:rsidP="00CF59E1">
            <w:pPr>
              <w:spacing w:after="120"/>
              <w:rPr>
                <w:rFonts w:asciiTheme="minorHAnsi" w:eastAsia="Times New Roman" w:hAnsiTheme="minorHAnsi" w:cs="Arial"/>
              </w:rPr>
            </w:pPr>
            <w:r w:rsidRPr="00D04661">
              <w:rPr>
                <w:rFonts w:asciiTheme="minorHAnsi" w:eastAsia="MS Mincho" w:hAnsiTheme="minorHAnsi" w:cs="Calibri"/>
                <w:b/>
                <w:lang w:eastAsia="ja-JP"/>
              </w:rPr>
              <w:t xml:space="preserve">OP 4.04, Natural Habitats, </w:t>
            </w:r>
            <w:r>
              <w:rPr>
                <w:rFonts w:asciiTheme="minorHAnsi" w:eastAsia="MS Mincho" w:hAnsiTheme="minorHAnsi" w:cs="Calibri"/>
                <w:b/>
                <w:lang w:eastAsia="ja-JP"/>
              </w:rPr>
              <w:t xml:space="preserve">para. </w:t>
            </w:r>
            <w:r w:rsidRPr="00D04661">
              <w:rPr>
                <w:rFonts w:asciiTheme="minorHAnsi" w:eastAsia="Times New Roman" w:hAnsiTheme="minorHAnsi" w:cs="Arial"/>
                <w:b/>
              </w:rPr>
              <w:t>5</w:t>
            </w:r>
            <w:r w:rsidRPr="00D04661">
              <w:rPr>
                <w:rFonts w:asciiTheme="minorHAnsi" w:eastAsia="Times New Roman" w:hAnsiTheme="minorHAnsi" w:cs="Arial"/>
              </w:rPr>
              <w:t>: If the environmental assessment indicates that a project would significantly convert or degrade natural habitats, the project includes mitigation measures acceptable to the Bank</w:t>
            </w:r>
          </w:p>
          <w:p w14:paraId="19D99DB9" w14:textId="77777777" w:rsidR="00CF59E1" w:rsidRDefault="00CF59E1" w:rsidP="00CF59E1">
            <w:pPr>
              <w:spacing w:after="120"/>
              <w:rPr>
                <w:rFonts w:asciiTheme="minorHAnsi" w:eastAsia="Times New Roman" w:hAnsiTheme="minorHAnsi" w:cs="Arial"/>
                <w:b/>
                <w:color w:val="000000"/>
              </w:rPr>
            </w:pPr>
            <w:r w:rsidRPr="00D04661">
              <w:rPr>
                <w:rFonts w:asciiTheme="minorHAnsi" w:eastAsia="Times New Roman" w:hAnsiTheme="minorHAnsi" w:cs="Arial"/>
                <w:b/>
              </w:rPr>
              <w:t>OP 4.04 Annex A:</w:t>
            </w:r>
            <w:r w:rsidRPr="00D04661">
              <w:rPr>
                <w:rFonts w:asciiTheme="minorHAnsi" w:eastAsia="Times New Roman" w:hAnsiTheme="minorHAnsi" w:cs="Arial"/>
                <w:b/>
                <w:color w:val="000000"/>
              </w:rPr>
              <w:t xml:space="preserve"> </w:t>
            </w:r>
          </w:p>
          <w:p w14:paraId="4C847CCD" w14:textId="77777777" w:rsidR="00CF59E1" w:rsidRPr="00D04661" w:rsidRDefault="00CF59E1" w:rsidP="00CF59E1">
            <w:pPr>
              <w:spacing w:after="120"/>
              <w:rPr>
                <w:rFonts w:asciiTheme="minorHAnsi" w:eastAsia="Times New Roman" w:hAnsiTheme="minorHAnsi" w:cs="Arial"/>
                <w:color w:val="000000"/>
              </w:rPr>
            </w:pPr>
            <w:r w:rsidRPr="00D04661">
              <w:rPr>
                <w:rFonts w:asciiTheme="minorHAnsi" w:eastAsia="Times New Roman" w:hAnsiTheme="minorHAnsi" w:cs="Arial"/>
                <w:color w:val="000000"/>
              </w:rPr>
              <w:t xml:space="preserve">(c) </w:t>
            </w:r>
            <w:r w:rsidRPr="00D04661">
              <w:rPr>
                <w:rFonts w:asciiTheme="minorHAnsi" w:eastAsia="Times New Roman" w:hAnsiTheme="minorHAnsi" w:cs="Arial"/>
                <w:i/>
                <w:iCs/>
                <w:color w:val="000000"/>
              </w:rPr>
              <w:t>Significant conversion</w:t>
            </w:r>
            <w:r w:rsidRPr="00D04661">
              <w:rPr>
                <w:rFonts w:asciiTheme="minorHAnsi" w:eastAsia="Times New Roman" w:hAnsiTheme="minorHAnsi" w:cs="Arial"/>
                <w:color w:val="000000"/>
              </w:rPr>
              <w:t xml:space="preserve"> is the elimination or severe diminution of the integrity of a critical or other natural habitat caused by a major, long-term change in land or water use. Significant conversion may include, for example, land clearing; replacement of natural vegetation (e.g., by crops or tree plantations); permanent flooding (e.g., by a reservoir); drainage, dredging, filling, or channelization of wetlands; or surface mining. In both terrestrial and aquatic ecosystems, conversion of natural habitats can occur as the result of severe pollution. Conversion can result directly from the action of a project or through an indirect mechanism (e.g., through induced settlement along a road).</w:t>
            </w:r>
          </w:p>
          <w:p w14:paraId="11B49FF7"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 xml:space="preserve">(d) </w:t>
            </w:r>
            <w:r w:rsidRPr="00D04661">
              <w:rPr>
                <w:rFonts w:asciiTheme="minorHAnsi" w:eastAsia="Times New Roman" w:hAnsiTheme="minorHAnsi" w:cs="Arial"/>
                <w:i/>
                <w:iCs/>
                <w:color w:val="000000"/>
              </w:rPr>
              <w:t>Degradation</w:t>
            </w:r>
            <w:r w:rsidRPr="00D04661">
              <w:rPr>
                <w:rFonts w:asciiTheme="minorHAnsi" w:eastAsia="Times New Roman" w:hAnsiTheme="minorHAnsi" w:cs="Arial"/>
                <w:color w:val="000000"/>
              </w:rPr>
              <w:t xml:space="preserve"> is modification of a critical or other natural habitat that substantially reduces the habitat's ability to maintain viable populations of its native species.</w:t>
            </w:r>
          </w:p>
          <w:p w14:paraId="596971E3" w14:textId="77777777" w:rsidR="00CF59E1" w:rsidRPr="00D04661" w:rsidRDefault="00CF59E1" w:rsidP="00CF59E1">
            <w:pPr>
              <w:spacing w:after="120"/>
              <w:rPr>
                <w:rFonts w:asciiTheme="minorHAnsi" w:eastAsia="MS Mincho" w:hAnsiTheme="minorHAnsi" w:cs="Calibri"/>
                <w:lang w:eastAsia="ja-JP"/>
              </w:rPr>
            </w:pPr>
          </w:p>
        </w:tc>
        <w:tc>
          <w:tcPr>
            <w:tcW w:w="7200" w:type="dxa"/>
            <w:shd w:val="clear" w:color="auto" w:fill="auto"/>
          </w:tcPr>
          <w:p w14:paraId="3D430348" w14:textId="77777777" w:rsidR="00CF59E1" w:rsidRPr="00D04661" w:rsidRDefault="00CF59E1" w:rsidP="00CF59E1">
            <w:pPr>
              <w:spacing w:after="120"/>
              <w:rPr>
                <w:rFonts w:asciiTheme="minorHAnsi" w:hAnsiTheme="minorHAnsi" w:cs="Arial"/>
              </w:rPr>
            </w:pPr>
            <w:r>
              <w:rPr>
                <w:rFonts w:asciiTheme="minorHAnsi" w:hAnsiTheme="minorHAnsi" w:cs="Calibri"/>
              </w:rPr>
              <w:t>“</w:t>
            </w:r>
            <w:r w:rsidRPr="00D04661">
              <w:rPr>
                <w:rFonts w:asciiTheme="minorHAnsi" w:hAnsiTheme="minorHAnsi" w:cs="Calibri"/>
              </w:rPr>
              <w:t xml:space="preserve">The borrower/client will assess the significance of project impacts and risks on biodiversity…[defined as] the variability among living organisms for all sources among, </w:t>
            </w:r>
            <w:r w:rsidRPr="00D04661">
              <w:rPr>
                <w:rFonts w:asciiTheme="minorHAnsi" w:hAnsiTheme="minorHAnsi" w:cs="Calibri"/>
                <w:i/>
              </w:rPr>
              <w:t>interalia</w:t>
            </w:r>
            <w:r w:rsidRPr="00D04661">
              <w:rPr>
                <w:rFonts w:asciiTheme="minorHAnsi" w:hAnsiTheme="minorHAnsi" w:cs="Calibri"/>
              </w:rPr>
              <w:t xml:space="preserve">, terrestrial, </w:t>
            </w:r>
            <w:r w:rsidRPr="00D04661">
              <w:rPr>
                <w:rFonts w:asciiTheme="minorHAnsi" w:hAnsiTheme="minorHAnsi" w:cs="Calibri"/>
                <w:i/>
              </w:rPr>
              <w:t>marine</w:t>
            </w:r>
            <w:r w:rsidRPr="00D04661">
              <w:rPr>
                <w:rFonts w:asciiTheme="minorHAnsi" w:hAnsiTheme="minorHAnsi" w:cs="Calibri"/>
              </w:rPr>
              <w:t xml:space="preserve"> </w:t>
            </w:r>
            <w:r w:rsidRPr="00D04661">
              <w:rPr>
                <w:rFonts w:asciiTheme="minorHAnsi" w:hAnsiTheme="minorHAnsi" w:cs="Calibri"/>
                <w:i/>
              </w:rPr>
              <w:t>and other aquatic ecosystems</w:t>
            </w:r>
            <w:r w:rsidRPr="00D04661">
              <w:rPr>
                <w:rFonts w:asciiTheme="minorHAnsi" w:hAnsiTheme="minorHAnsi" w:cs="Calibri"/>
              </w:rPr>
              <w:t xml:space="preserve"> and the ecological complexes of which they are a part; this includes diversity within species, between species and of ecosystems and natural resources as an integral part of the environmental assessment process….</w:t>
            </w:r>
            <w:r>
              <w:rPr>
                <w:rFonts w:asciiTheme="minorHAnsi" w:hAnsiTheme="minorHAnsi" w:cs="Calibri"/>
              </w:rPr>
              <w:t>”</w:t>
            </w:r>
            <w:r w:rsidRPr="00D04661">
              <w:rPr>
                <w:rFonts w:asciiTheme="minorHAnsi" w:hAnsiTheme="minorHAnsi" w:cs="Calibri"/>
              </w:rPr>
              <w:t>(</w:t>
            </w:r>
            <w:r w:rsidRPr="00D04661">
              <w:rPr>
                <w:rFonts w:asciiTheme="minorHAnsi" w:hAnsiTheme="minorHAnsi" w:cs="Calibri"/>
                <w:b/>
              </w:rPr>
              <w:t xml:space="preserve">ADB, SPS Appendix 1, footnote 2) </w:t>
            </w:r>
            <w:r w:rsidRPr="00D04661">
              <w:rPr>
                <w:rFonts w:asciiTheme="minorHAnsi" w:hAnsiTheme="minorHAnsi" w:cs="Calibri"/>
              </w:rPr>
              <w:t>(</w:t>
            </w:r>
            <w:r w:rsidRPr="00D04661">
              <w:rPr>
                <w:rFonts w:asciiTheme="minorHAnsi" w:hAnsiTheme="minorHAnsi" w:cs="Calibri"/>
                <w:i/>
              </w:rPr>
              <w:t>emphasis added</w:t>
            </w:r>
            <w:r w:rsidRPr="00D04661">
              <w:rPr>
                <w:rFonts w:asciiTheme="minorHAnsi" w:hAnsiTheme="minorHAnsi" w:cs="Calibri"/>
              </w:rPr>
              <w:t>)</w:t>
            </w:r>
            <w:r w:rsidRPr="00D04661">
              <w:rPr>
                <w:rFonts w:asciiTheme="minorHAnsi" w:hAnsiTheme="minorHAnsi" w:cs="Arial"/>
              </w:rPr>
              <w:t xml:space="preserve"> </w:t>
            </w:r>
          </w:p>
          <w:p w14:paraId="4EE1B79F" w14:textId="77777777" w:rsidR="00CF59E1" w:rsidRPr="00D04661" w:rsidRDefault="00CF59E1" w:rsidP="00CF59E1">
            <w:pPr>
              <w:spacing w:after="120"/>
              <w:rPr>
                <w:rFonts w:asciiTheme="minorHAnsi" w:hAnsiTheme="minorHAnsi" w:cs="Calibri"/>
              </w:rPr>
            </w:pPr>
            <w:r>
              <w:rPr>
                <w:rFonts w:asciiTheme="minorHAnsi" w:hAnsiTheme="minorHAnsi" w:cs="Arial"/>
              </w:rPr>
              <w:t>“</w:t>
            </w:r>
            <w:r w:rsidRPr="00D04661">
              <w:rPr>
                <w:rFonts w:asciiTheme="minorHAnsi" w:hAnsiTheme="minorHAnsi" w:cs="Arial"/>
              </w:rPr>
              <w:t>The borrower/client will assess the significance of project impacts and risks on biodiversity and natural resources as an integral part of the environmental assessment process specified in paras. 4–10. The assessment will focus on the major threats to biodiversity, which include destruction of habitat and introduction of invasive alien species, and on the use of natural resources in an unsustainable manner. (Footnote 2: The variability among living organisms from all sources including, inter alia, terrestrial, marine and other aquatic ecosystems and the ecological complexes of which they are part; this includes diversity within species, between species and of ecosystems.</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(ADB, SPS, Appendix 1, para. 24).</w:t>
            </w:r>
          </w:p>
        </w:tc>
      </w:tr>
      <w:tr w:rsidR="00CF59E1" w:rsidRPr="00D8522E" w14:paraId="09618BCA" w14:textId="77777777" w:rsidTr="00CF59E1">
        <w:tc>
          <w:tcPr>
            <w:tcW w:w="6390" w:type="dxa"/>
            <w:vMerge/>
            <w:shd w:val="clear" w:color="auto" w:fill="auto"/>
            <w:vAlign w:val="center"/>
          </w:tcPr>
          <w:p w14:paraId="08FF0503" w14:textId="77777777" w:rsidR="00CF59E1" w:rsidRPr="00D04661" w:rsidRDefault="00CF59E1" w:rsidP="00CF59E1">
            <w:pPr>
              <w:spacing w:after="120"/>
              <w:rPr>
                <w:rFonts w:asciiTheme="minorHAnsi" w:hAnsiTheme="minorHAnsi" w:cs="Calibri"/>
              </w:rPr>
            </w:pPr>
          </w:p>
        </w:tc>
        <w:tc>
          <w:tcPr>
            <w:tcW w:w="7200" w:type="dxa"/>
            <w:shd w:val="clear" w:color="auto" w:fill="auto"/>
          </w:tcPr>
          <w:p w14:paraId="3A700175"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 xml:space="preserve">Special attention shall be given to the major threats to biodiversity and ecosystem services, such as land conversion, </w:t>
            </w:r>
            <w:r w:rsidRPr="00D04661">
              <w:rPr>
                <w:rFonts w:asciiTheme="minorHAnsi" w:hAnsiTheme="minorHAnsi" w:cs="Calibri"/>
                <w:i/>
              </w:rPr>
              <w:t>forest habitat fragmentation</w:t>
            </w:r>
            <w:r w:rsidRPr="00D04661">
              <w:rPr>
                <w:rFonts w:asciiTheme="minorHAnsi" w:hAnsiTheme="minorHAnsi" w:cs="Calibri"/>
              </w:rPr>
              <w:t xml:space="preserve">, natural habitat loss, deforestation, </w:t>
            </w:r>
            <w:r w:rsidRPr="00D04661">
              <w:rPr>
                <w:rFonts w:asciiTheme="minorHAnsi" w:hAnsiTheme="minorHAnsi" w:cs="Calibri"/>
                <w:i/>
              </w:rPr>
              <w:t>over-exploitation of natural areas and resources</w:t>
            </w:r>
            <w:r w:rsidRPr="00D04661">
              <w:rPr>
                <w:rFonts w:asciiTheme="minorHAnsi" w:hAnsiTheme="minorHAnsi" w:cs="Calibri"/>
              </w:rPr>
              <w:t>, invasive alien species</w:t>
            </w:r>
            <w:r w:rsidRPr="00D04661">
              <w:rPr>
                <w:rFonts w:asciiTheme="minorHAnsi" w:hAnsiTheme="minorHAnsi" w:cs="Calibri"/>
                <w:i/>
              </w:rPr>
              <w:t>, migration barriers, wild animals’ captivity,</w:t>
            </w:r>
            <w:r w:rsidRPr="00D04661">
              <w:rPr>
                <w:rFonts w:asciiTheme="minorHAnsi" w:hAnsiTheme="minorHAnsi" w:cs="Calibri"/>
              </w:rPr>
              <w:t xml:space="preserve"> harvesting endemic species and indigenous ornamental flora and fauna, and </w:t>
            </w:r>
            <w:r w:rsidRPr="00D04661">
              <w:rPr>
                <w:rFonts w:asciiTheme="minorHAnsi" w:hAnsiTheme="minorHAnsi" w:cs="Calibri"/>
                <w:i/>
              </w:rPr>
              <w:t>wildlife poaching.</w:t>
            </w:r>
            <w:r>
              <w:rPr>
                <w:rFonts w:asciiTheme="minorHAnsi" w:hAnsiTheme="minorHAnsi" w:cs="Calibri"/>
                <w:i/>
              </w:rPr>
              <w:t>”</w:t>
            </w:r>
            <w:r w:rsidRPr="00D04661">
              <w:rPr>
                <w:rFonts w:asciiTheme="minorHAnsi" w:hAnsiTheme="minorHAnsi" w:cs="Calibri"/>
              </w:rPr>
              <w:t xml:space="preserve"> (</w:t>
            </w:r>
            <w:r w:rsidRPr="00D04661">
              <w:rPr>
                <w:rFonts w:asciiTheme="minorHAnsi" w:hAnsiTheme="minorHAnsi" w:cs="Calibri"/>
                <w:b/>
              </w:rPr>
              <w:t>AfDB</w:t>
            </w:r>
            <w:r w:rsidRPr="00D04661">
              <w:rPr>
                <w:rFonts w:asciiTheme="minorHAnsi" w:hAnsiTheme="minorHAnsi" w:cs="Calibri"/>
              </w:rPr>
              <w:t xml:space="preserve">, </w:t>
            </w:r>
            <w:r w:rsidRPr="00D04661">
              <w:rPr>
                <w:rFonts w:asciiTheme="minorHAnsi" w:hAnsiTheme="minorHAnsi" w:cs="Calibri"/>
                <w:b/>
              </w:rPr>
              <w:t>OS 3, para. 9</w:t>
            </w:r>
            <w:r w:rsidRPr="00D04661">
              <w:rPr>
                <w:rFonts w:asciiTheme="minorHAnsi" w:hAnsiTheme="minorHAnsi" w:cs="Calibri"/>
              </w:rPr>
              <w:t>) (</w:t>
            </w:r>
            <w:r w:rsidRPr="00D04661">
              <w:rPr>
                <w:rFonts w:asciiTheme="minorHAnsi" w:hAnsiTheme="minorHAnsi" w:cs="Calibri"/>
                <w:i/>
              </w:rPr>
              <w:t>emphasis added</w:t>
            </w:r>
            <w:r w:rsidRPr="00D04661">
              <w:rPr>
                <w:rFonts w:asciiTheme="minorHAnsi" w:hAnsiTheme="minorHAnsi" w:cs="Calibri"/>
              </w:rPr>
              <w:t>)</w:t>
            </w:r>
          </w:p>
          <w:p w14:paraId="75F4B646" w14:textId="77777777" w:rsidR="00CF59E1" w:rsidRPr="00D04661" w:rsidRDefault="00CF59E1" w:rsidP="00CF59E1">
            <w:pPr>
              <w:spacing w:after="120"/>
              <w:rPr>
                <w:rFonts w:asciiTheme="minorHAnsi" w:hAnsiTheme="minorHAnsi" w:cs="Calibri"/>
                <w:b/>
              </w:rPr>
            </w:pPr>
            <w:r w:rsidRPr="00D04661">
              <w:rPr>
                <w:rFonts w:asciiTheme="minorHAnsi" w:hAnsiTheme="minorHAnsi" w:cs="Calibri"/>
              </w:rPr>
              <w:t xml:space="preserve">For effective integration of biodiversity considerations into EIB operations, all projects have to be screened for their potential impacts on the environment and biodiversity. …The following impacts are of particular importance and will need to be assessed: Conversion of natural or </w:t>
            </w:r>
            <w:r w:rsidRPr="00D04661">
              <w:rPr>
                <w:rFonts w:asciiTheme="minorHAnsi" w:hAnsiTheme="minorHAnsi" w:cs="Calibri"/>
                <w:i/>
              </w:rPr>
              <w:t>semi-natural habitats</w:t>
            </w:r>
            <w:r w:rsidRPr="00D04661">
              <w:rPr>
                <w:rFonts w:asciiTheme="minorHAnsi" w:hAnsiTheme="minorHAnsi" w:cs="Calibri"/>
              </w:rPr>
              <w:t xml:space="preserve">, the </w:t>
            </w:r>
            <w:r w:rsidRPr="00D04661">
              <w:rPr>
                <w:rFonts w:asciiTheme="minorHAnsi" w:hAnsiTheme="minorHAnsi" w:cs="Calibri"/>
                <w:i/>
              </w:rPr>
              <w:t>main cause of loss of biodiversity</w:t>
            </w:r>
            <w:r w:rsidRPr="00D04661">
              <w:rPr>
                <w:rFonts w:asciiTheme="minorHAnsi" w:hAnsiTheme="minorHAnsi" w:cs="Calibri"/>
              </w:rPr>
              <w:t xml:space="preserve"> worldwide; …</w:t>
            </w:r>
            <w:r w:rsidRPr="00D04661">
              <w:rPr>
                <w:rFonts w:asciiTheme="minorHAnsi" w:hAnsiTheme="minorHAnsi" w:cs="Calibri"/>
                <w:i/>
              </w:rPr>
              <w:t>fragmentation of natural habitat which interfere with ecological processes at a landscape scale</w:t>
            </w:r>
            <w:r w:rsidRPr="00D04661">
              <w:rPr>
                <w:rFonts w:asciiTheme="minorHAnsi" w:hAnsiTheme="minorHAnsi" w:cs="Calibri"/>
              </w:rPr>
              <w:t xml:space="preserve">, ….installation </w:t>
            </w:r>
            <w:r w:rsidRPr="00D04661">
              <w:rPr>
                <w:rFonts w:asciiTheme="minorHAnsi" w:hAnsiTheme="minorHAnsi" w:cs="Calibri"/>
                <w:i/>
              </w:rPr>
              <w:t>of infrastructure which can lead to losses in population of vulnerable and endangered species</w:t>
            </w:r>
            <w:r w:rsidRPr="00D04661">
              <w:rPr>
                <w:rFonts w:asciiTheme="minorHAnsi" w:hAnsiTheme="minorHAnsi" w:cs="Calibri"/>
                <w:b/>
              </w:rPr>
              <w:t>.</w:t>
            </w:r>
            <w:r>
              <w:rPr>
                <w:rFonts w:asciiTheme="minorHAnsi" w:hAnsiTheme="minorHAnsi" w:cs="Calibri"/>
                <w:b/>
              </w:rPr>
              <w:t>”</w:t>
            </w:r>
            <w:r w:rsidRPr="00D04661">
              <w:rPr>
                <w:rFonts w:asciiTheme="minorHAnsi" w:hAnsiTheme="minorHAnsi" w:cs="Calibri"/>
                <w:b/>
              </w:rPr>
              <w:t xml:space="preserve"> (EIB, Handbook, Volume II, ESPP, B.1.7 (</w:t>
            </w:r>
            <w:r w:rsidRPr="00D04661">
              <w:rPr>
                <w:rFonts w:asciiTheme="minorHAnsi" w:hAnsiTheme="minorHAnsi" w:cs="Calibri"/>
                <w:i/>
              </w:rPr>
              <w:t>emphasis added</w:t>
            </w:r>
            <w:r w:rsidRPr="00D04661">
              <w:rPr>
                <w:rFonts w:asciiTheme="minorHAnsi" w:hAnsiTheme="minorHAnsi" w:cs="Calibri"/>
                <w:b/>
              </w:rPr>
              <w:t>)</w:t>
            </w:r>
          </w:p>
          <w:p w14:paraId="4801944A"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 xml:space="preserve">The initial environmental and social impact assessment should include: potential impacts on…; areas that provide important biodiversity and </w:t>
            </w:r>
            <w:r w:rsidRPr="00D04661">
              <w:rPr>
                <w:rFonts w:asciiTheme="minorHAnsi" w:hAnsiTheme="minorHAnsi" w:cs="Calibri"/>
                <w:i/>
              </w:rPr>
              <w:t>ecosystems services</w:t>
            </w:r>
            <w:r w:rsidRPr="00D04661">
              <w:rPr>
                <w:rFonts w:asciiTheme="minorHAnsi" w:hAnsiTheme="minorHAnsi" w:cs="Calibri"/>
              </w:rPr>
              <w:t xml:space="preserve"> […]; </w:t>
            </w:r>
            <w:r w:rsidRPr="00D04661">
              <w:rPr>
                <w:rFonts w:asciiTheme="minorHAnsi" w:hAnsiTheme="minorHAnsi" w:cs="Calibri"/>
                <w:i/>
              </w:rPr>
              <w:t>areas traditionally used by local communities for natural goods and services</w:t>
            </w:r>
            <w:r w:rsidRPr="00D04661">
              <w:rPr>
                <w:rFonts w:asciiTheme="minorHAnsi" w:hAnsiTheme="minorHAnsi" w:cs="Calibri"/>
              </w:rPr>
              <w:t xml:space="preserve">; </w:t>
            </w:r>
            <w:r w:rsidRPr="00D04661">
              <w:rPr>
                <w:rFonts w:asciiTheme="minorHAnsi" w:hAnsiTheme="minorHAnsi" w:cs="Calibri"/>
                <w:i/>
              </w:rPr>
              <w:t>areas of semi-natural habitat which are particularly threatened; downstream and upstream ecosystems and potential impacts on the integrity of ecosystems</w:t>
            </w:r>
            <w:r w:rsidRPr="00D04661">
              <w:rPr>
                <w:rFonts w:asciiTheme="minorHAnsi" w:hAnsiTheme="minorHAnsi" w:cs="Calibri"/>
              </w:rPr>
              <w:t>.</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(EIB, Handbook, Vol.II, ESPP, para. 69)</w:t>
            </w:r>
            <w:r w:rsidRPr="00D04661">
              <w:rPr>
                <w:rFonts w:asciiTheme="minorHAnsi" w:hAnsiTheme="minorHAnsi" w:cs="Calibri"/>
              </w:rPr>
              <w:t xml:space="preserve"> </w:t>
            </w:r>
          </w:p>
          <w:p w14:paraId="7FA2B445" w14:textId="77777777" w:rsidR="00CF59E1" w:rsidRPr="00D04661" w:rsidRDefault="00CF59E1" w:rsidP="00CF59E1">
            <w:pPr>
              <w:spacing w:after="120"/>
              <w:rPr>
                <w:rFonts w:asciiTheme="minorHAnsi" w:hAnsiTheme="minorHAnsi" w:cs="Arial"/>
              </w:rPr>
            </w:pPr>
            <w:r>
              <w:rPr>
                <w:rFonts w:asciiTheme="minorHAnsi" w:hAnsiTheme="minorHAnsi" w:cs="Arial"/>
                <w:i/>
              </w:rPr>
              <w:t>“</w:t>
            </w:r>
            <w:r w:rsidRPr="00D04661">
              <w:rPr>
                <w:rFonts w:asciiTheme="minorHAnsi" w:hAnsiTheme="minorHAnsi" w:cs="Arial"/>
                <w:i/>
              </w:rPr>
              <w:t>The biodiversity impact assessment [BIA]</w:t>
            </w:r>
            <w:r w:rsidRPr="00D04661">
              <w:rPr>
                <w:rFonts w:asciiTheme="minorHAnsi" w:hAnsiTheme="minorHAnsi" w:cs="Arial"/>
              </w:rPr>
              <w:t xml:space="preserve"> must offer, to the extent possible, a comprehensive picture of the likely direct, indirect, induced and cumulative impacts of the operation on habitats, species and ecosystems. The BIA may need to be contracted out to externally qualified expe</w:t>
            </w:r>
            <w:r>
              <w:rPr>
                <w:rFonts w:asciiTheme="minorHAnsi" w:hAnsiTheme="minorHAnsi" w:cs="Arial"/>
              </w:rPr>
              <w:t>rts with knowledge in the field</w:t>
            </w:r>
            <w:r w:rsidRPr="00D04661">
              <w:rPr>
                <w:rFonts w:asciiTheme="minorHAnsi" w:hAnsiTheme="minorHAnsi" w:cs="Arial"/>
                <w:i/>
                <w:iCs/>
              </w:rPr>
              <w:t xml:space="preserve">. </w:t>
            </w:r>
            <w:r w:rsidRPr="00D04661">
              <w:rPr>
                <w:rFonts w:asciiTheme="minorHAnsi" w:hAnsiTheme="minorHAnsi" w:cs="Arial"/>
              </w:rPr>
              <w:t>It is highly recommended that this assessment form an integral part of the ESIA; however certain national regulations may require free-standing analysis with a separate approval process.</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EIB, EHS, ESS 3, para. 32</w:t>
            </w:r>
            <w:r w:rsidRPr="00D04661">
              <w:rPr>
                <w:rFonts w:asciiTheme="minorHAnsi" w:hAnsiTheme="minorHAnsi" w:cs="Arial"/>
              </w:rPr>
              <w:t>)</w:t>
            </w:r>
          </w:p>
          <w:p w14:paraId="1FEAAFA8" w14:textId="77777777" w:rsidR="00CF59E1" w:rsidRPr="00D04661" w:rsidRDefault="00CF59E1" w:rsidP="00CF59E1">
            <w:pPr>
              <w:tabs>
                <w:tab w:val="left" w:pos="2664"/>
              </w:tabs>
              <w:spacing w:after="120"/>
              <w:rPr>
                <w:rFonts w:asciiTheme="minorHAnsi" w:hAnsiTheme="minorHAnsi" w:cs="Arial"/>
              </w:rPr>
            </w:pPr>
            <w:r>
              <w:rPr>
                <w:rFonts w:asciiTheme="minorHAnsi" w:hAnsiTheme="minorHAnsi" w:cs="Arial"/>
              </w:rPr>
              <w:t>“</w:t>
            </w:r>
            <w:r w:rsidRPr="00D04661">
              <w:rPr>
                <w:rFonts w:asciiTheme="minorHAnsi" w:hAnsiTheme="minorHAnsi" w:cs="Arial"/>
              </w:rPr>
              <w:t>The [BIA] takes places in three clear stages. No assessment can be valid unless these stages have been completed in the right order. The first one is the establishment of an adequate baseline of the original state of the project site and its area of influence with regards to all biodiversity aspects, commensurate with the project impacts and risks. The second one is the assessment impacts of the various alternatives – both during the construction and operation phase – against the benchmark of the without-project scenario. The third one is the consideration of a range of alternative project designs, includ</w:t>
            </w:r>
            <w:r>
              <w:rPr>
                <w:rFonts w:asciiTheme="minorHAnsi" w:hAnsiTheme="minorHAnsi" w:cs="Arial"/>
              </w:rPr>
              <w:t xml:space="preserve">ing a without-project scenario.” </w:t>
            </w:r>
            <w:r w:rsidRPr="00D04661">
              <w:rPr>
                <w:rFonts w:asciiTheme="minorHAnsi" w:hAnsiTheme="minorHAnsi" w:cs="Arial"/>
              </w:rPr>
              <w:t>(</w:t>
            </w:r>
            <w:r w:rsidRPr="00D04661">
              <w:rPr>
                <w:rFonts w:asciiTheme="minorHAnsi" w:hAnsiTheme="minorHAnsi" w:cs="Arial"/>
                <w:b/>
              </w:rPr>
              <w:t>EIB, ESH, ESS 3, para. 38</w:t>
            </w:r>
            <w:r w:rsidRPr="00D04661">
              <w:rPr>
                <w:rFonts w:asciiTheme="minorHAnsi" w:hAnsiTheme="minorHAnsi" w:cs="Arial"/>
              </w:rPr>
              <w:t>)</w:t>
            </w:r>
          </w:p>
        </w:tc>
      </w:tr>
      <w:tr w:rsidR="00CF59E1" w:rsidRPr="00D8522E" w14:paraId="009B51EF" w14:textId="77777777" w:rsidTr="00CF59E1">
        <w:tc>
          <w:tcPr>
            <w:tcW w:w="6390" w:type="dxa"/>
            <w:shd w:val="clear" w:color="auto" w:fill="auto"/>
            <w:vAlign w:val="center"/>
          </w:tcPr>
          <w:p w14:paraId="7E3C69FE" w14:textId="77777777" w:rsidR="00CF59E1" w:rsidRPr="00D04661" w:rsidRDefault="00CF59E1" w:rsidP="00CF59E1">
            <w:pPr>
              <w:spacing w:after="120"/>
              <w:rPr>
                <w:rFonts w:asciiTheme="minorHAnsi" w:hAnsiTheme="minorHAnsi" w:cs="Calibri"/>
                <w:b/>
              </w:rPr>
            </w:pPr>
            <w:r w:rsidRPr="00D04661">
              <w:rPr>
                <w:rFonts w:asciiTheme="minorHAnsi" w:hAnsiTheme="minorHAnsi" w:cs="Calibri"/>
                <w:b/>
              </w:rPr>
              <w:t>REFERENCE TO MULTILATERAL ENVIRONMENTAL AGREEMENTS</w:t>
            </w:r>
          </w:p>
          <w:p w14:paraId="6EBB3C84" w14:textId="77777777" w:rsidR="00CF59E1" w:rsidRPr="00CE58A1" w:rsidRDefault="00CF59E1" w:rsidP="00CF59E1">
            <w:pPr>
              <w:spacing w:after="120"/>
              <w:rPr>
                <w:rFonts w:asciiTheme="minorHAnsi" w:hAnsiTheme="minorHAnsi" w:cs="Calibri"/>
              </w:rPr>
            </w:pPr>
            <w:r w:rsidRPr="00D04661">
              <w:rPr>
                <w:rFonts w:asciiTheme="minorHAnsi" w:hAnsiTheme="minorHAnsi" w:cs="Calibri"/>
              </w:rPr>
              <w:t xml:space="preserve"> </w:t>
            </w:r>
            <w:r w:rsidRPr="00D04661">
              <w:rPr>
                <w:rFonts w:asciiTheme="minorHAnsi" w:hAnsiTheme="minorHAnsi" w:cs="Calibri"/>
                <w:b/>
              </w:rPr>
              <w:t>OP 4.01</w:t>
            </w:r>
            <w:r w:rsidRPr="00D04661">
              <w:rPr>
                <w:rFonts w:asciiTheme="minorHAnsi" w:hAnsiTheme="minorHAnsi" w:cs="Arial"/>
                <w:b/>
              </w:rPr>
              <w:t xml:space="preserve"> </w:t>
            </w:r>
            <w:r>
              <w:rPr>
                <w:rFonts w:asciiTheme="minorHAnsi" w:hAnsiTheme="minorHAnsi" w:cs="Arial"/>
                <w:b/>
              </w:rPr>
              <w:t>para.</w:t>
            </w:r>
            <w:r w:rsidRPr="00D04661">
              <w:rPr>
                <w:rFonts w:asciiTheme="minorHAnsi" w:hAnsiTheme="minorHAnsi" w:cs="Arial"/>
                <w:b/>
              </w:rPr>
              <w:t xml:space="preserve"> 3</w:t>
            </w:r>
            <w:r w:rsidRPr="00D04661">
              <w:rPr>
                <w:rFonts w:asciiTheme="minorHAnsi" w:hAnsiTheme="minorHAnsi" w:cs="Arial"/>
              </w:rPr>
              <w:t xml:space="preserve">: EA also takes into account...; …obligations of the country, pertaining to project activities, under relevant international environmental treaties and agreements. The Bank does not finance project activities that would contravene such country obligations, as </w:t>
            </w:r>
            <w:r w:rsidRPr="00CE58A1">
              <w:rPr>
                <w:rFonts w:asciiTheme="minorHAnsi" w:hAnsiTheme="minorHAnsi" w:cs="Arial"/>
              </w:rPr>
              <w:t>identified during the EA.</w:t>
            </w:r>
            <w:r>
              <w:rPr>
                <w:rFonts w:asciiTheme="minorHAnsi" w:hAnsiTheme="minorHAnsi" w:cs="Arial"/>
              </w:rPr>
              <w:t>”</w:t>
            </w:r>
          </w:p>
          <w:p w14:paraId="200D8EEA" w14:textId="77777777" w:rsidR="00CF59E1" w:rsidRDefault="00CF59E1" w:rsidP="00CF59E1">
            <w:pPr>
              <w:spacing w:after="120"/>
              <w:rPr>
                <w:rFonts w:asciiTheme="minorHAnsi" w:hAnsiTheme="minorHAnsi" w:cs="Calibri"/>
              </w:rPr>
            </w:pPr>
            <w:r w:rsidRPr="00CE58A1">
              <w:rPr>
                <w:rFonts w:asciiTheme="minorHAnsi" w:hAnsiTheme="minorHAnsi" w:cs="Calibri"/>
              </w:rPr>
              <w:t xml:space="preserve">OP 4.04 </w:t>
            </w:r>
            <w:r>
              <w:rPr>
                <w:rFonts w:asciiTheme="minorHAnsi" w:hAnsiTheme="minorHAnsi" w:cs="Calibri"/>
              </w:rPr>
              <w:t xml:space="preserve">para. </w:t>
            </w:r>
            <w:r w:rsidRPr="00CE58A1">
              <w:rPr>
                <w:rFonts w:asciiTheme="minorHAnsi" w:hAnsiTheme="minorHAnsi" w:cs="Calibri"/>
              </w:rPr>
              <w:t xml:space="preserve">4: </w:t>
            </w:r>
            <w:r w:rsidRPr="00CE58A1">
              <w:rPr>
                <w:rFonts w:asciiTheme="minorHAnsi" w:hAnsiTheme="minorHAnsi" w:cs="Arial"/>
                <w:color w:val="000000"/>
              </w:rPr>
              <w:t>The Bank does not support projects that, in the Bank's opinion, involve the significant conversion or degradation</w:t>
            </w:r>
            <w:hyperlink r:id="rId38" w:anchor="f1" w:history="1">
              <w:r w:rsidRPr="00CE58A1">
                <w:rPr>
                  <w:rFonts w:asciiTheme="minorHAnsi" w:hAnsiTheme="minorHAnsi" w:cs="Arial"/>
                  <w:color w:val="000099"/>
                  <w:u w:val="single"/>
                  <w:vertAlign w:val="superscript"/>
                </w:rPr>
                <w:t>3</w:t>
              </w:r>
            </w:hyperlink>
            <w:r w:rsidRPr="00CE58A1">
              <w:rPr>
                <w:rFonts w:asciiTheme="minorHAnsi" w:hAnsiTheme="minorHAnsi" w:cs="Arial"/>
                <w:color w:val="000000"/>
              </w:rPr>
              <w:t xml:space="preserve"> of critical natural habitats.</w:t>
            </w:r>
          </w:p>
          <w:p w14:paraId="43305D55" w14:textId="77777777" w:rsidR="00CF59E1" w:rsidRPr="00CE58A1" w:rsidRDefault="00CF59E1" w:rsidP="00CF59E1">
            <w:pPr>
              <w:spacing w:after="120"/>
              <w:rPr>
                <w:rFonts w:asciiTheme="minorHAnsi" w:eastAsia="Times New Roman" w:hAnsiTheme="minorHAnsi" w:cs="Arial"/>
                <w:color w:val="000000"/>
              </w:rPr>
            </w:pPr>
            <w:r w:rsidRPr="00CE58A1">
              <w:rPr>
                <w:rFonts w:asciiTheme="minorHAnsi" w:hAnsiTheme="minorHAnsi" w:cs="Calibri"/>
                <w:b/>
              </w:rPr>
              <w:t>OP 4.04 Annex A:</w:t>
            </w:r>
            <w:r w:rsidRPr="00CE58A1">
              <w:rPr>
                <w:rFonts w:asciiTheme="minorHAnsi" w:hAnsiTheme="minorHAnsi" w:cs="Calibri"/>
              </w:rPr>
              <w:t xml:space="preserve"> </w:t>
            </w:r>
            <w:r w:rsidRPr="00CE58A1">
              <w:rPr>
                <w:rFonts w:asciiTheme="minorHAnsi" w:eastAsia="Times New Roman" w:hAnsiTheme="minorHAnsi" w:cs="Arial"/>
                <w:i/>
                <w:iCs/>
                <w:color w:val="000000"/>
              </w:rPr>
              <w:t>Critical natural habitats</w:t>
            </w:r>
            <w:r w:rsidRPr="00CE58A1">
              <w:rPr>
                <w:rFonts w:asciiTheme="minorHAnsi" w:eastAsia="Times New Roman" w:hAnsiTheme="minorHAnsi" w:cs="Arial"/>
                <w:color w:val="000000"/>
              </w:rPr>
              <w:t xml:space="preserve"> are:(i) existing protected areas and areas officially proposed by governments as protected areas (e.g., reserves that meet the criteria of the World Conservation Union [IUCN] classifications</w:t>
            </w:r>
            <w:hyperlink r:id="rId39" w:anchor="f1" w:history="1">
              <w:r w:rsidRPr="00CE58A1">
                <w:rPr>
                  <w:rFonts w:asciiTheme="minorHAnsi" w:eastAsia="Times New Roman" w:hAnsiTheme="minorHAnsi" w:cs="Arial"/>
                  <w:color w:val="000099"/>
                  <w:u w:val="single"/>
                  <w:vertAlign w:val="superscript"/>
                </w:rPr>
                <w:t>2</w:t>
              </w:r>
            </w:hyperlink>
            <w:r w:rsidRPr="00CE58A1">
              <w:rPr>
                <w:rFonts w:asciiTheme="minorHAnsi" w:eastAsia="Times New Roman" w:hAnsiTheme="minorHAnsi" w:cs="Arial"/>
                <w:color w:val="000000"/>
              </w:rPr>
              <w:t>), areas initially recognized as protected by traditional local communities (e.g., sacred groves), and sites that maintain conditions vital for the viability of these protected areas (as determined by the environ-mental assessment process</w:t>
            </w:r>
            <w:hyperlink r:id="rId40" w:anchor="f1" w:history="1">
              <w:r w:rsidRPr="00CE58A1">
                <w:rPr>
                  <w:rFonts w:asciiTheme="minorHAnsi" w:eastAsia="Times New Roman" w:hAnsiTheme="minorHAnsi" w:cs="Arial"/>
                  <w:color w:val="000099"/>
                  <w:u w:val="single"/>
                  <w:vertAlign w:val="superscript"/>
                </w:rPr>
                <w:t>3</w:t>
              </w:r>
            </w:hyperlink>
            <w:r w:rsidRPr="00CE58A1">
              <w:rPr>
                <w:rFonts w:asciiTheme="minorHAnsi" w:eastAsia="Times New Roman" w:hAnsiTheme="minorHAnsi" w:cs="Arial"/>
                <w:color w:val="000000"/>
              </w:rPr>
              <w:t xml:space="preserve">); </w:t>
            </w:r>
          </w:p>
          <w:p w14:paraId="317953CE" w14:textId="77777777" w:rsidR="00CF59E1" w:rsidRPr="00D04661" w:rsidRDefault="00CF59E1" w:rsidP="00CF59E1">
            <w:pPr>
              <w:spacing w:after="120"/>
              <w:rPr>
                <w:rFonts w:asciiTheme="minorHAnsi" w:hAnsiTheme="minorHAnsi" w:cs="Calibri"/>
              </w:rPr>
            </w:pPr>
          </w:p>
        </w:tc>
        <w:tc>
          <w:tcPr>
            <w:tcW w:w="7200" w:type="dxa"/>
            <w:shd w:val="clear" w:color="auto" w:fill="auto"/>
          </w:tcPr>
          <w:p w14:paraId="1690DC15" w14:textId="77777777" w:rsidR="00CF59E1" w:rsidRPr="00D8522E" w:rsidRDefault="00CF59E1" w:rsidP="00CF59E1">
            <w:pPr>
              <w:spacing w:after="120"/>
              <w:rPr>
                <w:rFonts w:asciiTheme="minorHAnsi" w:hAnsiTheme="minorHAnsi" w:cs="Arial"/>
              </w:rPr>
            </w:pPr>
            <w:r w:rsidRPr="00D8522E">
              <w:rPr>
                <w:rFonts w:asciiTheme="minorHAnsi" w:hAnsiTheme="minorHAnsi" w:cs="Arial"/>
              </w:rPr>
              <w:t>Critical habitats include those areas either legally protected or officially proposed for protection, such as areas that meet the criteria of the World Conservation Union classification, the Ramsar List of Wetlands of International Importance, and the United Nations Educational, Scientific, and Cultural Organization’s world natural heritage sites. (</w:t>
            </w:r>
            <w:r w:rsidRPr="00D8522E">
              <w:rPr>
                <w:rFonts w:asciiTheme="minorHAnsi" w:hAnsiTheme="minorHAnsi" w:cs="Arial"/>
                <w:b/>
                <w:bCs/>
              </w:rPr>
              <w:t>ADB SPS, Appendix 1, footnote 5</w:t>
            </w:r>
            <w:r w:rsidRPr="00D8522E">
              <w:rPr>
                <w:rFonts w:asciiTheme="minorHAnsi" w:hAnsiTheme="minorHAnsi" w:cs="Arial"/>
              </w:rPr>
              <w:t>)</w:t>
            </w:r>
          </w:p>
          <w:p w14:paraId="4E57C7BA" w14:textId="77777777" w:rsidR="00CF59E1" w:rsidRPr="00D04661" w:rsidRDefault="00CF59E1" w:rsidP="00CF59E1">
            <w:pPr>
              <w:spacing w:after="120"/>
              <w:rPr>
                <w:rFonts w:asciiTheme="minorHAnsi" w:hAnsiTheme="minorHAnsi" w:cs="Arial"/>
              </w:rPr>
            </w:pPr>
            <w:r w:rsidRPr="00D04661">
              <w:rPr>
                <w:rFonts w:asciiTheme="minorHAnsi" w:hAnsiTheme="minorHAnsi" w:cs="Arial"/>
              </w:rPr>
              <w:t>No project activity will be implemented in areas of critical habitat ….As defined by the Word Conservation Union’s Red List of Threatened Species or as defined in any national legislation. (</w:t>
            </w:r>
            <w:r w:rsidRPr="00D04661">
              <w:rPr>
                <w:rFonts w:asciiTheme="minorHAnsi" w:hAnsiTheme="minorHAnsi" w:cs="Arial"/>
                <w:b/>
                <w:bCs/>
              </w:rPr>
              <w:t>ADB, SPS, SR 1, para. 28 and footnote 6</w:t>
            </w:r>
            <w:r w:rsidRPr="00D04661">
              <w:rPr>
                <w:rFonts w:asciiTheme="minorHAnsi" w:hAnsiTheme="minorHAnsi" w:cs="Arial"/>
              </w:rPr>
              <w:t xml:space="preserve">) </w:t>
            </w:r>
          </w:p>
          <w:p w14:paraId="189609F5" w14:textId="77777777" w:rsidR="00CF59E1" w:rsidRPr="00D04661" w:rsidRDefault="00CF59E1" w:rsidP="00CF59E1">
            <w:pPr>
              <w:spacing w:after="120"/>
              <w:rPr>
                <w:rFonts w:asciiTheme="minorHAnsi" w:hAnsiTheme="minorHAnsi" w:cs="Arial"/>
              </w:rPr>
            </w:pPr>
            <w:r w:rsidRPr="00D04661">
              <w:rPr>
                <w:rFonts w:asciiTheme="minorHAnsi" w:hAnsiTheme="minorHAnsi" w:cs="Arial"/>
              </w:rPr>
              <w:t>The borrower will avoid the manufacture, trade, and use of hazardous substances and materials …[C]onsistent with the objectives of the Basel Convention on the Control of Transboundary Movements of Hazardous Wastes. (</w:t>
            </w:r>
            <w:r w:rsidRPr="00D04661">
              <w:rPr>
                <w:rFonts w:asciiTheme="minorHAnsi" w:hAnsiTheme="minorHAnsi" w:cs="Arial"/>
                <w:b/>
                <w:bCs/>
              </w:rPr>
              <w:t>ADB, SPS, SR 1, para. 35</w:t>
            </w:r>
            <w:r w:rsidRPr="00D04661">
              <w:rPr>
                <w:rFonts w:asciiTheme="minorHAnsi" w:hAnsiTheme="minorHAnsi" w:cs="Arial"/>
              </w:rPr>
              <w:t>)</w:t>
            </w:r>
          </w:p>
          <w:p w14:paraId="4F08B83F" w14:textId="77777777" w:rsidR="00CF59E1" w:rsidRPr="00D04661" w:rsidRDefault="00CF59E1" w:rsidP="00CF59E1">
            <w:pPr>
              <w:spacing w:after="120"/>
              <w:rPr>
                <w:rFonts w:asciiTheme="minorHAnsi" w:hAnsiTheme="minorHAnsi" w:cs="Arial"/>
              </w:rPr>
            </w:pPr>
            <w:r w:rsidRPr="00D04661">
              <w:rPr>
                <w:rFonts w:asciiTheme="minorHAnsi" w:hAnsiTheme="minorHAnsi" w:cs="Arial"/>
              </w:rPr>
              <w:t>Consistent with the objectives of the Stockholm Convention on Persistent Organic Pollutants and the Montreal Protocol on Substances that Deplete the Ozone Layer. (</w:t>
            </w:r>
            <w:r w:rsidRPr="00D04661">
              <w:rPr>
                <w:rFonts w:asciiTheme="minorHAnsi" w:hAnsiTheme="minorHAnsi" w:cs="Arial"/>
                <w:b/>
                <w:bCs/>
              </w:rPr>
              <w:t>ADB, SPS, SR 1, para. 36</w:t>
            </w:r>
            <w:r w:rsidRPr="00D04661">
              <w:rPr>
                <w:rFonts w:asciiTheme="minorHAnsi" w:hAnsiTheme="minorHAnsi" w:cs="Arial"/>
              </w:rPr>
              <w:t>).</w:t>
            </w:r>
          </w:p>
          <w:p w14:paraId="1C91243A"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 xml:space="preserve">This OS reflects the objectives of the </w:t>
            </w:r>
            <w:r w:rsidRPr="00D04661">
              <w:rPr>
                <w:rFonts w:asciiTheme="minorHAnsi" w:hAnsiTheme="minorHAnsi" w:cs="Calibri"/>
                <w:i/>
              </w:rPr>
              <w:t xml:space="preserve">Convention on Biological Diversity </w:t>
            </w:r>
            <w:r w:rsidRPr="00D04661">
              <w:rPr>
                <w:rFonts w:asciiTheme="minorHAnsi" w:hAnsiTheme="minorHAnsi" w:cs="Calibri"/>
              </w:rPr>
              <w:t xml:space="preserve">[CBD] to conserve biological diversity and promote the sustainable management and use of natural resources. This OS also aligns with the </w:t>
            </w:r>
            <w:r w:rsidRPr="00D04661">
              <w:rPr>
                <w:rFonts w:asciiTheme="minorHAnsi" w:hAnsiTheme="minorHAnsi" w:cs="Calibri"/>
                <w:i/>
              </w:rPr>
              <w:t>Ramsar</w:t>
            </w:r>
            <w:r w:rsidRPr="00D04661">
              <w:rPr>
                <w:rFonts w:asciiTheme="minorHAnsi" w:hAnsiTheme="minorHAnsi" w:cs="Calibri"/>
              </w:rPr>
              <w:t xml:space="preserve"> Convention on Wetlands, the [</w:t>
            </w:r>
            <w:r w:rsidRPr="00D04661">
              <w:rPr>
                <w:rFonts w:asciiTheme="minorHAnsi" w:hAnsiTheme="minorHAnsi" w:cs="Calibri"/>
                <w:i/>
              </w:rPr>
              <w:t>Bonn</w:t>
            </w:r>
            <w:r w:rsidRPr="00D04661">
              <w:rPr>
                <w:rFonts w:asciiTheme="minorHAnsi" w:hAnsiTheme="minorHAnsi" w:cs="Calibri"/>
              </w:rPr>
              <w:t>] Convention on the Conservation of Migratory Species of Wild Animals, the Convention on International Trade in Endangered Species of Wild Flora and Fauna [</w:t>
            </w:r>
            <w:r w:rsidRPr="00D04661">
              <w:rPr>
                <w:rFonts w:asciiTheme="minorHAnsi" w:hAnsiTheme="minorHAnsi" w:cs="Calibri"/>
                <w:i/>
              </w:rPr>
              <w:t>CITES</w:t>
            </w:r>
            <w:r w:rsidRPr="00D04661">
              <w:rPr>
                <w:rFonts w:asciiTheme="minorHAnsi" w:hAnsiTheme="minorHAnsi" w:cs="Calibri"/>
              </w:rPr>
              <w:t xml:space="preserve">} the </w:t>
            </w:r>
            <w:r w:rsidRPr="00D04661">
              <w:rPr>
                <w:rFonts w:asciiTheme="minorHAnsi" w:hAnsiTheme="minorHAnsi" w:cs="Calibri"/>
                <w:i/>
              </w:rPr>
              <w:t>World Heritage Convention</w:t>
            </w:r>
            <w:r w:rsidRPr="00D04661">
              <w:rPr>
                <w:rFonts w:asciiTheme="minorHAnsi" w:hAnsiTheme="minorHAnsi" w:cs="Calibri"/>
              </w:rPr>
              <w:t xml:space="preserve">, </w:t>
            </w:r>
            <w:r w:rsidRPr="00D04661">
              <w:rPr>
                <w:rFonts w:asciiTheme="minorHAnsi" w:hAnsiTheme="minorHAnsi" w:cs="Calibri"/>
                <w:i/>
              </w:rPr>
              <w:t>the UN Convention to Combat Desertification</w:t>
            </w:r>
            <w:r w:rsidRPr="00D04661">
              <w:rPr>
                <w:rFonts w:asciiTheme="minorHAnsi" w:hAnsiTheme="minorHAnsi" w:cs="Calibri"/>
              </w:rPr>
              <w:t xml:space="preserve"> and the </w:t>
            </w:r>
            <w:r w:rsidRPr="00D04661">
              <w:rPr>
                <w:rFonts w:asciiTheme="minorHAnsi" w:hAnsiTheme="minorHAnsi" w:cs="Calibri"/>
                <w:i/>
              </w:rPr>
              <w:t>Millennium Ecosystem Assessment</w:t>
            </w:r>
            <w:r w:rsidRPr="00D04661">
              <w:rPr>
                <w:rFonts w:asciiTheme="minorHAnsi" w:hAnsiTheme="minorHAnsi" w:cs="Calibri"/>
              </w:rPr>
              <w:t>.</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AfDB OS 3, para. 3</w:t>
            </w:r>
            <w:r w:rsidRPr="00D04661">
              <w:rPr>
                <w:rFonts w:asciiTheme="minorHAnsi" w:hAnsiTheme="minorHAnsi" w:cs="Calibri"/>
              </w:rPr>
              <w:t>) (</w:t>
            </w:r>
            <w:r w:rsidRPr="00D04661">
              <w:rPr>
                <w:rFonts w:asciiTheme="minorHAnsi" w:hAnsiTheme="minorHAnsi" w:cs="Calibri"/>
                <w:i/>
              </w:rPr>
              <w:t>emphasis added</w:t>
            </w:r>
            <w:r w:rsidRPr="00D04661">
              <w:rPr>
                <w:rFonts w:asciiTheme="minorHAnsi" w:hAnsiTheme="minorHAnsi" w:cs="Calibri"/>
              </w:rPr>
              <w:t>)</w:t>
            </w:r>
          </w:p>
          <w:p w14:paraId="072788A9" w14:textId="77777777" w:rsidR="00CF59E1" w:rsidRPr="00D04661" w:rsidRDefault="00CF59E1" w:rsidP="00CF59E1">
            <w:pPr>
              <w:spacing w:after="120"/>
              <w:rPr>
                <w:rFonts w:asciiTheme="minorHAnsi" w:hAnsiTheme="minorHAnsi" w:cs="Times New Roman"/>
                <w:bCs/>
              </w:rPr>
            </w:pPr>
            <w:r>
              <w:rPr>
                <w:rFonts w:asciiTheme="minorHAnsi" w:hAnsiTheme="minorHAnsi" w:cs="Calibri"/>
              </w:rPr>
              <w:t>“</w:t>
            </w:r>
            <w:r w:rsidRPr="00D04661">
              <w:rPr>
                <w:rFonts w:asciiTheme="minorHAnsi" w:hAnsiTheme="minorHAnsi" w:cs="Calibri"/>
              </w:rPr>
              <w:t xml:space="preserve">Its recommendations also align with the </w:t>
            </w:r>
            <w:r w:rsidRPr="00D04661">
              <w:rPr>
                <w:rFonts w:asciiTheme="minorHAnsi" w:hAnsiTheme="minorHAnsi" w:cs="Calibri"/>
                <w:i/>
              </w:rPr>
              <w:t>International Plant Protection Convention</w:t>
            </w:r>
            <w:r w:rsidRPr="00D04661">
              <w:rPr>
                <w:rFonts w:asciiTheme="minorHAnsi" w:hAnsiTheme="minorHAnsi" w:cs="Calibri"/>
              </w:rPr>
              <w:t xml:space="preserve"> (IPPC) that covers the movement of invasive alien species, pests and pest risk analysis for quarantine pests, including analysis of environmental risks and living modified organisms.</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AfDB, OS 3, para. 2</w:t>
            </w:r>
            <w:r w:rsidRPr="00D04661">
              <w:rPr>
                <w:rFonts w:asciiTheme="minorHAnsi" w:hAnsiTheme="minorHAnsi" w:cs="Calibri"/>
              </w:rPr>
              <w:t>) (</w:t>
            </w:r>
            <w:r w:rsidRPr="00D04661">
              <w:rPr>
                <w:rFonts w:asciiTheme="minorHAnsi" w:hAnsiTheme="minorHAnsi" w:cs="Calibri"/>
                <w:i/>
              </w:rPr>
              <w:t>emphasis added</w:t>
            </w:r>
            <w:r w:rsidRPr="00D04661">
              <w:rPr>
                <w:rFonts w:asciiTheme="minorHAnsi" w:hAnsiTheme="minorHAnsi" w:cs="Calibri"/>
              </w:rPr>
              <w:t>)</w:t>
            </w:r>
            <w:r w:rsidRPr="00D04661" w:rsidDel="00816EB2">
              <w:rPr>
                <w:rFonts w:asciiTheme="minorHAnsi" w:hAnsiTheme="minorHAnsi" w:cs="Calibri"/>
              </w:rPr>
              <w:t xml:space="preserve"> </w:t>
            </w:r>
            <w:r w:rsidRPr="00D04661">
              <w:rPr>
                <w:rFonts w:asciiTheme="minorHAnsi" w:hAnsiTheme="minorHAnsi" w:cs="Times New Roman"/>
                <w:bCs/>
              </w:rPr>
              <w:t xml:space="preserve">Annex 1 of IDB Guidelines to OP-703 lists the following MEAs Related to Biological Diversity and Natural Habitats: </w:t>
            </w:r>
            <w:r>
              <w:rPr>
                <w:rFonts w:asciiTheme="minorHAnsi" w:hAnsiTheme="minorHAnsi" w:cs="Times New Roman"/>
                <w:bCs/>
              </w:rPr>
              <w:t>“</w:t>
            </w:r>
            <w:r w:rsidRPr="00D04661">
              <w:rPr>
                <w:rFonts w:asciiTheme="minorHAnsi" w:hAnsiTheme="minorHAnsi" w:cs="Times New Roman"/>
                <w:bCs/>
              </w:rPr>
              <w:t xml:space="preserve">[CBD].…[ CITES]… [Bonn} and </w:t>
            </w:r>
            <w:r w:rsidRPr="00D04661">
              <w:rPr>
                <w:rFonts w:asciiTheme="minorHAnsi" w:hAnsiTheme="minorHAnsi" w:cs="Times New Roman"/>
                <w:bCs/>
                <w:i/>
              </w:rPr>
              <w:t>Ramsar</w:t>
            </w:r>
            <w:r w:rsidRPr="00D04661">
              <w:rPr>
                <w:rFonts w:asciiTheme="minorHAnsi" w:hAnsiTheme="minorHAnsi" w:cs="Times New Roman"/>
                <w:bCs/>
              </w:rPr>
              <w:t xml:space="preserve"> Conventions.</w:t>
            </w:r>
            <w:r>
              <w:rPr>
                <w:rFonts w:asciiTheme="minorHAnsi" w:hAnsiTheme="minorHAnsi" w:cs="Times New Roman"/>
                <w:bCs/>
              </w:rPr>
              <w:t>”</w:t>
            </w:r>
            <w:r w:rsidRPr="00D04661">
              <w:rPr>
                <w:rFonts w:asciiTheme="minorHAnsi" w:hAnsiTheme="minorHAnsi" w:cs="Times New Roman"/>
                <w:bCs/>
              </w:rPr>
              <w:t xml:space="preserve"> (</w:t>
            </w:r>
            <w:r w:rsidRPr="00D04661">
              <w:rPr>
                <w:rFonts w:asciiTheme="minorHAnsi" w:hAnsiTheme="minorHAnsi" w:cs="Times New Roman"/>
                <w:b/>
                <w:bCs/>
              </w:rPr>
              <w:t>IDB, IG-ECSP)</w:t>
            </w:r>
            <w:r w:rsidRPr="00D04661">
              <w:rPr>
                <w:rFonts w:asciiTheme="minorHAnsi" w:hAnsiTheme="minorHAnsi" w:cs="Times New Roman"/>
                <w:bCs/>
              </w:rPr>
              <w:t xml:space="preserve"> </w:t>
            </w:r>
          </w:p>
          <w:p w14:paraId="12B268BB" w14:textId="77777777" w:rsidR="00CF59E1" w:rsidRPr="00D04661" w:rsidRDefault="00CF59E1" w:rsidP="00CF59E1">
            <w:pPr>
              <w:spacing w:after="120"/>
              <w:rPr>
                <w:rFonts w:asciiTheme="minorHAnsi" w:hAnsiTheme="minorHAnsi" w:cs="Times New Roman"/>
                <w:bCs/>
              </w:rPr>
            </w:pPr>
            <w:r>
              <w:rPr>
                <w:rFonts w:asciiTheme="minorHAnsi" w:hAnsiTheme="minorHAnsi" w:cs="Calibri"/>
              </w:rPr>
              <w:t>“</w:t>
            </w:r>
            <w:r w:rsidRPr="00D04661">
              <w:rPr>
                <w:rFonts w:asciiTheme="minorHAnsi" w:hAnsiTheme="minorHAnsi" w:cs="Calibri"/>
              </w:rPr>
              <w:t xml:space="preserve">If the project activity is inconsistent with international or national conventions, policies and/or laws, and the residual impacts on critical habitats/ecosystems are significant, the Team </w:t>
            </w:r>
            <w:r w:rsidRPr="00D04661">
              <w:rPr>
                <w:rFonts w:asciiTheme="minorHAnsi" w:hAnsiTheme="minorHAnsi" w:cs="Calibri"/>
                <w:i/>
              </w:rPr>
              <w:t>should consider not pursuing the project in its current design.</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EIB, Handbook, Vol. II, ESPP, para. 70</w:t>
            </w:r>
            <w:r w:rsidRPr="00D04661">
              <w:rPr>
                <w:rFonts w:asciiTheme="minorHAnsi" w:hAnsiTheme="minorHAnsi" w:cs="Calibri"/>
              </w:rPr>
              <w:t>) (</w:t>
            </w:r>
            <w:r w:rsidRPr="00D04661">
              <w:rPr>
                <w:rFonts w:asciiTheme="minorHAnsi" w:hAnsiTheme="minorHAnsi" w:cs="Calibri"/>
                <w:i/>
              </w:rPr>
              <w:t>emphasis added</w:t>
            </w:r>
            <w:r w:rsidRPr="00D04661">
              <w:rPr>
                <w:rFonts w:asciiTheme="minorHAnsi" w:hAnsiTheme="minorHAnsi" w:cs="Calibri"/>
              </w:rPr>
              <w:t>)</w:t>
            </w:r>
          </w:p>
          <w:p w14:paraId="61687D49" w14:textId="77777777" w:rsidR="00CF59E1" w:rsidRPr="00D04661" w:rsidRDefault="00CF59E1" w:rsidP="00CF59E1">
            <w:pPr>
              <w:pStyle w:val="Default"/>
              <w:spacing w:after="120"/>
              <w:rPr>
                <w:rFonts w:asciiTheme="minorHAnsi" w:hAnsiTheme="minorHAnsi" w:cs="Calibri"/>
                <w:sz w:val="22"/>
                <w:szCs w:val="22"/>
              </w:rPr>
            </w:pPr>
            <w:r>
              <w:rPr>
                <w:rFonts w:asciiTheme="minorHAnsi" w:hAnsiTheme="minorHAnsi" w:cs="Times New Roman"/>
                <w:sz w:val="22"/>
                <w:szCs w:val="22"/>
              </w:rPr>
              <w:t>“</w:t>
            </w:r>
            <w:r w:rsidRPr="00D04661">
              <w:rPr>
                <w:rFonts w:asciiTheme="minorHAnsi" w:hAnsiTheme="minorHAnsi" w:cs="Times New Roman"/>
                <w:sz w:val="22"/>
                <w:szCs w:val="22"/>
              </w:rPr>
              <w:t>The Bank’s approach to genetically engineered organisms will be demand-driven and consistent with the laws and policies of regional member countries and sub-regional entities. Where the relevant provisions regarding risk-related assessments do not exist, the Bank will be guided by the Cartagena Protocol on Biosafety.</w:t>
            </w:r>
            <w:r>
              <w:rPr>
                <w:rFonts w:asciiTheme="minorHAnsi" w:hAnsiTheme="minorHAnsi" w:cs="Times New Roman"/>
                <w:sz w:val="22"/>
                <w:szCs w:val="22"/>
              </w:rPr>
              <w:t>”</w:t>
            </w:r>
            <w:r w:rsidRPr="00D04661">
              <w:rPr>
                <w:rFonts w:asciiTheme="minorHAnsi" w:hAnsiTheme="minorHAnsi" w:cs="Times New Roman"/>
                <w:sz w:val="22"/>
                <w:szCs w:val="22"/>
              </w:rPr>
              <w:t xml:space="preserve"> (</w:t>
            </w:r>
            <w:r w:rsidRPr="00D04661">
              <w:rPr>
                <w:rFonts w:asciiTheme="minorHAnsi" w:hAnsiTheme="minorHAnsi" w:cs="Times New Roman"/>
                <w:b/>
                <w:sz w:val="22"/>
                <w:szCs w:val="22"/>
              </w:rPr>
              <w:t>AfDB, OS 3, para. 25</w:t>
            </w:r>
            <w:r w:rsidRPr="00D04661">
              <w:rPr>
                <w:rFonts w:asciiTheme="minorHAnsi" w:hAnsiTheme="minorHAnsi" w:cs="Times New Roman"/>
                <w:sz w:val="22"/>
                <w:szCs w:val="22"/>
              </w:rPr>
              <w:t>)</w:t>
            </w:r>
          </w:p>
        </w:tc>
      </w:tr>
      <w:tr w:rsidR="00CF59E1" w:rsidRPr="00D8522E" w14:paraId="4CFDF355" w14:textId="77777777" w:rsidTr="00CF59E1">
        <w:tc>
          <w:tcPr>
            <w:tcW w:w="6390" w:type="dxa"/>
            <w:shd w:val="clear" w:color="auto" w:fill="auto"/>
            <w:vAlign w:val="center"/>
          </w:tcPr>
          <w:p w14:paraId="61A2ED54" w14:textId="77777777" w:rsidR="00CF59E1" w:rsidRPr="00D04661" w:rsidRDefault="00CF59E1" w:rsidP="00CF59E1">
            <w:pPr>
              <w:spacing w:after="120"/>
              <w:rPr>
                <w:rFonts w:asciiTheme="minorHAnsi" w:hAnsiTheme="minorHAnsi" w:cs="Calibri"/>
                <w:b/>
              </w:rPr>
            </w:pPr>
            <w:r w:rsidRPr="00D04661">
              <w:rPr>
                <w:rFonts w:asciiTheme="minorHAnsi" w:hAnsiTheme="minorHAnsi" w:cs="Calibri"/>
                <w:b/>
              </w:rPr>
              <w:t>CATEGORIZATION OF HABITATS</w:t>
            </w:r>
          </w:p>
          <w:p w14:paraId="42778F80" w14:textId="77777777" w:rsidR="00CF59E1" w:rsidRPr="00D04661" w:rsidRDefault="00CF59E1" w:rsidP="00CF59E1">
            <w:pPr>
              <w:pStyle w:val="NormalWeb"/>
              <w:spacing w:before="0" w:beforeAutospacing="0" w:after="120" w:afterAutospacing="0"/>
              <w:rPr>
                <w:rFonts w:asciiTheme="minorHAnsi" w:hAnsiTheme="minorHAnsi" w:cs="Arial"/>
                <w:color w:val="000000"/>
                <w:sz w:val="22"/>
                <w:szCs w:val="22"/>
              </w:rPr>
            </w:pPr>
            <w:r w:rsidRPr="00D04661">
              <w:rPr>
                <w:rFonts w:asciiTheme="minorHAnsi" w:hAnsiTheme="minorHAnsi" w:cs="Arial"/>
                <w:b/>
                <w:sz w:val="22"/>
                <w:szCs w:val="22"/>
              </w:rPr>
              <w:t xml:space="preserve">OP 4.04 </w:t>
            </w:r>
            <w:r>
              <w:rPr>
                <w:rFonts w:asciiTheme="minorHAnsi" w:hAnsiTheme="minorHAnsi" w:cs="Arial"/>
                <w:b/>
                <w:sz w:val="22"/>
                <w:szCs w:val="22"/>
              </w:rPr>
              <w:t xml:space="preserve">para. </w:t>
            </w:r>
            <w:r w:rsidRPr="00D04661">
              <w:rPr>
                <w:rFonts w:asciiTheme="minorHAnsi" w:hAnsiTheme="minorHAnsi" w:cs="Arial"/>
                <w:b/>
                <w:sz w:val="22"/>
                <w:szCs w:val="22"/>
              </w:rPr>
              <w:t>4</w:t>
            </w:r>
            <w:r w:rsidRPr="00D04661">
              <w:rPr>
                <w:rFonts w:asciiTheme="minorHAnsi" w:hAnsiTheme="minorHAnsi" w:cs="Arial"/>
                <w:sz w:val="22"/>
                <w:szCs w:val="22"/>
              </w:rPr>
              <w:t xml:space="preserve">: </w:t>
            </w:r>
            <w:r w:rsidRPr="00D04661">
              <w:rPr>
                <w:rFonts w:asciiTheme="minorHAnsi" w:hAnsiTheme="minorHAnsi" w:cs="Arial"/>
                <w:color w:val="000000"/>
                <w:sz w:val="22"/>
                <w:szCs w:val="22"/>
              </w:rPr>
              <w:t>The Bank does not support projects that, in the Bank's opinion, involve the significant conversion or degradation</w:t>
            </w:r>
            <w:hyperlink r:id="rId41" w:anchor="f1" w:history="1">
              <w:r w:rsidRPr="00D04661">
                <w:rPr>
                  <w:rFonts w:asciiTheme="minorHAnsi" w:hAnsiTheme="minorHAnsi" w:cs="Arial"/>
                  <w:color w:val="000099"/>
                  <w:sz w:val="22"/>
                  <w:szCs w:val="22"/>
                  <w:u w:val="single"/>
                  <w:vertAlign w:val="superscript"/>
                </w:rPr>
                <w:t>3</w:t>
              </w:r>
            </w:hyperlink>
            <w:r w:rsidRPr="00D04661">
              <w:rPr>
                <w:rFonts w:asciiTheme="minorHAnsi" w:hAnsiTheme="minorHAnsi" w:cs="Arial"/>
                <w:color w:val="000000"/>
                <w:sz w:val="22"/>
                <w:szCs w:val="22"/>
              </w:rPr>
              <w:t xml:space="preserve"> of critical natural habitats.</w:t>
            </w:r>
          </w:p>
          <w:p w14:paraId="7FC8FA96" w14:textId="77777777" w:rsidR="00CF59E1" w:rsidRDefault="00CF59E1" w:rsidP="00CF59E1">
            <w:pPr>
              <w:pStyle w:val="NormalWeb"/>
              <w:spacing w:before="0" w:beforeAutospacing="0" w:after="120" w:afterAutospacing="0"/>
              <w:rPr>
                <w:rFonts w:asciiTheme="minorHAnsi" w:hAnsiTheme="minorHAnsi" w:cs="Arial"/>
                <w:color w:val="000000"/>
                <w:sz w:val="22"/>
                <w:szCs w:val="22"/>
              </w:rPr>
            </w:pPr>
            <w:r w:rsidRPr="00D04661">
              <w:rPr>
                <w:rFonts w:asciiTheme="minorHAnsi" w:hAnsiTheme="minorHAnsi" w:cs="Arial"/>
                <w:b/>
                <w:sz w:val="22"/>
                <w:szCs w:val="22"/>
              </w:rPr>
              <w:t xml:space="preserve">OP 4.04 </w:t>
            </w:r>
            <w:r>
              <w:rPr>
                <w:rFonts w:asciiTheme="minorHAnsi" w:hAnsiTheme="minorHAnsi" w:cs="Arial"/>
                <w:b/>
                <w:sz w:val="22"/>
                <w:szCs w:val="22"/>
              </w:rPr>
              <w:t xml:space="preserve">para. </w:t>
            </w:r>
            <w:r w:rsidRPr="00D04661">
              <w:rPr>
                <w:rFonts w:asciiTheme="minorHAnsi" w:hAnsiTheme="minorHAnsi" w:cs="Arial"/>
                <w:b/>
                <w:sz w:val="22"/>
                <w:szCs w:val="22"/>
              </w:rPr>
              <w:t>5</w:t>
            </w:r>
            <w:r w:rsidRPr="00D04661">
              <w:rPr>
                <w:rFonts w:asciiTheme="minorHAnsi" w:hAnsiTheme="minorHAnsi" w:cs="Arial"/>
                <w:sz w:val="22"/>
                <w:szCs w:val="22"/>
              </w:rPr>
              <w:t xml:space="preserve">: </w:t>
            </w:r>
            <w:r w:rsidRPr="00D04661">
              <w:rPr>
                <w:rFonts w:asciiTheme="minorHAnsi" w:hAnsiTheme="minorHAnsi" w:cs="Arial"/>
                <w:color w:val="000000"/>
                <w:sz w:val="22"/>
                <w:szCs w:val="22"/>
              </w:rPr>
              <w:t>Wherever feasible, Bank-financed projects are sited on lands already converted (excluding any lands that in the Bank's opinion were converted in anticipation of the project). The Bank does not support projects involving the significant conversion of natural habitats unless there are no feasible alternatives for the project and its siting, and comprehensive analysis demonstrates that overall benefits from the project substantially outweigh the environmental costs. If the environmental assessment</w:t>
            </w:r>
            <w:hyperlink r:id="rId42" w:anchor="f1" w:history="1">
              <w:r w:rsidRPr="00D04661">
                <w:rPr>
                  <w:rFonts w:asciiTheme="minorHAnsi" w:hAnsiTheme="minorHAnsi" w:cs="Arial"/>
                  <w:color w:val="000099"/>
                  <w:sz w:val="22"/>
                  <w:szCs w:val="22"/>
                  <w:u w:val="single"/>
                  <w:vertAlign w:val="superscript"/>
                </w:rPr>
                <w:t>4</w:t>
              </w:r>
            </w:hyperlink>
            <w:r w:rsidRPr="00D04661">
              <w:rPr>
                <w:rFonts w:asciiTheme="minorHAnsi" w:hAnsiTheme="minorHAnsi" w:cs="Arial"/>
                <w:color w:val="000000"/>
                <w:sz w:val="22"/>
                <w:szCs w:val="22"/>
              </w:rPr>
              <w:t xml:space="preserve"> indicates that a project would significantly convert or degrade natural habitats, the project includes mitigation measures acceptable to the Bank. Such mitigation measures include, as appropriate, minimizing habitat loss (e.g., strategic habitat retention and post-development restoration) and establishing and maintaining an ecologically similar protected area. The Bank accepts other forms of mitigation measures only when they are technically justified.</w:t>
            </w:r>
          </w:p>
          <w:p w14:paraId="5C424B92" w14:textId="77777777" w:rsidR="00CF59E1" w:rsidRPr="00D04661" w:rsidRDefault="00CF59E1" w:rsidP="00CF59E1">
            <w:pPr>
              <w:pStyle w:val="NormalWeb"/>
              <w:spacing w:before="0" w:beforeAutospacing="0" w:after="120" w:afterAutospacing="0"/>
              <w:rPr>
                <w:rFonts w:asciiTheme="minorHAnsi" w:hAnsiTheme="minorHAnsi" w:cs="Arial"/>
                <w:sz w:val="22"/>
                <w:szCs w:val="22"/>
              </w:rPr>
            </w:pPr>
            <w:r w:rsidRPr="00D04661">
              <w:rPr>
                <w:rFonts w:asciiTheme="minorHAnsi" w:hAnsiTheme="minorHAnsi" w:cs="Arial"/>
                <w:b/>
                <w:sz w:val="22"/>
                <w:szCs w:val="22"/>
              </w:rPr>
              <w:t>OP 4.04 Annex A, 1.a:</w:t>
            </w:r>
            <w:r w:rsidRPr="00D04661">
              <w:rPr>
                <w:rFonts w:asciiTheme="minorHAnsi" w:hAnsiTheme="minorHAnsi" w:cs="Arial"/>
                <w:sz w:val="22"/>
                <w:szCs w:val="22"/>
              </w:rPr>
              <w:t xml:space="preserve"> </w:t>
            </w:r>
            <w:r>
              <w:rPr>
                <w:rFonts w:asciiTheme="minorHAnsi" w:hAnsiTheme="minorHAnsi" w:cs="Arial"/>
                <w:sz w:val="22"/>
                <w:szCs w:val="22"/>
              </w:rPr>
              <w:t>“</w:t>
            </w:r>
            <w:r w:rsidRPr="00D04661">
              <w:rPr>
                <w:rFonts w:asciiTheme="minorHAnsi" w:hAnsiTheme="minorHAnsi" w:cs="Arial"/>
                <w:sz w:val="22"/>
                <w:szCs w:val="22"/>
              </w:rPr>
              <w:t>Natural habitats are land and water areas where (i) the ecosystems’ bio-logical communities are formed largely by native plant and animal species, and (ii) human activity has not essentially modified the area’s primary ecological functions. All natural habitats have important biological, social, economic, and existence value. Important natural habitats may occur in tropical humid, dry, and cloud forests; temperate and boreal forests; Mediterranean-type shrub lands; natural arid and semi-arid lands; mangrove swamps, coastal marshes, and other wetlands; estuaries; sea grass beds; coral reefs; freshwater lakes and rivers; alpine and sub alpine environments, including herb fields, grasslands, and paramos; and tropical and temperate grasslands.</w:t>
            </w:r>
            <w:r>
              <w:rPr>
                <w:rFonts w:asciiTheme="minorHAnsi" w:hAnsiTheme="minorHAnsi" w:cs="Arial"/>
                <w:sz w:val="22"/>
                <w:szCs w:val="22"/>
              </w:rPr>
              <w:t>”</w:t>
            </w:r>
          </w:p>
          <w:p w14:paraId="7659FC46" w14:textId="77777777" w:rsidR="00CF59E1" w:rsidRPr="00D04661" w:rsidRDefault="00CF59E1" w:rsidP="00CF59E1">
            <w:pPr>
              <w:pStyle w:val="NormalWeb"/>
              <w:spacing w:before="0" w:beforeAutospacing="0" w:after="120" w:afterAutospacing="0"/>
              <w:rPr>
                <w:rFonts w:asciiTheme="minorHAnsi" w:hAnsiTheme="minorHAnsi" w:cs="Arial"/>
                <w:sz w:val="22"/>
                <w:szCs w:val="22"/>
              </w:rPr>
            </w:pPr>
            <w:r w:rsidRPr="00D04661">
              <w:rPr>
                <w:rFonts w:asciiTheme="minorHAnsi" w:hAnsiTheme="minorHAnsi" w:cs="Arial"/>
                <w:b/>
                <w:sz w:val="22"/>
                <w:szCs w:val="22"/>
              </w:rPr>
              <w:t>OP, Annex A 1.b</w:t>
            </w:r>
            <w:r w:rsidRPr="00D04661">
              <w:rPr>
                <w:rFonts w:asciiTheme="minorHAnsi" w:hAnsiTheme="minorHAnsi" w:cs="Arial"/>
                <w:sz w:val="22"/>
                <w:szCs w:val="22"/>
              </w:rPr>
              <w:t xml:space="preserve">: </w:t>
            </w:r>
            <w:r>
              <w:rPr>
                <w:rFonts w:asciiTheme="minorHAnsi" w:hAnsiTheme="minorHAnsi" w:cs="Arial"/>
                <w:sz w:val="22"/>
                <w:szCs w:val="22"/>
              </w:rPr>
              <w:t>“</w:t>
            </w:r>
            <w:r w:rsidRPr="00D04661">
              <w:rPr>
                <w:rFonts w:asciiTheme="minorHAnsi" w:hAnsiTheme="minorHAnsi" w:cs="Arial"/>
                <w:sz w:val="22"/>
                <w:szCs w:val="22"/>
              </w:rPr>
              <w:t>Critical natural habitats are: (i) existing protected areas and areas officially proposed by governments as protected areas (e.g., reserves that meet the criteria of the World Conservation Union [IUCN] classifications), areas initially recognized as protected by traditional local communities (e.g., sacred groves), and sites that maintain conditions vital for the viability of these protected areas (as determined by the environ-mental assessment process); or (ii) sites identified on supplementary lists prepared by the Bank or an authoritative source determined by the Regional environment sector unit (RESU). Such sites may include areas recognized by traditional local communities (e.g., sacred groves); areas with known high suitability for bio-diversity conservation; and sites that are critical for rare, vulnerable, migratory, or endangered species. Listings are based on systematic evaluations of such factors as species richness; the degree of endemism, rarity, and vulnerability of component species; representativeness; and integrity of ecosystem processes.</w:t>
            </w:r>
            <w:r>
              <w:rPr>
                <w:rFonts w:asciiTheme="minorHAnsi" w:hAnsiTheme="minorHAnsi" w:cs="Arial"/>
                <w:sz w:val="22"/>
                <w:szCs w:val="22"/>
              </w:rPr>
              <w:t>”</w:t>
            </w:r>
          </w:p>
          <w:p w14:paraId="752FFA45" w14:textId="77777777" w:rsidR="00CF59E1" w:rsidRPr="00D04661" w:rsidRDefault="00CF59E1" w:rsidP="00CF59E1">
            <w:pPr>
              <w:spacing w:after="120"/>
              <w:rPr>
                <w:rFonts w:asciiTheme="minorHAnsi" w:hAnsiTheme="minorHAnsi" w:cs="Calibri"/>
              </w:rPr>
            </w:pPr>
          </w:p>
        </w:tc>
        <w:tc>
          <w:tcPr>
            <w:tcW w:w="7200" w:type="dxa"/>
            <w:shd w:val="clear" w:color="auto" w:fill="auto"/>
          </w:tcPr>
          <w:p w14:paraId="4CA1182F" w14:textId="77777777" w:rsidR="00CF59E1" w:rsidRPr="00D04661" w:rsidRDefault="00CF59E1" w:rsidP="00CF59E1">
            <w:pPr>
              <w:autoSpaceDE/>
              <w:autoSpaceDN/>
              <w:adjustRightInd/>
              <w:spacing w:after="120"/>
              <w:ind w:left="72" w:hanging="72"/>
              <w:rPr>
                <w:rFonts w:asciiTheme="minorHAnsi" w:hAnsiTheme="minorHAnsi" w:cs="Times New Roman"/>
              </w:rPr>
            </w:pPr>
            <w:r>
              <w:rPr>
                <w:rFonts w:asciiTheme="minorHAnsi" w:hAnsiTheme="minorHAnsi" w:cs="Times New Roman"/>
              </w:rPr>
              <w:t>“</w:t>
            </w:r>
            <w:r w:rsidRPr="00D04661">
              <w:rPr>
                <w:rFonts w:asciiTheme="minorHAnsi" w:hAnsiTheme="minorHAnsi" w:cs="Times New Roman"/>
              </w:rPr>
              <w:t xml:space="preserve">[T]he Bank will not support operations involving the significant conversion or degradation of natural habitats as defined in this policy, unless: (i) there are </w:t>
            </w:r>
            <w:r w:rsidRPr="00D04661">
              <w:rPr>
                <w:rFonts w:asciiTheme="minorHAnsi" w:hAnsiTheme="minorHAnsi" w:cs="Times New Roman"/>
                <w:i/>
              </w:rPr>
              <w:t>no feasible alternatives acceptable to the Bank</w:t>
            </w:r>
            <w:r w:rsidRPr="00D04661">
              <w:rPr>
                <w:rFonts w:asciiTheme="minorHAnsi" w:hAnsiTheme="minorHAnsi" w:cs="Times New Roman"/>
              </w:rPr>
              <w:t xml:space="preserve">; (ii) comprehensive analysis demonstrates that overall benefits from the operation substantially outweigh the environmental costs and; (iii) mitigation and compensation measures acceptable to the Bank—including, as appropriate, minimizing habitat loss </w:t>
            </w:r>
            <w:r w:rsidRPr="00D04661">
              <w:rPr>
                <w:rFonts w:asciiTheme="minorHAnsi" w:hAnsiTheme="minorHAnsi" w:cs="Times New Roman"/>
                <w:i/>
              </w:rPr>
              <w:t>and establishing and maintaining an ecologically similar protected area that is adequately funded, implemented and monitored.</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IDB, ECSP, para. 4.23</w:t>
            </w:r>
            <w:r w:rsidRPr="00D04661">
              <w:rPr>
                <w:rFonts w:asciiTheme="minorHAnsi" w:hAnsiTheme="minorHAnsi" w:cs="Times New Roman"/>
              </w:rPr>
              <w:t>)</w:t>
            </w:r>
          </w:p>
          <w:p w14:paraId="5B29AB4C" w14:textId="77777777" w:rsidR="00CF59E1" w:rsidRPr="00D8522E" w:rsidRDefault="00CF59E1" w:rsidP="00CF59E1">
            <w:pPr>
              <w:spacing w:after="120"/>
              <w:rPr>
                <w:rFonts w:asciiTheme="minorHAnsi" w:hAnsiTheme="minorHAnsi" w:cs="Times New Roman"/>
              </w:rPr>
            </w:pPr>
            <w:r>
              <w:rPr>
                <w:rFonts w:asciiTheme="minorHAnsi" w:hAnsiTheme="minorHAnsi" w:cs="Times New Roman"/>
                <w:i/>
                <w:iCs/>
              </w:rPr>
              <w:t>“</w:t>
            </w:r>
            <w:r w:rsidRPr="00D8522E">
              <w:rPr>
                <w:rFonts w:asciiTheme="minorHAnsi" w:hAnsiTheme="minorHAnsi" w:cs="Times New Roman"/>
                <w:i/>
                <w:iCs/>
              </w:rPr>
              <w:t>Critical natural hab</w:t>
            </w:r>
            <w:r w:rsidRPr="00A56233">
              <w:rPr>
                <w:rFonts w:asciiTheme="minorHAnsi" w:hAnsiTheme="minorHAnsi" w:cs="Times New Roman"/>
                <w:i/>
                <w:iCs/>
              </w:rPr>
              <w:t xml:space="preserve">itats </w:t>
            </w:r>
            <w:r w:rsidRPr="00A56233">
              <w:rPr>
                <w:rFonts w:asciiTheme="minorHAnsi" w:hAnsiTheme="minorHAnsi" w:cs="Times New Roman"/>
              </w:rPr>
              <w:t>are (i) existing protected areas, areas officially proposed by governments for protection or sites that maintain conditions that are vital for the viability of the aforementioned areas; and (ii) unprotected areas of known high conservation value. Exi</w:t>
            </w:r>
            <w:r w:rsidRPr="00D8522E">
              <w:rPr>
                <w:rFonts w:asciiTheme="minorHAnsi" w:hAnsiTheme="minorHAnsi" w:cs="Times New Roman"/>
              </w:rPr>
              <w:t>sting protected areas may include reserves that meet the criteria of the IUCN Protected Area Management Categories I through VI; World Heritage Sites; areas protected under the RAMSAR Convention on Wetlands; core areas of World Biosphere Reserves; and areas in the UN List of National Parks and Protected Areas. Areas of known high conservation value are sites that, in the Bank’s opinion, may be: (i) highly suitable for biodiversity conservation; (ii) crucial for critically endangered, endangered, vulnerable or near threatened species listed as such in the IUCN Red List of Endangered Species; or (iii) critical for the viability of migratory routes of migratory species.</w:t>
            </w:r>
            <w:r>
              <w:rPr>
                <w:rFonts w:asciiTheme="minorHAnsi" w:hAnsiTheme="minorHAnsi" w:cs="Times New Roman"/>
              </w:rPr>
              <w:t>”</w:t>
            </w:r>
            <w:r w:rsidRPr="00D8522E">
              <w:rPr>
                <w:rFonts w:asciiTheme="minorHAnsi" w:hAnsiTheme="minorHAnsi" w:cs="Times New Roman"/>
              </w:rPr>
              <w:t xml:space="preserve"> (</w:t>
            </w:r>
            <w:r w:rsidRPr="00D8522E">
              <w:rPr>
                <w:rFonts w:asciiTheme="minorHAnsi" w:hAnsiTheme="minorHAnsi" w:cs="Times New Roman"/>
                <w:b/>
                <w:bCs/>
              </w:rPr>
              <w:t>IDB ESCP, Definitions</w:t>
            </w:r>
            <w:r w:rsidRPr="00D8522E">
              <w:rPr>
                <w:rFonts w:asciiTheme="minorHAnsi" w:hAnsiTheme="minorHAnsi" w:cs="Times New Roman"/>
              </w:rPr>
              <w:t>)</w:t>
            </w:r>
          </w:p>
          <w:p w14:paraId="689D75D9" w14:textId="77777777" w:rsidR="00CF59E1" w:rsidRPr="00D8522E" w:rsidRDefault="00CF59E1" w:rsidP="00CF59E1">
            <w:pPr>
              <w:autoSpaceDE/>
              <w:autoSpaceDN/>
              <w:adjustRightInd/>
              <w:spacing w:after="120"/>
              <w:rPr>
                <w:rFonts w:asciiTheme="minorHAnsi" w:hAnsiTheme="minorHAnsi" w:cs="Times New Roman"/>
              </w:rPr>
            </w:pPr>
            <w:r>
              <w:rPr>
                <w:rFonts w:asciiTheme="minorHAnsi" w:hAnsiTheme="minorHAnsi" w:cs="Times New Roman"/>
                <w:i/>
                <w:iCs/>
              </w:rPr>
              <w:t>“</w:t>
            </w:r>
            <w:r w:rsidRPr="00D8522E">
              <w:rPr>
                <w:rFonts w:asciiTheme="minorHAnsi" w:hAnsiTheme="minorHAnsi" w:cs="Times New Roman"/>
                <w:i/>
                <w:iCs/>
              </w:rPr>
              <w:t xml:space="preserve">Natural habitats </w:t>
            </w:r>
            <w:r w:rsidRPr="00D8522E">
              <w:rPr>
                <w:rFonts w:asciiTheme="minorHAnsi" w:hAnsiTheme="minorHAnsi" w:cs="Times New Roman"/>
              </w:rPr>
              <w:t xml:space="preserve">are biophysical environments where: (i) the ecosystems’ biological communities are formed largely by native plant and animal species; and (ii) human activity has not essentially modified the area’s primary ecological functions. Natural habitats may be sites that (i) provide critical ecological services required for sustainable human development (e.g., aquifer recharge areas, areas that sustain fisheries, mangrove or other ecosystems that help to prevent or mitigate natural hazards); (ii) are vital to ensure the functional integrity of ecosystems (e.g., biological corridors, natural springs); and (iii) have high levels of endemism. Natural habitats may occur in tropical humid, dry, and cloud forests; temperate and boreal forests; Mediterranean-type shrub lands; natural arid and semi-arid lands; mangrove swamps, coastal marshes, and other wetlands; estuaries; seagrass beds; coral reefs; underwater vents; freshwater lakes and rivers; alpine and sub-alpine environments, including herb fields, grasslands, and </w:t>
            </w:r>
            <w:r w:rsidRPr="00D8522E">
              <w:rPr>
                <w:rFonts w:asciiTheme="minorHAnsi" w:hAnsiTheme="minorHAnsi" w:cs="Times New Roman"/>
                <w:i/>
                <w:iCs/>
              </w:rPr>
              <w:t>páramos</w:t>
            </w:r>
            <w:r w:rsidRPr="00D8522E">
              <w:rPr>
                <w:rFonts w:asciiTheme="minorHAnsi" w:hAnsiTheme="minorHAnsi" w:cs="Times New Roman"/>
              </w:rPr>
              <w:t xml:space="preserve">; and tropical and temperate grasslands and </w:t>
            </w:r>
            <w:r w:rsidRPr="00D8522E">
              <w:rPr>
                <w:rFonts w:asciiTheme="minorHAnsi" w:hAnsiTheme="minorHAnsi" w:cs="Times New Roman"/>
                <w:i/>
                <w:iCs/>
              </w:rPr>
              <w:t>páramos</w:t>
            </w:r>
            <w:r w:rsidRPr="00D8522E">
              <w:rPr>
                <w:rFonts w:asciiTheme="minorHAnsi" w:hAnsiTheme="minorHAnsi" w:cs="Times New Roman"/>
              </w:rPr>
              <w:t>; and tropical and temperate grasslands.</w:t>
            </w:r>
            <w:r>
              <w:rPr>
                <w:rFonts w:asciiTheme="minorHAnsi" w:hAnsiTheme="minorHAnsi" w:cs="Times New Roman"/>
              </w:rPr>
              <w:t>”</w:t>
            </w:r>
            <w:r w:rsidRPr="00D8522E">
              <w:rPr>
                <w:rFonts w:asciiTheme="minorHAnsi" w:hAnsiTheme="minorHAnsi" w:cs="Times New Roman"/>
              </w:rPr>
              <w:t xml:space="preserve"> (</w:t>
            </w:r>
            <w:r w:rsidRPr="00D8522E">
              <w:rPr>
                <w:rFonts w:asciiTheme="minorHAnsi" w:hAnsiTheme="minorHAnsi" w:cs="Times New Roman"/>
                <w:b/>
                <w:bCs/>
              </w:rPr>
              <w:t>IDB, ESCP, Definitions</w:t>
            </w:r>
            <w:r w:rsidRPr="00D8522E">
              <w:rPr>
                <w:rFonts w:asciiTheme="minorHAnsi" w:hAnsiTheme="minorHAnsi" w:cs="Times New Roman"/>
              </w:rPr>
              <w:t>).</w:t>
            </w:r>
          </w:p>
          <w:p w14:paraId="7BBEED9B" w14:textId="77777777" w:rsidR="00CF59E1" w:rsidRPr="00D04661" w:rsidRDefault="00CF59E1" w:rsidP="00CF59E1">
            <w:pPr>
              <w:autoSpaceDE/>
              <w:autoSpaceDN/>
              <w:adjustRightInd/>
              <w:spacing w:after="120"/>
              <w:rPr>
                <w:rFonts w:asciiTheme="minorHAnsi" w:hAnsiTheme="minorHAnsi" w:cs="Calibri"/>
              </w:rPr>
            </w:pPr>
            <w:r w:rsidRPr="00D04661">
              <w:rPr>
                <w:rFonts w:asciiTheme="minorHAnsi" w:hAnsiTheme="minorHAnsi" w:cs="Calibri"/>
              </w:rPr>
              <w:t>…</w:t>
            </w:r>
            <w:r>
              <w:rPr>
                <w:rFonts w:asciiTheme="minorHAnsi" w:hAnsiTheme="minorHAnsi" w:cs="Calibri"/>
              </w:rPr>
              <w:t>”</w:t>
            </w:r>
            <w:r w:rsidRPr="00D04661">
              <w:rPr>
                <w:rFonts w:asciiTheme="minorHAnsi" w:hAnsiTheme="minorHAnsi" w:cs="Calibri"/>
              </w:rPr>
              <w:t>EIB does not finance projects in critical habitats if there are negative impacts in terms of one or a number of the defining criteria. […] the EIB does not finance projects located in protected sites unless they are consistent with the relevant legal requirements and site management plans</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(EIB, Statement, para. 71)</w:t>
            </w:r>
          </w:p>
          <w:p w14:paraId="66AE4319" w14:textId="77777777" w:rsidR="00CF59E1" w:rsidRPr="00D04661" w:rsidRDefault="00CF59E1" w:rsidP="00CF59E1">
            <w:pPr>
              <w:spacing w:after="120"/>
              <w:rPr>
                <w:rFonts w:asciiTheme="minorHAnsi" w:hAnsiTheme="minorHAnsi" w:cs="Calibri"/>
                <w:vertAlign w:val="superscript"/>
              </w:rPr>
            </w:pPr>
            <w:r>
              <w:rPr>
                <w:rFonts w:asciiTheme="minorHAnsi" w:hAnsiTheme="minorHAnsi" w:cs="Calibri"/>
              </w:rPr>
              <w:t>“</w:t>
            </w:r>
            <w:r w:rsidRPr="00D04661">
              <w:rPr>
                <w:rFonts w:asciiTheme="minorHAnsi" w:hAnsiTheme="minorHAnsi" w:cs="Calibri"/>
              </w:rPr>
              <w:t>The implementation of this OS, involves the following habitat categories: (</w:t>
            </w:r>
            <w:r w:rsidRPr="00D04661">
              <w:rPr>
                <w:rFonts w:asciiTheme="minorHAnsi" w:hAnsiTheme="minorHAnsi" w:cs="Calibri"/>
                <w:b/>
              </w:rPr>
              <w:t>AfDB</w:t>
            </w:r>
            <w:r w:rsidRPr="00D04661">
              <w:rPr>
                <w:rFonts w:asciiTheme="minorHAnsi" w:hAnsiTheme="minorHAnsi" w:cs="Calibri"/>
              </w:rPr>
              <w:t xml:space="preserve"> </w:t>
            </w:r>
            <w:r w:rsidRPr="00D04661">
              <w:rPr>
                <w:rFonts w:asciiTheme="minorHAnsi" w:hAnsiTheme="minorHAnsi" w:cs="Calibri"/>
                <w:b/>
              </w:rPr>
              <w:t>OS 3, para. 12</w:t>
            </w:r>
            <w:r w:rsidRPr="00D04661">
              <w:rPr>
                <w:rFonts w:asciiTheme="minorHAnsi" w:hAnsiTheme="minorHAnsi" w:cs="Calibri"/>
              </w:rPr>
              <w:t>)</w:t>
            </w:r>
            <w:r w:rsidRPr="00D04661">
              <w:rPr>
                <w:rFonts w:asciiTheme="minorHAnsi" w:hAnsiTheme="minorHAnsi" w:cs="Calibri"/>
                <w:vertAlign w:val="superscript"/>
              </w:rPr>
              <w:t xml:space="preserve"> </w:t>
            </w:r>
            <w:r w:rsidRPr="00D04661">
              <w:rPr>
                <w:rFonts w:asciiTheme="minorHAnsi" w:hAnsiTheme="minorHAnsi" w:cs="Calibri"/>
                <w:vertAlign w:val="superscript"/>
              </w:rPr>
              <w:footnoteReference w:id="216"/>
            </w:r>
          </w:p>
          <w:p w14:paraId="46511696" w14:textId="77777777" w:rsidR="00CF59E1" w:rsidRPr="00D04661" w:rsidRDefault="00CF59E1" w:rsidP="009F3E8E">
            <w:pPr>
              <w:numPr>
                <w:ilvl w:val="0"/>
                <w:numId w:val="27"/>
              </w:numPr>
              <w:autoSpaceDE/>
              <w:autoSpaceDN/>
              <w:adjustRightInd/>
              <w:spacing w:after="120"/>
              <w:ind w:left="548" w:hanging="540"/>
              <w:rPr>
                <w:rFonts w:asciiTheme="minorHAnsi" w:hAnsiTheme="minorHAnsi" w:cs="Calibri"/>
              </w:rPr>
            </w:pPr>
            <w:r>
              <w:rPr>
                <w:rFonts w:asciiTheme="minorHAnsi" w:hAnsiTheme="minorHAnsi" w:cs="Calibri"/>
                <w:i/>
                <w:iCs/>
              </w:rPr>
              <w:t>“</w:t>
            </w:r>
            <w:r w:rsidRPr="00D04661">
              <w:rPr>
                <w:rFonts w:asciiTheme="minorHAnsi" w:hAnsiTheme="minorHAnsi" w:cs="Calibri"/>
                <w:i/>
                <w:iCs/>
              </w:rPr>
              <w:t xml:space="preserve">Natural habitats: </w:t>
            </w:r>
            <w:r w:rsidRPr="00D04661">
              <w:rPr>
                <w:rFonts w:asciiTheme="minorHAnsi" w:hAnsiTheme="minorHAnsi" w:cs="Calibri"/>
              </w:rPr>
              <w:t>habitats in which the species composition, richness and abundance have not been modified by anthropogenic activities and native species have been preserved. Natural habitats are characterized by having original populations of native flora and fauna and are habitats that have not undergone transformation by human activities.</w:t>
            </w:r>
            <w:r>
              <w:rPr>
                <w:rFonts w:asciiTheme="minorHAnsi" w:hAnsiTheme="minorHAnsi" w:cs="Calibri"/>
              </w:rPr>
              <w:t>”</w:t>
            </w:r>
          </w:p>
          <w:p w14:paraId="2FDC3FAD" w14:textId="77777777" w:rsidR="00CF59E1" w:rsidRPr="00D04661" w:rsidRDefault="00CF59E1" w:rsidP="009F3E8E">
            <w:pPr>
              <w:numPr>
                <w:ilvl w:val="0"/>
                <w:numId w:val="27"/>
              </w:numPr>
              <w:autoSpaceDE/>
              <w:autoSpaceDN/>
              <w:adjustRightInd/>
              <w:spacing w:after="120"/>
              <w:ind w:left="548" w:hanging="540"/>
              <w:rPr>
                <w:rFonts w:asciiTheme="minorHAnsi" w:hAnsiTheme="minorHAnsi" w:cs="Calibri"/>
              </w:rPr>
            </w:pPr>
            <w:r>
              <w:rPr>
                <w:rFonts w:asciiTheme="minorHAnsi" w:hAnsiTheme="minorHAnsi" w:cs="Calibri"/>
                <w:i/>
                <w:iCs/>
              </w:rPr>
              <w:t>“</w:t>
            </w:r>
            <w:r w:rsidRPr="00D04661">
              <w:rPr>
                <w:rFonts w:asciiTheme="minorHAnsi" w:hAnsiTheme="minorHAnsi" w:cs="Calibri"/>
                <w:i/>
                <w:iCs/>
              </w:rPr>
              <w:t xml:space="preserve">Modified habitats: </w:t>
            </w:r>
            <w:r w:rsidRPr="00D04661">
              <w:rPr>
                <w:rFonts w:asciiTheme="minorHAnsi" w:hAnsiTheme="minorHAnsi" w:cs="Calibri"/>
              </w:rPr>
              <w:t>habitats that have been significantly altered by anthropogenic activities and the original species composition, richness and abundance reduced, with evidence of colonization by non-native species. Modified habitats include areas that have a large proportion of non-native flora and fauna or habitats that have been transformed by human activities, modifying the area’s primary ecological functions.</w:t>
            </w:r>
            <w:r>
              <w:rPr>
                <w:rFonts w:asciiTheme="minorHAnsi" w:hAnsiTheme="minorHAnsi" w:cs="Calibri"/>
              </w:rPr>
              <w:t>”</w:t>
            </w:r>
          </w:p>
          <w:p w14:paraId="2F8398C1" w14:textId="77777777" w:rsidR="00CF59E1" w:rsidRPr="00D04661" w:rsidRDefault="00CF59E1" w:rsidP="009F3E8E">
            <w:pPr>
              <w:numPr>
                <w:ilvl w:val="0"/>
                <w:numId w:val="27"/>
              </w:numPr>
              <w:autoSpaceDE/>
              <w:autoSpaceDN/>
              <w:adjustRightInd/>
              <w:spacing w:after="120"/>
              <w:ind w:left="548" w:hanging="540"/>
              <w:rPr>
                <w:rFonts w:asciiTheme="minorHAnsi" w:hAnsiTheme="minorHAnsi" w:cs="Calibri"/>
              </w:rPr>
            </w:pPr>
            <w:r>
              <w:rPr>
                <w:rFonts w:asciiTheme="minorHAnsi" w:hAnsiTheme="minorHAnsi" w:cs="Calibri"/>
                <w:i/>
                <w:iCs/>
              </w:rPr>
              <w:t>“</w:t>
            </w:r>
            <w:r w:rsidRPr="00D04661">
              <w:rPr>
                <w:rFonts w:asciiTheme="minorHAnsi" w:hAnsiTheme="minorHAnsi" w:cs="Calibri"/>
                <w:i/>
                <w:iCs/>
              </w:rPr>
              <w:t xml:space="preserve">Critical habitats: </w:t>
            </w:r>
            <w:r w:rsidRPr="00D04661">
              <w:rPr>
                <w:rFonts w:asciiTheme="minorHAnsi" w:hAnsiTheme="minorHAnsi" w:cs="Calibri"/>
              </w:rPr>
              <w:t xml:space="preserve">habitats that have a high biodiversity value; they could be either modified or natural habitats. Critical habitats include: </w:t>
            </w:r>
          </w:p>
          <w:p w14:paraId="6687F3D6" w14:textId="77777777" w:rsidR="00CF59E1" w:rsidRPr="00D04661" w:rsidRDefault="00CF59E1" w:rsidP="009F3E8E">
            <w:pPr>
              <w:numPr>
                <w:ilvl w:val="0"/>
                <w:numId w:val="28"/>
              </w:numPr>
              <w:autoSpaceDE/>
              <w:autoSpaceDN/>
              <w:adjustRightInd/>
              <w:spacing w:after="120"/>
              <w:ind w:left="908"/>
              <w:rPr>
                <w:rFonts w:asciiTheme="minorHAnsi" w:hAnsiTheme="minorHAnsi" w:cs="Calibri"/>
              </w:rPr>
            </w:pPr>
            <w:r w:rsidRPr="00D04661">
              <w:rPr>
                <w:rFonts w:asciiTheme="minorHAnsi" w:hAnsiTheme="minorHAnsi" w:cs="Calibri"/>
              </w:rPr>
              <w:t xml:space="preserve">Habitats important to critically endangered and footprint impacted species; </w:t>
            </w:r>
          </w:p>
          <w:p w14:paraId="08A23CC6" w14:textId="77777777" w:rsidR="00CF59E1" w:rsidRPr="00D04661" w:rsidRDefault="00CF59E1" w:rsidP="009F3E8E">
            <w:pPr>
              <w:numPr>
                <w:ilvl w:val="0"/>
                <w:numId w:val="28"/>
              </w:numPr>
              <w:autoSpaceDE/>
              <w:autoSpaceDN/>
              <w:adjustRightInd/>
              <w:spacing w:after="120"/>
              <w:ind w:left="908"/>
              <w:rPr>
                <w:rFonts w:asciiTheme="minorHAnsi" w:hAnsiTheme="minorHAnsi" w:cs="Calibri"/>
              </w:rPr>
            </w:pPr>
            <w:r w:rsidRPr="00D04661">
              <w:rPr>
                <w:rFonts w:asciiTheme="minorHAnsi" w:hAnsiTheme="minorHAnsi" w:cs="Calibri"/>
              </w:rPr>
              <w:t xml:space="preserve">Habitats of significant importance to endemic and/or restricted-range species and subspecies; </w:t>
            </w:r>
          </w:p>
          <w:p w14:paraId="53023E36" w14:textId="77777777" w:rsidR="00CF59E1" w:rsidRPr="00D04661" w:rsidRDefault="00CF59E1" w:rsidP="009F3E8E">
            <w:pPr>
              <w:numPr>
                <w:ilvl w:val="0"/>
                <w:numId w:val="28"/>
              </w:numPr>
              <w:autoSpaceDE/>
              <w:autoSpaceDN/>
              <w:adjustRightInd/>
              <w:spacing w:after="120"/>
              <w:ind w:left="908"/>
              <w:rPr>
                <w:rFonts w:asciiTheme="minorHAnsi" w:hAnsiTheme="minorHAnsi" w:cs="Calibri"/>
              </w:rPr>
            </w:pPr>
            <w:r w:rsidRPr="00D04661">
              <w:rPr>
                <w:rFonts w:asciiTheme="minorHAnsi" w:hAnsiTheme="minorHAnsi" w:cs="Calibri"/>
              </w:rPr>
              <w:t xml:space="preserve">Habitats of significant importance to endemic and/or restricted-range species; </w:t>
            </w:r>
          </w:p>
          <w:p w14:paraId="181985FF" w14:textId="77777777" w:rsidR="00CF59E1" w:rsidRPr="00D04661" w:rsidRDefault="00CF59E1" w:rsidP="009F3E8E">
            <w:pPr>
              <w:numPr>
                <w:ilvl w:val="0"/>
                <w:numId w:val="28"/>
              </w:numPr>
              <w:autoSpaceDE/>
              <w:autoSpaceDN/>
              <w:adjustRightInd/>
              <w:spacing w:after="120"/>
              <w:ind w:left="908"/>
              <w:rPr>
                <w:rFonts w:asciiTheme="minorHAnsi" w:hAnsiTheme="minorHAnsi" w:cs="Calibri"/>
              </w:rPr>
            </w:pPr>
            <w:r w:rsidRPr="00D04661">
              <w:rPr>
                <w:rFonts w:asciiTheme="minorHAnsi" w:hAnsiTheme="minorHAnsi" w:cs="Calibri"/>
              </w:rPr>
              <w:t xml:space="preserve">Habitats of significant importance to globally significant concentrations of migratory species and/or congregatory species; </w:t>
            </w:r>
          </w:p>
          <w:p w14:paraId="26363C17" w14:textId="77777777" w:rsidR="00CF59E1" w:rsidRPr="00D04661" w:rsidRDefault="00CF59E1" w:rsidP="009F3E8E">
            <w:pPr>
              <w:numPr>
                <w:ilvl w:val="0"/>
                <w:numId w:val="28"/>
              </w:numPr>
              <w:autoSpaceDE/>
              <w:autoSpaceDN/>
              <w:adjustRightInd/>
              <w:spacing w:after="120"/>
              <w:ind w:left="908"/>
              <w:rPr>
                <w:rFonts w:asciiTheme="minorHAnsi" w:hAnsiTheme="minorHAnsi" w:cs="Calibri"/>
              </w:rPr>
            </w:pPr>
            <w:r w:rsidRPr="00D04661">
              <w:rPr>
                <w:rFonts w:asciiTheme="minorHAnsi" w:hAnsiTheme="minorHAnsi" w:cs="Calibri"/>
              </w:rPr>
              <w:t xml:space="preserve">Regionally significant and/or highly threatened or unique ecosystems; </w:t>
            </w:r>
          </w:p>
          <w:p w14:paraId="09ABF788" w14:textId="77777777" w:rsidR="00CF59E1" w:rsidRPr="00D04661" w:rsidRDefault="00CF59E1" w:rsidP="009F3E8E">
            <w:pPr>
              <w:numPr>
                <w:ilvl w:val="0"/>
                <w:numId w:val="28"/>
              </w:numPr>
              <w:autoSpaceDE/>
              <w:autoSpaceDN/>
              <w:adjustRightInd/>
              <w:spacing w:after="120"/>
              <w:ind w:left="908"/>
              <w:rPr>
                <w:rFonts w:asciiTheme="minorHAnsi" w:hAnsiTheme="minorHAnsi" w:cs="Calibri"/>
              </w:rPr>
            </w:pPr>
            <w:r w:rsidRPr="00D04661">
              <w:rPr>
                <w:rFonts w:asciiTheme="minorHAnsi" w:hAnsiTheme="minorHAnsi" w:cs="Calibri"/>
              </w:rPr>
              <w:t xml:space="preserve">Areas that are associated with key evolutionary processes; </w:t>
            </w:r>
          </w:p>
          <w:p w14:paraId="2543C039" w14:textId="77777777" w:rsidR="00CF59E1" w:rsidRPr="00D04661" w:rsidRDefault="00CF59E1" w:rsidP="009F3E8E">
            <w:pPr>
              <w:numPr>
                <w:ilvl w:val="0"/>
                <w:numId w:val="28"/>
              </w:numPr>
              <w:autoSpaceDE/>
              <w:autoSpaceDN/>
              <w:adjustRightInd/>
              <w:spacing w:after="120"/>
              <w:ind w:left="908"/>
              <w:rPr>
                <w:rFonts w:asciiTheme="minorHAnsi" w:hAnsiTheme="minorHAnsi" w:cs="Calibri"/>
              </w:rPr>
            </w:pPr>
            <w:r w:rsidRPr="00D04661">
              <w:rPr>
                <w:rFonts w:asciiTheme="minorHAnsi" w:hAnsiTheme="minorHAnsi" w:cs="Calibri"/>
              </w:rPr>
              <w:t xml:space="preserve">Areas that are important to species that are vital to ecosystems, such as keystone species; and </w:t>
            </w:r>
          </w:p>
          <w:p w14:paraId="33321DCE" w14:textId="77777777" w:rsidR="00CF59E1" w:rsidRPr="00D04661" w:rsidRDefault="00CF59E1" w:rsidP="009F3E8E">
            <w:pPr>
              <w:numPr>
                <w:ilvl w:val="0"/>
                <w:numId w:val="28"/>
              </w:numPr>
              <w:autoSpaceDE/>
              <w:autoSpaceDN/>
              <w:adjustRightInd/>
              <w:spacing w:after="120"/>
              <w:ind w:left="908"/>
              <w:rPr>
                <w:rFonts w:asciiTheme="minorHAnsi" w:hAnsiTheme="minorHAnsi" w:cs="Calibri"/>
              </w:rPr>
            </w:pPr>
            <w:r w:rsidRPr="00D04661">
              <w:rPr>
                <w:rFonts w:asciiTheme="minorHAnsi" w:hAnsiTheme="minorHAnsi" w:cs="Calibri"/>
              </w:rPr>
              <w:t>Areas that supply ecological networks.</w:t>
            </w:r>
            <w:r>
              <w:rPr>
                <w:rFonts w:asciiTheme="minorHAnsi" w:hAnsiTheme="minorHAnsi" w:cs="Calibri"/>
              </w:rPr>
              <w:t>”</w:t>
            </w:r>
          </w:p>
          <w:p w14:paraId="24AE2C2C" w14:textId="77777777" w:rsidR="00CF59E1" w:rsidRPr="00D04661" w:rsidRDefault="00CF59E1" w:rsidP="00CF59E1">
            <w:pPr>
              <w:tabs>
                <w:tab w:val="left" w:pos="162"/>
              </w:tabs>
              <w:autoSpaceDE/>
              <w:autoSpaceDN/>
              <w:adjustRightInd/>
              <w:spacing w:after="120"/>
              <w:rPr>
                <w:rFonts w:asciiTheme="minorHAnsi" w:hAnsiTheme="minorHAnsi" w:cs="Calibri"/>
              </w:rPr>
            </w:pPr>
            <w:r>
              <w:rPr>
                <w:rFonts w:asciiTheme="minorHAnsi" w:hAnsiTheme="minorHAnsi" w:cs="Calibri"/>
              </w:rPr>
              <w:t>“</w:t>
            </w:r>
            <w:r w:rsidRPr="00D04661">
              <w:rPr>
                <w:rFonts w:asciiTheme="minorHAnsi" w:hAnsiTheme="minorHAnsi" w:cs="Calibri"/>
              </w:rPr>
              <w:t xml:space="preserve">If the project will take place in </w:t>
            </w:r>
            <w:r w:rsidRPr="00D04661">
              <w:rPr>
                <w:rFonts w:asciiTheme="minorHAnsi" w:hAnsiTheme="minorHAnsi" w:cs="Calibri"/>
                <w:i/>
              </w:rPr>
              <w:t>or near a natural or critical habitat</w:t>
            </w:r>
            <w:r w:rsidRPr="00D04661">
              <w:rPr>
                <w:rFonts w:asciiTheme="minorHAnsi" w:hAnsiTheme="minorHAnsi" w:cs="Calibri"/>
              </w:rPr>
              <w:t>, or near a legally protected or internationally recognized area, the borrower or client shall consider the potential risks and impacts that may occur at the landscape or seascape level in the assessment.</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AfDB, OS 3, para. 15</w:t>
            </w:r>
            <w:r w:rsidRPr="00D04661">
              <w:rPr>
                <w:rFonts w:asciiTheme="minorHAnsi" w:hAnsiTheme="minorHAnsi" w:cs="Calibri"/>
              </w:rPr>
              <w:t>)</w:t>
            </w:r>
          </w:p>
          <w:p w14:paraId="48E160A3" w14:textId="77777777" w:rsidR="00CF59E1" w:rsidRPr="00D8522E" w:rsidRDefault="00CF59E1" w:rsidP="00CF59E1">
            <w:pPr>
              <w:spacing w:after="120"/>
              <w:rPr>
                <w:rFonts w:asciiTheme="minorHAnsi" w:hAnsiTheme="minorHAnsi" w:cs="Times New Roman"/>
                <w:color w:val="000000"/>
              </w:rPr>
            </w:pPr>
            <w:r>
              <w:rPr>
                <w:rFonts w:asciiTheme="minorHAnsi" w:hAnsiTheme="minorHAnsi" w:cs="Times New Roman"/>
                <w:color w:val="000000"/>
              </w:rPr>
              <w:t>“</w:t>
            </w:r>
            <w:r w:rsidRPr="00D8522E">
              <w:rPr>
                <w:rFonts w:asciiTheme="minorHAnsi" w:hAnsiTheme="minorHAnsi" w:cs="Times New Roman"/>
                <w:color w:val="000000"/>
              </w:rPr>
              <w:t xml:space="preserve">The Bank may agree to finance a project in a critical habitat if the borrower or client can demonstrate, using appropriate measurement and monitoring methods, that: </w:t>
            </w:r>
          </w:p>
          <w:p w14:paraId="09452017" w14:textId="77777777" w:rsidR="00CF59E1" w:rsidRPr="004114CB" w:rsidRDefault="00CF59E1" w:rsidP="009F3E8E">
            <w:pPr>
              <w:pStyle w:val="ListParagraph"/>
              <w:numPr>
                <w:ilvl w:val="0"/>
                <w:numId w:val="39"/>
              </w:numPr>
              <w:spacing w:after="120"/>
              <w:ind w:left="360"/>
              <w:contextualSpacing w:val="0"/>
              <w:rPr>
                <w:rFonts w:asciiTheme="minorHAnsi" w:hAnsiTheme="minorHAnsi" w:cs="Times New Roman"/>
                <w:color w:val="000000"/>
              </w:rPr>
            </w:pPr>
            <w:r w:rsidRPr="004114CB">
              <w:rPr>
                <w:rFonts w:asciiTheme="minorHAnsi" w:hAnsiTheme="minorHAnsi" w:cs="Times New Roman"/>
                <w:color w:val="000000"/>
              </w:rPr>
              <w:t xml:space="preserve">The mitigation hierarchy has been implemented; </w:t>
            </w:r>
          </w:p>
          <w:p w14:paraId="3BECC1C9" w14:textId="77777777" w:rsidR="00CF59E1" w:rsidRPr="004114CB" w:rsidRDefault="00CF59E1" w:rsidP="009F3E8E">
            <w:pPr>
              <w:pStyle w:val="ListParagraph"/>
              <w:numPr>
                <w:ilvl w:val="0"/>
                <w:numId w:val="39"/>
              </w:numPr>
              <w:spacing w:after="120"/>
              <w:ind w:left="360"/>
              <w:contextualSpacing w:val="0"/>
              <w:rPr>
                <w:rFonts w:asciiTheme="minorHAnsi" w:hAnsiTheme="minorHAnsi" w:cs="Times New Roman"/>
                <w:color w:val="000000"/>
              </w:rPr>
            </w:pPr>
            <w:r w:rsidRPr="004114CB">
              <w:rPr>
                <w:rFonts w:asciiTheme="minorHAnsi" w:hAnsiTheme="minorHAnsi" w:cs="Times New Roman"/>
                <w:color w:val="000000"/>
              </w:rPr>
              <w:t xml:space="preserve">The project provides clear benefits and positive outcome for biodiversity and ecosystem services; </w:t>
            </w:r>
          </w:p>
          <w:p w14:paraId="04D3150A" w14:textId="77777777" w:rsidR="00CF59E1" w:rsidRPr="004114CB" w:rsidRDefault="00CF59E1" w:rsidP="009F3E8E">
            <w:pPr>
              <w:pStyle w:val="ListParagraph"/>
              <w:numPr>
                <w:ilvl w:val="0"/>
                <w:numId w:val="39"/>
              </w:numPr>
              <w:spacing w:after="120"/>
              <w:ind w:left="360"/>
              <w:contextualSpacing w:val="0"/>
              <w:rPr>
                <w:rFonts w:asciiTheme="minorHAnsi" w:hAnsiTheme="minorHAnsi" w:cs="Times New Roman"/>
                <w:color w:val="000000"/>
              </w:rPr>
            </w:pPr>
            <w:r w:rsidRPr="004114CB">
              <w:rPr>
                <w:rFonts w:asciiTheme="minorHAnsi" w:hAnsiTheme="minorHAnsi" w:cs="Times New Roman"/>
                <w:color w:val="000000"/>
              </w:rPr>
              <w:t xml:space="preserve">The project-related activities will not have adverse effects (direct, indirect, or cumulative) on the criteria for which the critical habitat was designated; </w:t>
            </w:r>
          </w:p>
          <w:p w14:paraId="30DACC04" w14:textId="77777777" w:rsidR="00CF59E1" w:rsidRPr="004114CB" w:rsidRDefault="00CF59E1" w:rsidP="009F3E8E">
            <w:pPr>
              <w:pStyle w:val="ListParagraph"/>
              <w:numPr>
                <w:ilvl w:val="0"/>
                <w:numId w:val="39"/>
              </w:numPr>
              <w:spacing w:after="120"/>
              <w:ind w:left="360"/>
              <w:contextualSpacing w:val="0"/>
              <w:rPr>
                <w:rFonts w:asciiTheme="minorHAnsi" w:hAnsiTheme="minorHAnsi" w:cs="Times New Roman"/>
                <w:color w:val="000000"/>
              </w:rPr>
            </w:pPr>
            <w:r w:rsidRPr="004114CB">
              <w:rPr>
                <w:rFonts w:asciiTheme="minorHAnsi" w:hAnsiTheme="minorHAnsi" w:cs="Times New Roman"/>
                <w:color w:val="000000"/>
              </w:rPr>
              <w:t xml:space="preserve">The project will not have any negative effects on critically endangered or endangered species; </w:t>
            </w:r>
          </w:p>
          <w:p w14:paraId="54D195CF" w14:textId="77777777" w:rsidR="00CF59E1" w:rsidRPr="004114CB" w:rsidRDefault="00CF59E1" w:rsidP="009F3E8E">
            <w:pPr>
              <w:pStyle w:val="ListParagraph"/>
              <w:numPr>
                <w:ilvl w:val="0"/>
                <w:numId w:val="39"/>
              </w:numPr>
              <w:spacing w:after="120"/>
              <w:ind w:left="360"/>
              <w:contextualSpacing w:val="0"/>
              <w:rPr>
                <w:rFonts w:asciiTheme="minorHAnsi" w:hAnsiTheme="minorHAnsi" w:cs="Times New Roman"/>
                <w:color w:val="000000"/>
              </w:rPr>
            </w:pPr>
            <w:r w:rsidRPr="004114CB">
              <w:rPr>
                <w:rFonts w:asciiTheme="minorHAnsi" w:hAnsiTheme="minorHAnsi" w:cs="Times New Roman"/>
                <w:color w:val="000000"/>
              </w:rPr>
              <w:t xml:space="preserve">The project will achieve the previous two points without offsets or a “net gain” analysis; and </w:t>
            </w:r>
          </w:p>
          <w:p w14:paraId="076D16AC" w14:textId="77777777" w:rsidR="00CF59E1" w:rsidRPr="004114CB" w:rsidRDefault="00CF59E1" w:rsidP="009F3E8E">
            <w:pPr>
              <w:pStyle w:val="ListParagraph"/>
              <w:numPr>
                <w:ilvl w:val="0"/>
                <w:numId w:val="39"/>
              </w:numPr>
              <w:spacing w:after="120"/>
              <w:ind w:left="360"/>
              <w:contextualSpacing w:val="0"/>
              <w:rPr>
                <w:rFonts w:asciiTheme="minorHAnsi" w:hAnsiTheme="minorHAnsi" w:cs="Times New Roman"/>
                <w:color w:val="000000"/>
              </w:rPr>
            </w:pPr>
            <w:r w:rsidRPr="004114CB">
              <w:rPr>
                <w:rFonts w:asciiTheme="minorHAnsi" w:hAnsiTheme="minorHAnsi" w:cs="Times New Roman"/>
                <w:color w:val="000000"/>
              </w:rPr>
              <w:t>A robust, appropriately designed and funded, long-term biodiversity monitoring and evaluation programme is integrated into (i.e., provides feedback into) the client’s management programme.” (</w:t>
            </w:r>
            <w:r w:rsidRPr="004114CB">
              <w:rPr>
                <w:rFonts w:asciiTheme="minorHAnsi" w:hAnsiTheme="minorHAnsi" w:cs="Times New Roman"/>
                <w:b/>
                <w:color w:val="000000"/>
              </w:rPr>
              <w:t>AfDB, OS 3, para. 19</w:t>
            </w:r>
            <w:r w:rsidRPr="004114CB">
              <w:rPr>
                <w:rFonts w:asciiTheme="minorHAnsi" w:hAnsiTheme="minorHAnsi" w:cs="Times New Roman"/>
                <w:color w:val="000000"/>
              </w:rPr>
              <w:t>).</w:t>
            </w:r>
          </w:p>
          <w:p w14:paraId="7F0B6A3F" w14:textId="77777777" w:rsidR="00CF59E1" w:rsidRPr="00D8522E" w:rsidRDefault="00CF59E1" w:rsidP="00CF59E1">
            <w:pPr>
              <w:spacing w:after="120"/>
              <w:rPr>
                <w:rFonts w:asciiTheme="minorHAnsi" w:hAnsiTheme="minorHAnsi" w:cs="Times New Roman"/>
                <w:color w:val="000000"/>
              </w:rPr>
            </w:pPr>
            <w:r>
              <w:rPr>
                <w:rFonts w:asciiTheme="minorHAnsi" w:hAnsiTheme="minorHAnsi" w:cs="Times New Roman"/>
                <w:color w:val="000000"/>
              </w:rPr>
              <w:t>“</w:t>
            </w:r>
            <w:r w:rsidRPr="00D8522E">
              <w:rPr>
                <w:rFonts w:asciiTheme="minorHAnsi" w:hAnsiTheme="minorHAnsi" w:cs="Times New Roman"/>
                <w:color w:val="000000"/>
              </w:rPr>
              <w:t>Where a national regulation permit a project to encroach on legally protected areas or internationally recognised areas or on areas that are proposed for protection or international recognition, the borrower or client complies with national and local regulations for appropriate environmental management, and consults with relevant stakeholders during the preparation of management and mitigation measures.</w:t>
            </w:r>
            <w:r>
              <w:rPr>
                <w:rFonts w:asciiTheme="minorHAnsi" w:hAnsiTheme="minorHAnsi" w:cs="Times New Roman"/>
                <w:color w:val="000000"/>
              </w:rPr>
              <w:t>”</w:t>
            </w:r>
            <w:r w:rsidRPr="00D8522E">
              <w:rPr>
                <w:rFonts w:asciiTheme="minorHAnsi" w:hAnsiTheme="minorHAnsi" w:cs="Times New Roman"/>
                <w:color w:val="000000"/>
              </w:rPr>
              <w:t xml:space="preserve"> (</w:t>
            </w:r>
            <w:r w:rsidRPr="00D8522E">
              <w:rPr>
                <w:rFonts w:asciiTheme="minorHAnsi" w:hAnsiTheme="minorHAnsi" w:cs="Times New Roman"/>
                <w:b/>
                <w:color w:val="000000"/>
              </w:rPr>
              <w:t>AfDB, OS 3, para. 22</w:t>
            </w:r>
            <w:r w:rsidRPr="00D8522E">
              <w:rPr>
                <w:rFonts w:asciiTheme="minorHAnsi" w:hAnsiTheme="minorHAnsi" w:cs="Times New Roman"/>
                <w:color w:val="000000"/>
              </w:rPr>
              <w:t xml:space="preserve">) </w:t>
            </w:r>
          </w:p>
          <w:p w14:paraId="73F7E1B4" w14:textId="77777777" w:rsidR="00CF59E1" w:rsidRPr="00D04661" w:rsidRDefault="00CF59E1" w:rsidP="00CF59E1">
            <w:pPr>
              <w:spacing w:after="120"/>
              <w:rPr>
                <w:rFonts w:asciiTheme="minorHAnsi" w:hAnsiTheme="minorHAnsi" w:cs="Arial"/>
                <w:b/>
              </w:rPr>
            </w:pPr>
            <w:r>
              <w:rPr>
                <w:rFonts w:asciiTheme="minorHAnsi" w:hAnsiTheme="minorHAnsi" w:cs="Arial"/>
              </w:rPr>
              <w:t>“</w:t>
            </w:r>
            <w:r w:rsidRPr="00D04661">
              <w:rPr>
                <w:rFonts w:asciiTheme="minorHAnsi" w:hAnsiTheme="minorHAnsi" w:cs="Arial"/>
              </w:rPr>
              <w:t xml:space="preserve">In circumstances where some project activities are located within a legally protected area, the borrower/client will meet the following [requirements in addition to those applicable to critical habitats]: </w:t>
            </w:r>
          </w:p>
          <w:p w14:paraId="079AA91C" w14:textId="77777777" w:rsidR="00CF59E1" w:rsidRPr="00D04661" w:rsidRDefault="00CF59E1" w:rsidP="00CF59E1">
            <w:pPr>
              <w:spacing w:after="120"/>
              <w:ind w:left="360" w:hanging="360"/>
              <w:rPr>
                <w:rFonts w:asciiTheme="minorHAnsi" w:hAnsiTheme="minorHAnsi" w:cs="Arial"/>
              </w:rPr>
            </w:pPr>
            <w:r w:rsidRPr="00D04661">
              <w:rPr>
                <w:rFonts w:asciiTheme="minorHAnsi" w:hAnsiTheme="minorHAnsi" w:cs="Arial"/>
              </w:rPr>
              <w:t xml:space="preserve">(i) </w:t>
            </w:r>
            <w:r>
              <w:rPr>
                <w:rFonts w:asciiTheme="minorHAnsi" w:hAnsiTheme="minorHAnsi" w:cs="Arial"/>
              </w:rPr>
              <w:tab/>
            </w:r>
            <w:r w:rsidRPr="00D04661">
              <w:rPr>
                <w:rFonts w:asciiTheme="minorHAnsi" w:hAnsiTheme="minorHAnsi" w:cs="Arial"/>
              </w:rPr>
              <w:t>Act in a manner consistent with defined protected area management plans.</w:t>
            </w:r>
          </w:p>
          <w:p w14:paraId="53564E3E" w14:textId="77777777" w:rsidR="00CF59E1" w:rsidRPr="00D04661" w:rsidRDefault="00CF59E1" w:rsidP="00CF59E1">
            <w:pPr>
              <w:spacing w:after="120"/>
              <w:ind w:left="360" w:hanging="360"/>
              <w:rPr>
                <w:rFonts w:asciiTheme="minorHAnsi" w:hAnsiTheme="minorHAnsi" w:cs="Arial"/>
              </w:rPr>
            </w:pPr>
            <w:r w:rsidRPr="00D04661">
              <w:rPr>
                <w:rFonts w:asciiTheme="minorHAnsi" w:hAnsiTheme="minorHAnsi" w:cs="Arial"/>
              </w:rPr>
              <w:t xml:space="preserve">(ii) </w:t>
            </w:r>
            <w:r>
              <w:rPr>
                <w:rFonts w:asciiTheme="minorHAnsi" w:hAnsiTheme="minorHAnsi" w:cs="Arial"/>
              </w:rPr>
              <w:tab/>
            </w:r>
            <w:r w:rsidRPr="00D04661">
              <w:rPr>
                <w:rFonts w:asciiTheme="minorHAnsi" w:hAnsiTheme="minorHAnsi" w:cs="Arial"/>
              </w:rPr>
              <w:t>Consult protected area sponsors and managers, local communities, and other key stakeholders on the proposed project.</w:t>
            </w:r>
          </w:p>
          <w:p w14:paraId="31048DC5" w14:textId="77777777" w:rsidR="00CF59E1" w:rsidRPr="00D04661" w:rsidRDefault="00CF59E1" w:rsidP="00CF59E1">
            <w:pPr>
              <w:autoSpaceDE/>
              <w:autoSpaceDN/>
              <w:adjustRightInd/>
              <w:spacing w:after="120"/>
              <w:ind w:left="360" w:hanging="360"/>
              <w:rPr>
                <w:rFonts w:asciiTheme="minorHAnsi" w:hAnsiTheme="minorHAnsi" w:cs="Calibri"/>
                <w:b/>
              </w:rPr>
            </w:pPr>
            <w:r w:rsidRPr="00D04661">
              <w:rPr>
                <w:rFonts w:asciiTheme="minorHAnsi" w:hAnsiTheme="minorHAnsi" w:cs="Arial"/>
              </w:rPr>
              <w:t>(iii) Implement additional programs, as appropriate, to promote and enhance the conservation aims of the protected area.</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(ADB, SPS, Appendix 1, para. 30)</w:t>
            </w:r>
          </w:p>
          <w:p w14:paraId="16BF91F7" w14:textId="77777777" w:rsidR="00CF59E1" w:rsidRPr="00D04661" w:rsidRDefault="00CF59E1" w:rsidP="00CF59E1">
            <w:pPr>
              <w:tabs>
                <w:tab w:val="left" w:pos="162"/>
              </w:tabs>
              <w:autoSpaceDE/>
              <w:autoSpaceDN/>
              <w:adjustRightInd/>
              <w:spacing w:after="120"/>
              <w:rPr>
                <w:rFonts w:asciiTheme="minorHAnsi" w:hAnsiTheme="minorHAnsi" w:cs="Times New Roman"/>
              </w:rPr>
            </w:pPr>
            <w:r>
              <w:rPr>
                <w:rFonts w:asciiTheme="minorHAnsi" w:hAnsiTheme="minorHAnsi" w:cs="Times New Roman"/>
              </w:rPr>
              <w:t>“</w:t>
            </w:r>
            <w:r w:rsidRPr="00D04661">
              <w:rPr>
                <w:rFonts w:asciiTheme="minorHAnsi" w:hAnsiTheme="minorHAnsi" w:cs="Times New Roman"/>
              </w:rPr>
              <w:t xml:space="preserve">EIB distinguishes between three types of habitat: </w:t>
            </w:r>
          </w:p>
          <w:p w14:paraId="4E4F6A93" w14:textId="77777777" w:rsidR="00CF59E1" w:rsidRPr="00D04661" w:rsidRDefault="00CF59E1" w:rsidP="00CF59E1">
            <w:pPr>
              <w:tabs>
                <w:tab w:val="left" w:pos="162"/>
              </w:tabs>
              <w:autoSpaceDE/>
              <w:autoSpaceDN/>
              <w:adjustRightInd/>
              <w:spacing w:after="120"/>
              <w:rPr>
                <w:rFonts w:asciiTheme="minorHAnsi" w:hAnsiTheme="minorHAnsi" w:cs="Times New Roman"/>
              </w:rPr>
            </w:pPr>
            <w:r w:rsidRPr="00D04661">
              <w:rPr>
                <w:rFonts w:asciiTheme="minorHAnsi" w:hAnsiTheme="minorHAnsi" w:cs="Times New Roman"/>
                <w:b/>
              </w:rPr>
              <w:t>Natural habitats</w:t>
            </w:r>
            <w:r w:rsidRPr="00D04661">
              <w:rPr>
                <w:rFonts w:asciiTheme="minorHAnsi" w:hAnsiTheme="minorHAnsi" w:cs="Times New Roman"/>
              </w:rPr>
              <w:t xml:space="preserve">: are those areas where </w:t>
            </w:r>
            <w:r w:rsidRPr="00D04661">
              <w:rPr>
                <w:rFonts w:asciiTheme="minorHAnsi" w:hAnsiTheme="minorHAnsi" w:cs="Times New Roman"/>
                <w:i/>
              </w:rPr>
              <w:t>ecological assemblages, functions and species composition are mainly attributable to natural evolutionary processes and have not been substantially modified by human activities</w:t>
            </w:r>
            <w:r w:rsidRPr="00D04661">
              <w:rPr>
                <w:rFonts w:asciiTheme="minorHAnsi" w:hAnsiTheme="minorHAnsi" w:cs="Times New Roman"/>
              </w:rPr>
              <w:t xml:space="preserve">. </w:t>
            </w:r>
          </w:p>
          <w:p w14:paraId="57B86BEF" w14:textId="77777777" w:rsidR="00CF59E1" w:rsidRPr="00D04661" w:rsidRDefault="00CF59E1" w:rsidP="00CF59E1">
            <w:pPr>
              <w:tabs>
                <w:tab w:val="left" w:pos="162"/>
              </w:tabs>
              <w:autoSpaceDE/>
              <w:autoSpaceDN/>
              <w:adjustRightInd/>
              <w:spacing w:after="120"/>
              <w:rPr>
                <w:rFonts w:asciiTheme="minorHAnsi" w:hAnsiTheme="minorHAnsi" w:cs="Times New Roman"/>
                <w:i/>
              </w:rPr>
            </w:pPr>
            <w:r w:rsidRPr="00D04661">
              <w:rPr>
                <w:rFonts w:asciiTheme="minorHAnsi" w:hAnsiTheme="minorHAnsi" w:cs="Times New Roman"/>
                <w:b/>
                <w:i/>
              </w:rPr>
              <w:t>Semi-natural habitats</w:t>
            </w:r>
            <w:r w:rsidRPr="00D04661">
              <w:rPr>
                <w:rFonts w:asciiTheme="minorHAnsi" w:hAnsiTheme="minorHAnsi" w:cs="Times New Roman"/>
              </w:rPr>
              <w:t xml:space="preserve">: are those areas where </w:t>
            </w:r>
            <w:r w:rsidRPr="00D04661">
              <w:rPr>
                <w:rFonts w:asciiTheme="minorHAnsi" w:hAnsiTheme="minorHAnsi" w:cs="Times New Roman"/>
                <w:i/>
              </w:rPr>
              <w:t xml:space="preserve">ecological assemblages present have been substantially modified in their composition, balance or function by human activities. Those ecosystems have often evolved from traditional agriculture, pastoral or other human activities and depend on their continuation. </w:t>
            </w:r>
          </w:p>
          <w:p w14:paraId="59118431" w14:textId="77777777" w:rsidR="00CF59E1" w:rsidRPr="00D04661" w:rsidRDefault="00CF59E1" w:rsidP="00CF59E1">
            <w:pPr>
              <w:tabs>
                <w:tab w:val="left" w:pos="162"/>
              </w:tabs>
              <w:autoSpaceDE/>
              <w:autoSpaceDN/>
              <w:adjustRightInd/>
              <w:spacing w:after="120"/>
              <w:rPr>
                <w:rFonts w:asciiTheme="minorHAnsi" w:hAnsiTheme="minorHAnsi" w:cs="Times New Roman"/>
                <w:b/>
              </w:rPr>
            </w:pPr>
            <w:r w:rsidRPr="00D04661">
              <w:rPr>
                <w:rFonts w:asciiTheme="minorHAnsi" w:hAnsiTheme="minorHAnsi" w:cs="Times New Roman"/>
                <w:b/>
                <w:i/>
              </w:rPr>
              <w:t>Urban habitat</w:t>
            </w:r>
            <w:r w:rsidRPr="00D04661">
              <w:rPr>
                <w:rFonts w:asciiTheme="minorHAnsi" w:hAnsiTheme="minorHAnsi" w:cs="Times New Roman"/>
                <w:i/>
              </w:rPr>
              <w:t>: is where the majority of the space is occupied, fragmented or surrounded by constructions or infrastructure. Urban environments can be sub-divided into green space, grey space, brown field sites, and roofs and balconies</w:t>
            </w:r>
            <w:r w:rsidRPr="00D04661">
              <w:rPr>
                <w:rFonts w:asciiTheme="minorHAnsi" w:hAnsiTheme="minorHAnsi" w:cs="Times New Roman"/>
              </w:rPr>
              <w:t>. …’’</w:t>
            </w:r>
            <w:r>
              <w:rPr>
                <w:rFonts w:asciiTheme="minorHAnsi" w:hAnsiTheme="minorHAnsi" w:cs="Times New Roman"/>
              </w:rPr>
              <w:t xml:space="preserve"> </w:t>
            </w:r>
            <w:r w:rsidRPr="00D04661">
              <w:rPr>
                <w:rFonts w:asciiTheme="minorHAnsi" w:hAnsiTheme="minorHAnsi" w:cs="Times New Roman"/>
                <w:b/>
              </w:rPr>
              <w:t>(EIB, ESH, EES 3, para. 25)</w:t>
            </w:r>
          </w:p>
          <w:p w14:paraId="100939E0" w14:textId="77777777" w:rsidR="00CF59E1" w:rsidRPr="00D04661" w:rsidRDefault="00CF59E1" w:rsidP="00CF59E1">
            <w:pPr>
              <w:tabs>
                <w:tab w:val="left" w:pos="162"/>
              </w:tabs>
              <w:autoSpaceDE/>
              <w:autoSpaceDN/>
              <w:adjustRightInd/>
              <w:spacing w:after="120"/>
              <w:rPr>
                <w:rFonts w:asciiTheme="minorHAnsi" w:hAnsiTheme="minorHAnsi" w:cs="Times New Roman"/>
              </w:rPr>
            </w:pPr>
            <w:r>
              <w:rPr>
                <w:rFonts w:asciiTheme="minorHAnsi" w:hAnsiTheme="minorHAnsi" w:cs="Times New Roman"/>
              </w:rPr>
              <w:t>“</w:t>
            </w:r>
            <w:r w:rsidRPr="00D04661">
              <w:rPr>
                <w:rFonts w:asciiTheme="minorHAnsi" w:hAnsiTheme="minorHAnsi" w:cs="Times New Roman"/>
              </w:rPr>
              <w:t>Critical habitat is defined according to the following attributes: ….</w:t>
            </w:r>
            <w:r w:rsidRPr="00D04661">
              <w:rPr>
                <w:rFonts w:asciiTheme="minorHAnsi" w:hAnsiTheme="minorHAnsi" w:cs="Times New Roman"/>
                <w:i/>
              </w:rPr>
              <w:t>unique assemblages of species; required for the survival of migratory species or congregatory species; required for the maintenance of biological diversity with significant social, economic or cultural importance to local communities; required for the maintenance of ecosystem functioning and the provision of key ecosystem goods and services; and key scientific value</w:t>
            </w:r>
            <w:r w:rsidRPr="00D04661">
              <w:rPr>
                <w:rFonts w:asciiTheme="minorHAnsi" w:hAnsiTheme="minorHAnsi" w:cs="Times New Roman"/>
              </w:rPr>
              <w:t>.</w:t>
            </w:r>
            <w:r>
              <w:rPr>
                <w:rFonts w:asciiTheme="minorHAnsi" w:hAnsiTheme="minorHAnsi" w:cs="Times New Roman"/>
              </w:rPr>
              <w:t xml:space="preserve">” </w:t>
            </w:r>
            <w:r w:rsidRPr="00D04661">
              <w:rPr>
                <w:rFonts w:asciiTheme="minorHAnsi" w:hAnsiTheme="minorHAnsi" w:cs="Times New Roman"/>
              </w:rPr>
              <w:t>(</w:t>
            </w:r>
            <w:r w:rsidRPr="00D04661">
              <w:rPr>
                <w:rFonts w:asciiTheme="minorHAnsi" w:hAnsiTheme="minorHAnsi" w:cs="Times New Roman"/>
                <w:b/>
              </w:rPr>
              <w:t>EIB, ESS 3, para</w:t>
            </w:r>
            <w:r w:rsidRPr="00D04661">
              <w:rPr>
                <w:rFonts w:asciiTheme="minorHAnsi" w:hAnsiTheme="minorHAnsi" w:cs="Times New Roman"/>
              </w:rPr>
              <w:t xml:space="preserve">. </w:t>
            </w:r>
            <w:r w:rsidRPr="00D04661">
              <w:rPr>
                <w:rFonts w:asciiTheme="minorHAnsi" w:hAnsiTheme="minorHAnsi" w:cs="Times New Roman"/>
                <w:b/>
              </w:rPr>
              <w:t>26</w:t>
            </w:r>
            <w:r w:rsidRPr="00D04661">
              <w:rPr>
                <w:rFonts w:asciiTheme="minorHAnsi" w:hAnsiTheme="minorHAnsi" w:cs="Times New Roman"/>
              </w:rPr>
              <w:t>).</w:t>
            </w:r>
          </w:p>
        </w:tc>
      </w:tr>
      <w:tr w:rsidR="00CF59E1" w:rsidRPr="00D8522E" w14:paraId="23B905DB" w14:textId="77777777" w:rsidTr="00CF59E1">
        <w:tc>
          <w:tcPr>
            <w:tcW w:w="6390" w:type="dxa"/>
            <w:shd w:val="clear" w:color="auto" w:fill="auto"/>
            <w:vAlign w:val="center"/>
          </w:tcPr>
          <w:p w14:paraId="456CDD1E" w14:textId="77777777" w:rsidR="00CF59E1" w:rsidRDefault="00CF59E1" w:rsidP="00CF59E1">
            <w:pPr>
              <w:spacing w:after="120"/>
              <w:rPr>
                <w:rFonts w:asciiTheme="minorHAnsi" w:hAnsiTheme="minorHAnsi" w:cs="Calibri"/>
                <w:b/>
              </w:rPr>
            </w:pPr>
            <w:r w:rsidRPr="00D04661">
              <w:rPr>
                <w:rFonts w:asciiTheme="minorHAnsi" w:hAnsiTheme="minorHAnsi" w:cs="Calibri"/>
                <w:b/>
              </w:rPr>
              <w:t>MITIGATION AND ECOLOGICAL OFFSETS</w:t>
            </w:r>
          </w:p>
          <w:p w14:paraId="7C6BAE8C" w14:textId="77777777" w:rsidR="00CF59E1" w:rsidRPr="00DB5F41" w:rsidRDefault="00CF59E1" w:rsidP="00CF59E1">
            <w:pPr>
              <w:spacing w:after="120"/>
              <w:rPr>
                <w:rFonts w:asciiTheme="minorHAnsi" w:hAnsiTheme="minorHAnsi" w:cs="Calibri"/>
                <w:b/>
              </w:rPr>
            </w:pPr>
            <w:r>
              <w:rPr>
                <w:rFonts w:asciiTheme="minorHAnsi" w:hAnsiTheme="minorHAnsi" w:cs="Calibri"/>
                <w:b/>
              </w:rPr>
              <w:t xml:space="preserve">OP 4.04 para. 1: </w:t>
            </w:r>
            <w:r>
              <w:rPr>
                <w:rFonts w:asciiTheme="minorHAnsi" w:hAnsiTheme="minorHAnsi" w:cs="Calibri"/>
              </w:rPr>
              <w:t>“</w:t>
            </w:r>
            <w:r w:rsidRPr="007117A5">
              <w:rPr>
                <w:rFonts w:asciiTheme="minorHAnsi" w:hAnsiTheme="minorHAnsi" w:cs="Calibri"/>
              </w:rPr>
              <w:t>The Bank supports, and expects borrowers to apply, a precautionary approach to natural resource management to ensure opportunities for environmentally sustainable development.</w:t>
            </w:r>
          </w:p>
          <w:p w14:paraId="4A142B38" w14:textId="77777777" w:rsidR="00CF59E1" w:rsidRDefault="00CF59E1" w:rsidP="00CF59E1">
            <w:pPr>
              <w:spacing w:after="120"/>
              <w:rPr>
                <w:rFonts w:asciiTheme="minorHAnsi" w:hAnsiTheme="minorHAnsi" w:cs="Arial"/>
              </w:rPr>
            </w:pPr>
            <w:r w:rsidRPr="00DB5F41">
              <w:rPr>
                <w:rFonts w:asciiTheme="minorHAnsi" w:hAnsiTheme="minorHAnsi" w:cs="Calibri"/>
                <w:b/>
              </w:rPr>
              <w:t xml:space="preserve">OP 4.04, </w:t>
            </w:r>
            <w:r>
              <w:rPr>
                <w:rFonts w:asciiTheme="minorHAnsi" w:hAnsiTheme="minorHAnsi" w:cs="Calibri"/>
                <w:b/>
              </w:rPr>
              <w:t>para.</w:t>
            </w:r>
            <w:r w:rsidRPr="00DB5F41">
              <w:rPr>
                <w:rFonts w:asciiTheme="minorHAnsi" w:hAnsiTheme="minorHAnsi" w:cs="Calibri"/>
                <w:b/>
              </w:rPr>
              <w:t xml:space="preserve"> 5:</w:t>
            </w:r>
            <w:r>
              <w:rPr>
                <w:rFonts w:asciiTheme="minorHAnsi" w:hAnsiTheme="minorHAnsi" w:cs="Calibri"/>
                <w:b/>
              </w:rPr>
              <w:t xml:space="preserve"> </w:t>
            </w:r>
            <w:r w:rsidRPr="00DB5F41">
              <w:rPr>
                <w:rFonts w:asciiTheme="minorHAnsi" w:hAnsiTheme="minorHAnsi" w:cs="Arial"/>
              </w:rPr>
              <w:t>If the environmental assessment</w:t>
            </w:r>
            <w:hyperlink r:id="rId43" w:anchor="f1" w:history="1">
              <w:r w:rsidRPr="00DB5F41">
                <w:rPr>
                  <w:rFonts w:asciiTheme="minorHAnsi" w:hAnsiTheme="minorHAnsi" w:cs="Arial"/>
                  <w:vertAlign w:val="superscript"/>
                </w:rPr>
                <w:t>4</w:t>
              </w:r>
            </w:hyperlink>
            <w:r w:rsidRPr="00DB5F41">
              <w:rPr>
                <w:rFonts w:asciiTheme="minorHAnsi" w:hAnsiTheme="minorHAnsi" w:cs="Arial"/>
              </w:rPr>
              <w:t xml:space="preserve"> indicates that a project would significantly convert or degrade natural habitats. Such mitigation measures [acceptable to the Bank] include … establishing and maintaining an ecologically similar protected area.</w:t>
            </w:r>
          </w:p>
          <w:p w14:paraId="02CACEA7" w14:textId="77777777" w:rsidR="00CF59E1" w:rsidRPr="00D04661" w:rsidRDefault="00CF59E1" w:rsidP="00CF59E1">
            <w:pPr>
              <w:spacing w:after="120"/>
              <w:rPr>
                <w:rFonts w:asciiTheme="minorHAnsi" w:hAnsiTheme="minorHAnsi" w:cs="Calibri"/>
                <w:b/>
              </w:rPr>
            </w:pPr>
          </w:p>
        </w:tc>
        <w:tc>
          <w:tcPr>
            <w:tcW w:w="7200" w:type="dxa"/>
            <w:shd w:val="clear" w:color="auto" w:fill="auto"/>
          </w:tcPr>
          <w:p w14:paraId="39667ED6" w14:textId="77777777" w:rsidR="00CF59E1" w:rsidRPr="00D04661" w:rsidRDefault="00CF59E1" w:rsidP="00CF59E1">
            <w:pPr>
              <w:spacing w:after="120"/>
              <w:rPr>
                <w:rFonts w:asciiTheme="minorHAnsi" w:hAnsiTheme="minorHAnsi" w:cs="Arial"/>
              </w:rPr>
            </w:pPr>
            <w:r>
              <w:rPr>
                <w:rFonts w:asciiTheme="minorHAnsi" w:hAnsiTheme="minorHAnsi" w:cs="Arial"/>
              </w:rPr>
              <w:t>“</w:t>
            </w:r>
            <w:r w:rsidRPr="00D04661">
              <w:rPr>
                <w:rFonts w:asciiTheme="minorHAnsi" w:hAnsiTheme="minorHAnsi" w:cs="Arial"/>
              </w:rPr>
              <w:t>The borrower/client will need to identify measures to avoid, minimize, or mitigate potentially adverse impacts and risks and, as a last resort, propose compensatory measures, such as biodiversity offsets, to achieve no net loss or a net gain of the affected biodiversity.</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ADB, SPS, Appendix, 1, para. 24</w:t>
            </w:r>
            <w:r w:rsidRPr="00D04661">
              <w:rPr>
                <w:rFonts w:asciiTheme="minorHAnsi" w:hAnsiTheme="minorHAnsi" w:cs="Arial"/>
              </w:rPr>
              <w:t>)</w:t>
            </w:r>
          </w:p>
          <w:p w14:paraId="2C1CAAFE" w14:textId="77777777" w:rsidR="00CF59E1" w:rsidRPr="00D04661" w:rsidRDefault="00CF59E1" w:rsidP="00CF59E1">
            <w:pPr>
              <w:spacing w:after="120"/>
              <w:rPr>
                <w:rFonts w:asciiTheme="minorHAnsi" w:hAnsiTheme="minorHAnsi" w:cs="Arial"/>
              </w:rPr>
            </w:pPr>
            <w:r>
              <w:rPr>
                <w:rFonts w:asciiTheme="minorHAnsi" w:hAnsiTheme="minorHAnsi" w:cs="Arial"/>
              </w:rPr>
              <w:t>“</w:t>
            </w:r>
            <w:r w:rsidRPr="00D04661">
              <w:rPr>
                <w:rFonts w:asciiTheme="minorHAnsi" w:hAnsiTheme="minorHAnsi" w:cs="Arial"/>
              </w:rPr>
              <w:t>Mitigation measures [for natural habitat] will be designed to achieve at least no net loss of biodiversity. They may include a combination of actions, such as post project restoration of habitats, offset of losses through the creation or effective conservation of ecologically comparable areas that are managed for biodiversity while respecting the ongoing use of such biodiversity by Indigenous Peoples or traditional communities, and compensation to direct users of biodiversity.</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 xml:space="preserve">ADB, SPS, Appendix 1, </w:t>
            </w:r>
            <w:r>
              <w:rPr>
                <w:rFonts w:asciiTheme="minorHAnsi" w:hAnsiTheme="minorHAnsi" w:cs="Arial"/>
                <w:b/>
              </w:rPr>
              <w:t xml:space="preserve">para. </w:t>
            </w:r>
            <w:r w:rsidRPr="00D04661">
              <w:rPr>
                <w:rFonts w:asciiTheme="minorHAnsi" w:hAnsiTheme="minorHAnsi" w:cs="Arial"/>
                <w:b/>
              </w:rPr>
              <w:t>27</w:t>
            </w:r>
            <w:r w:rsidRPr="00D04661">
              <w:rPr>
                <w:rFonts w:asciiTheme="minorHAnsi" w:hAnsiTheme="minorHAnsi" w:cs="Arial"/>
              </w:rPr>
              <w:t>)</w:t>
            </w:r>
          </w:p>
          <w:p w14:paraId="62D8952F" w14:textId="77777777" w:rsidR="00CF59E1" w:rsidRPr="00D8522E" w:rsidRDefault="00CF59E1" w:rsidP="00CF59E1">
            <w:pPr>
              <w:pStyle w:val="Default"/>
              <w:spacing w:after="120"/>
              <w:rPr>
                <w:rFonts w:asciiTheme="minorHAnsi" w:hAnsiTheme="minorHAnsi" w:cs="Calibri"/>
                <w:sz w:val="22"/>
                <w:szCs w:val="22"/>
              </w:rPr>
            </w:pPr>
            <w:r>
              <w:rPr>
                <w:rFonts w:asciiTheme="minorHAnsi" w:hAnsiTheme="minorHAnsi" w:cs="Calibri"/>
                <w:sz w:val="22"/>
                <w:szCs w:val="22"/>
              </w:rPr>
              <w:t>“</w:t>
            </w:r>
            <w:r w:rsidRPr="00D8522E">
              <w:rPr>
                <w:rFonts w:asciiTheme="minorHAnsi" w:hAnsiTheme="minorHAnsi" w:cs="Times New Roman"/>
                <w:sz w:val="22"/>
                <w:szCs w:val="22"/>
              </w:rPr>
              <w:t xml:space="preserve">If projects are to be developed in natural habitats, or are to </w:t>
            </w:r>
            <w:r w:rsidRPr="00A56233">
              <w:rPr>
                <w:rFonts w:asciiTheme="minorHAnsi" w:hAnsiTheme="minorHAnsi" w:cs="Times New Roman"/>
                <w:sz w:val="22"/>
                <w:szCs w:val="22"/>
              </w:rPr>
              <w:t xml:space="preserve">have potential adverse downstream impacts on natural habitats, they include mitigation measures to achieve either net benefit or no net loss of biodiversity—for example, ecological restoration of habitats, measures to reduce fragmentation, and restoration </w:t>
            </w:r>
            <w:r w:rsidRPr="00D8522E">
              <w:rPr>
                <w:rFonts w:asciiTheme="minorHAnsi" w:hAnsiTheme="minorHAnsi" w:cs="Times New Roman"/>
                <w:sz w:val="22"/>
                <w:szCs w:val="22"/>
              </w:rPr>
              <w:t>of ecosystem functioning. As a last resort, this can be done by the development of a biodiversity offset programme, in accordance with the biodiversity offset principles established by the Business and Biodiversity Offsets Programme or comparable organisations and programs. When considering biodiversity offsets, the borrower/client uses a landscape/seascape-scale planning process to identify the most environmentally sound approach.</w:t>
            </w:r>
            <w:r>
              <w:rPr>
                <w:rFonts w:asciiTheme="minorHAnsi" w:hAnsiTheme="minorHAnsi" w:cs="Times New Roman"/>
                <w:sz w:val="22"/>
                <w:szCs w:val="22"/>
              </w:rPr>
              <w:t>”</w:t>
            </w:r>
            <w:r w:rsidRPr="00D8522E">
              <w:rPr>
                <w:rFonts w:asciiTheme="minorHAnsi" w:hAnsiTheme="minorHAnsi" w:cs="Calibri"/>
                <w:sz w:val="22"/>
                <w:szCs w:val="22"/>
              </w:rPr>
              <w:t xml:space="preserve"> (</w:t>
            </w:r>
            <w:r w:rsidRPr="00D8522E">
              <w:rPr>
                <w:rFonts w:asciiTheme="minorHAnsi" w:hAnsiTheme="minorHAnsi" w:cs="Calibri"/>
                <w:b/>
                <w:sz w:val="22"/>
                <w:szCs w:val="22"/>
              </w:rPr>
              <w:t>AfDB, OS 3, para. 18)</w:t>
            </w:r>
          </w:p>
          <w:p w14:paraId="29E00DC8" w14:textId="77777777" w:rsidR="00CF59E1" w:rsidRPr="00D04661" w:rsidRDefault="00CF59E1" w:rsidP="00CF59E1">
            <w:pPr>
              <w:spacing w:after="120"/>
              <w:rPr>
                <w:rFonts w:asciiTheme="minorHAnsi" w:hAnsiTheme="minorHAnsi" w:cs="Arial"/>
              </w:rPr>
            </w:pPr>
            <w:r>
              <w:rPr>
                <w:rFonts w:asciiTheme="minorHAnsi" w:hAnsiTheme="minorHAnsi" w:cs="Arial"/>
              </w:rPr>
              <w:t>“</w:t>
            </w:r>
            <w:r w:rsidRPr="00D8522E">
              <w:rPr>
                <w:rFonts w:asciiTheme="minorHAnsi" w:hAnsiTheme="minorHAnsi" w:cs="Arial"/>
              </w:rPr>
              <w:t>The borrower/client will need to identify measures to avoid, minimize, or mitigate potentially adverse impacts and risks and, as a last</w:t>
            </w:r>
            <w:r w:rsidRPr="00D04661">
              <w:rPr>
                <w:rFonts w:asciiTheme="minorHAnsi" w:hAnsiTheme="minorHAnsi" w:cs="Arial"/>
              </w:rPr>
              <w:t xml:space="preserve"> resort, propose compensatory measures, such as biodiversity offsets, to achieve no net loss or a net gain of the affected biodiversity.</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ADB, SPS, Appendix 1, para. 24</w:t>
            </w:r>
            <w:r w:rsidRPr="00D04661">
              <w:rPr>
                <w:rFonts w:asciiTheme="minorHAnsi" w:hAnsiTheme="minorHAnsi" w:cs="Arial"/>
              </w:rPr>
              <w:t>)</w:t>
            </w:r>
          </w:p>
          <w:p w14:paraId="137D861A" w14:textId="77777777" w:rsidR="00CF59E1" w:rsidRPr="00D04661" w:rsidRDefault="00CF59E1" w:rsidP="00CF59E1">
            <w:pPr>
              <w:spacing w:after="120"/>
              <w:rPr>
                <w:rFonts w:asciiTheme="minorHAnsi" w:hAnsiTheme="minorHAnsi" w:cs="Arial"/>
              </w:rPr>
            </w:pPr>
            <w:r>
              <w:rPr>
                <w:rFonts w:asciiTheme="minorHAnsi" w:hAnsiTheme="minorHAnsi" w:cs="Arial"/>
              </w:rPr>
              <w:t>“</w:t>
            </w:r>
            <w:r w:rsidRPr="00D04661">
              <w:rPr>
                <w:rFonts w:asciiTheme="minorHAnsi" w:hAnsiTheme="minorHAnsi" w:cs="Arial"/>
              </w:rPr>
              <w:t xml:space="preserve">An offset implementation and management plan must be drawn to up to present: </w:t>
            </w:r>
          </w:p>
          <w:p w14:paraId="518E621F" w14:textId="77777777" w:rsidR="00CF59E1" w:rsidRPr="00D04661" w:rsidRDefault="00CF59E1" w:rsidP="00CF59E1">
            <w:pPr>
              <w:spacing w:after="120"/>
              <w:ind w:left="360" w:hanging="360"/>
              <w:rPr>
                <w:rFonts w:asciiTheme="minorHAnsi" w:hAnsiTheme="minorHAnsi" w:cs="Arial"/>
              </w:rPr>
            </w:pPr>
            <w:r w:rsidRPr="00D04661">
              <w:rPr>
                <w:rFonts w:asciiTheme="minorHAnsi" w:hAnsiTheme="minorHAnsi" w:cs="Arial"/>
              </w:rPr>
              <w:t xml:space="preserve">a) </w:t>
            </w:r>
            <w:r>
              <w:rPr>
                <w:rFonts w:asciiTheme="minorHAnsi" w:hAnsiTheme="minorHAnsi" w:cs="Arial"/>
              </w:rPr>
              <w:tab/>
            </w:r>
            <w:r w:rsidRPr="00D04661">
              <w:rPr>
                <w:rFonts w:asciiTheme="minorHAnsi" w:hAnsiTheme="minorHAnsi" w:cs="Arial"/>
              </w:rPr>
              <w:t>The overall biodiversity value of the offset in comparison to the initial state of the site with a detailed description of the methodologies used.</w:t>
            </w:r>
          </w:p>
          <w:p w14:paraId="5E570E76" w14:textId="77777777" w:rsidR="00CF59E1" w:rsidRPr="00D04661" w:rsidRDefault="00CF59E1" w:rsidP="00CF59E1">
            <w:pPr>
              <w:spacing w:after="120"/>
              <w:ind w:left="360" w:hanging="360"/>
              <w:rPr>
                <w:rFonts w:asciiTheme="minorHAnsi" w:hAnsiTheme="minorHAnsi" w:cs="Arial"/>
              </w:rPr>
            </w:pPr>
            <w:r w:rsidRPr="00D04661">
              <w:rPr>
                <w:rFonts w:asciiTheme="minorHAnsi" w:hAnsiTheme="minorHAnsi" w:cs="Arial"/>
              </w:rPr>
              <w:t xml:space="preserve">b) </w:t>
            </w:r>
            <w:r>
              <w:rPr>
                <w:rFonts w:asciiTheme="minorHAnsi" w:hAnsiTheme="minorHAnsi" w:cs="Arial"/>
              </w:rPr>
              <w:tab/>
            </w:r>
            <w:r w:rsidRPr="00D04661">
              <w:rPr>
                <w:rFonts w:asciiTheme="minorHAnsi" w:hAnsiTheme="minorHAnsi" w:cs="Arial"/>
              </w:rPr>
              <w:t>A detailed budget and timeline of the measures envisaged. Costs associated with offsetting should be factored in the business feasibility analysis.</w:t>
            </w:r>
          </w:p>
          <w:p w14:paraId="4CD29E7B" w14:textId="77777777" w:rsidR="00CF59E1" w:rsidRPr="00D04661" w:rsidRDefault="00CF59E1" w:rsidP="00CF59E1">
            <w:pPr>
              <w:spacing w:after="120"/>
              <w:ind w:left="360" w:hanging="360"/>
              <w:rPr>
                <w:rFonts w:asciiTheme="minorHAnsi" w:hAnsiTheme="minorHAnsi" w:cs="Arial"/>
              </w:rPr>
            </w:pPr>
            <w:r w:rsidRPr="00D04661">
              <w:rPr>
                <w:rFonts w:asciiTheme="minorHAnsi" w:hAnsiTheme="minorHAnsi" w:cs="Arial"/>
              </w:rPr>
              <w:t xml:space="preserve">c) </w:t>
            </w:r>
            <w:r>
              <w:rPr>
                <w:rFonts w:asciiTheme="minorHAnsi" w:hAnsiTheme="minorHAnsi" w:cs="Arial"/>
              </w:rPr>
              <w:tab/>
            </w:r>
            <w:r w:rsidRPr="00D04661">
              <w:rPr>
                <w:rFonts w:asciiTheme="minorHAnsi" w:hAnsiTheme="minorHAnsi" w:cs="Arial"/>
              </w:rPr>
              <w:t>A presentation of all parties involved with their respective role, rights and responsibilities.</w:t>
            </w:r>
          </w:p>
          <w:p w14:paraId="4716B7D0" w14:textId="77777777" w:rsidR="00CF59E1" w:rsidRPr="00D04661" w:rsidRDefault="00CF59E1" w:rsidP="00CF59E1">
            <w:pPr>
              <w:spacing w:after="120"/>
              <w:ind w:left="360" w:hanging="360"/>
              <w:rPr>
                <w:rFonts w:asciiTheme="minorHAnsi" w:hAnsiTheme="minorHAnsi" w:cs="Arial"/>
              </w:rPr>
            </w:pPr>
            <w:r w:rsidRPr="00D04661">
              <w:rPr>
                <w:rFonts w:asciiTheme="minorHAnsi" w:hAnsiTheme="minorHAnsi" w:cs="Arial"/>
              </w:rPr>
              <w:t xml:space="preserve">d) </w:t>
            </w:r>
            <w:r>
              <w:rPr>
                <w:rFonts w:asciiTheme="minorHAnsi" w:hAnsiTheme="minorHAnsi" w:cs="Arial"/>
              </w:rPr>
              <w:tab/>
            </w:r>
            <w:r w:rsidRPr="00D04661">
              <w:rPr>
                <w:rFonts w:asciiTheme="minorHAnsi" w:hAnsiTheme="minorHAnsi" w:cs="Arial"/>
              </w:rPr>
              <w:t>Clear indicators of success of the operation and directions for adapting and correcting measures should indicator targets not be met.</w:t>
            </w:r>
          </w:p>
          <w:p w14:paraId="4D968C51" w14:textId="77777777" w:rsidR="00CF59E1" w:rsidRPr="00D04661" w:rsidRDefault="00CF59E1" w:rsidP="00CF59E1">
            <w:pPr>
              <w:spacing w:after="120"/>
              <w:ind w:left="360" w:hanging="360"/>
              <w:rPr>
                <w:rFonts w:asciiTheme="minorHAnsi" w:hAnsiTheme="minorHAnsi" w:cs="Arial"/>
              </w:rPr>
            </w:pPr>
            <w:r w:rsidRPr="00D04661">
              <w:rPr>
                <w:rFonts w:asciiTheme="minorHAnsi" w:hAnsiTheme="minorHAnsi" w:cs="Arial"/>
              </w:rPr>
              <w:t xml:space="preserve">e) </w:t>
            </w:r>
            <w:r>
              <w:rPr>
                <w:rFonts w:asciiTheme="minorHAnsi" w:hAnsiTheme="minorHAnsi" w:cs="Arial"/>
              </w:rPr>
              <w:tab/>
            </w:r>
            <w:r w:rsidRPr="00D04661">
              <w:rPr>
                <w:rFonts w:asciiTheme="minorHAnsi" w:hAnsiTheme="minorHAnsi" w:cs="Arial"/>
              </w:rPr>
              <w:t>A presentation of reporting duties and timeline.</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EIB, ESH, ESS 3, para. 88)</w:t>
            </w:r>
          </w:p>
          <w:p w14:paraId="2391CC87" w14:textId="77777777" w:rsidR="00CF59E1" w:rsidRPr="00D04661" w:rsidRDefault="00CF59E1" w:rsidP="00CF59E1">
            <w:pPr>
              <w:autoSpaceDE/>
              <w:autoSpaceDN/>
              <w:adjustRightInd/>
              <w:spacing w:after="120"/>
              <w:rPr>
                <w:rFonts w:asciiTheme="minorHAnsi" w:hAnsiTheme="minorHAnsi" w:cs="Times New Roman"/>
              </w:rPr>
            </w:pPr>
            <w:r>
              <w:rPr>
                <w:rFonts w:asciiTheme="minorHAnsi" w:hAnsiTheme="minorHAnsi" w:cs="Times New Roman"/>
              </w:rPr>
              <w:t>“</w:t>
            </w:r>
            <w:r w:rsidRPr="00D04661">
              <w:rPr>
                <w:rFonts w:asciiTheme="minorHAnsi" w:hAnsiTheme="minorHAnsi" w:cs="Times New Roman"/>
              </w:rPr>
              <w:t xml:space="preserve">[T]he Bank will not support operations involving the significant conversion or degradation of natural habitats as defined in this policy, unless:.. (iii) mitigation and compensation measures acceptable to the Bank—including, as appropriate, minimizing habitat loss </w:t>
            </w:r>
            <w:r w:rsidRPr="00D04661">
              <w:rPr>
                <w:rFonts w:asciiTheme="minorHAnsi" w:hAnsiTheme="minorHAnsi" w:cs="Times New Roman"/>
                <w:i/>
              </w:rPr>
              <w:t xml:space="preserve">and </w:t>
            </w:r>
            <w:r w:rsidRPr="00D04661">
              <w:rPr>
                <w:rFonts w:asciiTheme="minorHAnsi" w:hAnsiTheme="minorHAnsi" w:cs="Times New Roman"/>
                <w:b/>
                <w:i/>
              </w:rPr>
              <w:t xml:space="preserve">establishing and maintaining an ecologically similar protected area </w:t>
            </w:r>
            <w:r w:rsidRPr="00D04661">
              <w:rPr>
                <w:rFonts w:asciiTheme="minorHAnsi" w:hAnsiTheme="minorHAnsi" w:cs="Times New Roman"/>
                <w:i/>
              </w:rPr>
              <w:t>that is adequately funded, implemented and monitored.</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IDB, ECSP, para. 4.23</w:t>
            </w:r>
            <w:r w:rsidRPr="00D04661">
              <w:rPr>
                <w:rFonts w:asciiTheme="minorHAnsi" w:hAnsiTheme="minorHAnsi" w:cs="Times New Roman"/>
              </w:rPr>
              <w:t>)</w:t>
            </w:r>
          </w:p>
          <w:p w14:paraId="2B602D5D" w14:textId="77777777" w:rsidR="00CF59E1" w:rsidRPr="00D04661" w:rsidRDefault="00CF59E1" w:rsidP="00CF59E1">
            <w:pPr>
              <w:spacing w:after="120"/>
              <w:rPr>
                <w:rFonts w:asciiTheme="minorHAnsi" w:hAnsiTheme="minorHAnsi" w:cs="Calibri"/>
              </w:rPr>
            </w:pPr>
            <w:r>
              <w:rPr>
                <w:rFonts w:asciiTheme="minorHAnsi" w:hAnsiTheme="minorHAnsi" w:cs="Times New Roman"/>
              </w:rPr>
              <w:t>“</w:t>
            </w:r>
            <w:r w:rsidRPr="00D04661">
              <w:rPr>
                <w:rFonts w:asciiTheme="minorHAnsi" w:hAnsiTheme="minorHAnsi" w:cs="Times New Roman"/>
              </w:rPr>
              <w:t xml:space="preserve">The Bank applies safeguards throughout the project cycle to ensure the environmental sustainability of all Bank-financed operations. In line with sustainable development practices, the Bank takes a general precautionary approach to environmental impacts. The Bank favors avoiding negative environmental impacts; when impacts are unavoidable, Bank-financed operations require mitigation measures; and for impacts that cannot be fully mitigated, compensation </w:t>
            </w:r>
            <w:r w:rsidRPr="00D04661">
              <w:rPr>
                <w:rFonts w:asciiTheme="minorHAnsi" w:hAnsiTheme="minorHAnsi" w:cs="Times New Roman"/>
                <w:b/>
              </w:rPr>
              <w:t>or offsets should be implemented</w:t>
            </w:r>
            <w:r w:rsidRPr="00D04661">
              <w:rPr>
                <w:rFonts w:asciiTheme="minorHAnsi" w:hAnsiTheme="minorHAnsi" w:cs="Times New Roman"/>
              </w:rPr>
              <w:t>.</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IDB, ESCP, para. 4.13</w:t>
            </w:r>
            <w:r w:rsidRPr="00D04661">
              <w:rPr>
                <w:rFonts w:asciiTheme="minorHAnsi" w:hAnsiTheme="minorHAnsi" w:cs="Times New Roman"/>
              </w:rPr>
              <w:t>)</w:t>
            </w:r>
          </w:p>
        </w:tc>
      </w:tr>
      <w:tr w:rsidR="00CF59E1" w:rsidRPr="00D8522E" w14:paraId="3957C144" w14:textId="77777777" w:rsidTr="00CF59E1">
        <w:tc>
          <w:tcPr>
            <w:tcW w:w="6390" w:type="dxa"/>
            <w:shd w:val="clear" w:color="auto" w:fill="auto"/>
            <w:vAlign w:val="center"/>
          </w:tcPr>
          <w:p w14:paraId="0C225776" w14:textId="77777777" w:rsidR="00CF59E1" w:rsidRPr="00273DB8" w:rsidRDefault="00CF59E1" w:rsidP="00CF59E1">
            <w:pPr>
              <w:spacing w:after="120"/>
              <w:rPr>
                <w:rFonts w:asciiTheme="minorHAnsi" w:hAnsiTheme="minorHAnsi" w:cs="Calibri"/>
                <w:b/>
                <w:iCs/>
              </w:rPr>
            </w:pPr>
            <w:r w:rsidRPr="00273DB8">
              <w:rPr>
                <w:rFonts w:asciiTheme="minorHAnsi" w:hAnsiTheme="minorHAnsi" w:cs="Calibri"/>
                <w:b/>
                <w:iCs/>
              </w:rPr>
              <w:t>INVASIVE ALIEN SPECIES</w:t>
            </w:r>
          </w:p>
          <w:p w14:paraId="1C82067D" w14:textId="77777777" w:rsidR="00CF59E1" w:rsidRPr="00D04661" w:rsidRDefault="00CF59E1" w:rsidP="00CF59E1">
            <w:pPr>
              <w:spacing w:after="120"/>
              <w:rPr>
                <w:rFonts w:asciiTheme="minorHAnsi" w:hAnsiTheme="minorHAnsi" w:cs="Arial"/>
              </w:rPr>
            </w:pPr>
            <w:r w:rsidRPr="004056D9">
              <w:rPr>
                <w:rFonts w:asciiTheme="minorHAnsi" w:hAnsiTheme="minorHAnsi" w:cs="Calibri"/>
                <w:b/>
                <w:iCs/>
              </w:rPr>
              <w:t>OP 4.04 para.1:</w:t>
            </w:r>
            <w:r w:rsidRPr="00D04661">
              <w:rPr>
                <w:rFonts w:asciiTheme="minorHAnsi" w:hAnsiTheme="minorHAnsi" w:cs="Arial"/>
              </w:rPr>
              <w:t>The Bank supports, and expects borrowers to apply, a precautionary approach to natural resource management to ensure opportunities for environmentally sustainable development.</w:t>
            </w:r>
            <w:r w:rsidRPr="00D04661">
              <w:rPr>
                <w:rStyle w:val="FootnoteReference"/>
                <w:rFonts w:asciiTheme="minorHAnsi" w:hAnsiTheme="minorHAnsi" w:cs="Arial"/>
              </w:rPr>
              <w:footnoteReference w:id="217"/>
            </w:r>
          </w:p>
          <w:p w14:paraId="433F9ADD" w14:textId="77777777" w:rsidR="00CF59E1" w:rsidRPr="00D04661" w:rsidRDefault="00CF59E1" w:rsidP="00CF59E1">
            <w:pPr>
              <w:tabs>
                <w:tab w:val="left" w:pos="450"/>
              </w:tabs>
              <w:spacing w:after="120"/>
              <w:rPr>
                <w:rFonts w:asciiTheme="minorHAnsi" w:eastAsia="MS Mincho" w:hAnsiTheme="minorHAnsi" w:cs="Calibri"/>
                <w:iCs/>
                <w:lang w:eastAsia="ja-JP"/>
              </w:rPr>
            </w:pPr>
            <w:r w:rsidRPr="00D04661">
              <w:rPr>
                <w:rFonts w:asciiTheme="minorHAnsi" w:hAnsiTheme="minorHAnsi" w:cs="Arial"/>
                <w:b/>
              </w:rPr>
              <w:t>OP 4.36, para.7,</w:t>
            </w:r>
            <w:r w:rsidRPr="00D04661">
              <w:rPr>
                <w:rFonts w:asciiTheme="minorHAnsi" w:hAnsiTheme="minorHAnsi" w:cs="Arial"/>
              </w:rPr>
              <w:t xml:space="preserve"> In view of the potential for plantation projects to introduce invasive species and threaten biodiversity, such projects must be designed to prevent and mitigate these potential threats to natural habitats</w:t>
            </w:r>
            <w:r w:rsidRPr="00D04661">
              <w:rPr>
                <w:rFonts w:asciiTheme="minorHAnsi" w:eastAsia="MS Mincho" w:hAnsiTheme="minorHAnsi" w:cs="Calibri"/>
                <w:iCs/>
                <w:lang w:eastAsia="ja-JP"/>
              </w:rPr>
              <w:t>.</w:t>
            </w:r>
          </w:p>
          <w:p w14:paraId="7A24E5A0" w14:textId="77777777" w:rsidR="00CF59E1" w:rsidRPr="00D04661" w:rsidRDefault="00CF59E1" w:rsidP="00CF59E1">
            <w:pPr>
              <w:spacing w:after="120"/>
              <w:rPr>
                <w:rFonts w:asciiTheme="minorHAnsi" w:hAnsiTheme="minorHAnsi" w:cs="Calibri"/>
                <w:b/>
                <w:iCs/>
                <w:highlight w:val="lightGray"/>
              </w:rPr>
            </w:pPr>
            <w:r w:rsidRPr="00D04661">
              <w:rPr>
                <w:rFonts w:asciiTheme="minorHAnsi" w:hAnsiTheme="minorHAnsi" w:cs="Calibri"/>
                <w:b/>
                <w:iCs/>
              </w:rPr>
              <w:t xml:space="preserve">OP 4.04 Annex A: </w:t>
            </w:r>
            <w:r w:rsidRPr="00D04661">
              <w:rPr>
                <w:rFonts w:asciiTheme="minorHAnsi" w:hAnsiTheme="minorHAnsi" w:cs="Arial"/>
                <w:color w:val="000000"/>
              </w:rPr>
              <w:t xml:space="preserve">(d) </w:t>
            </w:r>
            <w:r w:rsidRPr="00D04661">
              <w:rPr>
                <w:rFonts w:asciiTheme="minorHAnsi" w:hAnsiTheme="minorHAnsi" w:cs="Arial"/>
                <w:i/>
                <w:iCs/>
                <w:color w:val="000000"/>
              </w:rPr>
              <w:t>Degradation</w:t>
            </w:r>
            <w:r w:rsidRPr="00D04661">
              <w:rPr>
                <w:rFonts w:asciiTheme="minorHAnsi" w:hAnsiTheme="minorHAnsi" w:cs="Arial"/>
                <w:color w:val="000000"/>
              </w:rPr>
              <w:t xml:space="preserve"> is modification of a critical or other natural habitat that substantially reduces the habitat's ability to maintain viable populations of its native species.</w:t>
            </w:r>
          </w:p>
          <w:p w14:paraId="748A270E" w14:textId="77777777" w:rsidR="00CF59E1" w:rsidRPr="00D04661" w:rsidRDefault="00CF59E1" w:rsidP="00CF59E1">
            <w:pPr>
              <w:tabs>
                <w:tab w:val="left" w:pos="450"/>
              </w:tabs>
              <w:spacing w:after="120"/>
              <w:rPr>
                <w:rFonts w:asciiTheme="minorHAnsi" w:eastAsia="MS Mincho" w:hAnsiTheme="minorHAnsi" w:cs="Calibri"/>
                <w:iCs/>
                <w:highlight w:val="lightGray"/>
                <w:lang w:eastAsia="ja-JP"/>
              </w:rPr>
            </w:pPr>
          </w:p>
        </w:tc>
        <w:tc>
          <w:tcPr>
            <w:tcW w:w="7200" w:type="dxa"/>
            <w:shd w:val="clear" w:color="auto" w:fill="auto"/>
          </w:tcPr>
          <w:p w14:paraId="73092EB5"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 xml:space="preserve">The borrower or client shall intentionally take precautions to avoid introducing any potentially invasive alien species (that is, species not currently established in the country or region of the project) unless carried out: </w:t>
            </w:r>
          </w:p>
          <w:p w14:paraId="4251C1E0" w14:textId="77777777" w:rsidR="00CF59E1" w:rsidRPr="00D04661" w:rsidRDefault="00CF59E1" w:rsidP="00CF59E1">
            <w:pPr>
              <w:spacing w:after="120"/>
              <w:ind w:left="518" w:hanging="360"/>
              <w:rPr>
                <w:rFonts w:asciiTheme="minorHAnsi" w:hAnsiTheme="minorHAnsi" w:cs="Calibri"/>
              </w:rPr>
            </w:pPr>
            <w:r w:rsidRPr="00D04661">
              <w:rPr>
                <w:rFonts w:asciiTheme="minorHAnsi" w:hAnsiTheme="minorHAnsi" w:cs="Calibri"/>
              </w:rPr>
              <w:t xml:space="preserve">(i) </w:t>
            </w:r>
            <w:r>
              <w:rPr>
                <w:rFonts w:asciiTheme="minorHAnsi" w:hAnsiTheme="minorHAnsi" w:cs="Calibri"/>
              </w:rPr>
              <w:tab/>
            </w:r>
            <w:r w:rsidRPr="00D04661">
              <w:rPr>
                <w:rFonts w:asciiTheme="minorHAnsi" w:hAnsiTheme="minorHAnsi" w:cs="Calibri"/>
              </w:rPr>
              <w:t xml:space="preserve">In accordance with any existing applicable regulatory framework for such introduction46; or/and </w:t>
            </w:r>
          </w:p>
          <w:p w14:paraId="55878C69" w14:textId="77777777" w:rsidR="00CF59E1" w:rsidRPr="00D04661" w:rsidRDefault="00CF59E1" w:rsidP="00CF59E1">
            <w:pPr>
              <w:spacing w:after="120"/>
              <w:ind w:left="518" w:hanging="360"/>
              <w:rPr>
                <w:rFonts w:asciiTheme="minorHAnsi" w:hAnsiTheme="minorHAnsi" w:cs="Calibri"/>
              </w:rPr>
            </w:pPr>
            <w:r w:rsidRPr="00D04661">
              <w:rPr>
                <w:rFonts w:asciiTheme="minorHAnsi" w:hAnsiTheme="minorHAnsi" w:cs="Calibri"/>
              </w:rPr>
              <w:t xml:space="preserve">(ii) </w:t>
            </w:r>
            <w:r>
              <w:rPr>
                <w:rFonts w:asciiTheme="minorHAnsi" w:hAnsiTheme="minorHAnsi" w:cs="Calibri"/>
              </w:rPr>
              <w:tab/>
            </w:r>
            <w:r w:rsidRPr="00D04661">
              <w:rPr>
                <w:rFonts w:asciiTheme="minorHAnsi" w:hAnsiTheme="minorHAnsi" w:cs="Calibri"/>
              </w:rPr>
              <w:t>The introduction is subject to a risk, which may be part of the environmental assessment, to determine the potential for invasive behavior. Under no circumstances shall species known to be invasive be introduced into new environments. The borrower or client shall undertake assessment of the possibility of accidental or unintended introduction of invasive alien species, and identify measures to minimize the potential for release.</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AfDB, OS 3, para. 23)</w:t>
            </w:r>
          </w:p>
          <w:p w14:paraId="4C227069" w14:textId="77777777" w:rsidR="00CF59E1" w:rsidRPr="00D04661" w:rsidRDefault="00CF59E1" w:rsidP="00CF59E1">
            <w:pPr>
              <w:spacing w:after="120"/>
              <w:rPr>
                <w:rFonts w:asciiTheme="minorHAnsi" w:hAnsiTheme="minorHAnsi" w:cs="Arial"/>
                <w:b/>
              </w:rPr>
            </w:pPr>
            <w:r>
              <w:rPr>
                <w:rFonts w:asciiTheme="minorHAnsi" w:hAnsiTheme="minorHAnsi" w:cs="Arial"/>
              </w:rPr>
              <w:t>“</w:t>
            </w:r>
            <w:r w:rsidRPr="00D04661">
              <w:rPr>
                <w:rFonts w:asciiTheme="minorHAnsi" w:hAnsiTheme="minorHAnsi" w:cs="Arial"/>
              </w:rPr>
              <w:t>The borrower/client will not intentionally introduce any new alien species (that is, species not currently established in the country or region of the project) unless carried out in accordance with the existing regulatory framework for such introduction, if such a framework is present, or unless the introduction is subject to a risk assessment (as part of the environmental assessment) to determine the potential for invasive behavior. Under no circumstances must species known to be invasive be introduced into new environments. The borrower/client will undertake assessment of the possibility of accidental or unintended introduction of such invasive alien species and identify measures to minimize the potential for release.</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(ADB, SPS, Appendix 1, para. 31)</w:t>
            </w:r>
          </w:p>
          <w:p w14:paraId="603F44EF" w14:textId="77777777" w:rsidR="00CF59E1" w:rsidRPr="00D04661" w:rsidRDefault="00CF59E1" w:rsidP="00CF59E1">
            <w:pPr>
              <w:spacing w:after="120"/>
              <w:rPr>
                <w:rFonts w:asciiTheme="minorHAnsi" w:hAnsiTheme="minorHAnsi" w:cs="Times New Roman"/>
              </w:rPr>
            </w:pPr>
            <w:r>
              <w:rPr>
                <w:rFonts w:asciiTheme="minorHAnsi" w:hAnsiTheme="minorHAnsi" w:cs="Times New Roman"/>
              </w:rPr>
              <w:t>“</w:t>
            </w:r>
            <w:r w:rsidRPr="00D04661">
              <w:rPr>
                <w:rFonts w:asciiTheme="minorHAnsi" w:hAnsiTheme="minorHAnsi" w:cs="Times New Roman"/>
              </w:rPr>
              <w:t>The Bank will not support operations that introduce invasive species.</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IDB</w:t>
            </w:r>
            <w:r w:rsidRPr="00D04661">
              <w:rPr>
                <w:rFonts w:asciiTheme="minorHAnsi" w:hAnsiTheme="minorHAnsi" w:cs="Times New Roman"/>
              </w:rPr>
              <w:t>)</w:t>
            </w:r>
          </w:p>
          <w:p w14:paraId="76446807" w14:textId="77777777" w:rsidR="00CF59E1" w:rsidRPr="00D04661" w:rsidRDefault="00CF59E1" w:rsidP="00CF59E1">
            <w:pPr>
              <w:spacing w:after="120"/>
              <w:rPr>
                <w:rFonts w:asciiTheme="minorHAnsi" w:hAnsiTheme="minorHAnsi" w:cs="Times New Roman"/>
              </w:rPr>
            </w:pPr>
            <w:r>
              <w:rPr>
                <w:rFonts w:asciiTheme="minorHAnsi" w:hAnsiTheme="minorHAnsi" w:cs="Times New Roman"/>
              </w:rPr>
              <w:t>“</w:t>
            </w:r>
            <w:r w:rsidRPr="00D04661">
              <w:rPr>
                <w:rFonts w:asciiTheme="minorHAnsi" w:hAnsiTheme="minorHAnsi" w:cs="Times New Roman"/>
              </w:rPr>
              <w:t>The promoter is required to take measures to avoid the introduction of invasive species, where there is potential for significant negative biodiversity impact.</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(EIB, Statement, para. 74)</w:t>
            </w:r>
            <w:r w:rsidRPr="00D04661">
              <w:rPr>
                <w:rFonts w:asciiTheme="minorHAnsi" w:hAnsiTheme="minorHAnsi" w:cs="Times New Roman"/>
              </w:rPr>
              <w:t>)</w:t>
            </w:r>
          </w:p>
        </w:tc>
      </w:tr>
      <w:tr w:rsidR="00CF59E1" w:rsidRPr="00D8522E" w14:paraId="680BE574" w14:textId="77777777" w:rsidTr="00CF59E1">
        <w:tc>
          <w:tcPr>
            <w:tcW w:w="6390" w:type="dxa"/>
            <w:shd w:val="clear" w:color="auto" w:fill="auto"/>
            <w:vAlign w:val="center"/>
          </w:tcPr>
          <w:p w14:paraId="769E16C1" w14:textId="77777777" w:rsidR="00CF59E1" w:rsidRPr="0017187A" w:rsidRDefault="00CF59E1" w:rsidP="00CF59E1">
            <w:pPr>
              <w:spacing w:after="120"/>
              <w:rPr>
                <w:rFonts w:asciiTheme="minorHAnsi" w:hAnsiTheme="minorHAnsi" w:cs="Calibri"/>
                <w:b/>
                <w:iCs/>
                <w:lang w:val="de-DE"/>
              </w:rPr>
            </w:pPr>
            <w:r w:rsidRPr="00D04661">
              <w:rPr>
                <w:rFonts w:asciiTheme="minorHAnsi" w:hAnsiTheme="minorHAnsi" w:cs="Calibri"/>
                <w:b/>
                <w:iCs/>
              </w:rPr>
              <w:t>GENETICALLY MODIFIED ORGANISMS (GMOS)</w:t>
            </w:r>
            <w:r w:rsidRPr="00D04661">
              <w:rPr>
                <w:rStyle w:val="FootnoteReference"/>
                <w:rFonts w:asciiTheme="minorHAnsi" w:hAnsiTheme="minorHAnsi" w:cs="Calibri"/>
                <w:b/>
                <w:iCs/>
              </w:rPr>
              <w:footnoteReference w:id="218"/>
            </w:r>
          </w:p>
          <w:p w14:paraId="29DBEE23" w14:textId="77777777" w:rsidR="00CF59E1" w:rsidRPr="0017187A" w:rsidRDefault="00CF59E1" w:rsidP="00CF59E1">
            <w:pPr>
              <w:spacing w:after="120"/>
              <w:rPr>
                <w:rFonts w:asciiTheme="minorHAnsi" w:hAnsiTheme="minorHAnsi" w:cs="Calibri"/>
                <w:b/>
                <w:iCs/>
                <w:highlight w:val="lightGray"/>
                <w:lang w:val="de-DE"/>
              </w:rPr>
            </w:pPr>
          </w:p>
        </w:tc>
        <w:tc>
          <w:tcPr>
            <w:tcW w:w="7200" w:type="dxa"/>
            <w:shd w:val="clear" w:color="auto" w:fill="auto"/>
          </w:tcPr>
          <w:p w14:paraId="754B90A6" w14:textId="77777777" w:rsidR="00CF59E1" w:rsidRPr="00D04661" w:rsidRDefault="00CF59E1" w:rsidP="00CF59E1">
            <w:pPr>
              <w:pStyle w:val="Default"/>
              <w:spacing w:after="120"/>
              <w:rPr>
                <w:rFonts w:asciiTheme="minorHAnsi" w:hAnsiTheme="minorHAnsi" w:cs="Times New Roman"/>
                <w:sz w:val="22"/>
                <w:szCs w:val="22"/>
              </w:rPr>
            </w:pPr>
            <w:r>
              <w:rPr>
                <w:rFonts w:asciiTheme="minorHAnsi" w:hAnsiTheme="minorHAnsi" w:cs="Times New Roman"/>
                <w:sz w:val="22"/>
                <w:szCs w:val="22"/>
              </w:rPr>
              <w:t>“</w:t>
            </w:r>
            <w:r w:rsidRPr="00D04661">
              <w:rPr>
                <w:rFonts w:asciiTheme="minorHAnsi" w:hAnsiTheme="minorHAnsi" w:cs="Times New Roman"/>
                <w:sz w:val="22"/>
                <w:szCs w:val="22"/>
              </w:rPr>
              <w:t>The Bank’s approach to genetically engineered organisms will be demand-driven and consistent with the laws and policies of regional member countries and sub-regional entities. Where the relevant provisions regarding risk-related assessments do not exist, the Bank will be guided by the Cartagena Protocol on Biosafety.</w:t>
            </w:r>
            <w:r>
              <w:rPr>
                <w:rFonts w:asciiTheme="minorHAnsi" w:hAnsiTheme="minorHAnsi" w:cs="Times New Roman"/>
                <w:sz w:val="22"/>
                <w:szCs w:val="22"/>
              </w:rPr>
              <w:t>”</w:t>
            </w:r>
            <w:r w:rsidRPr="00D04661">
              <w:rPr>
                <w:rFonts w:asciiTheme="minorHAnsi" w:hAnsiTheme="minorHAnsi" w:cs="Times New Roman"/>
                <w:sz w:val="22"/>
                <w:szCs w:val="22"/>
              </w:rPr>
              <w:t xml:space="preserve"> (</w:t>
            </w:r>
            <w:r w:rsidRPr="00D04661">
              <w:rPr>
                <w:rFonts w:asciiTheme="minorHAnsi" w:hAnsiTheme="minorHAnsi" w:cs="Times New Roman"/>
                <w:b/>
                <w:sz w:val="22"/>
                <w:szCs w:val="22"/>
              </w:rPr>
              <w:t>AfDB, OS 3, para. 25</w:t>
            </w:r>
            <w:r w:rsidRPr="00D04661">
              <w:rPr>
                <w:rFonts w:asciiTheme="minorHAnsi" w:hAnsiTheme="minorHAnsi" w:cs="Times New Roman"/>
                <w:sz w:val="22"/>
                <w:szCs w:val="22"/>
              </w:rPr>
              <w:t>)</w:t>
            </w:r>
          </w:p>
          <w:p w14:paraId="6EF92BA2"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GMOs are on the EIB’s exclusion list.</w:t>
            </w:r>
            <w:r>
              <w:rPr>
                <w:rFonts w:asciiTheme="minorHAnsi" w:hAnsiTheme="minorHAnsi" w:cs="Calibri"/>
              </w:rPr>
              <w:t xml:space="preserve">” </w:t>
            </w:r>
            <w:r w:rsidRPr="00D04661">
              <w:rPr>
                <w:rFonts w:asciiTheme="minorHAnsi" w:hAnsiTheme="minorHAnsi" w:cs="Calibri"/>
              </w:rPr>
              <w:t>(</w:t>
            </w:r>
            <w:r w:rsidRPr="00D04661">
              <w:rPr>
                <w:rFonts w:asciiTheme="minorHAnsi" w:hAnsiTheme="minorHAnsi" w:cs="Calibri"/>
                <w:b/>
              </w:rPr>
              <w:t>EIB</w:t>
            </w:r>
            <w:r w:rsidRPr="00D04661">
              <w:rPr>
                <w:rFonts w:asciiTheme="minorHAnsi" w:hAnsiTheme="minorHAnsi" w:cs="Calibri"/>
              </w:rPr>
              <w:t>)</w:t>
            </w:r>
          </w:p>
        </w:tc>
      </w:tr>
      <w:tr w:rsidR="00CF59E1" w:rsidRPr="00D8522E" w14:paraId="767FB752" w14:textId="77777777" w:rsidTr="00CF59E1">
        <w:tc>
          <w:tcPr>
            <w:tcW w:w="6390" w:type="dxa"/>
            <w:shd w:val="clear" w:color="auto" w:fill="auto"/>
            <w:vAlign w:val="center"/>
          </w:tcPr>
          <w:p w14:paraId="2B6E79DE" w14:textId="77777777" w:rsidR="00CF59E1" w:rsidRPr="00D04661" w:rsidRDefault="00CF59E1" w:rsidP="00CF59E1">
            <w:pPr>
              <w:spacing w:after="120"/>
              <w:rPr>
                <w:rFonts w:asciiTheme="minorHAnsi" w:hAnsiTheme="minorHAnsi" w:cs="Calibri"/>
                <w:b/>
                <w:iCs/>
              </w:rPr>
            </w:pPr>
            <w:r w:rsidRPr="00D04661">
              <w:rPr>
                <w:rFonts w:asciiTheme="minorHAnsi" w:hAnsiTheme="minorHAnsi" w:cs="Calibri"/>
                <w:b/>
                <w:iCs/>
              </w:rPr>
              <w:t>ENVIRONMENTAL FLOWS</w:t>
            </w:r>
          </w:p>
          <w:p w14:paraId="4846149C" w14:textId="77777777" w:rsidR="00CF59E1" w:rsidRPr="00D04661" w:rsidRDefault="00CF59E1" w:rsidP="00CF59E1">
            <w:pPr>
              <w:spacing w:after="120"/>
              <w:rPr>
                <w:rFonts w:asciiTheme="minorHAnsi" w:hAnsiTheme="minorHAnsi" w:cs="Calibri"/>
                <w:b/>
                <w:iCs/>
              </w:rPr>
            </w:pPr>
            <w:r w:rsidRPr="00D04661">
              <w:rPr>
                <w:rFonts w:asciiTheme="minorHAnsi" w:hAnsiTheme="minorHAnsi" w:cs="Calibri"/>
                <w:b/>
                <w:iCs/>
              </w:rPr>
              <w:t>OP 4.04, para. 1:</w:t>
            </w:r>
            <w:r w:rsidRPr="00D04661">
              <w:rPr>
                <w:rFonts w:asciiTheme="minorHAnsi" w:hAnsiTheme="minorHAnsi" w:cs="Arial"/>
                <w:color w:val="000000"/>
              </w:rPr>
              <w:t xml:space="preserve"> The Bank therefore supports the protection, maintenance, and rehabilitation of natural habitats and their functions in its economic and sector work, project financing, and policy dialogue. </w:t>
            </w:r>
          </w:p>
          <w:p w14:paraId="43919224" w14:textId="77777777" w:rsidR="00CF59E1" w:rsidRPr="004056D9" w:rsidRDefault="00CF59E1" w:rsidP="00CF59E1">
            <w:pPr>
              <w:spacing w:after="120"/>
              <w:rPr>
                <w:rFonts w:asciiTheme="minorHAnsi" w:hAnsiTheme="minorHAnsi" w:cs="Arial"/>
              </w:rPr>
            </w:pPr>
            <w:r w:rsidRPr="00D04661">
              <w:rPr>
                <w:rFonts w:asciiTheme="minorHAnsi" w:hAnsiTheme="minorHAnsi" w:cs="Calibri"/>
                <w:b/>
                <w:iCs/>
              </w:rPr>
              <w:t>OP 4.04, para. 3</w:t>
            </w:r>
            <w:r w:rsidRPr="004056D9">
              <w:rPr>
                <w:rFonts w:asciiTheme="minorHAnsi" w:hAnsiTheme="minorHAnsi" w:cs="Calibri"/>
                <w:b/>
                <w:iCs/>
              </w:rPr>
              <w:t>:</w:t>
            </w:r>
            <w:r w:rsidRPr="004056D9">
              <w:rPr>
                <w:rFonts w:asciiTheme="minorHAnsi" w:hAnsiTheme="minorHAnsi" w:cs="Arial"/>
              </w:rPr>
              <w:t>T</w:t>
            </w:r>
            <w:r w:rsidRPr="00D04661">
              <w:rPr>
                <w:rFonts w:asciiTheme="minorHAnsi" w:hAnsiTheme="minorHAnsi" w:cs="Arial"/>
              </w:rPr>
              <w:t>he Bank promotes and supports …the maintenance of ecological functions</w:t>
            </w:r>
            <w:r w:rsidRPr="00D04661">
              <w:rPr>
                <w:rStyle w:val="FootnoteReference"/>
                <w:rFonts w:asciiTheme="minorHAnsi" w:hAnsiTheme="minorHAnsi" w:cs="Arial"/>
              </w:rPr>
              <w:footnoteReference w:id="219"/>
            </w:r>
          </w:p>
          <w:p w14:paraId="42A05761" w14:textId="77777777" w:rsidR="00CF59E1" w:rsidRPr="00D04661" w:rsidRDefault="00CF59E1" w:rsidP="00CF59E1">
            <w:pPr>
              <w:spacing w:after="120"/>
              <w:rPr>
                <w:rFonts w:asciiTheme="minorHAnsi" w:hAnsiTheme="minorHAnsi" w:cs="Calibri"/>
                <w:b/>
                <w:iCs/>
              </w:rPr>
            </w:pPr>
            <w:r w:rsidRPr="00273DB8">
              <w:rPr>
                <w:rFonts w:asciiTheme="minorHAnsi" w:hAnsiTheme="minorHAnsi" w:cs="Calibri"/>
                <w:b/>
                <w:iCs/>
              </w:rPr>
              <w:t>O</w:t>
            </w:r>
            <w:r w:rsidRPr="00D04661">
              <w:rPr>
                <w:rFonts w:asciiTheme="minorHAnsi" w:hAnsiTheme="minorHAnsi" w:cs="Calibri"/>
                <w:b/>
                <w:iCs/>
              </w:rPr>
              <w:t>P 4.04, para. 9:</w:t>
            </w:r>
            <w:r w:rsidRPr="00D04661">
              <w:rPr>
                <w:rFonts w:asciiTheme="minorHAnsi" w:hAnsiTheme="minorHAnsi" w:cs="Arial"/>
                <w:color w:val="000000"/>
              </w:rPr>
              <w:t xml:space="preserve"> The Bank encourages borrowers to incorporate into their development and environmental strategies analyses of any major natural habitat issues, including identification of important natural habitat sites, the ecological functions they perform, the degree of threat to the sites, priorities for conservation, and associated recurrent-funding and capacity-building needs</w:t>
            </w:r>
            <w:r>
              <w:rPr>
                <w:rFonts w:asciiTheme="minorHAnsi" w:hAnsiTheme="minorHAnsi" w:cs="Calibri"/>
                <w:b/>
                <w:iCs/>
              </w:rPr>
              <w:t>.</w:t>
            </w:r>
          </w:p>
        </w:tc>
        <w:tc>
          <w:tcPr>
            <w:tcW w:w="7200" w:type="dxa"/>
            <w:shd w:val="clear" w:color="auto" w:fill="auto"/>
          </w:tcPr>
          <w:p w14:paraId="1C44F816" w14:textId="77777777" w:rsidR="00CF59E1" w:rsidRPr="00D04661" w:rsidRDefault="00CF59E1" w:rsidP="00CF59E1">
            <w:pPr>
              <w:spacing w:after="120"/>
              <w:rPr>
                <w:rFonts w:asciiTheme="minorHAnsi" w:hAnsiTheme="minorHAnsi" w:cs="Times New Roman"/>
                <w:color w:val="000000"/>
              </w:rPr>
            </w:pPr>
            <w:r>
              <w:rPr>
                <w:rFonts w:asciiTheme="minorHAnsi" w:hAnsiTheme="minorHAnsi" w:cs="Times New Roman"/>
                <w:color w:val="000000"/>
              </w:rPr>
              <w:t>“</w:t>
            </w:r>
            <w:r w:rsidRPr="00D04661">
              <w:rPr>
                <w:rFonts w:asciiTheme="minorHAnsi" w:hAnsiTheme="minorHAnsi" w:cs="Times New Roman"/>
                <w:color w:val="000000"/>
              </w:rPr>
              <w:t xml:space="preserve">For projects that affect water resources, the borrower or client </w:t>
            </w:r>
            <w:r w:rsidRPr="00D04661">
              <w:rPr>
                <w:rFonts w:asciiTheme="minorHAnsi" w:hAnsiTheme="minorHAnsi" w:cs="Times New Roman"/>
                <w:i/>
                <w:color w:val="000000"/>
              </w:rPr>
              <w:t>avoids significantly altering flow regimes in ways that prevent water resources from fulfilling their functions for important upstream and downstream ecosystems and their services to local communities</w:t>
            </w:r>
            <w:r w:rsidRPr="00D04661">
              <w:rPr>
                <w:rFonts w:asciiTheme="minorHAnsi" w:hAnsiTheme="minorHAnsi" w:cs="Times New Roman"/>
                <w:color w:val="000000"/>
              </w:rPr>
              <w:t>. The borrower therefore assesses and manages environmental flows for the conservation and sustainable use of biodiversity and ecosystem services. …The borrower or client ensures that flows are maintained so that they are optimally managed to allow for the multipurpose use of water, including water’s ecological functions, and the integrity of river systems and wetlands. The member country (or group of countries) in which the project takes place is responsible for ensuring compliance through its appropriate water resources management agency. … The borrower or client ensures that the environmental and social assessment uses appropriate methodologies to address the issue of environmental flows according to best practice, including the recommendations of the World Commission on Dams. Before beginning any waterflow project, the borrower or client conducts a participatory water needs audit to determine, in consultation with relevant stakeholders who depend on the river flows for various needs, the minimum baseline ecological flow requirements….</w:t>
            </w:r>
            <w:r>
              <w:rPr>
                <w:rFonts w:asciiTheme="minorHAnsi" w:hAnsiTheme="minorHAnsi" w:cs="Times New Roman"/>
                <w:color w:val="000000"/>
              </w:rPr>
              <w:t>”</w:t>
            </w:r>
            <w:r w:rsidRPr="00D04661">
              <w:rPr>
                <w:rFonts w:asciiTheme="minorHAnsi" w:hAnsiTheme="minorHAnsi" w:cs="Times New Roman"/>
                <w:color w:val="000000"/>
              </w:rPr>
              <w:t xml:space="preserve"> (</w:t>
            </w:r>
            <w:r w:rsidRPr="00D04661">
              <w:rPr>
                <w:rFonts w:asciiTheme="minorHAnsi" w:hAnsiTheme="minorHAnsi" w:cs="Times New Roman"/>
                <w:b/>
                <w:color w:val="000000"/>
              </w:rPr>
              <w:t>AfDB, OS 3, para. 28</w:t>
            </w:r>
            <w:r w:rsidRPr="00D04661">
              <w:rPr>
                <w:rFonts w:asciiTheme="minorHAnsi" w:hAnsiTheme="minorHAnsi" w:cs="Times New Roman"/>
                <w:color w:val="000000"/>
              </w:rPr>
              <w:t xml:space="preserve">) </w:t>
            </w:r>
          </w:p>
          <w:p w14:paraId="1CEE2149"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Natural habitats may be sites that (a) provide critical ecological services required for sustainable human development (e.g., aquifer recharge areas, areas that sustain fisheries, mangrove or other ecosystems that help to prevent or mitigate natural hazards); (b) are vital to ensure the functional integrity of ecosystems (e.g., …, natural springs).</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IDB, Definitions</w:t>
            </w:r>
            <w:r w:rsidRPr="00D04661">
              <w:rPr>
                <w:rFonts w:asciiTheme="minorHAnsi" w:hAnsiTheme="minorHAnsi" w:cs="Calibri"/>
              </w:rPr>
              <w:t>)</w:t>
            </w:r>
          </w:p>
        </w:tc>
      </w:tr>
      <w:tr w:rsidR="00CF59E1" w:rsidRPr="00D8522E" w14:paraId="01185EDD" w14:textId="77777777" w:rsidTr="00CF59E1">
        <w:tc>
          <w:tcPr>
            <w:tcW w:w="6390" w:type="dxa"/>
            <w:shd w:val="clear" w:color="auto" w:fill="auto"/>
            <w:vAlign w:val="center"/>
          </w:tcPr>
          <w:p w14:paraId="1CA8C1C6" w14:textId="77777777" w:rsidR="00CF59E1" w:rsidRPr="00D04661" w:rsidRDefault="00CF59E1" w:rsidP="00CF59E1">
            <w:pPr>
              <w:spacing w:after="120"/>
              <w:rPr>
                <w:rFonts w:asciiTheme="minorHAnsi" w:hAnsiTheme="minorHAnsi" w:cs="Calibri"/>
                <w:b/>
                <w:iCs/>
              </w:rPr>
            </w:pPr>
            <w:r>
              <w:rPr>
                <w:rFonts w:asciiTheme="minorHAnsi" w:hAnsiTheme="minorHAnsi" w:cs="Calibri"/>
                <w:b/>
                <w:iCs/>
              </w:rPr>
              <w:t>RENEWABLE NATURAL RESOURCES</w:t>
            </w:r>
          </w:p>
          <w:p w14:paraId="111E7B82" w14:textId="77777777" w:rsidR="00CF59E1" w:rsidRDefault="00CF59E1" w:rsidP="00CF59E1">
            <w:pPr>
              <w:autoSpaceDE/>
              <w:autoSpaceDN/>
              <w:adjustRightInd/>
              <w:spacing w:after="120"/>
              <w:rPr>
                <w:rFonts w:asciiTheme="minorHAnsi" w:eastAsia="Times New Roman" w:hAnsiTheme="minorHAnsi" w:cs="Arial"/>
                <w:b/>
              </w:rPr>
            </w:pPr>
            <w:r w:rsidRPr="00D04661">
              <w:rPr>
                <w:rFonts w:asciiTheme="minorHAnsi" w:eastAsia="Times New Roman" w:hAnsiTheme="minorHAnsi" w:cs="Arial"/>
                <w:b/>
              </w:rPr>
              <w:t xml:space="preserve">OP 4.01 </w:t>
            </w:r>
            <w:r>
              <w:rPr>
                <w:rFonts w:asciiTheme="minorHAnsi" w:eastAsia="Times New Roman" w:hAnsiTheme="minorHAnsi" w:cs="Arial"/>
                <w:b/>
              </w:rPr>
              <w:t xml:space="preserve">para. </w:t>
            </w:r>
            <w:r w:rsidRPr="00D04661">
              <w:rPr>
                <w:rFonts w:asciiTheme="minorHAnsi" w:eastAsia="Times New Roman" w:hAnsiTheme="minorHAnsi" w:cs="Arial"/>
                <w:b/>
              </w:rPr>
              <w:t>1:</w:t>
            </w:r>
            <w:r w:rsidRPr="00D04661">
              <w:rPr>
                <w:rFonts w:asciiTheme="minorHAnsi" w:hAnsiTheme="minorHAnsi" w:cs="Arial"/>
                <w:color w:val="000000"/>
              </w:rPr>
              <w:t xml:space="preserve"> 1. The Ban</w:t>
            </w:r>
            <w:r>
              <w:rPr>
                <w:rFonts w:asciiTheme="minorHAnsi" w:hAnsiTheme="minorHAnsi" w:cs="Arial"/>
                <w:color w:val="000000"/>
              </w:rPr>
              <w:t>k</w:t>
            </w:r>
            <w:r w:rsidRPr="00D04661">
              <w:rPr>
                <w:rFonts w:asciiTheme="minorHAnsi" w:hAnsiTheme="minorHAnsi" w:cs="Arial"/>
                <w:color w:val="000000"/>
              </w:rPr>
              <w:t xml:space="preserve"> requires environmental assessment (EA) of projects proposed for Bank financing to help ensure that they are environmentally sound and sustainable</w:t>
            </w:r>
            <w:r>
              <w:rPr>
                <w:rFonts w:asciiTheme="minorHAnsi" w:hAnsiTheme="minorHAnsi" w:cs="Arial"/>
                <w:color w:val="000000"/>
              </w:rPr>
              <w:t xml:space="preserve">. </w:t>
            </w:r>
          </w:p>
          <w:p w14:paraId="5974F501" w14:textId="77777777" w:rsidR="00CF59E1" w:rsidRPr="00D04661" w:rsidRDefault="00CF59E1" w:rsidP="00CF59E1">
            <w:pPr>
              <w:autoSpaceDE/>
              <w:autoSpaceDN/>
              <w:adjustRightInd/>
              <w:spacing w:after="120"/>
              <w:rPr>
                <w:rFonts w:asciiTheme="minorHAnsi" w:eastAsia="Times New Roman" w:hAnsiTheme="minorHAnsi" w:cs="Arial"/>
                <w:b/>
              </w:rPr>
            </w:pPr>
            <w:r w:rsidRPr="00D04661">
              <w:rPr>
                <w:rFonts w:asciiTheme="minorHAnsi" w:eastAsia="Times New Roman" w:hAnsiTheme="minorHAnsi" w:cs="Arial"/>
                <w:b/>
              </w:rPr>
              <w:t>OP 4.36, Forests</w:t>
            </w:r>
          </w:p>
          <w:p w14:paraId="76E80BD7" w14:textId="77777777" w:rsidR="00CF59E1" w:rsidRPr="00D04661" w:rsidRDefault="00CF59E1" w:rsidP="00CF59E1">
            <w:pPr>
              <w:autoSpaceDE/>
              <w:autoSpaceDN/>
              <w:adjustRightInd/>
              <w:spacing w:after="120"/>
              <w:rPr>
                <w:rFonts w:asciiTheme="minorHAnsi" w:eastAsia="Times New Roman" w:hAnsiTheme="minorHAnsi" w:cs="Arial"/>
              </w:rPr>
            </w:pPr>
            <w:r>
              <w:rPr>
                <w:rFonts w:asciiTheme="minorHAnsi" w:eastAsia="Times New Roman" w:hAnsiTheme="minorHAnsi" w:cs="Arial"/>
                <w:b/>
              </w:rPr>
              <w:t xml:space="preserve">Para. </w:t>
            </w:r>
            <w:r w:rsidRPr="00D04661">
              <w:rPr>
                <w:rFonts w:asciiTheme="minorHAnsi" w:eastAsia="Times New Roman" w:hAnsiTheme="minorHAnsi" w:cs="Arial"/>
                <w:b/>
              </w:rPr>
              <w:t>9.</w:t>
            </w:r>
            <w:r w:rsidRPr="00D04661">
              <w:rPr>
                <w:rFonts w:asciiTheme="minorHAnsi" w:eastAsia="Times New Roman" w:hAnsiTheme="minorHAnsi" w:cs="Arial"/>
              </w:rPr>
              <w:t xml:space="preserve"> To be eligible for Bank financing, industrial-scale commercial harvesting operations must also </w:t>
            </w:r>
          </w:p>
          <w:p w14:paraId="3F1B2733" w14:textId="77777777" w:rsidR="00CF59E1" w:rsidRPr="00D04661" w:rsidRDefault="00CF59E1" w:rsidP="00CF59E1">
            <w:pPr>
              <w:autoSpaceDE/>
              <w:autoSpaceDN/>
              <w:adjustRightInd/>
              <w:spacing w:after="120"/>
              <w:rPr>
                <w:rFonts w:asciiTheme="minorHAnsi" w:eastAsia="Times New Roman" w:hAnsiTheme="minorHAnsi" w:cs="Arial"/>
              </w:rPr>
            </w:pPr>
            <w:r w:rsidRPr="00D04661">
              <w:rPr>
                <w:rFonts w:asciiTheme="minorHAnsi" w:eastAsia="Times New Roman" w:hAnsiTheme="minorHAnsi" w:cs="Arial"/>
                <w:b/>
              </w:rPr>
              <w:t>a)</w:t>
            </w:r>
            <w:r w:rsidRPr="00D04661">
              <w:rPr>
                <w:rFonts w:asciiTheme="minorHAnsi" w:eastAsia="Times New Roman" w:hAnsiTheme="minorHAnsi" w:cs="Arial"/>
              </w:rPr>
              <w:t xml:space="preserve"> be certified under an independent forest certification system acceptable to the Bank as meeting standards of responsible forest management and use; or b) where a pre-assessment under such an independent forest certification system determines that the operation does not yet meet the requirements of subparagraph 9(a), adhere to a time-bound phased action plan acceptable to the Bank for achieving certification to such standards.</w:t>
            </w:r>
          </w:p>
          <w:p w14:paraId="0FBB9F2E" w14:textId="77777777" w:rsidR="00CF59E1" w:rsidRPr="00D04661" w:rsidRDefault="00CF59E1" w:rsidP="00CF59E1">
            <w:pPr>
              <w:pStyle w:val="NormalWeb"/>
              <w:spacing w:before="0" w:beforeAutospacing="0" w:after="120" w:afterAutospacing="0"/>
              <w:rPr>
                <w:rFonts w:asciiTheme="minorHAnsi" w:hAnsiTheme="minorHAnsi" w:cs="Arial"/>
                <w:sz w:val="22"/>
                <w:szCs w:val="22"/>
              </w:rPr>
            </w:pPr>
            <w:r w:rsidRPr="00D04661">
              <w:rPr>
                <w:rFonts w:asciiTheme="minorHAnsi" w:hAnsiTheme="minorHAnsi" w:cs="Arial"/>
                <w:b/>
                <w:sz w:val="22"/>
                <w:szCs w:val="22"/>
              </w:rPr>
              <w:t>OP 4.36 para. 15</w:t>
            </w:r>
            <w:r w:rsidRPr="00D04661">
              <w:rPr>
                <w:rFonts w:asciiTheme="minorHAnsi" w:hAnsiTheme="minorHAnsi" w:cs="Arial"/>
                <w:sz w:val="22"/>
                <w:szCs w:val="22"/>
              </w:rPr>
              <w:t>. As appropriate, the design of projects that use forest resources or provide environmental services includes an evaluation of the prospects for the development of new markets and marketing arrangements for non-timber forest products and related forest goods and services, taking into account the full range of goods and environmental services from well-managed forests.</w:t>
            </w:r>
          </w:p>
        </w:tc>
        <w:tc>
          <w:tcPr>
            <w:tcW w:w="7200" w:type="dxa"/>
            <w:shd w:val="clear" w:color="auto" w:fill="auto"/>
          </w:tcPr>
          <w:p w14:paraId="2BD65E69" w14:textId="77777777" w:rsidR="00CF59E1" w:rsidRPr="00D04661" w:rsidRDefault="00CF59E1" w:rsidP="00CF59E1">
            <w:pPr>
              <w:spacing w:after="120"/>
              <w:rPr>
                <w:rFonts w:asciiTheme="minorHAnsi" w:hAnsiTheme="minorHAnsi" w:cs="Calibri"/>
              </w:rPr>
            </w:pPr>
            <w:r>
              <w:rPr>
                <w:rFonts w:asciiTheme="minorHAnsi" w:hAnsiTheme="minorHAnsi" w:cs="Calibri"/>
                <w:i/>
                <w:iCs/>
              </w:rPr>
              <w:t>“</w:t>
            </w:r>
            <w:r w:rsidRPr="00D04661">
              <w:rPr>
                <w:rFonts w:asciiTheme="minorHAnsi" w:hAnsiTheme="minorHAnsi" w:cs="Calibri"/>
                <w:iCs/>
              </w:rPr>
              <w:t>In p</w:t>
            </w:r>
            <w:r w:rsidRPr="00D04661">
              <w:rPr>
                <w:rFonts w:asciiTheme="minorHAnsi" w:hAnsiTheme="minorHAnsi" w:cs="Calibri"/>
              </w:rPr>
              <w:t xml:space="preserve">rojects whose main objective includes the extraction of renewable natural resources – such as forestry, </w:t>
            </w:r>
            <w:r w:rsidRPr="00D04661">
              <w:rPr>
                <w:rFonts w:asciiTheme="minorHAnsi" w:hAnsiTheme="minorHAnsi" w:cs="Calibri"/>
                <w:i/>
              </w:rPr>
              <w:t>wild fisheries, agriculture, animal breeding and aquaculture</w:t>
            </w:r>
            <w:r w:rsidRPr="00D04661">
              <w:rPr>
                <w:rFonts w:asciiTheme="minorHAnsi" w:hAnsiTheme="minorHAnsi" w:cs="Calibri"/>
              </w:rPr>
              <w:t xml:space="preserve"> –these resources are managed in a sustainable manner, with </w:t>
            </w:r>
            <w:r w:rsidRPr="00D04661">
              <w:rPr>
                <w:rFonts w:asciiTheme="minorHAnsi" w:hAnsiTheme="minorHAnsi" w:cs="Calibri"/>
                <w:i/>
              </w:rPr>
              <w:t>preference for internationally recognized systems of certification of sustainable management and use</w:t>
            </w:r>
            <w:r w:rsidRPr="00D04661">
              <w:rPr>
                <w:rFonts w:asciiTheme="minorHAnsi" w:hAnsiTheme="minorHAnsi" w:cs="Calibri"/>
              </w:rPr>
              <w:t>.</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 xml:space="preserve">AfDB, OS 3, para. 30) </w:t>
            </w:r>
            <w:r w:rsidRPr="00D04661">
              <w:rPr>
                <w:rFonts w:asciiTheme="minorHAnsi" w:hAnsiTheme="minorHAnsi" w:cs="Calibri"/>
              </w:rPr>
              <w:t>(</w:t>
            </w:r>
            <w:r w:rsidRPr="00D04661">
              <w:rPr>
                <w:rFonts w:asciiTheme="minorHAnsi" w:hAnsiTheme="minorHAnsi" w:cs="Calibri"/>
                <w:i/>
              </w:rPr>
              <w:t>emphasis added</w:t>
            </w:r>
            <w:r w:rsidRPr="00D04661">
              <w:rPr>
                <w:rFonts w:asciiTheme="minorHAnsi" w:hAnsiTheme="minorHAnsi" w:cs="Calibri"/>
              </w:rPr>
              <w:t>)</w:t>
            </w:r>
          </w:p>
          <w:p w14:paraId="59F0AC8C" w14:textId="77777777" w:rsidR="00CF59E1" w:rsidRPr="00D04661" w:rsidRDefault="00CF59E1" w:rsidP="00CF59E1">
            <w:pPr>
              <w:spacing w:after="120"/>
              <w:rPr>
                <w:rFonts w:asciiTheme="minorHAnsi" w:hAnsiTheme="minorHAnsi" w:cs="Calibri"/>
              </w:rPr>
            </w:pPr>
            <w:r>
              <w:rPr>
                <w:rFonts w:asciiTheme="minorHAnsi" w:hAnsiTheme="minorHAnsi" w:cs="Arial"/>
                <w:bCs/>
              </w:rPr>
              <w:t>“</w:t>
            </w:r>
            <w:r w:rsidRPr="00D04661">
              <w:rPr>
                <w:rFonts w:asciiTheme="minorHAnsi" w:hAnsiTheme="minorHAnsi" w:cs="Arial"/>
              </w:rPr>
              <w:t>Renewable natural resources will be managed in a sustainable manner. Sustainable resource management is management of the use, development, and protection of resources in a way, or at a rate, that enables people and communities, including Indigenous Peoples, to provide for their current social, economic, and cultural well-being while also sustaining the potential of those resources to meet the reasonably foreseeable needs of future generations. This includes safeguarding the life-supporting capacity of air, water, and soil ecosystems. Where possible, the borrower/client will demonstrate the sustainable management of resources through an appropriate system of independent certification.</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(ADB, SPS, Appendix 1, para. 32).</w:t>
            </w:r>
          </w:p>
        </w:tc>
      </w:tr>
      <w:tr w:rsidR="00CF59E1" w:rsidRPr="00D8522E" w14:paraId="697A8310" w14:textId="77777777" w:rsidTr="00CF59E1">
        <w:tc>
          <w:tcPr>
            <w:tcW w:w="6390" w:type="dxa"/>
            <w:shd w:val="clear" w:color="auto" w:fill="auto"/>
            <w:vAlign w:val="center"/>
          </w:tcPr>
          <w:p w14:paraId="1EFBFC42" w14:textId="77777777" w:rsidR="00CF59E1" w:rsidRPr="00D04661" w:rsidRDefault="00CF59E1" w:rsidP="00CF59E1">
            <w:pPr>
              <w:spacing w:after="120"/>
              <w:rPr>
                <w:rFonts w:asciiTheme="minorHAnsi" w:hAnsiTheme="minorHAnsi" w:cs="Calibri"/>
                <w:b/>
                <w:iCs/>
              </w:rPr>
            </w:pPr>
            <w:r w:rsidRPr="00D04661">
              <w:rPr>
                <w:rFonts w:asciiTheme="minorHAnsi" w:hAnsiTheme="minorHAnsi" w:cs="Calibri"/>
                <w:b/>
                <w:iCs/>
              </w:rPr>
              <w:t xml:space="preserve">SUPPLY CHAINS OF LIVING RESOURCES </w:t>
            </w:r>
          </w:p>
        </w:tc>
        <w:tc>
          <w:tcPr>
            <w:tcW w:w="7200" w:type="dxa"/>
            <w:shd w:val="clear" w:color="auto" w:fill="auto"/>
          </w:tcPr>
          <w:p w14:paraId="44093DC1" w14:textId="77777777" w:rsidR="00CF59E1" w:rsidRPr="00D04661" w:rsidRDefault="00CF59E1" w:rsidP="00CF59E1">
            <w:pPr>
              <w:spacing w:after="120"/>
              <w:rPr>
                <w:rFonts w:asciiTheme="minorHAnsi" w:hAnsiTheme="minorHAnsi" w:cs="Calibri"/>
              </w:rPr>
            </w:pPr>
            <w:r>
              <w:rPr>
                <w:rFonts w:asciiTheme="minorHAnsi" w:hAnsiTheme="minorHAnsi" w:cs="Calibri"/>
                <w:iCs/>
              </w:rPr>
              <w:t>“</w:t>
            </w:r>
            <w:r w:rsidRPr="00D04661">
              <w:rPr>
                <w:rFonts w:asciiTheme="minorHAnsi" w:hAnsiTheme="minorHAnsi" w:cs="Calibri"/>
              </w:rPr>
              <w:t xml:space="preserve">If the borrower or client uses external suppliers of living resources, where the borrower or client does not have management control over their sourcing and the resources are key to the project’s core functions, the borrower or client shall develop and implement a sustainable resources-procurement policy, procedures, and action plan to ensure that: </w:t>
            </w:r>
          </w:p>
          <w:p w14:paraId="3192E8EC" w14:textId="77777777" w:rsidR="00CF59E1" w:rsidRPr="00D04661" w:rsidRDefault="00CF59E1" w:rsidP="00CF59E1">
            <w:pPr>
              <w:spacing w:after="120"/>
              <w:ind w:left="360" w:hanging="360"/>
              <w:rPr>
                <w:rFonts w:asciiTheme="minorHAnsi" w:hAnsiTheme="minorHAnsi" w:cs="Calibri"/>
              </w:rPr>
            </w:pPr>
            <w:r w:rsidRPr="00D04661">
              <w:rPr>
                <w:rFonts w:asciiTheme="minorHAnsi" w:hAnsiTheme="minorHAnsi" w:cs="Calibri"/>
              </w:rPr>
              <w:t xml:space="preserve">a) </w:t>
            </w:r>
            <w:r>
              <w:rPr>
                <w:rFonts w:asciiTheme="minorHAnsi" w:hAnsiTheme="minorHAnsi" w:cs="Calibri"/>
              </w:rPr>
              <w:tab/>
            </w:r>
            <w:r w:rsidRPr="00D04661">
              <w:rPr>
                <w:rFonts w:asciiTheme="minorHAnsi" w:hAnsiTheme="minorHAnsi" w:cs="Calibri"/>
              </w:rPr>
              <w:t xml:space="preserve">Only resources of a legal and sustainable origin are purchased,; </w:t>
            </w:r>
          </w:p>
          <w:p w14:paraId="6BFE72C2" w14:textId="77777777" w:rsidR="00CF59E1" w:rsidRPr="00D04661" w:rsidRDefault="00CF59E1" w:rsidP="00CF59E1">
            <w:pPr>
              <w:spacing w:after="120"/>
              <w:ind w:left="360" w:hanging="360"/>
              <w:rPr>
                <w:rFonts w:asciiTheme="minorHAnsi" w:hAnsiTheme="minorHAnsi" w:cs="Calibri"/>
              </w:rPr>
            </w:pPr>
            <w:r w:rsidRPr="00D04661">
              <w:rPr>
                <w:rFonts w:asciiTheme="minorHAnsi" w:hAnsiTheme="minorHAnsi" w:cs="Calibri"/>
              </w:rPr>
              <w:t xml:space="preserve">b) </w:t>
            </w:r>
            <w:r>
              <w:rPr>
                <w:rFonts w:asciiTheme="minorHAnsi" w:hAnsiTheme="minorHAnsi" w:cs="Calibri"/>
              </w:rPr>
              <w:tab/>
            </w:r>
            <w:r w:rsidRPr="00D04661">
              <w:rPr>
                <w:rFonts w:asciiTheme="minorHAnsi" w:hAnsiTheme="minorHAnsi" w:cs="Calibri"/>
              </w:rPr>
              <w:t xml:space="preserve">The origin of the resources is monitored; and, </w:t>
            </w:r>
          </w:p>
          <w:p w14:paraId="1B857231" w14:textId="77777777" w:rsidR="00CF59E1" w:rsidRPr="00D04661" w:rsidRDefault="00CF59E1" w:rsidP="00CF59E1">
            <w:pPr>
              <w:spacing w:after="120"/>
              <w:ind w:left="360" w:hanging="360"/>
              <w:rPr>
                <w:rFonts w:asciiTheme="minorHAnsi" w:hAnsiTheme="minorHAnsi" w:cs="Calibri"/>
              </w:rPr>
            </w:pPr>
            <w:r w:rsidRPr="00D04661">
              <w:rPr>
                <w:rFonts w:asciiTheme="minorHAnsi" w:hAnsiTheme="minorHAnsi" w:cs="Calibri"/>
              </w:rPr>
              <w:t xml:space="preserve">c) </w:t>
            </w:r>
            <w:r>
              <w:rPr>
                <w:rFonts w:asciiTheme="minorHAnsi" w:hAnsiTheme="minorHAnsi" w:cs="Calibri"/>
              </w:rPr>
              <w:tab/>
            </w:r>
            <w:r w:rsidRPr="00D04661">
              <w:rPr>
                <w:rFonts w:asciiTheme="minorHAnsi" w:hAnsiTheme="minorHAnsi" w:cs="Calibri"/>
              </w:rPr>
              <w:t>The resources do not originate from legally protected areas or internationally recognized high conservation value areas.</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iCs/>
              </w:rPr>
              <w:t>AfDB, OS 3, para. 31)</w:t>
            </w:r>
          </w:p>
        </w:tc>
      </w:tr>
      <w:tr w:rsidR="00CF59E1" w:rsidRPr="00D8522E" w14:paraId="03F89CAC" w14:textId="77777777" w:rsidTr="00CF59E1">
        <w:tc>
          <w:tcPr>
            <w:tcW w:w="6390" w:type="dxa"/>
            <w:shd w:val="clear" w:color="auto" w:fill="auto"/>
            <w:vAlign w:val="center"/>
          </w:tcPr>
          <w:p w14:paraId="1C02DEAC" w14:textId="77777777" w:rsidR="00CF59E1" w:rsidRPr="00D04661" w:rsidRDefault="00CF59E1" w:rsidP="00CF59E1">
            <w:pPr>
              <w:spacing w:after="120"/>
              <w:rPr>
                <w:rFonts w:asciiTheme="minorHAnsi" w:hAnsiTheme="minorHAnsi" w:cs="Calibri"/>
                <w:b/>
                <w:iCs/>
              </w:rPr>
            </w:pPr>
            <w:r w:rsidRPr="00D04661">
              <w:rPr>
                <w:rFonts w:asciiTheme="minorHAnsi" w:hAnsiTheme="minorHAnsi" w:cs="Calibri"/>
                <w:b/>
                <w:iCs/>
              </w:rPr>
              <w:t>MANAGEMENT OF ECOSYSTEM SERVICES</w:t>
            </w:r>
          </w:p>
          <w:p w14:paraId="35252881" w14:textId="77777777" w:rsidR="00CF59E1" w:rsidRPr="00273DB8" w:rsidRDefault="00CF59E1" w:rsidP="00CF59E1">
            <w:pPr>
              <w:spacing w:after="120"/>
              <w:rPr>
                <w:rFonts w:asciiTheme="minorHAnsi" w:hAnsiTheme="minorHAnsi" w:cs="Arial"/>
              </w:rPr>
            </w:pPr>
            <w:r w:rsidRPr="00D04661">
              <w:rPr>
                <w:rFonts w:asciiTheme="minorHAnsi" w:hAnsiTheme="minorHAnsi" w:cs="Calibri"/>
                <w:b/>
                <w:iCs/>
              </w:rPr>
              <w:t>OP 4.04, para. 3</w:t>
            </w:r>
            <w:r>
              <w:rPr>
                <w:rFonts w:asciiTheme="minorHAnsi" w:hAnsiTheme="minorHAnsi" w:cs="Calibri"/>
                <w:b/>
                <w:iCs/>
              </w:rPr>
              <w:t xml:space="preserve">: </w:t>
            </w:r>
            <w:r w:rsidRPr="00D04661">
              <w:rPr>
                <w:rFonts w:asciiTheme="minorHAnsi" w:hAnsiTheme="minorHAnsi" w:cs="Arial"/>
              </w:rPr>
              <w:t>The Bank promotes and supports …the maintenance of ecological functions</w:t>
            </w:r>
          </w:p>
          <w:p w14:paraId="6D8FA34B" w14:textId="77777777" w:rsidR="00CF59E1" w:rsidRPr="00D04661" w:rsidRDefault="00CF59E1" w:rsidP="00CF59E1">
            <w:pPr>
              <w:spacing w:after="120"/>
              <w:rPr>
                <w:rFonts w:asciiTheme="minorHAnsi" w:hAnsiTheme="minorHAnsi" w:cs="Calibri"/>
                <w:b/>
                <w:iCs/>
              </w:rPr>
            </w:pPr>
            <w:r w:rsidRPr="00273DB8">
              <w:rPr>
                <w:rFonts w:asciiTheme="minorHAnsi" w:hAnsiTheme="minorHAnsi" w:cs="Calibri"/>
                <w:b/>
                <w:iCs/>
              </w:rPr>
              <w:t>O</w:t>
            </w:r>
            <w:r w:rsidRPr="00D04661">
              <w:rPr>
                <w:rFonts w:asciiTheme="minorHAnsi" w:hAnsiTheme="minorHAnsi" w:cs="Calibri"/>
                <w:b/>
                <w:iCs/>
              </w:rPr>
              <w:t>P 4.04, para. 1:</w:t>
            </w:r>
            <w:r w:rsidRPr="00D04661">
              <w:rPr>
                <w:rFonts w:asciiTheme="minorHAnsi" w:hAnsiTheme="minorHAnsi" w:cs="Arial"/>
                <w:color w:val="000000"/>
              </w:rPr>
              <w:t xml:space="preserve"> The Bank therefore supports the protection, maintenance, and rehabilitation of natural habitats and their functions in its economic and sector work, project financing, and policy dialogue. </w:t>
            </w:r>
          </w:p>
          <w:p w14:paraId="3A786A8F" w14:textId="77777777" w:rsidR="00CF59E1" w:rsidRPr="00273DB8" w:rsidRDefault="00CF59E1" w:rsidP="00CF59E1">
            <w:pPr>
              <w:spacing w:after="120"/>
              <w:rPr>
                <w:rFonts w:asciiTheme="minorHAnsi" w:hAnsiTheme="minorHAnsi" w:cs="Calibri"/>
                <w:b/>
                <w:iCs/>
              </w:rPr>
            </w:pPr>
            <w:r w:rsidRPr="00D04661">
              <w:rPr>
                <w:rFonts w:asciiTheme="minorHAnsi" w:hAnsiTheme="minorHAnsi" w:cs="Calibri"/>
                <w:b/>
                <w:iCs/>
              </w:rPr>
              <w:t>OP 4.04, para. 9:</w:t>
            </w:r>
            <w:r w:rsidRPr="00D04661">
              <w:rPr>
                <w:rFonts w:asciiTheme="minorHAnsi" w:hAnsiTheme="minorHAnsi" w:cs="Arial"/>
                <w:color w:val="000000"/>
              </w:rPr>
              <w:t xml:space="preserve"> The Bank encourages borrowers to incorporate into their development and environmental strategies analyses of any major natural habitat issues, including identification of important natural habitat sites, the ecological functions they perform, the degree of threat to the </w:t>
            </w:r>
            <w:r w:rsidRPr="00EB19F0">
              <w:rPr>
                <w:rFonts w:asciiTheme="minorHAnsi" w:hAnsiTheme="minorHAnsi" w:cs="Arial"/>
                <w:color w:val="000000"/>
              </w:rPr>
              <w:t>sites, priorities for conservation, and associated recurrent-funding and capacity-building needs</w:t>
            </w:r>
            <w:r w:rsidRPr="00273DB8">
              <w:rPr>
                <w:rFonts w:asciiTheme="minorHAnsi" w:hAnsiTheme="minorHAnsi" w:cs="Arial"/>
                <w:color w:val="000000"/>
              </w:rPr>
              <w:t>.</w:t>
            </w:r>
          </w:p>
          <w:p w14:paraId="389CC299" w14:textId="77777777" w:rsidR="00CF59E1" w:rsidRDefault="00CF59E1" w:rsidP="00CF59E1">
            <w:pPr>
              <w:spacing w:after="120"/>
              <w:rPr>
                <w:rFonts w:asciiTheme="minorHAnsi" w:hAnsiTheme="minorHAnsi" w:cs="Calibri"/>
                <w:b/>
                <w:iCs/>
              </w:rPr>
            </w:pPr>
            <w:r w:rsidRPr="00273DB8">
              <w:rPr>
                <w:rFonts w:asciiTheme="minorHAnsi" w:hAnsiTheme="minorHAnsi" w:cs="Calibri"/>
                <w:b/>
                <w:iCs/>
              </w:rPr>
              <w:t>O</w:t>
            </w:r>
            <w:r w:rsidRPr="00D04661">
              <w:rPr>
                <w:rFonts w:asciiTheme="minorHAnsi" w:hAnsiTheme="minorHAnsi" w:cs="Calibri"/>
                <w:b/>
                <w:iCs/>
              </w:rPr>
              <w:t>P 4.04, Annex A:</w:t>
            </w:r>
            <w:r w:rsidRPr="00D04661">
              <w:rPr>
                <w:rFonts w:asciiTheme="minorHAnsi" w:hAnsiTheme="minorHAnsi" w:cs="Arial"/>
                <w:color w:val="000000"/>
              </w:rPr>
              <w:t xml:space="preserve"> (e) </w:t>
            </w:r>
            <w:r w:rsidRPr="00D04661">
              <w:rPr>
                <w:rFonts w:asciiTheme="minorHAnsi" w:hAnsiTheme="minorHAnsi" w:cs="Arial"/>
                <w:i/>
                <w:iCs/>
                <w:color w:val="000000"/>
              </w:rPr>
              <w:t>Appropriate conservation and mitigation measures</w:t>
            </w:r>
            <w:r w:rsidRPr="00D04661">
              <w:rPr>
                <w:rFonts w:asciiTheme="minorHAnsi" w:hAnsiTheme="minorHAnsi" w:cs="Arial"/>
                <w:color w:val="000000"/>
              </w:rPr>
              <w:t xml:space="preserve"> remove or reduce adverse impacts on natural habitats or their functions, keeping such impacts within socially defined limits of acceptable environmental change.</w:t>
            </w:r>
          </w:p>
          <w:p w14:paraId="70E22878" w14:textId="77777777" w:rsidR="00CF59E1" w:rsidRPr="00273DB8" w:rsidRDefault="00CF59E1" w:rsidP="00CF59E1">
            <w:pPr>
              <w:spacing w:after="120"/>
              <w:rPr>
                <w:rFonts w:asciiTheme="minorHAnsi" w:hAnsiTheme="minorHAnsi" w:cs="Arial"/>
              </w:rPr>
            </w:pPr>
          </w:p>
          <w:p w14:paraId="2F3768F9" w14:textId="77777777" w:rsidR="00CF59E1" w:rsidRPr="00273DB8" w:rsidRDefault="00CF59E1" w:rsidP="00CF59E1">
            <w:pPr>
              <w:spacing w:after="120"/>
              <w:rPr>
                <w:rFonts w:asciiTheme="minorHAnsi" w:hAnsiTheme="minorHAnsi" w:cs="Calibri"/>
                <w:iCs/>
              </w:rPr>
            </w:pPr>
          </w:p>
        </w:tc>
        <w:tc>
          <w:tcPr>
            <w:tcW w:w="7200" w:type="dxa"/>
            <w:shd w:val="clear" w:color="auto" w:fill="auto"/>
          </w:tcPr>
          <w:p w14:paraId="7BC2E927" w14:textId="77777777" w:rsidR="00CF59E1" w:rsidRPr="00D8522E" w:rsidRDefault="00CF59E1" w:rsidP="00CF59E1">
            <w:pPr>
              <w:spacing w:after="120"/>
              <w:rPr>
                <w:rFonts w:asciiTheme="minorHAnsi" w:hAnsiTheme="minorHAnsi" w:cs="Times New Roman"/>
                <w:color w:val="000000"/>
              </w:rPr>
            </w:pPr>
            <w:r>
              <w:rPr>
                <w:rFonts w:asciiTheme="minorHAnsi" w:hAnsiTheme="minorHAnsi" w:cs="Times New Roman"/>
                <w:color w:val="000000"/>
              </w:rPr>
              <w:t>“</w:t>
            </w:r>
            <w:r w:rsidRPr="00D8522E">
              <w:rPr>
                <w:rFonts w:asciiTheme="minorHAnsi" w:hAnsiTheme="minorHAnsi" w:cs="Times New Roman"/>
                <w:color w:val="000000"/>
              </w:rPr>
              <w:t>If during the environmental and social assessment it is determined that the project may affect important ecosystem services, the borrower or client performs an ecosystem services review to identify the risks.</w:t>
            </w:r>
            <w:r>
              <w:rPr>
                <w:rFonts w:asciiTheme="minorHAnsi" w:hAnsiTheme="minorHAnsi" w:cs="Times New Roman"/>
                <w:color w:val="000000"/>
              </w:rPr>
              <w:t>”</w:t>
            </w:r>
            <w:r w:rsidRPr="00D8522E">
              <w:rPr>
                <w:rFonts w:asciiTheme="minorHAnsi" w:hAnsiTheme="minorHAnsi" w:cs="Times New Roman"/>
                <w:color w:val="000000"/>
              </w:rPr>
              <w:t xml:space="preserve"> (</w:t>
            </w:r>
            <w:r w:rsidRPr="00D8522E">
              <w:rPr>
                <w:rFonts w:asciiTheme="minorHAnsi" w:hAnsiTheme="minorHAnsi" w:cs="Times New Roman"/>
                <w:b/>
                <w:color w:val="000000"/>
              </w:rPr>
              <w:t>AfDB, OS 3, para. 32</w:t>
            </w:r>
            <w:r w:rsidRPr="00D8522E">
              <w:rPr>
                <w:rFonts w:asciiTheme="minorHAnsi" w:hAnsiTheme="minorHAnsi" w:cs="Times New Roman"/>
                <w:color w:val="000000"/>
              </w:rPr>
              <w:t>)</w:t>
            </w:r>
          </w:p>
          <w:p w14:paraId="7F776F0E" w14:textId="77777777" w:rsidR="00CF59E1" w:rsidRPr="00D8522E" w:rsidRDefault="00CF59E1" w:rsidP="00CF59E1">
            <w:pPr>
              <w:pStyle w:val="Default"/>
              <w:spacing w:after="120"/>
              <w:rPr>
                <w:rFonts w:asciiTheme="minorHAnsi" w:hAnsiTheme="minorHAnsi" w:cs="Times New Roman"/>
                <w:sz w:val="22"/>
                <w:szCs w:val="22"/>
              </w:rPr>
            </w:pPr>
            <w:r>
              <w:rPr>
                <w:rFonts w:asciiTheme="minorHAnsi" w:hAnsiTheme="minorHAnsi" w:cs="Times New Roman"/>
                <w:sz w:val="22"/>
                <w:szCs w:val="22"/>
              </w:rPr>
              <w:t>“</w:t>
            </w:r>
            <w:r w:rsidRPr="00D8522E">
              <w:rPr>
                <w:rFonts w:asciiTheme="minorHAnsi" w:hAnsiTheme="minorHAnsi" w:cs="Times New Roman"/>
                <w:sz w:val="22"/>
                <w:szCs w:val="22"/>
              </w:rPr>
              <w:t xml:space="preserve">The value of ecosystem services is determined in terms of their value for the welfare and livelihoods of affected communities, the benefits they provide to the sustainable operation of the project (e.g., water), and the benefits they provide at the landscape/seascape level or existence options values.15 However, any decisions on assessing the value of ecosystem services, establishing priorities, and/or developing strategies to avoid/mitigate impacts should be made in consultation with governmental resource management/protection agencies and local community representatives to ensure that ecosystem services critical to existing conservation and/or development objectives are preserved. After the value of ecosystem services is assessed, the borrower or client identifies, in consultation with resource managers and local communities, those ecosystem services that should be protected through the biodiversity mitigation hierarchy as </w:t>
            </w:r>
            <w:r>
              <w:rPr>
                <w:rFonts w:asciiTheme="minorHAnsi" w:hAnsiTheme="minorHAnsi" w:cs="Times New Roman"/>
                <w:sz w:val="22"/>
                <w:szCs w:val="22"/>
              </w:rPr>
              <w:t>‘</w:t>
            </w:r>
            <w:r w:rsidRPr="00D04661">
              <w:rPr>
                <w:rFonts w:asciiTheme="minorHAnsi" w:hAnsiTheme="minorHAnsi" w:cs="Times New Roman"/>
                <w:sz w:val="22"/>
                <w:szCs w:val="22"/>
              </w:rPr>
              <w:t>priority ecosystem services.</w:t>
            </w:r>
            <w:r>
              <w:rPr>
                <w:rFonts w:asciiTheme="minorHAnsi" w:hAnsiTheme="minorHAnsi" w:cs="Times New Roman"/>
                <w:sz w:val="22"/>
                <w:szCs w:val="22"/>
              </w:rPr>
              <w:t>’</w:t>
            </w:r>
            <w:r w:rsidRPr="00D04661">
              <w:rPr>
                <w:rFonts w:asciiTheme="minorHAnsi" w:hAnsiTheme="minorHAnsi" w:cs="Times New Roman"/>
                <w:sz w:val="22"/>
                <w:szCs w:val="22"/>
              </w:rPr>
              <w:t xml:space="preserve"> The impact assessment takes into account the same factors as are considered in the value assessment. For the priority ecosystem services, the impact and dependence of the project are assessed in terms of change in communities’ well-being and project performance.</w:t>
            </w:r>
            <w:r>
              <w:rPr>
                <w:rFonts w:asciiTheme="minorHAnsi" w:hAnsiTheme="minorHAnsi" w:cs="Times New Roman"/>
                <w:sz w:val="22"/>
                <w:szCs w:val="22"/>
              </w:rPr>
              <w:t>”</w:t>
            </w:r>
            <w:r w:rsidRPr="00D04661">
              <w:rPr>
                <w:rFonts w:asciiTheme="minorHAnsi" w:hAnsiTheme="minorHAnsi" w:cs="Times New Roman"/>
                <w:sz w:val="22"/>
                <w:szCs w:val="22"/>
              </w:rPr>
              <w:t xml:space="preserve"> (</w:t>
            </w:r>
            <w:r w:rsidRPr="00D04661">
              <w:rPr>
                <w:rFonts w:asciiTheme="minorHAnsi" w:hAnsiTheme="minorHAnsi" w:cs="Times New Roman"/>
                <w:b/>
                <w:sz w:val="22"/>
                <w:szCs w:val="22"/>
              </w:rPr>
              <w:t>AfDB, OS 3, para. 33</w:t>
            </w:r>
            <w:r w:rsidRPr="00D04661">
              <w:rPr>
                <w:rFonts w:asciiTheme="minorHAnsi" w:hAnsiTheme="minorHAnsi" w:cs="Times New Roman"/>
                <w:sz w:val="22"/>
                <w:szCs w:val="22"/>
              </w:rPr>
              <w:t>)</w:t>
            </w:r>
          </w:p>
          <w:p w14:paraId="23EC6FE3" w14:textId="77777777" w:rsidR="00CF59E1" w:rsidRPr="00D8522E" w:rsidRDefault="00CF59E1" w:rsidP="00CF59E1">
            <w:pPr>
              <w:spacing w:after="120"/>
              <w:rPr>
                <w:rFonts w:asciiTheme="minorHAnsi" w:hAnsiTheme="minorHAnsi" w:cs="Times New Roman"/>
                <w:color w:val="000000"/>
              </w:rPr>
            </w:pPr>
            <w:r>
              <w:rPr>
                <w:rFonts w:asciiTheme="minorHAnsi" w:hAnsiTheme="minorHAnsi" w:cs="Times New Roman"/>
                <w:color w:val="000000"/>
              </w:rPr>
              <w:t>“</w:t>
            </w:r>
            <w:r w:rsidRPr="00D8522E">
              <w:rPr>
                <w:rFonts w:asciiTheme="minorHAnsi" w:hAnsiTheme="minorHAnsi" w:cs="Times New Roman"/>
                <w:color w:val="000000"/>
              </w:rPr>
              <w:t>The borrower or client attempts to avoid adverse impacts on priority ecosystem services. If such impacts are unavoidable, the borrower or client identifies ways to reduce these impacts and implement restoration measures to maintain the value and functionality of those priority ecosystem services. These measures are included in the ESMP.</w:t>
            </w:r>
            <w:r>
              <w:rPr>
                <w:rFonts w:asciiTheme="minorHAnsi" w:hAnsiTheme="minorHAnsi" w:cs="Times New Roman"/>
                <w:color w:val="000000"/>
              </w:rPr>
              <w:t>”</w:t>
            </w:r>
            <w:r w:rsidRPr="00D8522E">
              <w:rPr>
                <w:rFonts w:asciiTheme="minorHAnsi" w:hAnsiTheme="minorHAnsi" w:cs="Times New Roman"/>
                <w:color w:val="000000"/>
              </w:rPr>
              <w:t xml:space="preserve"> (</w:t>
            </w:r>
            <w:r w:rsidRPr="00D8522E">
              <w:rPr>
                <w:rFonts w:asciiTheme="minorHAnsi" w:hAnsiTheme="minorHAnsi" w:cs="Times New Roman"/>
                <w:b/>
                <w:color w:val="000000"/>
              </w:rPr>
              <w:t>AFDB, OS 3, para. 34</w:t>
            </w:r>
            <w:r w:rsidRPr="00D8522E">
              <w:rPr>
                <w:rFonts w:asciiTheme="minorHAnsi" w:hAnsiTheme="minorHAnsi" w:cs="Times New Roman"/>
                <w:color w:val="000000"/>
              </w:rPr>
              <w:t>)</w:t>
            </w:r>
          </w:p>
          <w:p w14:paraId="408D1E6C" w14:textId="77777777" w:rsidR="00CF59E1" w:rsidRPr="00D8522E" w:rsidRDefault="00CF59E1" w:rsidP="00CF59E1">
            <w:pPr>
              <w:spacing w:after="120"/>
              <w:rPr>
                <w:rFonts w:asciiTheme="minorHAnsi" w:hAnsiTheme="minorHAnsi" w:cs="Calibri"/>
                <w:iCs/>
              </w:rPr>
            </w:pPr>
            <w:r>
              <w:rPr>
                <w:rFonts w:asciiTheme="minorHAnsi" w:hAnsiTheme="minorHAnsi" w:cs="Calibri"/>
                <w:iCs/>
              </w:rPr>
              <w:t>“</w:t>
            </w:r>
            <w:r w:rsidRPr="00D8522E">
              <w:rPr>
                <w:rFonts w:asciiTheme="minorHAnsi" w:hAnsiTheme="minorHAnsi" w:cs="Calibri"/>
                <w:iCs/>
              </w:rPr>
              <w:t xml:space="preserve">Natural habitats are </w:t>
            </w:r>
            <w:r>
              <w:rPr>
                <w:rFonts w:asciiTheme="minorHAnsi" w:hAnsiTheme="minorHAnsi" w:cs="Calibri"/>
                <w:iCs/>
              </w:rPr>
              <w:t>biophysical environments where</w:t>
            </w:r>
            <w:r w:rsidRPr="00D8522E">
              <w:rPr>
                <w:rFonts w:asciiTheme="minorHAnsi" w:hAnsiTheme="minorHAnsi" w:cs="Calibri"/>
                <w:iCs/>
              </w:rPr>
              <w:t>…</w:t>
            </w:r>
            <w:r>
              <w:rPr>
                <w:rFonts w:asciiTheme="minorHAnsi" w:hAnsiTheme="minorHAnsi" w:cs="Calibri"/>
                <w:iCs/>
              </w:rPr>
              <w:t xml:space="preserve"> </w:t>
            </w:r>
            <w:r w:rsidRPr="00D8522E">
              <w:rPr>
                <w:rFonts w:asciiTheme="minorHAnsi" w:hAnsiTheme="minorHAnsi" w:cs="Calibri"/>
                <w:iCs/>
              </w:rPr>
              <w:t>(ii) human activity has not essentially modified the area’s primary ecological functions. Natural habitats may be sites that (i) provide critical ecological services required for sustainable human development (e.g., aquifer recharge areas, areas that sustain fisheries, mangrove or other ecosystems that help to prevent or mitigate natural hazards); (ii) are vital to ensure the functional integrity of ecosystems (e.g., biological corridors, natural springs); and (iii) have high levels of endemism.</w:t>
            </w:r>
            <w:r>
              <w:rPr>
                <w:rFonts w:asciiTheme="minorHAnsi" w:hAnsiTheme="minorHAnsi" w:cs="Calibri"/>
                <w:iCs/>
              </w:rPr>
              <w:t>”</w:t>
            </w:r>
            <w:r w:rsidRPr="00D8522E">
              <w:rPr>
                <w:rFonts w:asciiTheme="minorHAnsi" w:hAnsiTheme="minorHAnsi" w:cs="Calibri"/>
                <w:iCs/>
              </w:rPr>
              <w:t xml:space="preserve"> (</w:t>
            </w:r>
            <w:r w:rsidRPr="00D8522E">
              <w:rPr>
                <w:rFonts w:asciiTheme="minorHAnsi" w:hAnsiTheme="minorHAnsi" w:cs="Calibri"/>
                <w:b/>
                <w:iCs/>
              </w:rPr>
              <w:t>IDB, ESCP, para. 6.1)</w:t>
            </w:r>
          </w:p>
          <w:p w14:paraId="00D4EF9A" w14:textId="77777777" w:rsidR="00CF59E1" w:rsidRPr="00D8522E" w:rsidRDefault="00CF59E1" w:rsidP="00CF59E1">
            <w:pPr>
              <w:spacing w:after="120"/>
              <w:rPr>
                <w:rFonts w:asciiTheme="minorHAnsi" w:hAnsiTheme="minorHAnsi" w:cs="Calibri"/>
                <w:iCs/>
              </w:rPr>
            </w:pPr>
            <w:r>
              <w:rPr>
                <w:rFonts w:asciiTheme="minorHAnsi" w:hAnsiTheme="minorHAnsi" w:cs="Calibri"/>
                <w:iCs/>
              </w:rPr>
              <w:t>“</w:t>
            </w:r>
            <w:r w:rsidRPr="00D8522E">
              <w:rPr>
                <w:rFonts w:asciiTheme="minorHAnsi" w:hAnsiTheme="minorHAnsi" w:cs="Calibri"/>
                <w:iCs/>
              </w:rPr>
              <w:t>On sites where significant biodiversity, ecosystems and their provision would be affected by the project, an economic assessment on the biodiversity and the ecosystems services provided by the site and the larger regions in which the site is integrated should be carried out, where possible with a monetary valuation of these benefits. Where the biodiversity of the site is degraded such that the provision of ecosystem services is affected, the cost of restoration measures should be estimated in order to compare the overall ecosystem services that could be provided by the site in its optimal state with the services derived from the project.</w:t>
            </w:r>
            <w:r>
              <w:rPr>
                <w:rFonts w:asciiTheme="minorHAnsi" w:hAnsiTheme="minorHAnsi" w:cs="Calibri"/>
                <w:iCs/>
              </w:rPr>
              <w:t>”</w:t>
            </w:r>
            <w:r w:rsidRPr="00D8522E">
              <w:rPr>
                <w:rFonts w:asciiTheme="minorHAnsi" w:hAnsiTheme="minorHAnsi" w:cs="Calibri"/>
                <w:iCs/>
              </w:rPr>
              <w:t>(</w:t>
            </w:r>
            <w:r w:rsidRPr="00D8522E">
              <w:rPr>
                <w:rFonts w:asciiTheme="minorHAnsi" w:hAnsiTheme="minorHAnsi" w:cs="Calibri"/>
                <w:b/>
                <w:iCs/>
              </w:rPr>
              <w:t>EIB, ESH, ESS 3, para. 73)</w:t>
            </w:r>
            <w:r w:rsidRPr="00D8522E">
              <w:rPr>
                <w:rFonts w:asciiTheme="minorHAnsi" w:hAnsiTheme="minorHAnsi" w:cs="Calibri"/>
                <w:iCs/>
              </w:rPr>
              <w:t xml:space="preserve"> </w:t>
            </w:r>
          </w:p>
        </w:tc>
      </w:tr>
      <w:tr w:rsidR="00CF59E1" w:rsidRPr="00D8522E" w14:paraId="3CDBFBE3" w14:textId="77777777" w:rsidTr="00CF59E1">
        <w:tc>
          <w:tcPr>
            <w:tcW w:w="13590" w:type="dxa"/>
            <w:gridSpan w:val="2"/>
            <w:shd w:val="clear" w:color="auto" w:fill="D6E3BC"/>
            <w:vAlign w:val="center"/>
          </w:tcPr>
          <w:p w14:paraId="739F2F06" w14:textId="77777777" w:rsidR="00CF59E1" w:rsidRPr="00D04661" w:rsidRDefault="00CF59E1" w:rsidP="00CF59E1">
            <w:pPr>
              <w:tabs>
                <w:tab w:val="left" w:pos="450"/>
              </w:tabs>
              <w:spacing w:after="120"/>
              <w:jc w:val="center"/>
              <w:rPr>
                <w:rFonts w:asciiTheme="minorHAnsi" w:eastAsia="MS Mincho" w:hAnsiTheme="minorHAnsi" w:cs="Calibri"/>
                <w:b/>
                <w:bCs/>
                <w:lang w:eastAsia="ja-JP"/>
              </w:rPr>
            </w:pPr>
            <w:r w:rsidRPr="00D04661">
              <w:rPr>
                <w:rFonts w:asciiTheme="minorHAnsi" w:eastAsia="MS Mincho" w:hAnsiTheme="minorHAnsi" w:cs="Calibri"/>
                <w:b/>
                <w:bCs/>
                <w:lang w:eastAsia="ja-JP"/>
              </w:rPr>
              <w:t>FORESTS</w:t>
            </w:r>
          </w:p>
        </w:tc>
      </w:tr>
      <w:tr w:rsidR="00CF59E1" w:rsidRPr="00D8522E" w14:paraId="6503F7F3" w14:textId="77777777" w:rsidTr="00CF59E1">
        <w:tc>
          <w:tcPr>
            <w:tcW w:w="6390" w:type="dxa"/>
            <w:shd w:val="clear" w:color="auto" w:fill="auto"/>
            <w:vAlign w:val="center"/>
          </w:tcPr>
          <w:p w14:paraId="5E5B140C" w14:textId="77777777" w:rsidR="00CF59E1" w:rsidRPr="00273DB8" w:rsidRDefault="00CF59E1" w:rsidP="00CF59E1">
            <w:pPr>
              <w:tabs>
                <w:tab w:val="left" w:pos="450"/>
              </w:tabs>
              <w:spacing w:after="120"/>
              <w:rPr>
                <w:rFonts w:asciiTheme="minorHAnsi" w:eastAsia="MS Mincho" w:hAnsiTheme="minorHAnsi" w:cs="Calibri"/>
                <w:b/>
                <w:lang w:eastAsia="ja-JP"/>
              </w:rPr>
            </w:pPr>
            <w:r w:rsidRPr="00D04661">
              <w:rPr>
                <w:rFonts w:asciiTheme="minorHAnsi" w:eastAsia="MS Mincho" w:hAnsiTheme="minorHAnsi" w:cs="Calibri"/>
                <w:b/>
                <w:lang w:eastAsia="ja-JP"/>
              </w:rPr>
              <w:t>SITING OF TIMBER CONCESSIONS</w:t>
            </w:r>
          </w:p>
          <w:p w14:paraId="671CEF5E" w14:textId="77777777" w:rsidR="00CF59E1" w:rsidRPr="00D04661" w:rsidRDefault="00CF59E1" w:rsidP="00CF59E1">
            <w:pPr>
              <w:tabs>
                <w:tab w:val="left" w:pos="450"/>
              </w:tabs>
              <w:spacing w:after="120"/>
              <w:rPr>
                <w:rFonts w:asciiTheme="minorHAnsi" w:eastAsia="MS Mincho" w:hAnsiTheme="minorHAnsi" w:cs="Calibri"/>
                <w:b/>
                <w:lang w:eastAsia="ja-JP"/>
              </w:rPr>
            </w:pPr>
            <w:r w:rsidRPr="00273DB8">
              <w:rPr>
                <w:rFonts w:asciiTheme="minorHAnsi" w:eastAsia="MS Mincho" w:hAnsiTheme="minorHAnsi" w:cs="Calibri"/>
                <w:b/>
                <w:lang w:eastAsia="ja-JP"/>
              </w:rPr>
              <w:t>O</w:t>
            </w:r>
            <w:r w:rsidRPr="00D04661">
              <w:rPr>
                <w:rFonts w:asciiTheme="minorHAnsi" w:eastAsia="MS Mincho" w:hAnsiTheme="minorHAnsi" w:cs="Calibri"/>
                <w:b/>
                <w:lang w:eastAsia="ja-JP"/>
              </w:rPr>
              <w:t>P 4.36</w:t>
            </w:r>
          </w:p>
          <w:p w14:paraId="5C17CF46"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i/>
                <w:iCs/>
                <w:color w:val="000000"/>
              </w:rPr>
              <w:t>Commercial Harvesting</w:t>
            </w:r>
            <w:r w:rsidRPr="00D04661">
              <w:rPr>
                <w:rFonts w:asciiTheme="minorHAnsi" w:eastAsia="Times New Roman" w:hAnsiTheme="minorHAnsi" w:cs="Arial"/>
                <w:color w:val="000000"/>
              </w:rPr>
              <w:br/>
              <w:t>8. The Bank may finance commercial harvesting operations</w:t>
            </w:r>
            <w:r>
              <w:rPr>
                <w:rFonts w:asciiTheme="minorHAnsi" w:eastAsia="Times New Roman" w:hAnsiTheme="minorHAnsi" w:cs="Arial"/>
                <w:color w:val="000000"/>
              </w:rPr>
              <w:t xml:space="preserve"> </w:t>
            </w:r>
            <w:r w:rsidRPr="00D04661">
              <w:rPr>
                <w:rFonts w:asciiTheme="minorHAnsi" w:eastAsia="Times New Roman" w:hAnsiTheme="minorHAnsi" w:cs="Arial"/>
                <w:color w:val="000000"/>
              </w:rPr>
              <w:t>only when the Bank has determined, on the basis of the applicable environmental assessment or other relevant information, that the areas affected by the harvesting are not critical forests or related critical natural habitats.</w:t>
            </w:r>
            <w:r w:rsidRPr="00D04661">
              <w:rPr>
                <w:rFonts w:asciiTheme="minorHAnsi" w:eastAsia="Times New Roman" w:hAnsiTheme="minorHAnsi" w:cs="Arial"/>
                <w:color w:val="000000"/>
                <w:vertAlign w:val="superscript"/>
              </w:rPr>
              <w:footnoteReference w:customMarkFollows="1" w:id="220"/>
              <w:t>10</w:t>
            </w:r>
          </w:p>
          <w:p w14:paraId="1877A060"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9. To be eligible for Bank financing, industrial-scale commercial harvesting operations must also</w:t>
            </w:r>
          </w:p>
          <w:p w14:paraId="40504496"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a) be certified under an independent forest certification system acceptable to the Bank</w:t>
            </w:r>
            <w:r w:rsidRPr="00D04661">
              <w:rPr>
                <w:rFonts w:asciiTheme="minorHAnsi" w:eastAsia="Times New Roman" w:hAnsiTheme="minorHAnsi" w:cs="Arial"/>
                <w:color w:val="000000"/>
                <w:vertAlign w:val="superscript"/>
              </w:rPr>
              <w:footnoteReference w:customMarkFollows="1" w:id="221"/>
              <w:t>11</w:t>
            </w:r>
            <w:r w:rsidRPr="00D04661">
              <w:rPr>
                <w:rFonts w:asciiTheme="minorHAnsi" w:eastAsia="Times New Roman" w:hAnsiTheme="minorHAnsi" w:cs="Arial"/>
                <w:color w:val="000000"/>
              </w:rPr>
              <w:t xml:space="preserve"> as meeting standards of responsible forest management and use; or</w:t>
            </w:r>
          </w:p>
          <w:p w14:paraId="626413CB"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 xml:space="preserve">b) </w:t>
            </w:r>
            <w:r w:rsidRPr="00D8522E">
              <w:rPr>
                <w:rFonts w:asciiTheme="minorHAnsi" w:eastAsia="Times New Roman" w:hAnsiTheme="minorHAnsi" w:cs="Arial"/>
                <w:color w:val="000000"/>
              </w:rPr>
              <w:t>Where</w:t>
            </w:r>
            <w:r w:rsidRPr="00D04661">
              <w:rPr>
                <w:rFonts w:asciiTheme="minorHAnsi" w:eastAsia="Times New Roman" w:hAnsiTheme="minorHAnsi" w:cs="Arial"/>
                <w:color w:val="000000"/>
              </w:rPr>
              <w:t xml:space="preserve"> a pre-assessment under such an independent forest certification system determines that the operation does not yet meet the requirements of subparagraph 9(a), adhere to a time-bound phased action plan acceptable to the Bank</w:t>
            </w:r>
            <w:r w:rsidRPr="00D04661">
              <w:rPr>
                <w:rFonts w:asciiTheme="minorHAnsi" w:eastAsia="Times New Roman" w:hAnsiTheme="minorHAnsi" w:cs="Arial"/>
                <w:color w:val="000000"/>
                <w:vertAlign w:val="superscript"/>
              </w:rPr>
              <w:footnoteReference w:customMarkFollows="1" w:id="222"/>
              <w:t>12</w:t>
            </w:r>
            <w:r w:rsidRPr="00D04661">
              <w:rPr>
                <w:rFonts w:asciiTheme="minorHAnsi" w:eastAsia="Times New Roman" w:hAnsiTheme="minorHAnsi" w:cs="Arial"/>
                <w:color w:val="000000"/>
              </w:rPr>
              <w:t xml:space="preserve"> for achieving certification to such standards.</w:t>
            </w:r>
          </w:p>
          <w:p w14:paraId="345842C4"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10. To be acceptable to the Bank, a forest certification system must require:</w:t>
            </w:r>
          </w:p>
          <w:p w14:paraId="390621E2"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a) compliance with relevant laws;</w:t>
            </w:r>
          </w:p>
          <w:p w14:paraId="3B4EBC49"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b) recognition of and respect for any legally documented or customary land tenure and use rights as well as the rights of indigenous peoples and workers;</w:t>
            </w:r>
          </w:p>
          <w:p w14:paraId="569A068C"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c) measures to maintain or enhance sound and effective community relations;</w:t>
            </w:r>
          </w:p>
          <w:p w14:paraId="6DFA1461"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d) conservation of biological diversity and ecological functions;</w:t>
            </w:r>
          </w:p>
          <w:p w14:paraId="2DECC02E"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e) measures to maintain or enhance environmentally sound multiple benefits accruing from the forest;</w:t>
            </w:r>
          </w:p>
          <w:p w14:paraId="6E9570C3"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f) prevention or minimization of the adverse environmental impacts from forest use;</w:t>
            </w:r>
          </w:p>
          <w:p w14:paraId="7613D0B0"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g) effective forest management planning;</w:t>
            </w:r>
          </w:p>
          <w:p w14:paraId="7139E6D9"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h) active monitoring and assessment of relevant forest management areas; and</w:t>
            </w:r>
          </w:p>
          <w:p w14:paraId="5559F6DC"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i) the maintenance of critical forest areas and other critical natural habitats affected by the operation.</w:t>
            </w:r>
          </w:p>
          <w:p w14:paraId="776042A4" w14:textId="77777777" w:rsidR="00CF59E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11. In addition to the requirements in paragraph 11, a forest certification system must be independent, cost-effective, and based on objective and measurable performance standards that are defined at the national level and are compatible with internationally accepted principles and criteria of sustainable forest management. The system must require independent, third-party assessment of forest management performance. In addition, the system's standards must be developed with the meaningful participation of local people and communities; indigenous peoples; non-governmental organizations representing consumer, producer, and conservation interests; and other members of civil society, including the private sector. The decision-making procedures of the certification system must be fair, transparent, independent, and designed to avoid conflicts of interest.</w:t>
            </w:r>
          </w:p>
          <w:p w14:paraId="42E97CEC"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12. The Bank may finance harvesting operations conducted by small-scale landholders, by local communities under community forest management, or by such entities under joint forest management arrangements, if these operations:</w:t>
            </w:r>
          </w:p>
          <w:p w14:paraId="126A4094"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(a) have achieved a standard of forest management developed with the meaningful participation of locally affected communities, consistent with the principles and criteria of responsible forest management outlined in paragraph 10; or</w:t>
            </w:r>
          </w:p>
          <w:p w14:paraId="113C3540" w14:textId="77777777" w:rsidR="00CF59E1" w:rsidRPr="00D04661"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(b) adhere to a time-bound phased action plan</w:t>
            </w:r>
            <w:r w:rsidRPr="00D04661">
              <w:rPr>
                <w:rFonts w:asciiTheme="minorHAnsi" w:eastAsia="Times New Roman" w:hAnsiTheme="minorHAnsi" w:cs="Arial"/>
                <w:color w:val="000000"/>
                <w:vertAlign w:val="superscript"/>
              </w:rPr>
              <w:footnoteReference w:customMarkFollows="1" w:id="223"/>
              <w:t>14</w:t>
            </w:r>
            <w:r w:rsidRPr="00D04661">
              <w:rPr>
                <w:rFonts w:asciiTheme="minorHAnsi" w:eastAsia="Times New Roman" w:hAnsiTheme="minorHAnsi" w:cs="Arial"/>
                <w:color w:val="000000"/>
              </w:rPr>
              <w:t xml:space="preserve"> to achieve such a standard. The action plan must be developed with the meaningful participation of locally-affected communities and be acceptable to the Bank.</w:t>
            </w:r>
          </w:p>
          <w:p w14:paraId="4DD396AA" w14:textId="77777777" w:rsidR="00CF59E1" w:rsidRPr="00755E0C"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The borrower monitors all such operations with the meaningful participation of locally-affected communities</w:t>
            </w:r>
            <w:r>
              <w:rPr>
                <w:rFonts w:asciiTheme="minorHAnsi" w:eastAsia="Times New Roman" w:hAnsiTheme="minorHAnsi" w:cs="Arial"/>
                <w:color w:val="000000"/>
              </w:rPr>
              <w:t>.</w:t>
            </w:r>
          </w:p>
        </w:tc>
        <w:tc>
          <w:tcPr>
            <w:tcW w:w="7200" w:type="dxa"/>
            <w:shd w:val="clear" w:color="auto" w:fill="auto"/>
          </w:tcPr>
          <w:p w14:paraId="4947DD5C" w14:textId="77777777" w:rsidR="00CF59E1" w:rsidRPr="00D04661" w:rsidRDefault="00CF59E1" w:rsidP="00CF59E1">
            <w:pPr>
              <w:spacing w:after="120"/>
              <w:rPr>
                <w:rFonts w:asciiTheme="minorHAnsi" w:hAnsiTheme="minorHAnsi" w:cs="Calibri"/>
                <w:iCs/>
              </w:rPr>
            </w:pPr>
            <w:r>
              <w:rPr>
                <w:rFonts w:asciiTheme="minorHAnsi" w:hAnsiTheme="minorHAnsi" w:cs="Calibri"/>
              </w:rPr>
              <w:t>“</w:t>
            </w:r>
            <w:r w:rsidRPr="00D04661">
              <w:rPr>
                <w:rFonts w:asciiTheme="minorHAnsi" w:hAnsiTheme="minorHAnsi" w:cs="Calibri"/>
                <w:bCs/>
                <w:iCs/>
              </w:rPr>
              <w:t>Biodiversity conservation must be an integral component and criterion in the siting of timber concessions and in the design and management of logging systems and regulations.</w:t>
            </w:r>
            <w:r>
              <w:rPr>
                <w:rFonts w:asciiTheme="minorHAnsi" w:hAnsiTheme="minorHAnsi" w:cs="Calibri"/>
                <w:bCs/>
                <w:iCs/>
              </w:rPr>
              <w:t>”</w:t>
            </w:r>
            <w:r w:rsidRPr="00D04661">
              <w:rPr>
                <w:rFonts w:asciiTheme="minorHAnsi" w:hAnsiTheme="minorHAnsi" w:cs="Calibri"/>
                <w:bCs/>
                <w:iCs/>
              </w:rPr>
              <w:t xml:space="preserve"> (</w:t>
            </w:r>
            <w:r w:rsidRPr="00D04661">
              <w:rPr>
                <w:rFonts w:asciiTheme="minorHAnsi" w:hAnsiTheme="minorHAnsi" w:cs="Calibri"/>
                <w:b/>
                <w:bCs/>
                <w:iCs/>
              </w:rPr>
              <w:t>ADB</w:t>
            </w:r>
            <w:r w:rsidRPr="00D04661">
              <w:rPr>
                <w:rFonts w:asciiTheme="minorHAnsi" w:hAnsiTheme="minorHAnsi" w:cs="Calibri"/>
                <w:bCs/>
                <w:iCs/>
              </w:rPr>
              <w:t>)</w:t>
            </w:r>
            <w:r w:rsidRPr="00D04661">
              <w:rPr>
                <w:rFonts w:asciiTheme="minorHAnsi" w:hAnsiTheme="minorHAnsi" w:cs="Calibri"/>
                <w:vertAlign w:val="superscript"/>
              </w:rPr>
              <w:t xml:space="preserve"> </w:t>
            </w:r>
            <w:r w:rsidRPr="00D04661">
              <w:rPr>
                <w:rFonts w:asciiTheme="minorHAnsi" w:hAnsiTheme="minorHAnsi" w:cs="Calibri"/>
                <w:vertAlign w:val="superscript"/>
              </w:rPr>
              <w:footnoteReference w:id="224"/>
            </w:r>
          </w:p>
        </w:tc>
      </w:tr>
      <w:tr w:rsidR="00CF59E1" w:rsidRPr="00D8522E" w14:paraId="418F108A" w14:textId="77777777" w:rsidTr="00CF59E1">
        <w:tc>
          <w:tcPr>
            <w:tcW w:w="6390" w:type="dxa"/>
            <w:shd w:val="clear" w:color="auto" w:fill="auto"/>
            <w:vAlign w:val="center"/>
          </w:tcPr>
          <w:p w14:paraId="644C03D6" w14:textId="77777777" w:rsidR="00CF59E1" w:rsidRPr="00D04661" w:rsidRDefault="00CF59E1" w:rsidP="00CF59E1">
            <w:pPr>
              <w:tabs>
                <w:tab w:val="left" w:pos="450"/>
              </w:tabs>
              <w:spacing w:after="120"/>
              <w:rPr>
                <w:rFonts w:asciiTheme="minorHAnsi" w:eastAsia="MS Mincho" w:hAnsiTheme="minorHAnsi" w:cs="Calibri"/>
                <w:b/>
                <w:lang w:eastAsia="ja-JP"/>
              </w:rPr>
            </w:pPr>
            <w:r w:rsidRPr="00D04661">
              <w:rPr>
                <w:rFonts w:asciiTheme="minorHAnsi" w:eastAsia="MS Mincho" w:hAnsiTheme="minorHAnsi" w:cs="Calibri"/>
                <w:b/>
                <w:lang w:eastAsia="ja-JP"/>
              </w:rPr>
              <w:t>MANAGEMENT OF SECOND GROWTH FORESTS</w:t>
            </w:r>
          </w:p>
        </w:tc>
        <w:tc>
          <w:tcPr>
            <w:tcW w:w="7200" w:type="dxa"/>
            <w:shd w:val="clear" w:color="auto" w:fill="auto"/>
          </w:tcPr>
          <w:p w14:paraId="533C0B6C" w14:textId="77777777" w:rsidR="00CF59E1" w:rsidRPr="00D04661" w:rsidRDefault="00CF59E1" w:rsidP="00CF59E1">
            <w:pPr>
              <w:spacing w:after="120"/>
              <w:rPr>
                <w:rFonts w:asciiTheme="minorHAnsi" w:eastAsia="Times New Roman" w:hAnsiTheme="minorHAnsi" w:cs="Times New Roman"/>
              </w:rPr>
            </w:pPr>
            <w:r>
              <w:rPr>
                <w:rFonts w:asciiTheme="minorHAnsi" w:eastAsia="Times New Roman" w:hAnsiTheme="minorHAnsi" w:cs="Calibri"/>
              </w:rPr>
              <w:t>“</w:t>
            </w:r>
            <w:r w:rsidRPr="00D04661">
              <w:rPr>
                <w:rFonts w:asciiTheme="minorHAnsi" w:eastAsia="Times New Roman" w:hAnsiTheme="minorHAnsi" w:cs="Calibri"/>
              </w:rPr>
              <w:t xml:space="preserve">With respect to the sustainable management of second-growth forests, the Bank will promote (i) the establishment of permanent forest estates in accessible second-growth forests for sustained timber management, including their utilization in major forest industries; (ii) the use of appropriate pricing mechanisms to ensure better timber management on these estates; (iii) concession management reforms by providing long-term tenure to private sector entrepreneurs selected through competitive bidding; (iv) the introduction and adherence to sustained-yield principles and related management approaches as an alternative to destructive/illegal logging; (v) involvement of forest-dwelling and/or forest-dependent communities, including the traditional mangrove users in the rehabilitation, enrichment planting, and assisted natural regeneration in second-growth forests through community-based forest management agreements that will include improved land tenure and other incentives as appropriate; (vi) the use of internationally accepted </w:t>
            </w:r>
            <w:r>
              <w:rPr>
                <w:rFonts w:asciiTheme="minorHAnsi" w:eastAsia="Times New Roman" w:hAnsiTheme="minorHAnsi" w:cs="Calibri"/>
              </w:rPr>
              <w:t>“</w:t>
            </w:r>
            <w:r w:rsidRPr="00D04661">
              <w:rPr>
                <w:rFonts w:asciiTheme="minorHAnsi" w:eastAsia="Times New Roman" w:hAnsiTheme="minorHAnsi" w:cs="Calibri"/>
              </w:rPr>
              <w:t>certification of origin</w:t>
            </w:r>
            <w:r>
              <w:rPr>
                <w:rFonts w:asciiTheme="minorHAnsi" w:eastAsia="Times New Roman" w:hAnsiTheme="minorHAnsi" w:cs="Calibri"/>
              </w:rPr>
              <w:t>”</w:t>
            </w:r>
            <w:r w:rsidRPr="00D04661">
              <w:rPr>
                <w:rFonts w:asciiTheme="minorHAnsi" w:eastAsia="Times New Roman" w:hAnsiTheme="minorHAnsi" w:cs="Calibri"/>
              </w:rPr>
              <w:t xml:space="preserve"> for wood marketed as originating from sustainably managed forests; and (vii) the establishment of small-scale industries based on non-wood forest products as a long-term measure for reducing poverty, providing rural employment, and developing rural areas.</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w:t>
            </w:r>
            <w:r w:rsidRPr="00D04661">
              <w:rPr>
                <w:rFonts w:asciiTheme="minorHAnsi" w:eastAsia="Times New Roman" w:hAnsiTheme="minorHAnsi" w:cs="Calibri"/>
              </w:rPr>
              <w:t>)</w:t>
            </w:r>
            <w:r w:rsidRPr="00D04661">
              <w:rPr>
                <w:rFonts w:asciiTheme="minorHAnsi" w:eastAsia="Times New Roman" w:hAnsiTheme="minorHAnsi" w:cs="Calibri"/>
                <w:vertAlign w:val="superscript"/>
              </w:rPr>
              <w:footnoteReference w:id="225"/>
            </w:r>
          </w:p>
        </w:tc>
      </w:tr>
      <w:tr w:rsidR="00CF59E1" w:rsidRPr="00D8522E" w14:paraId="73389BFA" w14:textId="77777777" w:rsidTr="00CF59E1">
        <w:tc>
          <w:tcPr>
            <w:tcW w:w="6390" w:type="dxa"/>
            <w:shd w:val="clear" w:color="auto" w:fill="auto"/>
            <w:vAlign w:val="center"/>
          </w:tcPr>
          <w:p w14:paraId="287A63F6" w14:textId="77777777" w:rsidR="00CF59E1" w:rsidRPr="00D04661" w:rsidRDefault="00CF59E1" w:rsidP="00CF59E1">
            <w:pPr>
              <w:tabs>
                <w:tab w:val="left" w:pos="450"/>
              </w:tabs>
              <w:spacing w:after="120"/>
              <w:rPr>
                <w:rFonts w:asciiTheme="minorHAnsi" w:eastAsia="MS Mincho" w:hAnsiTheme="minorHAnsi" w:cs="Calibri"/>
                <w:iCs/>
                <w:lang w:eastAsia="ja-JP"/>
              </w:rPr>
            </w:pPr>
            <w:r w:rsidRPr="00D04661">
              <w:rPr>
                <w:rFonts w:asciiTheme="minorHAnsi" w:eastAsia="MS Mincho" w:hAnsiTheme="minorHAnsi" w:cs="Calibri"/>
                <w:b/>
                <w:iCs/>
                <w:lang w:eastAsia="ja-JP"/>
              </w:rPr>
              <w:t>AGRICULTURE, LIVESTOCK, FISHERIES AND AQUACULTURE</w:t>
            </w:r>
          </w:p>
          <w:p w14:paraId="7A59A86F" w14:textId="77777777" w:rsidR="00CF59E1" w:rsidRPr="00D04661" w:rsidRDefault="00CF59E1" w:rsidP="00CF59E1">
            <w:pPr>
              <w:tabs>
                <w:tab w:val="left" w:pos="450"/>
              </w:tabs>
              <w:spacing w:after="120"/>
              <w:rPr>
                <w:rFonts w:asciiTheme="minorHAnsi" w:eastAsia="MS Mincho" w:hAnsiTheme="minorHAnsi" w:cs="Calibri"/>
                <w:iCs/>
                <w:lang w:eastAsia="ja-JP"/>
              </w:rPr>
            </w:pPr>
            <w:r w:rsidRPr="00D04661">
              <w:rPr>
                <w:rFonts w:asciiTheme="minorHAnsi" w:hAnsiTheme="minorHAnsi" w:cs="Arial"/>
              </w:rPr>
              <w:t>OP 4.36, para. 7. The Bank does not finance plantations that involve any conversion or degradation of critical natural habitats, including adjacent or downstream critical natural habitats. When the Bank finances plantations, it gives preference to siting such projects on unforested sites or lands already converted (excluding any lands that have been converted in anticipation of the project). In view of the potential for plantation projects to introduce invasive species and threaten biodiversity, such projects must be designed to prevent and mitigate these potential threats to natural habitats.</w:t>
            </w:r>
          </w:p>
        </w:tc>
        <w:tc>
          <w:tcPr>
            <w:tcW w:w="7200" w:type="dxa"/>
            <w:shd w:val="clear" w:color="auto" w:fill="auto"/>
          </w:tcPr>
          <w:p w14:paraId="5C9FA2E2" w14:textId="77777777" w:rsidR="00CF59E1" w:rsidRPr="00D04661" w:rsidRDefault="00CF59E1" w:rsidP="00CF59E1">
            <w:pPr>
              <w:pStyle w:val="Default"/>
              <w:spacing w:after="120"/>
              <w:rPr>
                <w:rFonts w:asciiTheme="minorHAnsi" w:eastAsia="Times New Roman" w:hAnsiTheme="minorHAnsi" w:cs="Calibri"/>
                <w:sz w:val="22"/>
                <w:szCs w:val="22"/>
              </w:rPr>
            </w:pPr>
            <w:r>
              <w:rPr>
                <w:rFonts w:asciiTheme="minorHAnsi" w:hAnsiTheme="minorHAnsi" w:cs="Times New Roman"/>
                <w:sz w:val="22"/>
                <w:szCs w:val="22"/>
              </w:rPr>
              <w:t>“</w:t>
            </w:r>
            <w:r w:rsidRPr="00D04661">
              <w:rPr>
                <w:rFonts w:asciiTheme="minorHAnsi" w:hAnsiTheme="minorHAnsi" w:cs="Times New Roman"/>
                <w:sz w:val="22"/>
                <w:szCs w:val="22"/>
              </w:rPr>
              <w:t>The borrower or client assesses the type of habitat that will potentially be affected and follows the requirements of this OS, especially for palm oil, cocoa, coffee, tea and other commercial crop plantations. The borrower or client implements industry-specific best international management practices and available technologies….</w:t>
            </w:r>
            <w:r w:rsidRPr="00D04661">
              <w:rPr>
                <w:rFonts w:asciiTheme="minorHAnsi" w:hAnsiTheme="minorHAnsi"/>
                <w:sz w:val="22"/>
                <w:szCs w:val="22"/>
              </w:rPr>
              <w:t xml:space="preserve"> </w:t>
            </w:r>
            <w:r w:rsidRPr="00D04661">
              <w:rPr>
                <w:rFonts w:asciiTheme="minorHAnsi" w:hAnsiTheme="minorHAnsi" w:cs="Times New Roman"/>
                <w:sz w:val="22"/>
                <w:szCs w:val="22"/>
              </w:rPr>
              <w:t>The borrower or client follows agricultural and livestock best practices, and uses methods that do not deplete the natural resource base. …..</w:t>
            </w:r>
            <w:r w:rsidRPr="00D04661">
              <w:rPr>
                <w:rFonts w:asciiTheme="minorHAnsi" w:hAnsiTheme="minorHAnsi"/>
                <w:sz w:val="22"/>
                <w:szCs w:val="22"/>
              </w:rPr>
              <w:t xml:space="preserve"> T</w:t>
            </w:r>
            <w:r w:rsidRPr="00D04661">
              <w:rPr>
                <w:rFonts w:asciiTheme="minorHAnsi" w:hAnsiTheme="minorHAnsi" w:cs="Times New Roman"/>
                <w:sz w:val="22"/>
                <w:szCs w:val="22"/>
              </w:rPr>
              <w:t>o support sustainable fisheries and avoid significant adverse impact to the target species by catch, habitat, and associated species in accordance with relevant national laws and international good practice, the borrower or client implements the principles and standards set out in the FAO Code of Conduct for Responsible Fisheries and complies with all relevant conservation and management measures. When promoting the development of artisanal fisheries, the borrower or client uses methods that are in accordance with all relevant national laws and multilateral rules, are sustainable and not harmful to the ecosystem, avoid destructive or illegal fishing practices, and are culturally appropriate to the communities concerned.</w:t>
            </w:r>
            <w:r>
              <w:rPr>
                <w:rFonts w:asciiTheme="minorHAnsi" w:hAnsiTheme="minorHAnsi" w:cs="Times New Roman"/>
                <w:sz w:val="22"/>
                <w:szCs w:val="22"/>
              </w:rPr>
              <w:t>”</w:t>
            </w:r>
            <w:r w:rsidRPr="00D04661">
              <w:rPr>
                <w:rFonts w:asciiTheme="minorHAnsi" w:hAnsiTheme="minorHAnsi" w:cs="Times New Roman"/>
                <w:sz w:val="22"/>
                <w:szCs w:val="22"/>
              </w:rPr>
              <w:t xml:space="preserve"> </w:t>
            </w:r>
            <w:r w:rsidRPr="00D04661">
              <w:rPr>
                <w:rFonts w:asciiTheme="minorHAnsi" w:eastAsia="Times New Roman" w:hAnsiTheme="minorHAnsi" w:cs="Calibri"/>
                <w:sz w:val="22"/>
                <w:szCs w:val="22"/>
              </w:rPr>
              <w:t>(</w:t>
            </w:r>
            <w:r w:rsidRPr="00D04661">
              <w:rPr>
                <w:rFonts w:asciiTheme="minorHAnsi" w:eastAsia="Times New Roman" w:hAnsiTheme="minorHAnsi" w:cs="Calibri"/>
                <w:b/>
                <w:sz w:val="22"/>
                <w:szCs w:val="22"/>
              </w:rPr>
              <w:t>AfDB, OS 3, para.30</w:t>
            </w:r>
            <w:r w:rsidRPr="00D04661">
              <w:rPr>
                <w:rFonts w:asciiTheme="minorHAnsi" w:eastAsia="Times New Roman" w:hAnsiTheme="minorHAnsi" w:cs="Calibri"/>
                <w:sz w:val="22"/>
                <w:szCs w:val="22"/>
              </w:rPr>
              <w:t>)</w:t>
            </w:r>
          </w:p>
        </w:tc>
      </w:tr>
      <w:tr w:rsidR="00CF59E1" w:rsidRPr="00D8522E" w14:paraId="2DFEAD7B" w14:textId="77777777" w:rsidTr="00CF59E1">
        <w:tc>
          <w:tcPr>
            <w:tcW w:w="6390" w:type="dxa"/>
            <w:shd w:val="clear" w:color="auto" w:fill="auto"/>
            <w:vAlign w:val="center"/>
          </w:tcPr>
          <w:p w14:paraId="5DC4CAE4" w14:textId="77777777" w:rsidR="00CF59E1" w:rsidRPr="00D04661" w:rsidRDefault="00CF59E1" w:rsidP="00CF59E1">
            <w:pPr>
              <w:tabs>
                <w:tab w:val="left" w:pos="450"/>
              </w:tabs>
              <w:spacing w:after="120"/>
              <w:rPr>
                <w:rFonts w:asciiTheme="minorHAnsi" w:eastAsia="MS Mincho" w:hAnsiTheme="minorHAnsi" w:cs="Calibri"/>
                <w:b/>
                <w:lang w:eastAsia="ja-JP"/>
              </w:rPr>
            </w:pPr>
            <w:r w:rsidRPr="00D04661">
              <w:rPr>
                <w:rFonts w:asciiTheme="minorHAnsi" w:eastAsia="MS Mincho" w:hAnsiTheme="minorHAnsi" w:cs="Calibri"/>
                <w:b/>
                <w:iCs/>
                <w:lang w:eastAsia="ja-JP"/>
              </w:rPr>
              <w:t>PLANTATION AND</w:t>
            </w:r>
            <w:r w:rsidRPr="00D04661">
              <w:rPr>
                <w:rFonts w:asciiTheme="minorHAnsi" w:eastAsia="MS Mincho" w:hAnsiTheme="minorHAnsi" w:cs="Calibri"/>
                <w:b/>
                <w:lang w:eastAsia="ja-JP"/>
              </w:rPr>
              <w:t xml:space="preserve"> AGROFORESTRY </w:t>
            </w:r>
          </w:p>
          <w:p w14:paraId="61A87D72" w14:textId="77777777" w:rsidR="00CF59E1" w:rsidRPr="00D04661" w:rsidRDefault="00CF59E1" w:rsidP="00CF59E1">
            <w:pPr>
              <w:autoSpaceDE/>
              <w:autoSpaceDN/>
              <w:adjustRightInd/>
              <w:spacing w:after="120"/>
              <w:rPr>
                <w:rFonts w:asciiTheme="minorHAnsi" w:eastAsia="Times New Roman" w:hAnsiTheme="minorHAnsi" w:cs="Arial"/>
              </w:rPr>
            </w:pPr>
            <w:r w:rsidRPr="00D04661">
              <w:rPr>
                <w:rFonts w:asciiTheme="minorHAnsi" w:eastAsia="Times New Roman" w:hAnsiTheme="minorHAnsi" w:cs="Arial"/>
                <w:b/>
              </w:rPr>
              <w:t xml:space="preserve">OP 4.36, para. 12. </w:t>
            </w:r>
            <w:r w:rsidRPr="00D04661">
              <w:rPr>
                <w:rFonts w:asciiTheme="minorHAnsi" w:eastAsia="Times New Roman" w:hAnsiTheme="minorHAnsi" w:cs="Arial"/>
              </w:rPr>
              <w:t>The Bank may finance harvesting operations conducted by small-scale landholders, by local communities under community forest management, or by such entities under joint forest management arrangements, if these operations:</w:t>
            </w:r>
          </w:p>
          <w:p w14:paraId="17E1587B" w14:textId="77777777" w:rsidR="00CF59E1" w:rsidRPr="00D04661" w:rsidRDefault="00CF59E1" w:rsidP="00CF59E1">
            <w:pPr>
              <w:autoSpaceDE/>
              <w:autoSpaceDN/>
              <w:adjustRightInd/>
              <w:spacing w:after="120"/>
              <w:rPr>
                <w:rFonts w:asciiTheme="minorHAnsi" w:eastAsia="Times New Roman" w:hAnsiTheme="minorHAnsi" w:cs="Arial"/>
              </w:rPr>
            </w:pPr>
            <w:r w:rsidRPr="00D04661">
              <w:rPr>
                <w:rFonts w:asciiTheme="minorHAnsi" w:eastAsia="Times New Roman" w:hAnsiTheme="minorHAnsi" w:cs="Arial"/>
              </w:rPr>
              <w:t>(a) have achieved a standard of forest management developed with the meaningful participation of locally affected communities, consistent with the principles and criteria of responsible forest management outlined in paragraph 10; or</w:t>
            </w:r>
          </w:p>
          <w:p w14:paraId="3B0C26E6" w14:textId="77777777" w:rsidR="00CF59E1" w:rsidRPr="00D04661" w:rsidRDefault="00CF59E1" w:rsidP="00CF59E1">
            <w:pPr>
              <w:autoSpaceDE/>
              <w:autoSpaceDN/>
              <w:adjustRightInd/>
              <w:spacing w:after="120"/>
              <w:rPr>
                <w:rFonts w:asciiTheme="minorHAnsi" w:eastAsia="MS Mincho" w:hAnsiTheme="minorHAnsi" w:cs="Calibri"/>
                <w:b/>
                <w:iCs/>
                <w:lang w:eastAsia="ja-JP"/>
              </w:rPr>
            </w:pPr>
            <w:r w:rsidRPr="00D04661">
              <w:rPr>
                <w:rFonts w:asciiTheme="minorHAnsi" w:eastAsia="Times New Roman" w:hAnsiTheme="minorHAnsi" w:cs="Arial"/>
              </w:rPr>
              <w:t xml:space="preserve">(b) </w:t>
            </w:r>
            <w:r>
              <w:rPr>
                <w:rFonts w:asciiTheme="minorHAnsi" w:eastAsia="Times New Roman" w:hAnsiTheme="minorHAnsi" w:cs="Arial"/>
              </w:rPr>
              <w:t>ad</w:t>
            </w:r>
            <w:r w:rsidRPr="00D8522E">
              <w:rPr>
                <w:rFonts w:asciiTheme="minorHAnsi" w:eastAsia="Times New Roman" w:hAnsiTheme="minorHAnsi" w:cs="Arial"/>
              </w:rPr>
              <w:t>here</w:t>
            </w:r>
            <w:r w:rsidRPr="00D04661">
              <w:rPr>
                <w:rFonts w:asciiTheme="minorHAnsi" w:eastAsia="Times New Roman" w:hAnsiTheme="minorHAnsi" w:cs="Arial"/>
              </w:rPr>
              <w:t xml:space="preserve"> to a time-bound phased action plan to achieve such a standard. The action plan must be developed with the meaningful participation of locally-affected communities and be acceptable to the Bank.</w:t>
            </w:r>
          </w:p>
        </w:tc>
        <w:tc>
          <w:tcPr>
            <w:tcW w:w="7200" w:type="dxa"/>
            <w:shd w:val="clear" w:color="auto" w:fill="auto"/>
          </w:tcPr>
          <w:p w14:paraId="5C3D1294" w14:textId="77777777" w:rsidR="00CF59E1" w:rsidRPr="00D04661" w:rsidRDefault="00CF59E1" w:rsidP="00CF59E1">
            <w:pPr>
              <w:spacing w:after="120"/>
              <w:rPr>
                <w:rFonts w:asciiTheme="minorHAnsi" w:eastAsia="Times New Roman" w:hAnsiTheme="minorHAnsi" w:cs="Calibri"/>
              </w:rPr>
            </w:pPr>
            <w:r w:rsidRPr="00755E0C">
              <w:rPr>
                <w:rFonts w:asciiTheme="minorHAnsi" w:eastAsia="Times New Roman" w:hAnsiTheme="minorHAnsi" w:cs="Calibri"/>
              </w:rPr>
              <w:t>“</w:t>
            </w:r>
            <w:r w:rsidRPr="00D04661">
              <w:rPr>
                <w:rFonts w:asciiTheme="minorHAnsi" w:eastAsia="Times New Roman" w:hAnsiTheme="minorHAnsi" w:cs="Calibri"/>
              </w:rPr>
              <w:t>The Bank will support small-scale forestry and agroforestry</w:t>
            </w:r>
            <w:r w:rsidRPr="00D04661">
              <w:rPr>
                <w:rFonts w:asciiTheme="minorHAnsi" w:eastAsia="Times New Roman" w:hAnsiTheme="minorHAnsi" w:cs="Calibri"/>
                <w:b/>
              </w:rPr>
              <w:t xml:space="preserve"> in</w:t>
            </w:r>
            <w:r w:rsidRPr="00D04661">
              <w:rPr>
                <w:rFonts w:asciiTheme="minorHAnsi" w:eastAsia="Times New Roman" w:hAnsiTheme="minorHAnsi" w:cs="Calibri"/>
              </w:rPr>
              <w:t xml:space="preserve"> areas from which people are migrating to forestlands or on cleared forestlands where subsistence agriculture is practiced— with a view to promoting and enhancing the economic self-reliance of the target participants. The small-scale forestry activities will comprise promoting the role of trees in farm production and soil conservation, and encouraging tree planting by communities and individual farmers. Particular attention will be given to multipurpose trees for subsistence (fruits, fuel-wood, small timber, medicines) and for commercial purposes for generating cash income.</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w:t>
            </w:r>
            <w:r w:rsidRPr="00D04661">
              <w:rPr>
                <w:rFonts w:asciiTheme="minorHAnsi" w:eastAsia="Times New Roman" w:hAnsiTheme="minorHAnsi" w:cs="Calibri"/>
              </w:rPr>
              <w:t>)</w:t>
            </w:r>
            <w:r w:rsidRPr="00D04661">
              <w:rPr>
                <w:rFonts w:asciiTheme="minorHAnsi" w:eastAsia="Times New Roman" w:hAnsiTheme="minorHAnsi" w:cs="Calibri"/>
                <w:vertAlign w:val="superscript"/>
              </w:rPr>
              <w:footnoteReference w:id="226"/>
            </w:r>
          </w:p>
        </w:tc>
      </w:tr>
      <w:tr w:rsidR="00CF59E1" w:rsidRPr="00D8522E" w14:paraId="70E2EB91" w14:textId="77777777" w:rsidTr="00CF59E1">
        <w:tc>
          <w:tcPr>
            <w:tcW w:w="6390" w:type="dxa"/>
            <w:shd w:val="clear" w:color="auto" w:fill="auto"/>
            <w:vAlign w:val="center"/>
          </w:tcPr>
          <w:p w14:paraId="1E5208E0" w14:textId="77777777" w:rsidR="00CF59E1" w:rsidRPr="00D04661" w:rsidRDefault="00CF59E1" w:rsidP="00CF59E1">
            <w:pPr>
              <w:tabs>
                <w:tab w:val="left" w:pos="450"/>
              </w:tabs>
              <w:spacing w:after="120"/>
              <w:rPr>
                <w:rFonts w:asciiTheme="minorHAnsi" w:eastAsia="MS Mincho" w:hAnsiTheme="minorHAnsi" w:cs="Calibri"/>
                <w:b/>
                <w:lang w:eastAsia="ja-JP"/>
              </w:rPr>
            </w:pPr>
            <w:r w:rsidRPr="00D04661">
              <w:rPr>
                <w:rFonts w:asciiTheme="minorHAnsi" w:eastAsia="MS Mincho" w:hAnsiTheme="minorHAnsi" w:cs="Calibri"/>
                <w:b/>
                <w:lang w:eastAsia="ja-JP"/>
              </w:rPr>
              <w:t>MAINTENANCE OF CRITICAL WATERSHEDS</w:t>
            </w:r>
          </w:p>
          <w:p w14:paraId="4C2B2DE6" w14:textId="77777777" w:rsidR="00CF59E1" w:rsidRPr="00D04661" w:rsidRDefault="00CF59E1" w:rsidP="00CF59E1">
            <w:pPr>
              <w:spacing w:after="120"/>
              <w:rPr>
                <w:rFonts w:asciiTheme="minorHAnsi" w:hAnsiTheme="minorHAnsi" w:cs="Calibri"/>
                <w:b/>
                <w:iCs/>
              </w:rPr>
            </w:pPr>
            <w:r w:rsidRPr="00D04661">
              <w:rPr>
                <w:rFonts w:asciiTheme="minorHAnsi" w:hAnsiTheme="minorHAnsi" w:cs="Calibri"/>
                <w:b/>
                <w:iCs/>
              </w:rPr>
              <w:t xml:space="preserve">OP 4.04, para. 3 </w:t>
            </w:r>
          </w:p>
          <w:p w14:paraId="2F8CB70F" w14:textId="77777777" w:rsidR="00CF59E1" w:rsidRPr="00273DB8" w:rsidRDefault="00CF59E1" w:rsidP="00CF59E1">
            <w:pPr>
              <w:tabs>
                <w:tab w:val="left" w:pos="450"/>
              </w:tabs>
              <w:spacing w:after="120"/>
              <w:rPr>
                <w:rFonts w:asciiTheme="minorHAnsi" w:hAnsiTheme="minorHAnsi" w:cs="Arial"/>
              </w:rPr>
            </w:pPr>
            <w:r w:rsidRPr="00D04661">
              <w:rPr>
                <w:rFonts w:asciiTheme="minorHAnsi" w:hAnsiTheme="minorHAnsi" w:cs="Arial"/>
              </w:rPr>
              <w:t>The Bank promotes and supports …the maintenance of ecological functions</w:t>
            </w:r>
          </w:p>
          <w:p w14:paraId="44578082" w14:textId="77777777" w:rsidR="00CF59E1" w:rsidRPr="00D04661" w:rsidRDefault="00CF59E1" w:rsidP="00CF59E1">
            <w:pPr>
              <w:tabs>
                <w:tab w:val="left" w:pos="450"/>
              </w:tabs>
              <w:spacing w:after="120"/>
              <w:rPr>
                <w:rFonts w:asciiTheme="minorHAnsi" w:hAnsiTheme="minorHAnsi" w:cs="Arial"/>
              </w:rPr>
            </w:pPr>
            <w:r w:rsidRPr="00273DB8">
              <w:rPr>
                <w:rFonts w:asciiTheme="minorHAnsi" w:hAnsiTheme="minorHAnsi" w:cs="Arial"/>
                <w:b/>
              </w:rPr>
              <w:t>O</w:t>
            </w:r>
            <w:r w:rsidRPr="00D04661">
              <w:rPr>
                <w:rFonts w:asciiTheme="minorHAnsi" w:hAnsiTheme="minorHAnsi" w:cs="Arial"/>
                <w:b/>
              </w:rPr>
              <w:t xml:space="preserve">P 4.04, </w:t>
            </w:r>
            <w:r>
              <w:rPr>
                <w:rFonts w:asciiTheme="minorHAnsi" w:hAnsiTheme="minorHAnsi" w:cs="Arial"/>
                <w:b/>
              </w:rPr>
              <w:t xml:space="preserve">para. </w:t>
            </w:r>
            <w:r w:rsidRPr="00D04661">
              <w:rPr>
                <w:rFonts w:asciiTheme="minorHAnsi" w:hAnsiTheme="minorHAnsi" w:cs="Arial"/>
                <w:b/>
              </w:rPr>
              <w:t>1</w:t>
            </w:r>
            <w:r w:rsidRPr="00D04661">
              <w:rPr>
                <w:rFonts w:asciiTheme="minorHAnsi" w:hAnsiTheme="minorHAnsi" w:cs="Arial"/>
              </w:rPr>
              <w:t>:</w:t>
            </w:r>
            <w:r w:rsidRPr="00D04661">
              <w:rPr>
                <w:rFonts w:asciiTheme="minorHAnsi" w:hAnsiTheme="minorHAnsi" w:cs="Arial"/>
                <w:color w:val="000000"/>
              </w:rPr>
              <w:t xml:space="preserve"> The conservation of natural habitats like other measures that protect and enhance the environment, is essential for long-term sustainable development. The Bank</w:t>
            </w:r>
            <w:hyperlink r:id="rId44" w:anchor="f1" w:history="1">
              <w:r w:rsidRPr="00D04661">
                <w:rPr>
                  <w:rFonts w:asciiTheme="minorHAnsi" w:hAnsiTheme="minorHAnsi" w:cs="Arial"/>
                  <w:color w:val="000099"/>
                  <w:u w:val="single"/>
                  <w:vertAlign w:val="superscript"/>
                </w:rPr>
                <w:t>2</w:t>
              </w:r>
            </w:hyperlink>
            <w:r w:rsidRPr="00D04661">
              <w:rPr>
                <w:rFonts w:asciiTheme="minorHAnsi" w:hAnsiTheme="minorHAnsi" w:cs="Arial"/>
                <w:color w:val="000000"/>
              </w:rPr>
              <w:t xml:space="preserve"> therefore supports the protection, maintenance, and rehabilitation of natural habitats and their functions in its economic and sector work, project financing, and policy dialogue. </w:t>
            </w:r>
          </w:p>
          <w:p w14:paraId="6BE9CEB2" w14:textId="77777777" w:rsidR="00CF59E1" w:rsidRPr="00D04661" w:rsidRDefault="00CF59E1" w:rsidP="00CF59E1">
            <w:pPr>
              <w:pStyle w:val="NormalWeb"/>
              <w:spacing w:before="0" w:beforeAutospacing="0" w:after="120" w:afterAutospacing="0"/>
              <w:rPr>
                <w:rFonts w:asciiTheme="minorHAnsi" w:hAnsiTheme="minorHAnsi" w:cs="Arial"/>
                <w:color w:val="000000"/>
                <w:sz w:val="22"/>
                <w:szCs w:val="22"/>
              </w:rPr>
            </w:pPr>
            <w:r w:rsidRPr="00D04661">
              <w:rPr>
                <w:rFonts w:asciiTheme="minorHAnsi" w:hAnsiTheme="minorHAnsi" w:cs="Arial"/>
                <w:b/>
                <w:sz w:val="22"/>
                <w:szCs w:val="22"/>
              </w:rPr>
              <w:t xml:space="preserve">OP 4.36, </w:t>
            </w:r>
            <w:r>
              <w:rPr>
                <w:rFonts w:asciiTheme="minorHAnsi" w:hAnsiTheme="minorHAnsi" w:cs="Arial"/>
                <w:b/>
                <w:sz w:val="22"/>
                <w:szCs w:val="22"/>
              </w:rPr>
              <w:t xml:space="preserve">para. </w:t>
            </w:r>
            <w:r w:rsidRPr="00D04661">
              <w:rPr>
                <w:rFonts w:asciiTheme="minorHAnsi" w:hAnsiTheme="minorHAnsi" w:cs="Arial"/>
                <w:b/>
                <w:color w:val="000000"/>
                <w:sz w:val="22"/>
                <w:szCs w:val="22"/>
              </w:rPr>
              <w:t>1</w:t>
            </w:r>
            <w:r w:rsidRPr="00D04661">
              <w:rPr>
                <w:rFonts w:asciiTheme="minorHAnsi" w:hAnsiTheme="minorHAnsi" w:cs="Arial"/>
                <w:color w:val="000000"/>
                <w:sz w:val="22"/>
                <w:szCs w:val="22"/>
              </w:rPr>
              <w:t xml:space="preserve">: The management, conservation, and sustainable development of forest ecosystems and their associated resources are essential for lasting poverty reduction and sustainable development, whether located in countries with abundant forests or in those with depleted or naturally limited forest resources. </w:t>
            </w:r>
          </w:p>
          <w:p w14:paraId="03AB69D8" w14:textId="77777777" w:rsidR="00CF59E1" w:rsidRPr="00755E0C" w:rsidRDefault="00CF59E1" w:rsidP="00CF59E1">
            <w:pPr>
              <w:autoSpaceDE/>
              <w:autoSpaceDN/>
              <w:adjustRightInd/>
              <w:spacing w:after="120"/>
              <w:rPr>
                <w:rFonts w:asciiTheme="minorHAnsi" w:eastAsia="Times New Roman" w:hAnsiTheme="minorHAnsi" w:cs="Arial"/>
                <w:color w:val="000000"/>
              </w:rPr>
            </w:pPr>
            <w:r w:rsidRPr="00D04661">
              <w:rPr>
                <w:rFonts w:asciiTheme="minorHAnsi" w:hAnsiTheme="minorHAnsi" w:cs="Arial"/>
                <w:b/>
              </w:rPr>
              <w:t xml:space="preserve">OP 4.36, </w:t>
            </w:r>
            <w:r>
              <w:rPr>
                <w:rFonts w:asciiTheme="minorHAnsi" w:hAnsiTheme="minorHAnsi" w:cs="Arial"/>
                <w:b/>
              </w:rPr>
              <w:t xml:space="preserve">para. </w:t>
            </w:r>
            <w:r w:rsidRPr="00D04661">
              <w:rPr>
                <w:rFonts w:asciiTheme="minorHAnsi" w:eastAsia="Times New Roman" w:hAnsiTheme="minorHAnsi" w:cs="Arial"/>
                <w:b/>
                <w:color w:val="000000"/>
              </w:rPr>
              <w:t>2</w:t>
            </w:r>
            <w:r w:rsidRPr="00D04661">
              <w:rPr>
                <w:rFonts w:asciiTheme="minorHAnsi" w:eastAsia="Times New Roman" w:hAnsiTheme="minorHAnsi" w:cs="Arial"/>
                <w:color w:val="000000"/>
              </w:rPr>
              <w:t xml:space="preserve">: Where forest restoration and plantation development are necessary to meet these objectives, the Bank assists borrowers with forest restoration activities that maintain or enhance biodiversity and ecosystem functionality. </w:t>
            </w:r>
          </w:p>
        </w:tc>
        <w:tc>
          <w:tcPr>
            <w:tcW w:w="7200" w:type="dxa"/>
            <w:shd w:val="clear" w:color="auto" w:fill="auto"/>
          </w:tcPr>
          <w:p w14:paraId="62083B97" w14:textId="77777777" w:rsidR="00CF59E1" w:rsidRPr="00D04661" w:rsidRDefault="00CF59E1" w:rsidP="00CF59E1">
            <w:pPr>
              <w:spacing w:after="120"/>
              <w:rPr>
                <w:rFonts w:asciiTheme="minorHAnsi" w:eastAsia="Times New Roman" w:hAnsiTheme="minorHAnsi" w:cs="Calibri"/>
                <w:bCs/>
                <w:iCs/>
              </w:rPr>
            </w:pPr>
            <w:r>
              <w:rPr>
                <w:rFonts w:asciiTheme="minorHAnsi" w:eastAsia="Times New Roman" w:hAnsiTheme="minorHAnsi" w:cs="Calibri"/>
                <w:bCs/>
                <w:iCs/>
              </w:rPr>
              <w:t>“</w:t>
            </w:r>
            <w:r w:rsidRPr="00D04661">
              <w:rPr>
                <w:rFonts w:asciiTheme="minorHAnsi" w:eastAsia="Times New Roman" w:hAnsiTheme="minorHAnsi" w:cs="Calibri"/>
                <w:bCs/>
                <w:iCs/>
              </w:rPr>
              <w:t xml:space="preserve">The Bank will actively pursue protection and rehabilitation of degraded forestlands in its DMCs. </w:t>
            </w:r>
            <w:r w:rsidRPr="00D04661">
              <w:rPr>
                <w:rFonts w:asciiTheme="minorHAnsi" w:eastAsia="Times New Roman" w:hAnsiTheme="minorHAnsi" w:cs="Calibri"/>
              </w:rPr>
              <w:t xml:space="preserve">The role of enrichment plantings, plantations, and assisted natural regeneration in conserving soil, stabilizing sand dunes, protecting water catchments, and improving environmental quality is frequently as important as that in the production of industrial timber. </w:t>
            </w:r>
            <w:r w:rsidRPr="00D04661">
              <w:rPr>
                <w:rFonts w:asciiTheme="minorHAnsi" w:eastAsia="Times New Roman" w:hAnsiTheme="minorHAnsi" w:cs="Calibri"/>
                <w:bCs/>
                <w:iCs/>
              </w:rPr>
              <w:t>The involvement of local communities with NGOs, where appropriate, will be encouraged to rehabilitate these watersheds by reforestation and enrichment plantings with indigenous tree species, shrubs and tree crops through improved land tenure and other incentives as appropriate.</w:t>
            </w:r>
            <w:r>
              <w:rPr>
                <w:rFonts w:asciiTheme="minorHAnsi" w:eastAsia="Times New Roman" w:hAnsiTheme="minorHAnsi" w:cs="Calibri"/>
                <w:bCs/>
                <w:iCs/>
              </w:rPr>
              <w:t>”</w:t>
            </w:r>
            <w:r w:rsidRPr="00D04661">
              <w:rPr>
                <w:rFonts w:asciiTheme="minorHAnsi" w:eastAsia="Times New Roman" w:hAnsiTheme="minorHAnsi" w:cs="Calibri"/>
                <w:bCs/>
                <w:iCs/>
              </w:rPr>
              <w:t xml:space="preserve"> (</w:t>
            </w:r>
            <w:r w:rsidRPr="00D04661">
              <w:rPr>
                <w:rFonts w:asciiTheme="minorHAnsi" w:eastAsia="Times New Roman" w:hAnsiTheme="minorHAnsi" w:cs="Calibri"/>
                <w:b/>
                <w:bCs/>
                <w:iCs/>
              </w:rPr>
              <w:t>ADB</w:t>
            </w:r>
            <w:r w:rsidRPr="00D04661">
              <w:rPr>
                <w:rFonts w:asciiTheme="minorHAnsi" w:eastAsia="Times New Roman" w:hAnsiTheme="minorHAnsi" w:cs="Calibri"/>
                <w:bCs/>
                <w:iCs/>
              </w:rPr>
              <w:t>)</w:t>
            </w:r>
            <w:r w:rsidRPr="00D04661">
              <w:rPr>
                <w:rStyle w:val="FootnoteReference"/>
                <w:rFonts w:asciiTheme="minorHAnsi" w:eastAsia="Times New Roman" w:hAnsiTheme="minorHAnsi" w:cs="Calibri"/>
                <w:bCs/>
                <w:iCs/>
              </w:rPr>
              <w:footnoteReference w:id="227"/>
            </w:r>
          </w:p>
        </w:tc>
      </w:tr>
      <w:tr w:rsidR="00CF59E1" w:rsidRPr="00D8522E" w14:paraId="2151DFA9" w14:textId="77777777" w:rsidTr="00CF59E1">
        <w:tc>
          <w:tcPr>
            <w:tcW w:w="6390" w:type="dxa"/>
            <w:shd w:val="clear" w:color="auto" w:fill="auto"/>
            <w:vAlign w:val="center"/>
          </w:tcPr>
          <w:p w14:paraId="4C74001A" w14:textId="77777777" w:rsidR="00CF59E1" w:rsidRPr="00D04661" w:rsidRDefault="00CF59E1" w:rsidP="00CF59E1">
            <w:pPr>
              <w:tabs>
                <w:tab w:val="left" w:pos="450"/>
              </w:tabs>
              <w:spacing w:after="120"/>
              <w:rPr>
                <w:rFonts w:asciiTheme="minorHAnsi" w:eastAsia="MS Mincho" w:hAnsiTheme="minorHAnsi" w:cs="Calibri"/>
                <w:b/>
                <w:bCs/>
                <w:lang w:eastAsia="ja-JP"/>
              </w:rPr>
            </w:pPr>
            <w:r w:rsidRPr="00D04661">
              <w:rPr>
                <w:rFonts w:asciiTheme="minorHAnsi" w:eastAsia="MS Mincho" w:hAnsiTheme="minorHAnsi" w:cs="Calibri"/>
                <w:b/>
                <w:bCs/>
                <w:lang w:eastAsia="ja-JP"/>
              </w:rPr>
              <w:t>PROMOTING PUBLIC CONSULTATION IN FORESTRY DEVELOPMENT</w:t>
            </w:r>
          </w:p>
          <w:p w14:paraId="1934CAFA" w14:textId="77777777" w:rsidR="00CF59E1" w:rsidRPr="00192D76" w:rsidRDefault="00CF59E1" w:rsidP="00CF59E1">
            <w:pPr>
              <w:tabs>
                <w:tab w:val="left" w:pos="450"/>
              </w:tabs>
              <w:spacing w:after="120"/>
              <w:rPr>
                <w:rFonts w:asciiTheme="minorHAnsi" w:hAnsiTheme="minorHAnsi" w:cs="Arial"/>
              </w:rPr>
            </w:pPr>
            <w:r w:rsidRPr="00D04661">
              <w:rPr>
                <w:rFonts w:asciiTheme="minorHAnsi" w:hAnsiTheme="minorHAnsi" w:cs="Arial"/>
                <w:b/>
              </w:rPr>
              <w:t>OP 4.36, para. 12</w:t>
            </w:r>
            <w:r w:rsidRPr="00D04661">
              <w:rPr>
                <w:rFonts w:asciiTheme="minorHAnsi" w:hAnsiTheme="minorHAnsi" w:cs="Arial"/>
              </w:rPr>
              <w:t xml:space="preserve">: The borrower monitors [harvesting operations conducted by small-scale landholders, by local communities under community forest management, or by such entities under joint forest management arrangements] with the meaningful </w:t>
            </w:r>
            <w:r w:rsidRPr="00192D76">
              <w:rPr>
                <w:rFonts w:asciiTheme="minorHAnsi" w:hAnsiTheme="minorHAnsi" w:cs="Arial"/>
              </w:rPr>
              <w:t>participation of locally-affected communities</w:t>
            </w:r>
          </w:p>
          <w:p w14:paraId="195B9105" w14:textId="77777777" w:rsidR="00CF59E1" w:rsidRPr="00755E0C" w:rsidRDefault="00CF59E1" w:rsidP="00CF59E1">
            <w:pPr>
              <w:tabs>
                <w:tab w:val="left" w:pos="450"/>
              </w:tabs>
              <w:spacing w:after="120"/>
              <w:rPr>
                <w:rFonts w:asciiTheme="minorHAnsi" w:hAnsiTheme="minorHAnsi" w:cs="Arial"/>
              </w:rPr>
            </w:pPr>
            <w:r w:rsidRPr="00192D76">
              <w:rPr>
                <w:rFonts w:asciiTheme="minorHAnsi" w:hAnsiTheme="minorHAnsi" w:cs="Arial"/>
                <w:b/>
              </w:rPr>
              <w:t xml:space="preserve">OP 4.04 </w:t>
            </w:r>
            <w:r>
              <w:rPr>
                <w:rFonts w:asciiTheme="minorHAnsi" w:hAnsiTheme="minorHAnsi" w:cs="Arial"/>
                <w:b/>
              </w:rPr>
              <w:t xml:space="preserve">para. </w:t>
            </w:r>
            <w:r w:rsidRPr="00192D76">
              <w:rPr>
                <w:rFonts w:asciiTheme="minorHAnsi" w:hAnsiTheme="minorHAnsi" w:cs="Arial"/>
                <w:b/>
              </w:rPr>
              <w:t>10</w:t>
            </w:r>
            <w:r w:rsidRPr="00192D76">
              <w:rPr>
                <w:rFonts w:asciiTheme="minorHAnsi" w:hAnsiTheme="minorHAnsi" w:cs="Arial"/>
              </w:rPr>
              <w:t xml:space="preserve">: </w:t>
            </w:r>
            <w:r w:rsidRPr="00192D76">
              <w:rPr>
                <w:rFonts w:asciiTheme="minorHAnsi" w:hAnsiTheme="minorHAnsi" w:cs="Arial"/>
                <w:color w:val="000000"/>
              </w:rPr>
              <w:t>The Bank expects the borrower to take into account the views, roles, and rights of groups, including local nongovernmental organizations and local communities, affected by Bank-financed projects involving natural habitats, and to involve such people in planning, designing, implementing, monitoring, and evaluating such projects. Involvement may include identifying appropriate conservation measures, managing protected areas and other natural habitats, and monitoring and evaluating specific projects. The Bank encourages governments to provide such people with appropriate information and incentives to protect natural habitats.</w:t>
            </w:r>
          </w:p>
        </w:tc>
        <w:tc>
          <w:tcPr>
            <w:tcW w:w="7200" w:type="dxa"/>
            <w:shd w:val="clear" w:color="auto" w:fill="auto"/>
          </w:tcPr>
          <w:p w14:paraId="68D72922" w14:textId="77777777" w:rsidR="00CF59E1" w:rsidRPr="00D04661" w:rsidRDefault="00CF59E1" w:rsidP="00CF59E1">
            <w:pPr>
              <w:spacing w:after="120"/>
              <w:rPr>
                <w:rFonts w:asciiTheme="minorHAnsi" w:eastAsia="Times New Roman" w:hAnsiTheme="minorHAnsi" w:cs="Calibri"/>
                <w:bCs/>
                <w:iCs/>
              </w:rPr>
            </w:pPr>
            <w:r>
              <w:rPr>
                <w:rFonts w:asciiTheme="minorHAnsi" w:eastAsia="Times New Roman" w:hAnsiTheme="minorHAnsi" w:cs="Calibri"/>
                <w:bCs/>
              </w:rPr>
              <w:t>“</w:t>
            </w:r>
            <w:r w:rsidRPr="00D04661">
              <w:rPr>
                <w:rFonts w:asciiTheme="minorHAnsi" w:eastAsia="Times New Roman" w:hAnsiTheme="minorHAnsi" w:cs="Calibri"/>
                <w:bCs/>
                <w:iCs/>
              </w:rPr>
              <w:t xml:space="preserve">The Bank together with DMC governments will, prior to financing any forestry project, carry out social assessments and necessary social design studies in accordance with standard Bank procedures, including assessing the role of women in the total resource utilization and production to identify constraints facing women to ensure appropriate levels of beneficiary consultation/participation at all stages of project identification, preparation, and implementation; and to design and agree upon, with borrowers, necessary activities in this regard. </w:t>
            </w:r>
            <w:r w:rsidRPr="00D04661">
              <w:rPr>
                <w:rFonts w:asciiTheme="minorHAnsi" w:eastAsia="Times New Roman" w:hAnsiTheme="minorHAnsi" w:cs="Calibri"/>
                <w:bCs/>
              </w:rPr>
              <w:t>The Bank will also assist DMCs in developing and strengthening mechanisms by which public consultation on forestry issues can be facilitated and forest-dwelling and/or forest-dependent communities can be involved in land use decisions related to forest lands— the potential role of NGOs, elected local bodies, educational organizations, village revenue officials, school teachers, and other relevant bodies in this context will be encouraged.</w:t>
            </w:r>
            <w:r>
              <w:rPr>
                <w:rFonts w:asciiTheme="minorHAnsi" w:eastAsia="Times New Roman" w:hAnsiTheme="minorHAnsi" w:cs="Calibri"/>
                <w:bCs/>
              </w:rPr>
              <w:t>”</w:t>
            </w:r>
            <w:r w:rsidRPr="00D04661">
              <w:rPr>
                <w:rFonts w:asciiTheme="minorHAnsi" w:eastAsia="Times New Roman" w:hAnsiTheme="minorHAnsi" w:cs="Calibri"/>
                <w:bCs/>
              </w:rPr>
              <w:t>(</w:t>
            </w:r>
            <w:r w:rsidRPr="00D04661">
              <w:rPr>
                <w:rFonts w:asciiTheme="minorHAnsi" w:eastAsia="Times New Roman" w:hAnsiTheme="minorHAnsi" w:cs="Calibri"/>
                <w:b/>
                <w:bCs/>
              </w:rPr>
              <w:t>ADB</w:t>
            </w:r>
            <w:r w:rsidRPr="00D04661">
              <w:rPr>
                <w:rFonts w:asciiTheme="minorHAnsi" w:eastAsia="Times New Roman" w:hAnsiTheme="minorHAnsi" w:cs="Calibri"/>
                <w:bCs/>
              </w:rPr>
              <w:t>)</w:t>
            </w:r>
            <w:r w:rsidRPr="00D04661">
              <w:rPr>
                <w:rFonts w:asciiTheme="minorHAnsi" w:eastAsia="Times New Roman" w:hAnsiTheme="minorHAnsi" w:cs="Calibri"/>
                <w:bCs/>
                <w:vertAlign w:val="superscript"/>
              </w:rPr>
              <w:footnoteReference w:id="228"/>
            </w:r>
          </w:p>
        </w:tc>
      </w:tr>
      <w:tr w:rsidR="00CF59E1" w:rsidRPr="00D8522E" w14:paraId="1A996CFE" w14:textId="77777777" w:rsidTr="00CF59E1">
        <w:tc>
          <w:tcPr>
            <w:tcW w:w="13590" w:type="dxa"/>
            <w:gridSpan w:val="2"/>
            <w:shd w:val="clear" w:color="auto" w:fill="FBD4B4"/>
            <w:vAlign w:val="center"/>
          </w:tcPr>
          <w:p w14:paraId="5CFE15DB" w14:textId="77777777" w:rsidR="00CF59E1" w:rsidRPr="00D04661" w:rsidRDefault="00CF59E1" w:rsidP="00CF59E1">
            <w:pPr>
              <w:autoSpaceDE/>
              <w:autoSpaceDN/>
              <w:adjustRightInd/>
              <w:spacing w:after="120"/>
              <w:jc w:val="center"/>
              <w:rPr>
                <w:rFonts w:asciiTheme="minorHAnsi" w:eastAsia="Times New Roman" w:hAnsiTheme="minorHAnsi" w:cs="Calibri"/>
                <w:b/>
                <w:bCs/>
              </w:rPr>
            </w:pPr>
            <w:r w:rsidRPr="00D04661">
              <w:rPr>
                <w:rFonts w:asciiTheme="minorHAnsi" w:eastAsia="Times New Roman" w:hAnsiTheme="minorHAnsi" w:cs="Calibri"/>
                <w:b/>
                <w:bCs/>
              </w:rPr>
              <w:t>INVOLUNTARY RESETTLEMENT (IR)</w:t>
            </w:r>
          </w:p>
        </w:tc>
      </w:tr>
      <w:tr w:rsidR="00CF59E1" w:rsidRPr="00D8522E" w14:paraId="6A7A47E2" w14:textId="77777777" w:rsidTr="00CF59E1">
        <w:tc>
          <w:tcPr>
            <w:tcW w:w="6390" w:type="dxa"/>
            <w:shd w:val="clear" w:color="auto" w:fill="auto"/>
            <w:vAlign w:val="center"/>
          </w:tcPr>
          <w:p w14:paraId="0AF71E79" w14:textId="77777777" w:rsidR="00CF59E1" w:rsidRPr="00D04661" w:rsidRDefault="00CF59E1" w:rsidP="00CF59E1">
            <w:pPr>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ALTERNATIVES TO RESETTLEMENT</w:t>
            </w:r>
          </w:p>
          <w:p w14:paraId="4558C566" w14:textId="77777777" w:rsidR="00CF59E1" w:rsidRPr="00D04661" w:rsidRDefault="00CF59E1" w:rsidP="00CF59E1">
            <w:pPr>
              <w:autoSpaceDE/>
              <w:autoSpaceDN/>
              <w:adjustRightInd/>
              <w:spacing w:after="120"/>
              <w:rPr>
                <w:rFonts w:asciiTheme="minorHAnsi" w:eastAsia="Times New Roman" w:hAnsiTheme="minorHAnsi" w:cs="Calibri"/>
                <w:bCs/>
              </w:rPr>
            </w:pPr>
            <w:r w:rsidRPr="00D04661">
              <w:rPr>
                <w:rFonts w:asciiTheme="minorHAnsi" w:hAnsiTheme="minorHAnsi" w:cs="Arial"/>
              </w:rPr>
              <w:t xml:space="preserve">OP4.12, </w:t>
            </w:r>
            <w:r>
              <w:rPr>
                <w:rFonts w:asciiTheme="minorHAnsi" w:hAnsiTheme="minorHAnsi" w:cs="Arial"/>
              </w:rPr>
              <w:t xml:space="preserve">para. </w:t>
            </w:r>
            <w:r w:rsidRPr="00D04661">
              <w:rPr>
                <w:rFonts w:asciiTheme="minorHAnsi" w:hAnsiTheme="minorHAnsi" w:cs="Arial"/>
              </w:rPr>
              <w:t>2.a: Involuntary resettlement should be avoided where feasible, or minimized, exploring all viable alternative project designs.</w:t>
            </w:r>
          </w:p>
        </w:tc>
        <w:tc>
          <w:tcPr>
            <w:tcW w:w="7200" w:type="dxa"/>
            <w:shd w:val="clear" w:color="auto" w:fill="auto"/>
          </w:tcPr>
          <w:p w14:paraId="7999B1CB" w14:textId="77777777" w:rsidR="00CF59E1" w:rsidRPr="00D04661" w:rsidRDefault="00CF59E1" w:rsidP="00CF59E1">
            <w:pPr>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When the resettlement implications of a project would appear to be particularly severe, the borrower shall consider either downsizing the project to reduce resettlement or finding other alternatives that can reasonably replace the project.</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AfDB, OS 2, para. 12</w:t>
            </w:r>
            <w:r w:rsidRPr="00D04661">
              <w:rPr>
                <w:rFonts w:asciiTheme="minorHAnsi" w:eastAsia="Times New Roman" w:hAnsiTheme="minorHAnsi" w:cs="Calibri"/>
              </w:rPr>
              <w:t>)</w:t>
            </w:r>
          </w:p>
          <w:p w14:paraId="1846AD7D" w14:textId="77777777" w:rsidR="00CF59E1" w:rsidRPr="00D04661" w:rsidRDefault="00CF59E1" w:rsidP="00CF59E1">
            <w:pPr>
              <w:spacing w:after="120"/>
              <w:rPr>
                <w:rFonts w:asciiTheme="minorHAnsi" w:eastAsia="Times New Roman" w:hAnsiTheme="minorHAnsi" w:cs="Calibri"/>
              </w:rPr>
            </w:pPr>
            <w:r>
              <w:rPr>
                <w:rFonts w:asciiTheme="minorHAnsi" w:hAnsiTheme="minorHAnsi" w:cs="Times New Roman"/>
              </w:rPr>
              <w:t>“</w:t>
            </w:r>
            <w:r w:rsidRPr="00D04661">
              <w:rPr>
                <w:rFonts w:asciiTheme="minorHAnsi" w:hAnsiTheme="minorHAnsi" w:cs="Times New Roman"/>
              </w:rPr>
              <w:t>A thorough analysis of project alternatives must be carried out in order to identify solutions that are economically and technically feasible while eliminating or minimizing the need for involuntary resettlement…</w:t>
            </w:r>
            <w:r w:rsidRPr="00D04661">
              <w:rPr>
                <w:rFonts w:asciiTheme="minorHAnsi" w:hAnsiTheme="minorHAnsi"/>
              </w:rPr>
              <w:t xml:space="preserve"> </w:t>
            </w:r>
            <w:r w:rsidRPr="00D04661">
              <w:rPr>
                <w:rFonts w:asciiTheme="minorHAnsi" w:hAnsiTheme="minorHAnsi" w:cs="Times New Roman"/>
              </w:rPr>
              <w:t>When a large number of people or a significant portion of the affected community would be subject to relocation and/or impacts affect assets and values that are difficult to quantify and to compensate, after all other options have been explored the alternative of not going ahead with the project should be given serious consideration.</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IDB, Policy on Resettlement, Principles, para. 1)</w:t>
            </w:r>
          </w:p>
        </w:tc>
      </w:tr>
      <w:tr w:rsidR="00CF59E1" w:rsidRPr="00D8522E" w14:paraId="2AEBA00D" w14:textId="77777777" w:rsidTr="00CF59E1">
        <w:tc>
          <w:tcPr>
            <w:tcW w:w="6390" w:type="dxa"/>
            <w:vMerge w:val="restart"/>
            <w:shd w:val="clear" w:color="auto" w:fill="auto"/>
            <w:vAlign w:val="center"/>
          </w:tcPr>
          <w:p w14:paraId="7024A122" w14:textId="77777777" w:rsidR="00CF59E1" w:rsidRPr="00D04661" w:rsidRDefault="00CF59E1" w:rsidP="00CF59E1">
            <w:pPr>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SCOPE OF IR POLICY: IMPACTS COVERED</w:t>
            </w:r>
          </w:p>
          <w:p w14:paraId="4846951B" w14:textId="77777777" w:rsidR="00CF59E1" w:rsidRPr="00D04661" w:rsidRDefault="00CF59E1" w:rsidP="00CF59E1">
            <w:pPr>
              <w:autoSpaceDE/>
              <w:autoSpaceDN/>
              <w:adjustRightInd/>
              <w:spacing w:after="120"/>
              <w:rPr>
                <w:rFonts w:asciiTheme="minorHAnsi" w:eastAsia="Times New Roman" w:hAnsiTheme="minorHAnsi" w:cs="Arial"/>
              </w:rPr>
            </w:pPr>
            <w:r w:rsidRPr="00D04661">
              <w:rPr>
                <w:rFonts w:asciiTheme="minorHAnsi" w:eastAsia="Times New Roman" w:hAnsiTheme="minorHAnsi" w:cs="Arial"/>
              </w:rPr>
              <w:t xml:space="preserve">OP 4.12, </w:t>
            </w:r>
            <w:r>
              <w:rPr>
                <w:rFonts w:asciiTheme="minorHAnsi" w:eastAsia="Times New Roman" w:hAnsiTheme="minorHAnsi" w:cs="Arial"/>
              </w:rPr>
              <w:t xml:space="preserve">para. </w:t>
            </w:r>
            <w:r w:rsidRPr="00D04661">
              <w:rPr>
                <w:rFonts w:asciiTheme="minorHAnsi" w:eastAsia="Times New Roman" w:hAnsiTheme="minorHAnsi" w:cs="Arial"/>
              </w:rPr>
              <w:t xml:space="preserve">3: </w:t>
            </w:r>
            <w:r>
              <w:rPr>
                <w:rFonts w:asciiTheme="minorHAnsi" w:eastAsia="Times New Roman" w:hAnsiTheme="minorHAnsi" w:cs="Arial"/>
              </w:rPr>
              <w:t>“</w:t>
            </w:r>
            <w:r w:rsidRPr="00D04661">
              <w:rPr>
                <w:rFonts w:asciiTheme="minorHAnsi" w:eastAsia="Times New Roman" w:hAnsiTheme="minorHAnsi" w:cs="Arial"/>
              </w:rPr>
              <w:t>This policy covers direct economic and social impacts that both result from Bank-assisted investment projects, and are caused by (a) the involuntary taking of land resulting in (i) relocation or loss of shelter; (ii) loss of assets or access to assets; or (iii) loss of income sources or means of livelihood, whether or not the affected persons must move to another location; or (b) the involuntary restriction of access to legally designated parks and protected areas resulting in adverse impacts on the livelihoods of the displaced persons.</w:t>
            </w:r>
            <w:r>
              <w:rPr>
                <w:rFonts w:asciiTheme="minorHAnsi" w:eastAsia="Times New Roman" w:hAnsiTheme="minorHAnsi" w:cs="Arial"/>
              </w:rPr>
              <w:t>”</w:t>
            </w:r>
            <w:r w:rsidRPr="00D04661">
              <w:rPr>
                <w:rFonts w:asciiTheme="minorHAnsi" w:eastAsia="Times New Roman" w:hAnsiTheme="minorHAnsi" w:cs="Arial"/>
              </w:rPr>
              <w:t xml:space="preserve"> </w:t>
            </w:r>
          </w:p>
          <w:p w14:paraId="56D2FB1C" w14:textId="77777777" w:rsidR="00CF59E1" w:rsidRPr="00D04661" w:rsidRDefault="00CF59E1" w:rsidP="00CF59E1">
            <w:pPr>
              <w:autoSpaceDE/>
              <w:autoSpaceDN/>
              <w:adjustRightInd/>
              <w:spacing w:after="120"/>
              <w:rPr>
                <w:rFonts w:asciiTheme="minorHAnsi" w:eastAsia="Times New Roman" w:hAnsiTheme="minorHAnsi" w:cs="Calibri"/>
              </w:rPr>
            </w:pPr>
            <w:r w:rsidRPr="00D04661">
              <w:rPr>
                <w:rFonts w:asciiTheme="minorHAnsi" w:hAnsiTheme="minorHAnsi" w:cs="Arial"/>
              </w:rPr>
              <w:t xml:space="preserve">OP.12, </w:t>
            </w:r>
            <w:r>
              <w:rPr>
                <w:rFonts w:asciiTheme="minorHAnsi" w:hAnsiTheme="minorHAnsi" w:cs="Arial"/>
              </w:rPr>
              <w:t xml:space="preserve">para. </w:t>
            </w:r>
            <w:r w:rsidRPr="00D04661">
              <w:rPr>
                <w:rFonts w:asciiTheme="minorHAnsi" w:hAnsiTheme="minorHAnsi" w:cs="Arial"/>
              </w:rPr>
              <w:t xml:space="preserve">4: </w:t>
            </w:r>
            <w:r>
              <w:rPr>
                <w:rFonts w:asciiTheme="minorHAnsi" w:hAnsiTheme="minorHAnsi" w:cs="Arial"/>
              </w:rPr>
              <w:t>“</w:t>
            </w:r>
            <w:r w:rsidRPr="00D04661">
              <w:rPr>
                <w:rFonts w:asciiTheme="minorHAnsi" w:hAnsiTheme="minorHAnsi" w:cs="Arial"/>
              </w:rPr>
              <w:t>This policy applies to all components of the project that result in involuntary resettlement, regardless of the source of financing. It also applies to other activities resulting in involuntary resettlement, that in the judgment of the Bank, are (a) directly and significantly related to the Bank-assisted project, (b) necessary to achieve its objectives as set forth in the project documents; and (c) carried out, or planned to be carried out, contemporaneously with the project.</w:t>
            </w:r>
            <w:r>
              <w:rPr>
                <w:rFonts w:asciiTheme="minorHAnsi" w:hAnsiTheme="minorHAnsi" w:cs="Arial"/>
              </w:rPr>
              <w:t>”</w:t>
            </w:r>
          </w:p>
        </w:tc>
        <w:tc>
          <w:tcPr>
            <w:tcW w:w="7200" w:type="dxa"/>
            <w:shd w:val="clear" w:color="auto" w:fill="auto"/>
          </w:tcPr>
          <w:p w14:paraId="76F833E4" w14:textId="77777777" w:rsidR="00CF59E1" w:rsidRPr="00D04661" w:rsidRDefault="00CF59E1" w:rsidP="00CF59E1">
            <w:pPr>
              <w:spacing w:after="120"/>
              <w:rPr>
                <w:rFonts w:asciiTheme="minorHAnsi" w:hAnsiTheme="minorHAnsi" w:cs="Times New Roman"/>
              </w:rPr>
            </w:pPr>
            <w:r>
              <w:rPr>
                <w:rFonts w:asciiTheme="minorHAnsi" w:eastAsia="Times New Roman" w:hAnsiTheme="minorHAnsi" w:cs="Calibri"/>
              </w:rPr>
              <w:t>“</w:t>
            </w:r>
            <w:r w:rsidRPr="00D04661">
              <w:rPr>
                <w:rFonts w:asciiTheme="minorHAnsi" w:eastAsia="Times New Roman" w:hAnsiTheme="minorHAnsi" w:cs="Calibri"/>
              </w:rPr>
              <w:t>The involuntary resettlement requirements apply to … permanent or temporary physical displacement.</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 SPS, Appendix 2, para. 5</w:t>
            </w:r>
            <w:r w:rsidRPr="00D04661">
              <w:rPr>
                <w:rFonts w:asciiTheme="minorHAnsi" w:eastAsia="Times New Roman" w:hAnsiTheme="minorHAnsi" w:cs="Calibri"/>
              </w:rPr>
              <w:t>)</w:t>
            </w:r>
            <w:r w:rsidRPr="00D04661">
              <w:rPr>
                <w:rFonts w:asciiTheme="minorHAnsi" w:eastAsia="Times New Roman" w:hAnsiTheme="minorHAnsi" w:cs="Calibri"/>
                <w:vertAlign w:val="superscript"/>
              </w:rPr>
              <w:footnoteReference w:id="229"/>
            </w:r>
          </w:p>
        </w:tc>
      </w:tr>
      <w:tr w:rsidR="00CF59E1" w:rsidRPr="00D8522E" w14:paraId="209808DE" w14:textId="77777777" w:rsidTr="00CF59E1">
        <w:tc>
          <w:tcPr>
            <w:tcW w:w="6390" w:type="dxa"/>
            <w:vMerge/>
            <w:shd w:val="clear" w:color="auto" w:fill="auto"/>
            <w:vAlign w:val="center"/>
          </w:tcPr>
          <w:p w14:paraId="2C67CDB1" w14:textId="77777777" w:rsidR="00CF59E1" w:rsidRPr="00D04661" w:rsidRDefault="00CF59E1" w:rsidP="00CF59E1">
            <w:pPr>
              <w:autoSpaceDE/>
              <w:autoSpaceDN/>
              <w:adjustRightInd/>
              <w:spacing w:after="120"/>
              <w:rPr>
                <w:rFonts w:asciiTheme="minorHAnsi" w:eastAsia="Times New Roman" w:hAnsiTheme="minorHAnsi" w:cs="Calibri"/>
              </w:rPr>
            </w:pPr>
          </w:p>
        </w:tc>
        <w:tc>
          <w:tcPr>
            <w:tcW w:w="7200" w:type="dxa"/>
            <w:shd w:val="clear" w:color="auto" w:fill="auto"/>
          </w:tcPr>
          <w:p w14:paraId="254AD745" w14:textId="77777777" w:rsidR="00CF59E1" w:rsidRPr="00D8522E" w:rsidRDefault="00CF59E1" w:rsidP="00CF59E1">
            <w:pPr>
              <w:autoSpaceDE/>
              <w:autoSpaceDN/>
              <w:adjustRightInd/>
              <w:spacing w:after="120"/>
              <w:rPr>
                <w:rFonts w:asciiTheme="minorHAnsi" w:eastAsia="Times New Roman" w:hAnsiTheme="minorHAnsi" w:cs="Calibri"/>
              </w:rPr>
            </w:pPr>
            <w:r>
              <w:rPr>
                <w:rFonts w:asciiTheme="minorHAnsi" w:hAnsiTheme="minorHAnsi" w:cs="Times New Roman"/>
              </w:rPr>
              <w:t>“</w:t>
            </w:r>
            <w:r w:rsidRPr="00A56233">
              <w:rPr>
                <w:rFonts w:asciiTheme="minorHAnsi" w:hAnsiTheme="minorHAnsi" w:cs="Times New Roman"/>
              </w:rPr>
              <w:t>The objective of the policy is to minimize the disruption of the livelihood of people liv</w:t>
            </w:r>
            <w:r w:rsidRPr="000F0C7E">
              <w:rPr>
                <w:rFonts w:asciiTheme="minorHAnsi" w:hAnsiTheme="minorHAnsi" w:cs="Times New Roman"/>
              </w:rPr>
              <w:t>ing in the project’s area of influence, by avoiding or minimizing the need for physical displacement, ensuring that when people must be displaced they are treated equitably and, where feasible, can share in the benefits of the project that requires their r</w:t>
            </w:r>
            <w:r w:rsidRPr="00D8522E">
              <w:rPr>
                <w:rFonts w:asciiTheme="minorHAnsi" w:hAnsiTheme="minorHAnsi" w:cs="Times New Roman"/>
              </w:rPr>
              <w:t>esettlement.</w:t>
            </w:r>
            <w:r>
              <w:rPr>
                <w:rFonts w:asciiTheme="minorHAnsi" w:hAnsiTheme="minorHAnsi" w:cs="Times New Roman"/>
              </w:rPr>
              <w:t>”</w:t>
            </w:r>
            <w:r w:rsidRPr="00D8522E">
              <w:rPr>
                <w:rFonts w:asciiTheme="minorHAnsi" w:hAnsiTheme="minorHAnsi" w:cs="Times New Roman"/>
              </w:rPr>
              <w:t xml:space="preserve"> (</w:t>
            </w:r>
            <w:r w:rsidRPr="00D8522E">
              <w:rPr>
                <w:rFonts w:asciiTheme="minorHAnsi" w:hAnsiTheme="minorHAnsi" w:cs="Times New Roman"/>
                <w:b/>
              </w:rPr>
              <w:t>IDB, Policy on Involuntary Resettlement</w:t>
            </w:r>
            <w:r w:rsidRPr="00D8522E">
              <w:rPr>
                <w:rFonts w:asciiTheme="minorHAnsi" w:hAnsiTheme="minorHAnsi" w:cs="Times New Roman"/>
              </w:rPr>
              <w:t>)</w:t>
            </w:r>
          </w:p>
          <w:p w14:paraId="43312EFC"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hAnsiTheme="minorHAnsi" w:cs="Times New Roman"/>
              </w:rPr>
              <w:t>“</w:t>
            </w:r>
            <w:r w:rsidRPr="00D04661">
              <w:rPr>
                <w:rFonts w:asciiTheme="minorHAnsi" w:hAnsiTheme="minorHAnsi" w:cs="Times New Roman"/>
              </w:rPr>
              <w:t>When a project requires the temporary relocation of people, the resettlement activities will be subject to considerations and criteria that are consistent with this policy while taking into account the temporary nature of the displacement. The objective continues to be to minimize disruption to the affected population. Special consideration will be given to avoiding irreversible negative impacts (such as permanent loss of employment), providing satisfactory temporary services, and, where appropriate, compensating for transitional hardships.</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IDB, Policy on Involuntary Resettlement</w:t>
            </w:r>
            <w:r w:rsidRPr="00D04661">
              <w:rPr>
                <w:rFonts w:asciiTheme="minorHAnsi" w:hAnsiTheme="minorHAnsi" w:cs="Times New Roman"/>
              </w:rPr>
              <w:t>)</w:t>
            </w:r>
          </w:p>
          <w:p w14:paraId="50E446DF" w14:textId="77777777" w:rsidR="00CF59E1" w:rsidRPr="00D8522E" w:rsidRDefault="00CF59E1" w:rsidP="00CF59E1">
            <w:pPr>
              <w:spacing w:after="120"/>
              <w:rPr>
                <w:rFonts w:asciiTheme="minorHAnsi" w:eastAsia="Times New Roman" w:hAnsiTheme="minorHAnsi" w:cs="Calibri"/>
              </w:rPr>
            </w:pPr>
            <w:r>
              <w:rPr>
                <w:rFonts w:asciiTheme="minorHAnsi" w:hAnsiTheme="minorHAnsi" w:cs="Times New Roman"/>
                <w:color w:val="000000"/>
              </w:rPr>
              <w:t>“</w:t>
            </w:r>
            <w:r w:rsidRPr="00A56233">
              <w:rPr>
                <w:rFonts w:asciiTheme="minorHAnsi" w:hAnsiTheme="minorHAnsi" w:cs="Times New Roman"/>
                <w:color w:val="000000"/>
              </w:rPr>
              <w:t>This OS does not apply to the settlement of refugees and victims of natural disasters, nor to resettlement resulting fro</w:t>
            </w:r>
            <w:r w:rsidRPr="000F0C7E">
              <w:rPr>
                <w:rFonts w:asciiTheme="minorHAnsi" w:hAnsiTheme="minorHAnsi" w:cs="Times New Roman"/>
                <w:color w:val="000000"/>
              </w:rPr>
              <w:t>m voluntary land transactions— that is, market-based land transactions in which the seller is not obliged to sell and the buyer cannot resort to expropriation or other compulsory procedures if negotiations fail.</w:t>
            </w:r>
            <w:r>
              <w:rPr>
                <w:rFonts w:asciiTheme="minorHAnsi" w:eastAsia="Times New Roman" w:hAnsiTheme="minorHAnsi" w:cs="Calibri"/>
              </w:rPr>
              <w:t>”</w:t>
            </w:r>
            <w:r w:rsidRPr="000F0C7E">
              <w:rPr>
                <w:rFonts w:asciiTheme="minorHAnsi" w:eastAsia="Times New Roman" w:hAnsiTheme="minorHAnsi" w:cs="Calibri"/>
              </w:rPr>
              <w:t xml:space="preserve"> (</w:t>
            </w:r>
            <w:r w:rsidRPr="00632302">
              <w:rPr>
                <w:rFonts w:asciiTheme="minorHAnsi" w:eastAsia="Times New Roman" w:hAnsiTheme="minorHAnsi" w:cs="Calibri"/>
                <w:b/>
              </w:rPr>
              <w:t xml:space="preserve">AfDB, OS 2, para. 10 </w:t>
            </w:r>
            <w:r w:rsidRPr="00D8522E">
              <w:rPr>
                <w:rFonts w:asciiTheme="minorHAnsi" w:eastAsia="Times New Roman" w:hAnsiTheme="minorHAnsi" w:cs="Calibri"/>
              </w:rPr>
              <w:t>)</w:t>
            </w:r>
          </w:p>
          <w:p w14:paraId="607FC43C"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hAnsiTheme="minorHAnsi" w:cs="Times New Roman"/>
              </w:rPr>
              <w:t>“</w:t>
            </w:r>
            <w:r w:rsidRPr="00D04661">
              <w:rPr>
                <w:rFonts w:asciiTheme="minorHAnsi" w:hAnsiTheme="minorHAnsi" w:cs="Times New Roman"/>
              </w:rPr>
              <w:t>Involuntary resettlement is associated with loss of housing, shelter, income, land, livelihoods, assets, access to resources and services, among others. These losses occur as a consequence of declaring a public purpose in cases of: (a) land acquisition, (b) expropriation or restrictions on land use based on eminent domain, (c) forfeiting of a livelihood/subsistence strategy depend</w:t>
            </w:r>
            <w:r>
              <w:rPr>
                <w:rFonts w:asciiTheme="minorHAnsi" w:hAnsiTheme="minorHAnsi" w:cs="Times New Roman"/>
              </w:rPr>
              <w:t>e</w:t>
            </w:r>
            <w:r w:rsidRPr="00D04661">
              <w:rPr>
                <w:rFonts w:asciiTheme="minorHAnsi" w:hAnsiTheme="minorHAnsi" w:cs="Times New Roman"/>
              </w:rPr>
              <w:t>nt on the use of natural resources, and/or (d) negotiated settlements in which the buyer can resort to expropriation or impose legal restrictions on land use if negotiations with the seller fail.</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 xml:space="preserve">EIB, ESH, </w:t>
            </w:r>
            <w:r>
              <w:rPr>
                <w:rFonts w:asciiTheme="minorHAnsi" w:hAnsiTheme="minorHAnsi" w:cs="Times New Roman"/>
                <w:b/>
              </w:rPr>
              <w:t xml:space="preserve">ESS </w:t>
            </w:r>
            <w:r w:rsidRPr="00D04661">
              <w:rPr>
                <w:rFonts w:asciiTheme="minorHAnsi" w:hAnsiTheme="minorHAnsi" w:cs="Times New Roman"/>
                <w:b/>
              </w:rPr>
              <w:t>6, para. 13)</w:t>
            </w:r>
          </w:p>
        </w:tc>
      </w:tr>
      <w:tr w:rsidR="00CF59E1" w:rsidRPr="00D8522E" w14:paraId="09CFD574" w14:textId="77777777" w:rsidTr="00CF59E1">
        <w:tc>
          <w:tcPr>
            <w:tcW w:w="6390" w:type="dxa"/>
            <w:vMerge w:val="restart"/>
            <w:shd w:val="clear" w:color="auto" w:fill="auto"/>
            <w:vAlign w:val="center"/>
          </w:tcPr>
          <w:p w14:paraId="0398E2AD" w14:textId="77777777" w:rsidR="00CF59E1" w:rsidRPr="00D04661" w:rsidRDefault="00CF59E1" w:rsidP="00CF59E1">
            <w:pPr>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BASELINE INFORMATION (CENSUS/ SURVEY OR SOCIAL ASSESSMENT INSTRUMENT)</w:t>
            </w:r>
          </w:p>
          <w:p w14:paraId="1B3CB8E7" w14:textId="77777777" w:rsidR="00CF59E1" w:rsidRPr="00D04661" w:rsidRDefault="00CF59E1" w:rsidP="00CF59E1">
            <w:pPr>
              <w:autoSpaceDE/>
              <w:autoSpaceDN/>
              <w:adjustRightInd/>
              <w:spacing w:after="120"/>
              <w:rPr>
                <w:rFonts w:asciiTheme="minorHAnsi" w:eastAsia="Times New Roman" w:hAnsiTheme="minorHAnsi" w:cs="Arial"/>
              </w:rPr>
            </w:pPr>
            <w:r w:rsidRPr="00D04661">
              <w:rPr>
                <w:rFonts w:asciiTheme="minorHAnsi" w:eastAsia="Times New Roman" w:hAnsiTheme="minorHAnsi" w:cs="Arial"/>
              </w:rPr>
              <w:t xml:space="preserve">OP 4.12 para. 14: </w:t>
            </w:r>
            <w:r>
              <w:rPr>
                <w:rFonts w:asciiTheme="minorHAnsi" w:eastAsia="Times New Roman" w:hAnsiTheme="minorHAnsi" w:cs="Arial"/>
              </w:rPr>
              <w:t>“</w:t>
            </w:r>
            <w:r w:rsidRPr="00D04661">
              <w:rPr>
                <w:rFonts w:asciiTheme="minorHAnsi" w:eastAsia="Times New Roman" w:hAnsiTheme="minorHAnsi" w:cs="Arial"/>
              </w:rPr>
              <w:t>Upon identification of the need for involuntary resettlement in a project, the borrower carries out a census to identify the persons who will be affected by the project (see the Annex A, para. 6(a)), to determine who will be eligible for assistance, and to discourage inflow of people ineligible for assistance. The borrower also develops a procedure, satisfactory to the Bank, for establishing the criteria by which displaced persons will be deemed eligible for compensation and other resettlement assistance.</w:t>
            </w:r>
            <w:r>
              <w:rPr>
                <w:rFonts w:asciiTheme="minorHAnsi" w:eastAsia="Times New Roman" w:hAnsiTheme="minorHAnsi" w:cs="Arial"/>
              </w:rPr>
              <w:t>”</w:t>
            </w:r>
          </w:p>
          <w:p w14:paraId="038E3649" w14:textId="77777777" w:rsidR="00CF59E1" w:rsidRPr="00D04661" w:rsidRDefault="00CF59E1" w:rsidP="00CF59E1">
            <w:pPr>
              <w:autoSpaceDE/>
              <w:autoSpaceDN/>
              <w:adjustRightInd/>
              <w:spacing w:after="120"/>
              <w:rPr>
                <w:rFonts w:asciiTheme="minorHAnsi" w:eastAsia="Times New Roman" w:hAnsiTheme="minorHAnsi" w:cs="Calibri"/>
              </w:rPr>
            </w:pPr>
          </w:p>
        </w:tc>
        <w:tc>
          <w:tcPr>
            <w:tcW w:w="7200" w:type="dxa"/>
            <w:shd w:val="clear" w:color="auto" w:fill="auto"/>
          </w:tcPr>
          <w:p w14:paraId="01C54320"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The Social Impact Assessment (SIA) report will include…(iv) gender disaggregated information pertaining to the economic and socio-cultural conditions of displaced persons.</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 SPS, Appendix 2, para. 15)</w:t>
            </w:r>
          </w:p>
          <w:p w14:paraId="07ACC35F"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The SIA report will include…a census of displaced persons …and their assets...The asset inventory is a preliminary record of affected or lost assets at the household, enterprise or community level.</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 SPS, Appendix 2, footnote 3</w:t>
            </w:r>
            <w:r w:rsidRPr="00D04661">
              <w:rPr>
                <w:rFonts w:asciiTheme="minorHAnsi" w:eastAsia="Times New Roman" w:hAnsiTheme="minorHAnsi" w:cs="Calibri"/>
              </w:rPr>
              <w:t>)</w:t>
            </w:r>
          </w:p>
        </w:tc>
      </w:tr>
      <w:tr w:rsidR="00CF59E1" w:rsidRPr="00D8522E" w14:paraId="3D4A3A96" w14:textId="77777777" w:rsidTr="00CF59E1">
        <w:tc>
          <w:tcPr>
            <w:tcW w:w="6390" w:type="dxa"/>
            <w:vMerge/>
            <w:shd w:val="clear" w:color="auto" w:fill="auto"/>
            <w:vAlign w:val="center"/>
          </w:tcPr>
          <w:p w14:paraId="053C879F" w14:textId="77777777" w:rsidR="00CF59E1" w:rsidRPr="00D04661" w:rsidRDefault="00CF59E1" w:rsidP="00CF59E1">
            <w:pPr>
              <w:autoSpaceDE/>
              <w:autoSpaceDN/>
              <w:adjustRightInd/>
              <w:spacing w:after="120"/>
              <w:rPr>
                <w:rFonts w:asciiTheme="minorHAnsi" w:eastAsia="Times New Roman" w:hAnsiTheme="minorHAnsi" w:cs="Calibri"/>
              </w:rPr>
            </w:pPr>
          </w:p>
        </w:tc>
        <w:tc>
          <w:tcPr>
            <w:tcW w:w="7200" w:type="dxa"/>
            <w:shd w:val="clear" w:color="auto" w:fill="auto"/>
          </w:tcPr>
          <w:p w14:paraId="7E2B83BA"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[S]easonal resource users may not be present in the project area of influence during the time of the survey and so special consideration shall be given to their claims.</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AfDB, OS 2, para. 22</w:t>
            </w:r>
            <w:r w:rsidRPr="00D04661">
              <w:rPr>
                <w:rFonts w:asciiTheme="minorHAnsi" w:eastAsia="Times New Roman" w:hAnsiTheme="minorHAnsi" w:cs="Calibri"/>
              </w:rPr>
              <w:t>)</w:t>
            </w:r>
          </w:p>
          <w:p w14:paraId="66696CDF" w14:textId="77777777" w:rsidR="00CF59E1" w:rsidRPr="00D04661" w:rsidRDefault="00CF59E1" w:rsidP="00CF59E1">
            <w:pPr>
              <w:autoSpaceDE/>
              <w:autoSpaceDN/>
              <w:adjustRightInd/>
              <w:spacing w:after="120"/>
              <w:rPr>
                <w:rFonts w:asciiTheme="minorHAnsi" w:eastAsia="Times New Roman" w:hAnsiTheme="minorHAnsi" w:cs="Calibri"/>
                <w:b/>
              </w:rPr>
            </w:pPr>
            <w:r>
              <w:rPr>
                <w:rFonts w:asciiTheme="minorHAnsi" w:eastAsia="Times New Roman" w:hAnsiTheme="minorHAnsi" w:cs="Calibri"/>
              </w:rPr>
              <w:t>“</w:t>
            </w:r>
            <w:r w:rsidRPr="00D04661">
              <w:rPr>
                <w:rFonts w:asciiTheme="minorHAnsi" w:eastAsia="Times New Roman" w:hAnsiTheme="minorHAnsi" w:cs="Calibri"/>
              </w:rPr>
              <w:t>Baseline Information. Accurate baseline information must be compiled as early as possible. It will include information on the number of people to be resettled, and on their socioeconomic and cultural characteristics, including disaggregation by gender. In addition, the data will provide an important basis for the definition of eligibility criteria, and compensation and rehabilitation requirements.</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IDB, Policy on Involuntary Resettlement)</w:t>
            </w:r>
          </w:p>
          <w:p w14:paraId="758290BC"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In selecting sites, attention must be paid to the availability of sources of off-farm income (fishing, gathering forest products, and seasonal wage employment) to complement farm income.</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 xml:space="preserve">IDB, Involuntary Resettlement, Principles and Guidelines [IRPG], </w:t>
            </w:r>
            <w:r w:rsidRPr="00D04661">
              <w:rPr>
                <w:rStyle w:val="FootnoteReference"/>
                <w:rFonts w:asciiTheme="minorHAnsi" w:eastAsia="Times New Roman" w:hAnsiTheme="minorHAnsi" w:cs="Calibri"/>
                <w:b/>
              </w:rPr>
              <w:footnoteReference w:id="230"/>
            </w:r>
            <w:r w:rsidRPr="00D04661">
              <w:rPr>
                <w:rFonts w:asciiTheme="minorHAnsi" w:eastAsia="Times New Roman" w:hAnsiTheme="minorHAnsi" w:cs="Calibri"/>
                <w:b/>
              </w:rPr>
              <w:t xml:space="preserve"> para. 13)</w:t>
            </w:r>
          </w:p>
          <w:p w14:paraId="2CF76174"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The promoter is required to carry out a census and a socio-economic baseline survey to establish the number of people to be displaced, livelihoods affected, and property to be compensated. The surveys should take into account persons affected through anticipated cumulative impacts of the resettlement… The census should include an inventory of losses (assets, access to resources or services, etc.), a detailed measurement survey and valuation of lost assets, and it covers the total affected population.</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EIB, ESH, ESS 6, para. 30)</w:t>
            </w:r>
            <w:r w:rsidRPr="00D04661">
              <w:rPr>
                <w:rFonts w:asciiTheme="minorHAnsi" w:eastAsia="Times New Roman" w:hAnsiTheme="minorHAnsi" w:cs="Calibri"/>
              </w:rPr>
              <w:t>)</w:t>
            </w:r>
          </w:p>
          <w:p w14:paraId="29625B03"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[S]easonal resource users may not be present in the project area during the time of the census and thus appropriate consultation techniques should be used to identify those PAPs. …Any person negatively affected by the project is eligible for compensation, livelihood restoration and/or other resettlement assistance.</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EIB, ESH, ESS 6, para. 35)</w:t>
            </w:r>
            <w:r w:rsidRPr="00D04661">
              <w:rPr>
                <w:rFonts w:asciiTheme="minorHAnsi" w:eastAsia="Times New Roman" w:hAnsiTheme="minorHAnsi" w:cs="Calibri"/>
              </w:rPr>
              <w:t>)</w:t>
            </w:r>
          </w:p>
        </w:tc>
      </w:tr>
      <w:tr w:rsidR="00CF59E1" w:rsidRPr="00D8522E" w14:paraId="0A5B5DC2" w14:textId="77777777" w:rsidTr="00CF59E1">
        <w:tc>
          <w:tcPr>
            <w:tcW w:w="6390" w:type="dxa"/>
            <w:vMerge w:val="restart"/>
            <w:shd w:val="clear" w:color="auto" w:fill="auto"/>
            <w:vAlign w:val="center"/>
          </w:tcPr>
          <w:p w14:paraId="63B664AE" w14:textId="77777777" w:rsidR="00CF59E1" w:rsidRPr="00D04661" w:rsidRDefault="00CF59E1" w:rsidP="00CF59E1">
            <w:pPr>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ELIGIBILITY CRITERIA FOR COMPENSATION AND RESETTLEMENT ASSISTANCE (C&amp; RA)</w:t>
            </w:r>
          </w:p>
          <w:p w14:paraId="67415F65" w14:textId="77777777" w:rsidR="00CF59E1" w:rsidRPr="00D04661" w:rsidRDefault="00CF59E1" w:rsidP="00CF59E1">
            <w:pPr>
              <w:autoSpaceDE/>
              <w:autoSpaceDN/>
              <w:adjustRightInd/>
              <w:spacing w:after="120"/>
              <w:rPr>
                <w:rFonts w:asciiTheme="minorHAnsi" w:hAnsiTheme="minorHAnsi" w:cs="Arial"/>
              </w:rPr>
            </w:pPr>
            <w:r w:rsidRPr="00D04661">
              <w:rPr>
                <w:rFonts w:asciiTheme="minorHAnsi" w:hAnsiTheme="minorHAnsi" w:cs="Arial"/>
                <w:lang w:val="pt-BR"/>
              </w:rPr>
              <w:t xml:space="preserve">OP4.12, </w:t>
            </w:r>
            <w:r>
              <w:rPr>
                <w:rFonts w:asciiTheme="minorHAnsi" w:hAnsiTheme="minorHAnsi" w:cs="Arial"/>
                <w:lang w:val="pt-BR"/>
              </w:rPr>
              <w:t xml:space="preserve">para. </w:t>
            </w:r>
            <w:r w:rsidRPr="00D04661">
              <w:rPr>
                <w:rFonts w:asciiTheme="minorHAnsi" w:hAnsiTheme="minorHAnsi" w:cs="Arial"/>
                <w:lang w:val="pt-BR"/>
              </w:rPr>
              <w:t xml:space="preserve">15: </w:t>
            </w:r>
            <w:r>
              <w:rPr>
                <w:rFonts w:asciiTheme="minorHAnsi" w:hAnsiTheme="minorHAnsi" w:cs="Arial"/>
                <w:lang w:val="pt-BR"/>
              </w:rPr>
              <w:t>“</w:t>
            </w:r>
            <w:r w:rsidRPr="00D04661">
              <w:rPr>
                <w:rFonts w:asciiTheme="minorHAnsi" w:hAnsiTheme="minorHAnsi" w:cs="Arial"/>
                <w:lang w:val="pt-BR"/>
              </w:rPr>
              <w:t xml:space="preserve">Criteria for Eligibility. </w:t>
            </w:r>
            <w:r w:rsidRPr="00D04661">
              <w:rPr>
                <w:rFonts w:asciiTheme="minorHAnsi" w:hAnsiTheme="minorHAnsi" w:cs="Arial"/>
              </w:rPr>
              <w:t>Displaced persons may be classified in one of the following three groups: (c) those who have no recognizable legal right or claim to the land they are occupying.</w:t>
            </w:r>
            <w:r>
              <w:rPr>
                <w:rFonts w:asciiTheme="minorHAnsi" w:hAnsiTheme="minorHAnsi" w:cs="Arial"/>
              </w:rPr>
              <w:t>”</w:t>
            </w:r>
            <w:r w:rsidRPr="00D04661">
              <w:rPr>
                <w:rFonts w:asciiTheme="minorHAnsi" w:hAnsiTheme="minorHAnsi" w:cs="Arial"/>
              </w:rPr>
              <w:t>….</w:t>
            </w:r>
          </w:p>
          <w:p w14:paraId="51F58D04" w14:textId="77777777" w:rsidR="00CF59E1" w:rsidRPr="00D04661" w:rsidRDefault="00CF59E1" w:rsidP="00CF59E1">
            <w:pPr>
              <w:autoSpaceDE/>
              <w:autoSpaceDN/>
              <w:adjustRightInd/>
              <w:spacing w:after="120"/>
              <w:rPr>
                <w:rFonts w:asciiTheme="minorHAnsi" w:eastAsia="Times New Roman" w:hAnsiTheme="minorHAnsi" w:cs="Calibri"/>
              </w:rPr>
            </w:pPr>
            <w:r w:rsidRPr="00D04661">
              <w:rPr>
                <w:rFonts w:asciiTheme="minorHAnsi" w:hAnsiTheme="minorHAnsi" w:cs="Arial"/>
              </w:rPr>
              <w:t>para. 16. Persons covered under para. 15(c) are provided resettlement assistance in lieu of compensation for the land they occupy, and other assistance, as necessary, to achieve the objectives set out in this policy, if they occupy the project area prior to a cut-off date established by the borrower and acceptable to the Bank.</w:t>
            </w:r>
            <w:r>
              <w:rPr>
                <w:rFonts w:asciiTheme="minorHAnsi" w:hAnsiTheme="minorHAnsi" w:cs="Arial"/>
              </w:rPr>
              <w:t>”</w:t>
            </w:r>
          </w:p>
        </w:tc>
        <w:tc>
          <w:tcPr>
            <w:tcW w:w="7200" w:type="dxa"/>
            <w:tcBorders>
              <w:bottom w:val="nil"/>
            </w:tcBorders>
            <w:shd w:val="clear" w:color="auto" w:fill="auto"/>
          </w:tcPr>
          <w:p w14:paraId="542FBECC"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Those who may not have formal legal rights to land or other assets at the time of the census/evaluation but can prove that they have a claim that would be recognized under the customary laws of the country… may also be considered as such, depending on the country’s customary land use rights, if they are sharecroppers, tenant farmers, and seasonal migrants or nomadic families losing user rights.</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AfDB, OS 2, para. 11</w:t>
            </w:r>
            <w:r w:rsidRPr="00D04661">
              <w:rPr>
                <w:rFonts w:asciiTheme="minorHAnsi" w:eastAsia="Times New Roman" w:hAnsiTheme="minorHAnsi" w:cs="Calibri"/>
              </w:rPr>
              <w:t>)</w:t>
            </w:r>
          </w:p>
          <w:p w14:paraId="46B78AF9" w14:textId="77777777" w:rsidR="00CF59E1" w:rsidRPr="00D04661" w:rsidRDefault="00CF59E1" w:rsidP="00CF59E1">
            <w:pPr>
              <w:pStyle w:val="Default"/>
              <w:spacing w:after="120"/>
              <w:rPr>
                <w:rFonts w:asciiTheme="minorHAnsi" w:hAnsiTheme="minorHAnsi" w:cs="Times New Roman"/>
                <w:sz w:val="22"/>
                <w:szCs w:val="22"/>
              </w:rPr>
            </w:pPr>
            <w:r>
              <w:rPr>
                <w:rFonts w:asciiTheme="minorHAnsi" w:eastAsia="Times New Roman" w:hAnsiTheme="minorHAnsi" w:cs="Calibri"/>
                <w:sz w:val="22"/>
                <w:szCs w:val="22"/>
              </w:rPr>
              <w:t>“</w:t>
            </w:r>
            <w:r w:rsidRPr="00D04661">
              <w:rPr>
                <w:rFonts w:asciiTheme="minorHAnsi" w:hAnsiTheme="minorHAnsi" w:cs="Times New Roman"/>
                <w:sz w:val="22"/>
                <w:szCs w:val="22"/>
              </w:rPr>
              <w:t>Those who have no recognisable legal right or claim to the land they are occupying in the project area of influence and, ….may be entitled to resettlement assistance other than compensation for land to improve their former living standards (compensation for loss of livelihood activities, common property resources, structures and crops, etc.)….. if they themselves or witnesses can demonstrate that they occupied the project area of influence for at least six months prior to a cut-off date established by the borrower or client and acceptable to the Bank.</w:t>
            </w:r>
            <w:r>
              <w:rPr>
                <w:rFonts w:asciiTheme="minorHAnsi" w:hAnsiTheme="minorHAnsi" w:cs="Times New Roman"/>
                <w:sz w:val="22"/>
                <w:szCs w:val="22"/>
              </w:rPr>
              <w:t>”</w:t>
            </w:r>
            <w:r w:rsidRPr="00D04661">
              <w:rPr>
                <w:rFonts w:asciiTheme="minorHAnsi" w:hAnsiTheme="minorHAnsi" w:cs="Times New Roman"/>
                <w:sz w:val="22"/>
                <w:szCs w:val="22"/>
              </w:rPr>
              <w:t xml:space="preserve"> (</w:t>
            </w:r>
            <w:r w:rsidRPr="00D04661">
              <w:rPr>
                <w:rFonts w:asciiTheme="minorHAnsi" w:hAnsiTheme="minorHAnsi" w:cs="Times New Roman"/>
                <w:b/>
                <w:sz w:val="22"/>
                <w:szCs w:val="22"/>
              </w:rPr>
              <w:t>AfDB, OS 2, para. 11</w:t>
            </w:r>
            <w:r w:rsidRPr="00D04661">
              <w:rPr>
                <w:rFonts w:asciiTheme="minorHAnsi" w:hAnsiTheme="minorHAnsi" w:cs="Times New Roman"/>
                <w:sz w:val="22"/>
                <w:szCs w:val="22"/>
              </w:rPr>
              <w:t>)</w:t>
            </w:r>
          </w:p>
        </w:tc>
      </w:tr>
      <w:tr w:rsidR="00CF59E1" w:rsidRPr="00D8522E" w14:paraId="107EF577" w14:textId="77777777" w:rsidTr="00CF59E1">
        <w:tc>
          <w:tcPr>
            <w:tcW w:w="6390" w:type="dxa"/>
            <w:vMerge/>
            <w:shd w:val="clear" w:color="auto" w:fill="auto"/>
            <w:vAlign w:val="center"/>
          </w:tcPr>
          <w:p w14:paraId="6E289325" w14:textId="77777777" w:rsidR="00CF59E1" w:rsidRPr="00D04661" w:rsidRDefault="00CF59E1" w:rsidP="00CF59E1">
            <w:pPr>
              <w:autoSpaceDE/>
              <w:autoSpaceDN/>
              <w:adjustRightInd/>
              <w:spacing w:after="120"/>
              <w:rPr>
                <w:rFonts w:asciiTheme="minorHAnsi" w:eastAsia="Times New Roman" w:hAnsiTheme="minorHAnsi" w:cs="Calibri"/>
              </w:rPr>
            </w:pPr>
          </w:p>
        </w:tc>
        <w:tc>
          <w:tcPr>
            <w:tcW w:w="7200" w:type="dxa"/>
            <w:tcBorders>
              <w:top w:val="nil"/>
            </w:tcBorders>
            <w:shd w:val="clear" w:color="auto" w:fill="auto"/>
          </w:tcPr>
          <w:p w14:paraId="25A1F112" w14:textId="77777777" w:rsidR="00CF59E1" w:rsidRPr="00D04661" w:rsidRDefault="00CF59E1" w:rsidP="00CF59E1">
            <w:pPr>
              <w:autoSpaceDE/>
              <w:autoSpaceDN/>
              <w:adjustRightInd/>
              <w:spacing w:after="120"/>
              <w:rPr>
                <w:rFonts w:asciiTheme="minorHAnsi" w:eastAsia="Times New Roman" w:hAnsiTheme="minorHAnsi" w:cs="Calibri"/>
                <w:vertAlign w:val="superscript"/>
              </w:rPr>
            </w:pPr>
            <w:r>
              <w:rPr>
                <w:rFonts w:asciiTheme="minorHAnsi" w:eastAsia="Times New Roman" w:hAnsiTheme="minorHAnsi" w:cs="Calibri"/>
              </w:rPr>
              <w:t>“</w:t>
            </w:r>
            <w:r w:rsidRPr="00D04661">
              <w:rPr>
                <w:rFonts w:asciiTheme="minorHAnsi" w:eastAsia="Times New Roman" w:hAnsiTheme="minorHAnsi" w:cs="Calibri"/>
              </w:rPr>
              <w:t xml:space="preserve">Project Affected People lacking formal legal or otherwise recognizable claims: </w:t>
            </w:r>
            <w:r>
              <w:rPr>
                <w:rFonts w:asciiTheme="minorHAnsi" w:eastAsia="Times New Roman" w:hAnsiTheme="minorHAnsi" w:cs="Calibri"/>
              </w:rPr>
              <w:t>“</w:t>
            </w:r>
            <w:r w:rsidRPr="00D04661">
              <w:rPr>
                <w:rFonts w:asciiTheme="minorHAnsi" w:eastAsia="Times New Roman" w:hAnsiTheme="minorHAnsi" w:cs="Calibri"/>
              </w:rPr>
              <w:t xml:space="preserve">….Persons who lost the land they occupy in its entirety or in part who have neither formal legal rights nor recognized or recognizable claims to such land….the borrower/client will compensate them for the loss of assets other than land, such as dwellings, and also for other improvements to the land at </w:t>
            </w:r>
            <w:r w:rsidRPr="00D04661">
              <w:rPr>
                <w:rFonts w:asciiTheme="minorHAnsi" w:eastAsia="Times New Roman" w:hAnsiTheme="minorHAnsi" w:cs="Calibri"/>
                <w:i/>
              </w:rPr>
              <w:t>full replacement cost</w:t>
            </w:r>
            <w:r w:rsidRPr="00D04661">
              <w:rPr>
                <w:rFonts w:asciiTheme="minorHAnsi" w:eastAsia="Times New Roman" w:hAnsiTheme="minorHAnsi" w:cs="Calibri"/>
              </w:rPr>
              <w:t xml:space="preserve"> [provided that] they occupied the land or structures in the project area prior to the cutoff date for eligibility for resettlement assistance.</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w:t>
            </w:r>
            <w:r w:rsidRPr="00D04661">
              <w:rPr>
                <w:rFonts w:asciiTheme="minorHAnsi" w:eastAsia="Times New Roman" w:hAnsiTheme="minorHAnsi" w:cs="Calibri"/>
                <w:b/>
                <w:bCs/>
              </w:rPr>
              <w:t xml:space="preserve">, SPS, Appendix 2, paras. 7 and 8) </w:t>
            </w:r>
            <w:r w:rsidRPr="00D04661">
              <w:rPr>
                <w:rFonts w:asciiTheme="minorHAnsi" w:eastAsia="Times New Roman" w:hAnsiTheme="minorHAnsi" w:cs="Calibri"/>
                <w:bCs/>
              </w:rPr>
              <w:t>(</w:t>
            </w:r>
            <w:r w:rsidRPr="00D04661">
              <w:rPr>
                <w:rFonts w:asciiTheme="minorHAnsi" w:eastAsia="Times New Roman" w:hAnsiTheme="minorHAnsi" w:cs="Calibri"/>
                <w:bCs/>
                <w:i/>
              </w:rPr>
              <w:t>emphasis added</w:t>
            </w:r>
            <w:r w:rsidRPr="00D04661">
              <w:rPr>
                <w:rFonts w:asciiTheme="minorHAnsi" w:eastAsia="Times New Roman" w:hAnsiTheme="minorHAnsi" w:cs="Calibri"/>
              </w:rPr>
              <w:t>)</w:t>
            </w:r>
            <w:r w:rsidRPr="00D04661">
              <w:rPr>
                <w:rFonts w:asciiTheme="minorHAnsi" w:eastAsia="Times New Roman" w:hAnsiTheme="minorHAnsi" w:cs="Calibri"/>
                <w:vertAlign w:val="superscript"/>
              </w:rPr>
              <w:t xml:space="preserve"> </w:t>
            </w:r>
            <w:r w:rsidRPr="00D04661">
              <w:rPr>
                <w:rFonts w:asciiTheme="minorHAnsi" w:eastAsia="Times New Roman" w:hAnsiTheme="minorHAnsi" w:cs="Calibri"/>
                <w:vertAlign w:val="superscript"/>
              </w:rPr>
              <w:footnoteReference w:id="231"/>
            </w:r>
          </w:p>
          <w:p w14:paraId="50AA187A" w14:textId="77777777" w:rsidR="00CF59E1" w:rsidRPr="00D04661" w:rsidRDefault="00CF59E1" w:rsidP="00CF59E1">
            <w:pPr>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Compensation and rehabilitation options must provide a fair replacement value for assets lost, and the necessary means to restore subsistence and income, to reconstruct the social networks that support production, services and mutual assistance, and to compensate for transitional hardships (such as crop losses, moving costs, interruption or loss of employment, lost income, among others)</w:t>
            </w:r>
            <w:r w:rsidRPr="00D04661">
              <w:rPr>
                <w:rFonts w:asciiTheme="minorHAnsi" w:hAnsiTheme="minorHAnsi" w:cs="Times New Roman"/>
              </w:rPr>
              <w:t xml:space="preserve"> …The compensation and rehabilitation package must take adequate account of intangible assets, especially nonmonetary social and cultural assets and, particularly in the case of rural populations, of customary rights to land and natural resources.</w:t>
            </w:r>
            <w:r>
              <w:rPr>
                <w:rFonts w:asciiTheme="minorHAnsi" w:hAnsiTheme="minorHAnsi" w:cs="Times New Roman"/>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IDB, Policy on Involuntary Resettlement)</w:t>
            </w:r>
          </w:p>
          <w:p w14:paraId="2879F177"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 xml:space="preserve">The first step in designing the compensation and rehabilitation package is to determine the entitlements of affected persons under applicable laws and regulations, to identify any services or social benefits to which they might have access, and to ensure that sufficient resources are available. The next step is to assess what additional measures are needed, if any, to restore the livelihoods of the affected population to the pre-resettlement standard, and to design mechanisms capable of delivering the goods or services that are needed, including effective and expeditious procedures for the resolution of disputes. This allows the compensation and rehabilitation package to work within the constraints of local laws and institutions, complementing them only as required, </w:t>
            </w:r>
            <w:r>
              <w:rPr>
                <w:rFonts w:asciiTheme="minorHAnsi" w:eastAsia="Times New Roman" w:hAnsiTheme="minorHAnsi" w:cs="Calibri"/>
              </w:rPr>
              <w:t xml:space="preserve">with project specific measures.” </w:t>
            </w:r>
            <w:r w:rsidRPr="00D04661">
              <w:rPr>
                <w:rFonts w:asciiTheme="minorHAnsi" w:eastAsia="Times New Roman" w:hAnsiTheme="minorHAnsi" w:cs="Calibri"/>
              </w:rPr>
              <w:t>(</w:t>
            </w:r>
            <w:r w:rsidRPr="00D04661">
              <w:rPr>
                <w:rFonts w:asciiTheme="minorHAnsi" w:eastAsia="Times New Roman" w:hAnsiTheme="minorHAnsi" w:cs="Calibri"/>
                <w:b/>
              </w:rPr>
              <w:t>IDB, Policy on Involuntary Resettlement</w:t>
            </w:r>
            <w:r w:rsidRPr="00D04661">
              <w:rPr>
                <w:rFonts w:asciiTheme="minorHAnsi" w:eastAsia="Times New Roman" w:hAnsiTheme="minorHAnsi" w:cs="Calibri"/>
              </w:rPr>
              <w:t>)</w:t>
            </w:r>
          </w:p>
          <w:p w14:paraId="69312058"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Where the existing legal provisions of the country, state or municipality fail to ensure that affected households are adequately compensated, additional resources should be made available through the economic rehabilitation or housing programs to ensure that the overall objective of the resettlement plan, of improving or at least restoring the former standard of living is fully achieved.</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IDB, IRPG, p. 21)</w:t>
            </w:r>
          </w:p>
          <w:p w14:paraId="1CB2C010"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The absence of legal titles to land and other resources should not be a bar to compensation, even though in many countries the existing legal provisions for expropriation and indemnification only apply to those people who have full property rights to land and housing. Resettlement plans should complement existing legal provisions, and should specifically address the needs of those people who have no legal protection. Various groups, such as indigenous peoples and small holders, have informal customary rights to land, forests, fishing rounds and other natural resources. Where access to these resources is lost or diminished the affected groups should be provided with adequate land or other alternatives to make good their losses. Similarly, in those urban areas where the inhabitants lack legal titles to their plots, the rights of established households should be recognized.</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IDB, IRPG, p. 2</w:t>
            </w:r>
            <w:r w:rsidRPr="00D04661">
              <w:rPr>
                <w:rFonts w:asciiTheme="minorHAnsi" w:eastAsia="Times New Roman" w:hAnsiTheme="minorHAnsi" w:cs="Calibri"/>
              </w:rPr>
              <w:t>)</w:t>
            </w:r>
          </w:p>
        </w:tc>
      </w:tr>
      <w:tr w:rsidR="00CF59E1" w:rsidRPr="00D8522E" w14:paraId="6C4154A4" w14:textId="77777777" w:rsidTr="00CF59E1">
        <w:tc>
          <w:tcPr>
            <w:tcW w:w="6390" w:type="dxa"/>
            <w:vMerge w:val="restart"/>
            <w:shd w:val="clear" w:color="auto" w:fill="auto"/>
            <w:vAlign w:val="center"/>
          </w:tcPr>
          <w:p w14:paraId="719B8CED" w14:textId="77777777" w:rsidR="00CF59E1" w:rsidRPr="00D04661" w:rsidRDefault="00CF59E1" w:rsidP="00CF59E1">
            <w:pPr>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COMPENSATION, INCOME RESTORATION AND REHABILITATION</w:t>
            </w:r>
          </w:p>
          <w:p w14:paraId="777A50DD" w14:textId="77777777" w:rsidR="00CF59E1" w:rsidRPr="00D04661" w:rsidRDefault="00CF59E1" w:rsidP="00CF59E1">
            <w:pPr>
              <w:autoSpaceDE/>
              <w:autoSpaceDN/>
              <w:adjustRightInd/>
              <w:spacing w:after="120"/>
              <w:rPr>
                <w:rFonts w:asciiTheme="minorHAnsi" w:eastAsia="Times New Roman" w:hAnsiTheme="minorHAnsi" w:cs="Arial"/>
              </w:rPr>
            </w:pPr>
            <w:r w:rsidRPr="00D04661">
              <w:rPr>
                <w:rFonts w:asciiTheme="minorHAnsi" w:eastAsia="Times New Roman" w:hAnsiTheme="minorHAnsi" w:cs="Arial"/>
              </w:rPr>
              <w:t xml:space="preserve">OP 4.12, </w:t>
            </w:r>
            <w:r>
              <w:rPr>
                <w:rFonts w:asciiTheme="minorHAnsi" w:eastAsia="Times New Roman" w:hAnsiTheme="minorHAnsi" w:cs="Arial"/>
              </w:rPr>
              <w:t xml:space="preserve">para. </w:t>
            </w:r>
            <w:r w:rsidRPr="00D04661">
              <w:rPr>
                <w:rFonts w:asciiTheme="minorHAnsi" w:eastAsia="Times New Roman" w:hAnsiTheme="minorHAnsi" w:cs="Arial"/>
              </w:rPr>
              <w:t xml:space="preserve">6. </w:t>
            </w:r>
            <w:r>
              <w:rPr>
                <w:rFonts w:asciiTheme="minorHAnsi" w:eastAsia="Times New Roman" w:hAnsiTheme="minorHAnsi" w:cs="Arial"/>
              </w:rPr>
              <w:t>“</w:t>
            </w:r>
            <w:r w:rsidRPr="00D04661">
              <w:rPr>
                <w:rFonts w:asciiTheme="minorHAnsi" w:eastAsia="Times New Roman" w:hAnsiTheme="minorHAnsi" w:cs="Arial"/>
              </w:rPr>
              <w:t>To address the impacts covered under para. 3 (a) of this policy, the borrower prepares a resettlement plan or a resettlement policy framework (see paras. 25-30) that covers the following: (a) The resettlement plan or resettlement policy framework includes measures to ensure that the displaced persons are (i) informed about their options and rights pertaining to resettlement; (ii) consulted on, offered choices among, and provided with technically and economically feasible resettlement alternatives; and (iii) provided prompt and effective compensation at full replacement cost for losses of assets attributable directly to the project. (b) If the impacts include physical relocation, the resettlement plan or resettlement policy framework includes measures to ensure that the displaced persons are (i) provided assistance (such as moving allowances) during relocation; and (ii) provided with residential housing, or housing sites, or, as required, agricultural sites for which a combination of productive potential, locational advantages, and other factors is at least equivalent to the advantages of the old site. (c) Where necessary to achieve the objectives of the policy, the resettlement plan or resettlement policy framework also include measures to ensure that displaced persons are (i) offered support after displacement, for a transition period, based on a reasonable estimate of the time likely to be needed to restore their livelihood and standards of living; and (ii) provided with development assistance in addition to compensation measures described in paragraph 6(a) (iii), such as land preparation, credit facilities, training, or job opportunities.</w:t>
            </w:r>
            <w:r>
              <w:rPr>
                <w:rFonts w:asciiTheme="minorHAnsi" w:eastAsia="Times New Roman" w:hAnsiTheme="minorHAnsi" w:cs="Arial"/>
              </w:rPr>
              <w:t>”</w:t>
            </w:r>
          </w:p>
          <w:p w14:paraId="2A7D165D" w14:textId="77777777" w:rsidR="00CF59E1" w:rsidRPr="00D04661" w:rsidRDefault="00CF59E1" w:rsidP="00CF59E1">
            <w:pPr>
              <w:autoSpaceDE/>
              <w:autoSpaceDN/>
              <w:adjustRightInd/>
              <w:spacing w:after="120"/>
              <w:rPr>
                <w:rFonts w:asciiTheme="minorHAnsi" w:eastAsia="Times New Roman" w:hAnsiTheme="minorHAnsi" w:cs="Arial"/>
              </w:rPr>
            </w:pPr>
            <w:r w:rsidRPr="00D04661">
              <w:rPr>
                <w:rFonts w:asciiTheme="minorHAnsi" w:eastAsia="Times New Roman" w:hAnsiTheme="minorHAnsi" w:cs="Arial"/>
                <w:b/>
              </w:rPr>
              <w:t>Para. 12</w:t>
            </w:r>
            <w:r w:rsidRPr="00D04661">
              <w:rPr>
                <w:rFonts w:asciiTheme="minorHAnsi" w:eastAsia="Times New Roman" w:hAnsiTheme="minorHAnsi" w:cs="Arial"/>
              </w:rPr>
              <w:t xml:space="preserve">: </w:t>
            </w:r>
            <w:r>
              <w:rPr>
                <w:rFonts w:asciiTheme="minorHAnsi" w:eastAsia="Times New Roman" w:hAnsiTheme="minorHAnsi" w:cs="Arial"/>
              </w:rPr>
              <w:t>“</w:t>
            </w:r>
            <w:r w:rsidRPr="00D04661">
              <w:rPr>
                <w:rFonts w:asciiTheme="minorHAnsi" w:eastAsia="Times New Roman" w:hAnsiTheme="minorHAnsi" w:cs="Arial"/>
              </w:rPr>
              <w:t>Payment of cash compensation for lost assets may be appropriate where (a) livelihoods are land-based but the land taken for the project is a small fraction [ft. nt. 17: generally less than 20% of total productive area] of the affected asset and the residual is economically viable; (b) active markets for land, housing, and labor exist, displaced persons use such markets, and there is sufficient supply of land and housing; or (c) livelihoods are not land-based. Cash compensation levels should be sufficient to replace the lost land and other assets at full replacement cost in local markets.</w:t>
            </w:r>
            <w:r>
              <w:rPr>
                <w:rFonts w:asciiTheme="minorHAnsi" w:eastAsia="Times New Roman" w:hAnsiTheme="minorHAnsi" w:cs="Arial"/>
              </w:rPr>
              <w:t>”</w:t>
            </w:r>
          </w:p>
          <w:p w14:paraId="1BCFACCD" w14:textId="77777777" w:rsidR="00CF59E1" w:rsidRPr="00D04661" w:rsidRDefault="00CF59E1" w:rsidP="00CF59E1">
            <w:pPr>
              <w:autoSpaceDE/>
              <w:autoSpaceDN/>
              <w:adjustRightInd/>
              <w:spacing w:after="120"/>
              <w:rPr>
                <w:rFonts w:asciiTheme="minorHAnsi" w:eastAsia="Times New Roman" w:hAnsiTheme="minorHAnsi" w:cs="Calibri"/>
              </w:rPr>
            </w:pPr>
          </w:p>
        </w:tc>
        <w:tc>
          <w:tcPr>
            <w:tcW w:w="7200" w:type="dxa"/>
            <w:tcBorders>
              <w:bottom w:val="nil"/>
            </w:tcBorders>
            <w:shd w:val="clear" w:color="auto" w:fill="auto"/>
          </w:tcPr>
          <w:p w14:paraId="09250519"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 xml:space="preserve">Borrowers must: </w:t>
            </w:r>
            <w:r>
              <w:rPr>
                <w:rFonts w:asciiTheme="minorHAnsi" w:eastAsia="Times New Roman" w:hAnsiTheme="minorHAnsi" w:cs="Calibri"/>
              </w:rPr>
              <w:t>“</w:t>
            </w:r>
            <w:r w:rsidRPr="00D04661">
              <w:rPr>
                <w:rFonts w:asciiTheme="minorHAnsi" w:eastAsia="Times New Roman" w:hAnsiTheme="minorHAnsi" w:cs="Calibri"/>
              </w:rPr>
              <w:t>(i) identify livelihood risks and prepare disaggregated tables based on demographic data and livelihood sources; (ii) describe income restoration programs, including multiple options for restoring all types of livelihoods (examples include project benefit sharing, revenue sharing arrangements, joint stock for equity contributions such as land, discuss sustainability and safety nets); (iii) outline measures to provide social safety net through social insurance and/or project special funds; (iv) describe special measures to support vulnerable groups;(v) explains gender considerations; and (vi) describe training programs.</w:t>
            </w:r>
            <w:r>
              <w:rPr>
                <w:rFonts w:asciiTheme="minorHAnsi" w:eastAsia="Times New Roman" w:hAnsiTheme="minorHAnsi" w:cs="Calibri"/>
              </w:rPr>
              <w:t xml:space="preserve">” </w:t>
            </w:r>
            <w:r w:rsidRPr="00D04661">
              <w:rPr>
                <w:rFonts w:asciiTheme="minorHAnsi" w:eastAsia="Times New Roman" w:hAnsiTheme="minorHAnsi" w:cs="Calibri"/>
              </w:rPr>
              <w:t>(</w:t>
            </w:r>
            <w:r w:rsidRPr="00D04661">
              <w:rPr>
                <w:rFonts w:asciiTheme="minorHAnsi" w:eastAsia="Times New Roman" w:hAnsiTheme="minorHAnsi" w:cs="Calibri"/>
                <w:b/>
              </w:rPr>
              <w:t>ADB, SPS, Annex to Appendix 2, J (2)</w:t>
            </w:r>
          </w:p>
        </w:tc>
      </w:tr>
      <w:tr w:rsidR="00CF59E1" w:rsidRPr="00D8522E" w14:paraId="54C03958" w14:textId="77777777" w:rsidTr="00CF59E1">
        <w:tc>
          <w:tcPr>
            <w:tcW w:w="6390" w:type="dxa"/>
            <w:vMerge/>
            <w:shd w:val="clear" w:color="auto" w:fill="auto"/>
            <w:vAlign w:val="center"/>
          </w:tcPr>
          <w:p w14:paraId="2158F923" w14:textId="77777777" w:rsidR="00CF59E1" w:rsidRPr="00D04661" w:rsidRDefault="00CF59E1" w:rsidP="00CF59E1">
            <w:pPr>
              <w:autoSpaceDE/>
              <w:autoSpaceDN/>
              <w:adjustRightInd/>
              <w:spacing w:after="120"/>
              <w:rPr>
                <w:rFonts w:asciiTheme="minorHAnsi" w:eastAsia="Times New Roman" w:hAnsiTheme="minorHAnsi" w:cs="Calibri"/>
              </w:rPr>
            </w:pPr>
          </w:p>
        </w:tc>
        <w:tc>
          <w:tcPr>
            <w:tcW w:w="7200" w:type="dxa"/>
            <w:tcBorders>
              <w:top w:val="nil"/>
            </w:tcBorders>
            <w:shd w:val="clear" w:color="auto" w:fill="auto"/>
          </w:tcPr>
          <w:p w14:paraId="6D5A7A5F" w14:textId="77777777" w:rsidR="00CF59E1" w:rsidRPr="00D04661" w:rsidRDefault="00CF59E1" w:rsidP="00CF59E1">
            <w:pPr>
              <w:pStyle w:val="Default"/>
              <w:spacing w:after="120"/>
              <w:rPr>
                <w:rFonts w:asciiTheme="minorHAnsi" w:hAnsiTheme="minorHAnsi" w:cs="Calibri"/>
                <w:sz w:val="22"/>
                <w:szCs w:val="22"/>
              </w:rPr>
            </w:pPr>
            <w:r>
              <w:rPr>
                <w:rFonts w:asciiTheme="minorHAnsi" w:hAnsiTheme="minorHAnsi"/>
                <w:sz w:val="22"/>
                <w:szCs w:val="22"/>
              </w:rPr>
              <w:t>“</w:t>
            </w:r>
            <w:r w:rsidRPr="00D04661">
              <w:rPr>
                <w:rFonts w:asciiTheme="minorHAnsi" w:hAnsiTheme="minorHAnsi"/>
                <w:sz w:val="22"/>
                <w:szCs w:val="22"/>
              </w:rPr>
              <w:t xml:space="preserve">The total cost of the project includes the full cost of all resettlement activities, factoring in the loss of livelihood and earning potential among the affected population. The calculation of the </w:t>
            </w:r>
            <w:r>
              <w:rPr>
                <w:rFonts w:asciiTheme="minorHAnsi" w:hAnsiTheme="minorHAnsi"/>
                <w:sz w:val="22"/>
                <w:szCs w:val="22"/>
              </w:rPr>
              <w:t>“</w:t>
            </w:r>
            <w:r w:rsidRPr="00D04661">
              <w:rPr>
                <w:rFonts w:asciiTheme="minorHAnsi" w:hAnsiTheme="minorHAnsi"/>
                <w:sz w:val="22"/>
                <w:szCs w:val="22"/>
              </w:rPr>
              <w:t>total economic cost</w:t>
            </w:r>
            <w:r>
              <w:rPr>
                <w:rFonts w:asciiTheme="minorHAnsi" w:hAnsiTheme="minorHAnsi"/>
                <w:sz w:val="22"/>
                <w:szCs w:val="22"/>
              </w:rPr>
              <w:t>”</w:t>
            </w:r>
            <w:r w:rsidRPr="00D04661">
              <w:rPr>
                <w:rFonts w:asciiTheme="minorHAnsi" w:hAnsiTheme="minorHAnsi"/>
                <w:sz w:val="22"/>
                <w:szCs w:val="22"/>
              </w:rPr>
              <w:t xml:space="preserve"> also factors in the social, health, environmental and psychological impacts of the project and the displacement, which may disrupt productivity and social cohesion. The resettlement costs are treated against the economic benefits of the project, and any net benefits to the affected population are added to the benefit stream of the project.</w:t>
            </w:r>
            <w:r>
              <w:rPr>
                <w:rFonts w:asciiTheme="minorHAnsi" w:hAnsiTheme="minorHAnsi"/>
                <w:sz w:val="22"/>
                <w:szCs w:val="22"/>
              </w:rPr>
              <w:t>”</w:t>
            </w:r>
            <w:r w:rsidRPr="00D04661">
              <w:rPr>
                <w:rFonts w:asciiTheme="minorHAnsi" w:hAnsiTheme="minorHAnsi"/>
                <w:sz w:val="22"/>
                <w:szCs w:val="22"/>
              </w:rPr>
              <w:t xml:space="preserve"> </w:t>
            </w:r>
            <w:r w:rsidRPr="00D04661">
              <w:rPr>
                <w:rFonts w:asciiTheme="minorHAnsi" w:hAnsiTheme="minorHAnsi" w:cs="Calibri"/>
                <w:sz w:val="22"/>
                <w:szCs w:val="22"/>
              </w:rPr>
              <w:t>(</w:t>
            </w:r>
            <w:r w:rsidRPr="00D04661">
              <w:rPr>
                <w:rFonts w:asciiTheme="minorHAnsi" w:hAnsiTheme="minorHAnsi" w:cs="Calibri"/>
                <w:b/>
                <w:sz w:val="22"/>
                <w:szCs w:val="22"/>
              </w:rPr>
              <w:t>AfDB, OS 2, para.33</w:t>
            </w:r>
            <w:r w:rsidRPr="00D04661">
              <w:rPr>
                <w:rFonts w:asciiTheme="minorHAnsi" w:hAnsiTheme="minorHAnsi" w:cs="Calibri"/>
                <w:sz w:val="22"/>
                <w:szCs w:val="22"/>
              </w:rPr>
              <w:t>)</w:t>
            </w:r>
          </w:p>
          <w:p w14:paraId="4315735E" w14:textId="77777777" w:rsidR="00CF59E1" w:rsidRPr="00D04661" w:rsidRDefault="00CF59E1" w:rsidP="00CF59E1">
            <w:pPr>
              <w:pStyle w:val="Default"/>
              <w:spacing w:after="120"/>
              <w:rPr>
                <w:rFonts w:asciiTheme="minorHAnsi" w:hAnsiTheme="minorHAnsi" w:cs="Calibri"/>
                <w:sz w:val="22"/>
                <w:szCs w:val="22"/>
              </w:rPr>
            </w:pPr>
            <w:r>
              <w:rPr>
                <w:rFonts w:asciiTheme="minorHAnsi" w:hAnsiTheme="minorHAnsi"/>
                <w:sz w:val="22"/>
                <w:szCs w:val="22"/>
              </w:rPr>
              <w:t>“</w:t>
            </w:r>
            <w:r w:rsidRPr="00D04661">
              <w:rPr>
                <w:rFonts w:asciiTheme="minorHAnsi" w:hAnsiTheme="minorHAnsi"/>
                <w:sz w:val="22"/>
                <w:szCs w:val="22"/>
              </w:rPr>
              <w:t>When cash payments are made, the affected people should be provided with counseling to ensure that they have the knowledge to use the compensation wisely.</w:t>
            </w:r>
            <w:r>
              <w:rPr>
                <w:rFonts w:asciiTheme="minorHAnsi" w:hAnsiTheme="minorHAnsi"/>
                <w:sz w:val="22"/>
                <w:szCs w:val="22"/>
              </w:rPr>
              <w:t>”</w:t>
            </w:r>
            <w:r w:rsidRPr="00D04661">
              <w:rPr>
                <w:rFonts w:asciiTheme="minorHAnsi" w:hAnsiTheme="minorHAnsi"/>
                <w:sz w:val="22"/>
                <w:szCs w:val="22"/>
              </w:rPr>
              <w:t xml:space="preserve"> </w:t>
            </w:r>
            <w:r w:rsidRPr="00D04661">
              <w:rPr>
                <w:rFonts w:asciiTheme="minorHAnsi" w:hAnsiTheme="minorHAnsi" w:cs="Calibri"/>
                <w:sz w:val="22"/>
                <w:szCs w:val="22"/>
              </w:rPr>
              <w:t>(</w:t>
            </w:r>
            <w:r w:rsidRPr="00D04661">
              <w:rPr>
                <w:rFonts w:asciiTheme="minorHAnsi" w:hAnsiTheme="minorHAnsi" w:cs="Calibri"/>
                <w:b/>
                <w:sz w:val="22"/>
                <w:szCs w:val="22"/>
              </w:rPr>
              <w:t>AfDB</w:t>
            </w:r>
            <w:r w:rsidRPr="00D04661">
              <w:rPr>
                <w:rFonts w:asciiTheme="minorHAnsi" w:hAnsiTheme="minorHAnsi" w:cs="Calibri"/>
                <w:sz w:val="22"/>
                <w:szCs w:val="22"/>
              </w:rPr>
              <w:t xml:space="preserve">), </w:t>
            </w:r>
            <w:r w:rsidRPr="00D04661">
              <w:rPr>
                <w:rFonts w:asciiTheme="minorHAnsi" w:hAnsiTheme="minorHAnsi" w:cs="Calibri"/>
                <w:b/>
                <w:sz w:val="22"/>
                <w:szCs w:val="22"/>
              </w:rPr>
              <w:t>OS 2, para. 39</w:t>
            </w:r>
            <w:r w:rsidRPr="00D04661">
              <w:rPr>
                <w:rFonts w:asciiTheme="minorHAnsi" w:hAnsiTheme="minorHAnsi" w:cs="Calibri"/>
                <w:sz w:val="22"/>
                <w:szCs w:val="22"/>
              </w:rPr>
              <w:t>)</w:t>
            </w:r>
          </w:p>
          <w:p w14:paraId="28F7A382"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 xml:space="preserve">The land provided should also provide </w:t>
            </w:r>
            <w:r w:rsidRPr="00D04661">
              <w:rPr>
                <w:rFonts w:asciiTheme="minorHAnsi" w:hAnsiTheme="minorHAnsi" w:cs="Calibri"/>
                <w:i/>
              </w:rPr>
              <w:t>access to safe drinking water and irrigation facilities</w:t>
            </w:r>
            <w:r w:rsidRPr="00D04661">
              <w:rPr>
                <w:rFonts w:asciiTheme="minorHAnsi" w:hAnsiTheme="minorHAnsi" w:cs="Calibri"/>
              </w:rPr>
              <w:t>.</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AfDB, OS 2, para. 40</w:t>
            </w:r>
            <w:r w:rsidRPr="00D04661">
              <w:rPr>
                <w:rFonts w:asciiTheme="minorHAnsi" w:hAnsiTheme="minorHAnsi" w:cs="Calibri"/>
              </w:rPr>
              <w:t>)</w:t>
            </w:r>
          </w:p>
          <w:p w14:paraId="3F487B35" w14:textId="77777777" w:rsidR="00CF59E1" w:rsidRPr="00D04661" w:rsidRDefault="00CF59E1" w:rsidP="00CF59E1">
            <w:pPr>
              <w:pStyle w:val="Default"/>
              <w:spacing w:after="120"/>
              <w:rPr>
                <w:rFonts w:asciiTheme="minorHAnsi" w:eastAsia="Times New Roman" w:hAnsiTheme="minorHAnsi" w:cs="Calibri"/>
                <w:sz w:val="22"/>
                <w:szCs w:val="22"/>
              </w:rPr>
            </w:pPr>
            <w:r>
              <w:rPr>
                <w:rFonts w:asciiTheme="minorHAnsi" w:hAnsiTheme="minorHAnsi"/>
                <w:sz w:val="22"/>
                <w:szCs w:val="22"/>
              </w:rPr>
              <w:t>“</w:t>
            </w:r>
            <w:r w:rsidRPr="00D04661">
              <w:rPr>
                <w:rFonts w:asciiTheme="minorHAnsi" w:hAnsiTheme="minorHAnsi"/>
                <w:sz w:val="22"/>
                <w:szCs w:val="22"/>
              </w:rPr>
              <w:t>In addition to material provisions, the project addresses cultural and psychological issues. It attempts to avoid the destruction of cultural, religious and archaeological sites—including natural sites and habitats valued for cultural, religious and archaeological reasons —or to provide alternative sites that are acceptable to the affected population. When relocation touches religious sites, a comprehensive plan is established in co-operation with religious and traditional community leaders to ensure that an alternative location is found and that all rituals can be conducted to ensure that the new site represents the same degree of sacredness as the previous location. Social structures and community networks among the affected persons should be maintained. Support and advice are made available to help the affected persons cope with, and benefit from, the resettlement process.</w:t>
            </w:r>
            <w:r>
              <w:rPr>
                <w:rFonts w:asciiTheme="minorHAnsi" w:hAnsiTheme="minorHAnsi"/>
                <w:sz w:val="22"/>
                <w:szCs w:val="22"/>
              </w:rPr>
              <w:t>”</w:t>
            </w:r>
            <w:r w:rsidRPr="00D04661">
              <w:rPr>
                <w:rFonts w:asciiTheme="minorHAnsi" w:eastAsia="Times New Roman" w:hAnsiTheme="minorHAnsi" w:cs="Calibri"/>
                <w:sz w:val="22"/>
                <w:szCs w:val="22"/>
              </w:rPr>
              <w:t xml:space="preserve"> (</w:t>
            </w:r>
            <w:r w:rsidRPr="00D04661">
              <w:rPr>
                <w:rFonts w:asciiTheme="minorHAnsi" w:eastAsia="Times New Roman" w:hAnsiTheme="minorHAnsi" w:cs="Calibri"/>
                <w:b/>
                <w:sz w:val="22"/>
                <w:szCs w:val="22"/>
              </w:rPr>
              <w:t>AfDB, OS 2, para.50)</w:t>
            </w:r>
          </w:p>
          <w:p w14:paraId="5AAB76F2"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Compensation and rehabilitation options must provide a …the necessary means to …reconstruct the social networks that support production, services and mutual assistance. The options that are offered should be appropriate for the people affected, and should reflect their capabilities and realistic aspirations. The compensation and rehabilitation package must take adequate account of intangible assets, especially nonmonetary social and cultural assets and, particularly in the case of rural populations, of customary rights to land and natural resources. Housing and service options, when included, will be appropriate for the social and cultural context and will, at the very least, meet minimum standards of shelter and access to basic services, regardless of conditions prior to resettlement. The design of compensation packages, as well as the community consultation and decision making mechanisms included in the resettlement program, will take into account the characteristics of the resettled population as identified in the disaggregated baseline data with respect to gender, ethnicity, age, and any other factors pointing to special needs and/or vulnerability.</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IDB, Policy on Involuntary Resettlement</w:t>
            </w:r>
            <w:r w:rsidRPr="00D04661">
              <w:rPr>
                <w:rFonts w:asciiTheme="minorHAnsi" w:eastAsia="Times New Roman" w:hAnsiTheme="minorHAnsi" w:cs="Calibri"/>
              </w:rPr>
              <w:t>)</w:t>
            </w:r>
          </w:p>
          <w:p w14:paraId="7EFF01D2" w14:textId="77777777" w:rsidR="00CF59E1" w:rsidRPr="00D04661" w:rsidRDefault="00CF59E1" w:rsidP="00CF59E1">
            <w:pPr>
              <w:pStyle w:val="PlainText"/>
              <w:spacing w:after="120"/>
              <w:jc w:val="left"/>
              <w:rPr>
                <w:rFonts w:asciiTheme="minorHAnsi" w:hAnsiTheme="minorHAnsi" w:cs="Calibri"/>
                <w:sz w:val="22"/>
                <w:szCs w:val="22"/>
              </w:rPr>
            </w:pPr>
            <w:r>
              <w:rPr>
                <w:rFonts w:asciiTheme="minorHAnsi" w:hAnsiTheme="minorHAnsi" w:cs="Calibri"/>
                <w:sz w:val="22"/>
                <w:szCs w:val="22"/>
                <w:lang w:val="en-US"/>
              </w:rPr>
              <w:t>“</w:t>
            </w:r>
            <w:r w:rsidRPr="00D04661">
              <w:rPr>
                <w:rFonts w:asciiTheme="minorHAnsi" w:hAnsiTheme="minorHAnsi" w:cs="Calibri"/>
                <w:sz w:val="22"/>
                <w:szCs w:val="22"/>
                <w:lang w:val="en-US"/>
              </w:rPr>
              <w:t xml:space="preserve">Regardless of the circumstances and without discrimination, the promoter will ensure that affected persons or groups identified in the census, especially those who are unable to provide for themselves, have, during and after resettlement, </w:t>
            </w:r>
            <w:r w:rsidRPr="00D04661">
              <w:rPr>
                <w:rFonts w:asciiTheme="minorHAnsi" w:hAnsiTheme="minorHAnsi" w:cs="Calibri"/>
                <w:i/>
                <w:sz w:val="22"/>
                <w:szCs w:val="22"/>
                <w:lang w:val="en-US"/>
              </w:rPr>
              <w:t>safe and secure access to: (a) essential food, potable water and sanitation; (b) basic shelter and</w:t>
            </w:r>
            <w:r w:rsidRPr="00D04661">
              <w:rPr>
                <w:rFonts w:asciiTheme="minorHAnsi" w:hAnsiTheme="minorHAnsi" w:cs="Calibri"/>
                <w:sz w:val="22"/>
                <w:szCs w:val="22"/>
                <w:lang w:val="en-US"/>
              </w:rPr>
              <w:t xml:space="preserve"> </w:t>
            </w:r>
            <w:r w:rsidRPr="00D04661">
              <w:rPr>
                <w:rFonts w:asciiTheme="minorHAnsi" w:hAnsiTheme="minorHAnsi" w:cs="Calibri"/>
                <w:i/>
                <w:sz w:val="22"/>
                <w:szCs w:val="22"/>
                <w:lang w:val="en-US"/>
              </w:rPr>
              <w:t>housing; (c) appropriate clothing; (d) essential medical services; (e) livelihood and subsistence sources; (f) fodder for livestock and access to common property resources previously depended upon; and (g) education for children and childcare facilities</w:t>
            </w:r>
            <w:r w:rsidRPr="00D04661">
              <w:rPr>
                <w:rFonts w:asciiTheme="minorHAnsi" w:hAnsiTheme="minorHAnsi" w:cs="Calibri"/>
                <w:sz w:val="22"/>
                <w:szCs w:val="22"/>
                <w:lang w:val="en-US"/>
              </w:rPr>
              <w:t>.</w:t>
            </w:r>
            <w:r>
              <w:rPr>
                <w:rFonts w:asciiTheme="minorHAnsi" w:hAnsiTheme="minorHAnsi" w:cs="Calibri"/>
                <w:sz w:val="22"/>
                <w:szCs w:val="22"/>
              </w:rPr>
              <w:t>”</w:t>
            </w:r>
            <w:r w:rsidRPr="00D04661">
              <w:rPr>
                <w:rFonts w:asciiTheme="minorHAnsi" w:hAnsiTheme="minorHAnsi" w:cs="Calibri"/>
                <w:sz w:val="22"/>
                <w:szCs w:val="22"/>
              </w:rPr>
              <w:t xml:space="preserve"> (</w:t>
            </w:r>
            <w:r w:rsidRPr="00D04661">
              <w:rPr>
                <w:rFonts w:asciiTheme="minorHAnsi" w:hAnsiTheme="minorHAnsi" w:cs="Calibri"/>
                <w:b/>
                <w:sz w:val="22"/>
                <w:szCs w:val="22"/>
              </w:rPr>
              <w:t>EIB, ESH, ESS 6, para. 48)</w:t>
            </w:r>
          </w:p>
          <w:p w14:paraId="17F5C250" w14:textId="77777777" w:rsidR="00CF59E1" w:rsidRPr="00D04661" w:rsidRDefault="00CF59E1" w:rsidP="00CF59E1">
            <w:pPr>
              <w:spacing w:after="120"/>
              <w:rPr>
                <w:rFonts w:asciiTheme="minorHAnsi" w:hAnsiTheme="minorHAnsi" w:cs="Calibri"/>
              </w:rPr>
            </w:pPr>
            <w:r>
              <w:rPr>
                <w:rFonts w:asciiTheme="minorHAnsi" w:hAnsiTheme="minorHAnsi" w:cs="Arial"/>
                <w:i/>
                <w:iCs/>
              </w:rPr>
              <w:t>“</w:t>
            </w:r>
            <w:r w:rsidRPr="00D04661">
              <w:rPr>
                <w:rFonts w:asciiTheme="minorHAnsi" w:hAnsiTheme="minorHAnsi" w:cs="Arial"/>
                <w:i/>
                <w:iCs/>
              </w:rPr>
              <w:t xml:space="preserve">Adequate housing, </w:t>
            </w:r>
            <w:r w:rsidRPr="00D04661">
              <w:rPr>
                <w:rFonts w:asciiTheme="minorHAnsi" w:hAnsiTheme="minorHAnsi" w:cs="Arial"/>
              </w:rPr>
              <w:t>according to human rights law</w:t>
            </w:r>
            <w:r w:rsidRPr="00D04661">
              <w:rPr>
                <w:rFonts w:asciiTheme="minorHAnsi" w:hAnsiTheme="minorHAnsi" w:cs="Arial"/>
                <w:i/>
                <w:iCs/>
              </w:rPr>
              <w:t xml:space="preserve">, </w:t>
            </w:r>
            <w:r w:rsidRPr="00D04661">
              <w:rPr>
                <w:rFonts w:asciiTheme="minorHAnsi" w:hAnsiTheme="minorHAnsi" w:cs="Arial"/>
              </w:rPr>
              <w:t xml:space="preserve">must at minimum meet the following criteria: </w:t>
            </w:r>
          </w:p>
          <w:p w14:paraId="4A2C35A1" w14:textId="77777777" w:rsidR="00CF59E1" w:rsidRPr="00D04661" w:rsidRDefault="00CF59E1" w:rsidP="00CF59E1">
            <w:pPr>
              <w:spacing w:after="120"/>
              <w:ind w:left="360" w:hanging="360"/>
              <w:rPr>
                <w:rFonts w:asciiTheme="minorHAnsi" w:hAnsiTheme="minorHAnsi" w:cs="Arial"/>
              </w:rPr>
            </w:pPr>
            <w:r w:rsidRPr="00D04661">
              <w:rPr>
                <w:rFonts w:asciiTheme="minorHAnsi" w:hAnsiTheme="minorHAnsi" w:cs="Arial"/>
              </w:rPr>
              <w:t xml:space="preserve">(i) </w:t>
            </w:r>
            <w:r>
              <w:rPr>
                <w:rFonts w:asciiTheme="minorHAnsi" w:hAnsiTheme="minorHAnsi" w:cs="Arial"/>
              </w:rPr>
              <w:tab/>
            </w:r>
            <w:r w:rsidRPr="00D04661">
              <w:rPr>
                <w:rFonts w:asciiTheme="minorHAnsi" w:hAnsiTheme="minorHAnsi" w:cs="Arial"/>
                <w:i/>
                <w:iCs/>
              </w:rPr>
              <w:t xml:space="preserve">Security of tenure </w:t>
            </w:r>
            <w:r w:rsidRPr="00D04661">
              <w:rPr>
                <w:rFonts w:asciiTheme="minorHAnsi" w:hAnsiTheme="minorHAnsi" w:cs="Arial"/>
              </w:rPr>
              <w:t>provides occupants with legal protection against forced evictions, harassment and other threats. People living in informal settlements and communities usually lack security of tenure.</w:t>
            </w:r>
          </w:p>
          <w:p w14:paraId="1D122EAB" w14:textId="77777777" w:rsidR="00CF59E1" w:rsidRPr="00D04661" w:rsidRDefault="00CF59E1" w:rsidP="00CF59E1">
            <w:pPr>
              <w:spacing w:after="120"/>
              <w:ind w:left="360" w:hanging="360"/>
              <w:rPr>
                <w:rFonts w:asciiTheme="minorHAnsi" w:hAnsiTheme="minorHAnsi" w:cs="Arial"/>
                <w:i/>
                <w:iCs/>
              </w:rPr>
            </w:pPr>
            <w:r w:rsidRPr="00D04661">
              <w:rPr>
                <w:rFonts w:asciiTheme="minorHAnsi" w:hAnsiTheme="minorHAnsi" w:cs="Arial"/>
              </w:rPr>
              <w:t>(ii)</w:t>
            </w:r>
            <w:r w:rsidRPr="00D04661">
              <w:rPr>
                <w:rFonts w:asciiTheme="minorHAnsi" w:hAnsiTheme="minorHAnsi" w:cs="Arial"/>
                <w:i/>
                <w:iCs/>
              </w:rPr>
              <w:t xml:space="preserve"> </w:t>
            </w:r>
            <w:r>
              <w:rPr>
                <w:rFonts w:asciiTheme="minorHAnsi" w:hAnsiTheme="minorHAnsi" w:cs="Arial"/>
                <w:i/>
                <w:iCs/>
              </w:rPr>
              <w:tab/>
            </w:r>
            <w:r w:rsidRPr="00D04661">
              <w:rPr>
                <w:rFonts w:asciiTheme="minorHAnsi" w:hAnsiTheme="minorHAnsi" w:cs="Arial"/>
                <w:i/>
                <w:iCs/>
              </w:rPr>
              <w:t>Availability of services, materials, facilities and infrastructure</w:t>
            </w:r>
            <w:r w:rsidRPr="00D04661">
              <w:rPr>
                <w:rFonts w:asciiTheme="minorHAnsi" w:hAnsiTheme="minorHAnsi" w:cs="Arial"/>
              </w:rPr>
              <w:t>: occupants of housing that is adequate must have access to safe drinking water, sanitation and washing facilities, energy for cooking, heating and lighting, food storage, refuse disposal, site drainage and emergency services;</w:t>
            </w:r>
          </w:p>
          <w:p w14:paraId="5D950D0B" w14:textId="77777777" w:rsidR="00CF59E1" w:rsidRPr="00D04661" w:rsidRDefault="00CF59E1" w:rsidP="00CF59E1">
            <w:pPr>
              <w:spacing w:after="120"/>
              <w:ind w:left="360" w:hanging="360"/>
              <w:rPr>
                <w:rFonts w:asciiTheme="minorHAnsi" w:hAnsiTheme="minorHAnsi" w:cs="Arial"/>
              </w:rPr>
            </w:pPr>
            <w:r w:rsidRPr="00D04661">
              <w:rPr>
                <w:rFonts w:asciiTheme="minorHAnsi" w:hAnsiTheme="minorHAnsi" w:cs="Arial"/>
              </w:rPr>
              <w:t>(iii)</w:t>
            </w:r>
            <w:r w:rsidRPr="00D04661">
              <w:rPr>
                <w:rFonts w:asciiTheme="minorHAnsi" w:hAnsiTheme="minorHAnsi" w:cs="Arial"/>
                <w:i/>
                <w:iCs/>
              </w:rPr>
              <w:t xml:space="preserve"> </w:t>
            </w:r>
            <w:r>
              <w:rPr>
                <w:rFonts w:asciiTheme="minorHAnsi" w:hAnsiTheme="minorHAnsi" w:cs="Arial"/>
                <w:i/>
                <w:iCs/>
              </w:rPr>
              <w:tab/>
            </w:r>
            <w:r w:rsidRPr="00D04661">
              <w:rPr>
                <w:rFonts w:asciiTheme="minorHAnsi" w:hAnsiTheme="minorHAnsi" w:cs="Arial"/>
                <w:i/>
                <w:iCs/>
              </w:rPr>
              <w:t>Affordability</w:t>
            </w:r>
            <w:r w:rsidRPr="00D04661">
              <w:rPr>
                <w:rFonts w:asciiTheme="minorHAnsi" w:hAnsiTheme="minorHAnsi" w:cs="Arial"/>
              </w:rPr>
              <w:t>: the cost of housing must not threaten occupants’ ability to satisfy other basic needs, nor must it compromise their security of tenure e.g. because high rent exposes them to lawful eviction for non-payment;</w:t>
            </w:r>
          </w:p>
          <w:p w14:paraId="3A223E4E" w14:textId="77777777" w:rsidR="00CF59E1" w:rsidRPr="00D04661" w:rsidRDefault="00CF59E1" w:rsidP="00CF59E1">
            <w:pPr>
              <w:spacing w:after="120"/>
              <w:ind w:left="360" w:hanging="360"/>
              <w:rPr>
                <w:rFonts w:asciiTheme="minorHAnsi" w:hAnsiTheme="minorHAnsi" w:cs="Arial"/>
              </w:rPr>
            </w:pPr>
            <w:r w:rsidRPr="00D04661">
              <w:rPr>
                <w:rFonts w:asciiTheme="minorHAnsi" w:hAnsiTheme="minorHAnsi" w:cs="Arial"/>
              </w:rPr>
              <w:t>(iv)</w:t>
            </w:r>
            <w:r w:rsidRPr="00D04661">
              <w:rPr>
                <w:rFonts w:asciiTheme="minorHAnsi" w:hAnsiTheme="minorHAnsi" w:cs="Arial"/>
                <w:i/>
                <w:iCs/>
              </w:rPr>
              <w:t xml:space="preserve"> </w:t>
            </w:r>
            <w:r>
              <w:rPr>
                <w:rFonts w:asciiTheme="minorHAnsi" w:hAnsiTheme="minorHAnsi" w:cs="Arial"/>
                <w:i/>
                <w:iCs/>
              </w:rPr>
              <w:tab/>
            </w:r>
            <w:r w:rsidRPr="00D04661">
              <w:rPr>
                <w:rFonts w:asciiTheme="minorHAnsi" w:hAnsiTheme="minorHAnsi" w:cs="Arial"/>
                <w:i/>
                <w:iCs/>
              </w:rPr>
              <w:t>Habitability</w:t>
            </w:r>
            <w:r w:rsidRPr="00D04661">
              <w:rPr>
                <w:rFonts w:asciiTheme="minorHAnsi" w:hAnsiTheme="minorHAnsi" w:cs="Arial"/>
              </w:rPr>
              <w:t>: adequate housing must guarantee occupants’ physical safety and provide adequate space and protection against the cold, damp, heat, rain, wind, and other threats to health and structural hazards;</w:t>
            </w:r>
          </w:p>
          <w:p w14:paraId="4EBD11F9" w14:textId="77777777" w:rsidR="00CF59E1" w:rsidRPr="00D04661" w:rsidRDefault="00CF59E1" w:rsidP="00CF59E1">
            <w:pPr>
              <w:spacing w:after="120"/>
              <w:ind w:left="360" w:hanging="360"/>
              <w:rPr>
                <w:rFonts w:asciiTheme="minorHAnsi" w:hAnsiTheme="minorHAnsi" w:cs="Arial"/>
              </w:rPr>
            </w:pPr>
            <w:r w:rsidRPr="00D04661">
              <w:rPr>
                <w:rFonts w:asciiTheme="minorHAnsi" w:hAnsiTheme="minorHAnsi" w:cs="Arial"/>
              </w:rPr>
              <w:t>(v)</w:t>
            </w:r>
            <w:r w:rsidRPr="00D04661">
              <w:rPr>
                <w:rFonts w:asciiTheme="minorHAnsi" w:hAnsiTheme="minorHAnsi" w:cs="Arial"/>
                <w:i/>
                <w:iCs/>
              </w:rPr>
              <w:t xml:space="preserve"> </w:t>
            </w:r>
            <w:r>
              <w:rPr>
                <w:rFonts w:asciiTheme="minorHAnsi" w:hAnsiTheme="minorHAnsi" w:cs="Arial"/>
                <w:i/>
                <w:iCs/>
              </w:rPr>
              <w:tab/>
            </w:r>
            <w:r w:rsidRPr="00D04661">
              <w:rPr>
                <w:rFonts w:asciiTheme="minorHAnsi" w:hAnsiTheme="minorHAnsi" w:cs="Arial"/>
                <w:i/>
                <w:iCs/>
              </w:rPr>
              <w:t>Accessibility</w:t>
            </w:r>
            <w:r w:rsidRPr="00D04661">
              <w:rPr>
                <w:rFonts w:asciiTheme="minorHAnsi" w:hAnsiTheme="minorHAnsi" w:cs="Arial"/>
              </w:rPr>
              <w:t>: adequate housing must be accessible to everyone, so that the specific needs of disadvantaged and marginalised groups, such as the elderly, persons with physical or mental disabilities, and children must be taken into account;</w:t>
            </w:r>
          </w:p>
          <w:p w14:paraId="46675CEA" w14:textId="77777777" w:rsidR="00CF59E1" w:rsidRPr="00D04661" w:rsidRDefault="00CF59E1" w:rsidP="00CF59E1">
            <w:pPr>
              <w:spacing w:after="120"/>
              <w:ind w:left="360" w:hanging="360"/>
              <w:rPr>
                <w:rFonts w:asciiTheme="minorHAnsi" w:hAnsiTheme="minorHAnsi" w:cs="Arial"/>
              </w:rPr>
            </w:pPr>
            <w:r w:rsidRPr="00D04661">
              <w:rPr>
                <w:rFonts w:asciiTheme="minorHAnsi" w:hAnsiTheme="minorHAnsi" w:cs="Arial"/>
              </w:rPr>
              <w:t>(vi)</w:t>
            </w:r>
            <w:r w:rsidRPr="00D04661">
              <w:rPr>
                <w:rFonts w:asciiTheme="minorHAnsi" w:hAnsiTheme="minorHAnsi" w:cs="Arial"/>
                <w:i/>
                <w:iCs/>
              </w:rPr>
              <w:t xml:space="preserve"> </w:t>
            </w:r>
            <w:r>
              <w:rPr>
                <w:rFonts w:asciiTheme="minorHAnsi" w:hAnsiTheme="minorHAnsi" w:cs="Arial"/>
                <w:i/>
                <w:iCs/>
              </w:rPr>
              <w:tab/>
            </w:r>
            <w:r w:rsidRPr="00D04661">
              <w:rPr>
                <w:rFonts w:asciiTheme="minorHAnsi" w:hAnsiTheme="minorHAnsi" w:cs="Arial"/>
                <w:i/>
                <w:iCs/>
              </w:rPr>
              <w:t>Location</w:t>
            </w:r>
            <w:r w:rsidRPr="00D04661">
              <w:rPr>
                <w:rFonts w:asciiTheme="minorHAnsi" w:hAnsiTheme="minorHAnsi" w:cs="Arial"/>
              </w:rPr>
              <w:t>: housing must be situated so as to allow access to employment opportunities, Health care services, schools, childcare centres and other social facilities. It must not be located in polluted or dangerous areas; and</w:t>
            </w:r>
          </w:p>
          <w:p w14:paraId="06646696" w14:textId="77777777" w:rsidR="00CF59E1" w:rsidRPr="00D04661" w:rsidRDefault="00CF59E1" w:rsidP="00CF59E1">
            <w:pPr>
              <w:spacing w:after="120"/>
              <w:ind w:left="360" w:hanging="360"/>
              <w:rPr>
                <w:rFonts w:asciiTheme="minorHAnsi" w:hAnsiTheme="minorHAnsi" w:cs="Calibri"/>
              </w:rPr>
            </w:pPr>
            <w:r w:rsidRPr="00D04661">
              <w:rPr>
                <w:rFonts w:asciiTheme="minorHAnsi" w:hAnsiTheme="minorHAnsi" w:cs="Arial"/>
              </w:rPr>
              <w:t>(vii)</w:t>
            </w:r>
            <w:r w:rsidRPr="00D04661">
              <w:rPr>
                <w:rFonts w:asciiTheme="minorHAnsi" w:hAnsiTheme="minorHAnsi" w:cs="Arial"/>
                <w:i/>
                <w:iCs/>
              </w:rPr>
              <w:t xml:space="preserve"> Cultural adequacy</w:t>
            </w:r>
            <w:r w:rsidRPr="00D04661">
              <w:rPr>
                <w:rFonts w:asciiTheme="minorHAnsi" w:hAnsiTheme="minorHAnsi" w:cs="Arial"/>
              </w:rPr>
              <w:t>: housing must permit the expression of cultural identity, for example, through methods of house construction and building materials.</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EIB ESH, ESS 6, para. 5)</w:t>
            </w:r>
          </w:p>
        </w:tc>
      </w:tr>
      <w:tr w:rsidR="00CF59E1" w:rsidRPr="00D8522E" w14:paraId="67CDD906" w14:textId="77777777" w:rsidTr="00CF59E1">
        <w:tc>
          <w:tcPr>
            <w:tcW w:w="6390" w:type="dxa"/>
            <w:shd w:val="clear" w:color="auto" w:fill="auto"/>
            <w:vAlign w:val="center"/>
          </w:tcPr>
          <w:p w14:paraId="6D64CF4A" w14:textId="77777777" w:rsidR="00CF59E1" w:rsidRPr="00D04661" w:rsidRDefault="00CF59E1" w:rsidP="00CF59E1">
            <w:pPr>
              <w:autoSpaceDE/>
              <w:autoSpaceDN/>
              <w:adjustRightInd/>
              <w:spacing w:after="120"/>
              <w:rPr>
                <w:rFonts w:asciiTheme="minorHAnsi" w:eastAsia="Times New Roman" w:hAnsiTheme="minorHAnsi" w:cs="Calibri"/>
              </w:rPr>
            </w:pPr>
            <w:r w:rsidRPr="00D04661">
              <w:rPr>
                <w:rFonts w:asciiTheme="minorHAnsi" w:eastAsia="Times New Roman" w:hAnsiTheme="minorHAnsi" w:cs="Calibri"/>
                <w:b/>
              </w:rPr>
              <w:t>MITIGATION OF IMPACTS ON HOST COMMUNITIES</w:t>
            </w:r>
          </w:p>
          <w:p w14:paraId="4F71406B" w14:textId="77777777" w:rsidR="00CF59E1" w:rsidRPr="00D04661" w:rsidRDefault="00CF59E1" w:rsidP="00CF59E1">
            <w:pPr>
              <w:spacing w:after="120"/>
              <w:rPr>
                <w:rFonts w:asciiTheme="minorHAnsi" w:hAnsiTheme="minorHAnsi" w:cs="Arial"/>
              </w:rPr>
            </w:pPr>
            <w:r w:rsidRPr="00D04661">
              <w:rPr>
                <w:rFonts w:asciiTheme="minorHAnsi" w:hAnsiTheme="minorHAnsi" w:cs="Arial"/>
                <w:b/>
              </w:rPr>
              <w:t xml:space="preserve">OP, 4.12, </w:t>
            </w:r>
            <w:r>
              <w:rPr>
                <w:rFonts w:asciiTheme="minorHAnsi" w:hAnsiTheme="minorHAnsi" w:cs="Arial"/>
                <w:b/>
              </w:rPr>
              <w:t xml:space="preserve">para. </w:t>
            </w:r>
            <w:r w:rsidRPr="00D04661">
              <w:rPr>
                <w:rFonts w:asciiTheme="minorHAnsi" w:hAnsiTheme="minorHAnsi" w:cs="Arial"/>
                <w:b/>
              </w:rPr>
              <w:t>13.a</w:t>
            </w:r>
            <w:r w:rsidRPr="00D04661">
              <w:rPr>
                <w:rFonts w:asciiTheme="minorHAnsi" w:hAnsiTheme="minorHAnsi" w:cs="Arial"/>
              </w:rPr>
              <w:t xml:space="preserve">: </w:t>
            </w:r>
            <w:r>
              <w:rPr>
                <w:rFonts w:asciiTheme="minorHAnsi" w:hAnsiTheme="minorHAnsi" w:cs="Arial"/>
              </w:rPr>
              <w:t>“</w:t>
            </w:r>
            <w:r w:rsidRPr="00D04661">
              <w:rPr>
                <w:rFonts w:asciiTheme="minorHAnsi" w:hAnsiTheme="minorHAnsi" w:cs="Arial"/>
              </w:rPr>
              <w:t>Displaced persons and their communities, and any host communities receiving them, are provided timely and relevant information, consulted on resettlement options, and offered opportunities to participate in planning, implementing, and monitoring resettlement.</w:t>
            </w:r>
            <w:r>
              <w:rPr>
                <w:rFonts w:asciiTheme="minorHAnsi" w:hAnsiTheme="minorHAnsi" w:cs="Arial"/>
              </w:rPr>
              <w:t>”</w:t>
            </w:r>
          </w:p>
          <w:p w14:paraId="46C1307F" w14:textId="77777777" w:rsidR="00CF59E1" w:rsidRPr="00D04661" w:rsidRDefault="00CF59E1" w:rsidP="00CF59E1">
            <w:pPr>
              <w:spacing w:after="120"/>
              <w:rPr>
                <w:rFonts w:asciiTheme="minorHAnsi" w:hAnsiTheme="minorHAnsi" w:cs="Arial"/>
              </w:rPr>
            </w:pPr>
            <w:r w:rsidRPr="00D04661">
              <w:rPr>
                <w:rFonts w:asciiTheme="minorHAnsi" w:hAnsiTheme="minorHAnsi" w:cs="Arial"/>
                <w:b/>
              </w:rPr>
              <w:t>Para. b:</w:t>
            </w:r>
            <w:r w:rsidRPr="00D04661">
              <w:rPr>
                <w:rFonts w:asciiTheme="minorHAnsi" w:hAnsiTheme="minorHAnsi" w:cs="Arial"/>
              </w:rPr>
              <w:t xml:space="preserve"> </w:t>
            </w:r>
            <w:r>
              <w:rPr>
                <w:rFonts w:asciiTheme="minorHAnsi" w:hAnsiTheme="minorHAnsi" w:cs="Arial"/>
              </w:rPr>
              <w:t>“</w:t>
            </w:r>
            <w:r w:rsidRPr="00D04661">
              <w:rPr>
                <w:rFonts w:asciiTheme="minorHAnsi" w:hAnsiTheme="minorHAnsi" w:cs="Arial"/>
              </w:rPr>
              <w:t>In new resettlement sites or host communities, infrastructure and public services are provided as necessary to improve, restore, or maintain accessibility and levels of service for the displaced persons and host communities. Alternative or similar resources are provided to compensate for the loss of access to community resources (such as fishing areas, grazing areas, fuel, or fodder).</w:t>
            </w:r>
            <w:r>
              <w:rPr>
                <w:rFonts w:asciiTheme="minorHAnsi" w:hAnsiTheme="minorHAnsi" w:cs="Arial"/>
              </w:rPr>
              <w:t>”</w:t>
            </w:r>
          </w:p>
          <w:p w14:paraId="7C6E59FD" w14:textId="77777777" w:rsidR="00CF59E1" w:rsidRPr="00D04661" w:rsidRDefault="00CF59E1" w:rsidP="00CF59E1">
            <w:pPr>
              <w:spacing w:after="120"/>
              <w:rPr>
                <w:rFonts w:asciiTheme="minorHAnsi" w:eastAsia="Times New Roman" w:hAnsiTheme="minorHAnsi" w:cs="Calibri"/>
              </w:rPr>
            </w:pPr>
          </w:p>
        </w:tc>
        <w:tc>
          <w:tcPr>
            <w:tcW w:w="7200" w:type="dxa"/>
            <w:shd w:val="clear" w:color="auto" w:fill="auto"/>
          </w:tcPr>
          <w:p w14:paraId="307F47A8"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 xml:space="preserve">Consultation with host communities: Carry out meaningful consultations with … host communities … </w:t>
            </w:r>
          </w:p>
          <w:p w14:paraId="1DECBE8B" w14:textId="77777777" w:rsidR="00CF59E1" w:rsidRPr="00D04661" w:rsidRDefault="00CF59E1" w:rsidP="00CF59E1">
            <w:pPr>
              <w:spacing w:after="120"/>
              <w:ind w:left="360" w:hanging="360"/>
              <w:rPr>
                <w:rFonts w:asciiTheme="minorHAnsi" w:hAnsiTheme="minorHAnsi" w:cs="Calibri"/>
              </w:rPr>
            </w:pPr>
            <w:r w:rsidRPr="00D04661">
              <w:rPr>
                <w:rFonts w:asciiTheme="minorHAnsi" w:hAnsiTheme="minorHAnsi" w:cs="Calibri"/>
              </w:rPr>
              <w:t xml:space="preserve">(i) </w:t>
            </w:r>
            <w:r w:rsidRPr="00D04661">
              <w:rPr>
                <w:rFonts w:asciiTheme="minorHAnsi" w:hAnsiTheme="minorHAnsi" w:cs="Calibri"/>
              </w:rPr>
              <w:tab/>
              <w:t xml:space="preserve">Where market conditions are absent or in a formative stage, the borrower/client will consult with the displaced persons and host populations to obtain adequate information about recent land transactions, land value by types, land titles, land use, cropping patterns and crop production, availability of land in the project area and region, and other related information. </w:t>
            </w:r>
          </w:p>
          <w:p w14:paraId="1E568B0D" w14:textId="77777777" w:rsidR="00CF59E1" w:rsidRPr="00D04661" w:rsidRDefault="00CF59E1" w:rsidP="00CF59E1">
            <w:pPr>
              <w:spacing w:after="120"/>
              <w:ind w:left="360" w:hanging="360"/>
              <w:rPr>
                <w:rFonts w:asciiTheme="minorHAnsi" w:hAnsiTheme="minorHAnsi" w:cs="Calibri"/>
              </w:rPr>
            </w:pPr>
            <w:r w:rsidRPr="00D04661">
              <w:rPr>
                <w:rFonts w:asciiTheme="minorHAnsi" w:hAnsiTheme="minorHAnsi" w:cs="Calibri"/>
              </w:rPr>
              <w:t xml:space="preserve">(ii) </w:t>
            </w:r>
            <w:r w:rsidRPr="00D04661">
              <w:rPr>
                <w:rFonts w:asciiTheme="minorHAnsi" w:hAnsiTheme="minorHAnsi" w:cs="Calibri"/>
              </w:rPr>
              <w:tab/>
              <w:t>Ensure their participation in planning, implementation, and monitoring and evaluation of resettlement programs.</w:t>
            </w:r>
          </w:p>
          <w:p w14:paraId="7921402B" w14:textId="77777777" w:rsidR="00CF59E1" w:rsidRPr="00D04661" w:rsidRDefault="00CF59E1" w:rsidP="009F3E8E">
            <w:pPr>
              <w:numPr>
                <w:ilvl w:val="0"/>
                <w:numId w:val="27"/>
              </w:numPr>
              <w:tabs>
                <w:tab w:val="left" w:pos="342"/>
              </w:tabs>
              <w:spacing w:after="120"/>
              <w:ind w:left="342" w:hanging="360"/>
              <w:rPr>
                <w:rFonts w:asciiTheme="minorHAnsi" w:hAnsiTheme="minorHAnsi" w:cs="Calibri"/>
              </w:rPr>
            </w:pPr>
            <w:r w:rsidRPr="00D04661">
              <w:rPr>
                <w:rFonts w:asciiTheme="minorHAnsi" w:hAnsiTheme="minorHAnsi" w:cs="Calibri"/>
              </w:rPr>
              <w:t>[The RAP] summarizes the results of consultations with…host communities, and discusses how concerns raised and recommendations made were addressed in the resettlement plan.</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ADB, SPS, Appendix 2, para. 10</w:t>
            </w:r>
            <w:r w:rsidRPr="00D04661">
              <w:rPr>
                <w:rFonts w:asciiTheme="minorHAnsi" w:hAnsiTheme="minorHAnsi" w:cs="Calibri"/>
              </w:rPr>
              <w:t>)</w:t>
            </w:r>
          </w:p>
          <w:p w14:paraId="0BA7B8A5" w14:textId="77777777" w:rsidR="00CF59E1" w:rsidRPr="00D04661" w:rsidRDefault="00CF59E1" w:rsidP="00CF59E1">
            <w:pPr>
              <w:pStyle w:val="Default"/>
              <w:spacing w:after="120"/>
              <w:rPr>
                <w:rFonts w:asciiTheme="minorHAnsi" w:hAnsiTheme="minorHAnsi"/>
                <w:i/>
                <w:sz w:val="22"/>
                <w:szCs w:val="22"/>
              </w:rPr>
            </w:pPr>
            <w:r>
              <w:rPr>
                <w:rFonts w:asciiTheme="minorHAnsi" w:hAnsiTheme="minorHAnsi" w:cs="Calibri"/>
                <w:sz w:val="22"/>
                <w:szCs w:val="22"/>
              </w:rPr>
              <w:t>“</w:t>
            </w:r>
            <w:r w:rsidRPr="00D04661">
              <w:rPr>
                <w:rFonts w:asciiTheme="minorHAnsi" w:hAnsiTheme="minorHAnsi" w:cs="Times New Roman"/>
                <w:sz w:val="22"/>
                <w:szCs w:val="22"/>
              </w:rPr>
              <w:t xml:space="preserve">The borrower or client carries out a detailed analysis of host communities to identify potential problems associated with receiving displaced people, and to address these problems so that adverse impacts on host communities are minimised and the host communities are able to share in the development opportunities provided through the resettlement process. The assessment of host communities is based on transparent information and effective consultation, and it results in a consensual agreement that must be conveyed to the borrower or client by representative community leaders, and recorded in public consultation proceedings. …Any payments due to the hosts for land or other assets provided to the affected population are promptly rendered in line with agreements reached with the </w:t>
            </w:r>
            <w:r w:rsidRPr="00D04661">
              <w:rPr>
                <w:rFonts w:asciiTheme="minorHAnsi" w:hAnsiTheme="minorHAnsi" w:cs="Times New Roman"/>
                <w:i/>
                <w:sz w:val="22"/>
                <w:szCs w:val="22"/>
              </w:rPr>
              <w:t>host communities.</w:t>
            </w:r>
            <w:r>
              <w:rPr>
                <w:rFonts w:asciiTheme="minorHAnsi" w:hAnsiTheme="minorHAnsi" w:cs="Times New Roman"/>
                <w:sz w:val="22"/>
                <w:szCs w:val="22"/>
              </w:rPr>
              <w:t>”</w:t>
            </w:r>
            <w:r w:rsidRPr="00D04661">
              <w:rPr>
                <w:rFonts w:asciiTheme="minorHAnsi" w:hAnsiTheme="minorHAnsi" w:cs="Times New Roman"/>
                <w:sz w:val="22"/>
                <w:szCs w:val="22"/>
              </w:rPr>
              <w:t xml:space="preserve"> </w:t>
            </w:r>
            <w:r w:rsidRPr="00D04661">
              <w:rPr>
                <w:rFonts w:asciiTheme="minorHAnsi" w:hAnsiTheme="minorHAnsi"/>
                <w:sz w:val="22"/>
                <w:szCs w:val="22"/>
              </w:rPr>
              <w:t>(</w:t>
            </w:r>
            <w:r w:rsidRPr="00D04661">
              <w:rPr>
                <w:rFonts w:asciiTheme="minorHAnsi" w:hAnsiTheme="minorHAnsi"/>
                <w:b/>
                <w:sz w:val="22"/>
                <w:szCs w:val="22"/>
              </w:rPr>
              <w:t xml:space="preserve">AfDB, OS 2, para. 51 ) </w:t>
            </w:r>
            <w:r w:rsidRPr="00D04661">
              <w:rPr>
                <w:rFonts w:asciiTheme="minorHAnsi" w:hAnsiTheme="minorHAnsi"/>
                <w:sz w:val="22"/>
                <w:szCs w:val="22"/>
              </w:rPr>
              <w:t>(</w:t>
            </w:r>
            <w:r w:rsidRPr="00D04661">
              <w:rPr>
                <w:rFonts w:asciiTheme="minorHAnsi" w:hAnsiTheme="minorHAnsi"/>
                <w:i/>
                <w:sz w:val="22"/>
                <w:szCs w:val="22"/>
              </w:rPr>
              <w:t>emphasis added)</w:t>
            </w:r>
          </w:p>
          <w:p w14:paraId="3C6351B5" w14:textId="77777777" w:rsidR="00CF59E1" w:rsidRPr="00D04661" w:rsidRDefault="00CF59E1" w:rsidP="00CF59E1">
            <w:pPr>
              <w:spacing w:after="120"/>
              <w:rPr>
                <w:rFonts w:asciiTheme="minorHAnsi" w:hAnsiTheme="minorHAnsi" w:cs="Times New Roman"/>
                <w:color w:val="000000"/>
              </w:rPr>
            </w:pPr>
            <w:r>
              <w:rPr>
                <w:rFonts w:asciiTheme="minorHAnsi" w:hAnsiTheme="minorHAnsi" w:cs="Times New Roman"/>
                <w:color w:val="000000"/>
              </w:rPr>
              <w:t>“</w:t>
            </w:r>
            <w:r w:rsidRPr="00D04661">
              <w:rPr>
                <w:rFonts w:asciiTheme="minorHAnsi" w:hAnsiTheme="minorHAnsi" w:cs="Times New Roman"/>
                <w:color w:val="000000"/>
              </w:rPr>
              <w:t>Conflicts between hosts and the affected population may develop as increased demands are placed on land, water, forests, services, and so on, or if those affected by the project are provided with services and housing superior to those of the hosts. The borrower or client carefully considers such impacts when assessing the feasibility and costs of any proposed project involving displacement, and adequate resources are reflected in the budget for mitigating these additional environmental and social impacts. The dispute-settlement procedures should be sufficiently agile to quickly resolve conflicts between hosts and the affected population.</w:t>
            </w:r>
            <w:r>
              <w:rPr>
                <w:rFonts w:asciiTheme="minorHAnsi" w:hAnsiTheme="minorHAnsi" w:cs="Times New Roman"/>
                <w:color w:val="000000"/>
              </w:rPr>
              <w:t>”</w:t>
            </w:r>
            <w:r w:rsidRPr="00D04661">
              <w:rPr>
                <w:rFonts w:asciiTheme="minorHAnsi" w:hAnsiTheme="minorHAnsi" w:cs="Times New Roman"/>
                <w:color w:val="000000"/>
              </w:rPr>
              <w:t xml:space="preserve"> (</w:t>
            </w:r>
            <w:r w:rsidRPr="00D04661">
              <w:rPr>
                <w:rFonts w:asciiTheme="minorHAnsi" w:hAnsiTheme="minorHAnsi" w:cs="Times New Roman"/>
                <w:b/>
                <w:color w:val="000000"/>
              </w:rPr>
              <w:t xml:space="preserve">AfDB, OS 2, para. 53 </w:t>
            </w:r>
            <w:r w:rsidRPr="00D04661">
              <w:rPr>
                <w:rFonts w:asciiTheme="minorHAnsi" w:hAnsiTheme="minorHAnsi" w:cs="Times New Roman"/>
                <w:color w:val="000000"/>
              </w:rPr>
              <w:t xml:space="preserve">) </w:t>
            </w:r>
          </w:p>
          <w:p w14:paraId="49425655"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 xml:space="preserve">The resettlement plan will include the results of consultations carried out in a timely and socio-culturally appropriate manner with a representative cross-section of the displaced and </w:t>
            </w:r>
            <w:r w:rsidRPr="00D04661">
              <w:rPr>
                <w:rFonts w:asciiTheme="minorHAnsi" w:hAnsiTheme="minorHAnsi" w:cs="Calibri"/>
                <w:i/>
              </w:rPr>
              <w:t>host communities</w:t>
            </w:r>
            <w:r w:rsidRPr="00D04661">
              <w:rPr>
                <w:rFonts w:asciiTheme="minorHAnsi" w:hAnsiTheme="minorHAnsi" w:cs="Calibri"/>
              </w:rPr>
              <w:t>.</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IDB, Policy on Involuntary Resettlement)</w:t>
            </w:r>
            <w:r w:rsidRPr="00D04661">
              <w:rPr>
                <w:rFonts w:asciiTheme="minorHAnsi" w:hAnsiTheme="minorHAnsi" w:cs="Calibri"/>
              </w:rPr>
              <w:t xml:space="preserve"> (</w:t>
            </w:r>
            <w:r w:rsidRPr="00D04661">
              <w:rPr>
                <w:rFonts w:asciiTheme="minorHAnsi" w:hAnsiTheme="minorHAnsi" w:cs="Calibri"/>
                <w:i/>
              </w:rPr>
              <w:t>emphasis added</w:t>
            </w:r>
            <w:r w:rsidRPr="00D04661">
              <w:rPr>
                <w:rFonts w:asciiTheme="minorHAnsi" w:hAnsiTheme="minorHAnsi" w:cs="Calibri"/>
              </w:rPr>
              <w:t>)</w:t>
            </w:r>
          </w:p>
          <w:p w14:paraId="10F6E2F5" w14:textId="77777777" w:rsidR="00CF59E1" w:rsidRPr="00D04661" w:rsidRDefault="00CF59E1" w:rsidP="00CF59E1">
            <w:pPr>
              <w:spacing w:after="120"/>
              <w:rPr>
                <w:rFonts w:asciiTheme="minorHAnsi" w:hAnsiTheme="minorHAnsi" w:cs="Calibri"/>
              </w:rPr>
            </w:pPr>
            <w:r>
              <w:rPr>
                <w:rFonts w:asciiTheme="minorHAnsi" w:hAnsiTheme="minorHAnsi" w:cs="Calibri"/>
                <w:i/>
              </w:rPr>
              <w:t>“</w:t>
            </w:r>
            <w:r w:rsidRPr="00D04661">
              <w:rPr>
                <w:rFonts w:asciiTheme="minorHAnsi" w:hAnsiTheme="minorHAnsi" w:cs="Calibri"/>
                <w:i/>
              </w:rPr>
              <w:t>Resettlement plans must take environmental considerations into account</w:t>
            </w:r>
            <w:r w:rsidRPr="00D04661">
              <w:rPr>
                <w:rFonts w:asciiTheme="minorHAnsi" w:hAnsiTheme="minorHAnsi" w:cs="Calibri"/>
              </w:rPr>
              <w:t xml:space="preserve"> in order to prevent or mitigate any impacts that result from the development of infrastructure, densification of the host area, or pressure on natural resources and ecologically sensitive areas. </w:t>
            </w:r>
            <w:r w:rsidRPr="00D04661">
              <w:rPr>
                <w:rFonts w:asciiTheme="minorHAnsi" w:hAnsiTheme="minorHAnsi" w:cs="Calibri"/>
                <w:i/>
              </w:rPr>
              <w:t>An environmental impact assessment, including carrying capacity and induced socioeconomic impacts on the host community, will be carried out for each proposed relocation site, wherever the magnitude of the resettlement component or the nature of the affected areas so requires, and the environmental management plan will be included in the resettlement plan</w:t>
            </w:r>
            <w:r w:rsidRPr="00D04661">
              <w:rPr>
                <w:rFonts w:asciiTheme="minorHAnsi" w:hAnsiTheme="minorHAnsi" w:cs="Calibri"/>
              </w:rPr>
              <w:t>.</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IDB, Policy on Involuntary Resettlement)</w:t>
            </w:r>
          </w:p>
          <w:p w14:paraId="6A6D8FF1" w14:textId="77777777" w:rsidR="00CF59E1" w:rsidRPr="00D04661" w:rsidRDefault="00CF59E1" w:rsidP="00CF59E1">
            <w:pPr>
              <w:pStyle w:val="PlainText"/>
              <w:tabs>
                <w:tab w:val="left" w:pos="0"/>
              </w:tabs>
              <w:spacing w:after="120"/>
              <w:jc w:val="left"/>
              <w:rPr>
                <w:rFonts w:asciiTheme="minorHAnsi" w:eastAsia="Calibri" w:hAnsiTheme="minorHAnsi" w:cs="Calibri"/>
                <w:sz w:val="22"/>
                <w:szCs w:val="22"/>
                <w:lang w:val="en-US"/>
              </w:rPr>
            </w:pPr>
            <w:r>
              <w:rPr>
                <w:rFonts w:asciiTheme="minorHAnsi" w:eastAsia="Calibri" w:hAnsiTheme="minorHAnsi" w:cs="Calibri"/>
                <w:sz w:val="22"/>
                <w:szCs w:val="22"/>
                <w:lang w:val="en-US"/>
              </w:rPr>
              <w:t>“</w:t>
            </w:r>
            <w:r w:rsidRPr="00D04661">
              <w:rPr>
                <w:rFonts w:asciiTheme="minorHAnsi" w:eastAsia="Calibri" w:hAnsiTheme="minorHAnsi" w:cs="Calibri"/>
                <w:sz w:val="22"/>
                <w:szCs w:val="22"/>
                <w:lang w:val="en-US"/>
              </w:rPr>
              <w:t>Displaying due regard for the equal protection of women and vulnerable groups or minority rights, the RAP delineates measures to… c) establish the entitlements of all categories of affected people, including the host communities…</w:t>
            </w:r>
            <w:r>
              <w:rPr>
                <w:rFonts w:asciiTheme="minorHAnsi" w:eastAsia="Calibri" w:hAnsiTheme="minorHAnsi" w:cs="Calibri"/>
                <w:sz w:val="22"/>
                <w:szCs w:val="22"/>
                <w:lang w:val="en-US"/>
              </w:rPr>
              <w:t>”</w:t>
            </w:r>
            <w:r w:rsidRPr="00D04661">
              <w:rPr>
                <w:rFonts w:asciiTheme="minorHAnsi" w:eastAsia="Calibri" w:hAnsiTheme="minorHAnsi" w:cs="Calibri"/>
                <w:sz w:val="22"/>
                <w:szCs w:val="22"/>
                <w:lang w:val="en-US"/>
              </w:rPr>
              <w:t xml:space="preserve"> (</w:t>
            </w:r>
            <w:r w:rsidRPr="00D04661">
              <w:rPr>
                <w:rFonts w:asciiTheme="minorHAnsi" w:eastAsia="Calibri" w:hAnsiTheme="minorHAnsi" w:cs="Calibri"/>
                <w:b/>
                <w:sz w:val="22"/>
                <w:szCs w:val="22"/>
                <w:lang w:val="en-US"/>
              </w:rPr>
              <w:t>EIB, ESH ESS 6, para. 67)</w:t>
            </w:r>
          </w:p>
          <w:p w14:paraId="08380093"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 xml:space="preserve">When possible, resettlement should also </w:t>
            </w:r>
            <w:r w:rsidRPr="00D04661">
              <w:rPr>
                <w:rFonts w:asciiTheme="minorHAnsi" w:hAnsiTheme="minorHAnsi" w:cs="Calibri"/>
                <w:i/>
              </w:rPr>
              <w:t xml:space="preserve">provide opportunities to affected and host communities to improve social and public infrastructure </w:t>
            </w:r>
            <w:r w:rsidRPr="00D04661">
              <w:rPr>
                <w:rFonts w:asciiTheme="minorHAnsi" w:hAnsiTheme="minorHAnsi" w:cs="Calibri"/>
              </w:rPr>
              <w:t>with the aim of contributing to the sustainable socio-economic development of their members.</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 xml:space="preserve">EIB ESH ESS 6, para. 49 </w:t>
            </w:r>
            <w:r w:rsidRPr="00D04661">
              <w:rPr>
                <w:rFonts w:asciiTheme="minorHAnsi" w:hAnsiTheme="minorHAnsi" w:cs="Calibri"/>
              </w:rPr>
              <w:t>)(</w:t>
            </w:r>
            <w:r w:rsidRPr="00D04661">
              <w:rPr>
                <w:rFonts w:asciiTheme="minorHAnsi" w:hAnsiTheme="minorHAnsi" w:cs="Calibri"/>
                <w:i/>
              </w:rPr>
              <w:t>emphasis added</w:t>
            </w:r>
            <w:r w:rsidRPr="00D04661">
              <w:rPr>
                <w:rFonts w:asciiTheme="minorHAnsi" w:hAnsiTheme="minorHAnsi" w:cs="Calibri"/>
              </w:rPr>
              <w:t>)</w:t>
            </w:r>
          </w:p>
          <w:p w14:paraId="677AA9B8" w14:textId="77777777" w:rsidR="00CF59E1" w:rsidRPr="00D04661" w:rsidRDefault="00CF59E1" w:rsidP="00CF59E1">
            <w:pPr>
              <w:spacing w:after="120"/>
              <w:rPr>
                <w:rFonts w:asciiTheme="minorHAnsi" w:hAnsiTheme="minorHAnsi" w:cs="Calibri"/>
              </w:rPr>
            </w:pPr>
            <w:r>
              <w:rPr>
                <w:rFonts w:asciiTheme="minorHAnsi" w:hAnsiTheme="minorHAnsi" w:cs="Calibri"/>
                <w:i/>
              </w:rPr>
              <w:t>“</w:t>
            </w:r>
            <w:r w:rsidRPr="00D04661">
              <w:rPr>
                <w:rFonts w:asciiTheme="minorHAnsi" w:hAnsiTheme="minorHAnsi" w:cs="Calibri"/>
              </w:rPr>
              <w:t>It is crucial that the promoter identifies and consults with all persons and communities involved in the resettlement process</w:t>
            </w:r>
            <w:r w:rsidRPr="00D04661">
              <w:rPr>
                <w:rFonts w:asciiTheme="minorHAnsi" w:hAnsiTheme="minorHAnsi" w:cs="Calibri"/>
                <w:i/>
              </w:rPr>
              <w:t>, including the host communities</w:t>
            </w:r>
            <w:r w:rsidRPr="00D04661">
              <w:rPr>
                <w:rFonts w:asciiTheme="minorHAnsi" w:hAnsiTheme="minorHAnsi" w:cs="Calibri"/>
              </w:rPr>
              <w:t xml:space="preserve"> who will receive those who are resettled. All relevant stakeholders must be given the opportunity for informed participation in resettlement planning with the goal that the mitigation of the adverse project impacts is appropriate and the potential benefits of resettlement are sustainable.</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 xml:space="preserve">EIB, ESH ESS 6, para. 50 </w:t>
            </w:r>
            <w:r w:rsidRPr="00D04661">
              <w:rPr>
                <w:rFonts w:asciiTheme="minorHAnsi" w:hAnsiTheme="minorHAnsi" w:cs="Calibri"/>
              </w:rPr>
              <w:t>) (</w:t>
            </w:r>
            <w:r w:rsidRPr="00D04661">
              <w:rPr>
                <w:rFonts w:asciiTheme="minorHAnsi" w:hAnsiTheme="minorHAnsi" w:cs="Calibri"/>
                <w:i/>
              </w:rPr>
              <w:t>emphasis added)</w:t>
            </w:r>
          </w:p>
        </w:tc>
      </w:tr>
      <w:tr w:rsidR="00CF59E1" w:rsidRPr="00D8522E" w14:paraId="4D1A93DF" w14:textId="77777777" w:rsidTr="00CF59E1">
        <w:tc>
          <w:tcPr>
            <w:tcW w:w="6390" w:type="dxa"/>
            <w:vMerge w:val="restart"/>
            <w:shd w:val="clear" w:color="auto" w:fill="auto"/>
            <w:vAlign w:val="center"/>
          </w:tcPr>
          <w:p w14:paraId="5F0BAB92" w14:textId="77777777" w:rsidR="00CF59E1" w:rsidRPr="00D04661" w:rsidRDefault="00CF59E1" w:rsidP="00CF59E1">
            <w:pPr>
              <w:autoSpaceDE/>
              <w:autoSpaceDN/>
              <w:adjustRightInd/>
              <w:spacing w:after="120"/>
              <w:rPr>
                <w:rFonts w:asciiTheme="minorHAnsi" w:hAnsiTheme="minorHAnsi" w:cs="Calibri"/>
                <w:b/>
              </w:rPr>
            </w:pPr>
            <w:r w:rsidRPr="00D04661">
              <w:rPr>
                <w:rFonts w:asciiTheme="minorHAnsi" w:hAnsiTheme="minorHAnsi" w:cs="Calibri"/>
                <w:b/>
              </w:rPr>
              <w:t>STAKEHOLDER CONSULTATION FOR IR</w:t>
            </w:r>
          </w:p>
          <w:p w14:paraId="5DC1EB8F" w14:textId="77777777" w:rsidR="00CF59E1" w:rsidRPr="00D04661" w:rsidRDefault="00CF59E1" w:rsidP="00CF59E1">
            <w:pPr>
              <w:autoSpaceDE/>
              <w:autoSpaceDN/>
              <w:adjustRightInd/>
              <w:spacing w:after="120"/>
              <w:rPr>
                <w:rFonts w:asciiTheme="minorHAnsi" w:eastAsia="Times New Roman" w:hAnsiTheme="minorHAnsi" w:cs="Arial"/>
              </w:rPr>
            </w:pPr>
            <w:r w:rsidRPr="00D04661">
              <w:rPr>
                <w:rFonts w:asciiTheme="minorHAnsi" w:eastAsia="Times New Roman" w:hAnsiTheme="minorHAnsi" w:cs="Arial"/>
              </w:rPr>
              <w:t xml:space="preserve">OP 4.12, </w:t>
            </w:r>
            <w:r>
              <w:rPr>
                <w:rFonts w:asciiTheme="minorHAnsi" w:eastAsia="Times New Roman" w:hAnsiTheme="minorHAnsi" w:cs="Arial"/>
              </w:rPr>
              <w:t xml:space="preserve">para. </w:t>
            </w:r>
            <w:r w:rsidRPr="00D04661">
              <w:rPr>
                <w:rFonts w:asciiTheme="minorHAnsi" w:eastAsia="Times New Roman" w:hAnsiTheme="minorHAnsi" w:cs="Arial"/>
              </w:rPr>
              <w:t xml:space="preserve">2.b: </w:t>
            </w:r>
            <w:r>
              <w:rPr>
                <w:rFonts w:asciiTheme="minorHAnsi" w:eastAsia="Times New Roman" w:hAnsiTheme="minorHAnsi" w:cs="Arial"/>
              </w:rPr>
              <w:t>“</w:t>
            </w:r>
            <w:r w:rsidRPr="00D04661">
              <w:rPr>
                <w:rFonts w:asciiTheme="minorHAnsi" w:eastAsia="Times New Roman" w:hAnsiTheme="minorHAnsi" w:cs="Arial"/>
              </w:rPr>
              <w:t>Displaced persons should be meaningfully consulted and should have opportunities to participate in planning and implementing resettlement programs.</w:t>
            </w:r>
            <w:r>
              <w:rPr>
                <w:rFonts w:asciiTheme="minorHAnsi" w:eastAsia="Times New Roman" w:hAnsiTheme="minorHAnsi" w:cs="Arial"/>
              </w:rPr>
              <w:t>”</w:t>
            </w:r>
          </w:p>
          <w:p w14:paraId="7376BFE3" w14:textId="77777777" w:rsidR="00CF59E1" w:rsidRPr="00D04661" w:rsidRDefault="00CF59E1" w:rsidP="00CF59E1">
            <w:pPr>
              <w:autoSpaceDE/>
              <w:autoSpaceDN/>
              <w:adjustRightInd/>
              <w:spacing w:after="120"/>
              <w:rPr>
                <w:rFonts w:asciiTheme="minorHAnsi" w:eastAsia="Times New Roman" w:hAnsiTheme="minorHAnsi" w:cs="Arial"/>
              </w:rPr>
            </w:pPr>
            <w:r>
              <w:rPr>
                <w:rFonts w:asciiTheme="minorHAnsi" w:eastAsia="Times New Roman" w:hAnsiTheme="minorHAnsi" w:cs="Arial"/>
              </w:rPr>
              <w:t xml:space="preserve">Para. </w:t>
            </w:r>
            <w:r w:rsidRPr="00D04661">
              <w:rPr>
                <w:rFonts w:asciiTheme="minorHAnsi" w:eastAsia="Times New Roman" w:hAnsiTheme="minorHAnsi" w:cs="Arial"/>
              </w:rPr>
              <w:t xml:space="preserve">13.a: </w:t>
            </w:r>
            <w:r>
              <w:rPr>
                <w:rFonts w:asciiTheme="minorHAnsi" w:eastAsia="Times New Roman" w:hAnsiTheme="minorHAnsi" w:cs="Arial"/>
              </w:rPr>
              <w:t>“</w:t>
            </w:r>
            <w:r w:rsidRPr="00D04661">
              <w:rPr>
                <w:rFonts w:asciiTheme="minorHAnsi" w:eastAsia="Times New Roman" w:hAnsiTheme="minorHAnsi" w:cs="Arial"/>
              </w:rPr>
              <w:t>Displaced persons and their communities, and any host communities receiving them, are provided timely and relevant information, consulted on resettlement options, and offered opportunities to participate in planning, implementing, and monitoring resettlement.</w:t>
            </w:r>
            <w:r>
              <w:rPr>
                <w:rFonts w:asciiTheme="minorHAnsi" w:eastAsia="Times New Roman" w:hAnsiTheme="minorHAnsi" w:cs="Arial"/>
              </w:rPr>
              <w:t>”</w:t>
            </w:r>
          </w:p>
          <w:p w14:paraId="2DAC59BB" w14:textId="77777777" w:rsidR="00CF59E1" w:rsidRPr="00D04661" w:rsidRDefault="00CF59E1" w:rsidP="00CF59E1">
            <w:pPr>
              <w:autoSpaceDE/>
              <w:autoSpaceDN/>
              <w:adjustRightInd/>
              <w:spacing w:after="120"/>
              <w:rPr>
                <w:rFonts w:asciiTheme="minorHAnsi" w:eastAsia="Times New Roman" w:hAnsiTheme="minorHAnsi" w:cs="Arial"/>
              </w:rPr>
            </w:pPr>
            <w:r>
              <w:rPr>
                <w:rFonts w:asciiTheme="minorHAnsi" w:eastAsia="Times New Roman" w:hAnsiTheme="minorHAnsi" w:cs="Arial"/>
              </w:rPr>
              <w:t xml:space="preserve">Para. </w:t>
            </w:r>
            <w:r w:rsidRPr="00D04661">
              <w:rPr>
                <w:rFonts w:asciiTheme="minorHAnsi" w:eastAsia="Times New Roman" w:hAnsiTheme="minorHAnsi" w:cs="Arial"/>
              </w:rPr>
              <w:t xml:space="preserve">14: </w:t>
            </w:r>
            <w:r>
              <w:rPr>
                <w:rFonts w:asciiTheme="minorHAnsi" w:eastAsia="Times New Roman" w:hAnsiTheme="minorHAnsi" w:cs="Arial"/>
              </w:rPr>
              <w:t>“</w:t>
            </w:r>
            <w:r w:rsidRPr="00D04661">
              <w:rPr>
                <w:rFonts w:asciiTheme="minorHAnsi" w:eastAsia="Times New Roman" w:hAnsiTheme="minorHAnsi" w:cs="Arial"/>
              </w:rPr>
              <w:t>The borrower also develops a procedure, satisfactory to the Bank, for establishing the criteria by which displaced persons will be deemed eligible for compensation and other resettlement assistance. The procedure includes provisions for meaningful consultations with affected persons and communities, local authorities, and, as appropriate, nongovernmental organizations (NGOs), and it specifies grievance mechanisms.</w:t>
            </w:r>
            <w:r>
              <w:rPr>
                <w:rFonts w:asciiTheme="minorHAnsi" w:eastAsia="Times New Roman" w:hAnsiTheme="minorHAnsi" w:cs="Arial"/>
              </w:rPr>
              <w:t>”</w:t>
            </w:r>
          </w:p>
          <w:p w14:paraId="47FB34EC" w14:textId="77777777" w:rsidR="00CF59E1" w:rsidRPr="00D04661" w:rsidRDefault="00CF59E1" w:rsidP="00CF59E1">
            <w:pPr>
              <w:autoSpaceDE/>
              <w:autoSpaceDN/>
              <w:adjustRightInd/>
              <w:spacing w:after="120"/>
              <w:rPr>
                <w:rFonts w:asciiTheme="minorHAnsi" w:hAnsiTheme="minorHAnsi" w:cs="Arial"/>
              </w:rPr>
            </w:pPr>
            <w:r>
              <w:rPr>
                <w:rFonts w:asciiTheme="minorHAnsi" w:hAnsiTheme="minorHAnsi" w:cs="Arial"/>
              </w:rPr>
              <w:t xml:space="preserve">Para. </w:t>
            </w:r>
            <w:r w:rsidRPr="00D04661">
              <w:rPr>
                <w:rFonts w:asciiTheme="minorHAnsi" w:hAnsiTheme="minorHAnsi" w:cs="Arial"/>
              </w:rPr>
              <w:t xml:space="preserve">8: </w:t>
            </w:r>
            <w:r>
              <w:rPr>
                <w:rFonts w:asciiTheme="minorHAnsi" w:hAnsiTheme="minorHAnsi" w:cs="Arial"/>
              </w:rPr>
              <w:t>“</w:t>
            </w:r>
            <w:r w:rsidRPr="00D04661">
              <w:rPr>
                <w:rFonts w:asciiTheme="minorHAnsi" w:hAnsiTheme="minorHAnsi" w:cs="Arial"/>
              </w:rPr>
              <w:t>To achieve the objectives of this policy, particular attention is paid to the needs of vulnerable groups among those displaced, especially those below the poverty line, the landless, the elderly, women and children, indigenous peoples, ethnic minorities, or other displaced persons who may not be protected through national land compensation legislation.</w:t>
            </w:r>
            <w:r>
              <w:rPr>
                <w:rFonts w:asciiTheme="minorHAnsi" w:hAnsiTheme="minorHAnsi" w:cs="Arial"/>
              </w:rPr>
              <w:t>”</w:t>
            </w:r>
          </w:p>
          <w:p w14:paraId="0B2A2159" w14:textId="77777777" w:rsidR="00CF59E1" w:rsidRPr="00D04661" w:rsidRDefault="00CF59E1" w:rsidP="00CF59E1">
            <w:pPr>
              <w:autoSpaceDE/>
              <w:autoSpaceDN/>
              <w:adjustRightInd/>
              <w:spacing w:after="120"/>
              <w:rPr>
                <w:rFonts w:asciiTheme="minorHAnsi" w:hAnsiTheme="minorHAnsi" w:cs="Calibri"/>
              </w:rPr>
            </w:pPr>
            <w:r w:rsidRPr="00D04661">
              <w:rPr>
                <w:rFonts w:asciiTheme="minorHAnsi" w:hAnsiTheme="minorHAnsi" w:cs="Arial"/>
              </w:rPr>
              <w:t xml:space="preserve">Para. 9…. </w:t>
            </w:r>
            <w:r>
              <w:rPr>
                <w:rFonts w:asciiTheme="minorHAnsi" w:hAnsiTheme="minorHAnsi" w:cs="Arial"/>
              </w:rPr>
              <w:t>“</w:t>
            </w:r>
            <w:r w:rsidRPr="00D04661">
              <w:rPr>
                <w:rFonts w:asciiTheme="minorHAnsi" w:hAnsiTheme="minorHAnsi" w:cs="Arial"/>
              </w:rPr>
              <w:t>When it is not feasible to avoid such displacement, preference is given to land-based resettlement strategies for these groups (see para. 11) that are compatible with their cultural preferences and are prepared in consultation with them (see Annex A, para. 11).</w:t>
            </w:r>
            <w:r>
              <w:rPr>
                <w:rFonts w:asciiTheme="minorHAnsi" w:hAnsiTheme="minorHAnsi" w:cs="Arial"/>
              </w:rPr>
              <w:t>”</w:t>
            </w:r>
          </w:p>
        </w:tc>
        <w:tc>
          <w:tcPr>
            <w:tcW w:w="7200" w:type="dxa"/>
            <w:tcBorders>
              <w:bottom w:val="nil"/>
            </w:tcBorders>
            <w:shd w:val="clear" w:color="auto" w:fill="auto"/>
          </w:tcPr>
          <w:p w14:paraId="6A4DFE1D" w14:textId="77777777" w:rsidR="00CF59E1" w:rsidRPr="00D04661" w:rsidRDefault="00CF59E1" w:rsidP="00CF59E1">
            <w:pPr>
              <w:spacing w:after="120"/>
              <w:rPr>
                <w:rFonts w:asciiTheme="minorHAnsi" w:eastAsia="Times New Roman" w:hAnsiTheme="minorHAnsi" w:cs="Calibri"/>
              </w:rPr>
            </w:pPr>
            <w:r>
              <w:rPr>
                <w:rFonts w:asciiTheme="minorHAnsi" w:hAnsiTheme="minorHAnsi" w:cs="Arial"/>
              </w:rPr>
              <w:t>“</w:t>
            </w:r>
            <w:r w:rsidRPr="00D04661">
              <w:rPr>
                <w:rFonts w:asciiTheme="minorHAnsi" w:hAnsiTheme="minorHAnsi" w:cs="Arial"/>
              </w:rPr>
              <w:t>Meaningful consultation is a process that (i) begins early in the project preparation stage and is carried out on an ongoing basis throughout the project cycle; (ii) provides timely disclosure of relevant and adequate information that is understandable and readily accessible to affected people; (iii) is undertaken in an atmosphere free of intimidation or coercion; (iv) is gender inclusive and responsive, and tailored to the needs of disadvantaged and vulnerable groups; and (v) enables the incorporation of all relevant views of affected people and other stakeholders into decision making, such as project design, mitigation measures, the sharing of development benefits and opportunities, and implementation issues.</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 SPS Appendix 3, para. 10</w:t>
            </w:r>
            <w:r w:rsidRPr="00D04661">
              <w:rPr>
                <w:rFonts w:asciiTheme="minorHAnsi" w:eastAsia="Times New Roman" w:hAnsiTheme="minorHAnsi" w:cs="Calibri"/>
              </w:rPr>
              <w:t>)</w:t>
            </w:r>
          </w:p>
        </w:tc>
      </w:tr>
      <w:tr w:rsidR="00CF59E1" w:rsidRPr="00D8522E" w14:paraId="2B1DD0B2" w14:textId="77777777" w:rsidTr="00CF59E1">
        <w:tc>
          <w:tcPr>
            <w:tcW w:w="6390" w:type="dxa"/>
            <w:vMerge/>
            <w:shd w:val="clear" w:color="auto" w:fill="auto"/>
            <w:vAlign w:val="center"/>
          </w:tcPr>
          <w:p w14:paraId="0FA7BD16" w14:textId="77777777" w:rsidR="00CF59E1" w:rsidRPr="00D04661" w:rsidRDefault="00CF59E1" w:rsidP="00CF59E1">
            <w:pPr>
              <w:autoSpaceDE/>
              <w:autoSpaceDN/>
              <w:adjustRightInd/>
              <w:spacing w:after="120"/>
              <w:rPr>
                <w:rFonts w:asciiTheme="minorHAnsi" w:hAnsiTheme="minorHAnsi" w:cs="Calibri"/>
              </w:rPr>
            </w:pPr>
          </w:p>
        </w:tc>
        <w:tc>
          <w:tcPr>
            <w:tcW w:w="7200" w:type="dxa"/>
            <w:tcBorders>
              <w:top w:val="nil"/>
            </w:tcBorders>
            <w:shd w:val="clear" w:color="auto" w:fill="auto"/>
          </w:tcPr>
          <w:p w14:paraId="310DBE20"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Consultations will take place during the design phase and will continue throughout the execution and monitoring of the plan, directly or through representative institutions and community organizations. Care will be taken to identify the most vulnerable subgroups and to ensure that their interests are adequately represented in this process.</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IDB, Policy on Involuntary Resettlement</w:t>
            </w:r>
            <w:r w:rsidRPr="00D04661">
              <w:rPr>
                <w:rFonts w:asciiTheme="minorHAnsi" w:eastAsia="Times New Roman" w:hAnsiTheme="minorHAnsi" w:cs="Calibri"/>
              </w:rPr>
              <w:t>)</w:t>
            </w:r>
          </w:p>
          <w:p w14:paraId="77438FE3"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The Bank will only support operations that involve the displacement of indigenous communities or other low-income ethnic minority communities in rural areas, if the Bank can ascertain that:</w:t>
            </w:r>
            <w:r w:rsidRPr="00D04661">
              <w:rPr>
                <w:rFonts w:asciiTheme="minorHAnsi" w:hAnsiTheme="minorHAnsi"/>
              </w:rPr>
              <w:t xml:space="preserve"> </w:t>
            </w:r>
            <w:r w:rsidRPr="00D04661">
              <w:rPr>
                <w:rFonts w:asciiTheme="minorHAnsi" w:eastAsia="Times New Roman" w:hAnsiTheme="minorHAnsi" w:cs="Calibri"/>
              </w:rPr>
              <w:t xml:space="preserve">the resettlement component will result in direct benefits to the affected community relative to their prior situation; customary rights will be fully recognized and fairly compensated; compensation options will include land-based resettlement; and </w:t>
            </w:r>
            <w:r w:rsidRPr="00D04661">
              <w:rPr>
                <w:rFonts w:asciiTheme="minorHAnsi" w:eastAsia="Times New Roman" w:hAnsiTheme="minorHAnsi" w:cs="Calibri"/>
                <w:i/>
              </w:rPr>
              <w:t>the people affected have given their informed consent to the resettlement and compensation measures.</w:t>
            </w:r>
            <w:r>
              <w:rPr>
                <w:rFonts w:asciiTheme="minorHAnsi" w:eastAsia="Times New Roman" w:hAnsiTheme="minorHAnsi" w:cs="Calibri"/>
                <w: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IDB, Policy on Involuntary Resettlement</w:t>
            </w:r>
            <w:r w:rsidRPr="00D04661">
              <w:rPr>
                <w:rFonts w:asciiTheme="minorHAnsi" w:eastAsia="Times New Roman" w:hAnsiTheme="minorHAnsi" w:cs="Calibri"/>
              </w:rPr>
              <w:t>) (</w:t>
            </w:r>
            <w:r w:rsidRPr="00D04661">
              <w:rPr>
                <w:rFonts w:asciiTheme="minorHAnsi" w:eastAsia="Times New Roman" w:hAnsiTheme="minorHAnsi" w:cs="Calibri"/>
                <w:i/>
              </w:rPr>
              <w:t>emphasis added</w:t>
            </w:r>
            <w:r w:rsidRPr="00D04661">
              <w:rPr>
                <w:rFonts w:asciiTheme="minorHAnsi" w:eastAsia="Times New Roman" w:hAnsiTheme="minorHAnsi" w:cs="Calibri"/>
              </w:rPr>
              <w:t>)</w:t>
            </w:r>
          </w:p>
          <w:p w14:paraId="75F3F57E" w14:textId="77777777" w:rsidR="00CF59E1" w:rsidRPr="00D04661" w:rsidRDefault="00CF59E1" w:rsidP="00CF59E1">
            <w:pPr>
              <w:pStyle w:val="PlainText"/>
              <w:spacing w:after="120"/>
              <w:jc w:val="left"/>
              <w:rPr>
                <w:rFonts w:asciiTheme="minorHAnsi" w:hAnsiTheme="minorHAnsi" w:cs="Calibri"/>
                <w:sz w:val="22"/>
                <w:szCs w:val="22"/>
                <w:lang w:val="en-US"/>
              </w:rPr>
            </w:pPr>
            <w:r>
              <w:rPr>
                <w:rFonts w:asciiTheme="minorHAnsi" w:hAnsiTheme="minorHAnsi" w:cs="Calibri"/>
                <w:sz w:val="22"/>
                <w:szCs w:val="22"/>
                <w:lang w:val="en-US"/>
              </w:rPr>
              <w:t>“</w:t>
            </w:r>
            <w:r w:rsidRPr="00D04661">
              <w:rPr>
                <w:rFonts w:asciiTheme="minorHAnsi" w:hAnsiTheme="minorHAnsi" w:cs="Calibri"/>
                <w:sz w:val="22"/>
                <w:szCs w:val="22"/>
                <w:lang w:val="en-US"/>
              </w:rPr>
              <w:t>Opportunities for dialogue and consultation must be extended effectively to the full spectrum of affected persons, paying particular attention to the full participation in the consultation process of women, vulnerable and marginalised groups, in accordance with Standard 7 [Rights and Interests of Vulnerable Groups, incl. indigenous people], and, where necessary, adopting additional/complementary special measures or procedures. Limiting such consultation to heads of communities and/or households alone risks missing key gender dynamics in households and, as a result, further deteriorating the standing of women. It is therefore important to hold also separate consultations with women only, possibly broken down by different age groups. Wide consultation within each household unit is critical in cases of extended families, if conflicts are to be effectively mitigated.</w:t>
            </w:r>
            <w:r>
              <w:rPr>
                <w:rFonts w:asciiTheme="minorHAnsi" w:hAnsiTheme="minorHAnsi" w:cs="Calibri"/>
                <w:sz w:val="22"/>
                <w:szCs w:val="22"/>
                <w:lang w:val="en-US"/>
              </w:rPr>
              <w:t>”</w:t>
            </w:r>
            <w:r w:rsidRPr="00D04661">
              <w:rPr>
                <w:rFonts w:asciiTheme="minorHAnsi" w:hAnsiTheme="minorHAnsi" w:cs="Calibri"/>
                <w:sz w:val="22"/>
                <w:szCs w:val="22"/>
                <w:lang w:val="en-US"/>
              </w:rPr>
              <w:t xml:space="preserve"> (</w:t>
            </w:r>
            <w:r w:rsidRPr="00D04661">
              <w:rPr>
                <w:rFonts w:asciiTheme="minorHAnsi" w:hAnsiTheme="minorHAnsi" w:cs="Calibri"/>
                <w:b/>
                <w:sz w:val="22"/>
                <w:szCs w:val="22"/>
                <w:lang w:val="en-US"/>
              </w:rPr>
              <w:t>EIB, ESH, ESS 6, para. 51</w:t>
            </w:r>
            <w:r w:rsidRPr="00D04661">
              <w:rPr>
                <w:rFonts w:asciiTheme="minorHAnsi" w:hAnsiTheme="minorHAnsi" w:cs="Calibri"/>
                <w:sz w:val="22"/>
                <w:szCs w:val="22"/>
                <w:lang w:val="en-US"/>
              </w:rPr>
              <w:t>)</w:t>
            </w:r>
          </w:p>
        </w:tc>
      </w:tr>
      <w:tr w:rsidR="00CF59E1" w:rsidRPr="00D8522E" w14:paraId="324C48C2" w14:textId="77777777" w:rsidTr="00CF59E1">
        <w:tc>
          <w:tcPr>
            <w:tcW w:w="6390" w:type="dxa"/>
            <w:vMerge w:val="restart"/>
            <w:shd w:val="clear" w:color="auto" w:fill="auto"/>
            <w:vAlign w:val="center"/>
          </w:tcPr>
          <w:p w14:paraId="31DC0220" w14:textId="77777777" w:rsidR="00CF59E1" w:rsidRPr="00D04661" w:rsidRDefault="00CF59E1" w:rsidP="00CF59E1">
            <w:pPr>
              <w:autoSpaceDE/>
              <w:autoSpaceDN/>
              <w:adjustRightInd/>
              <w:spacing w:after="120"/>
              <w:rPr>
                <w:rFonts w:asciiTheme="minorHAnsi" w:hAnsiTheme="minorHAnsi" w:cs="Calibri"/>
                <w:b/>
              </w:rPr>
            </w:pPr>
            <w:r w:rsidRPr="00D04661">
              <w:rPr>
                <w:rFonts w:asciiTheme="minorHAnsi" w:hAnsiTheme="minorHAnsi" w:cs="Calibri"/>
                <w:b/>
              </w:rPr>
              <w:t>INFORMATION DISCLOSURE IN IR</w:t>
            </w:r>
          </w:p>
          <w:p w14:paraId="604A47B6" w14:textId="77777777" w:rsidR="00CF59E1" w:rsidRPr="00D04661" w:rsidRDefault="00CF59E1" w:rsidP="00CF59E1">
            <w:pPr>
              <w:autoSpaceDE/>
              <w:autoSpaceDN/>
              <w:adjustRightInd/>
              <w:spacing w:after="120"/>
              <w:rPr>
                <w:rFonts w:asciiTheme="minorHAnsi" w:eastAsia="Times New Roman" w:hAnsiTheme="minorHAnsi" w:cs="Arial"/>
              </w:rPr>
            </w:pPr>
            <w:r w:rsidRPr="00D04661">
              <w:rPr>
                <w:rFonts w:asciiTheme="minorHAnsi" w:eastAsia="Times New Roman" w:hAnsiTheme="minorHAnsi" w:cs="Calibri"/>
              </w:rPr>
              <w:t>OP 4.12., para.</w:t>
            </w:r>
            <w:r w:rsidRPr="00D04661">
              <w:rPr>
                <w:rFonts w:asciiTheme="minorHAnsi" w:eastAsia="Times New Roman" w:hAnsiTheme="minorHAnsi" w:cs="Arial"/>
              </w:rPr>
              <w:t xml:space="preserve">22: </w:t>
            </w:r>
            <w:r>
              <w:rPr>
                <w:rFonts w:asciiTheme="minorHAnsi" w:eastAsia="Times New Roman" w:hAnsiTheme="minorHAnsi" w:cs="Arial"/>
              </w:rPr>
              <w:t>“</w:t>
            </w:r>
            <w:r w:rsidRPr="00D04661">
              <w:rPr>
                <w:rFonts w:asciiTheme="minorHAnsi" w:eastAsia="Times New Roman" w:hAnsiTheme="minorHAnsi" w:cs="Arial"/>
              </w:rPr>
              <w:t>As a condition of appraisal of projects involving resettlement, the borrower provides the Bank with the relevant draft resettlement instrument which conforms to this policy, and makes it available at a place accessible to displaced persons and local NGOs, in a form, manner, and language that are understandable to them. Once the Bank accepts this instrument as providing an adequate basis for project appraisal, the Bank makes it available to the public through its InfoShop. After the Bank has approved the final resettlement instrument, the Bank and the borrower disclose it again in the same manner.</w:t>
            </w:r>
            <w:r>
              <w:rPr>
                <w:rFonts w:asciiTheme="minorHAnsi" w:eastAsia="Times New Roman" w:hAnsiTheme="minorHAnsi" w:cs="Arial"/>
              </w:rPr>
              <w:t>”</w:t>
            </w:r>
          </w:p>
        </w:tc>
        <w:tc>
          <w:tcPr>
            <w:tcW w:w="7200" w:type="dxa"/>
            <w:shd w:val="clear" w:color="auto" w:fill="auto"/>
          </w:tcPr>
          <w:p w14:paraId="1CADF2E7" w14:textId="77777777" w:rsidR="00CF59E1" w:rsidRPr="00D04661" w:rsidRDefault="00CF59E1" w:rsidP="00CF59E1">
            <w:pPr>
              <w:spacing w:after="120"/>
              <w:rPr>
                <w:rFonts w:asciiTheme="minorHAnsi" w:hAnsiTheme="minorHAnsi" w:cs="Times New Roman"/>
                <w:color w:val="000000"/>
              </w:rPr>
            </w:pPr>
            <w:r>
              <w:rPr>
                <w:rFonts w:asciiTheme="minorHAnsi" w:hAnsiTheme="minorHAnsi" w:cs="Times New Roman"/>
                <w:color w:val="000000"/>
              </w:rPr>
              <w:t>“</w:t>
            </w:r>
            <w:r w:rsidRPr="00D04661">
              <w:rPr>
                <w:rFonts w:asciiTheme="minorHAnsi" w:hAnsiTheme="minorHAnsi" w:cs="Times New Roman"/>
                <w:color w:val="000000"/>
              </w:rPr>
              <w:t xml:space="preserve">Open, inclusive and effective consultation with local communities includes the following elements: </w:t>
            </w:r>
          </w:p>
          <w:p w14:paraId="584C3CF7" w14:textId="77777777" w:rsidR="00CF59E1" w:rsidRPr="00755E0C" w:rsidRDefault="00CF59E1" w:rsidP="009F3E8E">
            <w:pPr>
              <w:pStyle w:val="ListParagraph"/>
              <w:numPr>
                <w:ilvl w:val="0"/>
                <w:numId w:val="40"/>
              </w:numPr>
              <w:spacing w:after="120"/>
              <w:ind w:left="360"/>
              <w:rPr>
                <w:rFonts w:asciiTheme="minorHAnsi" w:hAnsiTheme="minorHAnsi" w:cs="Times New Roman"/>
                <w:color w:val="000000"/>
              </w:rPr>
            </w:pPr>
            <w:r w:rsidRPr="00755E0C">
              <w:rPr>
                <w:rFonts w:asciiTheme="minorHAnsi" w:hAnsiTheme="minorHAnsi" w:cs="Times New Roman"/>
                <w:color w:val="000000"/>
              </w:rPr>
              <w:t xml:space="preserve">Appropriate notice to all potentially affected persons that resettlement is being considered and that there will be public hearings on the proposed plans and alternatives; </w:t>
            </w:r>
          </w:p>
          <w:p w14:paraId="7FCBC0A5" w14:textId="77777777" w:rsidR="00CF59E1" w:rsidRPr="00755E0C" w:rsidRDefault="00CF59E1" w:rsidP="009F3E8E">
            <w:pPr>
              <w:pStyle w:val="ListParagraph"/>
              <w:numPr>
                <w:ilvl w:val="0"/>
                <w:numId w:val="40"/>
              </w:numPr>
              <w:spacing w:after="120"/>
              <w:ind w:left="360"/>
              <w:rPr>
                <w:rFonts w:asciiTheme="minorHAnsi" w:hAnsiTheme="minorHAnsi" w:cs="Times New Roman"/>
                <w:color w:val="000000"/>
              </w:rPr>
            </w:pPr>
            <w:r w:rsidRPr="00755E0C">
              <w:rPr>
                <w:rFonts w:asciiTheme="minorHAnsi" w:hAnsiTheme="minorHAnsi" w:cs="Times New Roman"/>
                <w:color w:val="000000"/>
              </w:rPr>
              <w:t>Effective advance dissemination by the authorities of relevant information, including land records and proposed comprehensive resettlement plans specifically addressing efforts to protect vulnerable groups …” (</w:t>
            </w:r>
            <w:r w:rsidRPr="00755E0C">
              <w:rPr>
                <w:rFonts w:asciiTheme="minorHAnsi" w:hAnsiTheme="minorHAnsi" w:cs="Times New Roman"/>
                <w:b/>
                <w:color w:val="000000"/>
              </w:rPr>
              <w:t>AfDB, OS 2, para. 15)</w:t>
            </w:r>
          </w:p>
          <w:p w14:paraId="46AA6FE1"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It is particularly important that the country’s national laws and legislation as well as local definitions of land tenure, rights to common property resources, and inheritance practices are recognized and clearly explained to people who are entitled to compensation as well as to those groups that may not be eligible for land-based compensation.</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AfDB, OS 2, para. 38</w:t>
            </w:r>
            <w:r w:rsidRPr="00D04661">
              <w:rPr>
                <w:rFonts w:asciiTheme="minorHAnsi" w:eastAsia="Times New Roman" w:hAnsiTheme="minorHAnsi" w:cs="Calibri"/>
              </w:rPr>
              <w:t>)</w:t>
            </w:r>
          </w:p>
          <w:p w14:paraId="1392E0FC" w14:textId="77777777" w:rsidR="00CF59E1" w:rsidRPr="00D04661" w:rsidRDefault="00CF59E1" w:rsidP="00CF59E1">
            <w:pPr>
              <w:spacing w:after="120"/>
              <w:rPr>
                <w:rFonts w:asciiTheme="minorHAnsi" w:hAnsiTheme="minorHAnsi" w:cs="Times New Roman"/>
                <w:color w:val="000000"/>
              </w:rPr>
            </w:pPr>
            <w:r>
              <w:rPr>
                <w:rFonts w:asciiTheme="minorHAnsi" w:hAnsiTheme="minorHAnsi" w:cs="Times New Roman"/>
                <w:color w:val="000000"/>
              </w:rPr>
              <w:t>“</w:t>
            </w:r>
            <w:r w:rsidRPr="00D04661">
              <w:rPr>
                <w:rFonts w:asciiTheme="minorHAnsi" w:hAnsiTheme="minorHAnsi" w:cs="Times New Roman"/>
                <w:color w:val="000000"/>
              </w:rPr>
              <w:t>The criteria for site selection are explicit and are discussed in detail with the affected people.</w:t>
            </w:r>
            <w:r>
              <w:rPr>
                <w:rFonts w:asciiTheme="minorHAnsi" w:hAnsiTheme="minorHAnsi" w:cs="Times New Roman"/>
                <w:color w:val="000000"/>
              </w:rPr>
              <w:t>”</w:t>
            </w:r>
            <w:r w:rsidRPr="00D04661">
              <w:rPr>
                <w:rFonts w:asciiTheme="minorHAnsi" w:hAnsiTheme="minorHAnsi" w:cs="Times New Roman"/>
                <w:color w:val="000000"/>
              </w:rPr>
              <w:t xml:space="preserve"> (</w:t>
            </w:r>
            <w:r w:rsidRPr="00D04661">
              <w:rPr>
                <w:rFonts w:asciiTheme="minorHAnsi" w:hAnsiTheme="minorHAnsi" w:cs="Times New Roman"/>
                <w:b/>
                <w:color w:val="000000"/>
              </w:rPr>
              <w:t>AfDB, OS 2, para.39</w:t>
            </w:r>
            <w:r w:rsidRPr="00D04661">
              <w:rPr>
                <w:rFonts w:asciiTheme="minorHAnsi" w:hAnsiTheme="minorHAnsi" w:cs="Times New Roman"/>
                <w:color w:val="000000"/>
              </w:rPr>
              <w:t xml:space="preserve">) </w:t>
            </w:r>
          </w:p>
          <w:p w14:paraId="04CDD9A6" w14:textId="77777777" w:rsidR="00CF59E1" w:rsidRPr="00D04661" w:rsidRDefault="00CF59E1" w:rsidP="00CF59E1">
            <w:pPr>
              <w:spacing w:after="120"/>
              <w:rPr>
                <w:rFonts w:asciiTheme="minorHAnsi" w:hAnsiTheme="minorHAnsi" w:cs="Times New Roman"/>
                <w:color w:val="000000"/>
              </w:rPr>
            </w:pPr>
            <w:r>
              <w:rPr>
                <w:rFonts w:asciiTheme="minorHAnsi" w:hAnsiTheme="minorHAnsi" w:cs="Times New Roman"/>
                <w:color w:val="000000"/>
              </w:rPr>
              <w:t>“</w:t>
            </w:r>
            <w:r w:rsidRPr="00D04661">
              <w:rPr>
                <w:rFonts w:asciiTheme="minorHAnsi" w:hAnsiTheme="minorHAnsi" w:cs="Times New Roman"/>
                <w:color w:val="000000"/>
              </w:rPr>
              <w:t>The criteria for assessing the value of land, housing and other property are standardised and transparent.</w:t>
            </w:r>
            <w:r>
              <w:rPr>
                <w:rFonts w:asciiTheme="minorHAnsi" w:hAnsiTheme="minorHAnsi" w:cs="Times New Roman"/>
                <w:color w:val="000000"/>
              </w:rPr>
              <w:t>”</w:t>
            </w:r>
            <w:r w:rsidRPr="00D04661">
              <w:rPr>
                <w:rFonts w:asciiTheme="minorHAnsi" w:hAnsiTheme="minorHAnsi" w:cs="Times New Roman"/>
                <w:color w:val="000000"/>
              </w:rPr>
              <w:t xml:space="preserve"> (</w:t>
            </w:r>
            <w:r w:rsidRPr="00D04661">
              <w:rPr>
                <w:rFonts w:asciiTheme="minorHAnsi" w:hAnsiTheme="minorHAnsi" w:cs="Times New Roman"/>
                <w:b/>
                <w:color w:val="000000"/>
              </w:rPr>
              <w:t>AfDB, OS 2, para. 40</w:t>
            </w:r>
            <w:r w:rsidRPr="00D04661">
              <w:rPr>
                <w:rFonts w:asciiTheme="minorHAnsi" w:hAnsiTheme="minorHAnsi" w:cs="Times New Roman"/>
                <w:color w:val="000000"/>
              </w:rPr>
              <w:t>)</w:t>
            </w:r>
          </w:p>
          <w:p w14:paraId="68236E53"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The [Full Resettlement Action Plan] shall be released to the public at least 120 days prior to board presentation. The [Abbreviated Resettlement Action Plan] shall be released to the public at least 30 days prior to board presentation.</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AfDB, OS 2, para. 30</w:t>
            </w:r>
            <w:r w:rsidRPr="00D04661">
              <w:rPr>
                <w:rFonts w:asciiTheme="minorHAnsi" w:eastAsia="Times New Roman" w:hAnsiTheme="minorHAnsi" w:cs="Calibri"/>
              </w:rPr>
              <w:t>)</w:t>
            </w:r>
          </w:p>
        </w:tc>
      </w:tr>
      <w:tr w:rsidR="00CF59E1" w:rsidRPr="00D8522E" w14:paraId="7D1AD73E" w14:textId="77777777" w:rsidTr="00CF59E1">
        <w:tc>
          <w:tcPr>
            <w:tcW w:w="6390" w:type="dxa"/>
            <w:vMerge/>
            <w:shd w:val="clear" w:color="auto" w:fill="auto"/>
            <w:vAlign w:val="center"/>
          </w:tcPr>
          <w:p w14:paraId="339015D1" w14:textId="77777777" w:rsidR="00CF59E1" w:rsidRPr="00D04661" w:rsidRDefault="00CF59E1" w:rsidP="00CF59E1">
            <w:pPr>
              <w:autoSpaceDE/>
              <w:autoSpaceDN/>
              <w:adjustRightInd/>
              <w:spacing w:after="120"/>
              <w:rPr>
                <w:rFonts w:asciiTheme="minorHAnsi" w:hAnsiTheme="minorHAnsi" w:cs="Calibri"/>
              </w:rPr>
            </w:pPr>
          </w:p>
        </w:tc>
        <w:tc>
          <w:tcPr>
            <w:tcW w:w="7200" w:type="dxa"/>
            <w:shd w:val="clear" w:color="auto" w:fill="auto"/>
          </w:tcPr>
          <w:p w14:paraId="39A1B683" w14:textId="77777777" w:rsidR="00CF59E1" w:rsidRPr="00D04661" w:rsidRDefault="00CF59E1" w:rsidP="00CF59E1">
            <w:pPr>
              <w:tabs>
                <w:tab w:val="left" w:pos="450"/>
                <w:tab w:val="left" w:pos="900"/>
              </w:tabs>
              <w:autoSpaceDE/>
              <w:autoSpaceDN/>
              <w:adjustRightInd/>
              <w:spacing w:after="120"/>
              <w:rPr>
                <w:rFonts w:asciiTheme="minorHAnsi" w:hAnsiTheme="minorHAnsi" w:cs="Arial"/>
              </w:rPr>
            </w:pPr>
            <w:r>
              <w:rPr>
                <w:rFonts w:asciiTheme="minorHAnsi" w:hAnsiTheme="minorHAnsi" w:cs="Arial"/>
              </w:rPr>
              <w:t>“</w:t>
            </w:r>
            <w:r w:rsidRPr="00D04661">
              <w:rPr>
                <w:rFonts w:asciiTheme="minorHAnsi" w:hAnsiTheme="minorHAnsi" w:cs="Arial"/>
              </w:rPr>
              <w:t xml:space="preserve">The borrower/client will provide relevant resettlement information …in a form and …understandable to affected persons and other stakeholders. </w:t>
            </w:r>
            <w:r w:rsidRPr="00D04661">
              <w:rPr>
                <w:rFonts w:asciiTheme="minorHAnsi" w:hAnsiTheme="minorHAnsi" w:cs="Arial"/>
                <w:i/>
              </w:rPr>
              <w:t>For illiterate people, suitable other communication methods will be used</w:t>
            </w:r>
            <w:r w:rsidRPr="00D04661">
              <w:rPr>
                <w:rFonts w:asciiTheme="minorHAnsi" w:hAnsiTheme="minorHAnsi" w:cs="Arial"/>
                <w:b/>
              </w:rPr>
              <w:t>.</w:t>
            </w:r>
            <w:r>
              <w:rPr>
                <w:rFonts w:asciiTheme="minorHAnsi" w:hAnsiTheme="minorHAnsi" w:cs="Arial"/>
                <w:bCs/>
              </w:rPr>
              <w:t>”</w:t>
            </w:r>
            <w:r w:rsidRPr="00D04661">
              <w:rPr>
                <w:rFonts w:asciiTheme="minorHAnsi" w:hAnsiTheme="minorHAnsi" w:cs="Arial"/>
                <w:b/>
              </w:rPr>
              <w:t xml:space="preserve"> (ADB), SPS, Appendix 2, para.57) (</w:t>
            </w:r>
            <w:r w:rsidRPr="00D04661">
              <w:rPr>
                <w:rFonts w:asciiTheme="minorHAnsi" w:hAnsiTheme="minorHAnsi" w:cs="Arial"/>
                <w:i/>
              </w:rPr>
              <w:t>emphasis added</w:t>
            </w:r>
            <w:r w:rsidRPr="00D04661">
              <w:rPr>
                <w:rFonts w:asciiTheme="minorHAnsi" w:hAnsiTheme="minorHAnsi" w:cs="Arial"/>
              </w:rPr>
              <w:t>)</w:t>
            </w:r>
          </w:p>
          <w:p w14:paraId="0BE3934A" w14:textId="77777777" w:rsidR="00CF59E1" w:rsidRPr="00D04661" w:rsidRDefault="00CF59E1" w:rsidP="00CF59E1">
            <w:pPr>
              <w:tabs>
                <w:tab w:val="left" w:pos="450"/>
                <w:tab w:val="left" w:pos="900"/>
              </w:tabs>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[The borrower must] describe in the Resettlement Plan (RP)</w:t>
            </w:r>
            <w:r>
              <w:rPr>
                <w:rFonts w:asciiTheme="minorHAnsi" w:eastAsia="Times New Roman" w:hAnsiTheme="minorHAnsi" w:cs="Calibri"/>
              </w:rPr>
              <w:t>”</w:t>
            </w:r>
            <w:r w:rsidRPr="00D04661">
              <w:rPr>
                <w:rFonts w:asciiTheme="minorHAnsi" w:eastAsia="Times New Roman" w:hAnsiTheme="minorHAnsi" w:cs="Calibri"/>
              </w:rPr>
              <w:t xml:space="preserve"> the planned information disclosure measures, including the type of information to be disseminated to stakeholders and the method of dissemination.</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w:t>
            </w:r>
            <w:r w:rsidRPr="00D04661">
              <w:rPr>
                <w:rFonts w:asciiTheme="minorHAnsi" w:eastAsia="Times New Roman" w:hAnsiTheme="minorHAnsi" w:cs="Calibri"/>
              </w:rPr>
              <w:t>)</w:t>
            </w:r>
          </w:p>
          <w:p w14:paraId="34962D3D" w14:textId="77777777" w:rsidR="00CF59E1" w:rsidRPr="00D04661" w:rsidRDefault="00CF59E1" w:rsidP="00CF59E1">
            <w:pPr>
              <w:tabs>
                <w:tab w:val="left" w:pos="540"/>
                <w:tab w:val="left" w:pos="900"/>
              </w:tabs>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[The borrower must] disclose Resettlement Plan monitoring reports.</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w:t>
            </w:r>
            <w:r w:rsidRPr="00D04661">
              <w:rPr>
                <w:rFonts w:asciiTheme="minorHAnsi" w:eastAsia="Times New Roman" w:hAnsiTheme="minorHAnsi" w:cs="Calibri"/>
              </w:rPr>
              <w:t>)</w:t>
            </w:r>
          </w:p>
          <w:p w14:paraId="00524F36" w14:textId="77777777" w:rsidR="00CF59E1" w:rsidRPr="00D04661" w:rsidRDefault="00CF59E1" w:rsidP="00CF59E1">
            <w:pPr>
              <w:autoSpaceDE/>
              <w:autoSpaceDN/>
              <w:adjustRightInd/>
              <w:spacing w:after="120"/>
              <w:rPr>
                <w:rFonts w:asciiTheme="minorHAnsi" w:eastAsia="Times New Roman" w:hAnsiTheme="minorHAnsi" w:cs="Calibri"/>
                <w:b/>
              </w:rPr>
            </w:pPr>
            <w:r>
              <w:rPr>
                <w:rFonts w:asciiTheme="minorHAnsi" w:eastAsia="Times New Roman" w:hAnsiTheme="minorHAnsi" w:cs="Calibri"/>
              </w:rPr>
              <w:t>“</w:t>
            </w:r>
            <w:r w:rsidRPr="00D04661">
              <w:rPr>
                <w:rFonts w:asciiTheme="minorHAnsi" w:eastAsia="Times New Roman" w:hAnsiTheme="minorHAnsi" w:cs="Calibri"/>
              </w:rPr>
              <w:t xml:space="preserve">[The borrower must] ensure that the cut-off date is </w:t>
            </w:r>
            <w:r>
              <w:rPr>
                <w:rFonts w:asciiTheme="minorHAnsi" w:eastAsia="Times New Roman" w:hAnsiTheme="minorHAnsi" w:cs="Calibri"/>
              </w:rPr>
              <w:t>“</w:t>
            </w:r>
            <w:r w:rsidRPr="00D04661">
              <w:rPr>
                <w:rFonts w:asciiTheme="minorHAnsi" w:eastAsia="Times New Roman" w:hAnsiTheme="minorHAnsi" w:cs="Calibri"/>
              </w:rPr>
              <w:t>disseminated throughout the project area.</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 SPS, Appendix 2, para. 15)</w:t>
            </w:r>
          </w:p>
          <w:p w14:paraId="70B57A1E" w14:textId="77777777" w:rsidR="00CF59E1" w:rsidRPr="00D8522E" w:rsidRDefault="00CF59E1" w:rsidP="00CF59E1">
            <w:pPr>
              <w:keepNext/>
              <w:keepLines/>
              <w:autoSpaceDE/>
              <w:autoSpaceDN/>
              <w:adjustRightInd/>
              <w:spacing w:after="120"/>
              <w:outlineLvl w:val="1"/>
              <w:rPr>
                <w:rFonts w:asciiTheme="minorHAnsi" w:eastAsia="Times New Roman" w:hAnsiTheme="minorHAnsi" w:cs="Calibri"/>
                <w:b/>
              </w:rPr>
            </w:pPr>
            <w:r>
              <w:rPr>
                <w:rFonts w:asciiTheme="minorHAnsi" w:hAnsiTheme="minorHAnsi" w:cs="Times New Roman"/>
              </w:rPr>
              <w:t>“</w:t>
            </w:r>
            <w:r w:rsidRPr="00A56233">
              <w:rPr>
                <w:rFonts w:asciiTheme="minorHAnsi" w:hAnsiTheme="minorHAnsi" w:cs="Times New Roman"/>
              </w:rPr>
              <w:t>A final resettlement plan will be presented for approval to Bank Management, as a supplement to the</w:t>
            </w:r>
            <w:r w:rsidRPr="000F0C7E">
              <w:rPr>
                <w:rFonts w:asciiTheme="minorHAnsi" w:hAnsiTheme="minorHAnsi" w:cs="Times New Roman"/>
              </w:rPr>
              <w:t xml:space="preserve"> ESIR (currently ESMR, which is made publicly available prior to or upon distribution to the Board) prior to distribution of the operation documents for consideration by the Board of Executive Directors.</w:t>
            </w:r>
            <w:r>
              <w:rPr>
                <w:rFonts w:asciiTheme="minorHAnsi" w:hAnsiTheme="minorHAnsi" w:cs="Times New Roman"/>
              </w:rPr>
              <w:t>”</w:t>
            </w:r>
            <w:r w:rsidRPr="00D8522E">
              <w:rPr>
                <w:rFonts w:asciiTheme="minorHAnsi" w:hAnsiTheme="minorHAnsi" w:cs="Times New Roman"/>
              </w:rPr>
              <w:t xml:space="preserve"> (</w:t>
            </w:r>
            <w:r w:rsidRPr="00D8522E">
              <w:rPr>
                <w:rFonts w:asciiTheme="minorHAnsi" w:hAnsiTheme="minorHAnsi" w:cs="Times New Roman"/>
                <w:b/>
              </w:rPr>
              <w:t xml:space="preserve">IDB, </w:t>
            </w:r>
            <w:r w:rsidRPr="00D8522E">
              <w:rPr>
                <w:rFonts w:asciiTheme="minorHAnsi" w:eastAsia="Times New Roman" w:hAnsiTheme="minorHAnsi" w:cs="Calibri"/>
                <w:b/>
              </w:rPr>
              <w:t>Policy on Involuntary Resettlement)</w:t>
            </w:r>
          </w:p>
        </w:tc>
      </w:tr>
      <w:tr w:rsidR="00CF59E1" w:rsidRPr="00D8522E" w14:paraId="7D080680" w14:textId="77777777" w:rsidTr="00CF59E1">
        <w:tc>
          <w:tcPr>
            <w:tcW w:w="6390" w:type="dxa"/>
            <w:vMerge w:val="restart"/>
            <w:shd w:val="clear" w:color="auto" w:fill="auto"/>
            <w:vAlign w:val="center"/>
          </w:tcPr>
          <w:p w14:paraId="09C067FA"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b/>
                <w:u w:val="single"/>
              </w:rPr>
            </w:pPr>
            <w:r w:rsidRPr="00D04661">
              <w:rPr>
                <w:rFonts w:asciiTheme="minorHAnsi" w:eastAsia="Times New Roman" w:hAnsiTheme="minorHAnsi" w:cs="Calibri"/>
                <w:b/>
              </w:rPr>
              <w:t>DEDICATED GRIEVANCE MECHANISMS (FOR INVOLUNTARY RESETTLEMENT</w:t>
            </w:r>
            <w:r w:rsidRPr="00D04661">
              <w:rPr>
                <w:rFonts w:asciiTheme="minorHAnsi" w:eastAsia="Times New Roman" w:hAnsiTheme="minorHAnsi" w:cs="Calibri"/>
                <w:b/>
                <w:vertAlign w:val="superscript"/>
              </w:rPr>
              <w:t xml:space="preserve"> </w:t>
            </w:r>
          </w:p>
        </w:tc>
        <w:tc>
          <w:tcPr>
            <w:tcW w:w="7200" w:type="dxa"/>
            <w:shd w:val="clear" w:color="auto" w:fill="auto"/>
          </w:tcPr>
          <w:p w14:paraId="35619E70" w14:textId="77777777" w:rsidR="00CF59E1" w:rsidRPr="00D04661" w:rsidRDefault="00CF59E1" w:rsidP="00CF59E1">
            <w:pPr>
              <w:tabs>
                <w:tab w:val="left" w:pos="450"/>
                <w:tab w:val="left" w:pos="900"/>
              </w:tabs>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[Grievance Mechanisms must pay] particular attention to the impacts on vulnerable groups… be scaled to the risks and adverse impacts of the project… address affected persons’ concerns and complaints promptly, using an understandable and transparent process that is gender responsive, culturally appropriate and readily accessible to the affected persons…without retribution… affected persons [will be] informed about the mechanism.</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 SPS, Appendix 2, para. 29</w:t>
            </w:r>
            <w:r w:rsidRPr="00D04661">
              <w:rPr>
                <w:rFonts w:asciiTheme="minorHAnsi" w:eastAsia="Times New Roman" w:hAnsiTheme="minorHAnsi" w:cs="Calibri"/>
              </w:rPr>
              <w:t>)</w:t>
            </w:r>
          </w:p>
        </w:tc>
      </w:tr>
      <w:tr w:rsidR="00CF59E1" w:rsidRPr="00D8522E" w14:paraId="77543FB6" w14:textId="77777777" w:rsidTr="00CF59E1">
        <w:tc>
          <w:tcPr>
            <w:tcW w:w="6390" w:type="dxa"/>
            <w:vMerge/>
            <w:shd w:val="clear" w:color="auto" w:fill="auto"/>
            <w:vAlign w:val="center"/>
          </w:tcPr>
          <w:p w14:paraId="37EE5835"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rPr>
            </w:pPr>
          </w:p>
        </w:tc>
        <w:tc>
          <w:tcPr>
            <w:tcW w:w="7200" w:type="dxa"/>
            <w:shd w:val="clear" w:color="auto" w:fill="auto"/>
          </w:tcPr>
          <w:p w14:paraId="4DBABEE5" w14:textId="77777777" w:rsidR="00CF59E1" w:rsidRPr="00D04661" w:rsidRDefault="00CF59E1" w:rsidP="00CF59E1">
            <w:pPr>
              <w:tabs>
                <w:tab w:val="left" w:pos="450"/>
                <w:tab w:val="left" w:pos="900"/>
              </w:tabs>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 xml:space="preserve">The next step is to…. design mechanisms capable of delivering…, including effective and expeditious procedures </w:t>
            </w:r>
            <w:r>
              <w:rPr>
                <w:rFonts w:asciiTheme="minorHAnsi" w:eastAsia="Times New Roman" w:hAnsiTheme="minorHAnsi" w:cs="Calibri"/>
              </w:rPr>
              <w:t xml:space="preserve">for the resolution of disputes.” </w:t>
            </w:r>
            <w:r w:rsidRPr="00D04661">
              <w:rPr>
                <w:rFonts w:asciiTheme="minorHAnsi" w:eastAsia="Times New Roman" w:hAnsiTheme="minorHAnsi" w:cs="Calibri"/>
              </w:rPr>
              <w:t>(</w:t>
            </w:r>
            <w:r w:rsidRPr="00D04661">
              <w:rPr>
                <w:rFonts w:asciiTheme="minorHAnsi" w:eastAsia="Times New Roman" w:hAnsiTheme="minorHAnsi" w:cs="Calibri"/>
                <w:b/>
              </w:rPr>
              <w:t>IDB, Policy on Involuntary Resettlement)</w:t>
            </w:r>
          </w:p>
          <w:p w14:paraId="103A48A3" w14:textId="77777777" w:rsidR="00CF59E1" w:rsidRPr="00D04661" w:rsidRDefault="00CF59E1" w:rsidP="00CF59E1">
            <w:pPr>
              <w:tabs>
                <w:tab w:val="left" w:pos="450"/>
                <w:tab w:val="left" w:pos="900"/>
              </w:tabs>
              <w:autoSpaceDE/>
              <w:autoSpaceDN/>
              <w:adjustRightInd/>
              <w:spacing w:after="120"/>
              <w:rPr>
                <w:rFonts w:asciiTheme="minorHAnsi" w:hAnsiTheme="minorHAnsi" w:cs="Times New Roman"/>
              </w:rPr>
            </w:pPr>
            <w:r>
              <w:rPr>
                <w:rFonts w:asciiTheme="minorHAnsi" w:eastAsia="Times New Roman" w:hAnsiTheme="minorHAnsi" w:cs="Calibri"/>
              </w:rPr>
              <w:t>“</w:t>
            </w:r>
            <w:r w:rsidRPr="00D04661">
              <w:rPr>
                <w:rFonts w:asciiTheme="minorHAnsi" w:eastAsia="Times New Roman" w:hAnsiTheme="minorHAnsi" w:cs="Calibri"/>
              </w:rPr>
              <w:t>A final resettlement plan will be presented for approval to Bank Management… prior to distribution of the operation documents for consideration by the Board of Executive Directors. The final [resettlement] plan must contain:</w:t>
            </w:r>
            <w:r w:rsidRPr="00D04661">
              <w:rPr>
                <w:rFonts w:asciiTheme="minorHAnsi" w:hAnsiTheme="minorHAnsi" w:cs="Times New Roman"/>
              </w:rPr>
              <w:t xml:space="preserve"> a mechanism for the settlement of disputes regarding land, compensation and any other aspects of the plan.</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IDB, Policy on Involuntary Resettlement,</w:t>
            </w:r>
            <w:r w:rsidRPr="00D04661">
              <w:rPr>
                <w:rFonts w:asciiTheme="minorHAnsi" w:hAnsiTheme="minorHAnsi" w:cs="Times New Roman"/>
              </w:rPr>
              <w:t>)</w:t>
            </w:r>
          </w:p>
          <w:p w14:paraId="270148D8" w14:textId="77777777" w:rsidR="00CF59E1" w:rsidRPr="00D04661" w:rsidRDefault="00CF59E1" w:rsidP="00CF59E1">
            <w:pPr>
              <w:tabs>
                <w:tab w:val="left" w:pos="450"/>
                <w:tab w:val="left" w:pos="900"/>
              </w:tabs>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The promoter shall set up and maintain a grievance mechanism that is independent, free …that will allow prompt addressing of specific concerns about compensation and relocation from the affected people and host communities and other directly involved entities. The mechanism should be easily accessible, culturally appropriate, widely publicized, and well integrated in the promoter’s project management system. It should enable the promoter to receive and resolve specific grievances related to compensation and relocation by affected persons or members of host communities, and use the grievance log to monitor cases and improve the resettlement process.</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EIB, EHS, ESS 6, para. 53</w:t>
            </w:r>
            <w:r w:rsidRPr="00D04661">
              <w:rPr>
                <w:rFonts w:asciiTheme="minorHAnsi" w:eastAsia="Times New Roman" w:hAnsiTheme="minorHAnsi" w:cs="Calibri"/>
              </w:rPr>
              <w:t>)</w:t>
            </w:r>
          </w:p>
        </w:tc>
      </w:tr>
      <w:tr w:rsidR="00CF59E1" w:rsidRPr="00D8522E" w14:paraId="54BE1D4A" w14:textId="77777777" w:rsidTr="00CF59E1">
        <w:tc>
          <w:tcPr>
            <w:tcW w:w="6390" w:type="dxa"/>
            <w:vMerge w:val="restart"/>
            <w:shd w:val="clear" w:color="auto" w:fill="auto"/>
            <w:vAlign w:val="center"/>
          </w:tcPr>
          <w:p w14:paraId="761D20A0"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PROTECTION OF VULNERABLE GROUPS (THE POOR, WOMEN, ETHNIC AND RELIGIOUS MINORITIES AND THE DISABLED POPULATION):</w:t>
            </w:r>
          </w:p>
          <w:p w14:paraId="56798F89" w14:textId="77777777" w:rsidR="00CF59E1" w:rsidRPr="00D04661" w:rsidRDefault="00CF59E1" w:rsidP="00CF59E1">
            <w:pPr>
              <w:autoSpaceDE/>
              <w:autoSpaceDN/>
              <w:adjustRightInd/>
              <w:spacing w:after="120"/>
              <w:rPr>
                <w:rFonts w:asciiTheme="minorHAnsi" w:eastAsia="Times New Roman" w:hAnsiTheme="minorHAnsi" w:cs="Arial"/>
              </w:rPr>
            </w:pPr>
            <w:r w:rsidRPr="00D04661">
              <w:rPr>
                <w:rFonts w:asciiTheme="minorHAnsi" w:eastAsia="Times New Roman" w:hAnsiTheme="minorHAnsi" w:cs="Arial"/>
              </w:rPr>
              <w:t xml:space="preserve">OP 4.12, para. 8: </w:t>
            </w:r>
            <w:r>
              <w:rPr>
                <w:rFonts w:asciiTheme="minorHAnsi" w:eastAsia="Times New Roman" w:hAnsiTheme="minorHAnsi" w:cs="Arial"/>
              </w:rPr>
              <w:t>“</w:t>
            </w:r>
            <w:r w:rsidRPr="00D04661">
              <w:rPr>
                <w:rFonts w:asciiTheme="minorHAnsi" w:eastAsia="Times New Roman" w:hAnsiTheme="minorHAnsi" w:cs="Arial"/>
              </w:rPr>
              <w:t>To achieve the objectives of this policy, particular attention is paid to the needs of vulnerable groups among those displaced, especially those below the poverty line, the landless, the elderly, women and children, indigenous peoples, ethnic minorities, or other displaced persons who may not be protected through national land compensation legislation.</w:t>
            </w:r>
            <w:r>
              <w:rPr>
                <w:rFonts w:asciiTheme="minorHAnsi" w:eastAsia="Times New Roman" w:hAnsiTheme="minorHAnsi" w:cs="Arial"/>
              </w:rPr>
              <w:t>”</w:t>
            </w:r>
          </w:p>
          <w:p w14:paraId="10846CE3" w14:textId="77777777" w:rsidR="00CF59E1" w:rsidRPr="00D04661" w:rsidRDefault="00CF59E1" w:rsidP="00CF59E1">
            <w:pPr>
              <w:tabs>
                <w:tab w:val="left" w:pos="990"/>
              </w:tabs>
              <w:spacing w:after="120"/>
              <w:rPr>
                <w:rFonts w:asciiTheme="minorHAnsi" w:eastAsia="Times New Roman" w:hAnsiTheme="minorHAnsi" w:cs="Calibri"/>
              </w:rPr>
            </w:pPr>
          </w:p>
        </w:tc>
        <w:tc>
          <w:tcPr>
            <w:tcW w:w="7200" w:type="dxa"/>
            <w:shd w:val="clear" w:color="auto" w:fill="auto"/>
          </w:tcPr>
          <w:p w14:paraId="43520C71" w14:textId="77777777" w:rsidR="00CF59E1" w:rsidRPr="00D04661" w:rsidRDefault="00CF59E1" w:rsidP="00CF59E1">
            <w:pPr>
              <w:tabs>
                <w:tab w:val="left" w:pos="450"/>
                <w:tab w:val="left" w:pos="900"/>
              </w:tabs>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When displacement is unavoidable, a resettlement plan must be prepared to ensure that the affected people receive fair and adequate compensation and rehabilitation. Compensation and rehabilitation are deemed fair and adequate when they can ensure that, within the shortest possible period of time, the resettled and host populations will: achieve a minimum standard of living and access to land, natural resources, and services (such as potable water, sanitation, community infrastructure, land titling) at least equivalent to pre-resettlement levels; recover all losses caused by transitional hardships; experience as little disruption as possible to their social networks, opportunities for employment or production, and access to natural resources and public facilities; and have access to opportunities for social and economic development.</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(IDB, Policy on Involuntary Resettlement)</w:t>
            </w:r>
          </w:p>
          <w:p w14:paraId="3DB42BEF" w14:textId="77777777" w:rsidR="00CF59E1" w:rsidRPr="00D04661" w:rsidRDefault="00CF59E1" w:rsidP="00CF59E1">
            <w:pPr>
              <w:tabs>
                <w:tab w:val="left" w:pos="450"/>
                <w:tab w:val="left" w:pos="900"/>
              </w:tabs>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In designing its operations the Bank will introduce measures to prevent, avoid or mitigate any adverse impacts and/or risks of gender based exclusion identified in the risk analysis. These risks may include….[d]isregarding the right of women to inherit and own land, homes and other assets or natural resources. The Bank will recognize women’s ownership rights regardless of marital status and will adopt measures to facilitate their access to the documents they need to exercise this right.</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IDB)</w:t>
            </w:r>
            <w:r w:rsidRPr="00D04661">
              <w:rPr>
                <w:rStyle w:val="FootnoteReference"/>
                <w:rFonts w:asciiTheme="minorHAnsi" w:eastAsia="Times New Roman" w:hAnsiTheme="minorHAnsi" w:cs="Calibri"/>
                <w:b/>
              </w:rPr>
              <w:footnoteReference w:id="232"/>
            </w:r>
            <w:r w:rsidRPr="00D04661">
              <w:rPr>
                <w:rFonts w:asciiTheme="minorHAnsi" w:eastAsia="Times New Roman" w:hAnsiTheme="minorHAnsi" w:cs="Calibri"/>
              </w:rPr>
              <w:t xml:space="preserve"> </w:t>
            </w:r>
          </w:p>
          <w:p w14:paraId="44064458" w14:textId="77777777" w:rsidR="00CF59E1" w:rsidRPr="00D04661" w:rsidRDefault="00CF59E1" w:rsidP="00CF59E1">
            <w:pPr>
              <w:tabs>
                <w:tab w:val="left" w:pos="450"/>
                <w:tab w:val="left" w:pos="900"/>
              </w:tabs>
              <w:autoSpaceDE/>
              <w:autoSpaceDN/>
              <w:adjustRightInd/>
              <w:spacing w:after="120"/>
              <w:rPr>
                <w:rFonts w:asciiTheme="minorHAnsi" w:eastAsia="Times New Roman" w:hAnsiTheme="minorHAnsi" w:cs="Calibri"/>
                <w:b/>
              </w:rPr>
            </w:pPr>
            <w:r>
              <w:rPr>
                <w:rFonts w:asciiTheme="minorHAnsi" w:eastAsia="Times New Roman" w:hAnsiTheme="minorHAnsi" w:cs="Calibri"/>
              </w:rPr>
              <w:t>“</w:t>
            </w:r>
            <w:r w:rsidRPr="00D04661">
              <w:rPr>
                <w:rFonts w:asciiTheme="minorHAnsi" w:eastAsia="Times New Roman" w:hAnsiTheme="minorHAnsi" w:cs="Calibri"/>
              </w:rPr>
              <w:t xml:space="preserve">The baseline data collection and analysis in anticipation of IR must include an </w:t>
            </w:r>
            <w:r>
              <w:rPr>
                <w:rFonts w:asciiTheme="minorHAnsi" w:eastAsia="Times New Roman" w:hAnsiTheme="minorHAnsi" w:cs="Calibri"/>
              </w:rPr>
              <w:t>“</w:t>
            </w:r>
            <w:r w:rsidRPr="00D04661">
              <w:rPr>
                <w:rFonts w:asciiTheme="minorHAnsi" w:eastAsia="Times New Roman" w:hAnsiTheme="minorHAnsi" w:cs="Calibri"/>
                <w:i/>
              </w:rPr>
              <w:t>Impoverishment Risk Analysis</w:t>
            </w:r>
            <w:r>
              <w:rPr>
                <w:rFonts w:asciiTheme="minorHAnsi" w:eastAsia="Times New Roman" w:hAnsiTheme="minorHAnsi" w:cs="Calibri"/>
                <w:i/>
              </w:rPr>
              <w:t>”</w:t>
            </w:r>
            <w:r w:rsidRPr="00D04661">
              <w:rPr>
                <w:rFonts w:asciiTheme="minorHAnsi" w:eastAsia="Times New Roman" w:hAnsiTheme="minorHAnsi" w:cs="Calibri"/>
                <w:i/>
              </w:rPr>
              <w:t xml:space="preserve"> (IRA)</w:t>
            </w:r>
            <w:r w:rsidRPr="00D04661">
              <w:rPr>
                <w:rStyle w:val="FootnoteReference"/>
                <w:rFonts w:asciiTheme="minorHAnsi" w:eastAsia="Times New Roman" w:hAnsiTheme="minorHAnsi" w:cs="Calibri"/>
                <w:i/>
              </w:rPr>
              <w:footnoteReference w:id="233"/>
            </w:r>
            <w:r w:rsidRPr="00D04661">
              <w:rPr>
                <w:rFonts w:asciiTheme="minorHAnsi" w:eastAsia="Times New Roman" w:hAnsiTheme="minorHAnsi" w:cs="Calibri"/>
              </w:rPr>
              <w:t xml:space="preserve"> and… a determination of risks and preventative measures designed to avoid them as an input into the borrower’s RP.</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IDB, Policy on Involuntary Resettlement)</w:t>
            </w:r>
          </w:p>
          <w:p w14:paraId="3F78B99D" w14:textId="77777777" w:rsidR="00CF59E1" w:rsidRPr="00D8522E" w:rsidRDefault="00CF59E1" w:rsidP="00CF59E1">
            <w:pPr>
              <w:keepNext/>
              <w:keepLines/>
              <w:spacing w:after="120"/>
              <w:outlineLvl w:val="1"/>
              <w:rPr>
                <w:rFonts w:asciiTheme="minorHAnsi" w:hAnsiTheme="minorHAnsi" w:cs="Times New Roman"/>
              </w:rPr>
            </w:pPr>
            <w:r>
              <w:rPr>
                <w:rFonts w:asciiTheme="minorHAnsi" w:hAnsiTheme="minorHAnsi" w:cs="Times New Roman"/>
                <w:b/>
                <w:bCs/>
              </w:rPr>
              <w:t>“</w:t>
            </w:r>
            <w:r w:rsidRPr="00A56233">
              <w:rPr>
                <w:rFonts w:asciiTheme="minorHAnsi" w:hAnsiTheme="minorHAnsi" w:cs="Times New Roman"/>
                <w:b/>
                <w:bCs/>
              </w:rPr>
              <w:t>Indigenous Communities</w:t>
            </w:r>
            <w:r w:rsidRPr="00A56233">
              <w:rPr>
                <w:rFonts w:asciiTheme="minorHAnsi" w:hAnsiTheme="minorHAnsi" w:cs="Times New Roman"/>
              </w:rPr>
              <w:t xml:space="preserve">. Those indigenous and other low-income ethnic minority communities whose identity is based on the territory they have traditionally occupied </w:t>
            </w:r>
            <w:r w:rsidRPr="000F0C7E">
              <w:rPr>
                <w:rFonts w:asciiTheme="minorHAnsi" w:hAnsiTheme="minorHAnsi" w:cs="Times New Roman"/>
              </w:rPr>
              <w:t>are particularly vulnerable to the disruptive and impoverishing effects of resettlement. They often lack formal property rights to the areas on which they depend for their subsistence, and find themselves at a disadvantage in pressing their claims for compensation and rehabilitation. The Bank will, therefore, only support operations that involve the displacement of indigenous communities or other low-income ethnic minority communities in rural areas, if the Bank can ascertain that: the resettlement component will result in direct benefits to the affected community relative to their prior situation;</w:t>
            </w:r>
            <w:r w:rsidRPr="00D8522E">
              <w:rPr>
                <w:rFonts w:asciiTheme="minorHAnsi" w:hAnsiTheme="minorHAnsi" w:cs="Arial"/>
              </w:rPr>
              <w:t xml:space="preserve"> </w:t>
            </w:r>
            <w:r w:rsidRPr="00D8522E">
              <w:rPr>
                <w:rFonts w:asciiTheme="minorHAnsi" w:hAnsiTheme="minorHAnsi" w:cs="Times New Roman"/>
              </w:rPr>
              <w:t>customary rights will be fully recognized and fairly compensated; compensation options will include land-based resettlement; and</w:t>
            </w:r>
            <w:r w:rsidRPr="00D8522E">
              <w:rPr>
                <w:rFonts w:asciiTheme="minorHAnsi" w:hAnsiTheme="minorHAnsi" w:cs="Arial"/>
              </w:rPr>
              <w:t xml:space="preserve"> </w:t>
            </w:r>
            <w:r w:rsidRPr="00D8522E">
              <w:rPr>
                <w:rFonts w:asciiTheme="minorHAnsi" w:hAnsiTheme="minorHAnsi" w:cs="Times New Roman"/>
              </w:rPr>
              <w:t>the people affected have given their informed consent to the resettlement and compensation measures.</w:t>
            </w:r>
            <w:r>
              <w:rPr>
                <w:rFonts w:asciiTheme="minorHAnsi" w:hAnsiTheme="minorHAnsi" w:cs="Times New Roman"/>
              </w:rPr>
              <w:t>”</w:t>
            </w:r>
            <w:r w:rsidRPr="00D8522E">
              <w:rPr>
                <w:rFonts w:asciiTheme="minorHAnsi" w:hAnsiTheme="minorHAnsi" w:cs="Times New Roman"/>
              </w:rPr>
              <w:t xml:space="preserve"> </w:t>
            </w:r>
            <w:r w:rsidRPr="00D8522E">
              <w:rPr>
                <w:rFonts w:asciiTheme="minorHAnsi" w:eastAsia="Times New Roman" w:hAnsiTheme="minorHAnsi" w:cs="Calibri"/>
              </w:rPr>
              <w:t>(</w:t>
            </w:r>
            <w:r w:rsidRPr="00D8522E">
              <w:rPr>
                <w:rFonts w:asciiTheme="minorHAnsi" w:eastAsia="Times New Roman" w:hAnsiTheme="minorHAnsi" w:cs="Calibri"/>
                <w:b/>
              </w:rPr>
              <w:t>IDB, Policy on Involuntary Resettlement)</w:t>
            </w:r>
          </w:p>
          <w:p w14:paraId="1575871E" w14:textId="77777777" w:rsidR="00CF59E1" w:rsidRPr="00D04661" w:rsidRDefault="00CF59E1" w:rsidP="00CF59E1">
            <w:pPr>
              <w:tabs>
                <w:tab w:val="left" w:pos="450"/>
                <w:tab w:val="left" w:pos="900"/>
              </w:tabs>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[The borrower</w:t>
            </w:r>
            <w:r w:rsidRPr="00D04661">
              <w:rPr>
                <w:rFonts w:asciiTheme="minorHAnsi" w:eastAsia="Times New Roman" w:hAnsiTheme="minorHAnsi" w:cs="Calibri"/>
                <w:i/>
              </w:rPr>
              <w:t xml:space="preserve"> will pay adequate attention to gender concerns, including specific measures addressing the need of female headed households, gender inclusive consultation, information, disclosure and grievance mechanisms to ensure that both men and women receive adequate and appropriate compensation…and resettlement assistance</w:t>
            </w:r>
            <w:r w:rsidRPr="00D04661">
              <w:rPr>
                <w:rFonts w:asciiTheme="minorHAnsi" w:eastAsia="Times New Roman" w:hAnsiTheme="minorHAnsi" w:cs="Calibri"/>
              </w:rPr>
              <w:t>.</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w:t>
            </w:r>
            <w:r w:rsidRPr="00D04661">
              <w:rPr>
                <w:rFonts w:asciiTheme="minorHAnsi" w:eastAsia="Times New Roman" w:hAnsiTheme="minorHAnsi" w:cs="Calibri"/>
              </w:rPr>
              <w:t>)</w:t>
            </w:r>
          </w:p>
          <w:p w14:paraId="58CD3D86" w14:textId="77777777" w:rsidR="00CF59E1" w:rsidRPr="00D04661" w:rsidRDefault="00CF59E1" w:rsidP="00CF59E1">
            <w:pPr>
              <w:tabs>
                <w:tab w:val="left" w:pos="450"/>
                <w:tab w:val="left" w:pos="900"/>
              </w:tabs>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[The borrower’s grievance mechanism shall be] gender responsive.</w:t>
            </w:r>
            <w:r>
              <w:rPr>
                <w:rFonts w:asciiTheme="minorHAnsi" w:eastAsia="Times New Roman" w:hAnsiTheme="minorHAnsi" w:cs="Calibri"/>
              </w:rPr>
              <w:t>”</w:t>
            </w:r>
            <w:r w:rsidRPr="00D04661">
              <w:rPr>
                <w:rFonts w:asciiTheme="minorHAnsi" w:eastAsia="Times New Roman" w:hAnsiTheme="minorHAnsi" w:cs="Calibri"/>
              </w:rPr>
              <w:t>(</w:t>
            </w:r>
            <w:r w:rsidRPr="00D04661">
              <w:rPr>
                <w:rFonts w:asciiTheme="minorHAnsi" w:eastAsia="Times New Roman" w:hAnsiTheme="minorHAnsi" w:cs="Calibri"/>
                <w:b/>
              </w:rPr>
              <w:t>ADB</w:t>
            </w:r>
            <w:r w:rsidRPr="00D04661">
              <w:rPr>
                <w:rFonts w:asciiTheme="minorHAnsi" w:eastAsia="Times New Roman" w:hAnsiTheme="minorHAnsi" w:cs="Calibri"/>
              </w:rPr>
              <w:t>)</w:t>
            </w:r>
          </w:p>
        </w:tc>
      </w:tr>
      <w:tr w:rsidR="00CF59E1" w:rsidRPr="00D8522E" w14:paraId="6D451C6E" w14:textId="77777777" w:rsidTr="00CF59E1">
        <w:trPr>
          <w:trHeight w:val="13110"/>
        </w:trPr>
        <w:tc>
          <w:tcPr>
            <w:tcW w:w="6390" w:type="dxa"/>
            <w:vMerge/>
            <w:tcBorders>
              <w:bottom w:val="single" w:sz="4" w:space="0" w:color="auto"/>
            </w:tcBorders>
            <w:shd w:val="clear" w:color="auto" w:fill="auto"/>
            <w:vAlign w:val="center"/>
          </w:tcPr>
          <w:p w14:paraId="1C767108"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rPr>
            </w:pPr>
          </w:p>
        </w:tc>
        <w:tc>
          <w:tcPr>
            <w:tcW w:w="7200" w:type="dxa"/>
            <w:tcBorders>
              <w:bottom w:val="single" w:sz="4" w:space="0" w:color="auto"/>
            </w:tcBorders>
            <w:shd w:val="clear" w:color="auto" w:fill="auto"/>
          </w:tcPr>
          <w:p w14:paraId="06DB0EE2" w14:textId="77777777" w:rsidR="00CF59E1" w:rsidRPr="00D04661" w:rsidRDefault="00CF59E1" w:rsidP="00CF59E1">
            <w:pPr>
              <w:tabs>
                <w:tab w:val="left" w:pos="450"/>
                <w:tab w:val="left" w:pos="900"/>
              </w:tabs>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Women’s groups and men’s groups shall be involved in resettlement planning, management and operations, and in job-creation and income-generation.</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AfDB, OS 2, para. 55</w:t>
            </w:r>
            <w:r w:rsidRPr="00D04661">
              <w:rPr>
                <w:rFonts w:asciiTheme="minorHAnsi" w:eastAsia="Times New Roman" w:hAnsiTheme="minorHAnsi" w:cs="Calibri"/>
              </w:rPr>
              <w:t>)</w:t>
            </w:r>
          </w:p>
          <w:p w14:paraId="1CD6B8D0" w14:textId="77777777" w:rsidR="00CF59E1" w:rsidRPr="00D04661" w:rsidRDefault="00CF59E1" w:rsidP="00CF59E1">
            <w:pPr>
              <w:spacing w:after="120"/>
              <w:rPr>
                <w:rFonts w:asciiTheme="minorHAnsi" w:hAnsiTheme="minorHAnsi" w:cs="Times New Roman"/>
                <w:color w:val="000000"/>
              </w:rPr>
            </w:pPr>
            <w:r>
              <w:rPr>
                <w:rFonts w:asciiTheme="minorHAnsi" w:hAnsiTheme="minorHAnsi" w:cs="Times New Roman"/>
                <w:color w:val="000000"/>
              </w:rPr>
              <w:t>“</w:t>
            </w:r>
            <w:r w:rsidRPr="00D04661">
              <w:rPr>
                <w:rFonts w:asciiTheme="minorHAnsi" w:hAnsiTheme="minorHAnsi" w:cs="Times New Roman"/>
                <w:color w:val="000000"/>
              </w:rPr>
              <w:t>The provision of health care services, particularly for pregnant women and infants, may be important during and after relocation, to prevent increases in morbidity and mortality due to malnutrition, the psychological stress of being uprooted, and the increased risk of disease.</w:t>
            </w:r>
            <w:r>
              <w:rPr>
                <w:rFonts w:asciiTheme="minorHAnsi" w:hAnsiTheme="minorHAnsi" w:cs="Times New Roman"/>
                <w:color w:val="000000"/>
              </w:rPr>
              <w:t>”</w:t>
            </w:r>
            <w:r w:rsidRPr="00D04661">
              <w:rPr>
                <w:rFonts w:asciiTheme="minorHAnsi" w:hAnsiTheme="minorHAnsi" w:cs="Times New Roman"/>
                <w:color w:val="000000"/>
              </w:rPr>
              <w:t xml:space="preserve"> (</w:t>
            </w:r>
            <w:r w:rsidRPr="00D04661">
              <w:rPr>
                <w:rFonts w:asciiTheme="minorHAnsi" w:hAnsiTheme="minorHAnsi" w:cs="Times New Roman"/>
                <w:b/>
                <w:color w:val="000000"/>
              </w:rPr>
              <w:t>AfDB, OS 2, para. 55</w:t>
            </w:r>
            <w:r w:rsidRPr="00D04661">
              <w:rPr>
                <w:rFonts w:asciiTheme="minorHAnsi" w:hAnsiTheme="minorHAnsi" w:cs="Times New Roman"/>
                <w:color w:val="000000"/>
              </w:rPr>
              <w:t>)</w:t>
            </w:r>
          </w:p>
          <w:p w14:paraId="747CCCB1" w14:textId="77777777" w:rsidR="00CF59E1" w:rsidRPr="00D04661" w:rsidRDefault="00CF59E1" w:rsidP="00CF59E1">
            <w:pPr>
              <w:spacing w:after="120"/>
              <w:rPr>
                <w:rFonts w:asciiTheme="minorHAnsi" w:hAnsiTheme="minorHAnsi" w:cs="Times New Roman"/>
                <w:color w:val="000000"/>
              </w:rPr>
            </w:pPr>
            <w:r>
              <w:rPr>
                <w:rFonts w:asciiTheme="minorHAnsi" w:hAnsiTheme="minorHAnsi" w:cs="Times New Roman"/>
                <w:color w:val="000000"/>
              </w:rPr>
              <w:t>“</w:t>
            </w:r>
            <w:r w:rsidRPr="00D04661">
              <w:rPr>
                <w:rFonts w:asciiTheme="minorHAnsi" w:hAnsiTheme="minorHAnsi" w:cs="Times New Roman"/>
                <w:color w:val="000000"/>
              </w:rPr>
              <w:t>The Resettlement Action Plan includes a specific protocol specifying safeguards for the quality and quantity of land to be allocated for women, especially widows and divorcees, to ensure their means to generate income and achieve food security.</w:t>
            </w:r>
            <w:r>
              <w:rPr>
                <w:rFonts w:asciiTheme="minorHAnsi" w:hAnsiTheme="minorHAnsi" w:cs="Times New Roman"/>
                <w:color w:val="000000"/>
              </w:rPr>
              <w:t>”</w:t>
            </w:r>
            <w:r w:rsidRPr="00D04661">
              <w:rPr>
                <w:rFonts w:asciiTheme="minorHAnsi" w:hAnsiTheme="minorHAnsi" w:cs="Times New Roman"/>
                <w:color w:val="000000"/>
              </w:rPr>
              <w:t xml:space="preserve"> (</w:t>
            </w:r>
            <w:r w:rsidRPr="00D04661">
              <w:rPr>
                <w:rFonts w:asciiTheme="minorHAnsi" w:hAnsiTheme="minorHAnsi" w:cs="Times New Roman"/>
                <w:b/>
                <w:color w:val="000000"/>
              </w:rPr>
              <w:t>AfDB, OS 2, para. 55</w:t>
            </w:r>
            <w:r w:rsidRPr="00D04661">
              <w:rPr>
                <w:rFonts w:asciiTheme="minorHAnsi" w:hAnsiTheme="minorHAnsi" w:cs="Times New Roman"/>
                <w:color w:val="000000"/>
              </w:rPr>
              <w:t>)</w:t>
            </w:r>
          </w:p>
          <w:p w14:paraId="72C586ED" w14:textId="77777777" w:rsidR="00CF59E1" w:rsidRPr="00D04661" w:rsidRDefault="00CF59E1" w:rsidP="00CF59E1">
            <w:pPr>
              <w:spacing w:after="120"/>
              <w:rPr>
                <w:rFonts w:asciiTheme="minorHAnsi" w:hAnsiTheme="minorHAnsi" w:cs="Times New Roman"/>
                <w:color w:val="000000"/>
              </w:rPr>
            </w:pPr>
            <w:r>
              <w:rPr>
                <w:rFonts w:asciiTheme="minorHAnsi" w:hAnsiTheme="minorHAnsi" w:cs="Times New Roman"/>
                <w:color w:val="000000"/>
              </w:rPr>
              <w:t>“</w:t>
            </w:r>
            <w:r w:rsidRPr="00D04661">
              <w:rPr>
                <w:rFonts w:asciiTheme="minorHAnsi" w:hAnsiTheme="minorHAnsi" w:cs="Times New Roman"/>
                <w:color w:val="000000"/>
              </w:rPr>
              <w:t>Land titles at the resettlement sites are in the name of both spouses or of single heads of household, regardless of gender, if this does not conflict with the borrower or client’s own laws and legislation.</w:t>
            </w:r>
            <w:r>
              <w:rPr>
                <w:rFonts w:asciiTheme="minorHAnsi" w:hAnsiTheme="minorHAnsi" w:cs="Times New Roman"/>
                <w:color w:val="000000"/>
              </w:rPr>
              <w:t>”</w:t>
            </w:r>
            <w:r w:rsidRPr="00D04661">
              <w:rPr>
                <w:rFonts w:asciiTheme="minorHAnsi" w:hAnsiTheme="minorHAnsi" w:cs="Times New Roman"/>
                <w:color w:val="000000"/>
              </w:rPr>
              <w:t xml:space="preserve"> (</w:t>
            </w:r>
            <w:r w:rsidRPr="00D04661">
              <w:rPr>
                <w:rFonts w:asciiTheme="minorHAnsi" w:hAnsiTheme="minorHAnsi" w:cs="Times New Roman"/>
                <w:b/>
                <w:color w:val="000000"/>
              </w:rPr>
              <w:t>AfDB, OS 2, para. 55</w:t>
            </w:r>
            <w:r w:rsidRPr="00D04661">
              <w:rPr>
                <w:rFonts w:asciiTheme="minorHAnsi" w:hAnsiTheme="minorHAnsi" w:cs="Times New Roman"/>
                <w:color w:val="000000"/>
              </w:rPr>
              <w:t>)</w:t>
            </w:r>
          </w:p>
          <w:p w14:paraId="1ED63034" w14:textId="77777777" w:rsidR="00CF59E1" w:rsidRPr="00D04661" w:rsidRDefault="00CF59E1" w:rsidP="00CF59E1">
            <w:pPr>
              <w:spacing w:after="120"/>
              <w:rPr>
                <w:rFonts w:asciiTheme="minorHAnsi" w:hAnsiTheme="minorHAnsi" w:cs="Times New Roman"/>
                <w:color w:val="000000"/>
              </w:rPr>
            </w:pPr>
            <w:r>
              <w:rPr>
                <w:rFonts w:asciiTheme="minorHAnsi" w:hAnsiTheme="minorHAnsi" w:cs="Times New Roman"/>
                <w:color w:val="000000"/>
              </w:rPr>
              <w:t>“</w:t>
            </w:r>
            <w:r w:rsidRPr="00D04661">
              <w:rPr>
                <w:rFonts w:asciiTheme="minorHAnsi" w:hAnsiTheme="minorHAnsi" w:cs="Times New Roman"/>
                <w:color w:val="000000"/>
              </w:rPr>
              <w:t>Husbands and wives, unmarried women, and elderly sons and daughters are explicitly included as eligible for compensation, including compensation for loss of land, shelter, livelihoods and any other privately owned assets. Compensation payments to families are made to both husbands and wives when this is technically feasible and socially acceptable.</w:t>
            </w:r>
            <w:r>
              <w:rPr>
                <w:rFonts w:asciiTheme="minorHAnsi" w:hAnsiTheme="minorHAnsi" w:cs="Times New Roman"/>
                <w:color w:val="000000"/>
              </w:rPr>
              <w:t>”</w:t>
            </w:r>
            <w:r w:rsidRPr="00D04661">
              <w:rPr>
                <w:rFonts w:asciiTheme="minorHAnsi" w:hAnsiTheme="minorHAnsi" w:cs="Times New Roman"/>
                <w:color w:val="000000"/>
              </w:rPr>
              <w:t xml:space="preserve"> (</w:t>
            </w:r>
            <w:r w:rsidRPr="00D04661">
              <w:rPr>
                <w:rFonts w:asciiTheme="minorHAnsi" w:hAnsiTheme="minorHAnsi" w:cs="Times New Roman"/>
                <w:b/>
                <w:color w:val="000000"/>
              </w:rPr>
              <w:t>AfDB, OS 2, para. 55</w:t>
            </w:r>
            <w:r w:rsidRPr="00D04661">
              <w:rPr>
                <w:rFonts w:asciiTheme="minorHAnsi" w:hAnsiTheme="minorHAnsi" w:cs="Times New Roman"/>
                <w:color w:val="000000"/>
              </w:rPr>
              <w:t xml:space="preserve">) </w:t>
            </w:r>
          </w:p>
          <w:p w14:paraId="1A040958"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 xml:space="preserve">Baseline information must include information on socio-economic and cultural characteristics of affected people, </w:t>
            </w:r>
            <w:r>
              <w:rPr>
                <w:rFonts w:asciiTheme="minorHAnsi" w:eastAsia="Times New Roman" w:hAnsiTheme="minorHAnsi" w:cs="Calibri"/>
              </w:rPr>
              <w:t>“</w:t>
            </w:r>
            <w:r w:rsidRPr="00D04661">
              <w:rPr>
                <w:rFonts w:asciiTheme="minorHAnsi" w:eastAsia="Times New Roman" w:hAnsiTheme="minorHAnsi" w:cs="Calibri"/>
              </w:rPr>
              <w:t>including disaggregation by gender</w:t>
            </w:r>
            <w:r>
              <w:rPr>
                <w:rFonts w:asciiTheme="minorHAnsi" w:eastAsia="Times New Roman" w:hAnsiTheme="minorHAnsi" w:cs="Calibri"/>
              </w:rPr>
              <w:t>”</w:t>
            </w:r>
            <w:r w:rsidRPr="00D04661">
              <w:rPr>
                <w:rFonts w:asciiTheme="minorHAnsi" w:eastAsia="Times New Roman" w:hAnsiTheme="minorHAnsi" w:cs="Calibri"/>
              </w:rPr>
              <w:t xml:space="preserve"> and that this data must be used as </w:t>
            </w:r>
            <w:r>
              <w:rPr>
                <w:rFonts w:asciiTheme="minorHAnsi" w:eastAsia="Times New Roman" w:hAnsiTheme="minorHAnsi" w:cs="Calibri"/>
              </w:rPr>
              <w:t>“</w:t>
            </w:r>
            <w:r w:rsidRPr="00D04661">
              <w:rPr>
                <w:rFonts w:asciiTheme="minorHAnsi" w:eastAsia="Times New Roman" w:hAnsiTheme="minorHAnsi" w:cs="Calibri"/>
              </w:rPr>
              <w:t>an important basis for the definition of eligibility …compensation and rehabilitation requirements.</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IDB, Policy on Involuntary Resettlement</w:t>
            </w:r>
            <w:r w:rsidRPr="00D04661">
              <w:rPr>
                <w:rStyle w:val="FootnoteReference"/>
                <w:rFonts w:asciiTheme="minorHAnsi" w:eastAsia="Times New Roman" w:hAnsiTheme="minorHAnsi" w:cs="Calibri"/>
                <w:b/>
              </w:rPr>
              <w:footnoteReference w:id="234"/>
            </w:r>
            <w:r w:rsidRPr="00D04661">
              <w:rPr>
                <w:rFonts w:asciiTheme="minorHAnsi" w:eastAsia="Times New Roman" w:hAnsiTheme="minorHAnsi" w:cs="Calibri"/>
              </w:rPr>
              <w:t>)</w:t>
            </w:r>
          </w:p>
          <w:p w14:paraId="27E72F44" w14:textId="77777777" w:rsidR="00CF59E1" w:rsidRPr="00D04661" w:rsidRDefault="00CF59E1" w:rsidP="00CF59E1">
            <w:pPr>
              <w:spacing w:after="120"/>
              <w:rPr>
                <w:rFonts w:asciiTheme="minorHAnsi" w:hAnsiTheme="minorHAnsi" w:cs="Times New Roman"/>
                <w:color w:val="000000"/>
              </w:rPr>
            </w:pPr>
            <w:r>
              <w:rPr>
                <w:rFonts w:asciiTheme="minorHAnsi" w:hAnsiTheme="minorHAnsi" w:cs="Times New Roman"/>
                <w:color w:val="000000"/>
              </w:rPr>
              <w:t>“</w:t>
            </w:r>
            <w:r w:rsidRPr="00D04661">
              <w:rPr>
                <w:rFonts w:asciiTheme="minorHAnsi" w:hAnsiTheme="minorHAnsi" w:cs="Times New Roman"/>
                <w:color w:val="000000"/>
              </w:rPr>
              <w:t xml:space="preserve">Vulnerable status can be determined by identifying a group’s likelihood of facing harder conditions as a result of the project, owing to such factors as gender, economic status, ethnicity, religion, cultural behaviour, sexual orientation, language or health condition. Depending on the specific context of the project, vulnerable groups may thus include female-headed households, those below the poverty line; the landless, some categories of children (orphans, homeless), marginalised social groups and indigenous peoples, those without legal title to assets; ethnic, religious and linguistic minorities; and those who are </w:t>
            </w:r>
            <w:r w:rsidRPr="00D04661">
              <w:rPr>
                <w:rFonts w:asciiTheme="minorHAnsi" w:hAnsiTheme="minorHAnsi" w:cs="Times New Roman"/>
                <w:i/>
                <w:color w:val="000000"/>
              </w:rPr>
              <w:t>physically handicapped</w:t>
            </w:r>
            <w:r>
              <w:rPr>
                <w:rFonts w:asciiTheme="minorHAnsi" w:hAnsiTheme="minorHAnsi" w:cs="Times New Roman"/>
                <w:i/>
                <w:color w:val="000000"/>
              </w:rPr>
              <w:t>.</w:t>
            </w:r>
            <w:r>
              <w:rPr>
                <w:rFonts w:asciiTheme="minorHAnsi" w:eastAsia="Times New Roman" w:hAnsiTheme="minorHAnsi" w:cs="Calibri"/>
              </w:rPr>
              <w:t>”</w:t>
            </w:r>
            <w:r w:rsidRPr="00D04661">
              <w:rPr>
                <w:rFonts w:asciiTheme="minorHAnsi" w:hAnsiTheme="minorHAnsi" w:cs="Times New Roman"/>
                <w:color w:val="000000"/>
              </w:rPr>
              <w:t xml:space="preserve"> </w:t>
            </w:r>
            <w:r w:rsidRPr="00D04661">
              <w:rPr>
                <w:rFonts w:asciiTheme="minorHAnsi" w:eastAsia="Times New Roman" w:hAnsiTheme="minorHAnsi" w:cs="Calibri"/>
              </w:rPr>
              <w:t>(</w:t>
            </w:r>
            <w:r w:rsidRPr="00D04661">
              <w:rPr>
                <w:rFonts w:asciiTheme="minorHAnsi" w:eastAsia="Times New Roman" w:hAnsiTheme="minorHAnsi" w:cs="Calibri"/>
                <w:b/>
              </w:rPr>
              <w:t>AfDB</w:t>
            </w:r>
            <w:r w:rsidRPr="00D04661">
              <w:rPr>
                <w:rFonts w:asciiTheme="minorHAnsi" w:eastAsia="Times New Roman" w:hAnsiTheme="minorHAnsi" w:cs="Calibri"/>
                <w:b/>
                <w:i/>
              </w:rPr>
              <w:t>,</w:t>
            </w:r>
            <w:r w:rsidRPr="00D04661">
              <w:rPr>
                <w:rFonts w:asciiTheme="minorHAnsi" w:eastAsia="Times New Roman" w:hAnsiTheme="minorHAnsi" w:cs="Calibri"/>
                <w:b/>
              </w:rPr>
              <w:t xml:space="preserve"> OS 2, para. 39</w:t>
            </w:r>
            <w:r w:rsidRPr="00D04661">
              <w:rPr>
                <w:rFonts w:asciiTheme="minorHAnsi" w:eastAsia="Times New Roman" w:hAnsiTheme="minorHAnsi" w:cs="Calibri"/>
              </w:rPr>
              <w:t>)</w:t>
            </w:r>
            <w:r w:rsidRPr="00D04661">
              <w:rPr>
                <w:rFonts w:asciiTheme="minorHAnsi" w:eastAsia="Times New Roman" w:hAnsiTheme="minorHAnsi" w:cs="Calibri"/>
                <w:i/>
              </w:rPr>
              <w:t xml:space="preserve"> (emphasis added</w:t>
            </w:r>
            <w:r w:rsidRPr="00D04661">
              <w:rPr>
                <w:rFonts w:asciiTheme="minorHAnsi" w:eastAsia="Times New Roman" w:hAnsiTheme="minorHAnsi" w:cs="Calibri"/>
                <w:i/>
                <w:iCs/>
              </w:rPr>
              <w:t>)</w:t>
            </w:r>
          </w:p>
          <w:p w14:paraId="6B0D0351" w14:textId="77777777" w:rsidR="00CF59E1" w:rsidRPr="00D04661" w:rsidRDefault="00CF59E1" w:rsidP="00CF59E1">
            <w:pPr>
              <w:pStyle w:val="PlainText"/>
              <w:overflowPunct w:val="0"/>
              <w:autoSpaceDE w:val="0"/>
              <w:autoSpaceDN w:val="0"/>
              <w:adjustRightInd w:val="0"/>
              <w:spacing w:after="120"/>
              <w:jc w:val="left"/>
              <w:textAlignment w:val="baseline"/>
              <w:rPr>
                <w:rFonts w:asciiTheme="minorHAnsi" w:hAnsiTheme="minorHAnsi" w:cs="Calibri"/>
                <w:sz w:val="22"/>
                <w:szCs w:val="22"/>
                <w:lang w:val="en-US"/>
              </w:rPr>
            </w:pPr>
            <w:r>
              <w:rPr>
                <w:rFonts w:asciiTheme="minorHAnsi" w:hAnsiTheme="minorHAnsi" w:cs="Calibri"/>
                <w:sz w:val="22"/>
                <w:szCs w:val="22"/>
                <w:lang w:val="en-US"/>
              </w:rPr>
              <w:t>“</w:t>
            </w:r>
            <w:r w:rsidRPr="00D04661">
              <w:rPr>
                <w:rFonts w:asciiTheme="minorHAnsi" w:hAnsiTheme="minorHAnsi" w:cs="Calibri"/>
                <w:sz w:val="22"/>
                <w:szCs w:val="22"/>
                <w:lang w:val="en-US"/>
              </w:rPr>
              <w:t>The promoter must ensure that compensation and income restoration measures are implemented without discrimination based on gender, race, ethnicity, religion, disability or other prohibited grounds. Regarding gender, the promoter must ensure equal treatment of women during compensation and income restoration processes, especially with regard to women’s rights and interests in land, property, assets, and compensation and relocation assistance, even where these are not recognised in formal law. Within household units, it is encouraged that titles of replacement land and structures are issued in the names of the head of household and his wife, rather than merely the former.</w:t>
            </w:r>
            <w:r>
              <w:rPr>
                <w:rFonts w:asciiTheme="minorHAnsi" w:hAnsiTheme="minorHAnsi" w:cs="Calibri"/>
                <w:sz w:val="22"/>
                <w:szCs w:val="22"/>
                <w:lang w:val="en-US"/>
              </w:rPr>
              <w:t>”</w:t>
            </w:r>
            <w:r w:rsidRPr="00D04661">
              <w:rPr>
                <w:rFonts w:asciiTheme="minorHAnsi" w:hAnsiTheme="minorHAnsi" w:cs="Calibri"/>
                <w:sz w:val="22"/>
                <w:szCs w:val="22"/>
                <w:lang w:val="en-US"/>
              </w:rPr>
              <w:t xml:space="preserve"> (</w:t>
            </w:r>
            <w:r w:rsidRPr="00D04661">
              <w:rPr>
                <w:rFonts w:asciiTheme="minorHAnsi" w:hAnsiTheme="minorHAnsi" w:cs="Calibri"/>
                <w:b/>
                <w:sz w:val="22"/>
                <w:szCs w:val="22"/>
                <w:lang w:val="en-US"/>
              </w:rPr>
              <w:t>EIB ESH, ESS 6, para. 47)</w:t>
            </w:r>
          </w:p>
        </w:tc>
      </w:tr>
      <w:tr w:rsidR="00CF59E1" w:rsidRPr="00D8522E" w14:paraId="65EEB682" w14:textId="77777777" w:rsidTr="00CF59E1">
        <w:tc>
          <w:tcPr>
            <w:tcW w:w="6390" w:type="dxa"/>
            <w:vMerge w:val="restart"/>
            <w:shd w:val="clear" w:color="auto" w:fill="auto"/>
            <w:vAlign w:val="center"/>
          </w:tcPr>
          <w:p w14:paraId="0F609848"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IMPLEMENTATION MONITORING, SUPERVISION AND EVALUATION</w:t>
            </w:r>
          </w:p>
          <w:p w14:paraId="07BEC06D"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Monitoring</w:t>
            </w:r>
          </w:p>
          <w:p w14:paraId="3BE8C6E7"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rPr>
            </w:pPr>
            <w:r w:rsidRPr="00D04661">
              <w:rPr>
                <w:rFonts w:asciiTheme="minorHAnsi" w:hAnsiTheme="minorHAnsi" w:cs="Arial"/>
              </w:rPr>
              <w:t xml:space="preserve">OP 4.12 para. 24: </w:t>
            </w:r>
            <w:r>
              <w:rPr>
                <w:rFonts w:asciiTheme="minorHAnsi" w:hAnsiTheme="minorHAnsi" w:cs="Arial"/>
              </w:rPr>
              <w:t>“</w:t>
            </w:r>
            <w:r w:rsidRPr="00D04661">
              <w:rPr>
                <w:rFonts w:asciiTheme="minorHAnsi" w:hAnsiTheme="minorHAnsi" w:cs="Arial"/>
              </w:rPr>
              <w:t xml:space="preserve">The borrower is responsible for adequate monitoring … of the activities set forth in the resettlement instrument... </w:t>
            </w:r>
          </w:p>
        </w:tc>
        <w:tc>
          <w:tcPr>
            <w:tcW w:w="7200" w:type="dxa"/>
            <w:shd w:val="clear" w:color="auto" w:fill="auto"/>
          </w:tcPr>
          <w:p w14:paraId="6C235352" w14:textId="77777777" w:rsidR="00CF59E1" w:rsidRPr="00D04661" w:rsidRDefault="00CF59E1" w:rsidP="00CF59E1">
            <w:pPr>
              <w:autoSpaceDE/>
              <w:autoSpaceDN/>
              <w:adjustRightInd/>
              <w:spacing w:after="120"/>
              <w:rPr>
                <w:rFonts w:asciiTheme="minorHAnsi" w:eastAsia="Times New Roman" w:hAnsiTheme="minorHAnsi" w:cs="Calibri"/>
              </w:rPr>
            </w:pPr>
            <w:r w:rsidRPr="00D04661">
              <w:rPr>
                <w:rFonts w:asciiTheme="minorHAnsi" w:eastAsia="Times New Roman" w:hAnsiTheme="minorHAnsi" w:cs="Calibri"/>
              </w:rPr>
              <w:t xml:space="preserve">ADB requires the borrower to prepare monitoring reports </w:t>
            </w:r>
            <w:r>
              <w:rPr>
                <w:rFonts w:asciiTheme="minorHAnsi" w:eastAsia="Times New Roman" w:hAnsiTheme="minorHAnsi" w:cs="Calibri"/>
              </w:rPr>
              <w:t>“</w:t>
            </w:r>
            <w:r w:rsidRPr="00D04661">
              <w:rPr>
                <w:rFonts w:asciiTheme="minorHAnsi" w:eastAsia="Times New Roman" w:hAnsiTheme="minorHAnsi" w:cs="Calibri"/>
              </w:rPr>
              <w:t>to ensure that the implementation of the RP has produced the desired outcomes.</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 SPS, Appendix 2, para. 30)</w:t>
            </w:r>
          </w:p>
          <w:p w14:paraId="224074F7"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 xml:space="preserve">For projects with ‘significant IR impacts’ [ADB requires the borrower to] retain </w:t>
            </w:r>
            <w:r w:rsidRPr="00D04661">
              <w:rPr>
                <w:rFonts w:asciiTheme="minorHAnsi" w:hAnsiTheme="minorHAnsi" w:cs="Arial"/>
              </w:rPr>
              <w:t xml:space="preserve">qualified and experienced external experts or </w:t>
            </w:r>
            <w:r w:rsidRPr="00D04661">
              <w:rPr>
                <w:rFonts w:asciiTheme="minorHAnsi" w:eastAsia="Times New Roman" w:hAnsiTheme="minorHAnsi" w:cs="Calibri"/>
              </w:rPr>
              <w:t>qualified NGOs</w:t>
            </w:r>
            <w:r>
              <w:rPr>
                <w:rFonts w:asciiTheme="minorHAnsi" w:eastAsia="Times New Roman" w:hAnsiTheme="minorHAnsi" w:cs="Calibri"/>
              </w:rPr>
              <w:t>”</w:t>
            </w:r>
            <w:r w:rsidRPr="00D04661">
              <w:rPr>
                <w:rFonts w:asciiTheme="minorHAnsi" w:eastAsia="Times New Roman" w:hAnsiTheme="minorHAnsi" w:cs="Calibri"/>
              </w:rPr>
              <w:t xml:space="preserve"> and to </w:t>
            </w:r>
            <w:r>
              <w:rPr>
                <w:rFonts w:asciiTheme="minorHAnsi" w:eastAsia="Times New Roman" w:hAnsiTheme="minorHAnsi" w:cs="Calibri"/>
              </w:rPr>
              <w:t>“</w:t>
            </w:r>
            <w:r w:rsidRPr="00D04661">
              <w:rPr>
                <w:rFonts w:asciiTheme="minorHAnsi" w:eastAsia="Times New Roman" w:hAnsiTheme="minorHAnsi" w:cs="Calibri"/>
              </w:rPr>
              <w:t>verify the borrower’s… monitoring information.</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 SPS, Appendix 2, para. 30</w:t>
            </w:r>
            <w:r w:rsidRPr="00D04661">
              <w:rPr>
                <w:rFonts w:asciiTheme="minorHAnsi" w:eastAsia="Times New Roman" w:hAnsiTheme="minorHAnsi" w:cs="Calibri"/>
              </w:rPr>
              <w:t>)</w:t>
            </w:r>
          </w:p>
          <w:p w14:paraId="1DD3EB18"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hAnsiTheme="minorHAnsi" w:cs="Arial"/>
                <w:lang w:val="en-CA"/>
              </w:rPr>
              <w:t>“</w:t>
            </w:r>
            <w:r w:rsidRPr="00D04661">
              <w:rPr>
                <w:rFonts w:asciiTheme="minorHAnsi" w:hAnsiTheme="minorHAnsi" w:cs="Arial"/>
                <w:lang w:val="en-CA"/>
              </w:rPr>
              <w:t>The promoter’s obligations to implement a RAP and to report to the EIB on implementation progress will be provided for in the project’s legal agreements.</w:t>
            </w:r>
            <w:r>
              <w:rPr>
                <w:rFonts w:asciiTheme="minorHAnsi" w:hAnsiTheme="minorHAnsi" w:cs="Arial"/>
                <w:lang w:val="en-CA"/>
              </w:rPr>
              <w:t>”</w:t>
            </w:r>
            <w:r w:rsidRPr="00D04661">
              <w:rPr>
                <w:rFonts w:asciiTheme="minorHAnsi" w:hAnsiTheme="minorHAnsi" w:cs="Arial"/>
                <w:lang w:val="en-CA"/>
              </w:rPr>
              <w:t xml:space="preserve"> (</w:t>
            </w:r>
            <w:r w:rsidRPr="00D04661">
              <w:rPr>
                <w:rFonts w:asciiTheme="minorHAnsi" w:hAnsiTheme="minorHAnsi" w:cs="Arial"/>
                <w:b/>
                <w:lang w:val="en-CA"/>
              </w:rPr>
              <w:t>EIB, ESH, ESS 6, para.70</w:t>
            </w:r>
            <w:r w:rsidRPr="00D04661">
              <w:rPr>
                <w:rFonts w:asciiTheme="minorHAnsi" w:hAnsiTheme="minorHAnsi" w:cs="Arial"/>
                <w:lang w:val="en-CA"/>
              </w:rPr>
              <w:t>)</w:t>
            </w:r>
          </w:p>
        </w:tc>
      </w:tr>
      <w:tr w:rsidR="00CF59E1" w:rsidRPr="00D8522E" w14:paraId="4356A12B" w14:textId="77777777" w:rsidTr="00CF59E1">
        <w:tc>
          <w:tcPr>
            <w:tcW w:w="6390" w:type="dxa"/>
            <w:vMerge/>
            <w:shd w:val="clear" w:color="auto" w:fill="auto"/>
            <w:vAlign w:val="center"/>
          </w:tcPr>
          <w:p w14:paraId="11DC7B50"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u w:val="single"/>
              </w:rPr>
            </w:pPr>
          </w:p>
        </w:tc>
        <w:tc>
          <w:tcPr>
            <w:tcW w:w="7200" w:type="dxa"/>
            <w:shd w:val="clear" w:color="auto" w:fill="auto"/>
          </w:tcPr>
          <w:p w14:paraId="5273569F"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Monitoring activities shall include a review of the grievance and redress mechanism……. Monitoring shall also evaluate the borrower or client’s commitment to the RAP and the availability of sufficient financial resources, as identified in the budget, for accomplishment of the RAP.</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AfDB, OS 2, para. 61</w:t>
            </w:r>
            <w:r w:rsidRPr="00D04661">
              <w:rPr>
                <w:rFonts w:asciiTheme="minorHAnsi" w:eastAsia="Times New Roman" w:hAnsiTheme="minorHAnsi" w:cs="Calibri"/>
              </w:rPr>
              <w:t>)</w:t>
            </w:r>
          </w:p>
          <w:p w14:paraId="2DCEF232"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A56233">
              <w:rPr>
                <w:rFonts w:asciiTheme="minorHAnsi" w:hAnsiTheme="minorHAnsi" w:cs="Times New Roman"/>
              </w:rPr>
              <w:t>An independent third party monitors the implementation of large-scale or complicated Resettlement Action Plans, with regular feedback from the affected people</w:t>
            </w:r>
            <w:r w:rsidRPr="00A56233">
              <w:rPr>
                <w:rFonts w:asciiTheme="minorHAnsi" w:eastAsia="Times New Roman" w:hAnsiTheme="minorHAnsi" w:cs="Calibri"/>
              </w:rPr>
              <w:t>.</w:t>
            </w:r>
            <w:r>
              <w:rPr>
                <w:rFonts w:asciiTheme="minorHAnsi" w:eastAsia="Times New Roman" w:hAnsiTheme="minorHAnsi" w:cs="Calibri"/>
              </w:rPr>
              <w:t>”</w:t>
            </w:r>
            <w:r w:rsidRPr="000F0C7E">
              <w:rPr>
                <w:rFonts w:asciiTheme="minorHAnsi" w:eastAsia="Times New Roman" w:hAnsiTheme="minorHAnsi" w:cs="Calibri"/>
              </w:rPr>
              <w:t xml:space="preserve"> (</w:t>
            </w:r>
            <w:r w:rsidRPr="000F0C7E">
              <w:rPr>
                <w:rFonts w:asciiTheme="minorHAnsi" w:eastAsia="Times New Roman" w:hAnsiTheme="minorHAnsi" w:cs="Calibri"/>
                <w:b/>
              </w:rPr>
              <w:t>AfDB</w:t>
            </w:r>
            <w:r w:rsidRPr="00D8522E">
              <w:rPr>
                <w:rFonts w:asciiTheme="minorHAnsi" w:eastAsia="Times New Roman" w:hAnsiTheme="minorHAnsi" w:cs="Calibri"/>
                <w:b/>
              </w:rPr>
              <w:t>, OS 2, para. 59)</w:t>
            </w:r>
          </w:p>
          <w:p w14:paraId="772E393C"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Affected people are also given the opportunity to participate in…implementation monitoring.</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AfDB, OS 2, para. 59</w:t>
            </w:r>
            <w:r w:rsidRPr="00D04661">
              <w:rPr>
                <w:rFonts w:asciiTheme="minorHAnsi" w:eastAsia="Times New Roman" w:hAnsiTheme="minorHAnsi" w:cs="Calibri"/>
              </w:rPr>
              <w:t>)</w:t>
            </w:r>
          </w:p>
        </w:tc>
      </w:tr>
      <w:tr w:rsidR="00CF59E1" w:rsidRPr="00D8522E" w14:paraId="35E58815" w14:textId="77777777" w:rsidTr="00CF59E1">
        <w:tc>
          <w:tcPr>
            <w:tcW w:w="6390" w:type="dxa"/>
            <w:vMerge/>
            <w:shd w:val="clear" w:color="auto" w:fill="auto"/>
            <w:vAlign w:val="center"/>
          </w:tcPr>
          <w:p w14:paraId="6D71B786"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u w:val="single"/>
              </w:rPr>
            </w:pPr>
          </w:p>
        </w:tc>
        <w:tc>
          <w:tcPr>
            <w:tcW w:w="7200" w:type="dxa"/>
            <w:shd w:val="clear" w:color="auto" w:fill="auto"/>
          </w:tcPr>
          <w:p w14:paraId="3E9A85C4"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 xml:space="preserve">The resettlement component of an operation must be fully and specifically covered in the reports on the progress of the overall project, and included in the logical framework of the operation. The monitoring activities will focus on compliance with the resettlement plan in terms of the social and economic conditions achieved or maintained in the resettled and host communities. The plan and the loan agreement will specify the monitoring and evaluation requirements and their timing. Whenever possible, qualitative and quantitative indicators will be included as benchmarks to evaluate those conditions at critical time intervals related to the progress of overall project execution. …In the case of global loans, the operational regulations will require Bank approval of the resettlement plan before a commitment is made to finance any subproject requiring resettlement. In all cases, independent supervision and multidisciplinary evaluation will be provided </w:t>
            </w:r>
            <w:r w:rsidRPr="00D04661">
              <w:rPr>
                <w:rFonts w:asciiTheme="minorHAnsi" w:hAnsiTheme="minorHAnsi" w:cs="Times New Roman"/>
              </w:rPr>
              <w:t>to the extent required by the complexity of the respective resettlement plan.</w:t>
            </w:r>
            <w:r>
              <w:rPr>
                <w:rFonts w:asciiTheme="minorHAnsi" w:hAnsiTheme="minorHAnsi" w:cs="Times New Roman"/>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IDB</w:t>
            </w:r>
            <w:r w:rsidRPr="00D04661">
              <w:rPr>
                <w:rFonts w:asciiTheme="minorHAnsi" w:eastAsia="Times New Roman" w:hAnsiTheme="minorHAnsi" w:cs="Calibri"/>
              </w:rPr>
              <w:t xml:space="preserve">, </w:t>
            </w:r>
            <w:r w:rsidRPr="00D04661">
              <w:rPr>
                <w:rFonts w:asciiTheme="minorHAnsi" w:eastAsia="Times New Roman" w:hAnsiTheme="minorHAnsi" w:cs="Calibri"/>
                <w:b/>
              </w:rPr>
              <w:t>Policy on Resettlement)</w:t>
            </w:r>
          </w:p>
          <w:p w14:paraId="490A943B" w14:textId="77777777" w:rsidR="00CF59E1" w:rsidRPr="00D04661" w:rsidRDefault="00CF59E1" w:rsidP="00CF59E1">
            <w:pPr>
              <w:spacing w:after="120"/>
              <w:rPr>
                <w:rFonts w:asciiTheme="minorHAnsi" w:hAnsiTheme="minorHAnsi" w:cs="Arial"/>
                <w:lang w:val="en-CA"/>
              </w:rPr>
            </w:pPr>
            <w:r>
              <w:rPr>
                <w:rFonts w:asciiTheme="minorHAnsi" w:hAnsiTheme="minorHAnsi" w:cs="Arial"/>
                <w:lang w:val="en-CA"/>
              </w:rPr>
              <w:t>“</w:t>
            </w:r>
            <w:r w:rsidRPr="00D04661">
              <w:rPr>
                <w:rFonts w:asciiTheme="minorHAnsi" w:hAnsiTheme="minorHAnsi" w:cs="Arial"/>
                <w:lang w:val="en-CA"/>
              </w:rPr>
              <w:t>The promoter shall set up necessary systems (i.e. resources, staff, and procedures) to monitor the implementation of a RAP on a regular basis and take corrective action as necessary. Affected persons will be consulted as part of the monitoring activities. The implementation and effectiveness of the resettlement action plan shall be subject to monitoring and review by qualified resettlement specialists and/or other independent third parties as appropriate and commensurate to the scale and risks involved in the resettlement.</w:t>
            </w:r>
            <w:r>
              <w:rPr>
                <w:rFonts w:asciiTheme="minorHAnsi" w:hAnsiTheme="minorHAnsi" w:cs="Arial"/>
                <w:lang w:val="en-CA"/>
              </w:rPr>
              <w:t>”</w:t>
            </w:r>
            <w:r w:rsidRPr="00D04661">
              <w:rPr>
                <w:rFonts w:asciiTheme="minorHAnsi" w:hAnsiTheme="minorHAnsi" w:cs="Arial"/>
                <w:lang w:val="en-CA"/>
              </w:rPr>
              <w:t xml:space="preserve"> (</w:t>
            </w:r>
            <w:r w:rsidRPr="00D04661">
              <w:rPr>
                <w:rFonts w:asciiTheme="minorHAnsi" w:hAnsiTheme="minorHAnsi" w:cs="Arial"/>
                <w:b/>
                <w:lang w:val="en-CA"/>
              </w:rPr>
              <w:t>EIB, ESH, ESS 6, para. 70)</w:t>
            </w:r>
          </w:p>
        </w:tc>
      </w:tr>
      <w:tr w:rsidR="00CF59E1" w:rsidRPr="00D8522E" w14:paraId="4E4B6077" w14:textId="77777777" w:rsidTr="00CF59E1">
        <w:tc>
          <w:tcPr>
            <w:tcW w:w="6390" w:type="dxa"/>
            <w:shd w:val="clear" w:color="auto" w:fill="auto"/>
            <w:vAlign w:val="center"/>
          </w:tcPr>
          <w:p w14:paraId="41A24FA4"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b/>
                <w:u w:val="single"/>
              </w:rPr>
            </w:pPr>
            <w:r w:rsidRPr="00D04661">
              <w:rPr>
                <w:rFonts w:asciiTheme="minorHAnsi" w:eastAsia="Times New Roman" w:hAnsiTheme="minorHAnsi" w:cs="Calibri"/>
                <w:b/>
              </w:rPr>
              <w:t>Reporting</w:t>
            </w:r>
          </w:p>
        </w:tc>
        <w:tc>
          <w:tcPr>
            <w:tcW w:w="7200" w:type="dxa"/>
            <w:shd w:val="clear" w:color="auto" w:fill="auto"/>
          </w:tcPr>
          <w:p w14:paraId="0AD62165"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 xml:space="preserve">The borrower will prepare semi-annual monitoring reports </w:t>
            </w:r>
            <w:r>
              <w:rPr>
                <w:rFonts w:asciiTheme="minorHAnsi" w:eastAsia="Times New Roman" w:hAnsiTheme="minorHAnsi" w:cs="Calibri"/>
              </w:rPr>
              <w:t>“</w:t>
            </w:r>
            <w:r w:rsidRPr="00D04661">
              <w:rPr>
                <w:rFonts w:asciiTheme="minorHAnsi" w:eastAsia="Times New Roman" w:hAnsiTheme="minorHAnsi" w:cs="Calibri"/>
              </w:rPr>
              <w:t>to describe the progress of the implementation of [IR] activities and any compliance issues and corrective actions.</w:t>
            </w:r>
            <w:r>
              <w:rPr>
                <w:rFonts w:asciiTheme="minorHAnsi" w:eastAsia="Times New Roman" w:hAnsiTheme="minorHAnsi" w:cs="Calibri"/>
              </w:rPr>
              <w:t>”</w:t>
            </w:r>
            <w:r w:rsidRPr="00D04661">
              <w:rPr>
                <w:rFonts w:asciiTheme="minorHAnsi" w:eastAsia="Times New Roman" w:hAnsiTheme="minorHAnsi" w:cs="Calibri"/>
              </w:rPr>
              <w:t xml:space="preserve"> These reports are to </w:t>
            </w:r>
            <w:r>
              <w:rPr>
                <w:rFonts w:asciiTheme="minorHAnsi" w:eastAsia="Times New Roman" w:hAnsiTheme="minorHAnsi" w:cs="Calibri"/>
              </w:rPr>
              <w:t>“</w:t>
            </w:r>
            <w:r w:rsidRPr="00D04661">
              <w:rPr>
                <w:rFonts w:asciiTheme="minorHAnsi" w:eastAsia="Times New Roman" w:hAnsiTheme="minorHAnsi" w:cs="Calibri"/>
              </w:rPr>
              <w:t>closely follow the [IR] monitoring indicators agreed at the time of [RP] approval.</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 SPS, Appendix 2, para. 31)</w:t>
            </w:r>
          </w:p>
          <w:p w14:paraId="53CBD8DC"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hAnsiTheme="minorHAnsi" w:cs="Arial"/>
                <w:lang w:val="en-CA"/>
              </w:rPr>
              <w:t>“</w:t>
            </w:r>
            <w:r w:rsidRPr="00D04661">
              <w:rPr>
                <w:rFonts w:asciiTheme="minorHAnsi" w:hAnsiTheme="minorHAnsi" w:cs="Arial"/>
                <w:lang w:val="en-CA"/>
              </w:rPr>
              <w:t>It is good practice for the promoter to present to the EIB an accountability report upon the completion of the RAP implementation, prepared by an external party. The accountability audit will include, at a minimum, a review of the mitigation measures implemented by the promoter, a comparison of implementation outcomes against agreed objectives, and a conclusion as to whether any follow-up actions and further monitoring are needed.</w:t>
            </w:r>
            <w:r>
              <w:rPr>
                <w:rFonts w:asciiTheme="minorHAnsi" w:hAnsiTheme="minorHAnsi" w:cs="Arial"/>
                <w:lang w:val="en-CA"/>
              </w:rPr>
              <w:t>”</w:t>
            </w:r>
            <w:r w:rsidRPr="00D04661">
              <w:rPr>
                <w:rFonts w:asciiTheme="minorHAnsi" w:hAnsiTheme="minorHAnsi" w:cs="Arial"/>
                <w:lang w:val="en-CA"/>
              </w:rPr>
              <w:t xml:space="preserve"> (</w:t>
            </w:r>
            <w:r w:rsidRPr="00D04661">
              <w:rPr>
                <w:rFonts w:asciiTheme="minorHAnsi" w:hAnsiTheme="minorHAnsi" w:cs="Arial"/>
                <w:b/>
                <w:lang w:val="en-CA"/>
              </w:rPr>
              <w:t>EIB, ESH, ESS 6 para. 71)</w:t>
            </w:r>
            <w:r w:rsidRPr="00D04661">
              <w:rPr>
                <w:rFonts w:asciiTheme="minorHAnsi" w:hAnsiTheme="minorHAnsi" w:cs="Arial"/>
                <w:lang w:val="en-CA"/>
              </w:rPr>
              <w:t>)</w:t>
            </w:r>
          </w:p>
        </w:tc>
      </w:tr>
      <w:tr w:rsidR="00CF59E1" w:rsidRPr="00D8522E" w14:paraId="10B7E4B5" w14:textId="77777777" w:rsidTr="00CF59E1">
        <w:tc>
          <w:tcPr>
            <w:tcW w:w="6390" w:type="dxa"/>
            <w:shd w:val="clear" w:color="auto" w:fill="auto"/>
            <w:vAlign w:val="center"/>
          </w:tcPr>
          <w:p w14:paraId="3CC08854"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 xml:space="preserve">Supervision </w:t>
            </w:r>
          </w:p>
          <w:p w14:paraId="413AC2DA"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rPr>
            </w:pPr>
            <w:r w:rsidRPr="00D04661">
              <w:rPr>
                <w:rFonts w:asciiTheme="minorHAnsi" w:eastAsia="Times New Roman" w:hAnsiTheme="minorHAnsi" w:cs="Calibri"/>
              </w:rPr>
              <w:t xml:space="preserve">OP 4.12 </w:t>
            </w:r>
            <w:r>
              <w:rPr>
                <w:rFonts w:asciiTheme="minorHAnsi" w:eastAsia="Times New Roman" w:hAnsiTheme="minorHAnsi" w:cs="Calibri"/>
              </w:rPr>
              <w:t xml:space="preserve">para. </w:t>
            </w:r>
            <w:r w:rsidRPr="00D04661">
              <w:rPr>
                <w:rFonts w:asciiTheme="minorHAnsi" w:eastAsia="Times New Roman" w:hAnsiTheme="minorHAnsi" w:cs="Calibri"/>
              </w:rPr>
              <w:t>24…</w:t>
            </w:r>
            <w:r w:rsidRPr="00D04661">
              <w:rPr>
                <w:rFonts w:asciiTheme="minorHAnsi" w:hAnsiTheme="minorHAnsi" w:cs="Arial"/>
              </w:rPr>
              <w:t>The Bank regularly supervises resettlement implementation to determine compliance with the resettlement instrument</w:t>
            </w:r>
          </w:p>
        </w:tc>
        <w:tc>
          <w:tcPr>
            <w:tcW w:w="7200" w:type="dxa"/>
            <w:shd w:val="clear" w:color="auto" w:fill="auto"/>
          </w:tcPr>
          <w:p w14:paraId="0651F1DA" w14:textId="77777777" w:rsidR="00CF59E1" w:rsidRPr="00D04661" w:rsidRDefault="00CF59E1" w:rsidP="00CF59E1">
            <w:pPr>
              <w:spacing w:after="120"/>
              <w:rPr>
                <w:rFonts w:asciiTheme="minorHAnsi" w:eastAsia="Times New Roman" w:hAnsiTheme="minorHAnsi" w:cs="Calibri"/>
              </w:rPr>
            </w:pPr>
            <w:r w:rsidRPr="00D04661">
              <w:rPr>
                <w:rFonts w:asciiTheme="minorHAnsi" w:eastAsia="Times New Roman" w:hAnsiTheme="minorHAnsi" w:cs="Calibri"/>
              </w:rPr>
              <w:t>[</w:t>
            </w:r>
            <w:r w:rsidRPr="00D04661">
              <w:rPr>
                <w:rFonts w:asciiTheme="minorHAnsi" w:eastAsia="Times New Roman" w:hAnsiTheme="minorHAnsi" w:cs="Calibri"/>
                <w:b/>
              </w:rPr>
              <w:t>ADB</w:t>
            </w:r>
            <w:r w:rsidRPr="00D04661">
              <w:rPr>
                <w:rFonts w:asciiTheme="minorHAnsi" w:eastAsia="Times New Roman" w:hAnsiTheme="minorHAnsi" w:cs="Calibri"/>
              </w:rPr>
              <w:t xml:space="preserve">] </w:t>
            </w:r>
            <w:r>
              <w:rPr>
                <w:rFonts w:asciiTheme="minorHAnsi" w:eastAsia="Times New Roman" w:hAnsiTheme="minorHAnsi" w:cs="Calibri"/>
              </w:rPr>
              <w:t>“</w:t>
            </w:r>
            <w:r w:rsidRPr="00D04661">
              <w:rPr>
                <w:rFonts w:asciiTheme="minorHAnsi" w:eastAsia="Times New Roman" w:hAnsiTheme="minorHAnsi" w:cs="Calibri"/>
              </w:rPr>
              <w:t xml:space="preserve">will conduct periodical site visits to projects with adverse…social impacts; </w:t>
            </w:r>
            <w:r w:rsidRPr="00A56233">
              <w:rPr>
                <w:rFonts w:asciiTheme="minorHAnsi" w:eastAsia="Times New Roman" w:hAnsiTheme="minorHAnsi" w:cs="Calibri"/>
              </w:rPr>
              <w:t xml:space="preserve">…conduct supervision mission with detailed review by </w:t>
            </w:r>
            <w:r w:rsidRPr="00A56233">
              <w:rPr>
                <w:rFonts w:asciiTheme="minorHAnsi" w:eastAsia="Times New Roman" w:hAnsiTheme="minorHAnsi" w:cs="Calibri"/>
                <w:b/>
              </w:rPr>
              <w:t>ADB</w:t>
            </w:r>
            <w:r w:rsidRPr="000F0C7E">
              <w:rPr>
                <w:rFonts w:asciiTheme="minorHAnsi" w:eastAsia="Times New Roman" w:hAnsiTheme="minorHAnsi" w:cs="Calibri"/>
              </w:rPr>
              <w:t>’s safeguard specialist or officers or consultants for projects with significant adverse…social impacts.</w:t>
            </w:r>
            <w:r>
              <w:rPr>
                <w:rFonts w:asciiTheme="minorHAnsi" w:eastAsia="Times New Roman" w:hAnsiTheme="minorHAnsi" w:cs="Calibri"/>
              </w:rPr>
              <w:t>”</w:t>
            </w:r>
            <w:r w:rsidRPr="00A56233">
              <w:rPr>
                <w:rFonts w:asciiTheme="minorHAnsi" w:eastAsia="Times New Roman" w:hAnsiTheme="minorHAnsi" w:cs="Calibri"/>
                <w:vertAlign w:val="superscript"/>
              </w:rPr>
              <w:footnoteReference w:id="235"/>
            </w:r>
            <w:r w:rsidRPr="00A56233">
              <w:rPr>
                <w:rFonts w:asciiTheme="minorHAnsi" w:eastAsia="Times New Roman" w:hAnsiTheme="minorHAnsi" w:cs="Calibri"/>
              </w:rPr>
              <w:t xml:space="preserve"> (</w:t>
            </w:r>
            <w:r w:rsidRPr="00A56233">
              <w:rPr>
                <w:rFonts w:asciiTheme="minorHAnsi" w:eastAsia="Times New Roman" w:hAnsiTheme="minorHAnsi" w:cs="Calibri"/>
                <w:b/>
              </w:rPr>
              <w:t>ADB, SPS,</w:t>
            </w:r>
            <w:r w:rsidRPr="000F0C7E">
              <w:rPr>
                <w:rFonts w:asciiTheme="minorHAnsi" w:hAnsiTheme="minorHAnsi" w:cs="Arial"/>
                <w:b/>
                <w:bCs/>
              </w:rPr>
              <w:t xml:space="preserve"> Policy Delivery Process, General Requirements, para. 58 (ii)</w:t>
            </w:r>
            <w:r w:rsidRPr="00D8522E">
              <w:rPr>
                <w:rFonts w:asciiTheme="minorHAnsi" w:hAnsiTheme="minorHAnsi" w:cs="Arial"/>
                <w:b/>
                <w:bCs/>
              </w:rPr>
              <w:t>)</w:t>
            </w:r>
            <w:r w:rsidRPr="00D8522E">
              <w:rPr>
                <w:rFonts w:asciiTheme="minorHAnsi" w:eastAsia="Times New Roman" w:hAnsiTheme="minorHAnsi" w:cs="Calibri"/>
                <w:b/>
              </w:rPr>
              <w:t xml:space="preserve"> </w:t>
            </w:r>
          </w:p>
        </w:tc>
      </w:tr>
      <w:tr w:rsidR="00CF59E1" w:rsidRPr="00D8522E" w14:paraId="76752516" w14:textId="77777777" w:rsidTr="00CF59E1">
        <w:tc>
          <w:tcPr>
            <w:tcW w:w="6390" w:type="dxa"/>
            <w:vMerge w:val="restart"/>
            <w:shd w:val="clear" w:color="auto" w:fill="auto"/>
            <w:vAlign w:val="center"/>
          </w:tcPr>
          <w:p w14:paraId="79CDA32E"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Evaluation</w:t>
            </w:r>
          </w:p>
          <w:p w14:paraId="60FA1B16"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rPr>
            </w:pPr>
            <w:r w:rsidRPr="00D04661">
              <w:rPr>
                <w:rFonts w:asciiTheme="minorHAnsi" w:hAnsiTheme="minorHAnsi" w:cs="Arial"/>
              </w:rPr>
              <w:t>OP 4.12, para. 24….Upon completion of the project, the borrower undertakes an assessment to determine whether the objectives of the resettlement instrument have been achieved. The assessment takes into account the baseline conditions and the results of resettlement monitoring.</w:t>
            </w:r>
          </w:p>
        </w:tc>
        <w:tc>
          <w:tcPr>
            <w:tcW w:w="7200" w:type="dxa"/>
            <w:shd w:val="clear" w:color="auto" w:fill="auto"/>
          </w:tcPr>
          <w:p w14:paraId="75EE1319"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 xml:space="preserve">[The borrower] prepares a </w:t>
            </w:r>
            <w:r>
              <w:rPr>
                <w:rFonts w:asciiTheme="minorHAnsi" w:eastAsia="Times New Roman" w:hAnsiTheme="minorHAnsi" w:cs="Calibri"/>
              </w:rPr>
              <w:t>“</w:t>
            </w:r>
            <w:r w:rsidRPr="00D04661">
              <w:rPr>
                <w:rFonts w:asciiTheme="minorHAnsi" w:eastAsia="Times New Roman" w:hAnsiTheme="minorHAnsi" w:cs="Calibri"/>
              </w:rPr>
              <w:t>project completion report that assesses whether the objective and desired outcomes of the safeguard plans have been achieved, taking into account the baseline conditions and the results of monitoring.</w:t>
            </w:r>
            <w:r>
              <w:rPr>
                <w:rFonts w:asciiTheme="minorHAnsi" w:eastAsia="Times New Roman" w:hAnsiTheme="minorHAnsi" w:cs="Calibri"/>
              </w:rPr>
              <w:t>”</w:t>
            </w:r>
            <w:r w:rsidRPr="00D04661">
              <w:rPr>
                <w:rFonts w:asciiTheme="minorHAnsi" w:eastAsia="Times New Roman" w:hAnsiTheme="minorHAnsi" w:cs="Calibri"/>
                <w:vertAlign w:val="superscript"/>
              </w:rPr>
              <w:footnoteReference w:id="236"/>
            </w:r>
            <w:r w:rsidRPr="00D04661">
              <w:rPr>
                <w:rFonts w:asciiTheme="minorHAnsi" w:eastAsia="Times New Roman" w:hAnsiTheme="minorHAnsi" w:cs="Calibri"/>
              </w:rPr>
              <w:t xml:space="preserve"> (</w:t>
            </w:r>
            <w:r w:rsidRPr="00D04661">
              <w:rPr>
                <w:rFonts w:asciiTheme="minorHAnsi" w:eastAsia="Times New Roman" w:hAnsiTheme="minorHAnsi" w:cs="Calibri"/>
                <w:b/>
              </w:rPr>
              <w:t>ADB,</w:t>
            </w:r>
            <w:r w:rsidRPr="00A56233">
              <w:rPr>
                <w:rFonts w:asciiTheme="minorHAnsi" w:eastAsia="Times New Roman" w:hAnsiTheme="minorHAnsi" w:cs="Calibri"/>
              </w:rPr>
              <w:t xml:space="preserve"> </w:t>
            </w:r>
            <w:r w:rsidRPr="00A56233">
              <w:rPr>
                <w:rFonts w:asciiTheme="minorHAnsi" w:eastAsia="Times New Roman" w:hAnsiTheme="minorHAnsi" w:cs="Calibri"/>
                <w:b/>
              </w:rPr>
              <w:t>SPS,</w:t>
            </w:r>
            <w:r w:rsidRPr="00A56233">
              <w:rPr>
                <w:rFonts w:asciiTheme="minorHAnsi" w:hAnsiTheme="minorHAnsi" w:cs="Arial"/>
                <w:b/>
                <w:bCs/>
              </w:rPr>
              <w:t xml:space="preserve"> Policy Delivery Process,</w:t>
            </w:r>
            <w:r w:rsidRPr="000F0C7E">
              <w:rPr>
                <w:rFonts w:asciiTheme="minorHAnsi" w:hAnsiTheme="minorHAnsi" w:cs="Arial"/>
                <w:b/>
                <w:bCs/>
              </w:rPr>
              <w:t xml:space="preserve"> General Requirements, para. 58 (</w:t>
            </w:r>
            <w:r w:rsidRPr="00D8522E">
              <w:rPr>
                <w:rFonts w:asciiTheme="minorHAnsi" w:hAnsiTheme="minorHAnsi" w:cs="Arial"/>
                <w:b/>
                <w:bCs/>
              </w:rPr>
              <w:t>v)</w:t>
            </w:r>
            <w:r w:rsidRPr="00D04661">
              <w:rPr>
                <w:rFonts w:asciiTheme="minorHAnsi" w:eastAsia="Times New Roman" w:hAnsiTheme="minorHAnsi" w:cs="Calibri"/>
              </w:rPr>
              <w:t>)</w:t>
            </w:r>
          </w:p>
          <w:p w14:paraId="495FACCE"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[W]henever possible, qualitative and quantitative indicators will be included as benchmarks to evaluate [IR] conditions at critical intervals related to the progress of…project execution. The final evaluation will be scheduled at a target date…on which it is expected that the living standards the plan was designed to provide are achieved.</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IDB, Policy on Involuntary Resettlement and ECSP</w:t>
            </w:r>
            <w:r w:rsidRPr="00D04661">
              <w:rPr>
                <w:rFonts w:asciiTheme="minorHAnsi" w:eastAsia="Times New Roman" w:hAnsiTheme="minorHAnsi" w:cs="Calibri"/>
              </w:rPr>
              <w:t xml:space="preserve"> </w:t>
            </w:r>
            <w:r w:rsidRPr="00D04661">
              <w:rPr>
                <w:rFonts w:asciiTheme="minorHAnsi" w:eastAsia="Times New Roman" w:hAnsiTheme="minorHAnsi" w:cs="Calibri"/>
                <w:b/>
              </w:rPr>
              <w:t>B.7)</w:t>
            </w:r>
          </w:p>
        </w:tc>
      </w:tr>
      <w:tr w:rsidR="00CF59E1" w:rsidRPr="00D8522E" w14:paraId="103A008C" w14:textId="77777777" w:rsidTr="00CF59E1">
        <w:tc>
          <w:tcPr>
            <w:tcW w:w="6390" w:type="dxa"/>
            <w:vMerge/>
            <w:shd w:val="clear" w:color="auto" w:fill="auto"/>
            <w:vAlign w:val="center"/>
          </w:tcPr>
          <w:p w14:paraId="071CBD6C"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rPr>
            </w:pPr>
          </w:p>
        </w:tc>
        <w:tc>
          <w:tcPr>
            <w:tcW w:w="7200" w:type="dxa"/>
            <w:shd w:val="clear" w:color="auto" w:fill="auto"/>
          </w:tcPr>
          <w:p w14:paraId="749B9898"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The evaluation compares the actual situation with the planned or predicted situation, including in particular, the number of people affected, and review the assumptions, the resettlement-induced and associated risks, and the uncertainties encountered.</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AfDB, OS 2, para. 62</w:t>
            </w:r>
            <w:r w:rsidRPr="00D04661">
              <w:rPr>
                <w:rFonts w:asciiTheme="minorHAnsi" w:eastAsia="Times New Roman" w:hAnsiTheme="minorHAnsi" w:cs="Calibri"/>
              </w:rPr>
              <w:t>)</w:t>
            </w:r>
          </w:p>
        </w:tc>
      </w:tr>
      <w:tr w:rsidR="00CF59E1" w:rsidRPr="00D8522E" w14:paraId="62F788CF" w14:textId="77777777" w:rsidTr="00CF59E1">
        <w:tc>
          <w:tcPr>
            <w:tcW w:w="6390" w:type="dxa"/>
            <w:shd w:val="clear" w:color="auto" w:fill="auto"/>
            <w:vAlign w:val="center"/>
          </w:tcPr>
          <w:p w14:paraId="1C33C21E"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Follow-Up</w:t>
            </w:r>
          </w:p>
          <w:p w14:paraId="08AAC8C7"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rPr>
            </w:pPr>
            <w:r w:rsidRPr="00D04661">
              <w:rPr>
                <w:rFonts w:asciiTheme="minorHAnsi" w:hAnsiTheme="minorHAnsi" w:cs="Arial"/>
              </w:rPr>
              <w:t>P 4.12, para. 24. If the assessment reveals that these objectives may not be realized, the borrower should propose follow-up measures that may serve as the basis for continued Bank supervision, as the Bank deems appropriate (see also BP 4.12, para. 16).</w:t>
            </w:r>
            <w:r>
              <w:rPr>
                <w:rFonts w:asciiTheme="minorHAnsi" w:hAnsiTheme="minorHAnsi" w:cs="Arial"/>
              </w:rPr>
              <w:t>”</w:t>
            </w:r>
          </w:p>
        </w:tc>
        <w:tc>
          <w:tcPr>
            <w:tcW w:w="7200" w:type="dxa"/>
            <w:shd w:val="clear" w:color="auto" w:fill="auto"/>
          </w:tcPr>
          <w:p w14:paraId="1AE51F89" w14:textId="77777777" w:rsidR="00CF59E1" w:rsidRPr="00D04661" w:rsidRDefault="00CF59E1" w:rsidP="00CF59E1">
            <w:pPr>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If unanticipated [IR] impacts are found during project implementation, the borrower…will conduct a social impact assessment and update the [RP] or formulate a new [RP] covering all applicable requirements.</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 SPS, Appendix 2, para. 32).</w:t>
            </w:r>
          </w:p>
        </w:tc>
      </w:tr>
      <w:tr w:rsidR="00CF59E1" w:rsidRPr="00D8522E" w14:paraId="6B2481EB" w14:textId="77777777" w:rsidTr="00CF59E1">
        <w:tc>
          <w:tcPr>
            <w:tcW w:w="13590" w:type="dxa"/>
            <w:gridSpan w:val="2"/>
            <w:shd w:val="clear" w:color="auto" w:fill="CCC0D9"/>
            <w:vAlign w:val="center"/>
          </w:tcPr>
          <w:p w14:paraId="4D485653" w14:textId="77777777" w:rsidR="00CF59E1" w:rsidRPr="00D04661" w:rsidRDefault="00CF59E1" w:rsidP="00CF59E1">
            <w:pPr>
              <w:autoSpaceDE/>
              <w:autoSpaceDN/>
              <w:adjustRightInd/>
              <w:spacing w:after="120"/>
              <w:jc w:val="center"/>
              <w:rPr>
                <w:rFonts w:asciiTheme="minorHAnsi" w:eastAsia="Times New Roman" w:hAnsiTheme="minorHAnsi" w:cs="Calibri"/>
                <w:b/>
                <w:bCs/>
              </w:rPr>
            </w:pPr>
            <w:r w:rsidRPr="00D04661">
              <w:rPr>
                <w:rFonts w:asciiTheme="minorHAnsi" w:eastAsia="Times New Roman" w:hAnsiTheme="minorHAnsi" w:cs="Calibri"/>
                <w:b/>
                <w:bCs/>
              </w:rPr>
              <w:t>INDIGENOUS PEOPLES (IP)</w:t>
            </w:r>
          </w:p>
        </w:tc>
      </w:tr>
      <w:tr w:rsidR="00CF59E1" w:rsidRPr="00D8522E" w14:paraId="667E54F2" w14:textId="77777777" w:rsidTr="00CF59E1">
        <w:tc>
          <w:tcPr>
            <w:tcW w:w="6390" w:type="dxa"/>
            <w:vMerge w:val="restart"/>
            <w:shd w:val="clear" w:color="auto" w:fill="auto"/>
            <w:vAlign w:val="center"/>
          </w:tcPr>
          <w:p w14:paraId="7299176B" w14:textId="77777777" w:rsidR="00CF59E1" w:rsidRPr="00C45CB6" w:rsidRDefault="00CF59E1" w:rsidP="00CF59E1">
            <w:pPr>
              <w:tabs>
                <w:tab w:val="left" w:pos="990"/>
              </w:tabs>
              <w:autoSpaceDE/>
              <w:autoSpaceDN/>
              <w:adjustRightInd/>
              <w:spacing w:after="120"/>
              <w:rPr>
                <w:rFonts w:asciiTheme="minorHAnsi" w:eastAsia="Times New Roman" w:hAnsiTheme="minorHAnsi" w:cs="Calibri"/>
                <w:b/>
              </w:rPr>
            </w:pPr>
            <w:r w:rsidRPr="00C45CB6">
              <w:rPr>
                <w:rFonts w:asciiTheme="minorHAnsi" w:eastAsia="Times New Roman" w:hAnsiTheme="minorHAnsi" w:cs="Calibri"/>
                <w:b/>
              </w:rPr>
              <w:t>STATEMENT OF OBJECTIVES</w:t>
            </w:r>
            <w:r w:rsidRPr="00C45CB6">
              <w:rPr>
                <w:rFonts w:asciiTheme="minorHAnsi" w:eastAsia="Times New Roman" w:hAnsiTheme="minorHAnsi" w:cs="Calibri"/>
                <w:b/>
                <w:vertAlign w:val="superscript"/>
              </w:rPr>
              <w:t xml:space="preserve"> </w:t>
            </w:r>
          </w:p>
          <w:p w14:paraId="7624583B" w14:textId="77777777" w:rsidR="00CF59E1" w:rsidRPr="00C45CB6" w:rsidRDefault="00CF59E1" w:rsidP="00CF59E1">
            <w:pPr>
              <w:autoSpaceDE/>
              <w:autoSpaceDN/>
              <w:adjustRightInd/>
              <w:spacing w:after="120"/>
              <w:rPr>
                <w:rFonts w:asciiTheme="minorHAnsi" w:eastAsia="Times New Roman" w:hAnsiTheme="minorHAnsi" w:cs="Calibri"/>
              </w:rPr>
            </w:pPr>
            <w:r w:rsidRPr="00C45CB6">
              <w:rPr>
                <w:rFonts w:asciiTheme="minorHAnsi" w:eastAsia="Times New Roman" w:hAnsiTheme="minorHAnsi" w:cs="Calibri"/>
              </w:rPr>
              <w:t xml:space="preserve">OP 4.10, </w:t>
            </w:r>
            <w:r>
              <w:rPr>
                <w:rFonts w:asciiTheme="minorHAnsi" w:eastAsia="Times New Roman" w:hAnsiTheme="minorHAnsi" w:cs="Calibri"/>
              </w:rPr>
              <w:t xml:space="preserve">para. </w:t>
            </w:r>
            <w:r w:rsidRPr="00C45CB6">
              <w:rPr>
                <w:rFonts w:asciiTheme="minorHAnsi" w:eastAsia="Times New Roman" w:hAnsiTheme="minorHAnsi" w:cs="Calibri"/>
              </w:rPr>
              <w:t xml:space="preserve">1 states that: </w:t>
            </w:r>
            <w:r>
              <w:rPr>
                <w:rFonts w:asciiTheme="minorHAnsi" w:eastAsia="Times New Roman" w:hAnsiTheme="minorHAnsi" w:cs="Calibri"/>
              </w:rPr>
              <w:t>“</w:t>
            </w:r>
            <w:r w:rsidRPr="00C45CB6">
              <w:rPr>
                <w:rFonts w:asciiTheme="minorHAnsi" w:eastAsia="Times New Roman" w:hAnsiTheme="minorHAnsi" w:cs="Calibri"/>
              </w:rPr>
              <w:t>This policy contributes to the Bank’s mission of poverty reduction and sustainable development by ensuring that the development process fully respects the dignity, human rights, economies, and cultures of Indigenous Peoples.</w:t>
            </w:r>
            <w:r>
              <w:rPr>
                <w:rFonts w:asciiTheme="minorHAnsi" w:eastAsia="Times New Roman" w:hAnsiTheme="minorHAnsi" w:cs="Calibri"/>
              </w:rPr>
              <w:t>”</w:t>
            </w:r>
            <w:r w:rsidRPr="00C45CB6">
              <w:rPr>
                <w:rFonts w:asciiTheme="minorHAnsi" w:eastAsia="Times New Roman" w:hAnsiTheme="minorHAnsi" w:cs="Calibri"/>
              </w:rPr>
              <w:t xml:space="preserve"> </w:t>
            </w:r>
          </w:p>
          <w:p w14:paraId="6B59D315" w14:textId="77777777" w:rsidR="00CF59E1" w:rsidRPr="00C45CB6" w:rsidRDefault="00CF59E1" w:rsidP="00CF59E1">
            <w:pPr>
              <w:autoSpaceDE/>
              <w:autoSpaceDN/>
              <w:adjustRightInd/>
              <w:spacing w:after="120"/>
              <w:rPr>
                <w:rFonts w:asciiTheme="minorHAnsi" w:eastAsia="Times New Roman" w:hAnsiTheme="minorHAnsi" w:cs="Calibri"/>
              </w:rPr>
            </w:pPr>
            <w:r w:rsidRPr="00C45CB6">
              <w:rPr>
                <w:rFonts w:asciiTheme="minorHAnsi" w:eastAsia="Times New Roman" w:hAnsiTheme="minorHAnsi" w:cs="Calibri"/>
              </w:rPr>
              <w:t xml:space="preserve">It also states further that: </w:t>
            </w:r>
            <w:r>
              <w:rPr>
                <w:rFonts w:asciiTheme="minorHAnsi" w:eastAsia="Times New Roman" w:hAnsiTheme="minorHAnsi" w:cs="Calibri"/>
              </w:rPr>
              <w:t>“</w:t>
            </w:r>
            <w:r w:rsidRPr="00C45CB6">
              <w:rPr>
                <w:rFonts w:asciiTheme="minorHAnsi" w:eastAsia="Times New Roman" w:hAnsiTheme="minorHAnsi" w:cs="Calibri"/>
              </w:rPr>
              <w:t>Such Bank-financed projects include measures to (a) avoid potentially adverse effects on the Indigenous Peoples’ communities; or (b) when avoidance is not feasible, minimize, mitigate, or compensate for such effects. Bank-financed projects are also designed to ensure that the Indigenous Peoples receive social and economic benefits that are culturally appropriate and gender and intergenerationally inclusive.</w:t>
            </w:r>
            <w:r>
              <w:rPr>
                <w:rFonts w:asciiTheme="minorHAnsi" w:eastAsia="Times New Roman" w:hAnsiTheme="minorHAnsi" w:cs="Calibri"/>
              </w:rPr>
              <w:t>”</w:t>
            </w:r>
            <w:r w:rsidRPr="00C45CB6">
              <w:rPr>
                <w:rFonts w:asciiTheme="minorHAnsi" w:eastAsia="Times New Roman" w:hAnsiTheme="minorHAnsi" w:cs="Calibri"/>
              </w:rPr>
              <w:t xml:space="preserve"> </w:t>
            </w:r>
          </w:p>
          <w:p w14:paraId="7003AC03" w14:textId="77777777" w:rsidR="00CF59E1" w:rsidRPr="00D04661" w:rsidRDefault="00CF59E1" w:rsidP="00CF59E1">
            <w:pPr>
              <w:autoSpaceDE/>
              <w:autoSpaceDN/>
              <w:adjustRightInd/>
              <w:spacing w:after="120"/>
              <w:rPr>
                <w:rFonts w:asciiTheme="minorHAnsi" w:eastAsia="Times New Roman" w:hAnsiTheme="minorHAnsi" w:cs="Calibri"/>
              </w:rPr>
            </w:pPr>
            <w:r w:rsidRPr="00C45CB6">
              <w:rPr>
                <w:rFonts w:asciiTheme="minorHAnsi" w:eastAsia="Times New Roman" w:hAnsiTheme="minorHAnsi" w:cs="Calibri"/>
              </w:rPr>
              <w:t xml:space="preserve">As a threshold matter, OP 4.10 recognizes the particular challenges that Indigenous Peoples face. It states that </w:t>
            </w:r>
            <w:r>
              <w:rPr>
                <w:rFonts w:asciiTheme="minorHAnsi" w:eastAsia="Times New Roman" w:hAnsiTheme="minorHAnsi" w:cs="Calibri"/>
              </w:rPr>
              <w:t>“</w:t>
            </w:r>
            <w:r w:rsidRPr="00C45CB6">
              <w:rPr>
                <w:rFonts w:asciiTheme="minorHAnsi" w:eastAsia="Times New Roman" w:hAnsiTheme="minorHAnsi" w:cs="Calibri"/>
              </w:rPr>
              <w:t>…the identities and cultures of Indigenous Peoples are inextricably linked to the lands on which they live and the natural resources on which they depend. These distinct circumstances expose Indigenous Peoples to different types of risks and levels of impacts from development projects, including loss of identity, culture, and customary livelihoods, as well as exposure to disease.</w:t>
            </w:r>
            <w:r>
              <w:rPr>
                <w:rFonts w:asciiTheme="minorHAnsi" w:eastAsia="Times New Roman" w:hAnsiTheme="minorHAnsi" w:cs="Calibri"/>
              </w:rPr>
              <w:t>”</w:t>
            </w:r>
            <w:r w:rsidRPr="00C45CB6">
              <w:rPr>
                <w:rFonts w:asciiTheme="minorHAnsi" w:eastAsia="Times New Roman" w:hAnsiTheme="minorHAnsi" w:cs="Calibri"/>
              </w:rPr>
              <w:t xml:space="preserve"> It also recognizes that </w:t>
            </w:r>
            <w:r>
              <w:rPr>
                <w:rFonts w:asciiTheme="minorHAnsi" w:eastAsia="Times New Roman" w:hAnsiTheme="minorHAnsi" w:cs="Calibri"/>
              </w:rPr>
              <w:t>“</w:t>
            </w:r>
            <w:r w:rsidRPr="00C45CB6">
              <w:rPr>
                <w:rFonts w:asciiTheme="minorHAnsi" w:eastAsia="Times New Roman" w:hAnsiTheme="minorHAnsi" w:cs="Calibri"/>
              </w:rPr>
              <w:t>As a result, their economic, social, and legal status often limits their capacity to defend their interests in and rights to lands, territories, and other productive resources, and/or restricts their ability to participate in and benefit from development.</w:t>
            </w:r>
            <w:r>
              <w:rPr>
                <w:rFonts w:asciiTheme="minorHAnsi" w:eastAsia="Times New Roman" w:hAnsiTheme="minorHAnsi" w:cs="Calibri"/>
              </w:rPr>
              <w:t>”</w:t>
            </w:r>
            <w:r w:rsidRPr="00C45CB6">
              <w:rPr>
                <w:rFonts w:asciiTheme="minorHAnsi" w:eastAsia="Times New Roman" w:hAnsiTheme="minorHAnsi" w:cs="Calibri"/>
              </w:rPr>
              <w:t xml:space="preserve"> </w:t>
            </w:r>
          </w:p>
        </w:tc>
        <w:tc>
          <w:tcPr>
            <w:tcW w:w="7200" w:type="dxa"/>
            <w:shd w:val="clear" w:color="auto" w:fill="auto"/>
          </w:tcPr>
          <w:p w14:paraId="57EAD1C5"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[t]he objective of this policy is to…… [s]</w:t>
            </w:r>
            <w:r w:rsidRPr="00D04661">
              <w:rPr>
                <w:rFonts w:asciiTheme="minorHAnsi" w:eastAsia="Times New Roman" w:hAnsiTheme="minorHAnsi" w:cs="Calibri"/>
                <w:i/>
                <w:iCs/>
              </w:rPr>
              <w:t xml:space="preserve">afeguard indigenous peoples and their rights </w:t>
            </w:r>
            <w:r w:rsidRPr="00D04661">
              <w:rPr>
                <w:rFonts w:asciiTheme="minorHAnsi" w:eastAsia="Times New Roman" w:hAnsiTheme="minorHAnsi" w:cs="Calibri"/>
                <w:i/>
              </w:rPr>
              <w:t>against adverse impacts and exclusion</w:t>
            </w:r>
            <w:r w:rsidRPr="00D04661">
              <w:rPr>
                <w:rFonts w:asciiTheme="minorHAnsi" w:eastAsia="Times New Roman" w:hAnsiTheme="minorHAnsi" w:cs="Calibri"/>
              </w:rPr>
              <w:t xml:space="preserve"> in Bank funded development projects.</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IDB, Policy on Involuntary Resettlement</w:t>
            </w:r>
            <w:r w:rsidRPr="00D04661">
              <w:rPr>
                <w:rFonts w:asciiTheme="minorHAnsi" w:eastAsia="Times New Roman" w:hAnsiTheme="minorHAnsi" w:cs="Calibri"/>
              </w:rPr>
              <w:t>) (</w:t>
            </w:r>
            <w:r w:rsidRPr="00D04661">
              <w:rPr>
                <w:rFonts w:asciiTheme="minorHAnsi" w:eastAsia="Times New Roman" w:hAnsiTheme="minorHAnsi" w:cs="Calibri"/>
                <w:i/>
              </w:rPr>
              <w:t>emphasis added)</w:t>
            </w:r>
          </w:p>
        </w:tc>
      </w:tr>
      <w:tr w:rsidR="00CF59E1" w:rsidRPr="00D8522E" w14:paraId="149EDCA0" w14:textId="77777777" w:rsidTr="00CF59E1">
        <w:tc>
          <w:tcPr>
            <w:tcW w:w="6390" w:type="dxa"/>
            <w:vMerge/>
            <w:shd w:val="clear" w:color="auto" w:fill="auto"/>
            <w:vAlign w:val="center"/>
          </w:tcPr>
          <w:p w14:paraId="178DB4B6"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u w:val="single"/>
              </w:rPr>
            </w:pPr>
          </w:p>
        </w:tc>
        <w:tc>
          <w:tcPr>
            <w:tcW w:w="7200" w:type="dxa"/>
            <w:shd w:val="clear" w:color="auto" w:fill="auto"/>
          </w:tcPr>
          <w:p w14:paraId="325A7A11" w14:textId="77777777" w:rsidR="00CF59E1" w:rsidRPr="00D04661" w:rsidRDefault="00CF59E1" w:rsidP="00CF59E1">
            <w:pPr>
              <w:spacing w:after="120"/>
              <w:rPr>
                <w:rFonts w:asciiTheme="minorHAnsi" w:hAnsiTheme="minorHAnsi" w:cs="Calibri"/>
                <w:i/>
              </w:rPr>
            </w:pPr>
            <w:r>
              <w:rPr>
                <w:rFonts w:asciiTheme="minorHAnsi" w:hAnsiTheme="minorHAnsi" w:cs="Calibri"/>
              </w:rPr>
              <w:t>“</w:t>
            </w:r>
            <w:r w:rsidRPr="00D04661">
              <w:rPr>
                <w:rFonts w:asciiTheme="minorHAnsi" w:hAnsiTheme="minorHAnsi" w:cs="Calibri"/>
              </w:rPr>
              <w:t xml:space="preserve">Objectives: to design and implement projects in a way that fosters full respect for Indigenous Peoples’ </w:t>
            </w:r>
            <w:r w:rsidRPr="00D04661">
              <w:rPr>
                <w:rFonts w:asciiTheme="minorHAnsi" w:hAnsiTheme="minorHAnsi" w:cs="Calibri"/>
                <w:i/>
              </w:rPr>
              <w:t xml:space="preserve">identity, </w:t>
            </w:r>
            <w:r w:rsidRPr="00D04661">
              <w:rPr>
                <w:rFonts w:asciiTheme="minorHAnsi" w:hAnsiTheme="minorHAnsi" w:cs="Calibri"/>
              </w:rPr>
              <w:t xml:space="preserve">dignity, </w:t>
            </w:r>
            <w:r w:rsidRPr="00D04661">
              <w:rPr>
                <w:rFonts w:asciiTheme="minorHAnsi" w:hAnsiTheme="minorHAnsi" w:cs="Calibri"/>
                <w:i/>
              </w:rPr>
              <w:t>human rights</w:t>
            </w:r>
            <w:r w:rsidRPr="00D04661">
              <w:rPr>
                <w:rFonts w:asciiTheme="minorHAnsi" w:hAnsiTheme="minorHAnsi" w:cs="Calibri"/>
              </w:rPr>
              <w:t xml:space="preserve">, livelihood systems, and cultural uniqueness </w:t>
            </w:r>
            <w:r w:rsidRPr="00D04661">
              <w:rPr>
                <w:rFonts w:asciiTheme="minorHAnsi" w:hAnsiTheme="minorHAnsi" w:cs="Calibri"/>
                <w:i/>
              </w:rPr>
              <w:t>as defined by the Indigenous Peoples themselves</w:t>
            </w:r>
            <w:r w:rsidRPr="00D04661">
              <w:rPr>
                <w:rFonts w:asciiTheme="minorHAnsi" w:hAnsiTheme="minorHAnsi" w:cs="Calibri"/>
              </w:rPr>
              <w:t xml:space="preserve"> so that they (i) receive </w:t>
            </w:r>
            <w:r w:rsidRPr="00D04661">
              <w:rPr>
                <w:rFonts w:asciiTheme="minorHAnsi" w:hAnsiTheme="minorHAnsi" w:cs="Calibri"/>
                <w:i/>
              </w:rPr>
              <w:t>culturally appropriate social and economic benefits, (ii) do not suffer adverse impacts as a result of projects, and (iii) can participate actively in projects that affect them.</w:t>
            </w:r>
            <w:r>
              <w:rPr>
                <w:rFonts w:asciiTheme="minorHAnsi" w:hAnsiTheme="minorHAnsi" w:cs="Calibri"/>
                <w:i/>
              </w:rPr>
              <w:t>”</w:t>
            </w:r>
            <w:r w:rsidRPr="00D04661">
              <w:rPr>
                <w:rFonts w:asciiTheme="minorHAnsi" w:hAnsiTheme="minorHAnsi" w:cs="Calibri"/>
                <w:i/>
              </w:rPr>
              <w:t xml:space="preserve"> </w:t>
            </w:r>
            <w:r w:rsidRPr="00D04661">
              <w:rPr>
                <w:rFonts w:asciiTheme="minorHAnsi" w:hAnsiTheme="minorHAnsi" w:cs="Calibri"/>
                <w:iCs/>
              </w:rPr>
              <w:t>(</w:t>
            </w:r>
            <w:r w:rsidRPr="00D04661">
              <w:rPr>
                <w:rFonts w:asciiTheme="minorHAnsi" w:hAnsiTheme="minorHAnsi" w:cs="Calibri"/>
                <w:b/>
              </w:rPr>
              <w:t xml:space="preserve">ADB, SPS, Appendix 3, para. 3) </w:t>
            </w:r>
            <w:r w:rsidRPr="00D04661">
              <w:rPr>
                <w:rFonts w:asciiTheme="minorHAnsi" w:hAnsiTheme="minorHAnsi" w:cs="Calibri"/>
              </w:rPr>
              <w:t>(</w:t>
            </w:r>
            <w:r w:rsidRPr="00D04661">
              <w:rPr>
                <w:rFonts w:asciiTheme="minorHAnsi" w:hAnsiTheme="minorHAnsi" w:cs="Calibri"/>
                <w:i/>
              </w:rPr>
              <w:t xml:space="preserve">emphasis added)) </w:t>
            </w:r>
          </w:p>
          <w:p w14:paraId="5409B0BF" w14:textId="77777777" w:rsidR="00CF59E1" w:rsidRPr="00D04661" w:rsidRDefault="00CF59E1" w:rsidP="00CF59E1">
            <w:pPr>
              <w:tabs>
                <w:tab w:val="left" w:pos="48"/>
              </w:tabs>
              <w:spacing w:after="120"/>
              <w:rPr>
                <w:rFonts w:asciiTheme="minorHAnsi" w:hAnsiTheme="minorHAnsi" w:cs="Arial"/>
              </w:rPr>
            </w:pPr>
            <w:r>
              <w:rPr>
                <w:rFonts w:asciiTheme="minorHAnsi" w:hAnsiTheme="minorHAnsi" w:cs="Calibri"/>
              </w:rPr>
              <w:t>“</w:t>
            </w:r>
            <w:r w:rsidRPr="00D04661">
              <w:rPr>
                <w:rFonts w:asciiTheme="minorHAnsi" w:hAnsiTheme="minorHAnsi" w:cs="Calibri"/>
              </w:rPr>
              <w:t>Some</w:t>
            </w:r>
            <w:r w:rsidRPr="00D04661">
              <w:rPr>
                <w:rFonts w:asciiTheme="minorHAnsi" w:hAnsiTheme="minorHAnsi" w:cs="Arial"/>
              </w:rPr>
              <w:t xml:space="preserve"> individuals or groups may be less resilient to risks and adverse impacts than others. Within the context of EIB operations, individuals and/or groups who are at a higher risk of being unable to anticipate, cope with, resist and recover from project-related risks and/or adverse impacts are considered vulnerable. Vulnerable individuals or groups </w:t>
            </w:r>
            <w:r w:rsidRPr="00D04661">
              <w:rPr>
                <w:rFonts w:asciiTheme="minorHAnsi" w:hAnsiTheme="minorHAnsi" w:cs="Arial"/>
                <w:bCs/>
              </w:rPr>
              <w:t>may include women, children, the elderly, the poor, ethnic, religious, cultural or linguistic minorities, or indigenous groups</w:t>
            </w:r>
            <w:r w:rsidRPr="00D04661">
              <w:rPr>
                <w:rFonts w:asciiTheme="minorHAnsi" w:hAnsiTheme="minorHAnsi" w:cs="Arial"/>
              </w:rPr>
              <w:t>.</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 xml:space="preserve">EIB. ESH, ESS 7, para. 1 </w:t>
            </w:r>
            <w:r w:rsidRPr="00D04661">
              <w:rPr>
                <w:rFonts w:asciiTheme="minorHAnsi" w:hAnsiTheme="minorHAnsi" w:cs="Arial"/>
              </w:rPr>
              <w:t>)</w:t>
            </w:r>
          </w:p>
          <w:p w14:paraId="12CE6FAC" w14:textId="77777777" w:rsidR="00CF59E1" w:rsidRPr="00D04661" w:rsidRDefault="00CF59E1" w:rsidP="00CF59E1">
            <w:pPr>
              <w:tabs>
                <w:tab w:val="left" w:pos="0"/>
                <w:tab w:val="left" w:pos="284"/>
              </w:tabs>
              <w:autoSpaceDE/>
              <w:autoSpaceDN/>
              <w:adjustRightInd/>
              <w:spacing w:after="120"/>
              <w:rPr>
                <w:rFonts w:asciiTheme="minorHAnsi" w:hAnsiTheme="minorHAnsi" w:cs="Arial"/>
              </w:rPr>
            </w:pPr>
            <w:r>
              <w:rPr>
                <w:rFonts w:asciiTheme="minorHAnsi" w:hAnsiTheme="minorHAnsi" w:cs="Arial"/>
              </w:rPr>
              <w:t>“</w:t>
            </w:r>
            <w:r w:rsidRPr="00D04661">
              <w:rPr>
                <w:rFonts w:asciiTheme="minorHAnsi" w:hAnsiTheme="minorHAnsi" w:cs="Arial"/>
              </w:rPr>
              <w:t>Standard 7 sets out to avoid or minimise, or otherwise mitigate and remedy</w:t>
            </w:r>
            <w:r w:rsidRPr="00D04661">
              <w:rPr>
                <w:rFonts w:asciiTheme="minorHAnsi" w:hAnsiTheme="minorHAnsi" w:cs="Arial"/>
                <w:vertAlign w:val="superscript"/>
              </w:rPr>
              <w:footnoteReference w:id="237"/>
            </w:r>
            <w:r w:rsidRPr="00D04661">
              <w:rPr>
                <w:rFonts w:asciiTheme="minorHAnsi" w:hAnsiTheme="minorHAnsi" w:cs="Arial"/>
              </w:rPr>
              <w:t>, potential harmful effects of EIB operations to vulnerable individuals and groups whilst seeking that these populations duly benefit from such operations. As a means to foster those project outcomes, Standard 7 proposes a framework and tools to address inequalities and other factors contributing to vulnerability, and, as appropriate, to allow for equal access to and enjoyment of project benefits for those individuals and groups.</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EIB, ESH, ESS 7, para. 4</w:t>
            </w:r>
            <w:r w:rsidRPr="00D04661">
              <w:rPr>
                <w:rFonts w:asciiTheme="minorHAnsi" w:hAnsiTheme="minorHAnsi" w:cs="Arial"/>
              </w:rPr>
              <w:t>)</w:t>
            </w:r>
          </w:p>
        </w:tc>
      </w:tr>
      <w:tr w:rsidR="00CF59E1" w:rsidRPr="00D8522E" w14:paraId="049030CA" w14:textId="77777777" w:rsidTr="00CF59E1">
        <w:tc>
          <w:tcPr>
            <w:tcW w:w="6390" w:type="dxa"/>
            <w:shd w:val="clear" w:color="auto" w:fill="auto"/>
            <w:vAlign w:val="center"/>
          </w:tcPr>
          <w:p w14:paraId="2D829003" w14:textId="77777777" w:rsidR="00CF59E1" w:rsidRPr="00C45CB6" w:rsidRDefault="00CF59E1" w:rsidP="00CF59E1">
            <w:pPr>
              <w:tabs>
                <w:tab w:val="left" w:pos="990"/>
              </w:tabs>
              <w:autoSpaceDE/>
              <w:autoSpaceDN/>
              <w:adjustRightInd/>
              <w:spacing w:after="120"/>
              <w:rPr>
                <w:rFonts w:asciiTheme="minorHAnsi" w:eastAsia="Times New Roman" w:hAnsiTheme="minorHAnsi" w:cs="Calibri"/>
                <w:b/>
              </w:rPr>
            </w:pPr>
            <w:r w:rsidRPr="00C45CB6">
              <w:rPr>
                <w:rFonts w:asciiTheme="minorHAnsi" w:eastAsia="Times New Roman" w:hAnsiTheme="minorHAnsi" w:cs="Calibri"/>
                <w:b/>
              </w:rPr>
              <w:t>SCOPE OF POLICY APPLICATION AND TRIGGERS</w:t>
            </w:r>
          </w:p>
          <w:p w14:paraId="04DB8B2D" w14:textId="77777777" w:rsidR="00CF59E1" w:rsidRPr="00C45CB6" w:rsidRDefault="00CF59E1" w:rsidP="00CF59E1">
            <w:pPr>
              <w:tabs>
                <w:tab w:val="left" w:pos="990"/>
              </w:tabs>
              <w:autoSpaceDE/>
              <w:autoSpaceDN/>
              <w:adjustRightInd/>
              <w:spacing w:after="120"/>
              <w:rPr>
                <w:rFonts w:asciiTheme="minorHAnsi" w:hAnsiTheme="minorHAnsi" w:cs="Arial"/>
              </w:rPr>
            </w:pPr>
            <w:r w:rsidRPr="00C45CB6">
              <w:rPr>
                <w:rFonts w:asciiTheme="minorHAnsi" w:hAnsiTheme="minorHAnsi" w:cs="Arial"/>
              </w:rPr>
              <w:t xml:space="preserve">According to OP 4.10, there are a number of key elements that guide the scope of application: </w:t>
            </w:r>
          </w:p>
          <w:p w14:paraId="7576E6C8" w14:textId="77777777" w:rsidR="00CF59E1" w:rsidRPr="00C45CB6" w:rsidRDefault="00CF59E1" w:rsidP="009F3E8E">
            <w:pPr>
              <w:pStyle w:val="ListParagraph"/>
              <w:numPr>
                <w:ilvl w:val="0"/>
                <w:numId w:val="32"/>
              </w:numPr>
              <w:tabs>
                <w:tab w:val="left" w:pos="990"/>
              </w:tabs>
              <w:autoSpaceDE/>
              <w:autoSpaceDN/>
              <w:adjustRightInd/>
              <w:spacing w:after="120"/>
              <w:ind w:left="360"/>
              <w:contextualSpacing w:val="0"/>
              <w:rPr>
                <w:rFonts w:asciiTheme="minorHAnsi" w:eastAsia="Times New Roman" w:hAnsiTheme="minorHAnsi" w:cs="Calibri"/>
              </w:rPr>
            </w:pPr>
            <w:r w:rsidRPr="00C45CB6">
              <w:rPr>
                <w:rFonts w:asciiTheme="minorHAnsi" w:hAnsiTheme="minorHAnsi" w:cs="Arial"/>
              </w:rPr>
              <w:t xml:space="preserve">It applies to all projects that are proposed for Bank financing and that </w:t>
            </w:r>
            <w:r>
              <w:rPr>
                <w:rFonts w:asciiTheme="minorHAnsi" w:hAnsiTheme="minorHAnsi" w:cs="Arial"/>
              </w:rPr>
              <w:t>“</w:t>
            </w:r>
            <w:r w:rsidRPr="00C45CB6">
              <w:rPr>
                <w:rFonts w:asciiTheme="minorHAnsi" w:hAnsiTheme="minorHAnsi" w:cs="Arial"/>
              </w:rPr>
              <w:t>affect</w:t>
            </w:r>
            <w:r>
              <w:rPr>
                <w:rFonts w:asciiTheme="minorHAnsi" w:hAnsiTheme="minorHAnsi" w:cs="Arial"/>
              </w:rPr>
              <w:t>”</w:t>
            </w:r>
            <w:r w:rsidRPr="00C45CB6">
              <w:rPr>
                <w:rFonts w:asciiTheme="minorHAnsi" w:hAnsiTheme="minorHAnsi" w:cs="Arial"/>
              </w:rPr>
              <w:t xml:space="preserve"> Indigenous Peoples. </w:t>
            </w:r>
          </w:p>
          <w:p w14:paraId="6D8071A7" w14:textId="77777777" w:rsidR="00CF59E1" w:rsidRPr="00C45CB6" w:rsidRDefault="00CF59E1" w:rsidP="009F3E8E">
            <w:pPr>
              <w:pStyle w:val="ListParagraph"/>
              <w:numPr>
                <w:ilvl w:val="0"/>
                <w:numId w:val="32"/>
              </w:numPr>
              <w:tabs>
                <w:tab w:val="left" w:pos="990"/>
              </w:tabs>
              <w:autoSpaceDE/>
              <w:autoSpaceDN/>
              <w:adjustRightInd/>
              <w:spacing w:after="120"/>
              <w:ind w:left="360"/>
              <w:contextualSpacing w:val="0"/>
              <w:rPr>
                <w:rFonts w:asciiTheme="minorHAnsi" w:eastAsia="Times New Roman" w:hAnsiTheme="minorHAnsi" w:cs="Calibri"/>
              </w:rPr>
            </w:pPr>
            <w:r w:rsidRPr="00C45CB6">
              <w:rPr>
                <w:rFonts w:asciiTheme="minorHAnsi" w:eastAsia="Times New Roman" w:hAnsiTheme="minorHAnsi" w:cs="Calibri"/>
              </w:rPr>
              <w:t xml:space="preserve">Impact: Project impact (potential or actual; positive or adverse) does not influence applicability of the Policy. Rather it is driven by the presence in or, collective attachment to the project area. </w:t>
            </w:r>
          </w:p>
          <w:p w14:paraId="7394FC31" w14:textId="77777777" w:rsidR="00CF59E1" w:rsidRPr="00C45CB6" w:rsidRDefault="00CF59E1" w:rsidP="009F3E8E">
            <w:pPr>
              <w:pStyle w:val="ListParagraph"/>
              <w:numPr>
                <w:ilvl w:val="0"/>
                <w:numId w:val="32"/>
              </w:numPr>
              <w:tabs>
                <w:tab w:val="left" w:pos="990"/>
              </w:tabs>
              <w:autoSpaceDE/>
              <w:autoSpaceDN/>
              <w:adjustRightInd/>
              <w:spacing w:after="120"/>
              <w:ind w:left="360"/>
              <w:contextualSpacing w:val="0"/>
              <w:rPr>
                <w:rFonts w:asciiTheme="minorHAnsi" w:eastAsia="Times New Roman" w:hAnsiTheme="minorHAnsi" w:cs="Calibri"/>
              </w:rPr>
            </w:pPr>
            <w:r w:rsidRPr="00C45CB6">
              <w:rPr>
                <w:rFonts w:asciiTheme="minorHAnsi" w:hAnsiTheme="minorHAnsi" w:cs="Arial"/>
              </w:rPr>
              <w:t>The policy also states that it applies</w:t>
            </w:r>
            <w:r>
              <w:rPr>
                <w:rFonts w:asciiTheme="minorHAnsi" w:hAnsiTheme="minorHAnsi" w:cs="Arial"/>
              </w:rPr>
              <w:t>”</w:t>
            </w:r>
            <w:r w:rsidRPr="00C45CB6">
              <w:rPr>
                <w:rFonts w:asciiTheme="minorHAnsi" w:hAnsiTheme="minorHAnsi" w:cs="Arial"/>
              </w:rPr>
              <w:t>…</w:t>
            </w:r>
            <w:r w:rsidRPr="00C45CB6">
              <w:rPr>
                <w:rFonts w:asciiTheme="minorHAnsi" w:eastAsia="Times New Roman" w:hAnsiTheme="minorHAnsi" w:cs="Calibri"/>
              </w:rPr>
              <w:t>to all components of the project that affect Indigenous Peoples, regardless of the source of financing.</w:t>
            </w:r>
            <w:r>
              <w:rPr>
                <w:rFonts w:asciiTheme="minorHAnsi" w:eastAsia="Times New Roman" w:hAnsiTheme="minorHAnsi" w:cs="Calibri"/>
              </w:rPr>
              <w:t>”</w:t>
            </w:r>
          </w:p>
          <w:p w14:paraId="359BCCA0" w14:textId="77777777" w:rsidR="00CF59E1" w:rsidRPr="00C45CB6" w:rsidRDefault="00CF59E1" w:rsidP="009F3E8E">
            <w:pPr>
              <w:pStyle w:val="ListParagraph"/>
              <w:numPr>
                <w:ilvl w:val="0"/>
                <w:numId w:val="32"/>
              </w:numPr>
              <w:tabs>
                <w:tab w:val="left" w:pos="990"/>
              </w:tabs>
              <w:autoSpaceDE/>
              <w:autoSpaceDN/>
              <w:adjustRightInd/>
              <w:spacing w:after="120"/>
              <w:ind w:left="360"/>
              <w:contextualSpacing w:val="0"/>
              <w:rPr>
                <w:rFonts w:asciiTheme="minorHAnsi" w:eastAsia="Times New Roman" w:hAnsiTheme="minorHAnsi" w:cs="Calibri"/>
              </w:rPr>
            </w:pPr>
            <w:r w:rsidRPr="00C45CB6">
              <w:rPr>
                <w:rFonts w:asciiTheme="minorHAnsi" w:eastAsia="Times New Roman" w:hAnsiTheme="minorHAnsi" w:cs="Calibri"/>
              </w:rPr>
              <w:t>The Policy also applies to groups in urban areas that meet the criteria (</w:t>
            </w:r>
            <w:r>
              <w:rPr>
                <w:rFonts w:asciiTheme="minorHAnsi" w:eastAsia="Times New Roman" w:hAnsiTheme="minorHAnsi" w:cs="Calibri"/>
              </w:rPr>
              <w:t xml:space="preserve">Para. </w:t>
            </w:r>
            <w:r w:rsidRPr="00C45CB6">
              <w:rPr>
                <w:rFonts w:asciiTheme="minorHAnsi" w:eastAsia="Times New Roman" w:hAnsiTheme="minorHAnsi" w:cs="Calibri"/>
              </w:rPr>
              <w:t xml:space="preserve">4, and footnote 8). </w:t>
            </w:r>
          </w:p>
          <w:p w14:paraId="3505F476" w14:textId="77777777" w:rsidR="00CF59E1" w:rsidRPr="00D04661" w:rsidRDefault="00CF59E1" w:rsidP="009F3E8E">
            <w:pPr>
              <w:pStyle w:val="ListParagraph"/>
              <w:numPr>
                <w:ilvl w:val="0"/>
                <w:numId w:val="32"/>
              </w:numPr>
              <w:tabs>
                <w:tab w:val="left" w:pos="990"/>
              </w:tabs>
              <w:autoSpaceDE/>
              <w:autoSpaceDN/>
              <w:adjustRightInd/>
              <w:spacing w:after="120"/>
              <w:ind w:left="360"/>
              <w:contextualSpacing w:val="0"/>
              <w:rPr>
                <w:rFonts w:asciiTheme="minorHAnsi" w:eastAsia="Times New Roman" w:hAnsiTheme="minorHAnsi" w:cs="Calibri"/>
              </w:rPr>
            </w:pPr>
            <w:r w:rsidRPr="00C45CB6">
              <w:rPr>
                <w:rFonts w:asciiTheme="minorHAnsi" w:eastAsia="Times New Roman" w:hAnsiTheme="minorHAnsi" w:cs="Calibri"/>
              </w:rPr>
              <w:t xml:space="preserve">No de minimis rule. Even a small number of Indigenous Peoples present in the project area would require application of the policy.  </w:t>
            </w:r>
          </w:p>
        </w:tc>
        <w:tc>
          <w:tcPr>
            <w:tcW w:w="7200" w:type="dxa"/>
            <w:shd w:val="clear" w:color="auto" w:fill="auto"/>
          </w:tcPr>
          <w:p w14:paraId="408020A5" w14:textId="77777777" w:rsidR="00CF59E1" w:rsidRPr="00C45CB6"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 xml:space="preserve">The requirements apply to </w:t>
            </w:r>
            <w:r>
              <w:rPr>
                <w:rFonts w:asciiTheme="minorHAnsi" w:hAnsiTheme="minorHAnsi" w:cs="Calibri"/>
              </w:rPr>
              <w:t>“</w:t>
            </w:r>
            <w:r w:rsidRPr="00D04661">
              <w:rPr>
                <w:rFonts w:asciiTheme="minorHAnsi" w:hAnsiTheme="minorHAnsi" w:cs="Calibri"/>
              </w:rPr>
              <w:t xml:space="preserve">all </w:t>
            </w:r>
            <w:r w:rsidRPr="00D04661">
              <w:rPr>
                <w:rFonts w:asciiTheme="minorHAnsi" w:hAnsiTheme="minorHAnsi" w:cs="Calibri"/>
                <w:b/>
              </w:rPr>
              <w:t>ADB</w:t>
            </w:r>
            <w:r w:rsidRPr="00D04661">
              <w:rPr>
                <w:rFonts w:asciiTheme="minorHAnsi" w:hAnsiTheme="minorHAnsi" w:cs="Calibri"/>
              </w:rPr>
              <w:t xml:space="preserve">-financed and/or </w:t>
            </w:r>
            <w:r w:rsidRPr="00D04661">
              <w:rPr>
                <w:rFonts w:asciiTheme="minorHAnsi" w:hAnsiTheme="minorHAnsi" w:cs="Calibri"/>
                <w:b/>
              </w:rPr>
              <w:t>ADB</w:t>
            </w:r>
            <w:r w:rsidRPr="00D04661">
              <w:rPr>
                <w:rFonts w:asciiTheme="minorHAnsi" w:hAnsiTheme="minorHAnsi" w:cs="Calibri"/>
              </w:rPr>
              <w:t xml:space="preserve">-administered ….projects, and their components regardless of the source of </w:t>
            </w:r>
            <w:r w:rsidRPr="00C45CB6">
              <w:rPr>
                <w:rFonts w:asciiTheme="minorHAnsi" w:hAnsiTheme="minorHAnsi" w:cs="Calibri"/>
              </w:rPr>
              <w:t>financing,</w:t>
            </w:r>
            <w:r>
              <w:rPr>
                <w:rFonts w:asciiTheme="minorHAnsi" w:hAnsiTheme="minorHAnsi" w:cs="Calibri"/>
              </w:rPr>
              <w:t>”</w:t>
            </w:r>
            <w:r w:rsidRPr="00C45CB6">
              <w:rPr>
                <w:rFonts w:asciiTheme="minorHAnsi" w:hAnsiTheme="minorHAnsi" w:cs="Calibri"/>
              </w:rPr>
              <w:t xml:space="preserve"> as well as </w:t>
            </w:r>
            <w:r>
              <w:rPr>
                <w:rFonts w:asciiTheme="minorHAnsi" w:hAnsiTheme="minorHAnsi" w:cs="Calibri"/>
              </w:rPr>
              <w:t>“</w:t>
            </w:r>
            <w:r w:rsidRPr="00C45CB6">
              <w:rPr>
                <w:rFonts w:asciiTheme="minorHAnsi" w:hAnsiTheme="minorHAnsi" w:cs="Calibri"/>
              </w:rPr>
              <w:t xml:space="preserve">actions conducted by the borrower/client in anticipation of </w:t>
            </w:r>
            <w:r w:rsidRPr="00C45CB6">
              <w:rPr>
                <w:rFonts w:asciiTheme="minorHAnsi" w:hAnsiTheme="minorHAnsi" w:cs="Calibri"/>
                <w:b/>
              </w:rPr>
              <w:t>ADB</w:t>
            </w:r>
            <w:r w:rsidRPr="00C45CB6">
              <w:rPr>
                <w:rFonts w:asciiTheme="minorHAnsi" w:hAnsiTheme="minorHAnsi" w:cs="Calibri"/>
              </w:rPr>
              <w:t xml:space="preserve"> projects.</w:t>
            </w:r>
            <w:r>
              <w:rPr>
                <w:rFonts w:asciiTheme="minorHAnsi" w:hAnsiTheme="minorHAnsi" w:cs="Calibri"/>
              </w:rPr>
              <w:t>”</w:t>
            </w:r>
            <w:r w:rsidRPr="00C45CB6">
              <w:rPr>
                <w:rFonts w:asciiTheme="minorHAnsi" w:hAnsiTheme="minorHAnsi" w:cs="Calibri"/>
                <w:vertAlign w:val="superscript"/>
              </w:rPr>
              <w:footnoteReference w:id="238"/>
            </w:r>
          </w:p>
          <w:p w14:paraId="0E712240" w14:textId="77777777" w:rsidR="00CF59E1" w:rsidRPr="00D04661" w:rsidRDefault="00CF59E1" w:rsidP="00CF59E1">
            <w:pPr>
              <w:spacing w:after="120"/>
              <w:rPr>
                <w:rFonts w:asciiTheme="minorHAnsi" w:hAnsiTheme="minorHAnsi" w:cs="Calibri"/>
              </w:rPr>
            </w:pPr>
            <w:r w:rsidRPr="00C45CB6">
              <w:rPr>
                <w:rFonts w:asciiTheme="minorHAnsi" w:hAnsiTheme="minorHAnsi" w:cs="Calibri"/>
              </w:rPr>
              <w:t xml:space="preserve">The policy is ‘triggered’ </w:t>
            </w:r>
            <w:r>
              <w:rPr>
                <w:rFonts w:asciiTheme="minorHAnsi" w:hAnsiTheme="minorHAnsi" w:cs="Calibri"/>
              </w:rPr>
              <w:t>“</w:t>
            </w:r>
            <w:r w:rsidRPr="00C45CB6">
              <w:rPr>
                <w:rFonts w:asciiTheme="minorHAnsi" w:hAnsiTheme="minorHAnsi" w:cs="Calibri"/>
              </w:rPr>
              <w:t>whenever a project directly or indirectly affects the dignity, human rights, livelihood systems, or culture of Indigenous Peoples or affects the territories or natural or cultural resources that Indigenous Peoples own, use, occupy, or claim as their ancestral domain.</w:t>
            </w:r>
            <w:r>
              <w:rPr>
                <w:rFonts w:asciiTheme="minorHAnsi" w:hAnsiTheme="minorHAnsi" w:cs="Calibri"/>
              </w:rPr>
              <w:t>”</w:t>
            </w:r>
            <w:r w:rsidRPr="00C45CB6">
              <w:rPr>
                <w:rFonts w:asciiTheme="minorHAnsi" w:hAnsiTheme="minorHAnsi" w:cs="Calibri"/>
              </w:rPr>
              <w:t xml:space="preserve"> (</w:t>
            </w:r>
            <w:r w:rsidRPr="00C45CB6">
              <w:rPr>
                <w:rFonts w:asciiTheme="minorHAnsi" w:hAnsiTheme="minorHAnsi" w:cs="Calibri"/>
                <w:b/>
              </w:rPr>
              <w:t xml:space="preserve">ADB, </w:t>
            </w:r>
            <w:r w:rsidRPr="00D04661">
              <w:rPr>
                <w:rFonts w:asciiTheme="minorHAnsi" w:hAnsiTheme="minorHAnsi" w:cs="Calibri"/>
                <w:b/>
              </w:rPr>
              <w:t>SPS, Appendix 3, para. 9</w:t>
            </w:r>
            <w:r w:rsidRPr="00D04661">
              <w:rPr>
                <w:rFonts w:asciiTheme="minorHAnsi" w:hAnsiTheme="minorHAnsi" w:cs="Calibri"/>
              </w:rPr>
              <w:t>)</w:t>
            </w:r>
          </w:p>
          <w:p w14:paraId="253BAF98" w14:textId="77777777" w:rsidR="00CF59E1" w:rsidRPr="00D04661" w:rsidRDefault="00CF59E1" w:rsidP="00CF59E1">
            <w:pPr>
              <w:spacing w:after="120"/>
              <w:rPr>
                <w:rFonts w:asciiTheme="minorHAnsi" w:hAnsiTheme="minorHAnsi" w:cs="Calibri"/>
              </w:rPr>
            </w:pPr>
            <w:r w:rsidRPr="00D04661">
              <w:rPr>
                <w:rFonts w:asciiTheme="minorHAnsi" w:hAnsiTheme="minorHAnsi" w:cs="Calibri"/>
              </w:rPr>
              <w:t xml:space="preserve">Operational Policy 765 applies to </w:t>
            </w:r>
            <w:r>
              <w:rPr>
                <w:rFonts w:asciiTheme="minorHAnsi" w:hAnsiTheme="minorHAnsi" w:cs="Calibri"/>
              </w:rPr>
              <w:t>“</w:t>
            </w:r>
            <w:r w:rsidRPr="00D04661">
              <w:rPr>
                <w:rFonts w:asciiTheme="minorHAnsi" w:hAnsiTheme="minorHAnsi" w:cs="Calibri"/>
              </w:rPr>
              <w:t>all Bank-supported operations and activities, including financial and nonfinancial products.</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IDB), Policy on Indigenous Peoples,</w:t>
            </w:r>
            <w:r w:rsidRPr="00D04661">
              <w:rPr>
                <w:rStyle w:val="FootnoteReference"/>
                <w:rFonts w:asciiTheme="minorHAnsi" w:hAnsiTheme="minorHAnsi" w:cs="Calibri"/>
                <w:b/>
              </w:rPr>
              <w:footnoteReference w:id="239"/>
            </w:r>
            <w:r w:rsidRPr="00D04661">
              <w:rPr>
                <w:rFonts w:asciiTheme="minorHAnsi" w:hAnsiTheme="minorHAnsi" w:cs="Calibri"/>
                <w:b/>
              </w:rPr>
              <w:t xml:space="preserve"> para. 3.1)</w:t>
            </w:r>
          </w:p>
          <w:p w14:paraId="7DCC127D" w14:textId="77777777" w:rsidR="00CF59E1" w:rsidRPr="00D04661" w:rsidRDefault="00CF59E1" w:rsidP="00CF59E1">
            <w:pPr>
              <w:spacing w:after="120"/>
              <w:rPr>
                <w:rFonts w:asciiTheme="minorHAnsi" w:hAnsiTheme="minorHAnsi" w:cs="Calibri"/>
              </w:rPr>
            </w:pPr>
            <w:r w:rsidRPr="00D04661">
              <w:rPr>
                <w:rFonts w:asciiTheme="minorHAnsi" w:hAnsiTheme="minorHAnsi" w:cs="Calibri"/>
              </w:rPr>
              <w:t xml:space="preserve">While </w:t>
            </w:r>
            <w:r>
              <w:rPr>
                <w:rFonts w:asciiTheme="minorHAnsi" w:hAnsiTheme="minorHAnsi" w:cs="Calibri"/>
              </w:rPr>
              <w:t>“</w:t>
            </w:r>
            <w:r w:rsidRPr="00D04661">
              <w:rPr>
                <w:rFonts w:asciiTheme="minorHAnsi" w:hAnsiTheme="minorHAnsi" w:cs="Calibri"/>
              </w:rPr>
              <w:t>[t]aking into account the perspectives of indigenous peoples, [</w:t>
            </w:r>
            <w:r w:rsidRPr="00D04661">
              <w:rPr>
                <w:rFonts w:asciiTheme="minorHAnsi" w:hAnsiTheme="minorHAnsi" w:cs="Calibri"/>
                <w:b/>
              </w:rPr>
              <w:t>IDB</w:t>
            </w:r>
            <w:r w:rsidRPr="00D04661">
              <w:rPr>
                <w:rFonts w:asciiTheme="minorHAnsi" w:hAnsiTheme="minorHAnsi" w:cs="Calibri"/>
              </w:rPr>
              <w:t>] will systematically perform a technical review of all operations submitted for its consideration in the programming and identification stages in order to determine whether indigenous peoples might be affected by the operation and identify potential impacts and benefits, be they direct, indirect, cumulative or regional.</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IDB, Policy on Indigenous Peoples, para. 5.3(a</w:t>
            </w:r>
            <w:r w:rsidRPr="00D04661">
              <w:rPr>
                <w:rFonts w:asciiTheme="minorHAnsi" w:hAnsiTheme="minorHAnsi" w:cs="Calibri"/>
              </w:rPr>
              <w:t>))</w:t>
            </w:r>
          </w:p>
          <w:p w14:paraId="18EE2F10" w14:textId="77777777" w:rsidR="00CF59E1" w:rsidRPr="00D04661" w:rsidRDefault="00CF59E1" w:rsidP="00CF59E1">
            <w:pPr>
              <w:tabs>
                <w:tab w:val="left" w:pos="0"/>
                <w:tab w:val="left" w:pos="284"/>
              </w:tabs>
              <w:autoSpaceDE/>
              <w:autoSpaceDN/>
              <w:adjustRightInd/>
              <w:spacing w:after="120"/>
              <w:rPr>
                <w:rFonts w:asciiTheme="minorHAnsi" w:hAnsiTheme="minorHAnsi" w:cs="Calibri"/>
              </w:rPr>
            </w:pPr>
            <w:r>
              <w:rPr>
                <w:rFonts w:asciiTheme="minorHAnsi" w:hAnsiTheme="minorHAnsi" w:cs="Arial"/>
                <w:bCs/>
              </w:rPr>
              <w:t>“</w:t>
            </w:r>
            <w:r w:rsidRPr="00D04661">
              <w:rPr>
                <w:rFonts w:asciiTheme="minorHAnsi" w:hAnsiTheme="minorHAnsi" w:cs="Arial"/>
                <w:bCs/>
              </w:rPr>
              <w:t>Where EIB operations encounter, affect or threaten the customary rights and interests of indigenous peoples, and where specific actions and outputs are required from promoters,</w:t>
            </w:r>
            <w:r w:rsidRPr="00D04661">
              <w:rPr>
                <w:rFonts w:asciiTheme="minorHAnsi" w:hAnsiTheme="minorHAnsi" w:cs="Arial"/>
              </w:rPr>
              <w:t xml:space="preserve"> particular attention to </w:t>
            </w:r>
            <w:r w:rsidRPr="00D04661">
              <w:rPr>
                <w:rFonts w:asciiTheme="minorHAnsi" w:hAnsiTheme="minorHAnsi" w:cs="Arial"/>
                <w:bCs/>
              </w:rPr>
              <w:t>social due diligence is mandated. The UN Declaration on the Rights of Indigenous Peoples (UNDRIP)</w:t>
            </w:r>
            <w:r w:rsidRPr="00D04661">
              <w:rPr>
                <w:rFonts w:asciiTheme="minorHAnsi" w:hAnsiTheme="minorHAnsi" w:cs="Arial"/>
                <w:bCs/>
                <w:vertAlign w:val="superscript"/>
              </w:rPr>
              <w:footnoteReference w:id="240"/>
            </w:r>
            <w:r w:rsidRPr="00D04661">
              <w:rPr>
                <w:rFonts w:asciiTheme="minorHAnsi" w:hAnsiTheme="minorHAnsi" w:cs="Arial"/>
                <w:bCs/>
              </w:rPr>
              <w:t xml:space="preserve"> is the guiding document of reference in this respect for the EIB</w:t>
            </w:r>
            <w:r w:rsidRPr="00C45CB6">
              <w:rPr>
                <w:rFonts w:asciiTheme="minorHAnsi" w:hAnsiTheme="minorHAnsi" w:cs="Arial"/>
                <w:bCs/>
              </w:rPr>
              <w:t xml:space="preserve">. A gender-sensitive approach endeavoring to promote the rights and interests </w:t>
            </w:r>
            <w:r w:rsidRPr="00D04661">
              <w:rPr>
                <w:rFonts w:asciiTheme="minorHAnsi" w:hAnsiTheme="minorHAnsi" w:cs="Arial"/>
                <w:bCs/>
              </w:rPr>
              <w:t>of women and girls in indigenous communities constitutes a further layer of due diligence required.</w:t>
            </w:r>
            <w:r>
              <w:rPr>
                <w:rFonts w:asciiTheme="minorHAnsi" w:hAnsiTheme="minorHAnsi" w:cs="Arial"/>
                <w:bCs/>
              </w:rPr>
              <w:t>”</w:t>
            </w:r>
            <w:r w:rsidRPr="00D04661">
              <w:rPr>
                <w:rFonts w:asciiTheme="minorHAnsi" w:hAnsiTheme="minorHAnsi" w:cs="Arial"/>
                <w:bCs/>
              </w:rPr>
              <w:t xml:space="preserve"> (</w:t>
            </w:r>
            <w:r w:rsidRPr="00D04661">
              <w:rPr>
                <w:rFonts w:asciiTheme="minorHAnsi" w:hAnsiTheme="minorHAnsi" w:cs="Arial"/>
                <w:b/>
                <w:bCs/>
              </w:rPr>
              <w:t>EIB, ESH, ESS 7, para. 24</w:t>
            </w:r>
            <w:r w:rsidRPr="00D04661">
              <w:rPr>
                <w:rFonts w:asciiTheme="minorHAnsi" w:hAnsiTheme="minorHAnsi" w:cs="Arial"/>
                <w:bCs/>
              </w:rPr>
              <w:t xml:space="preserve">) </w:t>
            </w:r>
          </w:p>
        </w:tc>
      </w:tr>
      <w:tr w:rsidR="00CF59E1" w:rsidRPr="00D8522E" w14:paraId="64382715" w14:textId="77777777" w:rsidTr="00CF59E1">
        <w:tc>
          <w:tcPr>
            <w:tcW w:w="6390" w:type="dxa"/>
            <w:shd w:val="clear" w:color="auto" w:fill="auto"/>
            <w:vAlign w:val="center"/>
          </w:tcPr>
          <w:p w14:paraId="2AAC5CCC"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CRITERIA FOR THE IDENTIFICATION OF INDIGEOUS PEOPLES IN PROJECTS</w:t>
            </w:r>
          </w:p>
          <w:p w14:paraId="3170C66B" w14:textId="77777777" w:rsidR="00CF59E1" w:rsidRPr="00D04661" w:rsidRDefault="00CF59E1" w:rsidP="00CF59E1">
            <w:pPr>
              <w:autoSpaceDE/>
              <w:autoSpaceDN/>
              <w:adjustRightInd/>
              <w:spacing w:after="120"/>
              <w:rPr>
                <w:rFonts w:asciiTheme="minorHAnsi" w:eastAsia="Times New Roman" w:hAnsiTheme="minorHAnsi" w:cs="Arial"/>
              </w:rPr>
            </w:pPr>
            <w:r w:rsidRPr="00D04661">
              <w:rPr>
                <w:rFonts w:asciiTheme="minorHAnsi" w:eastAsia="Times New Roman" w:hAnsiTheme="minorHAnsi" w:cs="Arial"/>
              </w:rPr>
              <w:t xml:space="preserve">OP 4.10, para. 3. Because of the varied and changing contexts in which Indigenous Peoples live and because there is no universally accepted definition of </w:t>
            </w:r>
            <w:r>
              <w:rPr>
                <w:rFonts w:asciiTheme="minorHAnsi" w:eastAsia="Times New Roman" w:hAnsiTheme="minorHAnsi" w:cs="Arial"/>
              </w:rPr>
              <w:t>“</w:t>
            </w:r>
            <w:r w:rsidRPr="00D04661">
              <w:rPr>
                <w:rFonts w:asciiTheme="minorHAnsi" w:eastAsia="Times New Roman" w:hAnsiTheme="minorHAnsi" w:cs="Arial"/>
              </w:rPr>
              <w:t>Indigenous Peoples,</w:t>
            </w:r>
            <w:r>
              <w:rPr>
                <w:rFonts w:asciiTheme="minorHAnsi" w:eastAsia="Times New Roman" w:hAnsiTheme="minorHAnsi" w:cs="Arial"/>
              </w:rPr>
              <w:t>”</w:t>
            </w:r>
            <w:r w:rsidRPr="00D04661">
              <w:rPr>
                <w:rFonts w:asciiTheme="minorHAnsi" w:eastAsia="Times New Roman" w:hAnsiTheme="minorHAnsi" w:cs="Arial"/>
              </w:rPr>
              <w:t xml:space="preserve"> this policy does not define the term. Indigenous Peoples may be referred to in different countries by such terms as </w:t>
            </w:r>
            <w:r>
              <w:rPr>
                <w:rFonts w:asciiTheme="minorHAnsi" w:eastAsia="Times New Roman" w:hAnsiTheme="minorHAnsi" w:cs="Arial"/>
              </w:rPr>
              <w:t>“</w:t>
            </w:r>
            <w:r w:rsidRPr="00D04661">
              <w:rPr>
                <w:rFonts w:asciiTheme="minorHAnsi" w:eastAsia="Times New Roman" w:hAnsiTheme="minorHAnsi" w:cs="Arial"/>
              </w:rPr>
              <w:t>indigenous ethnic minorities,</w:t>
            </w:r>
            <w:r>
              <w:rPr>
                <w:rFonts w:asciiTheme="minorHAnsi" w:eastAsia="Times New Roman" w:hAnsiTheme="minorHAnsi" w:cs="Arial"/>
              </w:rPr>
              <w:t>”</w:t>
            </w:r>
            <w:r w:rsidRPr="00D04661">
              <w:rPr>
                <w:rFonts w:asciiTheme="minorHAnsi" w:eastAsia="Times New Roman" w:hAnsiTheme="minorHAnsi" w:cs="Arial"/>
              </w:rPr>
              <w:t xml:space="preserve"> </w:t>
            </w:r>
            <w:r>
              <w:rPr>
                <w:rFonts w:asciiTheme="minorHAnsi" w:eastAsia="Times New Roman" w:hAnsiTheme="minorHAnsi" w:cs="Arial"/>
              </w:rPr>
              <w:t>“</w:t>
            </w:r>
            <w:r w:rsidRPr="00D04661">
              <w:rPr>
                <w:rFonts w:asciiTheme="minorHAnsi" w:eastAsia="Times New Roman" w:hAnsiTheme="minorHAnsi" w:cs="Arial"/>
              </w:rPr>
              <w:t>aboriginals,</w:t>
            </w:r>
            <w:r>
              <w:rPr>
                <w:rFonts w:asciiTheme="minorHAnsi" w:eastAsia="Times New Roman" w:hAnsiTheme="minorHAnsi" w:cs="Arial"/>
              </w:rPr>
              <w:t>”</w:t>
            </w:r>
            <w:r w:rsidRPr="00D04661">
              <w:rPr>
                <w:rFonts w:asciiTheme="minorHAnsi" w:eastAsia="Times New Roman" w:hAnsiTheme="minorHAnsi" w:cs="Arial"/>
              </w:rPr>
              <w:t xml:space="preserve"> </w:t>
            </w:r>
            <w:r>
              <w:rPr>
                <w:rFonts w:asciiTheme="minorHAnsi" w:eastAsia="Times New Roman" w:hAnsiTheme="minorHAnsi" w:cs="Arial"/>
              </w:rPr>
              <w:t>“</w:t>
            </w:r>
            <w:r w:rsidRPr="00D04661">
              <w:rPr>
                <w:rFonts w:asciiTheme="minorHAnsi" w:eastAsia="Times New Roman" w:hAnsiTheme="minorHAnsi" w:cs="Arial"/>
              </w:rPr>
              <w:t>hill tribes,</w:t>
            </w:r>
            <w:r>
              <w:rPr>
                <w:rFonts w:asciiTheme="minorHAnsi" w:eastAsia="Times New Roman" w:hAnsiTheme="minorHAnsi" w:cs="Arial"/>
              </w:rPr>
              <w:t>”</w:t>
            </w:r>
            <w:r w:rsidRPr="00D04661">
              <w:rPr>
                <w:rFonts w:asciiTheme="minorHAnsi" w:eastAsia="Times New Roman" w:hAnsiTheme="minorHAnsi" w:cs="Arial"/>
              </w:rPr>
              <w:t xml:space="preserve"> </w:t>
            </w:r>
            <w:r>
              <w:rPr>
                <w:rFonts w:asciiTheme="minorHAnsi" w:eastAsia="Times New Roman" w:hAnsiTheme="minorHAnsi" w:cs="Arial"/>
              </w:rPr>
              <w:t>“</w:t>
            </w:r>
            <w:r w:rsidRPr="00D04661">
              <w:rPr>
                <w:rFonts w:asciiTheme="minorHAnsi" w:eastAsia="Times New Roman" w:hAnsiTheme="minorHAnsi" w:cs="Arial"/>
              </w:rPr>
              <w:t>minority nationalities,</w:t>
            </w:r>
            <w:r>
              <w:rPr>
                <w:rFonts w:asciiTheme="minorHAnsi" w:eastAsia="Times New Roman" w:hAnsiTheme="minorHAnsi" w:cs="Arial"/>
              </w:rPr>
              <w:t>”</w:t>
            </w:r>
            <w:r w:rsidRPr="00D04661">
              <w:rPr>
                <w:rFonts w:asciiTheme="minorHAnsi" w:eastAsia="Times New Roman" w:hAnsiTheme="minorHAnsi" w:cs="Arial"/>
              </w:rPr>
              <w:t xml:space="preserve"> </w:t>
            </w:r>
            <w:r>
              <w:rPr>
                <w:rFonts w:asciiTheme="minorHAnsi" w:eastAsia="Times New Roman" w:hAnsiTheme="minorHAnsi" w:cs="Arial"/>
              </w:rPr>
              <w:t>“</w:t>
            </w:r>
            <w:r w:rsidRPr="00D04661">
              <w:rPr>
                <w:rFonts w:asciiTheme="minorHAnsi" w:eastAsia="Times New Roman" w:hAnsiTheme="minorHAnsi" w:cs="Arial"/>
              </w:rPr>
              <w:t>scheduled tribes,</w:t>
            </w:r>
            <w:r>
              <w:rPr>
                <w:rFonts w:asciiTheme="minorHAnsi" w:eastAsia="Times New Roman" w:hAnsiTheme="minorHAnsi" w:cs="Arial"/>
              </w:rPr>
              <w:t>”</w:t>
            </w:r>
            <w:r w:rsidRPr="00D04661">
              <w:rPr>
                <w:rFonts w:asciiTheme="minorHAnsi" w:eastAsia="Times New Roman" w:hAnsiTheme="minorHAnsi" w:cs="Arial"/>
              </w:rPr>
              <w:t xml:space="preserve"> or </w:t>
            </w:r>
            <w:r>
              <w:rPr>
                <w:rFonts w:asciiTheme="minorHAnsi" w:eastAsia="Times New Roman" w:hAnsiTheme="minorHAnsi" w:cs="Arial"/>
              </w:rPr>
              <w:t>“</w:t>
            </w:r>
            <w:r w:rsidRPr="00D04661">
              <w:rPr>
                <w:rFonts w:asciiTheme="minorHAnsi" w:eastAsia="Times New Roman" w:hAnsiTheme="minorHAnsi" w:cs="Arial"/>
              </w:rPr>
              <w:t>tribal groups.</w:t>
            </w:r>
            <w:r>
              <w:rPr>
                <w:rFonts w:asciiTheme="minorHAnsi" w:eastAsia="Times New Roman" w:hAnsiTheme="minorHAnsi" w:cs="Arial"/>
              </w:rPr>
              <w:t>”</w:t>
            </w:r>
          </w:p>
          <w:p w14:paraId="4E78B536" w14:textId="77777777" w:rsidR="00CF59E1" w:rsidRPr="00D04661" w:rsidRDefault="00CF59E1" w:rsidP="00CF59E1">
            <w:pPr>
              <w:autoSpaceDE/>
              <w:autoSpaceDN/>
              <w:adjustRightInd/>
              <w:spacing w:after="120"/>
              <w:rPr>
                <w:rFonts w:asciiTheme="minorHAnsi" w:eastAsia="Times New Roman" w:hAnsiTheme="minorHAnsi" w:cs="Arial"/>
              </w:rPr>
            </w:pPr>
            <w:r>
              <w:rPr>
                <w:rFonts w:asciiTheme="minorHAnsi" w:eastAsia="Times New Roman" w:hAnsiTheme="minorHAnsi" w:cs="Arial"/>
              </w:rPr>
              <w:t xml:space="preserve">Para. </w:t>
            </w:r>
            <w:r w:rsidRPr="00D04661">
              <w:rPr>
                <w:rFonts w:asciiTheme="minorHAnsi" w:eastAsia="Times New Roman" w:hAnsiTheme="minorHAnsi" w:cs="Arial"/>
              </w:rPr>
              <w:t>4.</w:t>
            </w:r>
            <w:r w:rsidRPr="00D04661">
              <w:rPr>
                <w:rFonts w:asciiTheme="minorHAnsi" w:eastAsia="Times New Roman" w:hAnsiTheme="minorHAnsi" w:cs="Times New Roman"/>
              </w:rPr>
              <w:t xml:space="preserve"> </w:t>
            </w:r>
            <w:r w:rsidRPr="00D04661">
              <w:rPr>
                <w:rFonts w:asciiTheme="minorHAnsi" w:eastAsia="Times New Roman" w:hAnsiTheme="minorHAnsi" w:cs="Arial"/>
              </w:rPr>
              <w:t xml:space="preserve">For purposes of this policy, the term </w:t>
            </w:r>
            <w:r>
              <w:rPr>
                <w:rFonts w:asciiTheme="minorHAnsi" w:eastAsia="Times New Roman" w:hAnsiTheme="minorHAnsi" w:cs="Arial"/>
              </w:rPr>
              <w:t>“</w:t>
            </w:r>
            <w:r w:rsidRPr="00D04661">
              <w:rPr>
                <w:rFonts w:asciiTheme="minorHAnsi" w:eastAsia="Times New Roman" w:hAnsiTheme="minorHAnsi" w:cs="Arial"/>
              </w:rPr>
              <w:t>Indigenous Peoples</w:t>
            </w:r>
            <w:r>
              <w:rPr>
                <w:rFonts w:asciiTheme="minorHAnsi" w:eastAsia="Times New Roman" w:hAnsiTheme="minorHAnsi" w:cs="Arial"/>
              </w:rPr>
              <w:t>”</w:t>
            </w:r>
            <w:r w:rsidRPr="00D04661">
              <w:rPr>
                <w:rFonts w:asciiTheme="minorHAnsi" w:eastAsia="Times New Roman" w:hAnsiTheme="minorHAnsi" w:cs="Arial"/>
              </w:rPr>
              <w:t xml:space="preserve"> is used in a generic sense to refer to a distinct, vulnerable, social and cultural group possessing the following characteristics in varying degrees:</w:t>
            </w:r>
          </w:p>
          <w:p w14:paraId="07CCB741" w14:textId="77777777" w:rsidR="00CF59E1" w:rsidRPr="00D04661" w:rsidRDefault="00CF59E1" w:rsidP="00CF59E1">
            <w:pPr>
              <w:autoSpaceDE/>
              <w:autoSpaceDN/>
              <w:adjustRightInd/>
              <w:spacing w:after="120"/>
              <w:ind w:left="360" w:hanging="360"/>
              <w:rPr>
                <w:rFonts w:asciiTheme="minorHAnsi" w:eastAsia="Times New Roman" w:hAnsiTheme="minorHAnsi" w:cs="Arial"/>
              </w:rPr>
            </w:pPr>
            <w:r w:rsidRPr="00D04661">
              <w:rPr>
                <w:rFonts w:asciiTheme="minorHAnsi" w:eastAsia="Times New Roman" w:hAnsiTheme="minorHAnsi" w:cs="Arial"/>
              </w:rPr>
              <w:t>(a)</w:t>
            </w:r>
            <w:r w:rsidRPr="00D04661">
              <w:rPr>
                <w:rFonts w:asciiTheme="minorHAnsi" w:eastAsia="Times New Roman" w:hAnsiTheme="minorHAnsi" w:cs="Arial"/>
              </w:rPr>
              <w:tab/>
              <w:t>self-identification as members of a distinct indigenous cultural group and recognition of this identity by others;</w:t>
            </w:r>
          </w:p>
          <w:p w14:paraId="539EFBE6" w14:textId="77777777" w:rsidR="00CF59E1" w:rsidRPr="00D04661" w:rsidRDefault="00CF59E1" w:rsidP="00CF59E1">
            <w:pPr>
              <w:autoSpaceDE/>
              <w:autoSpaceDN/>
              <w:adjustRightInd/>
              <w:spacing w:after="120"/>
              <w:ind w:left="360" w:hanging="360"/>
              <w:rPr>
                <w:rFonts w:asciiTheme="minorHAnsi" w:eastAsia="Times New Roman" w:hAnsiTheme="minorHAnsi" w:cs="Arial"/>
              </w:rPr>
            </w:pPr>
            <w:r w:rsidRPr="00D04661">
              <w:rPr>
                <w:rFonts w:asciiTheme="minorHAnsi" w:eastAsia="Times New Roman" w:hAnsiTheme="minorHAnsi" w:cs="Arial"/>
              </w:rPr>
              <w:t>(b)</w:t>
            </w:r>
            <w:r>
              <w:rPr>
                <w:rFonts w:asciiTheme="minorHAnsi" w:eastAsia="Times New Roman" w:hAnsiTheme="minorHAnsi" w:cs="Arial"/>
              </w:rPr>
              <w:tab/>
            </w:r>
            <w:r w:rsidRPr="00D04661">
              <w:rPr>
                <w:rFonts w:asciiTheme="minorHAnsi" w:eastAsia="Times New Roman" w:hAnsiTheme="minorHAnsi" w:cs="Arial"/>
              </w:rPr>
              <w:t>collective attachment to geographically distinct habitats or ancestral territories in the project area and to the natural resources in these habitats and territories</w:t>
            </w:r>
            <w:r>
              <w:rPr>
                <w:rFonts w:asciiTheme="minorHAnsi" w:eastAsia="Times New Roman" w:hAnsiTheme="minorHAnsi" w:cs="Arial"/>
              </w:rPr>
              <w:t>;</w:t>
            </w:r>
            <w:hyperlink r:id="rId45" w:anchor="F7" w:history="1">
              <w:r w:rsidRPr="00D04661">
                <w:rPr>
                  <w:rFonts w:asciiTheme="minorHAnsi" w:eastAsia="Times New Roman" w:hAnsiTheme="minorHAnsi" w:cs="Arial"/>
                  <w:u w:val="single"/>
                  <w:vertAlign w:val="superscript"/>
                </w:rPr>
                <w:t>7</w:t>
              </w:r>
            </w:hyperlink>
            <w:r w:rsidRPr="00D04661">
              <w:rPr>
                <w:rFonts w:asciiTheme="minorHAnsi" w:eastAsia="Times New Roman" w:hAnsiTheme="minorHAnsi" w:cs="Arial"/>
              </w:rPr>
              <w:t xml:space="preserve"> </w:t>
            </w:r>
          </w:p>
          <w:p w14:paraId="153284BE" w14:textId="77777777" w:rsidR="00CF59E1" w:rsidRPr="00D04661" w:rsidRDefault="00CF59E1" w:rsidP="00CF59E1">
            <w:pPr>
              <w:autoSpaceDE/>
              <w:autoSpaceDN/>
              <w:adjustRightInd/>
              <w:spacing w:after="120"/>
              <w:ind w:left="360" w:hanging="360"/>
              <w:rPr>
                <w:rFonts w:asciiTheme="minorHAnsi" w:eastAsia="Times New Roman" w:hAnsiTheme="minorHAnsi" w:cs="Arial"/>
              </w:rPr>
            </w:pPr>
            <w:r w:rsidRPr="00D04661">
              <w:rPr>
                <w:rFonts w:asciiTheme="minorHAnsi" w:eastAsia="Times New Roman" w:hAnsiTheme="minorHAnsi" w:cs="Arial"/>
              </w:rPr>
              <w:t>(c)</w:t>
            </w:r>
            <w:r>
              <w:rPr>
                <w:rFonts w:asciiTheme="minorHAnsi" w:eastAsia="Times New Roman" w:hAnsiTheme="minorHAnsi" w:cs="Arial"/>
              </w:rPr>
              <w:tab/>
            </w:r>
            <w:r w:rsidRPr="00D04661">
              <w:rPr>
                <w:rFonts w:asciiTheme="minorHAnsi" w:eastAsia="Times New Roman" w:hAnsiTheme="minorHAnsi" w:cs="Arial"/>
              </w:rPr>
              <w:t xml:space="preserve">customary cultural, economic, social, or political institutions </w:t>
            </w:r>
            <w:r>
              <w:rPr>
                <w:rFonts w:asciiTheme="minorHAnsi" w:eastAsia="Times New Roman" w:hAnsiTheme="minorHAnsi" w:cs="Arial"/>
              </w:rPr>
              <w:t xml:space="preserve"> </w:t>
            </w:r>
            <w:r w:rsidRPr="00D04661">
              <w:rPr>
                <w:rFonts w:asciiTheme="minorHAnsi" w:eastAsia="Times New Roman" w:hAnsiTheme="minorHAnsi" w:cs="Arial"/>
              </w:rPr>
              <w:t>that are separate from those of the dominant society and culture; and</w:t>
            </w:r>
          </w:p>
          <w:p w14:paraId="4E1B2CDD" w14:textId="77777777" w:rsidR="00CF59E1" w:rsidRPr="00D04661" w:rsidRDefault="00CF59E1" w:rsidP="00CF59E1">
            <w:pPr>
              <w:autoSpaceDE/>
              <w:autoSpaceDN/>
              <w:adjustRightInd/>
              <w:spacing w:after="120"/>
              <w:ind w:left="360" w:hanging="360"/>
              <w:rPr>
                <w:rFonts w:asciiTheme="minorHAnsi" w:eastAsia="Times New Roman" w:hAnsiTheme="minorHAnsi" w:cs="Arial"/>
              </w:rPr>
            </w:pPr>
            <w:r w:rsidRPr="00D04661">
              <w:rPr>
                <w:rFonts w:asciiTheme="minorHAnsi" w:eastAsia="Times New Roman" w:hAnsiTheme="minorHAnsi" w:cs="Arial"/>
              </w:rPr>
              <w:t>(d)</w:t>
            </w:r>
            <w:r>
              <w:rPr>
                <w:rFonts w:asciiTheme="minorHAnsi" w:eastAsia="Times New Roman" w:hAnsiTheme="minorHAnsi" w:cs="Arial"/>
              </w:rPr>
              <w:tab/>
            </w:r>
            <w:r w:rsidRPr="00D04661">
              <w:rPr>
                <w:rFonts w:asciiTheme="minorHAnsi" w:eastAsia="Times New Roman" w:hAnsiTheme="minorHAnsi" w:cs="Arial"/>
              </w:rPr>
              <w:t>an indigenous language, often different from the official language of the country or region.</w:t>
            </w:r>
          </w:p>
        </w:tc>
        <w:tc>
          <w:tcPr>
            <w:tcW w:w="7200" w:type="dxa"/>
            <w:shd w:val="clear" w:color="auto" w:fill="auto"/>
          </w:tcPr>
          <w:p w14:paraId="0394EAD6"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For the purposes of this policy, the term indigenous peoples refers to those who meet the following three criteria: (i) they are descendants from populations inhabiting Latin America and the Caribbean at the time of the conquest or colonization; (ii) irrespective of their legal status or current residence, they retain some or all of their own social, economic, political, linguistic and cultural institutions and practices; and (iii) they recognize themselves as belonging to indigenous or pre-colonial cultures or peoples.</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IDB, Policy on Indigenous Peoples, para. 1.1)</w:t>
            </w:r>
          </w:p>
          <w:p w14:paraId="0301D156" w14:textId="77777777" w:rsidR="00CF59E1" w:rsidRPr="00D04661" w:rsidRDefault="00CF59E1" w:rsidP="00CF59E1">
            <w:pPr>
              <w:spacing w:after="120"/>
              <w:rPr>
                <w:rFonts w:asciiTheme="minorHAnsi" w:hAnsiTheme="minorHAnsi" w:cs="Calibri"/>
              </w:rPr>
            </w:pPr>
            <w:r w:rsidRPr="00D04661">
              <w:rPr>
                <w:rFonts w:asciiTheme="minorHAnsi" w:hAnsiTheme="minorHAnsi" w:cs="Calibri"/>
                <w:bCs/>
              </w:rPr>
              <w:t>IDB</w:t>
            </w:r>
            <w:r w:rsidRPr="00D04661">
              <w:rPr>
                <w:rFonts w:asciiTheme="minorHAnsi" w:hAnsiTheme="minorHAnsi" w:cs="Calibri"/>
              </w:rPr>
              <w:t xml:space="preserve"> includes within the categories of IPs </w:t>
            </w:r>
            <w:r>
              <w:rPr>
                <w:rFonts w:asciiTheme="minorHAnsi" w:hAnsiTheme="minorHAnsi" w:cs="Calibri"/>
              </w:rPr>
              <w:t>“</w:t>
            </w:r>
            <w:r w:rsidRPr="00D04661">
              <w:rPr>
                <w:rFonts w:asciiTheme="minorHAnsi" w:hAnsiTheme="minorHAnsi" w:cs="Calibri"/>
                <w:iCs/>
              </w:rPr>
              <w:t>transborder indigenous peoples;</w:t>
            </w:r>
            <w:r>
              <w:rPr>
                <w:rFonts w:asciiTheme="minorHAnsi" w:hAnsiTheme="minorHAnsi" w:cs="Calibri"/>
                <w:iCs/>
              </w:rPr>
              <w:t>”</w:t>
            </w:r>
            <w:r w:rsidRPr="00D04661">
              <w:rPr>
                <w:rFonts w:asciiTheme="minorHAnsi" w:hAnsiTheme="minorHAnsi" w:cs="Calibri"/>
                <w:iCs/>
              </w:rPr>
              <w:t xml:space="preserve"> </w:t>
            </w:r>
            <w:r w:rsidRPr="00D04661">
              <w:rPr>
                <w:rFonts w:asciiTheme="minorHAnsi" w:hAnsiTheme="minorHAnsi" w:cs="Calibri"/>
                <w:iCs/>
                <w:vertAlign w:val="superscript"/>
              </w:rPr>
              <w:footnoteReference w:id="241"/>
            </w:r>
            <w:r w:rsidRPr="00D04661">
              <w:rPr>
                <w:rFonts w:asciiTheme="minorHAnsi" w:hAnsiTheme="minorHAnsi" w:cs="Calibri"/>
                <w:iCs/>
              </w:rPr>
              <w:t xml:space="preserve">and </w:t>
            </w:r>
            <w:r>
              <w:rPr>
                <w:rFonts w:asciiTheme="minorHAnsi" w:hAnsiTheme="minorHAnsi" w:cs="Calibri"/>
              </w:rPr>
              <w:t>“</w:t>
            </w:r>
            <w:r w:rsidRPr="00D04661">
              <w:rPr>
                <w:rFonts w:asciiTheme="minorHAnsi" w:hAnsiTheme="minorHAnsi" w:cs="Calibri"/>
              </w:rPr>
              <w:t>u</w:t>
            </w:r>
            <w:r w:rsidRPr="00D04661">
              <w:rPr>
                <w:rFonts w:asciiTheme="minorHAnsi" w:hAnsiTheme="minorHAnsi" w:cs="Calibri"/>
                <w:iCs/>
              </w:rPr>
              <w:t>ncontacted</w:t>
            </w:r>
            <w:r>
              <w:rPr>
                <w:rFonts w:asciiTheme="minorHAnsi" w:hAnsiTheme="minorHAnsi" w:cs="Calibri"/>
                <w:iCs/>
              </w:rPr>
              <w:t>”</w:t>
            </w:r>
            <w:r w:rsidRPr="00D04661">
              <w:rPr>
                <w:rFonts w:asciiTheme="minorHAnsi" w:hAnsiTheme="minorHAnsi" w:cs="Calibri"/>
                <w:iCs/>
              </w:rPr>
              <w:t xml:space="preserve"> indigenous peoples,</w:t>
            </w:r>
            <w:r>
              <w:rPr>
                <w:rFonts w:asciiTheme="minorHAnsi" w:hAnsiTheme="minorHAnsi" w:cs="Calibri"/>
                <w:iCs/>
              </w:rPr>
              <w:t>”</w:t>
            </w:r>
            <w:r w:rsidRPr="00D04661">
              <w:rPr>
                <w:rFonts w:asciiTheme="minorHAnsi" w:hAnsiTheme="minorHAnsi" w:cs="Calibri"/>
                <w:vertAlign w:val="superscript"/>
              </w:rPr>
              <w:footnoteReference w:id="242"/>
            </w:r>
            <w:r w:rsidRPr="00D04661">
              <w:rPr>
                <w:rFonts w:asciiTheme="minorHAnsi" w:hAnsiTheme="minorHAnsi" w:cs="Calibri"/>
              </w:rPr>
              <w:t xml:space="preserve"> and prescribes specific measures designed to protect their rights and welfare. (</w:t>
            </w:r>
            <w:r w:rsidRPr="00D04661">
              <w:rPr>
                <w:rFonts w:asciiTheme="minorHAnsi" w:hAnsiTheme="minorHAnsi" w:cs="Calibri"/>
                <w:b/>
              </w:rPr>
              <w:t>IDB, Policy on Indigenous</w:t>
            </w:r>
            <w:r w:rsidRPr="00D04661">
              <w:rPr>
                <w:rFonts w:asciiTheme="minorHAnsi" w:hAnsiTheme="minorHAnsi" w:cs="Calibri"/>
              </w:rPr>
              <w:t xml:space="preserve"> </w:t>
            </w:r>
            <w:r w:rsidRPr="00D04661">
              <w:rPr>
                <w:rFonts w:asciiTheme="minorHAnsi" w:hAnsiTheme="minorHAnsi" w:cs="Calibri"/>
                <w:b/>
              </w:rPr>
              <w:t>Peoples, para. 4.4 (f) and (g)</w:t>
            </w:r>
            <w:r w:rsidRPr="00D04661">
              <w:rPr>
                <w:rFonts w:asciiTheme="minorHAnsi" w:hAnsiTheme="minorHAnsi" w:cs="Calibri"/>
                <w:bCs/>
              </w:rPr>
              <w:t>)</w:t>
            </w:r>
          </w:p>
          <w:p w14:paraId="77C88F8E" w14:textId="77777777" w:rsidR="00CF59E1" w:rsidRPr="00D04661" w:rsidRDefault="00CF59E1" w:rsidP="00CF59E1">
            <w:pPr>
              <w:spacing w:after="120"/>
              <w:rPr>
                <w:rFonts w:asciiTheme="minorHAnsi" w:hAnsiTheme="minorHAnsi" w:cs="Calibri"/>
              </w:rPr>
            </w:pPr>
          </w:p>
        </w:tc>
      </w:tr>
      <w:tr w:rsidR="00CF59E1" w:rsidRPr="00D8522E" w14:paraId="0422B781" w14:textId="77777777" w:rsidTr="00CF59E1">
        <w:tc>
          <w:tcPr>
            <w:tcW w:w="6390" w:type="dxa"/>
            <w:vMerge w:val="restart"/>
            <w:shd w:val="clear" w:color="auto" w:fill="auto"/>
            <w:vAlign w:val="center"/>
          </w:tcPr>
          <w:p w14:paraId="59404225" w14:textId="77777777" w:rsidR="00CF59E1" w:rsidRPr="00C45CB6" w:rsidRDefault="00CF59E1" w:rsidP="00CF59E1">
            <w:pPr>
              <w:tabs>
                <w:tab w:val="left" w:pos="990"/>
              </w:tabs>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SOCIAL ASSESSMENT (</w:t>
            </w:r>
            <w:r w:rsidRPr="00C45CB6">
              <w:rPr>
                <w:rFonts w:asciiTheme="minorHAnsi" w:eastAsia="Times New Roman" w:hAnsiTheme="minorHAnsi" w:cs="Calibri"/>
                <w:b/>
              </w:rPr>
              <w:t xml:space="preserve">SA) </w:t>
            </w:r>
          </w:p>
          <w:p w14:paraId="11366667" w14:textId="77777777" w:rsidR="00CF59E1" w:rsidRPr="00C45CB6" w:rsidRDefault="00CF59E1" w:rsidP="00CF59E1">
            <w:pPr>
              <w:spacing w:after="120"/>
              <w:rPr>
                <w:rFonts w:asciiTheme="minorHAnsi" w:hAnsiTheme="minorHAnsi" w:cs="Calibri"/>
              </w:rPr>
            </w:pPr>
            <w:r>
              <w:rPr>
                <w:rFonts w:asciiTheme="minorHAnsi" w:hAnsiTheme="minorHAnsi" w:cs="Calibri"/>
              </w:rPr>
              <w:t xml:space="preserve">OP 4.10. Para. </w:t>
            </w:r>
            <w:r w:rsidRPr="00C45CB6">
              <w:rPr>
                <w:rFonts w:asciiTheme="minorHAnsi" w:hAnsiTheme="minorHAnsi" w:cs="Calibri"/>
              </w:rPr>
              <w:t>9. If, based on the screening, the Bank concludes that Indigenous Peoples are present in, or have collective attachment to, the project area, the borrower undertakes a social assessment to evaluate the project’s potential positive and adverse effects on the Indigenous Peoples, and to examine project alternatives where adverse effects may be significant.</w:t>
            </w:r>
          </w:p>
          <w:p w14:paraId="6F03328A" w14:textId="77777777" w:rsidR="00CF59E1" w:rsidRPr="00D04661" w:rsidRDefault="00CF59E1" w:rsidP="00CF59E1">
            <w:pPr>
              <w:spacing w:after="120"/>
              <w:rPr>
                <w:rFonts w:asciiTheme="minorHAnsi" w:hAnsiTheme="minorHAnsi" w:cs="Arial"/>
              </w:rPr>
            </w:pPr>
            <w:r>
              <w:rPr>
                <w:rFonts w:asciiTheme="minorHAnsi" w:hAnsiTheme="minorHAnsi" w:cs="Arial"/>
                <w:i/>
                <w:iCs/>
              </w:rPr>
              <w:t xml:space="preserve">Para. </w:t>
            </w:r>
            <w:r w:rsidRPr="00D04661">
              <w:rPr>
                <w:rFonts w:asciiTheme="minorHAnsi" w:hAnsiTheme="minorHAnsi" w:cs="Arial"/>
                <w:i/>
                <w:iCs/>
              </w:rPr>
              <w:t>5. Use of Country Systems.</w:t>
            </w:r>
            <w:r w:rsidRPr="00D04661">
              <w:rPr>
                <w:rFonts w:asciiTheme="minorHAnsi" w:hAnsiTheme="minorHAnsi" w:cs="Arial"/>
              </w:rPr>
              <w:t xml:space="preserve"> The Bank may decide to use a country’s systems to address environmental and social safeguard issues in a Bank-financed project that affects Indigenous Peoples. This decision is made in accordance with the requirements of the applicable Bank policy on country systems</w:t>
            </w:r>
          </w:p>
          <w:p w14:paraId="68B6D004" w14:textId="77777777" w:rsidR="00CF59E1" w:rsidRPr="00C45CB6" w:rsidRDefault="00CF59E1" w:rsidP="00CF59E1">
            <w:pPr>
              <w:autoSpaceDE/>
              <w:autoSpaceDN/>
              <w:adjustRightInd/>
              <w:spacing w:after="120"/>
              <w:rPr>
                <w:rFonts w:asciiTheme="minorHAnsi" w:eastAsia="Times New Roman" w:hAnsiTheme="minorHAnsi" w:cs="Times New Roman"/>
              </w:rPr>
            </w:pPr>
            <w:r w:rsidRPr="00D04661">
              <w:rPr>
                <w:rFonts w:asciiTheme="minorHAnsi" w:eastAsia="Arial" w:hAnsiTheme="minorHAnsi" w:cs="Arial"/>
              </w:rPr>
              <w:t xml:space="preserve">Annex A 2. </w:t>
            </w:r>
            <w:r w:rsidRPr="00C45CB6">
              <w:rPr>
                <w:rFonts w:asciiTheme="minorHAnsi" w:eastAsia="Times New Roman" w:hAnsiTheme="minorHAnsi" w:cs="Arial"/>
              </w:rPr>
              <w:t>The social assessment includes,  as needed:</w:t>
            </w:r>
          </w:p>
          <w:p w14:paraId="48571B45" w14:textId="77777777" w:rsidR="00CF59E1" w:rsidRPr="00C45CB6" w:rsidRDefault="00CF59E1" w:rsidP="00CF59E1">
            <w:pPr>
              <w:tabs>
                <w:tab w:val="num" w:pos="1440"/>
              </w:tabs>
              <w:autoSpaceDE/>
              <w:autoSpaceDN/>
              <w:adjustRightInd/>
              <w:spacing w:after="120"/>
              <w:rPr>
                <w:rFonts w:asciiTheme="minorHAnsi" w:eastAsia="Times New Roman" w:hAnsiTheme="minorHAnsi" w:cs="Times New Roman"/>
              </w:rPr>
            </w:pPr>
            <w:r w:rsidRPr="00C45CB6">
              <w:rPr>
                <w:rFonts w:asciiTheme="minorHAnsi" w:eastAsia="Arial" w:hAnsiTheme="minorHAnsi" w:cs="Arial"/>
              </w:rPr>
              <w:t xml:space="preserve">(a) </w:t>
            </w:r>
            <w:r w:rsidRPr="00C45CB6">
              <w:rPr>
                <w:rFonts w:asciiTheme="minorHAnsi" w:eastAsia="Times New Roman" w:hAnsiTheme="minorHAnsi" w:cs="Arial"/>
              </w:rPr>
              <w:t>A review on a scale appropriate to the project, of the legal and institutional framework applicable to Indigenous Peoples</w:t>
            </w:r>
          </w:p>
          <w:p w14:paraId="50BDFC88" w14:textId="77777777" w:rsidR="00CF59E1" w:rsidRPr="00C45CB6" w:rsidRDefault="00CF59E1" w:rsidP="00CF59E1">
            <w:pPr>
              <w:autoSpaceDE/>
              <w:autoSpaceDN/>
              <w:adjustRightInd/>
              <w:spacing w:after="120"/>
              <w:rPr>
                <w:rFonts w:asciiTheme="minorHAnsi" w:eastAsia="Times New Roman" w:hAnsiTheme="minorHAnsi" w:cs="Arial"/>
              </w:rPr>
            </w:pPr>
            <w:r w:rsidRPr="00C45CB6">
              <w:rPr>
                <w:rFonts w:asciiTheme="minorHAnsi" w:eastAsia="Times New Roman" w:hAnsiTheme="minorHAnsi" w:cs="Arial"/>
              </w:rPr>
              <w:t xml:space="preserve">(c) it also requires </w:t>
            </w:r>
            <w:r>
              <w:rPr>
                <w:rFonts w:asciiTheme="minorHAnsi" w:eastAsia="Times New Roman" w:hAnsiTheme="minorHAnsi" w:cs="Arial"/>
              </w:rPr>
              <w:t>“</w:t>
            </w:r>
            <w:r w:rsidRPr="00C45CB6">
              <w:rPr>
                <w:rFonts w:asciiTheme="minorHAnsi" w:eastAsia="Times New Roman" w:hAnsiTheme="minorHAnsi" w:cs="Arial"/>
              </w:rPr>
              <w:t>identification of key project stakeholders and the elaboration of a culturally appropriate process for consulting with the Indigenous Peoples at each stage of project preparation and implementation</w:t>
            </w:r>
            <w:r>
              <w:rPr>
                <w:rFonts w:asciiTheme="minorHAnsi" w:eastAsia="Times New Roman" w:hAnsiTheme="minorHAnsi" w:cs="Arial"/>
              </w:rPr>
              <w:t>”</w:t>
            </w:r>
            <w:r w:rsidRPr="00C45CB6">
              <w:rPr>
                <w:rFonts w:asciiTheme="minorHAnsi" w:eastAsia="Times New Roman" w:hAnsiTheme="minorHAnsi" w:cs="Arial"/>
              </w:rPr>
              <w:t xml:space="preserve"> as well as,</w:t>
            </w:r>
          </w:p>
          <w:p w14:paraId="238DDEC6" w14:textId="77777777" w:rsidR="00CF59E1" w:rsidRPr="00C45CB6" w:rsidRDefault="00CF59E1" w:rsidP="00CF59E1">
            <w:pPr>
              <w:autoSpaceDE/>
              <w:autoSpaceDN/>
              <w:adjustRightInd/>
              <w:spacing w:after="120"/>
              <w:rPr>
                <w:rFonts w:asciiTheme="minorHAnsi" w:eastAsia="Times New Roman" w:hAnsiTheme="minorHAnsi" w:cs="Arial"/>
              </w:rPr>
            </w:pPr>
            <w:r w:rsidRPr="00C45CB6">
              <w:rPr>
                <w:rFonts w:asciiTheme="minorHAnsi" w:eastAsia="Times New Roman" w:hAnsiTheme="minorHAnsi" w:cs="Arial"/>
              </w:rPr>
              <w:t xml:space="preserve">(d) an </w:t>
            </w:r>
            <w:r>
              <w:rPr>
                <w:rFonts w:asciiTheme="minorHAnsi" w:eastAsia="Times New Roman" w:hAnsiTheme="minorHAnsi" w:cs="Arial"/>
              </w:rPr>
              <w:t>“</w:t>
            </w:r>
            <w:r w:rsidRPr="00C45CB6">
              <w:rPr>
                <w:rFonts w:asciiTheme="minorHAnsi" w:eastAsia="Times New Roman" w:hAnsiTheme="minorHAnsi" w:cs="Arial"/>
              </w:rPr>
              <w:t xml:space="preserve"> assessment, based on free, prior, and informed consultation, with the affected Indigenous Peoples’ communities, of the potential adverse and p</w:t>
            </w:r>
            <w:r>
              <w:rPr>
                <w:rFonts w:asciiTheme="minorHAnsi" w:eastAsia="Times New Roman" w:hAnsiTheme="minorHAnsi" w:cs="Arial"/>
              </w:rPr>
              <w:t>ositive effects of the project.”</w:t>
            </w:r>
            <w:r w:rsidRPr="00C45CB6">
              <w:rPr>
                <w:rFonts w:asciiTheme="minorHAnsi" w:eastAsia="Times New Roman" w:hAnsiTheme="minorHAnsi" w:cs="Arial"/>
              </w:rPr>
              <w:t xml:space="preserve"> </w:t>
            </w:r>
          </w:p>
          <w:p w14:paraId="14A824F4" w14:textId="77777777" w:rsidR="00CF59E1" w:rsidRPr="00D04661" w:rsidRDefault="00CF59E1" w:rsidP="00CF59E1">
            <w:pPr>
              <w:autoSpaceDE/>
              <w:autoSpaceDN/>
              <w:adjustRightInd/>
              <w:spacing w:after="120"/>
              <w:rPr>
                <w:rFonts w:asciiTheme="minorHAnsi" w:eastAsia="Times New Roman" w:hAnsiTheme="minorHAnsi" w:cs="Calibri"/>
              </w:rPr>
            </w:pPr>
          </w:p>
        </w:tc>
        <w:tc>
          <w:tcPr>
            <w:tcW w:w="7200" w:type="dxa"/>
            <w:shd w:val="clear" w:color="auto" w:fill="auto"/>
          </w:tcPr>
          <w:p w14:paraId="119E6203" w14:textId="77777777" w:rsidR="00CF59E1" w:rsidRPr="00D04661" w:rsidRDefault="00CF59E1" w:rsidP="00CF59E1">
            <w:pPr>
              <w:spacing w:after="120"/>
              <w:rPr>
                <w:rFonts w:asciiTheme="minorHAnsi" w:hAnsiTheme="minorHAnsi" w:cs="Calibri"/>
              </w:rPr>
            </w:pPr>
            <w:r>
              <w:rPr>
                <w:rFonts w:asciiTheme="minorHAnsi" w:eastAsia="Times New Roman" w:hAnsiTheme="minorHAnsi" w:cs="Calibri"/>
              </w:rPr>
              <w:t>“</w:t>
            </w:r>
            <w:r w:rsidRPr="00D04661">
              <w:rPr>
                <w:rFonts w:asciiTheme="minorHAnsi" w:eastAsia="Times New Roman" w:hAnsiTheme="minorHAnsi" w:cs="Calibri"/>
              </w:rPr>
              <w:t>S</w:t>
            </w:r>
            <w:r w:rsidRPr="00D04661">
              <w:rPr>
                <w:rFonts w:asciiTheme="minorHAnsi" w:hAnsiTheme="minorHAnsi" w:cs="Calibri"/>
              </w:rPr>
              <w:t xml:space="preserve">ocial impacts and risks will be assessed against the requirements [of]…. host country obligations under </w:t>
            </w:r>
            <w:r w:rsidRPr="00D04661">
              <w:rPr>
                <w:rFonts w:asciiTheme="minorHAnsi" w:hAnsiTheme="minorHAnsi" w:cs="Calibri"/>
                <w:i/>
              </w:rPr>
              <w:t>international law.</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ADB, Appendix 3, para. 13</w:t>
            </w:r>
            <w:r w:rsidRPr="00D04661">
              <w:rPr>
                <w:rFonts w:asciiTheme="minorHAnsi" w:hAnsiTheme="minorHAnsi" w:cs="Calibri"/>
              </w:rPr>
              <w:t>)(</w:t>
            </w:r>
            <w:r w:rsidRPr="00D04661">
              <w:rPr>
                <w:rFonts w:asciiTheme="minorHAnsi" w:hAnsiTheme="minorHAnsi" w:cs="Calibri"/>
                <w:i/>
              </w:rPr>
              <w:t xml:space="preserve">emphasis </w:t>
            </w:r>
            <w:r w:rsidRPr="00C45CB6">
              <w:rPr>
                <w:rFonts w:asciiTheme="minorHAnsi" w:hAnsiTheme="minorHAnsi" w:cs="Calibri"/>
                <w:i/>
              </w:rPr>
              <w:t>added</w:t>
            </w:r>
            <w:r w:rsidRPr="00C45CB6">
              <w:rPr>
                <w:rFonts w:asciiTheme="minorHAnsi" w:hAnsiTheme="minorHAnsi" w:cs="Calibri"/>
              </w:rPr>
              <w:t>)</w:t>
            </w:r>
            <w:r w:rsidRPr="00C45CB6">
              <w:rPr>
                <w:rFonts w:asciiTheme="minorHAnsi" w:hAnsiTheme="minorHAnsi" w:cs="Calibri"/>
                <w:vertAlign w:val="superscript"/>
              </w:rPr>
              <w:t xml:space="preserve"> </w:t>
            </w:r>
          </w:p>
        </w:tc>
      </w:tr>
      <w:tr w:rsidR="00CF59E1" w:rsidRPr="00D8522E" w14:paraId="01869750" w14:textId="77777777" w:rsidTr="00CF59E1">
        <w:tc>
          <w:tcPr>
            <w:tcW w:w="6390" w:type="dxa"/>
            <w:vMerge/>
            <w:shd w:val="clear" w:color="auto" w:fill="auto"/>
            <w:vAlign w:val="center"/>
          </w:tcPr>
          <w:p w14:paraId="42E67BFF"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u w:val="single"/>
              </w:rPr>
            </w:pPr>
          </w:p>
        </w:tc>
        <w:tc>
          <w:tcPr>
            <w:tcW w:w="7200" w:type="dxa"/>
            <w:shd w:val="clear" w:color="auto" w:fill="auto"/>
          </w:tcPr>
          <w:p w14:paraId="1F2FBEF4" w14:textId="77777777" w:rsidR="00CF59E1" w:rsidRPr="00D04661" w:rsidRDefault="00CF59E1" w:rsidP="00CF59E1">
            <w:pPr>
              <w:spacing w:after="120"/>
              <w:rPr>
                <w:rFonts w:asciiTheme="minorHAnsi" w:hAnsiTheme="minorHAnsi" w:cs="Calibri"/>
              </w:rPr>
            </w:pPr>
            <w:r>
              <w:rPr>
                <w:rFonts w:asciiTheme="minorHAnsi" w:hAnsiTheme="minorHAnsi" w:cs="Calibri"/>
              </w:rPr>
              <w:t>“</w:t>
            </w:r>
            <w:r w:rsidRPr="00D04661">
              <w:rPr>
                <w:rFonts w:asciiTheme="minorHAnsi" w:hAnsiTheme="minorHAnsi" w:cs="Calibri"/>
              </w:rPr>
              <w:t>The Bank will require and verify that the project proponent conduct an evaluation to determine the seriousness of potential adverse impacts on physical and food security, lands, territories, resources, society, rights, the traditional economy, way of life and identity or cultural integrity of indigenous peoples, and to identify the indigenous peoples affected and their legitimate representatives and internal decision-making procedures. This evaluation will include preliminary consultations with potentially affected indigenous peoples.</w:t>
            </w:r>
            <w:r>
              <w:rPr>
                <w:rFonts w:asciiTheme="minorHAnsi" w:hAnsiTheme="minorHAnsi" w:cs="Calibri"/>
              </w:rPr>
              <w:t>”</w:t>
            </w:r>
            <w:r w:rsidRPr="00D04661">
              <w:rPr>
                <w:rFonts w:asciiTheme="minorHAnsi" w:hAnsiTheme="minorHAnsi" w:cs="Calibri"/>
              </w:rPr>
              <w:t xml:space="preserve"> </w:t>
            </w:r>
            <w:r w:rsidRPr="00D04661">
              <w:rPr>
                <w:rFonts w:asciiTheme="minorHAnsi" w:hAnsiTheme="minorHAnsi" w:cs="Calibri"/>
                <w:b/>
              </w:rPr>
              <w:t>(IDB, Policy on Indigenous Peoples, para. 4.4 (a) (i))</w:t>
            </w:r>
          </w:p>
          <w:p w14:paraId="05BD5DE7" w14:textId="77777777" w:rsidR="00CF59E1" w:rsidRPr="00D04661" w:rsidRDefault="00CF59E1" w:rsidP="00CF59E1">
            <w:pPr>
              <w:tabs>
                <w:tab w:val="left" w:pos="0"/>
                <w:tab w:val="left" w:pos="284"/>
              </w:tabs>
              <w:autoSpaceDE/>
              <w:autoSpaceDN/>
              <w:adjustRightInd/>
              <w:spacing w:after="120"/>
              <w:rPr>
                <w:rFonts w:asciiTheme="minorHAnsi" w:hAnsiTheme="minorHAnsi" w:cs="Arial"/>
              </w:rPr>
            </w:pPr>
            <w:r>
              <w:rPr>
                <w:rFonts w:asciiTheme="minorHAnsi" w:hAnsiTheme="minorHAnsi" w:cs="Arial"/>
              </w:rPr>
              <w:t>“</w:t>
            </w:r>
            <w:r w:rsidRPr="00D04661">
              <w:rPr>
                <w:rFonts w:asciiTheme="minorHAnsi" w:hAnsiTheme="minorHAnsi" w:cs="Arial"/>
              </w:rPr>
              <w:t xml:space="preserve">Where the screening process determines that (i) potential adverse impacts on vulnerable groups are present or (ii) relevant additional information is required, a more in-depth social assessment should be undertaken by the promoter. The assessment should specifically probe into the following elements, including through careful analysis of the legal framework and through collection of baseline data, disaggregated by factors such as gender, ethnicities, age, etc.: </w:t>
            </w:r>
          </w:p>
          <w:p w14:paraId="4CC8106E" w14:textId="77777777" w:rsidR="00CF59E1" w:rsidRPr="00D04661" w:rsidRDefault="00CF59E1" w:rsidP="009F3E8E">
            <w:pPr>
              <w:numPr>
                <w:ilvl w:val="1"/>
                <w:numId w:val="30"/>
              </w:numPr>
              <w:tabs>
                <w:tab w:val="left" w:pos="0"/>
                <w:tab w:val="left" w:pos="284"/>
                <w:tab w:val="left" w:pos="993"/>
              </w:tabs>
              <w:autoSpaceDE/>
              <w:autoSpaceDN/>
              <w:adjustRightInd/>
              <w:spacing w:after="120"/>
              <w:ind w:left="922"/>
              <w:rPr>
                <w:rFonts w:asciiTheme="minorHAnsi" w:hAnsiTheme="minorHAnsi" w:cs="Arial"/>
              </w:rPr>
            </w:pPr>
            <w:r w:rsidRPr="00D04661">
              <w:rPr>
                <w:rFonts w:asciiTheme="minorHAnsi" w:hAnsiTheme="minorHAnsi" w:cs="Arial"/>
              </w:rPr>
              <w:t>vulnerability profile of affected population;</w:t>
            </w:r>
          </w:p>
          <w:p w14:paraId="322B1791" w14:textId="77777777" w:rsidR="00CF59E1" w:rsidRPr="00D04661" w:rsidRDefault="00CF59E1" w:rsidP="009F3E8E">
            <w:pPr>
              <w:numPr>
                <w:ilvl w:val="1"/>
                <w:numId w:val="30"/>
              </w:numPr>
              <w:tabs>
                <w:tab w:val="left" w:pos="0"/>
                <w:tab w:val="left" w:pos="284"/>
                <w:tab w:val="left" w:pos="993"/>
              </w:tabs>
              <w:autoSpaceDE/>
              <w:autoSpaceDN/>
              <w:adjustRightInd/>
              <w:spacing w:after="120"/>
              <w:ind w:left="922"/>
              <w:rPr>
                <w:rFonts w:asciiTheme="minorHAnsi" w:hAnsiTheme="minorHAnsi" w:cs="Arial"/>
              </w:rPr>
            </w:pPr>
            <w:r w:rsidRPr="00D04661">
              <w:rPr>
                <w:rFonts w:asciiTheme="minorHAnsi" w:hAnsiTheme="minorHAnsi" w:cs="Arial"/>
              </w:rPr>
              <w:t>assessment of the specific context, including legal and institutional parameters;</w:t>
            </w:r>
          </w:p>
          <w:p w14:paraId="3A33D3B8" w14:textId="77777777" w:rsidR="00CF59E1" w:rsidRPr="00D04661" w:rsidRDefault="00CF59E1" w:rsidP="009F3E8E">
            <w:pPr>
              <w:numPr>
                <w:ilvl w:val="1"/>
                <w:numId w:val="30"/>
              </w:numPr>
              <w:tabs>
                <w:tab w:val="left" w:pos="0"/>
                <w:tab w:val="left" w:pos="284"/>
                <w:tab w:val="left" w:pos="993"/>
              </w:tabs>
              <w:autoSpaceDE/>
              <w:autoSpaceDN/>
              <w:adjustRightInd/>
              <w:spacing w:after="120"/>
              <w:ind w:left="922"/>
              <w:rPr>
                <w:rFonts w:asciiTheme="minorHAnsi" w:hAnsiTheme="minorHAnsi" w:cs="Arial"/>
              </w:rPr>
            </w:pPr>
            <w:r w:rsidRPr="00D04661">
              <w:rPr>
                <w:rFonts w:asciiTheme="minorHAnsi" w:hAnsiTheme="minorHAnsi" w:cs="Arial"/>
              </w:rPr>
              <w:t>analysis and assessment of the historical frequency and severity of discrimination, social, economic or political exclusion and marginalization suffered by the identified population;</w:t>
            </w:r>
          </w:p>
          <w:p w14:paraId="714DFC9A" w14:textId="77777777" w:rsidR="00CF59E1" w:rsidRPr="00D04661" w:rsidRDefault="00CF59E1" w:rsidP="009F3E8E">
            <w:pPr>
              <w:numPr>
                <w:ilvl w:val="1"/>
                <w:numId w:val="30"/>
              </w:numPr>
              <w:tabs>
                <w:tab w:val="left" w:pos="0"/>
                <w:tab w:val="left" w:pos="284"/>
                <w:tab w:val="left" w:pos="993"/>
              </w:tabs>
              <w:autoSpaceDE/>
              <w:autoSpaceDN/>
              <w:adjustRightInd/>
              <w:spacing w:after="120"/>
              <w:ind w:left="922"/>
              <w:rPr>
                <w:rFonts w:asciiTheme="minorHAnsi" w:hAnsiTheme="minorHAnsi" w:cs="Arial"/>
              </w:rPr>
            </w:pPr>
            <w:r w:rsidRPr="00D04661">
              <w:rPr>
                <w:rFonts w:asciiTheme="minorHAnsi" w:hAnsiTheme="minorHAnsi" w:cs="Arial"/>
              </w:rPr>
              <w:t>the scope and nature of adverse impacts and their effect on the identified population when compounded with their pre-existing vulnerability, and their access to resources and cultural heritage;</w:t>
            </w:r>
          </w:p>
          <w:p w14:paraId="57E09A14" w14:textId="77777777" w:rsidR="00CF59E1" w:rsidRPr="00D04661" w:rsidRDefault="00CF59E1" w:rsidP="009F3E8E">
            <w:pPr>
              <w:numPr>
                <w:ilvl w:val="1"/>
                <w:numId w:val="30"/>
              </w:numPr>
              <w:tabs>
                <w:tab w:val="left" w:pos="0"/>
                <w:tab w:val="left" w:pos="284"/>
                <w:tab w:val="left" w:pos="993"/>
              </w:tabs>
              <w:autoSpaceDE/>
              <w:autoSpaceDN/>
              <w:adjustRightInd/>
              <w:spacing w:after="120"/>
              <w:ind w:left="922"/>
              <w:rPr>
                <w:rFonts w:asciiTheme="minorHAnsi" w:hAnsiTheme="minorHAnsi" w:cs="Arial"/>
              </w:rPr>
            </w:pPr>
            <w:r w:rsidRPr="00D04661">
              <w:rPr>
                <w:rFonts w:asciiTheme="minorHAnsi" w:hAnsiTheme="minorHAnsi" w:cs="Arial"/>
              </w:rPr>
              <w:t>specific actions, past or future, to avoid, minimize, or otherwise mitigate or remedy negative impacts and, as appropriate, to reinforce positive effects, including identifying opportunities and actions to promote benefit-sharing modalities for the communities; and</w:t>
            </w:r>
          </w:p>
          <w:p w14:paraId="5E83CE1A" w14:textId="77777777" w:rsidR="00CF59E1" w:rsidRPr="00494D97" w:rsidRDefault="00CF59E1" w:rsidP="009F3E8E">
            <w:pPr>
              <w:numPr>
                <w:ilvl w:val="1"/>
                <w:numId w:val="30"/>
              </w:numPr>
              <w:tabs>
                <w:tab w:val="left" w:pos="0"/>
                <w:tab w:val="left" w:pos="284"/>
                <w:tab w:val="left" w:pos="993"/>
              </w:tabs>
              <w:autoSpaceDE/>
              <w:autoSpaceDN/>
              <w:adjustRightInd/>
              <w:spacing w:after="120"/>
              <w:ind w:left="922"/>
              <w:rPr>
                <w:rFonts w:asciiTheme="minorHAnsi" w:hAnsiTheme="minorHAnsi" w:cs="Arial"/>
              </w:rPr>
            </w:pPr>
            <w:r w:rsidRPr="00C45CB6">
              <w:rPr>
                <w:rFonts w:asciiTheme="minorHAnsi" w:hAnsiTheme="minorHAnsi" w:cs="Arial"/>
              </w:rPr>
              <w:t>in line with Standard 10, an appropriate engagement, consultation and participation plan, describing relevant consultation mechanisms.</w:t>
            </w:r>
            <w:r>
              <w:rPr>
                <w:rFonts w:asciiTheme="minorHAnsi" w:hAnsiTheme="minorHAnsi" w:cs="Arial"/>
              </w:rPr>
              <w:t>”</w:t>
            </w:r>
            <w:r w:rsidRPr="00C45CB6">
              <w:rPr>
                <w:rFonts w:asciiTheme="minorHAnsi" w:hAnsiTheme="minorHAnsi" w:cs="Arial"/>
              </w:rPr>
              <w:t xml:space="preserve"> (</w:t>
            </w:r>
            <w:r w:rsidRPr="00C45CB6">
              <w:rPr>
                <w:rFonts w:asciiTheme="minorHAnsi" w:hAnsiTheme="minorHAnsi" w:cs="Arial"/>
                <w:b/>
              </w:rPr>
              <w:t>EIB, ESH, ESS 7, para. 20</w:t>
            </w:r>
            <w:r w:rsidRPr="00C45CB6">
              <w:rPr>
                <w:rFonts w:asciiTheme="minorHAnsi" w:hAnsiTheme="minorHAnsi" w:cs="Arial"/>
              </w:rPr>
              <w:t xml:space="preserve">) </w:t>
            </w:r>
          </w:p>
        </w:tc>
      </w:tr>
      <w:tr w:rsidR="00CF59E1" w:rsidRPr="00D8522E" w14:paraId="30AE7B78" w14:textId="77777777" w:rsidTr="00CF59E1">
        <w:tc>
          <w:tcPr>
            <w:tcW w:w="6390" w:type="dxa"/>
            <w:shd w:val="clear" w:color="auto" w:fill="auto"/>
            <w:vAlign w:val="center"/>
          </w:tcPr>
          <w:p w14:paraId="23677FB4" w14:textId="77777777" w:rsidR="00CF59E1" w:rsidRPr="004D1F2E" w:rsidRDefault="00CF59E1" w:rsidP="00CF59E1">
            <w:pPr>
              <w:tabs>
                <w:tab w:val="left" w:pos="990"/>
              </w:tabs>
              <w:autoSpaceDE/>
              <w:autoSpaceDN/>
              <w:adjustRightInd/>
              <w:spacing w:after="120"/>
              <w:rPr>
                <w:rFonts w:asciiTheme="minorHAnsi" w:eastAsia="Times New Roman" w:hAnsiTheme="minorHAnsi" w:cs="Calibri"/>
                <w:b/>
                <w:bCs/>
                <w:iCs/>
              </w:rPr>
            </w:pPr>
            <w:r w:rsidRPr="004D1F2E">
              <w:rPr>
                <w:rFonts w:asciiTheme="minorHAnsi" w:eastAsia="Times New Roman" w:hAnsiTheme="minorHAnsi" w:cs="Calibri"/>
                <w:b/>
                <w:bCs/>
                <w:iCs/>
              </w:rPr>
              <w:t>APPLICABLE LEGAL FRAMEWORK</w:t>
            </w:r>
          </w:p>
          <w:p w14:paraId="549AD33D" w14:textId="77777777" w:rsidR="00CF59E1" w:rsidRDefault="00CF59E1" w:rsidP="00CF59E1">
            <w:pPr>
              <w:spacing w:after="120"/>
              <w:rPr>
                <w:rFonts w:asciiTheme="minorHAnsi" w:hAnsiTheme="minorHAnsi" w:cs="Arial"/>
              </w:rPr>
            </w:pPr>
            <w:r w:rsidRPr="004D1F2E">
              <w:rPr>
                <w:rFonts w:asciiTheme="minorHAnsi" w:hAnsiTheme="minorHAnsi" w:cs="Calibri"/>
              </w:rPr>
              <w:t>OP 4.10, Para. 5</w:t>
            </w:r>
            <w:r w:rsidRPr="00C45CB6">
              <w:rPr>
                <w:rFonts w:asciiTheme="minorHAnsi" w:hAnsiTheme="minorHAnsi" w:cs="Arial"/>
                <w:iCs/>
              </w:rPr>
              <w:t>. Use of Country Systems.</w:t>
            </w:r>
            <w:r w:rsidRPr="004D1F2E">
              <w:rPr>
                <w:rFonts w:asciiTheme="minorHAnsi" w:hAnsiTheme="minorHAnsi" w:cs="Arial"/>
              </w:rPr>
              <w:t xml:space="preserve"> The Bank may decide to use a country’s systems to address environmental and social safeguard issues in a Bank-financed project that affects Indigenous Peoples. This decision is made in accordance with the requirements of the applicable Bank policy on country systems</w:t>
            </w:r>
          </w:p>
          <w:p w14:paraId="52A6AF00" w14:textId="77777777" w:rsidR="00CF59E1" w:rsidRPr="004D1F2E" w:rsidRDefault="00CF59E1" w:rsidP="00CF59E1">
            <w:pPr>
              <w:spacing w:after="120"/>
              <w:rPr>
                <w:rFonts w:asciiTheme="minorHAnsi" w:hAnsiTheme="minorHAnsi" w:cs="Calibri"/>
              </w:rPr>
            </w:pPr>
            <w:r w:rsidRPr="004D1F2E">
              <w:rPr>
                <w:rFonts w:asciiTheme="minorHAnsi" w:hAnsiTheme="minorHAnsi" w:cs="Calibri"/>
              </w:rPr>
              <w:t>Annex A- Social Assessment, Para. 2 The social assessment includes the following elements, as needed:</w:t>
            </w:r>
          </w:p>
          <w:p w14:paraId="5F948171" w14:textId="77777777" w:rsidR="00CF59E1" w:rsidRPr="00C45CB6" w:rsidRDefault="00CF59E1" w:rsidP="009F3E8E">
            <w:pPr>
              <w:pStyle w:val="ListParagraph"/>
              <w:numPr>
                <w:ilvl w:val="0"/>
                <w:numId w:val="33"/>
              </w:numPr>
              <w:tabs>
                <w:tab w:val="left" w:pos="414"/>
              </w:tabs>
              <w:autoSpaceDE/>
              <w:autoSpaceDN/>
              <w:adjustRightInd/>
              <w:spacing w:after="120"/>
              <w:ind w:left="0" w:firstLine="0"/>
              <w:contextualSpacing w:val="0"/>
              <w:rPr>
                <w:rFonts w:asciiTheme="minorHAnsi" w:eastAsia="Times New Roman" w:hAnsiTheme="minorHAnsi" w:cs="Calibri"/>
                <w:b/>
                <w:bCs/>
                <w:iCs/>
              </w:rPr>
            </w:pPr>
            <w:r w:rsidRPr="00C45CB6">
              <w:rPr>
                <w:rFonts w:asciiTheme="minorHAnsi" w:hAnsiTheme="minorHAnsi" w:cs="Calibri"/>
              </w:rPr>
              <w:t xml:space="preserve">A review, </w:t>
            </w:r>
            <w:r>
              <w:rPr>
                <w:rFonts w:asciiTheme="minorHAnsi" w:eastAsia="Times New Roman" w:hAnsiTheme="minorHAnsi" w:cs="Calibri"/>
                <w:color w:val="000000"/>
              </w:rPr>
              <w:t>“</w:t>
            </w:r>
            <w:r w:rsidRPr="00C45CB6">
              <w:rPr>
                <w:rFonts w:asciiTheme="minorHAnsi" w:eastAsia="Times New Roman" w:hAnsiTheme="minorHAnsi" w:cs="Calibri"/>
                <w:color w:val="000000"/>
              </w:rPr>
              <w:t>on a scale appropriate to the project, of the legal and institutional framework applicable to Indigenous Peoples.</w:t>
            </w:r>
            <w:r>
              <w:rPr>
                <w:rFonts w:asciiTheme="minorHAnsi" w:eastAsia="Times New Roman" w:hAnsiTheme="minorHAnsi" w:cs="Calibri"/>
                <w:color w:val="000000"/>
              </w:rPr>
              <w:t>”</w:t>
            </w:r>
          </w:p>
          <w:p w14:paraId="5F36C236" w14:textId="77777777" w:rsidR="00CF59E1" w:rsidRPr="007949D0" w:rsidRDefault="00CF59E1" w:rsidP="00CF59E1">
            <w:pPr>
              <w:autoSpaceDE/>
              <w:autoSpaceDN/>
              <w:adjustRightInd/>
              <w:spacing w:after="120"/>
              <w:rPr>
                <w:rFonts w:asciiTheme="minorHAnsi" w:eastAsia="Times New Roman" w:hAnsiTheme="minorHAnsi" w:cs="Times New Roman"/>
              </w:rPr>
            </w:pPr>
            <w:r>
              <w:rPr>
                <w:rFonts w:asciiTheme="minorHAnsi" w:eastAsia="Times New Roman" w:hAnsiTheme="minorHAnsi" w:cs="Arial"/>
              </w:rPr>
              <w:t xml:space="preserve">OP 4.10, </w:t>
            </w:r>
            <w:r w:rsidRPr="007949D0">
              <w:rPr>
                <w:rFonts w:asciiTheme="minorHAnsi" w:eastAsia="Times New Roman" w:hAnsiTheme="minorHAnsi" w:cs="Arial"/>
              </w:rPr>
              <w:t>Para. 22. In furtherance of the objectives of this policy, the Bank may, at a member country’s request, support the country in its development planning and poverty reduction strategies by providing financial assistance for a variety of initiatives designed to:</w:t>
            </w:r>
          </w:p>
          <w:p w14:paraId="52C57C9D" w14:textId="77777777" w:rsidR="00CF59E1" w:rsidRPr="00D04661" w:rsidRDefault="00CF59E1" w:rsidP="00CF59E1">
            <w:pPr>
              <w:autoSpaceDE/>
              <w:autoSpaceDN/>
              <w:adjustRightInd/>
              <w:spacing w:after="120"/>
              <w:rPr>
                <w:rFonts w:asciiTheme="minorHAnsi" w:eastAsia="Times New Roman" w:hAnsiTheme="minorHAnsi" w:cs="Calibri"/>
                <w:i/>
                <w:u w:val="single"/>
              </w:rPr>
            </w:pPr>
            <w:r w:rsidRPr="007949D0">
              <w:rPr>
                <w:rFonts w:asciiTheme="minorHAnsi" w:eastAsia="Arial" w:hAnsiTheme="minorHAnsi" w:cs="Arial"/>
              </w:rPr>
              <w:t xml:space="preserve">(a) </w:t>
            </w:r>
            <w:r w:rsidRPr="007949D0">
              <w:rPr>
                <w:rFonts w:asciiTheme="minorHAnsi" w:eastAsia="Times New Roman" w:hAnsiTheme="minorHAnsi" w:cs="Arial"/>
              </w:rPr>
              <w:t>strengthen local legislation, as needed, to establish legal recognition of the customary or traditional land tenure systems of Indigenous Peoples;</w:t>
            </w:r>
          </w:p>
        </w:tc>
        <w:tc>
          <w:tcPr>
            <w:tcW w:w="7200" w:type="dxa"/>
            <w:shd w:val="clear" w:color="auto" w:fill="auto"/>
          </w:tcPr>
          <w:p w14:paraId="7D4A7B8F" w14:textId="77777777" w:rsidR="00CF59E1" w:rsidRDefault="00CF59E1" w:rsidP="00CF59E1">
            <w:pPr>
              <w:tabs>
                <w:tab w:val="left" w:pos="0"/>
                <w:tab w:val="left" w:pos="284"/>
                <w:tab w:val="left" w:pos="993"/>
              </w:tabs>
              <w:autoSpaceDE/>
              <w:autoSpaceDN/>
              <w:adjustRightInd/>
              <w:spacing w:after="120"/>
              <w:rPr>
                <w:rFonts w:asciiTheme="minorHAnsi" w:hAnsiTheme="minorHAnsi" w:cs="Calibri"/>
              </w:rPr>
            </w:pPr>
            <w:r w:rsidRPr="00F77E2B">
              <w:rPr>
                <w:rFonts w:asciiTheme="minorHAnsi" w:eastAsia="Times New Roman" w:hAnsiTheme="minorHAnsi" w:cs="Calibri"/>
              </w:rPr>
              <w:t>S</w:t>
            </w:r>
            <w:r w:rsidRPr="00F77E2B">
              <w:rPr>
                <w:rFonts w:asciiTheme="minorHAnsi" w:hAnsiTheme="minorHAnsi" w:cs="Calibri"/>
              </w:rPr>
              <w:t xml:space="preserve">ocial impacts and risks will be assessed against the </w:t>
            </w:r>
            <w:r>
              <w:rPr>
                <w:rFonts w:asciiTheme="minorHAnsi" w:hAnsiTheme="minorHAnsi" w:cs="Calibri"/>
              </w:rPr>
              <w:t>“</w:t>
            </w:r>
            <w:r w:rsidRPr="00F77E2B">
              <w:rPr>
                <w:rFonts w:asciiTheme="minorHAnsi" w:hAnsiTheme="minorHAnsi" w:cs="Calibri"/>
              </w:rPr>
              <w:t xml:space="preserve">requirements [of]…. host country obligations under </w:t>
            </w:r>
            <w:r w:rsidRPr="00F77E2B">
              <w:rPr>
                <w:rFonts w:asciiTheme="minorHAnsi" w:hAnsiTheme="minorHAnsi" w:cs="Calibri"/>
                <w:i/>
              </w:rPr>
              <w:t>international law.</w:t>
            </w:r>
            <w:r>
              <w:rPr>
                <w:rFonts w:asciiTheme="minorHAnsi" w:hAnsiTheme="minorHAnsi" w:cs="Calibri"/>
              </w:rPr>
              <w:t>”</w:t>
            </w:r>
            <w:r w:rsidRPr="00F77E2B">
              <w:rPr>
                <w:rFonts w:asciiTheme="minorHAnsi" w:hAnsiTheme="minorHAnsi" w:cs="Calibri"/>
              </w:rPr>
              <w:t xml:space="preserve"> (</w:t>
            </w:r>
            <w:r w:rsidRPr="00F77E2B">
              <w:rPr>
                <w:rFonts w:asciiTheme="minorHAnsi" w:hAnsiTheme="minorHAnsi" w:cs="Calibri"/>
                <w:b/>
              </w:rPr>
              <w:t xml:space="preserve">ADB, </w:t>
            </w:r>
            <w:r>
              <w:rPr>
                <w:rFonts w:asciiTheme="minorHAnsi" w:hAnsiTheme="minorHAnsi" w:cs="Calibri"/>
                <w:b/>
              </w:rPr>
              <w:t xml:space="preserve">SPS </w:t>
            </w:r>
            <w:r w:rsidRPr="00F77E2B">
              <w:rPr>
                <w:rFonts w:asciiTheme="minorHAnsi" w:hAnsiTheme="minorHAnsi" w:cs="Calibri"/>
                <w:b/>
              </w:rPr>
              <w:t>Appendix 3, para. 13</w:t>
            </w:r>
            <w:r w:rsidRPr="00F77E2B">
              <w:rPr>
                <w:rFonts w:asciiTheme="minorHAnsi" w:hAnsiTheme="minorHAnsi" w:cs="Calibri"/>
              </w:rPr>
              <w:t>)</w:t>
            </w:r>
            <w:r>
              <w:rPr>
                <w:rFonts w:asciiTheme="minorHAnsi" w:hAnsiTheme="minorHAnsi" w:cs="Calibri"/>
              </w:rPr>
              <w:t xml:space="preserve"> </w:t>
            </w:r>
            <w:r w:rsidRPr="00F77E2B">
              <w:rPr>
                <w:rFonts w:asciiTheme="minorHAnsi" w:hAnsiTheme="minorHAnsi" w:cs="Calibri"/>
              </w:rPr>
              <w:t>(</w:t>
            </w:r>
            <w:r w:rsidRPr="00F77E2B">
              <w:rPr>
                <w:rFonts w:asciiTheme="minorHAnsi" w:hAnsiTheme="minorHAnsi" w:cs="Calibri"/>
                <w:i/>
              </w:rPr>
              <w:t>emphasis added</w:t>
            </w:r>
            <w:r w:rsidRPr="00F77E2B">
              <w:rPr>
                <w:rFonts w:asciiTheme="minorHAnsi" w:hAnsiTheme="minorHAnsi" w:cs="Calibri"/>
              </w:rPr>
              <w:t>)</w:t>
            </w:r>
          </w:p>
          <w:p w14:paraId="2D7305B3" w14:textId="77777777" w:rsidR="00CF59E1" w:rsidRPr="004D1F2E" w:rsidRDefault="00CF59E1" w:rsidP="00CF59E1">
            <w:pPr>
              <w:spacing w:after="120"/>
              <w:rPr>
                <w:rFonts w:asciiTheme="minorHAnsi" w:hAnsiTheme="minorHAnsi" w:cs="Calibri"/>
                <w:b/>
              </w:rPr>
            </w:pPr>
            <w:r w:rsidRPr="00F77E2B">
              <w:rPr>
                <w:rFonts w:asciiTheme="minorHAnsi" w:hAnsiTheme="minorHAnsi" w:cs="Calibri"/>
                <w:b/>
              </w:rPr>
              <w:t>IDB</w:t>
            </w:r>
            <w:r w:rsidRPr="00F77E2B">
              <w:rPr>
                <w:rFonts w:asciiTheme="minorHAnsi" w:hAnsiTheme="minorHAnsi" w:cs="Calibri"/>
              </w:rPr>
              <w:t xml:space="preserve"> cites several international legal instruments in force in each country as a source of rights for Indigenous Peoples </w:t>
            </w:r>
            <w:r w:rsidRPr="00F77E2B">
              <w:rPr>
                <w:rFonts w:asciiTheme="minorHAnsi" w:hAnsiTheme="minorHAnsi" w:cs="Calibri"/>
                <w:vertAlign w:val="superscript"/>
              </w:rPr>
              <w:footnoteReference w:id="243"/>
            </w:r>
            <w:r w:rsidRPr="00F77E2B">
              <w:rPr>
                <w:rFonts w:asciiTheme="minorHAnsi" w:hAnsiTheme="minorHAnsi" w:cs="Calibri"/>
              </w:rPr>
              <w:t xml:space="preserve"> (</w:t>
            </w:r>
            <w:r w:rsidRPr="00F77E2B">
              <w:rPr>
                <w:rFonts w:asciiTheme="minorHAnsi" w:hAnsiTheme="minorHAnsi" w:cs="Calibri"/>
                <w:b/>
              </w:rPr>
              <w:t>IDB, Policy on Indigenous Peoples</w:t>
            </w:r>
            <w:r>
              <w:rPr>
                <w:rFonts w:asciiTheme="minorHAnsi" w:hAnsiTheme="minorHAnsi" w:cs="Calibri"/>
                <w:b/>
              </w:rPr>
              <w:t>)</w:t>
            </w:r>
          </w:p>
        </w:tc>
      </w:tr>
      <w:tr w:rsidR="00CF59E1" w:rsidRPr="00D8522E" w14:paraId="3DE474C1" w14:textId="77777777" w:rsidTr="00CF59E1">
        <w:tc>
          <w:tcPr>
            <w:tcW w:w="6390" w:type="dxa"/>
            <w:shd w:val="clear" w:color="auto" w:fill="auto"/>
            <w:vAlign w:val="center"/>
          </w:tcPr>
          <w:p w14:paraId="30C38376" w14:textId="77777777" w:rsidR="00CF59E1" w:rsidRPr="00177D47" w:rsidRDefault="00CF59E1" w:rsidP="00CF59E1">
            <w:pPr>
              <w:tabs>
                <w:tab w:val="left" w:pos="990"/>
              </w:tabs>
              <w:autoSpaceDE/>
              <w:autoSpaceDN/>
              <w:adjustRightInd/>
              <w:spacing w:after="120"/>
              <w:rPr>
                <w:rFonts w:asciiTheme="minorHAnsi" w:eastAsia="Times New Roman" w:hAnsiTheme="minorHAnsi" w:cs="Calibri"/>
                <w:b/>
              </w:rPr>
            </w:pPr>
            <w:r w:rsidRPr="00177D47">
              <w:rPr>
                <w:rFonts w:asciiTheme="minorHAnsi" w:eastAsia="Times New Roman" w:hAnsiTheme="minorHAnsi" w:cs="Calibri"/>
                <w:b/>
              </w:rPr>
              <w:t>INFORMATION DISCLOSURE</w:t>
            </w:r>
          </w:p>
          <w:p w14:paraId="579709AD" w14:textId="77777777" w:rsidR="00CF59E1" w:rsidRPr="00177D47" w:rsidRDefault="00CF59E1" w:rsidP="00CF59E1">
            <w:pPr>
              <w:tabs>
                <w:tab w:val="left" w:pos="0"/>
                <w:tab w:val="left" w:pos="90"/>
              </w:tabs>
              <w:autoSpaceDE/>
              <w:autoSpaceDN/>
              <w:adjustRightInd/>
              <w:spacing w:after="120"/>
              <w:rPr>
                <w:rFonts w:asciiTheme="minorHAnsi" w:eastAsia="Times New Roman" w:hAnsiTheme="minorHAnsi" w:cs="Times New Roman"/>
              </w:rPr>
            </w:pPr>
            <w:r w:rsidRPr="00177D47">
              <w:rPr>
                <w:rFonts w:asciiTheme="minorHAnsi" w:eastAsia="Times New Roman" w:hAnsiTheme="minorHAnsi" w:cs="Arial"/>
                <w:iCs/>
              </w:rPr>
              <w:t xml:space="preserve">OP4.10, para. 10. </w:t>
            </w:r>
            <w:r w:rsidRPr="00177D47">
              <w:rPr>
                <w:rFonts w:asciiTheme="minorHAnsi" w:eastAsia="Times New Roman" w:hAnsiTheme="minorHAnsi" w:cs="Arial"/>
                <w:i/>
              </w:rPr>
              <w:t>Consultation and Participation.</w:t>
            </w:r>
            <w:r w:rsidRPr="00177D47">
              <w:rPr>
                <w:rFonts w:asciiTheme="minorHAnsi" w:eastAsia="Times New Roman" w:hAnsiTheme="minorHAnsi" w:cs="Arial"/>
              </w:rPr>
              <w:t xml:space="preserve"> </w:t>
            </w:r>
          </w:p>
          <w:p w14:paraId="585B1A72" w14:textId="77777777" w:rsidR="00CF59E1" w:rsidRPr="00177D47" w:rsidRDefault="00CF59E1" w:rsidP="00CF59E1">
            <w:pPr>
              <w:tabs>
                <w:tab w:val="left" w:pos="360"/>
              </w:tabs>
              <w:autoSpaceDE/>
              <w:autoSpaceDN/>
              <w:adjustRightInd/>
              <w:spacing w:after="120"/>
              <w:rPr>
                <w:rFonts w:asciiTheme="minorHAnsi" w:eastAsia="Times New Roman" w:hAnsiTheme="minorHAnsi" w:cs="Arial"/>
              </w:rPr>
            </w:pPr>
            <w:r w:rsidRPr="00177D47">
              <w:rPr>
                <w:rFonts w:asciiTheme="minorHAnsi" w:eastAsia="Times New Roman" w:hAnsiTheme="minorHAnsi" w:cs="Arial"/>
              </w:rPr>
              <w:t>(c)</w:t>
            </w:r>
            <w:r w:rsidRPr="00177D47">
              <w:rPr>
                <w:rFonts w:asciiTheme="minorHAnsi" w:eastAsia="Times New Roman" w:hAnsiTheme="minorHAnsi" w:cs="Arial"/>
              </w:rPr>
              <w:tab/>
              <w:t>[</w:t>
            </w:r>
            <w:r>
              <w:rPr>
                <w:rFonts w:asciiTheme="minorHAnsi" w:eastAsia="Times New Roman" w:hAnsiTheme="minorHAnsi" w:cs="Arial"/>
              </w:rPr>
              <w:t>T</w:t>
            </w:r>
            <w:r w:rsidRPr="00177D47">
              <w:rPr>
                <w:rFonts w:asciiTheme="minorHAnsi" w:eastAsia="Times New Roman" w:hAnsiTheme="minorHAnsi" w:cs="Arial"/>
              </w:rPr>
              <w:t>he borrower]</w:t>
            </w:r>
            <w:r>
              <w:rPr>
                <w:rFonts w:asciiTheme="minorHAnsi" w:eastAsia="Times New Roman" w:hAnsiTheme="minorHAnsi" w:cs="Arial"/>
              </w:rPr>
              <w:t>…</w:t>
            </w:r>
            <w:r w:rsidRPr="00177D47">
              <w:rPr>
                <w:rFonts w:asciiTheme="minorHAnsi" w:eastAsia="Times New Roman" w:hAnsiTheme="minorHAnsi" w:cs="Arial"/>
              </w:rPr>
              <w:t xml:space="preserve"> provides the affected Indigenous Peoples’ communities with all relevant information about the project (including an assessment of potential adverse effects of the project on the affected Indigenous Peoples’ communities) in a culturally appropriate manner at each stage of project preparation and implementation.</w:t>
            </w:r>
          </w:p>
          <w:p w14:paraId="3A127722" w14:textId="77777777" w:rsidR="00CF59E1" w:rsidRPr="00177D47" w:rsidRDefault="00CF59E1" w:rsidP="00CF59E1">
            <w:pPr>
              <w:tabs>
                <w:tab w:val="left" w:pos="990"/>
              </w:tabs>
              <w:autoSpaceDE/>
              <w:autoSpaceDN/>
              <w:adjustRightInd/>
              <w:spacing w:after="120"/>
              <w:rPr>
                <w:rFonts w:asciiTheme="minorHAnsi" w:hAnsiTheme="minorHAnsi" w:cs="Arial"/>
              </w:rPr>
            </w:pPr>
            <w:r w:rsidRPr="00177D47">
              <w:rPr>
                <w:rFonts w:asciiTheme="minorHAnsi" w:hAnsiTheme="minorHAnsi" w:cs="Arial"/>
              </w:rPr>
              <w:t>Para. 15</w:t>
            </w:r>
            <w:r w:rsidRPr="00177D47">
              <w:rPr>
                <w:rFonts w:asciiTheme="minorHAnsi" w:hAnsiTheme="minorHAnsi" w:cs="Arial"/>
              </w:rPr>
              <w:tab/>
              <w:t>The borrower makes the social assessment report and draft IPP/IPPF available to the affected Indigenous Peoples’ communities in an appropriate form, manner, and language</w:t>
            </w:r>
          </w:p>
          <w:p w14:paraId="71712685" w14:textId="77777777" w:rsidR="00CF59E1" w:rsidRPr="00177D47" w:rsidRDefault="00CF59E1" w:rsidP="00CF59E1">
            <w:pPr>
              <w:tabs>
                <w:tab w:val="left" w:pos="990"/>
              </w:tabs>
              <w:autoSpaceDE/>
              <w:autoSpaceDN/>
              <w:adjustRightInd/>
              <w:spacing w:after="120"/>
              <w:rPr>
                <w:rFonts w:asciiTheme="minorHAnsi" w:eastAsia="Times New Roman" w:hAnsiTheme="minorHAnsi" w:cs="Calibri"/>
              </w:rPr>
            </w:pPr>
            <w:r w:rsidRPr="00177D47">
              <w:rPr>
                <w:rFonts w:asciiTheme="minorHAnsi" w:eastAsia="Times New Roman" w:hAnsiTheme="minorHAnsi" w:cs="Calibri"/>
              </w:rPr>
              <w:t xml:space="preserve"> Once the Bank accepts the documents as providing an adequate basis for project appraisal, the Bank makes them available to the public in accordance with </w:t>
            </w:r>
            <w:r w:rsidRPr="00177D47">
              <w:rPr>
                <w:rFonts w:asciiTheme="minorHAnsi" w:eastAsia="Times New Roman" w:hAnsiTheme="minorHAnsi" w:cs="Calibri"/>
                <w:i/>
              </w:rPr>
              <w:t>The World Bank Policy on Access to Information</w:t>
            </w:r>
            <w:r w:rsidRPr="00177D47">
              <w:rPr>
                <w:rFonts w:asciiTheme="minorHAnsi" w:eastAsia="Times New Roman" w:hAnsiTheme="minorHAnsi" w:cs="Calibri"/>
              </w:rPr>
              <w:t>, and the borrower makes them available to the affected Indigenous Peoples’ communities in the same manner as the earlier draft documents.</w:t>
            </w:r>
          </w:p>
        </w:tc>
        <w:tc>
          <w:tcPr>
            <w:tcW w:w="7200" w:type="dxa"/>
            <w:shd w:val="clear" w:color="auto" w:fill="auto"/>
          </w:tcPr>
          <w:p w14:paraId="1CDFADFC" w14:textId="77777777" w:rsidR="00CF59E1" w:rsidRPr="00177D47"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177D47">
              <w:rPr>
                <w:rFonts w:asciiTheme="minorHAnsi" w:eastAsia="Times New Roman" w:hAnsiTheme="minorHAnsi" w:cs="Calibri"/>
              </w:rPr>
              <w:t>If the [IPs} are illiterate, other appropriate communication methods will be used.</w:t>
            </w:r>
            <w:r>
              <w:rPr>
                <w:rFonts w:asciiTheme="minorHAnsi" w:eastAsia="Times New Roman" w:hAnsiTheme="minorHAnsi" w:cs="Calibri"/>
              </w:rPr>
              <w:t>”</w:t>
            </w:r>
            <w:r w:rsidRPr="00177D47">
              <w:rPr>
                <w:rFonts w:asciiTheme="minorHAnsi" w:eastAsia="Times New Roman" w:hAnsiTheme="minorHAnsi" w:cs="Calibri"/>
              </w:rPr>
              <w:t xml:space="preserve"> (</w:t>
            </w:r>
            <w:r w:rsidRPr="00177D47">
              <w:rPr>
                <w:rFonts w:asciiTheme="minorHAnsi" w:eastAsia="Times New Roman" w:hAnsiTheme="minorHAnsi" w:cs="Calibri"/>
                <w:b/>
              </w:rPr>
              <w:t>ADB, SPS, Appendix 3, para. 21</w:t>
            </w:r>
            <w:r w:rsidRPr="00177D47">
              <w:rPr>
                <w:rFonts w:asciiTheme="minorHAnsi" w:eastAsia="Times New Roman" w:hAnsiTheme="minorHAnsi" w:cs="Calibri"/>
              </w:rPr>
              <w:t>)</w:t>
            </w:r>
          </w:p>
          <w:p w14:paraId="4C226527" w14:textId="77777777" w:rsidR="00CF59E1" w:rsidRPr="00177D47"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177D47">
              <w:rPr>
                <w:rFonts w:asciiTheme="minorHAnsi" w:eastAsia="Times New Roman" w:hAnsiTheme="minorHAnsi" w:cs="Calibri"/>
              </w:rPr>
              <w:t xml:space="preserve">The borrower is required to </w:t>
            </w:r>
            <w:r>
              <w:rPr>
                <w:rFonts w:asciiTheme="minorHAnsi" w:eastAsia="Times New Roman" w:hAnsiTheme="minorHAnsi" w:cs="Calibri"/>
              </w:rPr>
              <w:t>“</w:t>
            </w:r>
            <w:r w:rsidRPr="00177D47">
              <w:rPr>
                <w:rFonts w:asciiTheme="minorHAnsi" w:eastAsia="Times New Roman" w:hAnsiTheme="minorHAnsi" w:cs="Calibri"/>
              </w:rPr>
              <w:t>disclose new or updated [IPPIs]… corrective action plan[s] or [IPP] monitoring reports.</w:t>
            </w:r>
            <w:r>
              <w:rPr>
                <w:rFonts w:asciiTheme="minorHAnsi" w:eastAsia="Times New Roman" w:hAnsiTheme="minorHAnsi" w:cs="Calibri"/>
              </w:rPr>
              <w:t>”</w:t>
            </w:r>
            <w:r w:rsidRPr="00177D47">
              <w:rPr>
                <w:rFonts w:asciiTheme="minorHAnsi" w:eastAsia="Times New Roman" w:hAnsiTheme="minorHAnsi" w:cs="Calibri"/>
              </w:rPr>
              <w:t xml:space="preserve"> (</w:t>
            </w:r>
            <w:r w:rsidRPr="00177D47">
              <w:rPr>
                <w:rFonts w:asciiTheme="minorHAnsi" w:eastAsia="Times New Roman" w:hAnsiTheme="minorHAnsi" w:cs="Calibri"/>
                <w:b/>
              </w:rPr>
              <w:t xml:space="preserve">ADB, SPS, Appendix 3, para. 20, </w:t>
            </w:r>
            <w:r w:rsidRPr="00177D47">
              <w:rPr>
                <w:rFonts w:asciiTheme="minorHAnsi" w:eastAsia="Times New Roman" w:hAnsiTheme="minorHAnsi" w:cs="Calibri"/>
              </w:rPr>
              <w:t>)</w:t>
            </w:r>
          </w:p>
          <w:p w14:paraId="5E8F6361" w14:textId="77777777" w:rsidR="00CF59E1" w:rsidRPr="00177D47" w:rsidRDefault="00CF59E1" w:rsidP="00CF59E1">
            <w:pPr>
              <w:spacing w:after="120"/>
              <w:rPr>
                <w:rFonts w:asciiTheme="minorHAnsi" w:eastAsia="Times New Roman" w:hAnsiTheme="minorHAnsi" w:cs="Calibri"/>
              </w:rPr>
            </w:pPr>
            <w:r>
              <w:rPr>
                <w:rFonts w:asciiTheme="minorHAnsi" w:hAnsiTheme="minorHAnsi" w:cs="Arial"/>
                <w:bCs/>
              </w:rPr>
              <w:t>“</w:t>
            </w:r>
            <w:r w:rsidRPr="00177D47">
              <w:rPr>
                <w:rFonts w:asciiTheme="minorHAnsi" w:hAnsiTheme="minorHAnsi" w:cs="Arial"/>
                <w:bCs/>
              </w:rPr>
              <w:t>Assurances over the timely disclosure of the IPDP, including outputs linked to the FPIC process, should be provided. The promoter is expected to publicly disclose the final draft of the IPDP to the affected indigenous peoples’ communities in an appropriate form, manner, and language. Once adopted and agreed upon by the indigenous peoples and the EIB alike, the promoter will make these documents available to the affected indigenous peoples’ communities in the same manner as the earlier final draft documents.</w:t>
            </w:r>
            <w:r>
              <w:rPr>
                <w:rFonts w:asciiTheme="minorHAnsi" w:hAnsiTheme="minorHAnsi" w:cs="Arial"/>
                <w:bCs/>
              </w:rPr>
              <w:t>”</w:t>
            </w:r>
            <w:r w:rsidRPr="00177D47">
              <w:rPr>
                <w:rFonts w:asciiTheme="minorHAnsi" w:hAnsiTheme="minorHAnsi" w:cs="Arial"/>
                <w:bCs/>
              </w:rPr>
              <w:t xml:space="preserve"> (</w:t>
            </w:r>
            <w:r w:rsidRPr="00177D47">
              <w:rPr>
                <w:rFonts w:asciiTheme="minorHAnsi" w:hAnsiTheme="minorHAnsi" w:cs="Arial"/>
                <w:b/>
                <w:bCs/>
              </w:rPr>
              <w:t>EIB, ESH, ESS 7, para. 30</w:t>
            </w:r>
            <w:r w:rsidRPr="00177D47">
              <w:rPr>
                <w:rFonts w:asciiTheme="minorHAnsi" w:hAnsiTheme="minorHAnsi" w:cs="Arial"/>
                <w:bCs/>
              </w:rPr>
              <w:t xml:space="preserve">) </w:t>
            </w:r>
          </w:p>
        </w:tc>
      </w:tr>
      <w:tr w:rsidR="00CF59E1" w:rsidRPr="00D8522E" w14:paraId="6165F4D3" w14:textId="77777777" w:rsidTr="00CF59E1">
        <w:tc>
          <w:tcPr>
            <w:tcW w:w="6390" w:type="dxa"/>
            <w:shd w:val="clear" w:color="auto" w:fill="auto"/>
            <w:vAlign w:val="center"/>
          </w:tcPr>
          <w:p w14:paraId="005FD4E7"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FREE PRIOR INFORMED CONSULTATION AND BROAD COMMUNITY SUPPORT</w:t>
            </w:r>
          </w:p>
          <w:p w14:paraId="77774BA6" w14:textId="77777777" w:rsidR="00CF59E1" w:rsidRPr="000F0C7E" w:rsidRDefault="00CF59E1" w:rsidP="00CF59E1">
            <w:pPr>
              <w:pStyle w:val="NormalWeb"/>
              <w:spacing w:before="0" w:beforeAutospacing="0" w:after="120" w:afterAutospacing="0"/>
              <w:rPr>
                <w:rFonts w:asciiTheme="minorHAnsi" w:eastAsia="Arial" w:hAnsiTheme="minorHAnsi" w:cs="Arial"/>
                <w:color w:val="000000"/>
                <w:sz w:val="22"/>
                <w:szCs w:val="22"/>
              </w:rPr>
            </w:pPr>
            <w:r>
              <w:rPr>
                <w:rFonts w:asciiTheme="minorHAnsi" w:eastAsia="Arial" w:hAnsiTheme="minorHAnsi" w:cs="Arial"/>
                <w:color w:val="000000"/>
                <w:sz w:val="22"/>
                <w:szCs w:val="22"/>
              </w:rPr>
              <w:t xml:space="preserve">Para. </w:t>
            </w:r>
            <w:r w:rsidRPr="00A56233">
              <w:rPr>
                <w:rFonts w:asciiTheme="minorHAnsi" w:eastAsia="Arial" w:hAnsiTheme="minorHAnsi" w:cs="Arial"/>
                <w:color w:val="000000"/>
                <w:sz w:val="22"/>
                <w:szCs w:val="22"/>
              </w:rPr>
              <w:t xml:space="preserve">1. The Bank provides project financing </w:t>
            </w:r>
            <w:r w:rsidRPr="00A56233">
              <w:rPr>
                <w:rFonts w:asciiTheme="minorHAnsi" w:eastAsia="Arial" w:hAnsiTheme="minorHAnsi" w:cs="Arial"/>
                <w:i/>
                <w:color w:val="000000"/>
                <w:sz w:val="22"/>
                <w:szCs w:val="22"/>
              </w:rPr>
              <w:t>only</w:t>
            </w:r>
            <w:r w:rsidRPr="000F0C7E">
              <w:rPr>
                <w:rFonts w:asciiTheme="minorHAnsi" w:eastAsia="Arial" w:hAnsiTheme="minorHAnsi" w:cs="Arial"/>
                <w:color w:val="000000"/>
                <w:sz w:val="22"/>
                <w:szCs w:val="22"/>
              </w:rPr>
              <w:t xml:space="preserve"> where free, prior, and informed consultation results in broad community support to the project by the affected Indigenous Peoples. </w:t>
            </w:r>
          </w:p>
          <w:p w14:paraId="369E262E" w14:textId="77777777" w:rsidR="00CF59E1" w:rsidRPr="00D8522E" w:rsidRDefault="00CF59E1" w:rsidP="00CF59E1">
            <w:pPr>
              <w:pStyle w:val="NormalWeb"/>
              <w:spacing w:before="0" w:beforeAutospacing="0" w:after="120" w:afterAutospacing="0"/>
              <w:rPr>
                <w:rFonts w:asciiTheme="minorHAnsi" w:eastAsia="Arial" w:hAnsiTheme="minorHAnsi" w:cs="Arial"/>
                <w:color w:val="000000"/>
                <w:sz w:val="22"/>
                <w:szCs w:val="22"/>
              </w:rPr>
            </w:pPr>
            <w:r w:rsidRPr="00D8522E">
              <w:rPr>
                <w:rFonts w:asciiTheme="minorHAnsi" w:hAnsiTheme="minorHAnsi" w:cs="Calibri"/>
                <w:b/>
                <w:sz w:val="22"/>
                <w:szCs w:val="22"/>
              </w:rPr>
              <w:t xml:space="preserve">Para. 6 </w:t>
            </w:r>
            <w:r w:rsidRPr="00D8522E">
              <w:rPr>
                <w:rFonts w:asciiTheme="minorHAnsi" w:hAnsiTheme="minorHAnsi" w:cs="Arial"/>
                <w:color w:val="000000"/>
                <w:sz w:val="22"/>
                <w:szCs w:val="22"/>
              </w:rPr>
              <w:t>A project proposed for Bank financing that affects Indigenous Peoples requires…</w:t>
            </w:r>
            <w:r w:rsidRPr="00D8522E">
              <w:rPr>
                <w:rFonts w:asciiTheme="minorHAnsi" w:eastAsia="Arial" w:hAnsiTheme="minorHAnsi" w:cs="Arial"/>
                <w:color w:val="000000"/>
                <w:sz w:val="22"/>
                <w:szCs w:val="22"/>
              </w:rPr>
              <w:t>(c)</w:t>
            </w:r>
            <w:r w:rsidRPr="00D8522E">
              <w:rPr>
                <w:rFonts w:asciiTheme="minorHAnsi" w:eastAsia="Arial" w:hAnsiTheme="minorHAnsi"/>
                <w:color w:val="000000"/>
                <w:sz w:val="22"/>
                <w:szCs w:val="22"/>
              </w:rPr>
              <w:t xml:space="preserve"> </w:t>
            </w:r>
            <w:r w:rsidRPr="00D8522E">
              <w:rPr>
                <w:rFonts w:asciiTheme="minorHAnsi" w:eastAsia="Arial" w:hAnsiTheme="minorHAnsi" w:cs="Arial"/>
                <w:color w:val="000000"/>
                <w:sz w:val="22"/>
                <w:szCs w:val="22"/>
              </w:rPr>
              <w:t xml:space="preserve">a process of free, prior, and informed </w:t>
            </w:r>
            <w:r w:rsidRPr="00D8522E">
              <w:rPr>
                <w:rFonts w:asciiTheme="minorHAnsi" w:eastAsia="Arial" w:hAnsiTheme="minorHAnsi" w:cs="Arial"/>
                <w:i/>
                <w:color w:val="000000"/>
                <w:sz w:val="22"/>
                <w:szCs w:val="22"/>
              </w:rPr>
              <w:t>consultation</w:t>
            </w:r>
            <w:r w:rsidRPr="00D8522E">
              <w:rPr>
                <w:rFonts w:asciiTheme="minorHAnsi" w:eastAsia="Arial" w:hAnsiTheme="minorHAnsi" w:cs="Arial"/>
                <w:color w:val="000000"/>
                <w:sz w:val="22"/>
                <w:szCs w:val="22"/>
              </w:rPr>
              <w:t xml:space="preserve"> with the affected Indigenous Peoples’ communities at each stage of the project, and particularly during project preparation, to fully identify their views and ascertain their broad community support for the project. </w:t>
            </w:r>
          </w:p>
          <w:p w14:paraId="6C2B72C6" w14:textId="77777777" w:rsidR="00CF59E1" w:rsidRPr="00D8522E" w:rsidRDefault="00CF59E1" w:rsidP="00CF59E1">
            <w:pPr>
              <w:autoSpaceDE/>
              <w:autoSpaceDN/>
              <w:adjustRightInd/>
              <w:spacing w:after="120"/>
              <w:rPr>
                <w:rFonts w:asciiTheme="minorHAnsi" w:eastAsia="Times New Roman" w:hAnsiTheme="minorHAnsi" w:cs="Times New Roman"/>
                <w:color w:val="000000"/>
              </w:rPr>
            </w:pPr>
            <w:r w:rsidRPr="00D8522E">
              <w:rPr>
                <w:rFonts w:asciiTheme="minorHAnsi" w:eastAsia="Times New Roman" w:hAnsiTheme="minorHAnsi" w:cs="Arial"/>
                <w:iCs/>
                <w:color w:val="000000"/>
              </w:rPr>
              <w:t>10.</w:t>
            </w:r>
            <w:r w:rsidRPr="00D8522E">
              <w:rPr>
                <w:rFonts w:asciiTheme="minorHAnsi" w:eastAsia="Times New Roman" w:hAnsiTheme="minorHAnsi" w:cs="Arial"/>
                <w:i/>
                <w:color w:val="000000"/>
              </w:rPr>
              <w:t xml:space="preserve"> Consultation and Participation.</w:t>
            </w:r>
            <w:r w:rsidRPr="00D8522E">
              <w:rPr>
                <w:rFonts w:asciiTheme="minorHAnsi" w:eastAsia="Times New Roman" w:hAnsiTheme="minorHAnsi" w:cs="Arial"/>
                <w:color w:val="000000"/>
              </w:rPr>
              <w:t xml:space="preserve"> Where the project affects Indigenous Peoples, the borrower engages in free, prior, and informed consultation with them. To ensure such consultation, the borrower:</w:t>
            </w:r>
          </w:p>
          <w:p w14:paraId="59DEFB62" w14:textId="77777777" w:rsidR="00CF59E1" w:rsidRPr="00D04661" w:rsidRDefault="00CF59E1" w:rsidP="00CF59E1">
            <w:pPr>
              <w:autoSpaceDE/>
              <w:autoSpaceDN/>
              <w:adjustRightInd/>
              <w:spacing w:after="120"/>
              <w:rPr>
                <w:rFonts w:asciiTheme="minorHAnsi" w:eastAsia="Times New Roman" w:hAnsiTheme="minorHAnsi" w:cs="Times New Roman"/>
                <w:color w:val="000000"/>
              </w:rPr>
            </w:pPr>
            <w:r w:rsidRPr="00D04661">
              <w:rPr>
                <w:rFonts w:asciiTheme="minorHAnsi" w:eastAsia="Times New Roman" w:hAnsiTheme="minorHAnsi" w:cs="Arial"/>
                <w:color w:val="000000"/>
              </w:rPr>
              <w:t>(a) establishes an appropriate gender and inter</w:t>
            </w:r>
            <w:r>
              <w:rPr>
                <w:rFonts w:asciiTheme="minorHAnsi" w:eastAsia="Times New Roman" w:hAnsiTheme="minorHAnsi" w:cs="Arial"/>
                <w:color w:val="000000"/>
              </w:rPr>
              <w:t>-</w:t>
            </w:r>
            <w:r w:rsidRPr="00D04661">
              <w:rPr>
                <w:rFonts w:asciiTheme="minorHAnsi" w:eastAsia="Times New Roman" w:hAnsiTheme="minorHAnsi" w:cs="Arial"/>
                <w:color w:val="000000"/>
              </w:rPr>
              <w:t>generationally inclusive framework that provides opportunities for consultation at each stage of project preparation and implementation among the borrower, the affected Indigenous Peoples’ communities, the Indigenous Peoples Organizations (IPOs) if any, and other local civil society organizations (CSOs) identified by the affected Indigenous Peoples’ communities;</w:t>
            </w:r>
          </w:p>
          <w:p w14:paraId="5A5EB657" w14:textId="77777777" w:rsidR="00CF59E1" w:rsidRPr="00D04661" w:rsidRDefault="00CF59E1" w:rsidP="00CF59E1">
            <w:pPr>
              <w:tabs>
                <w:tab w:val="left" w:pos="720"/>
              </w:tabs>
              <w:autoSpaceDE/>
              <w:autoSpaceDN/>
              <w:adjustRightInd/>
              <w:spacing w:after="120"/>
              <w:rPr>
                <w:rFonts w:asciiTheme="minorHAnsi" w:eastAsia="Times New Roman" w:hAnsiTheme="minorHAnsi" w:cs="Times New Roman"/>
                <w:color w:val="000000"/>
              </w:rPr>
            </w:pPr>
            <w:r>
              <w:rPr>
                <w:rFonts w:asciiTheme="minorHAnsi" w:eastAsia="Times New Roman" w:hAnsiTheme="minorHAnsi" w:cs="Arial"/>
                <w:color w:val="000000"/>
              </w:rPr>
              <w:t>(b) uses consultation methods,</w:t>
            </w:r>
            <w:r w:rsidRPr="00D04661">
              <w:rPr>
                <w:rFonts w:asciiTheme="minorHAnsi" w:eastAsia="Times New Roman" w:hAnsiTheme="minorHAnsi" w:cs="Arial"/>
                <w:color w:val="000000"/>
              </w:rPr>
              <w:t xml:space="preserve"> appropriate to the social and cultural values of the affected Indigenous Peoples’ communities and their local conditions and, in designing these methods, gives special attention to the concerns of Indigenous women, youth, and children and their access to development opportunities and benefits; and</w:t>
            </w:r>
          </w:p>
          <w:p w14:paraId="7E861C57" w14:textId="77777777" w:rsidR="00CF59E1" w:rsidRPr="00D04661" w:rsidRDefault="00CF59E1" w:rsidP="00CF59E1">
            <w:pPr>
              <w:tabs>
                <w:tab w:val="left" w:pos="720"/>
              </w:tabs>
              <w:autoSpaceDE/>
              <w:autoSpaceDN/>
              <w:adjustRightInd/>
              <w:spacing w:after="120"/>
              <w:rPr>
                <w:rFonts w:asciiTheme="minorHAnsi" w:eastAsia="Times New Roman" w:hAnsiTheme="minorHAnsi" w:cs="Times New Roman"/>
                <w:color w:val="000000"/>
              </w:rPr>
            </w:pPr>
            <w:r w:rsidRPr="00D04661">
              <w:rPr>
                <w:rFonts w:asciiTheme="minorHAnsi" w:eastAsia="Times New Roman" w:hAnsiTheme="minorHAnsi" w:cs="Arial"/>
                <w:color w:val="000000"/>
              </w:rPr>
              <w:t>(c) provides the affected Indigenous Peoples’ communities with all relevant information about the project (including an assessment of potential adverse effects of the project on the affected Indigenous Peoples’ communities) in a culturally appropriate manner at each stage of project preparation and implementation.</w:t>
            </w:r>
          </w:p>
          <w:p w14:paraId="79FA35A8" w14:textId="77777777" w:rsidR="00CF59E1" w:rsidRPr="00C45CB6" w:rsidRDefault="00CF59E1" w:rsidP="00CF59E1">
            <w:pPr>
              <w:autoSpaceDE/>
              <w:autoSpaceDN/>
              <w:adjustRightInd/>
              <w:spacing w:after="120"/>
              <w:rPr>
                <w:rFonts w:asciiTheme="minorHAnsi" w:eastAsia="Times New Roman" w:hAnsiTheme="minorHAnsi" w:cs="Arial"/>
                <w:color w:val="000000"/>
              </w:rPr>
            </w:pPr>
            <w:r w:rsidRPr="00D04661">
              <w:rPr>
                <w:rFonts w:asciiTheme="minorHAnsi" w:eastAsia="Times New Roman" w:hAnsiTheme="minorHAnsi" w:cs="Arial"/>
                <w:color w:val="000000"/>
              </w:rPr>
              <w:t>11.</w:t>
            </w:r>
            <w:r w:rsidRPr="00D04661">
              <w:rPr>
                <w:rFonts w:asciiTheme="minorHAnsi" w:eastAsia="Times New Roman" w:hAnsiTheme="minorHAnsi" w:cs="Arial"/>
                <w:color w:val="000000"/>
              </w:rPr>
              <w:tab/>
              <w:t>In deciding whether to proceed with the project, the borrower ascertains, on the basis of the social assessment (see paragraph 9) and the free, prior, and informed consultation (see paragraph 10), whether the affected Indigenous Peo</w:t>
            </w:r>
            <w:r w:rsidRPr="00C45CB6">
              <w:rPr>
                <w:rFonts w:asciiTheme="minorHAnsi" w:eastAsia="Times New Roman" w:hAnsiTheme="minorHAnsi" w:cs="Arial"/>
                <w:color w:val="000000"/>
              </w:rPr>
              <w:t>ples’ communities provide their broad support to the project. Where there is such support, the borrower prepares a detailed report that documents:</w:t>
            </w:r>
          </w:p>
          <w:p w14:paraId="0EE95835" w14:textId="77777777" w:rsidR="00CF59E1" w:rsidRPr="00C45CB6" w:rsidRDefault="00CF59E1" w:rsidP="00CF59E1">
            <w:pPr>
              <w:autoSpaceDE/>
              <w:autoSpaceDN/>
              <w:adjustRightInd/>
              <w:spacing w:after="120"/>
              <w:rPr>
                <w:rFonts w:asciiTheme="minorHAnsi" w:eastAsia="Times New Roman" w:hAnsiTheme="minorHAnsi" w:cs="Arial"/>
                <w:color w:val="000000"/>
              </w:rPr>
            </w:pPr>
            <w:r w:rsidRPr="00C45CB6">
              <w:rPr>
                <w:rFonts w:asciiTheme="minorHAnsi" w:eastAsia="Times New Roman" w:hAnsiTheme="minorHAnsi" w:cs="Arial"/>
                <w:color w:val="000000"/>
              </w:rPr>
              <w:t xml:space="preserve">(a) the findings of the social assessment; </w:t>
            </w:r>
          </w:p>
          <w:p w14:paraId="28E9AB91" w14:textId="77777777" w:rsidR="00CF59E1" w:rsidRPr="00C45CB6" w:rsidRDefault="00CF59E1" w:rsidP="00CF59E1">
            <w:pPr>
              <w:autoSpaceDE/>
              <w:autoSpaceDN/>
              <w:adjustRightInd/>
              <w:spacing w:after="120"/>
              <w:rPr>
                <w:rFonts w:asciiTheme="minorHAnsi" w:eastAsia="Times New Roman" w:hAnsiTheme="minorHAnsi" w:cs="Arial"/>
                <w:color w:val="000000"/>
              </w:rPr>
            </w:pPr>
            <w:r w:rsidRPr="00C45CB6">
              <w:rPr>
                <w:rFonts w:asciiTheme="minorHAnsi" w:eastAsia="Times New Roman" w:hAnsiTheme="minorHAnsi" w:cs="Arial"/>
                <w:color w:val="000000"/>
              </w:rPr>
              <w:t>(b) the process of free, prior, and informed consultation with the affected Indigenous Peoples' communities;</w:t>
            </w:r>
          </w:p>
          <w:p w14:paraId="2767AA00" w14:textId="77777777" w:rsidR="00CF59E1" w:rsidRPr="00C45CB6" w:rsidRDefault="00CF59E1" w:rsidP="00CF59E1">
            <w:pPr>
              <w:autoSpaceDE/>
              <w:autoSpaceDN/>
              <w:adjustRightInd/>
              <w:spacing w:after="120"/>
              <w:rPr>
                <w:rFonts w:asciiTheme="minorHAnsi" w:eastAsia="Times New Roman" w:hAnsiTheme="minorHAnsi" w:cs="Arial"/>
                <w:color w:val="000000"/>
              </w:rPr>
            </w:pPr>
            <w:r w:rsidRPr="00C45CB6">
              <w:rPr>
                <w:rFonts w:asciiTheme="minorHAnsi" w:eastAsia="Times New Roman" w:hAnsiTheme="minorHAnsi" w:cs="Arial"/>
                <w:color w:val="000000"/>
              </w:rPr>
              <w:t>(c) additional measures, including project design modification, that may be required to address adverse effects on the Indigenous Peoples and to provide them with culturally appropriate project benefits;</w:t>
            </w:r>
          </w:p>
          <w:p w14:paraId="4EF1910C" w14:textId="77777777" w:rsidR="00CF59E1" w:rsidRPr="00C45CB6" w:rsidRDefault="00CF59E1" w:rsidP="00CF59E1">
            <w:pPr>
              <w:autoSpaceDE/>
              <w:autoSpaceDN/>
              <w:adjustRightInd/>
              <w:spacing w:after="120"/>
              <w:rPr>
                <w:rFonts w:asciiTheme="minorHAnsi" w:eastAsia="Times New Roman" w:hAnsiTheme="minorHAnsi" w:cs="Arial"/>
                <w:color w:val="000000"/>
              </w:rPr>
            </w:pPr>
            <w:r w:rsidRPr="00C45CB6">
              <w:rPr>
                <w:rFonts w:asciiTheme="minorHAnsi" w:eastAsia="Times New Roman" w:hAnsiTheme="minorHAnsi" w:cs="Arial"/>
                <w:color w:val="000000"/>
              </w:rPr>
              <w:t>(d) recommendations for free, prior, and informed consultation with and participation by Indigenous Peoples’ communities during project implementation, monitoring, and evaluation; and</w:t>
            </w:r>
          </w:p>
          <w:p w14:paraId="24566B67" w14:textId="77777777" w:rsidR="00CF59E1" w:rsidRPr="00C45CB6" w:rsidRDefault="00CF59E1" w:rsidP="00CF59E1">
            <w:pPr>
              <w:autoSpaceDE/>
              <w:autoSpaceDN/>
              <w:adjustRightInd/>
              <w:spacing w:after="120"/>
              <w:rPr>
                <w:rFonts w:asciiTheme="minorHAnsi" w:eastAsia="Times New Roman" w:hAnsiTheme="minorHAnsi" w:cs="Arial"/>
                <w:color w:val="000000"/>
              </w:rPr>
            </w:pPr>
            <w:r w:rsidRPr="00C45CB6">
              <w:rPr>
                <w:rFonts w:asciiTheme="minorHAnsi" w:eastAsia="Times New Roman" w:hAnsiTheme="minorHAnsi" w:cs="Arial"/>
                <w:color w:val="000000"/>
              </w:rPr>
              <w:t>(e) any formal agreements reached with Indigenous Peoples’ communities and/or the IPOs.</w:t>
            </w:r>
          </w:p>
          <w:p w14:paraId="2263136E" w14:textId="77777777" w:rsidR="00CF59E1" w:rsidRDefault="00CF59E1" w:rsidP="00CF59E1">
            <w:pPr>
              <w:autoSpaceDE/>
              <w:autoSpaceDN/>
              <w:adjustRightInd/>
              <w:spacing w:after="120"/>
              <w:rPr>
                <w:rFonts w:asciiTheme="minorHAnsi" w:eastAsia="Times New Roman" w:hAnsiTheme="minorHAnsi" w:cs="Arial"/>
                <w:color w:val="000000"/>
              </w:rPr>
            </w:pPr>
            <w:r w:rsidRPr="00C45CB6">
              <w:rPr>
                <w:rFonts w:asciiTheme="minorHAnsi" w:eastAsia="Times New Roman" w:hAnsiTheme="minorHAnsi" w:cs="Arial"/>
                <w:color w:val="000000"/>
              </w:rPr>
              <w:t>The Bank reviews the process and the outcome of the consultation carried out by the borrower to satisfy itself that the affected Indigenous Peoples’ communities have provided their broad support to the project. The Bank pays particular attention to the social assessment and to the record and outcome of the free, prior, and informed consultation with the affected Indigenous Peoples’ communities as a basis for ascertaining whether there is such support. The Bank does not proceed further with project processing if it is unable to ascertain that such support exists.</w:t>
            </w:r>
          </w:p>
          <w:p w14:paraId="4DED219A"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b/>
              </w:rPr>
            </w:pPr>
          </w:p>
        </w:tc>
        <w:tc>
          <w:tcPr>
            <w:tcW w:w="7200" w:type="dxa"/>
            <w:shd w:val="clear" w:color="auto" w:fill="auto"/>
          </w:tcPr>
          <w:p w14:paraId="1D2EE518" w14:textId="77777777" w:rsidR="00CF59E1" w:rsidRPr="00D04661" w:rsidRDefault="00CF59E1" w:rsidP="00CF59E1">
            <w:pPr>
              <w:spacing w:after="120"/>
              <w:rPr>
                <w:rFonts w:asciiTheme="minorHAnsi" w:hAnsiTheme="minorHAnsi" w:cs="Arial"/>
              </w:rPr>
            </w:pPr>
            <w:r w:rsidRPr="00494D97">
              <w:rPr>
                <w:rFonts w:asciiTheme="minorHAnsi" w:hAnsiTheme="minorHAnsi" w:cs="Arial"/>
                <w:bCs/>
              </w:rPr>
              <w:t>“</w:t>
            </w:r>
            <w:r w:rsidRPr="00D04661">
              <w:rPr>
                <w:rFonts w:asciiTheme="minorHAnsi" w:hAnsiTheme="minorHAnsi" w:cs="Arial"/>
              </w:rPr>
              <w:t>For the purpose of policy application,</w:t>
            </w:r>
            <w:r w:rsidRPr="00D04661">
              <w:rPr>
                <w:rFonts w:asciiTheme="minorHAnsi" w:hAnsiTheme="minorHAnsi" w:cs="Arial"/>
                <w:b/>
                <w:bCs/>
              </w:rPr>
              <w:t xml:space="preserve"> </w:t>
            </w:r>
            <w:r w:rsidRPr="00D04661">
              <w:rPr>
                <w:rFonts w:asciiTheme="minorHAnsi" w:hAnsiTheme="minorHAnsi" w:cs="Arial"/>
                <w:bCs/>
              </w:rPr>
              <w:t>[Consent of Affected Indigenous Peoples Communities</w:t>
            </w:r>
            <w:r w:rsidRPr="00D04661">
              <w:rPr>
                <w:rFonts w:asciiTheme="minorHAnsi" w:hAnsiTheme="minorHAnsi" w:cs="Arial"/>
              </w:rPr>
              <w:t>] refers to a collective expression by the affected Indigenous Peoples communities, through individuals and/or their recognized representatives, of broad community support for the project activities. Such broad community support may exist even if some individuals or groups object to the project activities.</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 xml:space="preserve">ADB, SPS, Appendix 3, para. 3 </w:t>
            </w:r>
            <w:r w:rsidRPr="00D04661">
              <w:rPr>
                <w:rFonts w:asciiTheme="minorHAnsi" w:hAnsiTheme="minorHAnsi" w:cs="Arial"/>
              </w:rPr>
              <w:t>)</w:t>
            </w:r>
          </w:p>
          <w:p w14:paraId="2B177C86" w14:textId="77777777" w:rsidR="00CF59E1" w:rsidRPr="00D04661" w:rsidRDefault="00CF59E1" w:rsidP="00CF59E1">
            <w:pPr>
              <w:spacing w:after="120"/>
              <w:rPr>
                <w:rFonts w:asciiTheme="minorHAnsi" w:hAnsiTheme="minorHAnsi" w:cs="Arial"/>
              </w:rPr>
            </w:pPr>
            <w:r>
              <w:rPr>
                <w:rFonts w:asciiTheme="minorHAnsi" w:hAnsiTheme="minorHAnsi" w:cs="Arial"/>
              </w:rPr>
              <w:t>“</w:t>
            </w:r>
            <w:r w:rsidRPr="00D04661">
              <w:rPr>
                <w:rFonts w:asciiTheme="minorHAnsi" w:hAnsiTheme="minorHAnsi" w:cs="Arial"/>
              </w:rPr>
              <w:t xml:space="preserve">Ascertain the </w:t>
            </w:r>
            <w:r w:rsidRPr="00D04661">
              <w:rPr>
                <w:rFonts w:asciiTheme="minorHAnsi" w:hAnsiTheme="minorHAnsi" w:cs="Arial"/>
                <w:i/>
              </w:rPr>
              <w:t xml:space="preserve">consent </w:t>
            </w:r>
            <w:r w:rsidRPr="00D04661">
              <w:rPr>
                <w:rFonts w:asciiTheme="minorHAnsi" w:hAnsiTheme="minorHAnsi" w:cs="Arial"/>
              </w:rPr>
              <w:t xml:space="preserve">of affected Indigenous Peoples communities to the following project activities: (i) commercial development of the cultural resources and knowledge of Indigenous Peoples; (ii) physical displacement from traditional or customary lands; and (iii) commercial development of natural resources within customary lands under use that would impact the livelihoods or the cultural, ceremonial, or spiritual uses that define the identity and community of Indigenous Peoples. </w:t>
            </w:r>
            <w:r w:rsidRPr="00D04661">
              <w:rPr>
                <w:rFonts w:asciiTheme="minorHAnsi" w:hAnsiTheme="minorHAnsi" w:cs="Arial"/>
                <w:i/>
              </w:rPr>
              <w:t>For the purposes of policy application, the consent of affected Indigenous Peoples communities refers to a collective expression by the affected Indigenous Peoples communities, through individuals and/or their recognized representatives, of broad community support for such project activities</w:t>
            </w:r>
            <w:r w:rsidRPr="00D04661">
              <w:rPr>
                <w:rFonts w:asciiTheme="minorHAnsi" w:hAnsiTheme="minorHAnsi" w:cs="Arial"/>
              </w:rPr>
              <w:t>. Broad community support may exist even if some individuals or groups object to the project activities.</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ADB,SPS, Appendix 3, para. 3</w:t>
            </w:r>
            <w:r w:rsidRPr="00D04661">
              <w:rPr>
                <w:rFonts w:asciiTheme="minorHAnsi" w:hAnsiTheme="minorHAnsi" w:cs="Arial"/>
              </w:rPr>
              <w:t>) (</w:t>
            </w:r>
            <w:r w:rsidRPr="00D04661">
              <w:rPr>
                <w:rFonts w:asciiTheme="minorHAnsi" w:hAnsiTheme="minorHAnsi" w:cs="Arial"/>
                <w:i/>
              </w:rPr>
              <w:t>emphasis added</w:t>
            </w:r>
            <w:r w:rsidRPr="00D04661">
              <w:rPr>
                <w:rFonts w:asciiTheme="minorHAnsi" w:hAnsiTheme="minorHAnsi" w:cs="Arial"/>
              </w:rPr>
              <w:t xml:space="preserve">) </w:t>
            </w:r>
          </w:p>
          <w:p w14:paraId="3F10DA00" w14:textId="77777777" w:rsidR="00CF59E1" w:rsidRPr="00D04661" w:rsidRDefault="00CF59E1" w:rsidP="00CF59E1">
            <w:pPr>
              <w:spacing w:after="120"/>
              <w:rPr>
                <w:rFonts w:asciiTheme="minorHAnsi" w:hAnsiTheme="minorHAnsi" w:cs="Arial"/>
                <w:b/>
              </w:rPr>
            </w:pPr>
            <w:r>
              <w:rPr>
                <w:rFonts w:asciiTheme="minorHAnsi" w:hAnsiTheme="minorHAnsi" w:cs="Arial"/>
              </w:rPr>
              <w:t>“</w:t>
            </w:r>
            <w:r w:rsidRPr="00D04661">
              <w:rPr>
                <w:rFonts w:asciiTheme="minorHAnsi" w:hAnsiTheme="minorHAnsi" w:cs="Arial"/>
              </w:rPr>
              <w:t xml:space="preserve">For cases of particularly significant potential adverse impacts that carry a high degree of risk to the physical, territorial or cultural integrity of the affected indigenous peoples or groups, the Bank will further require and verify that the project proponent demonstrate that it has, through a good faith negotiation process, </w:t>
            </w:r>
            <w:r w:rsidRPr="00D04661">
              <w:rPr>
                <w:rFonts w:asciiTheme="minorHAnsi" w:hAnsiTheme="minorHAnsi" w:cs="Arial"/>
                <w:i/>
              </w:rPr>
              <w:t>obtained agreements</w:t>
            </w:r>
            <w:r w:rsidRPr="00D04661">
              <w:rPr>
                <w:rFonts w:asciiTheme="minorHAnsi" w:hAnsiTheme="minorHAnsi" w:cs="Arial"/>
              </w:rPr>
              <w:t xml:space="preserve"> regarding the operation and measures to address the adverse impacts as necessary to support, in the Bank’s judgment, the sociocultural viability of the operation.</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IDB. Policy on Indigenous Peoples, para. 4.4 (a) (iii))</w:t>
            </w:r>
          </w:p>
          <w:p w14:paraId="04880A1F" w14:textId="77777777" w:rsidR="00CF59E1" w:rsidRPr="00D04661" w:rsidRDefault="00CF59E1" w:rsidP="00CF59E1">
            <w:pPr>
              <w:spacing w:after="120"/>
              <w:rPr>
                <w:rFonts w:asciiTheme="minorHAnsi" w:hAnsiTheme="minorHAnsi" w:cs="Arial"/>
              </w:rPr>
            </w:pPr>
            <w:r>
              <w:rPr>
                <w:rFonts w:asciiTheme="minorHAnsi" w:hAnsiTheme="minorHAnsi" w:cs="Arial"/>
              </w:rPr>
              <w:t>“</w:t>
            </w:r>
            <w:r w:rsidRPr="00D04661">
              <w:rPr>
                <w:rFonts w:asciiTheme="minorHAnsi" w:hAnsiTheme="minorHAnsi" w:cs="Arial"/>
              </w:rPr>
              <w:t xml:space="preserve">The principle of </w:t>
            </w:r>
            <w:r w:rsidRPr="00D04661">
              <w:rPr>
                <w:rFonts w:asciiTheme="minorHAnsi" w:hAnsiTheme="minorHAnsi" w:cs="Arial"/>
                <w:i/>
              </w:rPr>
              <w:t>free, prior informed consent (FPIC)</w:t>
            </w:r>
            <w:r w:rsidRPr="00D04661">
              <w:rPr>
                <w:rFonts w:asciiTheme="minorHAnsi" w:hAnsiTheme="minorHAnsi" w:cs="Arial"/>
              </w:rPr>
              <w:t xml:space="preserve"> refers to the process whereby the affected community of indigenous peoples arrives at a decision in accordance with their legal provisions, cultural traditions and practices. The UN Declaration on the Rights of Indigenous Peoples in 2007 will serve as guidance when implementing the FPIC process.</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(EIB, (ESH</w:t>
            </w:r>
            <w:r>
              <w:rPr>
                <w:rFonts w:asciiTheme="minorHAnsi" w:hAnsiTheme="minorHAnsi" w:cs="Arial"/>
                <w:b/>
              </w:rPr>
              <w:t>,</w:t>
            </w:r>
            <w:r w:rsidRPr="00D04661">
              <w:rPr>
                <w:rFonts w:asciiTheme="minorHAnsi" w:hAnsiTheme="minorHAnsi" w:cs="Arial"/>
                <w:b/>
              </w:rPr>
              <w:t xml:space="preserve"> ESS 7, para.31)</w:t>
            </w:r>
            <w:r w:rsidRPr="00D04661">
              <w:rPr>
                <w:rFonts w:asciiTheme="minorHAnsi" w:hAnsiTheme="minorHAnsi" w:cs="Arial"/>
              </w:rPr>
              <w:t xml:space="preserve"> (</w:t>
            </w:r>
            <w:r w:rsidRPr="00D04661">
              <w:rPr>
                <w:rFonts w:asciiTheme="minorHAnsi" w:hAnsiTheme="minorHAnsi" w:cs="Arial"/>
                <w:i/>
              </w:rPr>
              <w:t>emphasis added</w:t>
            </w:r>
            <w:r w:rsidRPr="00D04661">
              <w:rPr>
                <w:rFonts w:asciiTheme="minorHAnsi" w:hAnsiTheme="minorHAnsi" w:cs="Arial"/>
              </w:rPr>
              <w:t>)</w:t>
            </w:r>
          </w:p>
          <w:p w14:paraId="71F8EBC0" w14:textId="77777777" w:rsidR="00CF59E1" w:rsidRPr="00D04661" w:rsidRDefault="00CF59E1" w:rsidP="00CF59E1">
            <w:pPr>
              <w:spacing w:after="120"/>
              <w:rPr>
                <w:rFonts w:asciiTheme="minorHAnsi" w:hAnsiTheme="minorHAnsi" w:cs="Arial"/>
                <w:b/>
              </w:rPr>
            </w:pPr>
            <w:r>
              <w:rPr>
                <w:rFonts w:asciiTheme="minorHAnsi" w:hAnsiTheme="minorHAnsi" w:cs="Arial"/>
              </w:rPr>
              <w:t>“</w:t>
            </w:r>
            <w:r w:rsidRPr="00D04661">
              <w:rPr>
                <w:rFonts w:asciiTheme="minorHAnsi" w:hAnsiTheme="minorHAnsi" w:cs="Arial"/>
              </w:rPr>
              <w:t>The FPIC process should produce a clear endorsement or rejection by the indigenous peoples concerned of the proposed intervention and a statement of all accompanying mitigating and remedial measures and benefit-sharing agreements. As such, it is the main instrument ensuring that at the project level the indigenous peoples’ priorities for economic, social and cultural development and environmental protection are promoted, as duly informed by their traditional cultures, knowledge and practices. It is fundamental to the exercise of their inherent right to self-determination. In those cases where the host government has already approved the project considered by the EIB for financing, the promoter will nonetheless need to verify, by way of the FPIC process, the levels and nature of free, prior and informed consent to the undertaking by the indigenous peoples concerned, as well as the adequacy and compliance with EIB standards of the mitigation measures and benefit-sharing arrangements proposed.</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(EIB, ESH, ESS 7, para. 32))</w:t>
            </w:r>
          </w:p>
          <w:p w14:paraId="75791032" w14:textId="77777777" w:rsidR="00CF59E1" w:rsidRPr="00D04661" w:rsidRDefault="00CF59E1" w:rsidP="00CF59E1">
            <w:pPr>
              <w:spacing w:after="120"/>
              <w:rPr>
                <w:rFonts w:asciiTheme="minorHAnsi" w:hAnsiTheme="minorHAnsi" w:cs="Arial"/>
              </w:rPr>
            </w:pPr>
            <w:r>
              <w:rPr>
                <w:rFonts w:asciiTheme="minorHAnsi" w:hAnsiTheme="minorHAnsi" w:cs="Arial"/>
                <w:i/>
                <w:iCs/>
              </w:rPr>
              <w:t>“</w:t>
            </w:r>
            <w:r w:rsidRPr="00D04661">
              <w:rPr>
                <w:rFonts w:asciiTheme="minorHAnsi" w:hAnsiTheme="minorHAnsi" w:cs="Arial"/>
                <w:i/>
                <w:iCs/>
              </w:rPr>
              <w:t xml:space="preserve">Free, prior and informed engagement </w:t>
            </w:r>
            <w:r w:rsidRPr="00D04661">
              <w:rPr>
                <w:rFonts w:asciiTheme="minorHAnsi" w:hAnsiTheme="minorHAnsi" w:cs="Arial"/>
              </w:rPr>
              <w:t xml:space="preserve">defines a practice of public consultation and </w:t>
            </w:r>
            <w:r w:rsidRPr="00C45CB6">
              <w:rPr>
                <w:rFonts w:asciiTheme="minorHAnsi" w:hAnsiTheme="minorHAnsi" w:cs="Arial"/>
              </w:rPr>
              <w:t xml:space="preserve">participation that is: (a). free from external manipulation, interference, or coercion, and intimidation; (b). based on prior disclosure and dissemination of information; (c). undertaken on an informed basis with information that is relevant, transparent, objective, meaningful, and easily accessible in culturally appropriate local language(s), and format that is understandable to the affected individuals and communities; (d). takes into account and is responsive to the needs, rights and interests of both women and men, if necessary through separate forums and engagements; and, e. includes targeted capacity building and/or other assistance as necessary to </w:t>
            </w:r>
            <w:r w:rsidRPr="00D04661">
              <w:rPr>
                <w:rFonts w:asciiTheme="minorHAnsi" w:hAnsiTheme="minorHAnsi" w:cs="Arial"/>
              </w:rPr>
              <w:t>empower impacted individuals and communities, in particular those who are vulnerable and marginalised, to fully and effectively participate in engagement and consultation processes.</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EIB, ESH, ESS 10, para. 6)</w:t>
            </w:r>
          </w:p>
          <w:p w14:paraId="406F3A49" w14:textId="77777777" w:rsidR="00CF59E1" w:rsidRPr="00D04661" w:rsidRDefault="00CF59E1" w:rsidP="00CF59E1">
            <w:pPr>
              <w:spacing w:after="120"/>
              <w:rPr>
                <w:rFonts w:asciiTheme="minorHAnsi" w:hAnsiTheme="minorHAnsi" w:cs="Arial"/>
              </w:rPr>
            </w:pPr>
            <w:r>
              <w:rPr>
                <w:rFonts w:asciiTheme="minorHAnsi" w:hAnsiTheme="minorHAnsi" w:cs="Arial"/>
                <w:i/>
                <w:iCs/>
              </w:rPr>
              <w:t>“</w:t>
            </w:r>
            <w:r w:rsidRPr="00D04661">
              <w:rPr>
                <w:rFonts w:asciiTheme="minorHAnsi" w:hAnsiTheme="minorHAnsi" w:cs="Arial"/>
                <w:i/>
                <w:iCs/>
              </w:rPr>
              <w:t xml:space="preserve">Free, prior and informed consent </w:t>
            </w:r>
            <w:r w:rsidRPr="00D04661">
              <w:rPr>
                <w:rFonts w:asciiTheme="minorHAnsi" w:hAnsiTheme="minorHAnsi" w:cs="Arial"/>
              </w:rPr>
              <w:t>(FPIC) should not be confused with the aforementioned practice of free, prior, informed engagement. FPIC is a specific right for indigenous peoples as recognised in the United Nations Declaration on the Rights of Indigenous Peoples (UNDRIP) and ILO Convention 169/1989. It is triggered by specific circumstances and strictly defined project impacts, as elaborated in Standard 7.</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EIB, ESH, ESS 10, para. 7</w:t>
            </w:r>
            <w:r w:rsidRPr="00D04661">
              <w:rPr>
                <w:rFonts w:asciiTheme="minorHAnsi" w:hAnsiTheme="minorHAnsi" w:cs="Arial"/>
              </w:rPr>
              <w:t>)</w:t>
            </w:r>
            <w:r w:rsidRPr="00D04661">
              <w:rPr>
                <w:rStyle w:val="FootnoteReference"/>
                <w:rFonts w:asciiTheme="minorHAnsi" w:hAnsiTheme="minorHAnsi" w:cs="Arial"/>
              </w:rPr>
              <w:footnoteReference w:id="244"/>
            </w:r>
            <w:r w:rsidRPr="00D04661">
              <w:rPr>
                <w:rFonts w:asciiTheme="minorHAnsi" w:hAnsiTheme="minorHAnsi" w:cs="Arial"/>
              </w:rPr>
              <w:t xml:space="preserve"> </w:t>
            </w:r>
          </w:p>
          <w:p w14:paraId="061BE08F" w14:textId="77777777" w:rsidR="00CF59E1" w:rsidRPr="00D04661" w:rsidRDefault="00CF59E1" w:rsidP="00CF59E1">
            <w:pPr>
              <w:spacing w:after="120"/>
              <w:rPr>
                <w:rFonts w:asciiTheme="minorHAnsi" w:hAnsiTheme="minorHAnsi" w:cs="Arial"/>
              </w:rPr>
            </w:pPr>
            <w:r>
              <w:rPr>
                <w:rFonts w:asciiTheme="minorHAnsi" w:hAnsiTheme="minorHAnsi" w:cs="Arial"/>
              </w:rPr>
              <w:t>“</w:t>
            </w:r>
            <w:r w:rsidRPr="00D04661">
              <w:rPr>
                <w:rFonts w:asciiTheme="minorHAnsi" w:hAnsiTheme="minorHAnsi" w:cs="Arial"/>
              </w:rPr>
              <w:t>The borrower or client is responsible for conducting and providing evidence of meaningful consultation (i.e., consultation that is free, prior and informed) with communities likely to be affected by environmental and social impacts, and with local stakeholders, and also for ensuring broad community support, especially for Category 1 projects and for projects affecting indigenous peoples.</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AfDB</w:t>
            </w:r>
            <w:r w:rsidRPr="00D04661">
              <w:rPr>
                <w:rFonts w:asciiTheme="minorHAnsi" w:hAnsiTheme="minorHAnsi" w:cs="Arial"/>
              </w:rPr>
              <w:t>)</w:t>
            </w:r>
          </w:p>
          <w:p w14:paraId="76827FD9" w14:textId="77777777" w:rsidR="00CF59E1" w:rsidRPr="00D04661" w:rsidRDefault="00CF59E1" w:rsidP="00CF59E1">
            <w:pPr>
              <w:spacing w:after="120"/>
              <w:rPr>
                <w:rFonts w:asciiTheme="minorHAnsi" w:hAnsiTheme="minorHAnsi" w:cs="Arial"/>
              </w:rPr>
            </w:pPr>
            <w:r>
              <w:rPr>
                <w:rFonts w:asciiTheme="minorHAnsi" w:hAnsiTheme="minorHAnsi" w:cs="Arial"/>
              </w:rPr>
              <w:t>“</w:t>
            </w:r>
            <w:r w:rsidRPr="00D04661">
              <w:rPr>
                <w:rFonts w:asciiTheme="minorHAnsi" w:hAnsiTheme="minorHAnsi" w:cs="Arial"/>
              </w:rPr>
              <w:t>Consultation is based on stakeholder analysis and is preceded by disclosure of adequate project information and environmental and social information to ensure that participants are fully informed. It begins at an early stage during project preparation and continues as needed. It is conducted in a timely manner in the context of key project preparation steps, in an appropriate language, and in an accessible place. The results of the consultation are adequately reflected in the project design and in the project documentation.</w:t>
            </w:r>
            <w:r>
              <w:rPr>
                <w:rFonts w:asciiTheme="minorHAnsi" w:hAnsiTheme="minorHAnsi" w:cs="Arial"/>
              </w:rPr>
              <w:t>”</w:t>
            </w:r>
            <w:r w:rsidRPr="00D04661">
              <w:rPr>
                <w:rFonts w:asciiTheme="minorHAnsi" w:hAnsiTheme="minorHAnsi" w:cs="Arial"/>
              </w:rPr>
              <w:t xml:space="preserve"> (</w:t>
            </w:r>
            <w:r w:rsidRPr="00D04661">
              <w:rPr>
                <w:rFonts w:asciiTheme="minorHAnsi" w:hAnsiTheme="minorHAnsi" w:cs="Arial"/>
                <w:b/>
              </w:rPr>
              <w:t>AfDB, OS 1, para. 46)</w:t>
            </w:r>
          </w:p>
          <w:p w14:paraId="076FA6FD" w14:textId="77777777" w:rsidR="00CF59E1" w:rsidRPr="00D04661" w:rsidRDefault="00CF59E1" w:rsidP="00CF59E1">
            <w:pPr>
              <w:spacing w:after="120"/>
              <w:rPr>
                <w:rFonts w:asciiTheme="minorHAnsi" w:eastAsia="Times New Roman" w:hAnsiTheme="minorHAnsi" w:cs="Calibri"/>
                <w:color w:val="00B050"/>
              </w:rPr>
            </w:pPr>
            <w:r>
              <w:rPr>
                <w:rFonts w:asciiTheme="minorHAnsi" w:hAnsiTheme="minorHAnsi" w:cs="Arial"/>
              </w:rPr>
              <w:t>“</w:t>
            </w:r>
            <w:r w:rsidRPr="00D04661">
              <w:rPr>
                <w:rFonts w:asciiTheme="minorHAnsi" w:hAnsiTheme="minorHAnsi" w:cs="Arial"/>
              </w:rPr>
              <w:t>The purpose of the consultation is to assess, present, and agree with communities on acceptable financial and nonfinancial compensatory</w:t>
            </w:r>
            <w:r w:rsidRPr="00D04661">
              <w:rPr>
                <w:rFonts w:asciiTheme="minorHAnsi" w:hAnsiTheme="minorHAnsi" w:cs="Arial"/>
                <w:color w:val="000000"/>
              </w:rPr>
              <w:t xml:space="preserve"> measures [with respect to cultural resources].</w:t>
            </w:r>
            <w:r>
              <w:rPr>
                <w:rFonts w:asciiTheme="minorHAnsi" w:hAnsiTheme="minorHAnsi" w:cs="Arial"/>
                <w:color w:val="000000"/>
              </w:rPr>
              <w:t>”</w:t>
            </w:r>
            <w:r w:rsidRPr="00D04661">
              <w:rPr>
                <w:rFonts w:asciiTheme="minorHAnsi" w:hAnsiTheme="minorHAnsi" w:cs="Arial"/>
                <w:color w:val="000000"/>
              </w:rPr>
              <w:t xml:space="preserve"> (</w:t>
            </w:r>
            <w:r w:rsidRPr="00D04661">
              <w:rPr>
                <w:rFonts w:asciiTheme="minorHAnsi" w:hAnsiTheme="minorHAnsi" w:cs="Arial"/>
                <w:b/>
                <w:color w:val="000000"/>
              </w:rPr>
              <w:t>AfDB, OS 1, para. 41</w:t>
            </w:r>
            <w:r w:rsidRPr="00D04661">
              <w:rPr>
                <w:rFonts w:asciiTheme="minorHAnsi" w:hAnsiTheme="minorHAnsi" w:cs="Arial"/>
                <w:color w:val="000000"/>
              </w:rPr>
              <w:t>)</w:t>
            </w:r>
          </w:p>
        </w:tc>
      </w:tr>
      <w:tr w:rsidR="00CF59E1" w:rsidRPr="00D8522E" w14:paraId="40AD0860" w14:textId="77777777" w:rsidTr="00CF59E1">
        <w:tc>
          <w:tcPr>
            <w:tcW w:w="6390" w:type="dxa"/>
            <w:shd w:val="clear" w:color="auto" w:fill="auto"/>
            <w:vAlign w:val="center"/>
          </w:tcPr>
          <w:p w14:paraId="1F6E3658"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 xml:space="preserve">COMMERCIAL DEVELOPMENT OF NATURAL </w:t>
            </w:r>
            <w:r w:rsidRPr="00BB73FD">
              <w:rPr>
                <w:rFonts w:asciiTheme="minorHAnsi" w:eastAsia="Times New Roman" w:hAnsiTheme="minorHAnsi" w:cs="Calibri"/>
                <w:b/>
              </w:rPr>
              <w:t xml:space="preserve">AND CULTURAL RESOURCES </w:t>
            </w:r>
          </w:p>
          <w:p w14:paraId="622792D3" w14:textId="77777777" w:rsidR="00CF59E1" w:rsidRPr="00D04661" w:rsidRDefault="00CF59E1" w:rsidP="00CF59E1">
            <w:pPr>
              <w:tabs>
                <w:tab w:val="left" w:pos="0"/>
              </w:tabs>
              <w:autoSpaceDE/>
              <w:autoSpaceDN/>
              <w:adjustRightInd/>
              <w:spacing w:after="120"/>
              <w:rPr>
                <w:rFonts w:asciiTheme="minorHAnsi" w:eastAsia="Times New Roman" w:hAnsiTheme="minorHAnsi" w:cs="Arial"/>
              </w:rPr>
            </w:pPr>
            <w:r w:rsidRPr="00D04661">
              <w:rPr>
                <w:rFonts w:asciiTheme="minorHAnsi" w:eastAsia="Times New Roman" w:hAnsiTheme="minorHAnsi" w:cs="Arial"/>
              </w:rPr>
              <w:t>OP 4.10, para. 18. If the project involves the commercial development of natural resources (such as minerals, hydrocarbon resources, forests, water, or hunting/fishing grounds) on lands or territories that Indigenous Peoples traditionally owned, or customarily used or occupied, the borrower ensures that as part of the free, prior, and informed consultation process the affected communities are informed of (a) their rights to such resources under statutory and customary law; (b) the scope and nature of the proposed commercial development and the parties interested or involved in such development; and (c) the potential effects of such development on the Indigenous Peoples’ livelihoods, environments, and use of such resources. The borrower includes in the IPP arrangements to enable the Indigenous Peoples to share equitably in the benefits</w:t>
            </w:r>
            <w:hyperlink r:id="rId46" w:anchor="F18" w:history="1">
              <w:r w:rsidRPr="00D04661">
                <w:rPr>
                  <w:rFonts w:asciiTheme="minorHAnsi" w:eastAsia="Times New Roman" w:hAnsiTheme="minorHAnsi" w:cs="Arial"/>
                  <w:u w:val="single"/>
                  <w:vertAlign w:val="superscript"/>
                </w:rPr>
                <w:t>18</w:t>
              </w:r>
            </w:hyperlink>
            <w:r w:rsidRPr="00D04661">
              <w:rPr>
                <w:rFonts w:asciiTheme="minorHAnsi" w:eastAsia="Times New Roman" w:hAnsiTheme="minorHAnsi" w:cs="Arial"/>
              </w:rPr>
              <w:t xml:space="preserve"> to be derived from such commercial development; at a minimum, the IPP arrangements must ensure that the Indigenous Peoples receive, in a culturally appropriate manner, benefits, compensation, and rights to due process at least equivalent to that to which any landowner with full legal title to the land would be entitled in the case of commercial development on their land.</w:t>
            </w:r>
          </w:p>
          <w:p w14:paraId="2338A616" w14:textId="77777777" w:rsidR="00CF59E1" w:rsidRPr="00D04661" w:rsidRDefault="00CF59E1" w:rsidP="00CF59E1">
            <w:pPr>
              <w:tabs>
                <w:tab w:val="left" w:pos="0"/>
              </w:tabs>
              <w:autoSpaceDE/>
              <w:autoSpaceDN/>
              <w:adjustRightInd/>
              <w:spacing w:after="120"/>
              <w:rPr>
                <w:rFonts w:asciiTheme="minorHAnsi" w:eastAsia="Times New Roman" w:hAnsiTheme="minorHAnsi" w:cs="Times New Roman"/>
              </w:rPr>
            </w:pPr>
            <w:r>
              <w:rPr>
                <w:rFonts w:asciiTheme="minorHAnsi" w:eastAsia="Times New Roman" w:hAnsiTheme="minorHAnsi" w:cs="Times New Roman"/>
              </w:rPr>
              <w:t xml:space="preserve">Para. </w:t>
            </w:r>
            <w:r w:rsidRPr="00D04661">
              <w:rPr>
                <w:rFonts w:asciiTheme="minorHAnsi" w:eastAsia="Times New Roman" w:hAnsiTheme="minorHAnsi" w:cs="Times New Roman"/>
              </w:rPr>
              <w:t xml:space="preserve">19. If the project involves the commercial development of Indigenous Peoples’ cultural resources and knowledge (for example, pharmacological or artistic), the borrower ensures that as part of the free, prior, and informed consultation process, the affected communities are informed of (a) their rights to such resources under statutory and customary law; (b) the scope and nature of the proposed commercial development and the parties interested or involved in such development; and (c) the potential effects of such development on Indigenous Peoples’ livelihoods, environments, and use of such resources. </w:t>
            </w:r>
            <w:r w:rsidRPr="00D04661">
              <w:rPr>
                <w:rFonts w:asciiTheme="minorHAnsi" w:eastAsia="Times New Roman" w:hAnsiTheme="minorHAnsi" w:cs="Times New Roman"/>
                <w:i/>
              </w:rPr>
              <w:t xml:space="preserve">Commercial development of the cultural resources and knowledge of these Indigenous Peoples is conditional upon their </w:t>
            </w:r>
            <w:r w:rsidRPr="00D04661">
              <w:rPr>
                <w:rFonts w:asciiTheme="minorHAnsi" w:eastAsia="Times New Roman" w:hAnsiTheme="minorHAnsi" w:cs="Times New Roman"/>
                <w:b/>
                <w:i/>
              </w:rPr>
              <w:t>prior agreement</w:t>
            </w:r>
            <w:r w:rsidRPr="00D04661">
              <w:rPr>
                <w:rFonts w:asciiTheme="minorHAnsi" w:eastAsia="Times New Roman" w:hAnsiTheme="minorHAnsi" w:cs="Times New Roman"/>
                <w:i/>
              </w:rPr>
              <w:t xml:space="preserve"> to such development</w:t>
            </w:r>
            <w:r w:rsidRPr="00D04661">
              <w:rPr>
                <w:rFonts w:asciiTheme="minorHAnsi" w:eastAsia="Times New Roman" w:hAnsiTheme="minorHAnsi" w:cs="Times New Roman"/>
              </w:rPr>
              <w:t xml:space="preserve"> (emphasis added).</w:t>
            </w:r>
            <w:r w:rsidRPr="00D04661">
              <w:rPr>
                <w:rStyle w:val="FootnoteReference"/>
                <w:rFonts w:asciiTheme="minorHAnsi" w:eastAsia="Times New Roman" w:hAnsiTheme="minorHAnsi" w:cs="Times New Roman"/>
              </w:rPr>
              <w:footnoteReference w:id="245"/>
            </w:r>
            <w:r w:rsidRPr="00D04661">
              <w:rPr>
                <w:rFonts w:asciiTheme="minorHAnsi" w:eastAsia="Times New Roman" w:hAnsiTheme="minorHAnsi" w:cs="Times New Roman"/>
              </w:rPr>
              <w:t xml:space="preserve">  The IPP reflects the nature and content of such agreements and includes arrangements to enable Indigenous Peoples to receive benefits in a culturally appropriate way and share equitably in the benefits to be derived from such commercial development.</w:t>
            </w:r>
          </w:p>
        </w:tc>
        <w:tc>
          <w:tcPr>
            <w:tcW w:w="7200" w:type="dxa"/>
            <w:shd w:val="clear" w:color="auto" w:fill="auto"/>
          </w:tcPr>
          <w:p w14:paraId="4F485004" w14:textId="77777777" w:rsidR="00CF59E1" w:rsidRPr="00D04661" w:rsidRDefault="00CF59E1" w:rsidP="00CF59E1">
            <w:pPr>
              <w:autoSpaceDE/>
              <w:autoSpaceDN/>
              <w:adjustRightInd/>
              <w:spacing w:after="120"/>
              <w:rPr>
                <w:rFonts w:asciiTheme="minorHAnsi" w:eastAsia="Times New Roman" w:hAnsiTheme="minorHAnsi" w:cs="Calibri"/>
              </w:rPr>
            </w:pPr>
            <w:r w:rsidRPr="00D04661">
              <w:rPr>
                <w:rFonts w:asciiTheme="minorHAnsi" w:eastAsia="Times New Roman" w:hAnsiTheme="minorHAnsi" w:cs="Calibri"/>
              </w:rPr>
              <w:t xml:space="preserve">The borrower must </w:t>
            </w:r>
            <w:r>
              <w:rPr>
                <w:rFonts w:asciiTheme="minorHAnsi" w:eastAsia="Times New Roman" w:hAnsiTheme="minorHAnsi" w:cs="Calibri"/>
              </w:rPr>
              <w:t>“</w:t>
            </w:r>
            <w:r w:rsidRPr="00D04661">
              <w:rPr>
                <w:rFonts w:asciiTheme="minorHAnsi" w:eastAsia="Times New Roman" w:hAnsiTheme="minorHAnsi" w:cs="Calibri"/>
              </w:rPr>
              <w:t xml:space="preserve">ascertain the </w:t>
            </w:r>
            <w:r w:rsidRPr="00D04661">
              <w:rPr>
                <w:rFonts w:asciiTheme="minorHAnsi" w:eastAsia="Times New Roman" w:hAnsiTheme="minorHAnsi" w:cs="Calibri"/>
                <w:i/>
              </w:rPr>
              <w:t>consent</w:t>
            </w:r>
            <w:r w:rsidRPr="00D04661">
              <w:rPr>
                <w:rFonts w:asciiTheme="minorHAnsi" w:eastAsia="Times New Roman" w:hAnsiTheme="minorHAnsi" w:cs="Calibri"/>
                <w:i/>
                <w:vertAlign w:val="superscript"/>
              </w:rPr>
              <w:footnoteReference w:id="246"/>
            </w:r>
            <w:r w:rsidRPr="00D04661">
              <w:rPr>
                <w:rFonts w:asciiTheme="minorHAnsi" w:eastAsia="Times New Roman" w:hAnsiTheme="minorHAnsi" w:cs="Calibri"/>
              </w:rPr>
              <w:t xml:space="preserve"> of affected [IP] communities</w:t>
            </w:r>
            <w:r>
              <w:rPr>
                <w:rFonts w:asciiTheme="minorHAnsi" w:eastAsia="Times New Roman" w:hAnsiTheme="minorHAnsi" w:cs="Calibri"/>
              </w:rPr>
              <w:t>”</w:t>
            </w:r>
            <w:r w:rsidRPr="00D04661">
              <w:rPr>
                <w:rFonts w:asciiTheme="minorHAnsi" w:eastAsia="Times New Roman" w:hAnsiTheme="minorHAnsi" w:cs="Calibri"/>
              </w:rPr>
              <w:t xml:space="preserve"> where such commercial development would </w:t>
            </w:r>
            <w:r>
              <w:rPr>
                <w:rFonts w:asciiTheme="minorHAnsi" w:eastAsia="Times New Roman" w:hAnsiTheme="minorHAnsi" w:cs="Calibri"/>
              </w:rPr>
              <w:t>“</w:t>
            </w:r>
            <w:r w:rsidRPr="00D04661">
              <w:rPr>
                <w:rFonts w:asciiTheme="minorHAnsi" w:eastAsia="Times New Roman" w:hAnsiTheme="minorHAnsi" w:cs="Calibri"/>
              </w:rPr>
              <w:t>impact the livelihoods…of [IPs].</w:t>
            </w:r>
            <w:r>
              <w:rPr>
                <w:rFonts w:asciiTheme="minorHAnsi" w:eastAsia="Times New Roman" w:hAnsiTheme="minorHAnsi" w:cs="Calibri"/>
              </w:rPr>
              <w:t>”</w:t>
            </w:r>
            <w:r w:rsidRPr="00D04661">
              <w:rPr>
                <w:rFonts w:asciiTheme="minorHAnsi" w:eastAsia="Times New Roman" w:hAnsiTheme="minorHAnsi" w:cs="Calibri"/>
              </w:rPr>
              <w:t xml:space="preserve"> (</w:t>
            </w:r>
            <w:r w:rsidRPr="00494D97">
              <w:rPr>
                <w:rFonts w:asciiTheme="minorHAnsi" w:eastAsia="Times New Roman" w:hAnsiTheme="minorHAnsi" w:cs="Calibri"/>
              </w:rPr>
              <w:t>emphasis</w:t>
            </w:r>
            <w:r w:rsidRPr="00D04661">
              <w:rPr>
                <w:rFonts w:asciiTheme="minorHAnsi" w:eastAsia="Times New Roman" w:hAnsiTheme="minorHAnsi" w:cs="Calibri"/>
                <w:i/>
              </w:rPr>
              <w:t xml:space="preserve"> </w:t>
            </w:r>
            <w:r w:rsidRPr="00D04661">
              <w:rPr>
                <w:rFonts w:asciiTheme="minorHAnsi" w:eastAsia="Times New Roman" w:hAnsiTheme="minorHAnsi" w:cs="Calibri"/>
              </w:rPr>
              <w:t>added)</w:t>
            </w:r>
            <w:r w:rsidRPr="00D04661">
              <w:rPr>
                <w:rFonts w:asciiTheme="minorHAnsi" w:eastAsia="Times New Roman" w:hAnsiTheme="minorHAnsi" w:cs="Calibri"/>
                <w:vertAlign w:val="superscript"/>
              </w:rPr>
              <w:footnoteReference w:id="247"/>
            </w:r>
            <w:r w:rsidRPr="00D04661">
              <w:rPr>
                <w:rFonts w:asciiTheme="minorHAnsi" w:eastAsia="Times New Roman" w:hAnsiTheme="minorHAnsi" w:cs="Calibri"/>
              </w:rPr>
              <w:t xml:space="preserve"> (</w:t>
            </w:r>
            <w:r w:rsidRPr="00D04661">
              <w:rPr>
                <w:rFonts w:asciiTheme="minorHAnsi" w:eastAsia="Times New Roman" w:hAnsiTheme="minorHAnsi" w:cs="Calibri"/>
                <w:b/>
              </w:rPr>
              <w:t>ADB, SPS, Appendix 3, para. 35</w:t>
            </w:r>
            <w:r w:rsidRPr="00D04661">
              <w:rPr>
                <w:rFonts w:asciiTheme="minorHAnsi" w:eastAsia="Times New Roman" w:hAnsiTheme="minorHAnsi" w:cs="Calibri"/>
              </w:rPr>
              <w:t>)</w:t>
            </w:r>
          </w:p>
          <w:p w14:paraId="243281DF" w14:textId="77777777" w:rsidR="00CF59E1" w:rsidRPr="00D8522E" w:rsidRDefault="00CF59E1" w:rsidP="00CF59E1">
            <w:pPr>
              <w:spacing w:after="120"/>
              <w:rPr>
                <w:rFonts w:asciiTheme="minorHAnsi" w:eastAsia="Times New Roman" w:hAnsiTheme="minorHAnsi" w:cs="Calibri"/>
              </w:rPr>
            </w:pPr>
            <w:r>
              <w:rPr>
                <w:rFonts w:asciiTheme="minorHAnsi" w:hAnsiTheme="minorHAnsi" w:cs="Times New Roman"/>
                <w:i/>
                <w:iCs/>
              </w:rPr>
              <w:t>“</w:t>
            </w:r>
            <w:r w:rsidRPr="00A56233">
              <w:rPr>
                <w:rFonts w:asciiTheme="minorHAnsi" w:hAnsiTheme="minorHAnsi" w:cs="Times New Roman"/>
                <w:i/>
                <w:iCs/>
              </w:rPr>
              <w:t>Territories, land, and natural resources</w:t>
            </w:r>
            <w:r w:rsidRPr="00A56233">
              <w:rPr>
                <w:rFonts w:asciiTheme="minorHAnsi" w:hAnsiTheme="minorHAnsi" w:cs="Times New Roman"/>
              </w:rPr>
              <w:t>. Operations that directly or indirectly affect the legal status, possession, or management</w:t>
            </w:r>
            <w:r w:rsidRPr="000F0C7E">
              <w:rPr>
                <w:rFonts w:asciiTheme="minorHAnsi" w:hAnsiTheme="minorHAnsi" w:cs="Times New Roman"/>
              </w:rPr>
              <w:t xml:space="preserve"> of territories, lands, or natural resources traditionally occupied or used by indigenous peoples will include specific safeguards, consistent with the applicable legal framework regarding ecosystem and land protection. One of those safeguards is respect for the rights recognized in accordance with the applicable legal norms. In projects for natural resource extraction and management and protected areas management, safeguards include: (i) prior consultation mechanisms to preserve the physical, cultural, and economic integrity of the affected peoples and the sustainability of the protected areas and natural resources; (ii) mechanisms for the participation of indigenous peoples in the utilization, administration and conservation of these resources; (iii) fair </w:t>
            </w:r>
            <w:r w:rsidRPr="00D8522E">
              <w:rPr>
                <w:rFonts w:asciiTheme="minorHAnsi" w:hAnsiTheme="minorHAnsi" w:cs="Times New Roman"/>
              </w:rPr>
              <w:t>compensation for any damage these peoples might</w:t>
            </w:r>
            <w:r w:rsidRPr="00D04661">
              <w:rPr>
                <w:rFonts w:asciiTheme="minorHAnsi" w:hAnsiTheme="minorHAnsi" w:cs="Times New Roman"/>
              </w:rPr>
              <w:t xml:space="preserve"> </w:t>
            </w:r>
            <w:r w:rsidRPr="00A56233">
              <w:rPr>
                <w:rFonts w:asciiTheme="minorHAnsi" w:hAnsiTheme="minorHAnsi" w:cs="Times New Roman"/>
              </w:rPr>
              <w:t>suffer as a result of the project; and (iv) whenever possible, participation in project benefits. Where legal or administrative protection is insufficient to ensure that the project will not directly or indir</w:t>
            </w:r>
            <w:r w:rsidRPr="000F0C7E">
              <w:rPr>
                <w:rFonts w:asciiTheme="minorHAnsi" w:hAnsiTheme="minorHAnsi" w:cs="Times New Roman"/>
              </w:rPr>
              <w:t>ectly cause the deterioration of the physical integrity or legal status of the affected lands, territories or resources, the project will include the pertinent restrictions or corrective or compensatory measures.</w:t>
            </w:r>
            <w:r>
              <w:rPr>
                <w:rFonts w:asciiTheme="minorHAnsi" w:hAnsiTheme="minorHAnsi" w:cs="Arial"/>
              </w:rPr>
              <w:t>”</w:t>
            </w:r>
            <w:r w:rsidRPr="000F0C7E">
              <w:rPr>
                <w:rFonts w:asciiTheme="minorHAnsi" w:hAnsiTheme="minorHAnsi" w:cs="Arial"/>
              </w:rPr>
              <w:t xml:space="preserve"> (</w:t>
            </w:r>
            <w:r w:rsidRPr="00D8522E">
              <w:rPr>
                <w:rFonts w:asciiTheme="minorHAnsi" w:hAnsiTheme="minorHAnsi" w:cs="Arial"/>
                <w:b/>
              </w:rPr>
              <w:t xml:space="preserve">IDB, Policy on Indigenous Peoples, </w:t>
            </w:r>
            <w:r>
              <w:rPr>
                <w:rFonts w:asciiTheme="minorHAnsi" w:hAnsiTheme="minorHAnsi" w:cs="Arial"/>
                <w:b/>
              </w:rPr>
              <w:t xml:space="preserve">para. </w:t>
            </w:r>
            <w:r w:rsidRPr="00D8522E">
              <w:rPr>
                <w:rFonts w:asciiTheme="minorHAnsi" w:hAnsiTheme="minorHAnsi" w:cs="Arial"/>
                <w:b/>
              </w:rPr>
              <w:t>4.4. (b)</w:t>
            </w:r>
            <w:r w:rsidRPr="00D8522E">
              <w:rPr>
                <w:rFonts w:asciiTheme="minorHAnsi" w:hAnsiTheme="minorHAnsi" w:cs="Arial"/>
                <w:bCs/>
              </w:rPr>
              <w:t>)</w:t>
            </w:r>
          </w:p>
        </w:tc>
      </w:tr>
      <w:tr w:rsidR="00CF59E1" w:rsidRPr="00D8522E" w14:paraId="1843A51B" w14:textId="77777777" w:rsidTr="00CF59E1">
        <w:tc>
          <w:tcPr>
            <w:tcW w:w="6390" w:type="dxa"/>
            <w:vMerge w:val="restart"/>
            <w:shd w:val="clear" w:color="auto" w:fill="auto"/>
            <w:vAlign w:val="center"/>
          </w:tcPr>
          <w:p w14:paraId="492725D6"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INDIGENOUS PEOPLES PLANS (IPPS)/IPP INPUTS</w:t>
            </w:r>
          </w:p>
          <w:p w14:paraId="7DE37035" w14:textId="77777777" w:rsidR="00CF59E1" w:rsidRPr="00BB73FD" w:rsidRDefault="00CF59E1" w:rsidP="00CF59E1">
            <w:pPr>
              <w:tabs>
                <w:tab w:val="left" w:pos="990"/>
              </w:tabs>
              <w:autoSpaceDE/>
              <w:autoSpaceDN/>
              <w:adjustRightInd/>
              <w:spacing w:after="120"/>
              <w:rPr>
                <w:rFonts w:asciiTheme="minorHAnsi" w:hAnsiTheme="minorHAnsi" w:cs="Arial"/>
              </w:rPr>
            </w:pPr>
            <w:r w:rsidRPr="00D04661">
              <w:rPr>
                <w:rFonts w:asciiTheme="minorHAnsi" w:hAnsiTheme="minorHAnsi" w:cs="Arial"/>
              </w:rPr>
              <w:t>OP 4.10 12.</w:t>
            </w:r>
            <w:r w:rsidRPr="00D04661">
              <w:rPr>
                <w:rFonts w:asciiTheme="minorHAnsi" w:hAnsiTheme="minorHAnsi" w:cs="Arial"/>
              </w:rPr>
              <w:tab/>
            </w:r>
            <w:r w:rsidRPr="00D04661">
              <w:rPr>
                <w:rFonts w:asciiTheme="minorHAnsi" w:hAnsiTheme="minorHAnsi" w:cs="Arial"/>
                <w:i/>
                <w:iCs/>
              </w:rPr>
              <w:t>Indigenous Peoples Plan.</w:t>
            </w:r>
            <w:r w:rsidRPr="00D04661">
              <w:rPr>
                <w:rFonts w:asciiTheme="minorHAnsi" w:hAnsiTheme="minorHAnsi" w:cs="Arial"/>
              </w:rPr>
              <w:t xml:space="preserve"> On the basis of the social assessment and in consultation with the affected Indigenous Peoples’ communities</w:t>
            </w:r>
            <w:r w:rsidRPr="00BB73FD">
              <w:rPr>
                <w:rFonts w:asciiTheme="minorHAnsi" w:hAnsiTheme="minorHAnsi" w:cs="Arial"/>
              </w:rPr>
              <w:t>, the borrower prepares an Indigenous Peoples Plan</w:t>
            </w:r>
          </w:p>
          <w:p w14:paraId="1954AFEC" w14:textId="77777777" w:rsidR="00CF59E1" w:rsidRPr="00BB73FD" w:rsidRDefault="00CF59E1" w:rsidP="00CF59E1">
            <w:pPr>
              <w:tabs>
                <w:tab w:val="left" w:pos="990"/>
              </w:tabs>
              <w:autoSpaceDE/>
              <w:autoSpaceDN/>
              <w:adjustRightInd/>
              <w:spacing w:after="120"/>
              <w:rPr>
                <w:rFonts w:asciiTheme="minorHAnsi" w:eastAsia="Times New Roman" w:hAnsiTheme="minorHAnsi" w:cs="Calibri"/>
              </w:rPr>
            </w:pPr>
            <w:r w:rsidRPr="00BB73FD">
              <w:rPr>
                <w:rFonts w:asciiTheme="minorHAnsi" w:eastAsia="Times New Roman" w:hAnsiTheme="minorHAnsi" w:cs="Calibri"/>
              </w:rPr>
              <w:t>Annex B The Indigenous Peoples Plan (IPP) is prepared in a flexible and pragmatic manner, and its level of detail varies depending on the specific project and the nature of effects to be addressed. The IPP includes the following elements, as needed:</w:t>
            </w:r>
          </w:p>
          <w:p w14:paraId="60ED9E37" w14:textId="77777777" w:rsidR="00CF59E1" w:rsidRPr="00BB73FD" w:rsidRDefault="00CF59E1" w:rsidP="00CF59E1">
            <w:pPr>
              <w:tabs>
                <w:tab w:val="left" w:pos="990"/>
              </w:tabs>
              <w:autoSpaceDE/>
              <w:autoSpaceDN/>
              <w:adjustRightInd/>
              <w:spacing w:after="120"/>
              <w:rPr>
                <w:rFonts w:asciiTheme="minorHAnsi" w:eastAsia="Times New Roman" w:hAnsiTheme="minorHAnsi" w:cs="Calibri"/>
              </w:rPr>
            </w:pPr>
            <w:r w:rsidRPr="00BB73FD">
              <w:rPr>
                <w:rFonts w:asciiTheme="minorHAnsi" w:eastAsia="Times New Roman" w:hAnsiTheme="minorHAnsi" w:cs="Calibri"/>
              </w:rPr>
              <w:t>(a)  A summary of the information referred to in Annex A, paragraph 2 (a) and (b).</w:t>
            </w:r>
          </w:p>
          <w:p w14:paraId="16DB87A3" w14:textId="77777777" w:rsidR="00CF59E1" w:rsidRPr="00BB73FD" w:rsidRDefault="00CF59E1" w:rsidP="00CF59E1">
            <w:pPr>
              <w:tabs>
                <w:tab w:val="left" w:pos="990"/>
              </w:tabs>
              <w:autoSpaceDE/>
              <w:autoSpaceDN/>
              <w:adjustRightInd/>
              <w:spacing w:after="120"/>
              <w:rPr>
                <w:rFonts w:asciiTheme="minorHAnsi" w:eastAsia="Times New Roman" w:hAnsiTheme="minorHAnsi" w:cs="Calibri"/>
              </w:rPr>
            </w:pPr>
            <w:r w:rsidRPr="00BB73FD">
              <w:rPr>
                <w:rFonts w:asciiTheme="minorHAnsi" w:eastAsia="Times New Roman" w:hAnsiTheme="minorHAnsi" w:cs="Calibri"/>
              </w:rPr>
              <w:t>(b)  A summary of the social assessment.</w:t>
            </w:r>
          </w:p>
          <w:p w14:paraId="7EEF4204" w14:textId="77777777" w:rsidR="00CF59E1" w:rsidRPr="00BB73FD" w:rsidRDefault="00CF59E1" w:rsidP="00CF59E1">
            <w:pPr>
              <w:tabs>
                <w:tab w:val="left" w:pos="990"/>
              </w:tabs>
              <w:autoSpaceDE/>
              <w:autoSpaceDN/>
              <w:adjustRightInd/>
              <w:spacing w:after="120"/>
              <w:rPr>
                <w:rFonts w:asciiTheme="minorHAnsi" w:eastAsia="Times New Roman" w:hAnsiTheme="minorHAnsi" w:cs="Calibri"/>
              </w:rPr>
            </w:pPr>
            <w:r w:rsidRPr="00BB73FD">
              <w:rPr>
                <w:rFonts w:asciiTheme="minorHAnsi" w:eastAsia="Times New Roman" w:hAnsiTheme="minorHAnsi" w:cs="Calibri"/>
              </w:rPr>
              <w:t>(c)  A summary of results of the free, prior, and informed consultation with the affected Indigenous Peoples’ communities that was carried out during project preparation (Annex A) and that led to broad community support for the project.</w:t>
            </w:r>
          </w:p>
          <w:p w14:paraId="3BC4906F" w14:textId="77777777" w:rsidR="00CF59E1" w:rsidRPr="00BB73FD" w:rsidRDefault="00CF59E1" w:rsidP="00CF59E1">
            <w:pPr>
              <w:tabs>
                <w:tab w:val="left" w:pos="990"/>
              </w:tabs>
              <w:autoSpaceDE/>
              <w:autoSpaceDN/>
              <w:adjustRightInd/>
              <w:spacing w:after="120"/>
              <w:rPr>
                <w:rFonts w:asciiTheme="minorHAnsi" w:eastAsia="Times New Roman" w:hAnsiTheme="minorHAnsi" w:cs="Calibri"/>
              </w:rPr>
            </w:pPr>
            <w:r w:rsidRPr="00BB73FD">
              <w:rPr>
                <w:rFonts w:asciiTheme="minorHAnsi" w:eastAsia="Times New Roman" w:hAnsiTheme="minorHAnsi" w:cs="Calibri"/>
              </w:rPr>
              <w:t>(d)  A framework for ensuring free, prior, and informed consultation with the affected Indigenous Peoples’ communities during project implementation (see paragraph 10 of this policy).</w:t>
            </w:r>
          </w:p>
          <w:p w14:paraId="7EE5CB43"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rPr>
            </w:pPr>
            <w:r w:rsidRPr="00C72ED7">
              <w:rPr>
                <w:rFonts w:asciiTheme="minorHAnsi" w:eastAsia="Times New Roman" w:hAnsiTheme="minorHAnsi" w:cs="Calibri"/>
              </w:rPr>
              <w:t>(e</w:t>
            </w:r>
            <w:r w:rsidRPr="00D04661">
              <w:rPr>
                <w:rFonts w:asciiTheme="minorHAnsi" w:eastAsia="Times New Roman" w:hAnsiTheme="minorHAnsi" w:cs="Calibri"/>
              </w:rPr>
              <w:t>)  An action plan of measures to ensure that the Indigenous Peoples receive social and economic benefits that are culturally appropriate, including, if necessary, measures to enhance the capacity of the project implementing agencies.</w:t>
            </w:r>
          </w:p>
          <w:p w14:paraId="50B3BA7B"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rPr>
            </w:pPr>
            <w:r w:rsidRPr="00D04661">
              <w:rPr>
                <w:rFonts w:asciiTheme="minorHAnsi" w:eastAsia="Times New Roman" w:hAnsiTheme="minorHAnsi" w:cs="Calibri"/>
              </w:rPr>
              <w:t>(f)  When potential adverse effects on Indigenous Peoples are identified, an appropriate action plan of measures to avoid, minimize, mitigate, or compensate for these adverse effects.</w:t>
            </w:r>
          </w:p>
          <w:p w14:paraId="1A05E551"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rPr>
            </w:pPr>
            <w:r w:rsidRPr="00D04661">
              <w:rPr>
                <w:rFonts w:asciiTheme="minorHAnsi" w:eastAsia="Times New Roman" w:hAnsiTheme="minorHAnsi" w:cs="Calibri"/>
              </w:rPr>
              <w:t>(g)  The cost estimates and financing plan for the IPP.</w:t>
            </w:r>
          </w:p>
          <w:p w14:paraId="6F3B05BA"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rPr>
            </w:pPr>
            <w:r w:rsidRPr="00D04661">
              <w:rPr>
                <w:rFonts w:asciiTheme="minorHAnsi" w:eastAsia="Times New Roman" w:hAnsiTheme="minorHAnsi" w:cs="Calibri"/>
              </w:rPr>
              <w:t>(h) Accessible procedures appropriate to the project to address grievances by the affected Indigenous Peoples' communities arising from project implementation. When designing the grievance procedures, the borrower takes into account the availability of judicial recourse and customary dispute settlement mechanisms among the Indigenous Peoples.</w:t>
            </w:r>
          </w:p>
          <w:p w14:paraId="46579E57"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rPr>
            </w:pPr>
            <w:r w:rsidRPr="00D04661">
              <w:rPr>
                <w:rFonts w:asciiTheme="minorHAnsi" w:eastAsia="Times New Roman" w:hAnsiTheme="minorHAnsi" w:cs="Calibri"/>
              </w:rPr>
              <w:t>(i) Mechanisms and benchmarks appropriate to the project for monitoring, evaluating, and reporting on the implementation of the IPP. The monitoring and evaluation mechanisms should include arrangements for the free, prior, and informed consultation with the affected Indigenous Peoples’ communities.</w:t>
            </w:r>
          </w:p>
        </w:tc>
        <w:tc>
          <w:tcPr>
            <w:tcW w:w="7200" w:type="dxa"/>
            <w:shd w:val="clear" w:color="auto" w:fill="auto"/>
          </w:tcPr>
          <w:p w14:paraId="2A624D7E"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 xml:space="preserve">The IPP must be prepared with the </w:t>
            </w:r>
            <w:r>
              <w:rPr>
                <w:rFonts w:asciiTheme="minorHAnsi" w:eastAsia="Times New Roman" w:hAnsiTheme="minorHAnsi" w:cs="Calibri"/>
              </w:rPr>
              <w:t>“</w:t>
            </w:r>
            <w:r w:rsidRPr="00D04661">
              <w:rPr>
                <w:rFonts w:asciiTheme="minorHAnsi" w:eastAsia="Times New Roman" w:hAnsiTheme="minorHAnsi" w:cs="Calibri"/>
                <w:i/>
              </w:rPr>
              <w:t>assistance of qualified and experienced experts</w:t>
            </w:r>
            <w:r w:rsidRPr="00D04661">
              <w:rPr>
                <w:rFonts w:asciiTheme="minorHAnsi" w:eastAsia="Times New Roman" w:hAnsiTheme="minorHAnsi" w:cs="Calibri"/>
              </w:rPr>
              <w:t>… that draw on indigenous knowledge and participation by the affected [IP] communities.</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 xml:space="preserve">ADB, SPS, Table 3, para. 6) </w:t>
            </w:r>
            <w:r w:rsidRPr="00D04661">
              <w:rPr>
                <w:rFonts w:asciiTheme="minorHAnsi" w:eastAsia="Times New Roman" w:hAnsiTheme="minorHAnsi" w:cs="Calibri"/>
                <w:b/>
                <w:i/>
              </w:rPr>
              <w:t>(emphasis added</w:t>
            </w:r>
            <w:r w:rsidRPr="00D04661">
              <w:rPr>
                <w:rFonts w:asciiTheme="minorHAnsi" w:eastAsia="Times New Roman" w:hAnsiTheme="minorHAnsi" w:cs="Calibri"/>
                <w:i/>
              </w:rPr>
              <w:t>)</w:t>
            </w:r>
          </w:p>
        </w:tc>
      </w:tr>
      <w:tr w:rsidR="00CF59E1" w:rsidRPr="00D8522E" w14:paraId="7E40307F" w14:textId="77777777" w:rsidTr="00CF59E1">
        <w:tc>
          <w:tcPr>
            <w:tcW w:w="6390" w:type="dxa"/>
            <w:vMerge/>
            <w:shd w:val="clear" w:color="auto" w:fill="auto"/>
            <w:vAlign w:val="center"/>
          </w:tcPr>
          <w:p w14:paraId="7621B779"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rPr>
            </w:pPr>
          </w:p>
        </w:tc>
        <w:tc>
          <w:tcPr>
            <w:tcW w:w="7200" w:type="dxa"/>
            <w:shd w:val="clear" w:color="auto" w:fill="auto"/>
          </w:tcPr>
          <w:p w14:paraId="0688A5C8"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For highly complex and sensitive projects [affecting IPs]…independent advisory panels of experts not affiliated with the project…[must] be used during preparation and implementation</w:t>
            </w:r>
            <w:r>
              <w:rPr>
                <w:rFonts w:asciiTheme="minorHAnsi" w:eastAsia="Times New Roman" w:hAnsiTheme="minorHAnsi" w:cs="Calibri"/>
              </w:rPr>
              <w:t>”</w:t>
            </w:r>
            <w:r w:rsidRPr="00D04661">
              <w:rPr>
                <w:rFonts w:asciiTheme="minorHAnsi" w:eastAsia="Times New Roman" w:hAnsiTheme="minorHAnsi" w:cs="Calibri"/>
              </w:rPr>
              <w:t xml:space="preserve"> including </w:t>
            </w:r>
            <w:r>
              <w:rPr>
                <w:rFonts w:asciiTheme="minorHAnsi" w:eastAsia="Times New Roman" w:hAnsiTheme="minorHAnsi" w:cs="Calibri"/>
              </w:rPr>
              <w:t>“</w:t>
            </w:r>
            <w:r w:rsidRPr="00D04661">
              <w:rPr>
                <w:rFonts w:asciiTheme="minorHAnsi" w:eastAsia="Times New Roman" w:hAnsiTheme="minorHAnsi" w:cs="Calibri"/>
              </w:rPr>
              <w:t>an Indigenous Peoples expert.</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 SPS, Appendix 3, para. 19)</w:t>
            </w:r>
          </w:p>
          <w:p w14:paraId="434C90D8" w14:textId="77777777" w:rsidR="00CF59E1" w:rsidRPr="00D04661" w:rsidRDefault="00CF59E1" w:rsidP="00CF59E1">
            <w:pPr>
              <w:autoSpaceDE/>
              <w:autoSpaceDN/>
              <w:adjustRightInd/>
              <w:spacing w:after="120"/>
              <w:rPr>
                <w:rFonts w:asciiTheme="minorHAnsi" w:hAnsiTheme="minorHAnsi" w:cs="Times New Roman"/>
                <w:b/>
              </w:rPr>
            </w:pPr>
            <w:r>
              <w:rPr>
                <w:rFonts w:asciiTheme="minorHAnsi" w:hAnsiTheme="minorHAnsi" w:cs="Times New Roman"/>
              </w:rPr>
              <w:t>“</w:t>
            </w:r>
            <w:r w:rsidRPr="00D04661">
              <w:rPr>
                <w:rFonts w:asciiTheme="minorHAnsi" w:hAnsiTheme="minorHAnsi" w:cs="Times New Roman"/>
              </w:rPr>
              <w:t>Once the decision to proceed with the processing of a project with potential adverse impacts has been made, the Bank will provide guidance and verify compliance by the project proponent with the following three requirements. This will be done to the Bank’s satisfaction and as early as possible in the project cycle: (i) the preparation of sociocultural evaluations as inputs for the loan document, analysis mission, and the project environmental and social review process; (ii) the implementation of socio-culturally appropriate and duly documented consultation and good faith negotiation processes with the affected indigenous peoples in relation to project design, analyses of alternatives, preparation, due diligence, and execution;15 and (iii) the incorporation into the project of enforceable measures for mitigation, restoration, and compensation reflected in the content of the loan document and of project contractual documents16 and detailed in plans for indigenous protection, compensation, and development or in other instruments in a timely manner.</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IDB, Policy on Indigenous Peoples, para. 5.5 (b)</w:t>
            </w:r>
            <w:r w:rsidRPr="00D04661">
              <w:rPr>
                <w:rFonts w:asciiTheme="minorHAnsi" w:hAnsiTheme="minorHAnsi" w:cs="Times New Roman"/>
                <w:bCs/>
              </w:rPr>
              <w:t>)</w:t>
            </w:r>
          </w:p>
          <w:p w14:paraId="6B5D883B"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hAnsiTheme="minorHAnsi" w:cs="Times New Roman"/>
                <w:bCs/>
              </w:rPr>
              <w:t>“</w:t>
            </w:r>
            <w:r w:rsidRPr="00D04661">
              <w:rPr>
                <w:rFonts w:asciiTheme="minorHAnsi" w:hAnsiTheme="minorHAnsi" w:cs="Times New Roman"/>
                <w:bCs/>
              </w:rPr>
              <w:t>When</w:t>
            </w:r>
            <w:r w:rsidRPr="00D04661">
              <w:rPr>
                <w:rFonts w:asciiTheme="minorHAnsi" w:hAnsiTheme="minorHAnsi" w:cs="Times New Roman"/>
              </w:rPr>
              <w:t xml:space="preserve"> projects involve indigenous populations, a detailed social assessment duly tailored to the cultural and socio-economic specificities and sensitivities of indigenous communities must be undertaken. This information should then feed into the formulation by the promoter of an Indigenous Peoples Development Plan (IPDP) that is consistent with the international human rights of indigenous peoples as well as the expectations of this standard. The IPDP may be free-standing or a component of a broader social management plan in cases where indigenous communities co-exist in the same area with other affected communities. Assurances over the timely disclosure of the IPDP, including outputs linked to the FPIC process, should be provided. The promoter is expected to publicly disclose the final draft of the IPDP to the affected indigenous peoples’ communities in an appropriate form, manner, and language. Once adopted and agreed upon by the indigenous peoples and the EIB alike, the promoter will make these documents available to the affected indigenous peoples’ communities in the same manner as the earlier final draft documents.</w:t>
            </w:r>
            <w:r>
              <w:rPr>
                <w:rFonts w:asciiTheme="minorHAnsi" w:hAnsiTheme="minorHAnsi" w:cs="Times New Roman"/>
              </w:rPr>
              <w:t>”</w:t>
            </w:r>
            <w:r w:rsidRPr="00D04661">
              <w:rPr>
                <w:rFonts w:asciiTheme="minorHAnsi" w:hAnsiTheme="minorHAnsi" w:cs="Times New Roman"/>
              </w:rPr>
              <w:t xml:space="preserve"> </w:t>
            </w:r>
            <w:r w:rsidRPr="00D04661">
              <w:rPr>
                <w:rFonts w:asciiTheme="minorHAnsi" w:hAnsiTheme="minorHAnsi" w:cs="Times New Roman"/>
                <w:b/>
              </w:rPr>
              <w:t>(EIB, ESH, ESS 7, para. 27)</w:t>
            </w:r>
          </w:p>
        </w:tc>
      </w:tr>
      <w:tr w:rsidR="00CF59E1" w:rsidRPr="00D8522E" w14:paraId="50EE8133" w14:textId="77777777" w:rsidTr="00CF59E1">
        <w:tc>
          <w:tcPr>
            <w:tcW w:w="6390" w:type="dxa"/>
            <w:shd w:val="clear" w:color="auto" w:fill="auto"/>
            <w:vAlign w:val="center"/>
          </w:tcPr>
          <w:p w14:paraId="7F917C15" w14:textId="77777777" w:rsidR="00CF59E1" w:rsidRPr="00D04661" w:rsidRDefault="00CF59E1" w:rsidP="00CF59E1">
            <w:pPr>
              <w:tabs>
                <w:tab w:val="num" w:pos="720"/>
              </w:tabs>
              <w:spacing w:after="120"/>
              <w:rPr>
                <w:rFonts w:asciiTheme="minorHAnsi" w:hAnsiTheme="minorHAnsi" w:cs="Arial"/>
                <w:b/>
              </w:rPr>
            </w:pPr>
            <w:r w:rsidRPr="00D04661">
              <w:rPr>
                <w:rFonts w:asciiTheme="minorHAnsi" w:eastAsia="Times New Roman" w:hAnsiTheme="minorHAnsi" w:cs="Calibri"/>
                <w:b/>
              </w:rPr>
              <w:t>GRIEVANCE MECHANISM</w:t>
            </w:r>
            <w:r w:rsidRPr="00D04661">
              <w:rPr>
                <w:rFonts w:asciiTheme="minorHAnsi" w:hAnsiTheme="minorHAnsi" w:cs="Arial"/>
                <w:b/>
              </w:rPr>
              <w:t xml:space="preserve"> </w:t>
            </w:r>
          </w:p>
          <w:p w14:paraId="0B522CE4" w14:textId="77777777" w:rsidR="00CF59E1" w:rsidRPr="00494D97" w:rsidRDefault="00CF59E1" w:rsidP="00CF59E1">
            <w:pPr>
              <w:tabs>
                <w:tab w:val="num" w:pos="720"/>
              </w:tabs>
              <w:spacing w:after="120"/>
              <w:rPr>
                <w:rFonts w:asciiTheme="minorHAnsi" w:eastAsia="Times New Roman" w:hAnsiTheme="minorHAnsi" w:cs="Times New Roman"/>
              </w:rPr>
            </w:pPr>
            <w:r w:rsidRPr="00D04661">
              <w:rPr>
                <w:rFonts w:asciiTheme="minorHAnsi" w:hAnsiTheme="minorHAnsi" w:cs="Arial"/>
              </w:rPr>
              <w:t>Op 4.10 Annex B 2(h)</w:t>
            </w:r>
            <w:r w:rsidRPr="00D04661">
              <w:rPr>
                <w:rFonts w:asciiTheme="minorHAnsi" w:eastAsia="Times New Roman" w:hAnsiTheme="minorHAnsi" w:cs="Arial"/>
              </w:rPr>
              <w:t xml:space="preserve"> Accessible procedures appropriate to the project to address grievances by the affected Indigenous Peoples’ communities arising from project implementation. When designing the grievance procedures, the borrower takes into account </w:t>
            </w:r>
            <w:r w:rsidRPr="00D04661">
              <w:rPr>
                <w:rFonts w:asciiTheme="minorHAnsi" w:eastAsia="SimSun" w:hAnsiTheme="minorHAnsi" w:cs="Arial"/>
              </w:rPr>
              <w:t>the availability of judicial recourse and customary dispute settlement mechanisms among the Indigenous Peoples.</w:t>
            </w:r>
          </w:p>
        </w:tc>
        <w:tc>
          <w:tcPr>
            <w:tcW w:w="7200" w:type="dxa"/>
            <w:shd w:val="clear" w:color="auto" w:fill="auto"/>
          </w:tcPr>
          <w:p w14:paraId="6A90D2A9" w14:textId="77777777" w:rsidR="00CF59E1" w:rsidRPr="00D04661" w:rsidRDefault="00CF59E1" w:rsidP="00CF59E1">
            <w:pPr>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 xml:space="preserve">The grievance mechanism [must] </w:t>
            </w:r>
            <w:r>
              <w:rPr>
                <w:rFonts w:asciiTheme="minorHAnsi" w:eastAsia="Times New Roman" w:hAnsiTheme="minorHAnsi" w:cs="Calibri"/>
              </w:rPr>
              <w:t>“</w:t>
            </w:r>
            <w:r w:rsidRPr="00D04661">
              <w:rPr>
                <w:rFonts w:asciiTheme="minorHAnsi" w:eastAsia="Times New Roman" w:hAnsiTheme="minorHAnsi" w:cs="Calibri"/>
              </w:rPr>
              <w:t>be scaled to the impacts of the project… …</w:t>
            </w:r>
            <w:r w:rsidRPr="00D04661">
              <w:rPr>
                <w:rFonts w:asciiTheme="minorHAnsi" w:eastAsia="Times New Roman" w:hAnsiTheme="minorHAnsi" w:cs="Calibri"/>
                <w:i/>
              </w:rPr>
              <w:t>appropriately inform…affected [IP] communities about the mechanism</w:t>
            </w:r>
            <w:r w:rsidRPr="00D04661">
              <w:rPr>
                <w:rFonts w:asciiTheme="minorHAnsi" w:eastAsia="Times New Roman" w:hAnsiTheme="minorHAnsi" w:cs="Calibri"/>
              </w:rPr>
              <w:t>…</w:t>
            </w:r>
            <w:r w:rsidRPr="00D04661">
              <w:rPr>
                <w:rFonts w:asciiTheme="minorHAnsi" w:eastAsia="Times New Roman" w:hAnsiTheme="minorHAnsi" w:cs="Calibri"/>
                <w:i/>
              </w:rPr>
              <w:t>address complaints promptly, using an understandable and transparent process that is culturally appropriate, gender responsive and accessible to affected [IP] communities at no cost and without retribution</w:t>
            </w:r>
            <w:r>
              <w:rPr>
                <w:rFonts w:asciiTheme="minorHAnsi" w:eastAsia="Times New Roman" w:hAnsiTheme="minorHAnsi" w:cs="Calibri"/>
              </w:rPr>
              <w:t>”</w:t>
            </w:r>
            <w:r w:rsidRPr="00D04661">
              <w:rPr>
                <w:rFonts w:asciiTheme="minorHAnsi" w:eastAsia="Times New Roman" w:hAnsiTheme="minorHAnsi" w:cs="Calibri"/>
              </w:rPr>
              <w:t xml:space="preserve"> or that it </w:t>
            </w:r>
            <w:r>
              <w:rPr>
                <w:rFonts w:asciiTheme="minorHAnsi" w:eastAsia="Times New Roman" w:hAnsiTheme="minorHAnsi" w:cs="Calibri"/>
              </w:rPr>
              <w:t>“</w:t>
            </w:r>
            <w:r w:rsidRPr="00D04661">
              <w:rPr>
                <w:rFonts w:asciiTheme="minorHAnsi" w:eastAsia="Times New Roman" w:hAnsiTheme="minorHAnsi" w:cs="Calibri"/>
              </w:rPr>
              <w:t>not impede access to the countries judicial remedies…</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 SPS, Appendix 3, para. 22</w:t>
            </w:r>
            <w:r w:rsidRPr="00D04661">
              <w:rPr>
                <w:rFonts w:asciiTheme="minorHAnsi" w:eastAsia="Times New Roman" w:hAnsiTheme="minorHAnsi" w:cs="Calibri"/>
              </w:rPr>
              <w:t>)</w:t>
            </w:r>
            <w:r w:rsidRPr="00D04661">
              <w:rPr>
                <w:rFonts w:asciiTheme="minorHAnsi" w:eastAsia="Times New Roman" w:hAnsiTheme="minorHAnsi" w:cs="Calibri"/>
                <w:vertAlign w:val="superscript"/>
              </w:rPr>
              <w:footnoteReference w:id="248"/>
            </w:r>
          </w:p>
        </w:tc>
      </w:tr>
      <w:tr w:rsidR="00CF59E1" w:rsidRPr="00D8522E" w14:paraId="68BDC445" w14:textId="77777777" w:rsidTr="00CF59E1">
        <w:tc>
          <w:tcPr>
            <w:tcW w:w="6390" w:type="dxa"/>
            <w:shd w:val="clear" w:color="auto" w:fill="auto"/>
            <w:vAlign w:val="center"/>
          </w:tcPr>
          <w:p w14:paraId="68DF5944"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b/>
              </w:rPr>
            </w:pPr>
            <w:r w:rsidRPr="00D04661">
              <w:rPr>
                <w:rFonts w:asciiTheme="minorHAnsi" w:eastAsia="Times New Roman" w:hAnsiTheme="minorHAnsi" w:cs="Calibri"/>
                <w:b/>
              </w:rPr>
              <w:t>MONITORING, EVALUATION AND REPORTING AND OF ADAPTIVE MANAGEMENT OF IPP OUTCOMES</w:t>
            </w:r>
          </w:p>
          <w:p w14:paraId="5B707A71" w14:textId="77777777" w:rsidR="00CF59E1" w:rsidRPr="00D04661" w:rsidRDefault="00CF59E1" w:rsidP="00CF59E1">
            <w:pPr>
              <w:tabs>
                <w:tab w:val="left" w:pos="990"/>
              </w:tabs>
              <w:autoSpaceDE/>
              <w:autoSpaceDN/>
              <w:adjustRightInd/>
              <w:spacing w:after="120"/>
              <w:rPr>
                <w:rFonts w:asciiTheme="minorHAnsi" w:eastAsia="Times New Roman" w:hAnsiTheme="minorHAnsi" w:cs="Times New Roman"/>
              </w:rPr>
            </w:pPr>
            <w:r w:rsidRPr="00D04661">
              <w:rPr>
                <w:rFonts w:asciiTheme="minorHAnsi" w:eastAsia="Times New Roman" w:hAnsiTheme="minorHAnsi" w:cs="Calibri"/>
              </w:rPr>
              <w:t>OP 4.10 Annex B 2 (i)</w:t>
            </w:r>
            <w:r w:rsidRPr="00D04661">
              <w:rPr>
                <w:rFonts w:asciiTheme="minorHAnsi" w:hAnsiTheme="minorHAnsi" w:cs="Arial"/>
              </w:rPr>
              <w:t xml:space="preserve"> [The IPP includes] [m]</w:t>
            </w:r>
            <w:r w:rsidRPr="00D04661">
              <w:rPr>
                <w:rFonts w:asciiTheme="minorHAnsi" w:eastAsia="SimSun" w:hAnsiTheme="minorHAnsi" w:cs="Arial"/>
              </w:rPr>
              <w:t>echanisms and benchmarks appropriate to the project for monitoring, evaluating, and reporting on the implementation of the IPP. The monitoring and evaluation mechanisms should include arrangements for the free, prior, and informed consultation with the affected Indigenous Peoples’ communities.</w:t>
            </w:r>
          </w:p>
          <w:p w14:paraId="05161ABE" w14:textId="77777777" w:rsidR="00CF59E1" w:rsidRPr="00D04661" w:rsidRDefault="00CF59E1" w:rsidP="00CF59E1">
            <w:pPr>
              <w:tabs>
                <w:tab w:val="left" w:pos="990"/>
              </w:tabs>
              <w:autoSpaceDE/>
              <w:autoSpaceDN/>
              <w:adjustRightInd/>
              <w:spacing w:after="120"/>
              <w:rPr>
                <w:rFonts w:asciiTheme="minorHAnsi" w:eastAsia="Times New Roman" w:hAnsiTheme="minorHAnsi" w:cs="Calibri"/>
              </w:rPr>
            </w:pPr>
          </w:p>
        </w:tc>
        <w:tc>
          <w:tcPr>
            <w:tcW w:w="7200" w:type="dxa"/>
            <w:shd w:val="clear" w:color="auto" w:fill="auto"/>
          </w:tcPr>
          <w:p w14:paraId="3C0CAEC2" w14:textId="77777777" w:rsidR="00CF59E1" w:rsidRPr="00D04661" w:rsidRDefault="00CF59E1" w:rsidP="00CF59E1">
            <w:pPr>
              <w:autoSpaceDE/>
              <w:autoSpaceDN/>
              <w:adjustRightInd/>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 xml:space="preserve">The borrower must use </w:t>
            </w:r>
            <w:r>
              <w:rPr>
                <w:rFonts w:asciiTheme="minorHAnsi" w:eastAsia="Times New Roman" w:hAnsiTheme="minorHAnsi" w:cs="Calibri"/>
              </w:rPr>
              <w:t>“</w:t>
            </w:r>
            <w:r w:rsidRPr="00D04661">
              <w:rPr>
                <w:rFonts w:asciiTheme="minorHAnsi" w:eastAsia="Times New Roman" w:hAnsiTheme="minorHAnsi" w:cs="Calibri"/>
              </w:rPr>
              <w:t>dynamic mechanisms</w:t>
            </w:r>
            <w:r>
              <w:rPr>
                <w:rFonts w:asciiTheme="minorHAnsi" w:eastAsia="Times New Roman" w:hAnsiTheme="minorHAnsi" w:cs="Calibri"/>
              </w:rPr>
              <w:t>”</w:t>
            </w:r>
            <w:r w:rsidRPr="00D04661">
              <w:rPr>
                <w:rFonts w:asciiTheme="minorHAnsi" w:eastAsia="Times New Roman" w:hAnsiTheme="minorHAnsi" w:cs="Calibri"/>
              </w:rPr>
              <w:t xml:space="preserve"> such as inspections, audits, and semi-annual monitoring reports to verify compliance. For projects with significant adverse impacts, borrowers must </w:t>
            </w:r>
            <w:r>
              <w:rPr>
                <w:rFonts w:asciiTheme="minorHAnsi" w:eastAsia="Times New Roman" w:hAnsiTheme="minorHAnsi" w:cs="Calibri"/>
              </w:rPr>
              <w:t>“</w:t>
            </w:r>
            <w:r w:rsidRPr="00D04661">
              <w:rPr>
                <w:rFonts w:asciiTheme="minorHAnsi" w:eastAsia="Times New Roman" w:hAnsiTheme="minorHAnsi" w:cs="Calibri"/>
              </w:rPr>
              <w:t>retain qualified and experienced external experts or qualified NGOs to verify monitoring information…</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 SPS, Appendix 3, para. 23</w:t>
            </w:r>
            <w:r w:rsidRPr="00D04661">
              <w:rPr>
                <w:rFonts w:asciiTheme="minorHAnsi" w:eastAsia="Times New Roman" w:hAnsiTheme="minorHAnsi" w:cs="Calibri"/>
              </w:rPr>
              <w:t>)</w:t>
            </w:r>
          </w:p>
          <w:p w14:paraId="4D992A1C" w14:textId="77777777" w:rsidR="00CF59E1" w:rsidRPr="00D04661" w:rsidRDefault="00CF59E1" w:rsidP="00CF59E1">
            <w:pPr>
              <w:autoSpaceDE/>
              <w:autoSpaceDN/>
              <w:adjustRightInd/>
              <w:spacing w:after="120"/>
              <w:rPr>
                <w:rFonts w:asciiTheme="minorHAnsi" w:eastAsia="Times New Roman" w:hAnsiTheme="minorHAnsi" w:cs="Calibri"/>
              </w:rPr>
            </w:pPr>
            <w:r w:rsidRPr="00D04661">
              <w:rPr>
                <w:rFonts w:asciiTheme="minorHAnsi" w:eastAsia="Times New Roman" w:hAnsiTheme="minorHAnsi" w:cs="Calibri"/>
              </w:rPr>
              <w:t xml:space="preserve">The borrower must </w:t>
            </w:r>
            <w:r>
              <w:rPr>
                <w:rFonts w:asciiTheme="minorHAnsi" w:eastAsia="Times New Roman" w:hAnsiTheme="minorHAnsi" w:cs="Calibri"/>
              </w:rPr>
              <w:t>“</w:t>
            </w:r>
            <w:r w:rsidRPr="00D04661">
              <w:rPr>
                <w:rFonts w:asciiTheme="minorHAnsi" w:eastAsia="Times New Roman" w:hAnsiTheme="minorHAnsi" w:cs="Calibri"/>
              </w:rPr>
              <w:t>prepare a corrective action plan or update to the approved IPP, implement the corrective actions and follow up on these actions to ensure their effectiveness.</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 SPS, Appendix 3, para. 20 (iii))</w:t>
            </w:r>
          </w:p>
          <w:p w14:paraId="07F141A7" w14:textId="77777777" w:rsidR="00CF59E1" w:rsidRPr="00D04661" w:rsidRDefault="00CF59E1" w:rsidP="00CF59E1">
            <w:pPr>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 xml:space="preserve">Should unanticipated impacts on [IPs} become apparent during project implementation, such as a change in the project’s footprint and adaptive management of IPPS become necessary, the borrower must </w:t>
            </w:r>
            <w:r>
              <w:rPr>
                <w:rFonts w:asciiTheme="minorHAnsi" w:eastAsia="Times New Roman" w:hAnsiTheme="minorHAnsi" w:cs="Calibri"/>
              </w:rPr>
              <w:t>“</w:t>
            </w:r>
            <w:r w:rsidRPr="00D04661">
              <w:rPr>
                <w:rFonts w:asciiTheme="minorHAnsi" w:eastAsia="Times New Roman" w:hAnsiTheme="minorHAnsi" w:cs="Calibri"/>
              </w:rPr>
              <w:t>carry out an SIA and update the IPP or formulate a new IPP as appropriate.</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ADB, SPS, Appendix 3, para. 25</w:t>
            </w:r>
            <w:r w:rsidRPr="00D04661">
              <w:rPr>
                <w:rFonts w:asciiTheme="minorHAnsi" w:eastAsia="Times New Roman" w:hAnsiTheme="minorHAnsi" w:cs="Calibri"/>
              </w:rPr>
              <w:t>)</w:t>
            </w:r>
          </w:p>
          <w:p w14:paraId="4D70501A" w14:textId="77777777" w:rsidR="00CF59E1" w:rsidRPr="00D04661" w:rsidRDefault="00CF59E1" w:rsidP="00CF59E1">
            <w:pPr>
              <w:spacing w:after="120"/>
              <w:rPr>
                <w:rFonts w:asciiTheme="minorHAnsi" w:eastAsia="Times New Roman" w:hAnsiTheme="minorHAnsi" w:cs="Calibri"/>
              </w:rPr>
            </w:pPr>
            <w:r>
              <w:rPr>
                <w:rFonts w:asciiTheme="minorHAnsi" w:eastAsia="Times New Roman" w:hAnsiTheme="minorHAnsi" w:cs="Calibri"/>
              </w:rPr>
              <w:t>“</w:t>
            </w:r>
            <w:r w:rsidRPr="00D04661">
              <w:rPr>
                <w:rFonts w:asciiTheme="minorHAnsi" w:eastAsia="Times New Roman" w:hAnsiTheme="minorHAnsi" w:cs="Calibri"/>
              </w:rPr>
              <w:t>The Bank will adopt supervision and evaluation measures designed to verify that the project proponent fulfills, to the Bank’s satisfaction, the agreed to measures to meet the requirements of this policy with respect to each project, including socio-culturally appropriate mechanisms for the participation of affected indigenous peoples in the monitoring and evaluation of those measures. If these requirements are not met, the Bank will take the corrective actions necessary for the project proponent to correct the problems identified within an acceptable timeframe.</w:t>
            </w:r>
            <w:r>
              <w:rPr>
                <w:rFonts w:asciiTheme="minorHAnsi" w:eastAsia="Times New Roman" w:hAnsiTheme="minorHAnsi" w:cs="Calibri"/>
              </w:rPr>
              <w:t>”</w:t>
            </w:r>
            <w:r w:rsidRPr="00D04661">
              <w:rPr>
                <w:rFonts w:asciiTheme="minorHAnsi" w:eastAsia="Times New Roman" w:hAnsiTheme="minorHAnsi" w:cs="Calibri"/>
              </w:rPr>
              <w:t xml:space="preserve"> (</w:t>
            </w:r>
            <w:r w:rsidRPr="00D04661">
              <w:rPr>
                <w:rFonts w:asciiTheme="minorHAnsi" w:eastAsia="Times New Roman" w:hAnsiTheme="minorHAnsi" w:cs="Calibri"/>
                <w:b/>
              </w:rPr>
              <w:t>IDB, Policy on Indigenous Peoples, para. 5.3 (d))</w:t>
            </w:r>
          </w:p>
        </w:tc>
      </w:tr>
    </w:tbl>
    <w:p w14:paraId="531F6834" w14:textId="77777777" w:rsidR="00CF59E1" w:rsidRPr="004056D9" w:rsidRDefault="00CF59E1" w:rsidP="00CF59E1">
      <w:pPr>
        <w:autoSpaceDE/>
        <w:autoSpaceDN/>
        <w:adjustRightInd/>
        <w:spacing w:after="120"/>
        <w:jc w:val="center"/>
        <w:rPr>
          <w:rFonts w:asciiTheme="minorHAnsi" w:hAnsiTheme="minorHAnsi" w:cs="Times New Roman"/>
          <w:b/>
          <w:u w:val="single"/>
        </w:rPr>
      </w:pPr>
    </w:p>
    <w:p w14:paraId="7585BEC9" w14:textId="3E7EF14D" w:rsidR="00CF59E1" w:rsidRDefault="00CF59E1">
      <w:pPr>
        <w:autoSpaceDE/>
        <w:autoSpaceDN/>
        <w:adjustRightInd/>
        <w:rPr>
          <w:rFonts w:cs="Times New Roman"/>
          <w:b/>
          <w:sz w:val="28"/>
          <w:szCs w:val="28"/>
        </w:rPr>
      </w:pPr>
    </w:p>
    <w:p w14:paraId="1A504F28" w14:textId="77777777" w:rsidR="00CF59E1" w:rsidRPr="00F14825" w:rsidRDefault="00CF59E1" w:rsidP="00CF59E1">
      <w:pPr>
        <w:autoSpaceDE/>
        <w:autoSpaceDN/>
        <w:adjustRightInd/>
        <w:spacing w:after="200" w:line="276" w:lineRule="auto"/>
        <w:jc w:val="center"/>
        <w:rPr>
          <w:rFonts w:cs="Times New Roman"/>
          <w:b/>
          <w:sz w:val="28"/>
          <w:szCs w:val="28"/>
        </w:rPr>
      </w:pPr>
    </w:p>
    <w:sectPr w:rsidR="00CF59E1" w:rsidRPr="00F14825" w:rsidSect="00CF59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863F9" w14:textId="77777777" w:rsidR="00814F03" w:rsidRDefault="00814F03" w:rsidP="00A511AF">
      <w:r>
        <w:separator/>
      </w:r>
    </w:p>
  </w:endnote>
  <w:endnote w:type="continuationSeparator" w:id="0">
    <w:p w14:paraId="30C12B19" w14:textId="77777777" w:rsidR="00814F03" w:rsidRDefault="00814F03" w:rsidP="00A5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ITCbyBT-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BDFCD+TimesNew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FranklinGothicMediumITC">
    <w:altName w:val="FranklinGothicMediumITC"/>
    <w:panose1 w:val="00000000000000000000"/>
    <w:charset w:val="00"/>
    <w:family w:val="swiss"/>
    <w:notTrueType/>
    <w:pitch w:val="default"/>
    <w:sig w:usb0="00000003" w:usb1="00000000" w:usb2="00000000" w:usb3="00000000" w:csb0="00000001" w:csb1="00000000"/>
  </w:font>
  <w:font w:name="NBDFEE+TimesNewRoman,Bold">
    <w:altName w:val="Times New Roman"/>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illSans">
    <w:altName w:val="Gill Sans"/>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HelveticaNeueLTStd-Md">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128534"/>
      <w:docPartObj>
        <w:docPartGallery w:val="Page Numbers (Bottom of Page)"/>
        <w:docPartUnique/>
      </w:docPartObj>
    </w:sdtPr>
    <w:sdtEndPr/>
    <w:sdtContent>
      <w:p w14:paraId="54F31118" w14:textId="77777777" w:rsidR="00CF59E1" w:rsidRDefault="00CF59E1">
        <w:pPr>
          <w:pStyle w:val="Footer"/>
          <w:jc w:val="center"/>
        </w:pPr>
        <w:r>
          <w:fldChar w:fldCharType="begin"/>
        </w:r>
        <w:r>
          <w:instrText xml:space="preserve"> PAGE   \* MERGEFORMAT </w:instrText>
        </w:r>
        <w:r>
          <w:fldChar w:fldCharType="separate"/>
        </w:r>
        <w:r w:rsidR="00332F90">
          <w:rPr>
            <w:noProof/>
          </w:rPr>
          <w:t>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6AE5F" w14:textId="77777777" w:rsidR="00CF59E1" w:rsidRDefault="00CF59E1">
    <w:pPr>
      <w:pStyle w:val="Footer"/>
      <w:jc w:val="center"/>
    </w:pPr>
    <w:r>
      <w:fldChar w:fldCharType="begin"/>
    </w:r>
    <w:r>
      <w:instrText xml:space="preserve"> PAGE   \* MERGEFORMAT </w:instrText>
    </w:r>
    <w:r>
      <w:fldChar w:fldCharType="separate"/>
    </w:r>
    <w:r w:rsidR="003654F3">
      <w:rPr>
        <w:noProof/>
      </w:rPr>
      <w:t>120</w:t>
    </w:r>
    <w:r>
      <w:rPr>
        <w:noProof/>
      </w:rPr>
      <w:fldChar w:fldCharType="end"/>
    </w:r>
  </w:p>
  <w:p w14:paraId="478C4C47" w14:textId="77777777" w:rsidR="00CF59E1" w:rsidRDefault="00CF59E1" w:rsidP="00A51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C61C8" w14:textId="77777777" w:rsidR="00814F03" w:rsidRDefault="00814F03" w:rsidP="00A511AF">
      <w:r>
        <w:separator/>
      </w:r>
    </w:p>
  </w:footnote>
  <w:footnote w:type="continuationSeparator" w:id="0">
    <w:p w14:paraId="5690CC59" w14:textId="77777777" w:rsidR="00814F03" w:rsidRDefault="00814F03" w:rsidP="00A511AF">
      <w:r>
        <w:continuationSeparator/>
      </w:r>
    </w:p>
  </w:footnote>
  <w:footnote w:id="1">
    <w:p w14:paraId="0F6B5806" w14:textId="16A62FD5"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Although the EIB supports projects in many countries outside the European region, the vast majority of its operations are concentrated among the Member, Candidate and Potential Candi</w:t>
      </w:r>
      <w:r>
        <w:rPr>
          <w:rFonts w:asciiTheme="minorHAnsi" w:hAnsiTheme="minorHAnsi" w:cstheme="minorHAnsi"/>
        </w:rPr>
        <w:t>date Countries of</w:t>
      </w:r>
      <w:r w:rsidRPr="000F7276">
        <w:rPr>
          <w:rFonts w:asciiTheme="minorHAnsi" w:hAnsiTheme="minorHAnsi" w:cstheme="minorHAnsi"/>
        </w:rPr>
        <w:t xml:space="preserve"> the European Union. This review focuses on its safeguard policies as applied outside the greater EU region.</w:t>
      </w:r>
    </w:p>
  </w:footnote>
  <w:footnote w:id="2">
    <w:p w14:paraId="241C9960"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MIGA, a member of the World Bank Group, applies IFC Performance Standards; however its services are limited primarily to political risk insurance, which sets it apart from other MDBs.</w:t>
      </w:r>
    </w:p>
  </w:footnote>
  <w:footnote w:id="3">
    <w:p w14:paraId="4092997F" w14:textId="3D972E3C" w:rsidR="00CF59E1" w:rsidRPr="000F7276" w:rsidRDefault="00CF59E1" w:rsidP="00A009E7">
      <w:pPr>
        <w:pStyle w:val="FootnoteText"/>
      </w:pPr>
      <w:r w:rsidRPr="000F7276">
        <w:rPr>
          <w:rStyle w:val="FootnoteReference"/>
        </w:rPr>
        <w:footnoteRef/>
      </w:r>
      <w:r w:rsidRPr="000F7276">
        <w:t xml:space="preserve"> E.g., Bank Procedures that accompany OPs are directed primarily toward the Bank and do not generally apply to borrowers.</w:t>
      </w:r>
    </w:p>
  </w:footnote>
  <w:footnote w:id="4">
    <w:p w14:paraId="7834BE61"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Per OP 4.03, World Bank Performance Standards are derived directly from IFC Performance Standards.</w:t>
      </w:r>
    </w:p>
  </w:footnote>
  <w:footnote w:id="5">
    <w:p w14:paraId="39AAF246" w14:textId="06716B81" w:rsidR="00CF59E1" w:rsidRPr="000F7276" w:rsidRDefault="00CF59E1" w:rsidP="00A009E7">
      <w:pPr>
        <w:pStyle w:val="FootnoteText"/>
        <w:rPr>
          <w:rFonts w:asciiTheme="minorHAnsi" w:hAnsiTheme="minorHAnsi"/>
        </w:rPr>
      </w:pPr>
      <w:r w:rsidRPr="000F7276">
        <w:rPr>
          <w:rStyle w:val="FootnoteReference"/>
          <w:rFonts w:asciiTheme="minorHAnsi" w:hAnsiTheme="minorHAnsi"/>
        </w:rPr>
        <w:footnoteRef/>
      </w:r>
      <w:r>
        <w:rPr>
          <w:rFonts w:asciiTheme="minorHAnsi" w:hAnsiTheme="minorHAnsi"/>
        </w:rPr>
        <w:t xml:space="preserve"> OP</w:t>
      </w:r>
      <w:r w:rsidRPr="000F7276">
        <w:rPr>
          <w:rFonts w:asciiTheme="minorHAnsi" w:hAnsiTheme="minorHAnsi"/>
        </w:rPr>
        <w:t xml:space="preserve"> 8</w:t>
      </w:r>
      <w:r>
        <w:rPr>
          <w:rFonts w:asciiTheme="minorHAnsi" w:hAnsiTheme="minorHAnsi"/>
        </w:rPr>
        <w:t>.60, Development Policy Lending;</w:t>
      </w:r>
      <w:r w:rsidRPr="000F7276">
        <w:rPr>
          <w:rFonts w:asciiTheme="minorHAnsi" w:hAnsiTheme="minorHAnsi"/>
        </w:rPr>
        <w:t xml:space="preserve"> OP 9.00, Program for Results;</w:t>
      </w:r>
      <w:r>
        <w:rPr>
          <w:rFonts w:asciiTheme="minorHAnsi" w:hAnsiTheme="minorHAnsi"/>
        </w:rPr>
        <w:t xml:space="preserve"> and OPs 4.00, 4.01, 4.03, 4.04,</w:t>
      </w:r>
      <w:r w:rsidRPr="000F7276">
        <w:rPr>
          <w:rFonts w:asciiTheme="minorHAnsi" w:hAnsiTheme="minorHAnsi"/>
        </w:rPr>
        <w:t xml:space="preserve"> 4.09, 4.10, 4.11, 4.12, and 4</w:t>
      </w:r>
      <w:r>
        <w:rPr>
          <w:rFonts w:asciiTheme="minorHAnsi" w:hAnsiTheme="minorHAnsi"/>
        </w:rPr>
        <w:t xml:space="preserve">.37 reserved for project based </w:t>
      </w:r>
      <w:r w:rsidRPr="000F7276">
        <w:rPr>
          <w:rFonts w:asciiTheme="minorHAnsi" w:hAnsiTheme="minorHAnsi"/>
        </w:rPr>
        <w:t>investment lending</w:t>
      </w:r>
    </w:p>
  </w:footnote>
  <w:footnote w:id="6">
    <w:p w14:paraId="43DBE8C2" w14:textId="724E5BE7" w:rsidR="00CF59E1" w:rsidRPr="000F7276" w:rsidRDefault="00CF59E1" w:rsidP="00A009E7">
      <w:pPr>
        <w:rPr>
          <w:rFonts w:asciiTheme="minorHAnsi" w:hAnsiTheme="minorHAnsi"/>
        </w:rPr>
      </w:pPr>
      <w:r w:rsidRPr="000F7276">
        <w:rPr>
          <w:rStyle w:val="FootnoteReference"/>
          <w:rFonts w:asciiTheme="minorHAnsi" w:hAnsiTheme="minorHAnsi"/>
          <w:sz w:val="20"/>
          <w:szCs w:val="20"/>
        </w:rPr>
        <w:footnoteRef/>
      </w:r>
      <w:r w:rsidRPr="000F7276">
        <w:rPr>
          <w:rFonts w:asciiTheme="minorHAnsi" w:hAnsiTheme="minorHAnsi"/>
          <w:sz w:val="20"/>
          <w:szCs w:val="20"/>
        </w:rPr>
        <w:t xml:space="preserve"> For example, ADB’s Operational Manual on Policy Lending states that “[f]</w:t>
      </w:r>
      <w:r w:rsidRPr="000F7276">
        <w:rPr>
          <w:rFonts w:asciiTheme="minorHAnsi" w:hAnsiTheme="minorHAnsi" w:cs="Arial"/>
          <w:sz w:val="20"/>
          <w:szCs w:val="20"/>
        </w:rPr>
        <w:t>or environmental and social safeguards, the Safeguard Policy Statement’s provisions on program lending should apply.” ADB, OM Section D4/BP, Policy-Based Lending, April 2013, footnote 11.</w:t>
      </w:r>
    </w:p>
  </w:footnote>
  <w:footnote w:id="7">
    <w:p w14:paraId="2A4F57D5" w14:textId="65AC6A3A" w:rsidR="00CF59E1" w:rsidRPr="000F7276" w:rsidRDefault="00CF59E1" w:rsidP="00A009E7">
      <w:pPr>
        <w:pStyle w:val="FootnoteText"/>
      </w:pPr>
      <w:r w:rsidRPr="000F7276">
        <w:rPr>
          <w:rStyle w:val="FootnoteReference"/>
        </w:rPr>
        <w:footnoteRef/>
      </w:r>
      <w:r>
        <w:t xml:space="preserve"> </w:t>
      </w:r>
      <w:r w:rsidRPr="000F7276">
        <w:t xml:space="preserve">Many of these issues are addressed in the 2007 World Bank Environmental, </w:t>
      </w:r>
      <w:r>
        <w:t>Health and Safety Guidelines (E</w:t>
      </w:r>
      <w:r w:rsidRPr="000F7276">
        <w:t>H</w:t>
      </w:r>
      <w:r>
        <w:t>S</w:t>
      </w:r>
      <w:r w:rsidRPr="000F7276">
        <w:t xml:space="preserve">Gs), which are cited by the Bank in OP 4.01 as mandatory benchmarks for EA, as well as by ADB and AfDB with respect to EA, EMP and/or project performance.  </w:t>
      </w:r>
    </w:p>
  </w:footnote>
  <w:footnote w:id="8">
    <w:p w14:paraId="3BEF06E4" w14:textId="0310D96D" w:rsidR="00CF59E1" w:rsidRPr="000F7276" w:rsidRDefault="00CF59E1" w:rsidP="00A009E7">
      <w:pPr>
        <w:pStyle w:val="FootnoteText"/>
      </w:pPr>
      <w:r w:rsidRPr="000F7276">
        <w:rPr>
          <w:rStyle w:val="FootnoteReference"/>
        </w:rPr>
        <w:footnoteRef/>
      </w:r>
      <w:r w:rsidRPr="000F7276">
        <w:t xml:space="preserve"> In compliance with the Charter of Fundamental Rights of the European Union.</w:t>
      </w:r>
    </w:p>
  </w:footnote>
  <w:footnote w:id="9">
    <w:p w14:paraId="7AA6C1FC" w14:textId="372D3050" w:rsidR="00CF59E1" w:rsidRPr="000F7276" w:rsidRDefault="00CF59E1" w:rsidP="00A009E7">
      <w:pPr>
        <w:pStyle w:val="FootnoteText"/>
      </w:pPr>
      <w:r w:rsidRPr="000F7276">
        <w:rPr>
          <w:rStyle w:val="FootnoteReference"/>
        </w:rPr>
        <w:footnoteRef/>
      </w:r>
      <w:r w:rsidRPr="000F7276">
        <w:t xml:space="preserve"> The Bank does not have a human rights mandate. The World Bank’s Articles of Agreement limit the World Bank’s mandate to “reconstruction and development” and prohibit political interference. Nonetheless, the World Bank has recognized the relevance of human rights and its operations are supportive of human rights and encourage respect for them in a manner consistent with its Articles of Agreement.</w:t>
      </w:r>
    </w:p>
  </w:footnote>
  <w:footnote w:id="10">
    <w:p w14:paraId="1DB398C5"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OP/BP 4.03, Performance Standards for Private Sector Activities, issued in 2013, may be considered to be more of a procedural rather than a substantive safeguard policy.</w:t>
      </w:r>
    </w:p>
  </w:footnote>
  <w:footnote w:id="11">
    <w:p w14:paraId="703DDB41" w14:textId="32A67C68" w:rsidR="00CF59E1" w:rsidRPr="000F7276" w:rsidRDefault="00CF59E1" w:rsidP="00A009E7">
      <w:pPr>
        <w:pStyle w:val="FootnoteText"/>
        <w:rPr>
          <w:rFonts w:asciiTheme="minorHAnsi" w:hAnsiTheme="minorHAnsi"/>
        </w:rPr>
      </w:pPr>
      <w:r w:rsidRPr="000F7276">
        <w:rPr>
          <w:rStyle w:val="FootnoteReference"/>
          <w:rFonts w:asciiTheme="minorHAnsi" w:hAnsiTheme="minorHAnsi"/>
        </w:rPr>
        <w:footnoteRef/>
      </w:r>
      <w:r w:rsidRPr="000F7276">
        <w:rPr>
          <w:rFonts w:asciiTheme="minorHAnsi" w:hAnsiTheme="minorHAnsi"/>
        </w:rPr>
        <w:t xml:space="preserve"> The World Bank (per OP 4.01) requires Borrowers to reference the EHSGs as the benchmark for “</w:t>
      </w:r>
      <w:r w:rsidRPr="000F7276">
        <w:rPr>
          <w:rFonts w:asciiTheme="minorHAnsi" w:hAnsiTheme="minorHAnsi" w:cs="Arial"/>
          <w:color w:val="000000"/>
        </w:rPr>
        <w:t>pollution prevention and abatement measures and emission levels that are nor</w:t>
      </w:r>
      <w:r>
        <w:rPr>
          <w:rFonts w:asciiTheme="minorHAnsi" w:hAnsiTheme="minorHAnsi" w:cs="Arial"/>
          <w:color w:val="000000"/>
        </w:rPr>
        <w:t xml:space="preserve">mally acceptable to the Bank.” </w:t>
      </w:r>
      <w:r w:rsidRPr="000F7276">
        <w:rPr>
          <w:rFonts w:asciiTheme="minorHAnsi" w:hAnsiTheme="minorHAnsi" w:cs="Arial"/>
          <w:color w:val="000000"/>
        </w:rPr>
        <w:t>The World Bank, ADB and AfDB all reference the EHSGs in their respective operational requirements with respect to pollution prevention and abatement. Accordingly, issues that are within the scope of the EHSGs are not detailed in this comparison.</w:t>
      </w:r>
    </w:p>
  </w:footnote>
  <w:footnote w:id="12">
    <w:p w14:paraId="56B2DB78" w14:textId="479430F1"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The Rome Declaration on Harmonization (2003) was endorsed by the World Bank and </w:t>
      </w:r>
      <w:r w:rsidRPr="000F7276">
        <w:rPr>
          <w:rFonts w:asciiTheme="minorHAnsi" w:hAnsiTheme="minorHAnsi" w:cstheme="minorHAnsi"/>
          <w:bCs/>
        </w:rPr>
        <w:t>40 other MDBs. See also the subsequent declarations of the High Level Forums on Aid Effectiveness (Paris 2005, Accra 2008, and Busan 2011). Most recently, the AfDB stated that its recently issued Integrated Safeguards Statement “seeks to” [inter alia] “work toward greater harmonization of safeguard policies across multilateral finance institutions” (ISS, Executive Summary).</w:t>
      </w:r>
    </w:p>
  </w:footnote>
  <w:footnote w:id="13">
    <w:p w14:paraId="7A97118F"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Some MDBs, particular those providing substantial support to the private sector (e.g., IFC, MIGA and EBRD) refer to “clients” rather than borrowers, reflecting the provision of non-lending services such as equity, advisory service and political risk insurance. </w:t>
      </w:r>
    </w:p>
  </w:footnote>
  <w:footnote w:id="14">
    <w:p w14:paraId="6552E223" w14:textId="6DB322FC" w:rsidR="00CF59E1" w:rsidRPr="000F7276" w:rsidRDefault="00CF59E1" w:rsidP="00A009E7">
      <w:pPr>
        <w:pStyle w:val="FootnoteText"/>
      </w:pPr>
      <w:r w:rsidRPr="000F7276">
        <w:rPr>
          <w:rStyle w:val="FootnoteReference"/>
        </w:rPr>
        <w:footnoteRef/>
      </w:r>
      <w:r>
        <w:t xml:space="preserve"> E</w:t>
      </w:r>
      <w:r w:rsidRPr="000F7276">
        <w:t>.g.</w:t>
      </w:r>
      <w:r>
        <w:t>,</w:t>
      </w:r>
      <w:r w:rsidRPr="000F7276">
        <w:t xml:space="preserve"> Bank Procedures that accompany OPs are directed primarily toward the Bank and do not generally apply to borrowers.</w:t>
      </w:r>
    </w:p>
  </w:footnote>
  <w:footnote w:id="15">
    <w:p w14:paraId="66693CD1" w14:textId="1B26684B"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Among various MDBs the terms “policy” and “programmatic” lending” are sometimes used interchangeably. Policy lending is sometimes referred to as “development policy lending.”</w:t>
      </w:r>
    </w:p>
  </w:footnote>
  <w:footnote w:id="16">
    <w:p w14:paraId="269A7DE9" w14:textId="22741FF1"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AfDB, ISS, Introduction, para. 10.</w:t>
      </w:r>
    </w:p>
  </w:footnote>
  <w:footnote w:id="17">
    <w:p w14:paraId="124CBA45"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World Bank, Independent Evaluation Group, “Safeguards and Sustainability Policies in a Changing World: An Independent Evaluation of World Bank Group Experience,” paras. 5.27-5.31.</w:t>
      </w:r>
    </w:p>
  </w:footnote>
  <w:footnote w:id="18">
    <w:p w14:paraId="2492A084"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IFC and EBRD do not use the term “safeguards” but refer to “Performance Standards” and “Performance Requirements,” respectively, to designate operational requirements applicable to clients.</w:t>
      </w:r>
    </w:p>
  </w:footnote>
  <w:footnote w:id="19">
    <w:p w14:paraId="2824AB51"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As noted above, some MDBs treat Access to Information Policies as an integral part of their safeguard systems, whereas for other MDBs such policies form part of a broader institutional policy with respect to disclosure of various categories of information, not limited to safeguard issues. For the purpose of this report, Access to Information will be considered as part of the “architecture” of MDB safeguard systems, but the policies themselves will not be subject to comparative analysis.</w:t>
      </w:r>
    </w:p>
  </w:footnote>
  <w:footnote w:id="20">
    <w:p w14:paraId="21CD0138" w14:textId="1B67F18B"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World Bank OP 4.01 (Environmental Assessment) is considered to be an “umbrella policy;” it requires environmental and social issues to be considered in an “integrated manner.” In addition, there are some explicit cross-references among the various Bank OPs. However, in comparison with its MDB counterparts (see Annex 1) the Bank’s safeguard system exhibits a relatively horizontal architecture as the various World Bank OPs can operate independently of one another. This structural characteristic is found in other MDB safeguard policies, including</w:t>
      </w:r>
      <w:r>
        <w:rPr>
          <w:rFonts w:asciiTheme="minorHAnsi" w:hAnsiTheme="minorHAnsi" w:cstheme="minorHAnsi"/>
        </w:rPr>
        <w:t>,</w:t>
      </w:r>
      <w:r w:rsidRPr="000F7276">
        <w:rPr>
          <w:rFonts w:asciiTheme="minorHAnsi" w:hAnsiTheme="minorHAnsi" w:cstheme="minorHAnsi"/>
        </w:rPr>
        <w:t xml:space="preserve"> for example, IDB. </w:t>
      </w:r>
    </w:p>
  </w:footnote>
  <w:footnote w:id="21">
    <w:p w14:paraId="50B47D10" w14:textId="77777777" w:rsidR="00CF59E1" w:rsidRPr="000F7276" w:rsidRDefault="00CF59E1" w:rsidP="00A009E7">
      <w:pPr>
        <w:pStyle w:val="FootnoteText"/>
      </w:pPr>
      <w:r w:rsidRPr="000F7276">
        <w:rPr>
          <w:rStyle w:val="FootnoteReference"/>
        </w:rPr>
        <w:footnoteRef/>
      </w:r>
      <w:r w:rsidRPr="000F7276">
        <w:t xml:space="preserve"> The application of World Bank Performance Standards is governed by OP 4.03, issued in May 2013.</w:t>
      </w:r>
    </w:p>
  </w:footnote>
  <w:footnote w:id="22">
    <w:p w14:paraId="5A03EFD6" w14:textId="46737DBD" w:rsidR="00CF59E1" w:rsidRPr="00A009E7" w:rsidRDefault="00CF59E1" w:rsidP="00A009E7">
      <w:pPr>
        <w:pStyle w:val="FootnoteText"/>
      </w:pPr>
      <w:r w:rsidRPr="00A009E7">
        <w:rPr>
          <w:rStyle w:val="FootnoteReference"/>
        </w:rPr>
        <w:footnoteRef/>
      </w:r>
      <w:r w:rsidRPr="00A009E7">
        <w:t xml:space="preserve"> </w:t>
      </w:r>
      <w:r w:rsidRPr="00A009E7">
        <w:rPr>
          <w:bCs/>
        </w:rPr>
        <w:t>E.g., Investment Lending, Development Policy Lending, Programmatic Lending</w:t>
      </w:r>
      <w:r>
        <w:rPr>
          <w:bCs/>
        </w:rPr>
        <w:t>.</w:t>
      </w:r>
    </w:p>
  </w:footnote>
  <w:footnote w:id="23">
    <w:p w14:paraId="372E9FBC" w14:textId="77777777" w:rsidR="00CF59E1" w:rsidRPr="000F7276" w:rsidRDefault="00CF59E1" w:rsidP="00A009E7">
      <w:pPr>
        <w:pStyle w:val="FootnoteText"/>
        <w:tabs>
          <w:tab w:val="left" w:pos="3780"/>
        </w:tabs>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E.g., with respect to existing/new operations, FIs, emergency assistance, sector lending, co-financing, technical assistance, etc.</w:t>
      </w:r>
    </w:p>
  </w:footnote>
  <w:footnote w:id="24">
    <w:p w14:paraId="12B2CFBC"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For MDBS that apply the same requirements, there are variations in procedures to accommodate private sector business models and project cycles.</w:t>
      </w:r>
    </w:p>
  </w:footnote>
  <w:footnote w:id="25">
    <w:p w14:paraId="70D80A01"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ADB’s SPS does not apply to technical assistance.</w:t>
      </w:r>
    </w:p>
  </w:footnote>
  <w:footnote w:id="26">
    <w:p w14:paraId="2B04B6BC" w14:textId="6348FB64"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AfDB applies Environmental and Social Impact Assessment to investment projects and </w:t>
      </w:r>
      <w:r w:rsidR="00973D46">
        <w:rPr>
          <w:rFonts w:asciiTheme="minorHAnsi" w:hAnsiTheme="minorHAnsi" w:cstheme="minorHAnsi"/>
        </w:rPr>
        <w:t>SESA</w:t>
      </w:r>
      <w:r w:rsidRPr="000F7276">
        <w:rPr>
          <w:rFonts w:asciiTheme="minorHAnsi" w:hAnsiTheme="minorHAnsi" w:cstheme="minorHAnsi"/>
        </w:rPr>
        <w:t xml:space="preserve"> to regional, country and sector strategies as well as to “programme-based lending with high levels of environmental and social risk.”</w:t>
      </w:r>
    </w:p>
  </w:footnote>
  <w:footnote w:id="27">
    <w:p w14:paraId="6EE31333" w14:textId="0C162235" w:rsidR="00CF59E1" w:rsidRPr="000F7276" w:rsidRDefault="00CF59E1" w:rsidP="00A009E7">
      <w:pPr>
        <w:pStyle w:val="FootnoteText"/>
        <w:tabs>
          <w:tab w:val="left" w:pos="3780"/>
        </w:tabs>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EBRD and IFC do not engage in development policy or programmatic lending</w:t>
      </w:r>
      <w:r>
        <w:rPr>
          <w:rFonts w:asciiTheme="minorHAnsi" w:hAnsiTheme="minorHAnsi" w:cstheme="minorHAnsi"/>
        </w:rPr>
        <w:t>, as understood by the World Bank and other MDBs</w:t>
      </w:r>
      <w:r w:rsidRPr="000F7276">
        <w:rPr>
          <w:rFonts w:asciiTheme="minorHAnsi" w:hAnsiTheme="minorHAnsi" w:cstheme="minorHAnsi"/>
        </w:rPr>
        <w:t>.</w:t>
      </w:r>
    </w:p>
  </w:footnote>
  <w:footnote w:id="28">
    <w:p w14:paraId="1864819E" w14:textId="77777777" w:rsidR="00CF59E1" w:rsidRPr="000F7276" w:rsidRDefault="00CF59E1" w:rsidP="00A009E7">
      <w:pPr>
        <w:pStyle w:val="FootnoteText"/>
        <w:tabs>
          <w:tab w:val="left" w:pos="3780"/>
        </w:tabs>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EBRD and EIB apply differential treatment to some categories of FIs.</w:t>
      </w:r>
    </w:p>
  </w:footnote>
  <w:footnote w:id="29">
    <w:p w14:paraId="62CD4810" w14:textId="7A4059C9" w:rsidR="00CF59E1" w:rsidRPr="000F7276" w:rsidRDefault="00CF59E1" w:rsidP="00A009E7">
      <w:pPr>
        <w:pStyle w:val="FootnoteText"/>
        <w:tabs>
          <w:tab w:val="left" w:pos="3780"/>
        </w:tabs>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EBRD applies its Performance Requirements to its public sector portfolio; however differences exist in the Public Information Policy disclosure requirements for public sector </w:t>
      </w:r>
      <w:r>
        <w:rPr>
          <w:rFonts w:asciiTheme="minorHAnsi" w:hAnsiTheme="minorHAnsi" w:cstheme="minorHAnsi"/>
        </w:rPr>
        <w:t xml:space="preserve">Project Summary Documents </w:t>
      </w:r>
      <w:r w:rsidRPr="000F7276">
        <w:rPr>
          <w:rFonts w:asciiTheme="minorHAnsi" w:hAnsiTheme="minorHAnsi" w:cstheme="minorHAnsi"/>
        </w:rPr>
        <w:t>(60 days before Board) and E</w:t>
      </w:r>
      <w:r>
        <w:rPr>
          <w:rFonts w:asciiTheme="minorHAnsi" w:hAnsiTheme="minorHAnsi" w:cstheme="minorHAnsi"/>
        </w:rPr>
        <w:t xml:space="preserve">nvironmental and </w:t>
      </w:r>
      <w:r w:rsidRPr="000F7276">
        <w:rPr>
          <w:rFonts w:asciiTheme="minorHAnsi" w:hAnsiTheme="minorHAnsi" w:cstheme="minorHAnsi"/>
        </w:rPr>
        <w:t>S</w:t>
      </w:r>
      <w:r>
        <w:rPr>
          <w:rFonts w:asciiTheme="minorHAnsi" w:hAnsiTheme="minorHAnsi" w:cstheme="minorHAnsi"/>
        </w:rPr>
        <w:t xml:space="preserve">ocial </w:t>
      </w:r>
      <w:r w:rsidRPr="000F7276">
        <w:rPr>
          <w:rFonts w:asciiTheme="minorHAnsi" w:hAnsiTheme="minorHAnsi" w:cstheme="minorHAnsi"/>
        </w:rPr>
        <w:t>I</w:t>
      </w:r>
      <w:r>
        <w:rPr>
          <w:rFonts w:asciiTheme="minorHAnsi" w:hAnsiTheme="minorHAnsi" w:cstheme="minorHAnsi"/>
        </w:rPr>
        <w:t xml:space="preserve">mpact </w:t>
      </w:r>
      <w:r w:rsidRPr="000F7276">
        <w:rPr>
          <w:rFonts w:asciiTheme="minorHAnsi" w:hAnsiTheme="minorHAnsi" w:cstheme="minorHAnsi"/>
        </w:rPr>
        <w:t>A</w:t>
      </w:r>
      <w:r>
        <w:rPr>
          <w:rFonts w:asciiTheme="minorHAnsi" w:hAnsiTheme="minorHAnsi" w:cstheme="minorHAnsi"/>
        </w:rPr>
        <w:t>ssessment</w:t>
      </w:r>
      <w:r w:rsidRPr="000F7276">
        <w:rPr>
          <w:rFonts w:asciiTheme="minorHAnsi" w:hAnsiTheme="minorHAnsi" w:cstheme="minorHAnsi"/>
        </w:rPr>
        <w:t>s (120 days before Board).</w:t>
      </w:r>
    </w:p>
  </w:footnote>
  <w:footnote w:id="30">
    <w:p w14:paraId="78527A75"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EIB does not engage in development policy lending. It does support programmatic lending, although primarily within the European Union.</w:t>
      </w:r>
    </w:p>
  </w:footnote>
  <w:footnote w:id="31">
    <w:p w14:paraId="0F30C2E2" w14:textId="5434B769" w:rsidR="00CF59E1" w:rsidRPr="000F7276" w:rsidRDefault="00CF59E1" w:rsidP="00A009E7">
      <w:pPr>
        <w:pStyle w:val="FootnoteText"/>
        <w:tabs>
          <w:tab w:val="left" w:pos="3780"/>
        </w:tabs>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With the partial exception of the Inter-American Investment Corporation</w:t>
      </w:r>
      <w:r>
        <w:rPr>
          <w:rFonts w:asciiTheme="minorHAnsi" w:hAnsiTheme="minorHAnsi" w:cstheme="minorHAnsi"/>
        </w:rPr>
        <w:t>,</w:t>
      </w:r>
      <w:r w:rsidRPr="000F7276">
        <w:rPr>
          <w:rFonts w:asciiTheme="minorHAnsi" w:hAnsiTheme="minorHAnsi" w:cstheme="minorHAnsi"/>
        </w:rPr>
        <w:t xml:space="preserve"> which supports small and medium size private sector entities. </w:t>
      </w:r>
    </w:p>
  </w:footnote>
  <w:footnote w:id="32">
    <w:p w14:paraId="5CB10CA0" w14:textId="0623045F" w:rsidR="00CF59E1" w:rsidRPr="000F7276" w:rsidRDefault="00CF59E1" w:rsidP="00A009E7">
      <w:pPr>
        <w:pStyle w:val="FootnoteText"/>
        <w:tabs>
          <w:tab w:val="left" w:pos="3780"/>
        </w:tabs>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IFC does not engage in development policy or programmatic lend</w:t>
      </w:r>
      <w:r>
        <w:rPr>
          <w:rFonts w:asciiTheme="minorHAnsi" w:hAnsiTheme="minorHAnsi" w:cstheme="minorHAnsi"/>
        </w:rPr>
        <w:t>ing, as understood by the World Bank and other MDBs, except with respect to FIs</w:t>
      </w:r>
      <w:r w:rsidRPr="000F7276">
        <w:rPr>
          <w:rFonts w:asciiTheme="minorHAnsi" w:hAnsiTheme="minorHAnsi" w:cstheme="minorHAnsi"/>
        </w:rPr>
        <w:t xml:space="preserve">. However, IFC’s Policy and Performance Standards are applicable to IFC’s Advisory Services. </w:t>
      </w:r>
    </w:p>
  </w:footnote>
  <w:footnote w:id="33">
    <w:p w14:paraId="0F3E3CA1" w14:textId="77777777" w:rsidR="00CF59E1" w:rsidRPr="000F7276" w:rsidRDefault="00CF59E1" w:rsidP="00A009E7">
      <w:pPr>
        <w:pStyle w:val="FootnoteText"/>
        <w:tabs>
          <w:tab w:val="left" w:pos="3780"/>
        </w:tabs>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IFC environmental and social requirements and scope of their application to FIs vary depending on a number of factors associated with the level of risk and type of investment.</w:t>
      </w:r>
    </w:p>
  </w:footnote>
  <w:footnote w:id="34">
    <w:p w14:paraId="61A8B28B" w14:textId="7C869AD6" w:rsidR="00CF59E1" w:rsidRPr="000F7276" w:rsidRDefault="00CF59E1" w:rsidP="00A009E7">
      <w:pPr>
        <w:pStyle w:val="FootnoteText"/>
        <w:tabs>
          <w:tab w:val="left" w:pos="3780"/>
        </w:tabs>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D</w:t>
      </w:r>
      <w:r>
        <w:rPr>
          <w:rFonts w:asciiTheme="minorHAnsi" w:hAnsiTheme="minorHAnsi" w:cstheme="minorHAnsi"/>
        </w:rPr>
        <w:t xml:space="preserve">evelopment </w:t>
      </w:r>
      <w:r w:rsidRPr="000F7276">
        <w:rPr>
          <w:rFonts w:asciiTheme="minorHAnsi" w:hAnsiTheme="minorHAnsi" w:cstheme="minorHAnsi"/>
        </w:rPr>
        <w:t>P</w:t>
      </w:r>
      <w:r>
        <w:rPr>
          <w:rFonts w:asciiTheme="minorHAnsi" w:hAnsiTheme="minorHAnsi" w:cstheme="minorHAnsi"/>
        </w:rPr>
        <w:t>olicy Lending is</w:t>
      </w:r>
      <w:r w:rsidRPr="000F7276">
        <w:rPr>
          <w:rFonts w:asciiTheme="minorHAnsi" w:hAnsiTheme="minorHAnsi" w:cstheme="minorHAnsi"/>
        </w:rPr>
        <w:t xml:space="preserve"> subject to OP 8.60; programmatic lending is subject to OP 9.00.</w:t>
      </w:r>
    </w:p>
  </w:footnote>
  <w:footnote w:id="35">
    <w:p w14:paraId="1FD67855" w14:textId="77777777" w:rsidR="00CF59E1" w:rsidRPr="000F7276" w:rsidRDefault="00CF59E1" w:rsidP="00A009E7">
      <w:pPr>
        <w:pStyle w:val="FootnoteText"/>
        <w:tabs>
          <w:tab w:val="left" w:pos="3780"/>
        </w:tabs>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The Bank applies differentiated treatment to emergency and disaster relief projects under specified circumstances.</w:t>
      </w:r>
    </w:p>
  </w:footnote>
  <w:footnote w:id="36">
    <w:p w14:paraId="01D315B2" w14:textId="67E93E5C"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The Bank applies the World Bank Performance Standards (OP</w:t>
      </w:r>
      <w:r>
        <w:rPr>
          <w:rFonts w:asciiTheme="minorHAnsi" w:hAnsiTheme="minorHAnsi" w:cstheme="minorHAnsi"/>
        </w:rPr>
        <w:t xml:space="preserve"> </w:t>
      </w:r>
      <w:r w:rsidRPr="000F7276">
        <w:rPr>
          <w:rFonts w:asciiTheme="minorHAnsi" w:hAnsiTheme="minorHAnsi" w:cstheme="minorHAnsi"/>
        </w:rPr>
        <w:t xml:space="preserve">4.03) rather than </w:t>
      </w:r>
      <w:r>
        <w:rPr>
          <w:rFonts w:asciiTheme="minorHAnsi" w:hAnsiTheme="minorHAnsi" w:cstheme="minorHAnsi"/>
        </w:rPr>
        <w:t xml:space="preserve">its OPs </w:t>
      </w:r>
      <w:r w:rsidRPr="000F7276">
        <w:rPr>
          <w:rFonts w:asciiTheme="minorHAnsi" w:hAnsiTheme="minorHAnsi" w:cstheme="minorHAnsi"/>
        </w:rPr>
        <w:t xml:space="preserve">to private sector led projects </w:t>
      </w:r>
      <w:r>
        <w:rPr>
          <w:rFonts w:asciiTheme="minorHAnsi" w:hAnsiTheme="minorHAnsi" w:cstheme="minorHAnsi"/>
        </w:rPr>
        <w:t>involvi</w:t>
      </w:r>
      <w:r w:rsidRPr="000F7276">
        <w:rPr>
          <w:rFonts w:asciiTheme="minorHAnsi" w:hAnsiTheme="minorHAnsi" w:cstheme="minorHAnsi"/>
        </w:rPr>
        <w:t>ng Public-Private Partnerships.</w:t>
      </w:r>
    </w:p>
  </w:footnote>
  <w:footnote w:id="37">
    <w:p w14:paraId="19F405B7"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In principle, Bank OPs set forth the requirements for borrowers, whereas Bank BPs set forth the procedures for the Bank, but these distinctions are not consistently clear.</w:t>
      </w:r>
    </w:p>
  </w:footnote>
  <w:footnote w:id="38">
    <w:p w14:paraId="2FE45879" w14:textId="3496AF5D"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In the case of EBRD there are no formal “fast track procedures” for emergency projects; however, </w:t>
      </w:r>
      <w:r>
        <w:rPr>
          <w:rFonts w:asciiTheme="minorHAnsi" w:hAnsiTheme="minorHAnsi" w:cstheme="minorHAnsi"/>
        </w:rPr>
        <w:t>the Board can agree to deferral</w:t>
      </w:r>
      <w:r w:rsidRPr="000F7276">
        <w:rPr>
          <w:rFonts w:asciiTheme="minorHAnsi" w:hAnsiTheme="minorHAnsi" w:cstheme="minorHAnsi"/>
        </w:rPr>
        <w:t xml:space="preserve"> of requirements on an exceptional basis or as a derogation to the policy.</w:t>
      </w:r>
    </w:p>
  </w:footnote>
  <w:footnote w:id="39">
    <w:p w14:paraId="6622F5F8" w14:textId="316C91F0"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In addition to </w:t>
      </w:r>
      <w:r w:rsidR="00973D46">
        <w:rPr>
          <w:rFonts w:asciiTheme="minorHAnsi" w:hAnsiTheme="minorHAnsi" w:cstheme="minorHAnsi"/>
        </w:rPr>
        <w:t>Multilateral Environmental Agreements (MEAs)</w:t>
      </w:r>
      <w:r w:rsidRPr="000F7276">
        <w:rPr>
          <w:rFonts w:asciiTheme="minorHAnsi" w:hAnsiTheme="minorHAnsi" w:cstheme="minorHAnsi"/>
        </w:rPr>
        <w:t>, some MDBs also cite multilateral and regional agreements addressing social impacts and</w:t>
      </w:r>
      <w:r>
        <w:rPr>
          <w:rFonts w:asciiTheme="minorHAnsi" w:hAnsiTheme="minorHAnsi" w:cstheme="minorHAnsi"/>
        </w:rPr>
        <w:t xml:space="preserve"> risks, such as EBRD’s use of European Union e</w:t>
      </w:r>
      <w:r w:rsidRPr="000F7276">
        <w:rPr>
          <w:rFonts w:asciiTheme="minorHAnsi" w:hAnsiTheme="minorHAnsi" w:cstheme="minorHAnsi"/>
        </w:rPr>
        <w:t>nvironmental requirements where these can be applied at the project level.</w:t>
      </w:r>
    </w:p>
  </w:footnote>
  <w:footnote w:id="40">
    <w:p w14:paraId="66430707"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These examples are illustrative rather than exclusive. For a more comprehensive treatment of this issue, including references and discussion, see Annex 2: Thematic Coverage of MDB Safeguard Policies. </w:t>
      </w:r>
    </w:p>
  </w:footnote>
  <w:footnote w:id="41">
    <w:p w14:paraId="041C7478" w14:textId="695BDE35" w:rsidR="00CF59E1" w:rsidRPr="000F7276" w:rsidRDefault="00CF59E1" w:rsidP="00A009E7">
      <w:pPr>
        <w:rPr>
          <w:rFonts w:asciiTheme="minorHAnsi" w:hAnsiTheme="minorHAnsi" w:cstheme="minorHAnsi"/>
          <w:sz w:val="20"/>
          <w:szCs w:val="20"/>
        </w:rPr>
      </w:pPr>
      <w:r w:rsidRPr="000F7276">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Af</w:t>
      </w:r>
      <w:r w:rsidRPr="000F7276">
        <w:rPr>
          <w:rFonts w:asciiTheme="minorHAnsi" w:hAnsiTheme="minorHAnsi" w:cstheme="minorHAnsi"/>
          <w:sz w:val="20"/>
          <w:szCs w:val="20"/>
        </w:rPr>
        <w:t>DB, Operational Safeguard 1, para. 40</w:t>
      </w:r>
      <w:r>
        <w:rPr>
          <w:rFonts w:asciiTheme="minorHAnsi" w:hAnsiTheme="minorHAnsi" w:cstheme="minorHAnsi"/>
          <w:sz w:val="20"/>
          <w:szCs w:val="20"/>
        </w:rPr>
        <w:t>,</w:t>
      </w:r>
      <w:r w:rsidRPr="000F7276">
        <w:rPr>
          <w:rFonts w:asciiTheme="minorHAnsi" w:hAnsiTheme="minorHAnsi" w:cstheme="minorHAnsi"/>
          <w:sz w:val="20"/>
          <w:szCs w:val="20"/>
        </w:rPr>
        <w:t xml:space="preserve"> states that: “Vulnerable status can be determined by identifying a group’s likelihood of facing harder conditions as a result of the project, owing to specific factors such as [inter alia] health condition.”</w:t>
      </w:r>
    </w:p>
  </w:footnote>
  <w:footnote w:id="42">
    <w:p w14:paraId="52ACD1F2"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Limited to MDBs that use this terminology as set forth in the UN General Assembly Resolution on the Rights of Indigenous Peoples (UNGA Resolution). </w:t>
      </w:r>
    </w:p>
  </w:footnote>
  <w:footnote w:id="43">
    <w:p w14:paraId="4AFF0D27" w14:textId="0468862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Per IDB</w:t>
      </w:r>
      <w:r>
        <w:rPr>
          <w:rFonts w:asciiTheme="minorHAnsi" w:hAnsiTheme="minorHAnsi" w:cstheme="minorHAnsi"/>
        </w:rPr>
        <w:t>,</w:t>
      </w:r>
      <w:r w:rsidRPr="000F7276">
        <w:rPr>
          <w:rFonts w:asciiTheme="minorHAnsi" w:hAnsiTheme="minorHAnsi" w:cstheme="minorHAnsi"/>
        </w:rPr>
        <w:t xml:space="preserve"> its reference to FPIC and to the then-draft UN resolution “is limited in scope and focused on agreement rather than consent.” </w:t>
      </w:r>
    </w:p>
  </w:footnote>
  <w:footnote w:id="44">
    <w:p w14:paraId="3799ECC2" w14:textId="437420E5" w:rsidR="00CF59E1" w:rsidRDefault="00CF59E1" w:rsidP="00A009E7">
      <w:pPr>
        <w:pStyle w:val="FootnoteText"/>
      </w:pPr>
      <w:r>
        <w:rPr>
          <w:rStyle w:val="FootnoteReference"/>
        </w:rPr>
        <w:footnoteRef/>
      </w:r>
      <w:r>
        <w:t xml:space="preserve"> See Annex 2 for specific references.</w:t>
      </w:r>
    </w:p>
  </w:footnote>
  <w:footnote w:id="45">
    <w:p w14:paraId="24D705E4" w14:textId="7A1E3A0B"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There is some perception within the MDB community and elsewhere that such Exclusion Lists pertain only to projects financed through FIs. This perception may be consistent with the origin of the exclusion lists</w:t>
      </w:r>
      <w:r>
        <w:rPr>
          <w:rFonts w:asciiTheme="minorHAnsi" w:hAnsiTheme="minorHAnsi" w:cstheme="minorHAnsi"/>
        </w:rPr>
        <w:t>,</w:t>
      </w:r>
      <w:r w:rsidRPr="000F7276">
        <w:rPr>
          <w:rFonts w:asciiTheme="minorHAnsi" w:hAnsiTheme="minorHAnsi" w:cstheme="minorHAnsi"/>
        </w:rPr>
        <w:t xml:space="preserve"> which were introduced in many cases to delimit FI subprojects not oth</w:t>
      </w:r>
      <w:r>
        <w:rPr>
          <w:rFonts w:asciiTheme="minorHAnsi" w:hAnsiTheme="minorHAnsi" w:cstheme="minorHAnsi"/>
        </w:rPr>
        <w:t>erwise subject to the safeguard</w:t>
      </w:r>
      <w:r w:rsidRPr="000F7276">
        <w:rPr>
          <w:rFonts w:asciiTheme="minorHAnsi" w:hAnsiTheme="minorHAnsi" w:cstheme="minorHAnsi"/>
        </w:rPr>
        <w:t xml:space="preserve"> requirements that MDBs apply to their own direct lending. However, a close examination of the current safeguard policies of the six MDBs reviewed here indicates that such exclusion policies are generally applicable to both direct lending and FIs, but with diverse applications depending on the specific type of lending operation. For some MDBs there are instances of overlap among Exclusion/Prohibition Lists and statements in their safeguard policies or operational requirements for borrowers. These instances tend to arise for those Lists that are designed to apply to one or more categories of FIs that may not be held accountable to operational safeguard requirements due to the nominally low risk nature of their proposed activities.</w:t>
      </w:r>
    </w:p>
  </w:footnote>
  <w:footnote w:id="46">
    <w:p w14:paraId="6809C149"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Categorical exclusions and prohibitions included in MDB procurement policies have not been included in this comparative analysis as procurement policy is outside the scope of the Bank’s SRU and, accordingly, beyond the scope of this report. Moreover, application, implementation and monitoring of procurement provisions are not subject to the same procedures as MDB operational safeguard requirements. </w:t>
      </w:r>
    </w:p>
  </w:footnote>
  <w:footnote w:id="47">
    <w:p w14:paraId="5948F5F8" w14:textId="77777777" w:rsidR="00CF59E1" w:rsidRPr="000F7276" w:rsidRDefault="00CF59E1" w:rsidP="00A009E7">
      <w:pPr>
        <w:pStyle w:val="FootnoteText"/>
      </w:pPr>
      <w:r w:rsidRPr="000F7276">
        <w:rPr>
          <w:rStyle w:val="FootnoteReference"/>
        </w:rPr>
        <w:footnoteRef/>
      </w:r>
      <w:r w:rsidRPr="000F7276">
        <w:t xml:space="preserve"> For example, EBRD relies on Performance Standard 2 for exclusions and prohibitions related to labor and working conditions.</w:t>
      </w:r>
    </w:p>
  </w:footnote>
  <w:footnote w:id="48">
    <w:p w14:paraId="5F110CE0" w14:textId="5C744C72"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E.g., OP 4.01 prohibits</w:t>
      </w:r>
      <w:r w:rsidRPr="000F7276">
        <w:t xml:space="preserve"> projects that contravene the borrow</w:t>
      </w:r>
      <w:r>
        <w:t>er country’s obligations under international agreements;</w:t>
      </w:r>
      <w:r w:rsidRPr="000F7276">
        <w:rPr>
          <w:rFonts w:asciiTheme="minorHAnsi" w:hAnsiTheme="minorHAnsi" w:cstheme="minorHAnsi"/>
        </w:rPr>
        <w:t xml:space="preserve"> OP 4.04 contains a prohibition against conversion or degradation of “critical natural habitats;</w:t>
      </w:r>
      <w:r>
        <w:rPr>
          <w:rFonts w:asciiTheme="minorHAnsi" w:hAnsiTheme="minorHAnsi" w:cstheme="minorHAnsi"/>
        </w:rPr>
        <w:t>”</w:t>
      </w:r>
      <w:r w:rsidRPr="000F7276">
        <w:rPr>
          <w:rFonts w:asciiTheme="minorHAnsi" w:hAnsiTheme="minorHAnsi" w:cstheme="minorHAnsi"/>
        </w:rPr>
        <w:t xml:space="preserve"> OP 4.36 prohibits </w:t>
      </w:r>
      <w:r w:rsidRPr="000F7276">
        <w:t>significant conversion or degrad</w:t>
      </w:r>
      <w:r>
        <w:t xml:space="preserve">ation of critical forest area; </w:t>
      </w:r>
      <w:r w:rsidRPr="000F7276">
        <w:t xml:space="preserve">OP. 4.09 </w:t>
      </w:r>
      <w:r w:rsidRPr="000F7276">
        <w:rPr>
          <w:rFonts w:asciiTheme="minorHAnsi" w:hAnsiTheme="minorHAnsi" w:cstheme="minorHAnsi"/>
        </w:rPr>
        <w:t>prohibits the use of specified categories of pesticides under certain circumstance</w:t>
      </w:r>
      <w:r>
        <w:rPr>
          <w:rFonts w:asciiTheme="minorHAnsi" w:hAnsiTheme="minorHAnsi" w:cstheme="minorHAnsi"/>
        </w:rPr>
        <w:t>s</w:t>
      </w:r>
      <w:r w:rsidRPr="000F7276">
        <w:rPr>
          <w:rFonts w:asciiTheme="minorHAnsi" w:hAnsiTheme="minorHAnsi" w:cstheme="minorHAnsi"/>
        </w:rPr>
        <w:t>; OP 4.12 prohibits involuntary land acquisition absent specified pre-conditions; and OP 4.11 prohibits certain activities adversely affecting physical cultural resources</w:t>
      </w:r>
      <w:r>
        <w:rPr>
          <w:rFonts w:asciiTheme="minorHAnsi" w:hAnsiTheme="minorHAnsi" w:cstheme="minorHAnsi"/>
        </w:rPr>
        <w:t>.</w:t>
      </w:r>
    </w:p>
  </w:footnote>
  <w:footnote w:id="49">
    <w:p w14:paraId="2C27C8CA" w14:textId="77777777" w:rsidR="00CF59E1" w:rsidRPr="000F7276" w:rsidRDefault="00CF59E1" w:rsidP="00A009E7">
      <w:pPr>
        <w:rPr>
          <w:rFonts w:asciiTheme="minorHAnsi" w:hAnsiTheme="minorHAnsi" w:cstheme="minorHAnsi"/>
          <w:sz w:val="20"/>
          <w:szCs w:val="20"/>
        </w:rPr>
      </w:pPr>
      <w:r w:rsidRPr="000F7276">
        <w:rPr>
          <w:rStyle w:val="FootnoteReference"/>
          <w:rFonts w:asciiTheme="minorHAnsi" w:hAnsiTheme="minorHAnsi" w:cstheme="minorHAnsi"/>
          <w:sz w:val="20"/>
          <w:szCs w:val="20"/>
        </w:rPr>
        <w:footnoteRef/>
      </w:r>
      <w:hyperlink r:id="rId1" w:history="1">
        <w:r w:rsidRPr="000F7276">
          <w:rPr>
            <w:rStyle w:val="Hyperlink"/>
            <w:rFonts w:asciiTheme="minorHAnsi" w:hAnsiTheme="minorHAnsi" w:cstheme="minorHAnsi"/>
            <w:sz w:val="20"/>
            <w:szCs w:val="20"/>
          </w:rPr>
          <w:t>http://fidic.org/node/321</w:t>
        </w:r>
      </w:hyperlink>
    </w:p>
  </w:footnote>
  <w:footnote w:id="50">
    <w:p w14:paraId="0D4EB7F1"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Footnote 17 refers to “Excluded expenditures” consisting of “among others alcohol beverages, tobacco products, luxury items, military goods, radioactive and nuclear reactors, environmentally hazardous goods…”’ </w:t>
      </w:r>
    </w:p>
  </w:footnote>
  <w:footnote w:id="51">
    <w:p w14:paraId="1FF341C3"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“Exceptions, which must be approved by the Vice President [Operations and Strategy, currently Operations Policy and Country Services], may be allowed for countries that are heavily dependent on tobacco as source of income (especially for poor farmers and farm workers) and foreign exchange earnings (i.e., …where tobacco accounts for more than ten percent of exports).”</w:t>
      </w:r>
    </w:p>
  </w:footnote>
  <w:footnote w:id="52">
    <w:p w14:paraId="522EABEF" w14:textId="25A0188B"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Pr>
          <w:rFonts w:asciiTheme="minorHAnsi" w:hAnsiTheme="minorHAnsi" w:cstheme="minorHAnsi"/>
        </w:rPr>
        <w:t xml:space="preserve"> Per OP</w:t>
      </w:r>
      <w:r w:rsidRPr="000F7276">
        <w:rPr>
          <w:rFonts w:asciiTheme="minorHAnsi" w:hAnsiTheme="minorHAnsi" w:cstheme="minorHAnsi"/>
        </w:rPr>
        <w:t xml:space="preserve"> 4.76</w:t>
      </w:r>
      <w:r>
        <w:rPr>
          <w:rFonts w:asciiTheme="minorHAnsi" w:hAnsiTheme="minorHAnsi" w:cstheme="minorHAnsi"/>
        </w:rPr>
        <w:t>,</w:t>
      </w:r>
      <w:r w:rsidRPr="000F7276">
        <w:rPr>
          <w:rFonts w:asciiTheme="minorHAnsi" w:hAnsiTheme="minorHAnsi" w:cstheme="minorHAnsi"/>
        </w:rPr>
        <w:t xml:space="preserve"> the Bank’s prohibition of tobacco-related activity is justified on the basis of “Bank activities in the health sector [which] ….discourage the use of tobacco products.”</w:t>
      </w:r>
    </w:p>
  </w:footnote>
  <w:footnote w:id="53">
    <w:p w14:paraId="6386BE59" w14:textId="39472204" w:rsidR="00CF59E1" w:rsidRPr="000F7276" w:rsidRDefault="00CF59E1" w:rsidP="00A009E7">
      <w:pPr>
        <w:rPr>
          <w:rFonts w:asciiTheme="minorHAnsi" w:hAnsiTheme="minorHAnsi" w:cstheme="minorHAnsi"/>
          <w:sz w:val="20"/>
          <w:szCs w:val="20"/>
          <w:lang w:val="fr-FR"/>
        </w:rPr>
      </w:pPr>
      <w:r w:rsidRPr="000F7276">
        <w:rPr>
          <w:rStyle w:val="FootnoteReference"/>
          <w:rFonts w:asciiTheme="minorHAnsi" w:hAnsiTheme="minorHAnsi" w:cstheme="minorHAnsi"/>
          <w:sz w:val="20"/>
          <w:szCs w:val="20"/>
        </w:rPr>
        <w:footnoteRef/>
      </w:r>
      <w:r w:rsidRPr="000F7276">
        <w:rPr>
          <w:rFonts w:asciiTheme="minorHAnsi" w:hAnsiTheme="minorHAnsi" w:cstheme="minorHAnsi"/>
          <w:sz w:val="20"/>
          <w:szCs w:val="20"/>
          <w:lang w:val="fr-FR"/>
        </w:rPr>
        <w:t xml:space="preserve"> SPS Appendix 5, para. 47. </w:t>
      </w:r>
    </w:p>
  </w:footnote>
  <w:footnote w:id="54">
    <w:p w14:paraId="434143F5" w14:textId="09DA6271"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lang w:val="fr-FR"/>
        </w:rPr>
        <w:t xml:space="preserve"> SPS Appendix 4, para. </w:t>
      </w:r>
      <w:r w:rsidRPr="000F7276">
        <w:rPr>
          <w:rFonts w:asciiTheme="minorHAnsi" w:hAnsiTheme="minorHAnsi" w:cstheme="minorHAnsi"/>
        </w:rPr>
        <w:t>14</w:t>
      </w:r>
      <w:r>
        <w:rPr>
          <w:rFonts w:asciiTheme="minorHAnsi" w:hAnsiTheme="minorHAnsi" w:cstheme="minorHAnsi"/>
        </w:rPr>
        <w:t>.</w:t>
      </w:r>
    </w:p>
  </w:footnote>
  <w:footnote w:id="55">
    <w:p w14:paraId="39D8EFDC"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Integrated Safeguards Policy Statement, para. 18. </w:t>
      </w:r>
    </w:p>
  </w:footnote>
  <w:footnote w:id="56">
    <w:p w14:paraId="5276AD4D"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w:t>
      </w:r>
      <w:hyperlink r:id="rId2" w:history="1">
        <w:r w:rsidRPr="000F7276">
          <w:rPr>
            <w:rStyle w:val="Hyperlink"/>
            <w:rFonts w:asciiTheme="minorHAnsi" w:hAnsiTheme="minorHAnsi" w:cstheme="minorHAnsi"/>
            <w:color w:val="auto"/>
          </w:rPr>
          <w:t>http://www.eib.org/attachments/documents/excluded_activities_2013_en.pdf</w:t>
        </w:r>
      </w:hyperlink>
      <w:r w:rsidRPr="000F7276">
        <w:rPr>
          <w:rFonts w:asciiTheme="minorHAnsi" w:hAnsiTheme="minorHAnsi" w:cstheme="minorHAnsi"/>
        </w:rPr>
        <w:t>. However, the Environmental and Social Handbook issued in January 2014 makes no references to the Excluded Activities List or its role in the screening process for either direct lending or intermediated operations.</w:t>
      </w:r>
    </w:p>
  </w:footnote>
  <w:footnote w:id="57">
    <w:p w14:paraId="2DE34FC5" w14:textId="3ED5658F" w:rsidR="00CF59E1" w:rsidRPr="000F7276" w:rsidRDefault="00CF59E1" w:rsidP="00A009E7">
      <w:pPr>
        <w:pStyle w:val="FootnoteText"/>
      </w:pPr>
      <w:r w:rsidRPr="000F7276">
        <w:rPr>
          <w:rStyle w:val="FootnoteReference"/>
        </w:rPr>
        <w:footnoteRef/>
      </w:r>
      <w:r>
        <w:rPr>
          <w:rFonts w:asciiTheme="minorHAnsi" w:hAnsiTheme="minorHAnsi"/>
        </w:rPr>
        <w:t xml:space="preserve"> </w:t>
      </w:r>
      <w:r w:rsidRPr="000F7276">
        <w:rPr>
          <w:rFonts w:asciiTheme="minorHAnsi" w:hAnsiTheme="minorHAnsi"/>
        </w:rPr>
        <w:t xml:space="preserve">See </w:t>
      </w:r>
      <w:hyperlink r:id="rId3" w:history="1">
        <w:r w:rsidRPr="000F7276">
          <w:rPr>
            <w:rStyle w:val="Hyperlink"/>
            <w:rFonts w:asciiTheme="minorHAnsi" w:hAnsiTheme="minorHAnsi"/>
          </w:rPr>
          <w:t>http://www.ebrd.com/pages/workingwithus/projects/what.shtml</w:t>
        </w:r>
      </w:hyperlink>
    </w:p>
  </w:footnote>
  <w:footnote w:id="58">
    <w:p w14:paraId="04780885"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Per IDB, in practice, the Exclusion List also applies in practice to all-sub-loans, including those made by FIs. </w:t>
      </w:r>
    </w:p>
  </w:footnote>
  <w:footnote w:id="59">
    <w:p w14:paraId="0BEB8287"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OP-703, Directive B.17.</w:t>
      </w:r>
    </w:p>
  </w:footnote>
  <w:footnote w:id="60">
    <w:p w14:paraId="64FB2EF6"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IDB, Implementation Guidelines for the Environment and Safeguards Policy, Policy Directive B.5.</w:t>
      </w:r>
    </w:p>
  </w:footnote>
  <w:footnote w:id="61">
    <w:p w14:paraId="13457CDF"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IFC, Policy on Environmental and Social Sustainability, para. 19. and relevant IFC website:</w:t>
      </w:r>
    </w:p>
    <w:p w14:paraId="6BD420E5" w14:textId="77777777" w:rsidR="00CF59E1" w:rsidRPr="000F7276" w:rsidRDefault="00814F03" w:rsidP="00A009E7">
      <w:pPr>
        <w:pStyle w:val="FootnoteText"/>
        <w:rPr>
          <w:rFonts w:asciiTheme="minorHAnsi" w:hAnsiTheme="minorHAnsi" w:cstheme="minorHAnsi"/>
        </w:rPr>
      </w:pPr>
      <w:hyperlink r:id="rId4" w:tgtFrame="_blank" w:history="1">
        <w:r w:rsidR="00CF59E1" w:rsidRPr="000F7276">
          <w:rPr>
            <w:rFonts w:asciiTheme="minorHAnsi" w:eastAsia="Times New Roman" w:hAnsiTheme="minorHAnsi" w:cstheme="minorHAnsi"/>
          </w:rPr>
          <w:t>http://www.ifc.org/wps/wcm/connect/Topics_Ext_Content/IFC_External_Corporate_Site/IFC+Sustainability/Sustainability+Framework/IFC+Exclusion+List/</w:t>
        </w:r>
      </w:hyperlink>
    </w:p>
  </w:footnote>
  <w:footnote w:id="62">
    <w:p w14:paraId="6D685DD4"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The language used to describe the exclusion is identical to the language used by at least one of the MDBs and in most cases by the other indicated subscribers. Any significant exceptions or deviations are cited in the footnotes accompanying Annex 4.</w:t>
      </w:r>
    </w:p>
  </w:footnote>
  <w:footnote w:id="63">
    <w:p w14:paraId="57E46E4C" w14:textId="77777777" w:rsidR="00CF59E1" w:rsidRPr="000F7276" w:rsidRDefault="00CF59E1" w:rsidP="00A009E7">
      <w:pPr>
        <w:rPr>
          <w:rFonts w:asciiTheme="minorHAnsi" w:hAnsiTheme="minorHAnsi" w:cstheme="minorHAnsi"/>
          <w:sz w:val="20"/>
          <w:szCs w:val="20"/>
        </w:rPr>
      </w:pPr>
      <w:r w:rsidRPr="000F7276">
        <w:rPr>
          <w:rStyle w:val="FootnoteReference"/>
          <w:rFonts w:asciiTheme="minorHAnsi" w:hAnsiTheme="minorHAnsi" w:cstheme="minorHAnsi"/>
          <w:sz w:val="20"/>
          <w:szCs w:val="20"/>
        </w:rPr>
        <w:footnoteRef/>
      </w:r>
      <w:r w:rsidRPr="000F7276">
        <w:rPr>
          <w:rFonts w:asciiTheme="minorHAnsi" w:hAnsiTheme="minorHAnsi" w:cstheme="minorHAnsi"/>
          <w:sz w:val="20"/>
          <w:szCs w:val="20"/>
        </w:rPr>
        <w:t xml:space="preserve"> United Nations General Assembly (UNGA) Resolution 46/215 (1991) called for a global moratorium on large-scale high seas driftnet fishing, but did not define “large scale” driftnets. Other international agreements have consistently defined “large driftnets” as “gillnets or other nets or a combination of nets that are more than 2.5 kilometers in length whose purpose is to enmesh, entrap, or entangle fish by drifting on the surface of, or in, the water column.” See for example </w:t>
      </w:r>
      <w:hyperlink r:id="rId5" w:history="1">
        <w:r w:rsidRPr="000F7276">
          <w:rPr>
            <w:rStyle w:val="Hyperlink"/>
            <w:rFonts w:asciiTheme="minorHAnsi" w:hAnsiTheme="minorHAnsi" w:cstheme="minorHAnsi"/>
            <w:color w:val="auto"/>
            <w:sz w:val="20"/>
            <w:szCs w:val="20"/>
          </w:rPr>
          <w:t>http://www.wcpfc.int/system/files/CMM%202008-04%20%5BDriftnets%5D.pdf</w:t>
        </w:r>
      </w:hyperlink>
    </w:p>
  </w:footnote>
  <w:footnote w:id="64">
    <w:p w14:paraId="7168432E"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ADB does not specify an allowable minimum length for driftnets. </w:t>
      </w:r>
    </w:p>
  </w:footnote>
  <w:footnote w:id="65">
    <w:p w14:paraId="47E6394A"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This prohibition is consistent with the safeguard policies of some other MDBs.</w:t>
      </w:r>
    </w:p>
  </w:footnote>
  <w:footnote w:id="66">
    <w:p w14:paraId="6630B634"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EIB’s exclusion applies only where “prohibited by national legislation.” </w:t>
      </w:r>
    </w:p>
  </w:footnote>
  <w:footnote w:id="67">
    <w:p w14:paraId="75CADF6D"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EIB’s exclusion applies to hotels with in-house casinos as well as “related equipment.”</w:t>
      </w:r>
    </w:p>
  </w:footnote>
  <w:footnote w:id="68">
    <w:p w14:paraId="02EA4014"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EIB’s exclusion applies only where this activity is “prohibited by national legislation.”</w:t>
      </w:r>
    </w:p>
  </w:footnote>
  <w:footnote w:id="69">
    <w:p w14:paraId="6FA8ECE5"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Per EIB’s List of Excluded Activities, “[a]activities involving live animals for experimental and scientific purposes are eligible insofar as in compliance with…Directive 2010/63/EU of the European Parliament and of the Council of 22 September 2010 on The Protection of Animals Used for Scientific Purposes.”</w:t>
      </w:r>
    </w:p>
  </w:footnote>
  <w:footnote w:id="70">
    <w:p w14:paraId="181F986E" w14:textId="0B2AB613" w:rsidR="00CF59E1" w:rsidRPr="000F7276" w:rsidRDefault="00CF59E1" w:rsidP="00A009E7">
      <w:pPr>
        <w:pStyle w:val="FootnoteText"/>
      </w:pPr>
      <w:r w:rsidRPr="000F7276">
        <w:rPr>
          <w:rStyle w:val="FootnoteReference"/>
        </w:rPr>
        <w:footnoteRef/>
      </w:r>
      <w:r w:rsidRPr="000F7276">
        <w:t xml:space="preserve"> In compliance with the Charter of Fundamental Rights of the European Union.</w:t>
      </w:r>
    </w:p>
  </w:footnote>
  <w:footnote w:id="71">
    <w:p w14:paraId="3E94FEC9"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This prohibition is referenced in IFC’s exclusion list for microfinance projects.</w:t>
      </w:r>
    </w:p>
  </w:footnote>
  <w:footnote w:id="72">
    <w:p w14:paraId="74FF3DA8"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EIB’s exclusion extends to “military/police equipment or infrastructure” as well as “explosives and sporting weapons.” </w:t>
      </w:r>
    </w:p>
  </w:footnote>
  <w:footnote w:id="73">
    <w:p w14:paraId="7EED51A9"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EBRD also excludes “asbestos-containing products.” </w:t>
      </w:r>
    </w:p>
  </w:footnote>
  <w:footnote w:id="74">
    <w:p w14:paraId="7162B581"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EIB’s exclusion extends to production, manufacturing, processing and distribution of tobacco or tobacco products.</w:t>
      </w:r>
    </w:p>
  </w:footnote>
  <w:footnote w:id="75">
    <w:p w14:paraId="72DA1277"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All MDBs apply an exception for the purchase of medical equipment, quality control (measurement) equipment, and any equipment for which the radioactive source is considered by the MDB “to be trivial and adequately shielded.”</w:t>
      </w:r>
    </w:p>
  </w:footnote>
  <w:footnote w:id="76">
    <w:p w14:paraId="33036222"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EIB’s exclusion applies only where this activity is “prohibited by national legislation.” </w:t>
      </w:r>
    </w:p>
  </w:footnote>
  <w:footnote w:id="77">
    <w:p w14:paraId="23D8726B"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As listed in the Rotterdam Convention on the Prior Informed Consent Procedure for Certain Hazardous Chemicals and Pesticides in International Trade (Rotterdam Convention).</w:t>
      </w:r>
    </w:p>
  </w:footnote>
  <w:footnote w:id="78">
    <w:p w14:paraId="41AA31F6" w14:textId="77777777" w:rsidR="00CF59E1" w:rsidRPr="000F7276" w:rsidRDefault="00CF59E1" w:rsidP="00A009E7">
      <w:pPr>
        <w:pStyle w:val="Default"/>
        <w:rPr>
          <w:rFonts w:asciiTheme="minorHAnsi" w:hAnsiTheme="minorHAnsi" w:cstheme="minorHAnsi"/>
          <w:sz w:val="20"/>
          <w:szCs w:val="20"/>
        </w:rPr>
      </w:pPr>
      <w:r w:rsidRPr="000F7276">
        <w:rPr>
          <w:rStyle w:val="FootnoteReference"/>
          <w:rFonts w:asciiTheme="minorHAnsi" w:hAnsiTheme="minorHAnsi" w:cstheme="minorHAnsi"/>
          <w:sz w:val="20"/>
          <w:szCs w:val="20"/>
        </w:rPr>
        <w:footnoteRef/>
      </w:r>
      <w:r w:rsidRPr="000F7276">
        <w:rPr>
          <w:rFonts w:asciiTheme="minorHAnsi" w:hAnsiTheme="minorHAnsi" w:cstheme="minorHAnsi"/>
          <w:sz w:val="20"/>
          <w:szCs w:val="20"/>
        </w:rPr>
        <w:t xml:space="preserve"> Per EBRD, this prohibition applies to “tankers which do not have all required MARPOL SOLAS certificates (including, without limitation, ISM Code compliance), tankers blacklisted by the European Union or banned by the Paris Memorandum of Understanding on Port State Control (Paris MOU) and tankers due for phase out under MARPOL regulation 13G. No single hull tanker over 25 years old should be used.” </w:t>
      </w:r>
    </w:p>
  </w:footnote>
  <w:footnote w:id="79">
    <w:p w14:paraId="394B81F6"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In a few cases the “new” measures cited were adopted prior to 2006. Several are to be found in</w:t>
      </w:r>
      <w:r w:rsidRPr="000F7276">
        <w:rPr>
          <w:rFonts w:asciiTheme="minorHAnsi" w:hAnsiTheme="minorHAnsi" w:cstheme="minorHAnsi"/>
          <w:b/>
        </w:rPr>
        <w:t xml:space="preserve"> IDB’s</w:t>
      </w:r>
      <w:r w:rsidRPr="000F7276">
        <w:rPr>
          <w:rFonts w:asciiTheme="minorHAnsi" w:hAnsiTheme="minorHAnsi" w:cstheme="minorHAnsi"/>
        </w:rPr>
        <w:t xml:space="preserve"> 1998 Operation Policy 710 on Involuntary Resettlement, which has not been substantively revised since that time.</w:t>
      </w:r>
    </w:p>
  </w:footnote>
  <w:footnote w:id="80">
    <w:p w14:paraId="20C57ACF" w14:textId="6CCFE38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Pr>
          <w:rFonts w:asciiTheme="minorHAnsi" w:hAnsiTheme="minorHAnsi" w:cstheme="minorHAnsi"/>
        </w:rPr>
        <w:t xml:space="preserve"> The term “operational s</w:t>
      </w:r>
      <w:r w:rsidRPr="000F7276">
        <w:rPr>
          <w:rFonts w:asciiTheme="minorHAnsi" w:hAnsiTheme="minorHAnsi" w:cstheme="minorHAnsi"/>
        </w:rPr>
        <w:t>afeguards” refers generally to MDB safeguard policy requirements that apply to borrowers on a mandatory basis, thereby corresponding to the World Bank Operational Policies. In a few instances, in particular with respect to EIB and IDB, it has been necessary to cite (in Annex 4) procedural sources for clarification of significant terms and the application of particular requirements.</w:t>
      </w:r>
    </w:p>
  </w:footnote>
  <w:footnote w:id="81">
    <w:p w14:paraId="530512C4"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Although MIGA uses IFC Performance Standards it provides political risk insurance rather than financing exclusively to private sector clients. </w:t>
      </w:r>
    </w:p>
  </w:footnote>
  <w:footnote w:id="82">
    <w:p w14:paraId="04ADD28E"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The report acknowledges that ADB, AfDB EIB and IDB apply their respective safeguard systems to private sector lending and that EBRD applies its Performance Requirements to the public sector clients that comprise approximately 20 percent of its portfolio. </w:t>
      </w:r>
    </w:p>
  </w:footnote>
  <w:footnote w:id="83">
    <w:p w14:paraId="32666EE1"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Several MDBs categorize natural habitats as “critical,” “modified” or [non-critical] “natural habitats.”</w:t>
      </w:r>
    </w:p>
  </w:footnote>
  <w:footnote w:id="84">
    <w:p w14:paraId="627ED65C" w14:textId="429A3F89"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EIB distinguishes FPIE from FPIC as used in the context of Indigenous Peoples.</w:t>
      </w:r>
    </w:p>
  </w:footnote>
  <w:footnote w:id="85">
    <w:p w14:paraId="6A630546" w14:textId="227B1178" w:rsidR="00CF59E1" w:rsidRPr="000F7276" w:rsidRDefault="00CF59E1" w:rsidP="00A009E7">
      <w:pPr>
        <w:pStyle w:val="FootnoteText"/>
      </w:pPr>
      <w:r w:rsidRPr="000F7276">
        <w:rPr>
          <w:rStyle w:val="FootnoteReference"/>
        </w:rPr>
        <w:footnoteRef/>
      </w:r>
      <w:r w:rsidRPr="000F7276">
        <w:t xml:space="preserve"> OP 4.01 specifies that the Bank does not finance activities that “contravene a country’s national or international obligations.</w:t>
      </w:r>
      <w:r>
        <w:t>”</w:t>
      </w:r>
    </w:p>
  </w:footnote>
  <w:footnote w:id="86">
    <w:p w14:paraId="6DC2644A" w14:textId="54A1ABFB"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This refers to GRMs that apply to all safeguard policies. </w:t>
      </w:r>
      <w:r>
        <w:rPr>
          <w:rFonts w:asciiTheme="minorHAnsi" w:hAnsiTheme="minorHAnsi" w:cstheme="minorHAnsi"/>
        </w:rPr>
        <w:t xml:space="preserve">The </w:t>
      </w:r>
      <w:r w:rsidRPr="000F7276">
        <w:rPr>
          <w:rFonts w:asciiTheme="minorHAnsi" w:hAnsiTheme="minorHAnsi" w:cstheme="minorHAnsi"/>
        </w:rPr>
        <w:t>Bank only expressly require</w:t>
      </w:r>
      <w:r>
        <w:rPr>
          <w:rFonts w:asciiTheme="minorHAnsi" w:hAnsiTheme="minorHAnsi" w:cstheme="minorHAnsi"/>
        </w:rPr>
        <w:t>s</w:t>
      </w:r>
      <w:r w:rsidRPr="000F7276">
        <w:rPr>
          <w:rFonts w:asciiTheme="minorHAnsi" w:hAnsiTheme="minorHAnsi" w:cstheme="minorHAnsi"/>
        </w:rPr>
        <w:t xml:space="preserve"> a GRM under its involuntary resettlement and Indigenous Peoples policies</w:t>
      </w:r>
      <w:r>
        <w:rPr>
          <w:rFonts w:asciiTheme="minorHAnsi" w:hAnsiTheme="minorHAnsi" w:cstheme="minorHAnsi"/>
        </w:rPr>
        <w:t>.</w:t>
      </w:r>
      <w:r w:rsidRPr="000F7276">
        <w:rPr>
          <w:rFonts w:asciiTheme="minorHAnsi" w:hAnsiTheme="minorHAnsi" w:cstheme="minorHAnsi"/>
        </w:rPr>
        <w:t xml:space="preserve">  </w:t>
      </w:r>
    </w:p>
  </w:footnote>
  <w:footnote w:id="87">
    <w:p w14:paraId="3E3B4F54"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IDB, OP-704, Disaster Risk Management Policy.</w:t>
      </w:r>
    </w:p>
  </w:footnote>
  <w:footnote w:id="88">
    <w:p w14:paraId="045F1D84" w14:textId="77777777" w:rsidR="00CF59E1" w:rsidRPr="000F7276" w:rsidRDefault="00CF59E1" w:rsidP="00A009E7">
      <w:pPr>
        <w:pStyle w:val="FootnoteText"/>
      </w:pPr>
      <w:r w:rsidRPr="000F7276">
        <w:rPr>
          <w:rStyle w:val="FootnoteReference"/>
        </w:rPr>
        <w:footnoteRef/>
      </w:r>
      <w:r w:rsidRPr="000F7276">
        <w:t xml:space="preserve"> OP 4.04 and OP 4.36 refer more generally to ecological or natural habitat functions or ecosystem functionality.</w:t>
      </w:r>
      <w:r w:rsidRPr="000F7276">
        <w:rPr>
          <w:rFonts w:asciiTheme="minorHAnsi" w:hAnsiTheme="minorHAnsi"/>
        </w:rPr>
        <w:t xml:space="preserve"> Other MDBs include ecosystem services (such as “environmental flows”) as critical measurable inputs with respect to both environmental and social impacts.</w:t>
      </w:r>
    </w:p>
  </w:footnote>
  <w:footnote w:id="89">
    <w:p w14:paraId="4FFBF5D1"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These provisions closely parallel the approach taken by IFC in PS 6. AfDB classifies habitats as either “natural,” “modified,” or “critical.” EIB classifies the habitats as either “natural,” “semi-natural,” or urban while noting that “critical habitats can be found in all three habitat classes.”</w:t>
      </w:r>
    </w:p>
  </w:footnote>
  <w:footnote w:id="90">
    <w:p w14:paraId="10123ADB" w14:textId="59A01D9D" w:rsidR="00CF59E1" w:rsidRPr="000F7276" w:rsidRDefault="00CF59E1" w:rsidP="00A009E7">
      <w:pPr>
        <w:pStyle w:val="FootnoteText"/>
      </w:pPr>
      <w:r w:rsidRPr="000F7276">
        <w:rPr>
          <w:rStyle w:val="FootnoteReference"/>
        </w:rPr>
        <w:footnoteRef/>
      </w:r>
      <w:r w:rsidRPr="000F7276">
        <w:t xml:space="preserve"> Under OP 4.01 and 4.04, such an offset management plan would be included as part of the EMP</w:t>
      </w:r>
      <w:r>
        <w:t>.</w:t>
      </w:r>
    </w:p>
  </w:footnote>
  <w:footnote w:id="91">
    <w:p w14:paraId="26689490" w14:textId="49F94BA0" w:rsidR="00CF59E1" w:rsidRPr="000F7276" w:rsidRDefault="00CF59E1" w:rsidP="00A009E7">
      <w:pPr>
        <w:pStyle w:val="FootnoteText"/>
      </w:pPr>
      <w:r w:rsidRPr="000F7276">
        <w:rPr>
          <w:rStyle w:val="FootnoteReference"/>
        </w:rPr>
        <w:footnoteRef/>
      </w:r>
      <w:r w:rsidRPr="000F7276">
        <w:t xml:space="preserve"> The World Bank requires the EA to take into account impacts on watershed and estuaries and promotes the protection of natural habitat and ecological functions in these areas.</w:t>
      </w:r>
    </w:p>
  </w:footnote>
  <w:footnote w:id="92">
    <w:p w14:paraId="15182A36"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The World Bank, per OP 4.36, Forests, requires borrowers to obtain independent certification (as defined in the OP) for commercial or industrial scale timber harvesting but not for other renewable natural resources.</w:t>
      </w:r>
    </w:p>
  </w:footnote>
  <w:footnote w:id="93">
    <w:p w14:paraId="5D2784C1" w14:textId="77777777" w:rsidR="00CF59E1" w:rsidRPr="000F7276" w:rsidRDefault="00CF59E1" w:rsidP="00A009E7">
      <w:pPr>
        <w:pStyle w:val="FootnoteText"/>
      </w:pPr>
      <w:r w:rsidRPr="000F7276">
        <w:rPr>
          <w:rStyle w:val="FootnoteReference"/>
        </w:rPr>
        <w:footnoteRef/>
      </w:r>
      <w:r w:rsidRPr="000F7276">
        <w:t xml:space="preserve"> </w:t>
      </w:r>
      <w:r w:rsidRPr="000F7276">
        <w:rPr>
          <w:rFonts w:asciiTheme="minorHAnsi" w:hAnsiTheme="minorHAnsi" w:cstheme="minorHAnsi"/>
        </w:rPr>
        <w:t>For example ADB, AfDB and IDB cite the Convention on Biological Diversity, the Convention on International Trade in Endangered Species of Wild Flora and Fauna, the Ramsar Convention on Wetlands of International Importance, among others.</w:t>
      </w:r>
    </w:p>
  </w:footnote>
  <w:footnote w:id="94">
    <w:p w14:paraId="0F9DED8E" w14:textId="637F7B05" w:rsidR="00CF59E1" w:rsidRPr="000F7276" w:rsidRDefault="00CF59E1" w:rsidP="00A009E7">
      <w:pPr>
        <w:pStyle w:val="FootnoteText"/>
      </w:pPr>
      <w:r w:rsidRPr="000F7276">
        <w:rPr>
          <w:rStyle w:val="FootnoteReference"/>
        </w:rPr>
        <w:footnoteRef/>
      </w:r>
      <w:r w:rsidRPr="000F7276">
        <w:t xml:space="preserve"> OP 4.01 requires all environmental and social concerns to be taken into account for the d</w:t>
      </w:r>
      <w:r>
        <w:t xml:space="preserve">esign </w:t>
      </w:r>
      <w:r w:rsidRPr="000F7276">
        <w:t>and siting of all projects</w:t>
      </w:r>
      <w:r>
        <w:t>.</w:t>
      </w:r>
      <w:r w:rsidRPr="000F7276">
        <w:t xml:space="preserve"> </w:t>
      </w:r>
    </w:p>
  </w:footnote>
  <w:footnote w:id="95">
    <w:p w14:paraId="38AF23A6" w14:textId="77777777" w:rsidR="00CF59E1" w:rsidRPr="000F7276"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The World Bank (OP 4.12) requires income restoration to a minimum of pre-project levels with the objective of achieving net improvement in living standards for project affected people. IDB requires minimum standards of habitability for housing, and for livelihoods, restoration at a minimum to pre-resettlement levels and improvement in sharing of project benefits, where feasible (IDB, OP-710, Involuntary Resettlement).</w:t>
      </w:r>
    </w:p>
  </w:footnote>
  <w:footnote w:id="96">
    <w:p w14:paraId="31F76096" w14:textId="1BA5F21F" w:rsidR="00CF59E1" w:rsidRPr="003C3FE7" w:rsidRDefault="00CF59E1" w:rsidP="00A009E7">
      <w:pPr>
        <w:pStyle w:val="FootnoteText"/>
        <w:rPr>
          <w:rFonts w:asciiTheme="minorHAnsi" w:hAnsiTheme="minorHAnsi" w:cstheme="minorHAnsi"/>
        </w:rPr>
      </w:pPr>
      <w:r w:rsidRPr="000F7276">
        <w:rPr>
          <w:rStyle w:val="FootnoteReference"/>
          <w:rFonts w:asciiTheme="minorHAnsi" w:hAnsiTheme="minorHAnsi" w:cstheme="minorHAnsi"/>
        </w:rPr>
        <w:footnoteRef/>
      </w:r>
      <w:r w:rsidRPr="000F7276">
        <w:rPr>
          <w:rFonts w:asciiTheme="minorHAnsi" w:hAnsiTheme="minorHAnsi" w:cstheme="minorHAnsi"/>
        </w:rPr>
        <w:t xml:space="preserve"> The World Bank requires RAP disclosure prior to Appraisal, which in many, if not most instances, precedes Board approval by 120 days.</w:t>
      </w:r>
      <w:r>
        <w:rPr>
          <w:rFonts w:asciiTheme="minorHAnsi" w:hAnsiTheme="minorHAnsi" w:cstheme="minorHAnsi"/>
        </w:rPr>
        <w:t xml:space="preserve"> </w:t>
      </w:r>
    </w:p>
  </w:footnote>
  <w:footnote w:id="97">
    <w:p w14:paraId="1DA5D1A0" w14:textId="7EF40913" w:rsidR="00CF59E1" w:rsidRDefault="00CF59E1" w:rsidP="00A009E7">
      <w:pPr>
        <w:pStyle w:val="FootnoteText"/>
      </w:pPr>
      <w:r>
        <w:rPr>
          <w:rStyle w:val="FootnoteReference"/>
        </w:rPr>
        <w:footnoteRef/>
      </w:r>
      <w:r>
        <w:t xml:space="preserve"> </w:t>
      </w:r>
      <w:r>
        <w:rPr>
          <w:rFonts w:asciiTheme="minorHAnsi" w:hAnsiTheme="minorHAnsi" w:cstheme="minorHAnsi"/>
        </w:rPr>
        <w:t>T</w:t>
      </w:r>
      <w:r w:rsidRPr="000F7276">
        <w:rPr>
          <w:rFonts w:asciiTheme="minorHAnsi" w:hAnsiTheme="minorHAnsi" w:cstheme="minorHAnsi"/>
        </w:rPr>
        <w:t>he World Bank (OP 4.10) requires “free, prior, informed consultation” leading to a find</w:t>
      </w:r>
      <w:r>
        <w:rPr>
          <w:rFonts w:asciiTheme="minorHAnsi" w:hAnsiTheme="minorHAnsi" w:cstheme="minorHAnsi"/>
        </w:rPr>
        <w:t>ing of “broad community support.</w:t>
      </w:r>
      <w:r w:rsidRPr="000F7276">
        <w:rPr>
          <w:rFonts w:asciiTheme="minorHAnsi" w:hAnsiTheme="minorHAnsi" w:cstheme="minorHAnsi"/>
        </w:rPr>
        <w:t>”</w:t>
      </w:r>
    </w:p>
  </w:footnote>
  <w:footnote w:id="98">
    <w:p w14:paraId="0614FE5B" w14:textId="77777777" w:rsidR="00CF59E1" w:rsidRPr="001A4B7B" w:rsidRDefault="00CF59E1" w:rsidP="00E66173">
      <w:pPr>
        <w:pStyle w:val="FootnoteText"/>
        <w:rPr>
          <w:rFonts w:asciiTheme="minorHAnsi" w:hAnsiTheme="minorHAnsi" w:cstheme="minorHAnsi"/>
        </w:rPr>
      </w:pPr>
      <w:r w:rsidRPr="001A4B7B">
        <w:rPr>
          <w:rStyle w:val="FootnoteReference"/>
          <w:rFonts w:asciiTheme="minorHAnsi" w:hAnsiTheme="minorHAnsi"/>
        </w:rPr>
        <w:footnoteRef/>
      </w:r>
      <w:r w:rsidRPr="001A4B7B">
        <w:rPr>
          <w:rFonts w:asciiTheme="minorHAnsi" w:hAnsiTheme="minorHAnsi"/>
        </w:rPr>
        <w:t xml:space="preserve"> </w:t>
      </w:r>
      <w:r w:rsidRPr="001A4B7B">
        <w:rPr>
          <w:rFonts w:asciiTheme="minorHAnsi" w:hAnsiTheme="minorHAnsi"/>
          <w:color w:val="000000"/>
        </w:rPr>
        <w:t>SEA is conducted by third parties or governments rather than the IFC client.</w:t>
      </w:r>
    </w:p>
  </w:footnote>
  <w:footnote w:id="99">
    <w:p w14:paraId="6E6EAD8A" w14:textId="77777777" w:rsidR="00CF59E1" w:rsidRPr="001A4B7B" w:rsidRDefault="00CF59E1" w:rsidP="00E66173">
      <w:pPr>
        <w:pStyle w:val="FootnoteText"/>
        <w:rPr>
          <w:rFonts w:asciiTheme="minorHAnsi" w:hAnsiTheme="minorHAnsi" w:cstheme="minorHAnsi"/>
        </w:rPr>
      </w:pPr>
      <w:r w:rsidRPr="001A4B7B">
        <w:rPr>
          <w:rStyle w:val="FootnoteReference"/>
          <w:rFonts w:asciiTheme="minorHAnsi" w:hAnsiTheme="minorHAnsi"/>
        </w:rPr>
        <w:footnoteRef/>
      </w:r>
      <w:r w:rsidRPr="001A4B7B">
        <w:rPr>
          <w:rFonts w:asciiTheme="minorHAnsi" w:hAnsiTheme="minorHAnsi"/>
        </w:rPr>
        <w:t xml:space="preserve"> WB does not use term “ecosystem services</w:t>
      </w:r>
      <w:r>
        <w:rPr>
          <w:rFonts w:asciiTheme="minorHAnsi" w:hAnsiTheme="minorHAnsi"/>
        </w:rPr>
        <w:t>,”</w:t>
      </w:r>
      <w:r w:rsidRPr="001A4B7B">
        <w:rPr>
          <w:rFonts w:asciiTheme="minorHAnsi" w:hAnsiTheme="minorHAnsi"/>
        </w:rPr>
        <w:t xml:space="preserve"> but</w:t>
      </w:r>
      <w:r w:rsidRPr="001A4B7B">
        <w:t xml:space="preserve"> OP 4.04 and OP 4.36 refer more generally to ecological or natural habitat functions or ecosystem functionality</w:t>
      </w:r>
      <w:r>
        <w:t>.</w:t>
      </w:r>
    </w:p>
  </w:footnote>
  <w:footnote w:id="100">
    <w:p w14:paraId="27048816" w14:textId="77777777" w:rsidR="00CF59E1" w:rsidRPr="001A4B7B" w:rsidRDefault="00CF59E1" w:rsidP="00E66173">
      <w:pPr>
        <w:pStyle w:val="FootnoteText"/>
        <w:rPr>
          <w:rFonts w:asciiTheme="minorHAnsi" w:hAnsiTheme="minorHAnsi" w:cstheme="minorHAnsi"/>
        </w:rPr>
      </w:pPr>
      <w:r w:rsidRPr="001A4B7B">
        <w:rPr>
          <w:rStyle w:val="FootnoteReference"/>
          <w:rFonts w:asciiTheme="minorHAnsi" w:hAnsiTheme="minorHAnsi"/>
        </w:rPr>
        <w:footnoteRef/>
      </w:r>
      <w:r w:rsidRPr="001A4B7B">
        <w:rPr>
          <w:rFonts w:asciiTheme="minorHAnsi" w:hAnsiTheme="minorHAnsi"/>
        </w:rPr>
        <w:t xml:space="preserve"> ADB SR 1 makes no direct reference to ecosystem services</w:t>
      </w:r>
      <w:r w:rsidRPr="001A4B7B">
        <w:rPr>
          <w:rFonts w:asciiTheme="minorHAnsi" w:hAnsiTheme="minorHAnsi" w:cstheme="minorHAnsi"/>
        </w:rPr>
        <w:t>.</w:t>
      </w:r>
    </w:p>
  </w:footnote>
  <w:footnote w:id="101">
    <w:p w14:paraId="73E57EB1" w14:textId="77777777" w:rsidR="00CF59E1" w:rsidRPr="001A4B7B" w:rsidRDefault="00CF59E1" w:rsidP="00E66173">
      <w:pPr>
        <w:tabs>
          <w:tab w:val="left" w:pos="1710"/>
        </w:tabs>
        <w:autoSpaceDE/>
        <w:autoSpaceDN/>
        <w:adjustRightInd/>
        <w:contextualSpacing/>
        <w:rPr>
          <w:rFonts w:asciiTheme="minorHAnsi" w:hAnsiTheme="minorHAnsi" w:cstheme="minorHAnsi"/>
          <w:sz w:val="20"/>
          <w:szCs w:val="20"/>
        </w:rPr>
      </w:pPr>
      <w:r w:rsidRPr="001A4B7B">
        <w:rPr>
          <w:rStyle w:val="FootnoteReference"/>
          <w:rFonts w:asciiTheme="minorHAnsi" w:hAnsiTheme="minorHAnsi"/>
          <w:sz w:val="20"/>
        </w:rPr>
        <w:footnoteRef/>
      </w:r>
      <w:r w:rsidRPr="001A4B7B">
        <w:rPr>
          <w:rFonts w:asciiTheme="minorHAnsi" w:hAnsiTheme="minorHAnsi"/>
          <w:sz w:val="20"/>
        </w:rPr>
        <w:t xml:space="preserve">IDB </w:t>
      </w:r>
      <w:r w:rsidRPr="001A4B7B">
        <w:rPr>
          <w:rFonts w:asciiTheme="minorHAnsi" w:hAnsiTheme="minorHAnsi"/>
          <w:color w:val="000000"/>
          <w:sz w:val="20"/>
        </w:rPr>
        <w:t xml:space="preserve">OP-703 </w:t>
      </w:r>
      <w:r w:rsidRPr="001A4B7B">
        <w:rPr>
          <w:rFonts w:asciiTheme="minorHAnsi" w:hAnsiTheme="minorHAnsi"/>
          <w:sz w:val="20"/>
        </w:rPr>
        <w:t>makes no direct reference to ecosystem services</w:t>
      </w:r>
      <w:r w:rsidRPr="001A4B7B">
        <w:rPr>
          <w:rFonts w:asciiTheme="minorHAnsi" w:hAnsiTheme="minorHAnsi" w:cstheme="minorHAnsi"/>
          <w:sz w:val="20"/>
          <w:szCs w:val="20"/>
        </w:rPr>
        <w:t>,</w:t>
      </w:r>
      <w:r w:rsidRPr="001A4B7B">
        <w:rPr>
          <w:rFonts w:asciiTheme="minorHAnsi" w:hAnsiTheme="minorHAnsi"/>
          <w:sz w:val="20"/>
        </w:rPr>
        <w:t xml:space="preserve"> as</w:t>
      </w:r>
      <w:r w:rsidRPr="001A4B7B">
        <w:rPr>
          <w:rFonts w:asciiTheme="minorHAnsi" w:hAnsiTheme="minorHAnsi"/>
          <w:color w:val="000000"/>
          <w:sz w:val="20"/>
        </w:rPr>
        <w:t xml:space="preserve"> the term is defined in the guidelines to the Policy.</w:t>
      </w:r>
    </w:p>
  </w:footnote>
  <w:footnote w:id="102">
    <w:p w14:paraId="463A502D" w14:textId="77777777" w:rsidR="00CF59E1" w:rsidRPr="001A4B7B" w:rsidRDefault="00CF59E1" w:rsidP="00E66173">
      <w:pPr>
        <w:pStyle w:val="FootnoteText"/>
        <w:rPr>
          <w:rFonts w:asciiTheme="minorHAnsi" w:hAnsiTheme="minorHAnsi" w:cstheme="minorHAnsi"/>
        </w:rPr>
      </w:pPr>
      <w:r w:rsidRPr="001A4B7B">
        <w:rPr>
          <w:rStyle w:val="FootnoteReference"/>
          <w:rFonts w:asciiTheme="minorHAnsi" w:hAnsiTheme="minorHAnsi"/>
        </w:rPr>
        <w:footnoteRef/>
      </w:r>
      <w:r w:rsidRPr="001A4B7B">
        <w:rPr>
          <w:rFonts w:asciiTheme="minorHAnsi" w:hAnsiTheme="minorHAnsi"/>
        </w:rPr>
        <w:t xml:space="preserve"> EBRD PR 6 makes no direct reference to ecosystem services</w:t>
      </w:r>
      <w:r w:rsidRPr="001A4B7B">
        <w:rPr>
          <w:rFonts w:asciiTheme="minorHAnsi" w:hAnsiTheme="minorHAnsi" w:cstheme="minorHAnsi"/>
        </w:rPr>
        <w:t>.</w:t>
      </w:r>
    </w:p>
  </w:footnote>
  <w:footnote w:id="103">
    <w:p w14:paraId="46229C33" w14:textId="77777777" w:rsidR="00CF59E1" w:rsidRPr="001A4B7B" w:rsidRDefault="00CF59E1" w:rsidP="00E66173">
      <w:pPr>
        <w:pStyle w:val="FootnoteText"/>
        <w:rPr>
          <w:rFonts w:asciiTheme="minorHAnsi" w:hAnsiTheme="minorHAnsi" w:cstheme="minorHAnsi"/>
        </w:rPr>
      </w:pPr>
      <w:r w:rsidRPr="001A4B7B">
        <w:rPr>
          <w:rStyle w:val="FootnoteReference"/>
          <w:rFonts w:asciiTheme="minorHAnsi" w:hAnsiTheme="minorHAnsi"/>
        </w:rPr>
        <w:footnoteRef/>
      </w:r>
      <w:r w:rsidRPr="001A4B7B">
        <w:rPr>
          <w:rFonts w:asciiTheme="minorHAnsi" w:hAnsiTheme="minorHAnsi"/>
        </w:rPr>
        <w:t xml:space="preserve"> ESS 3 refers to ecosystem services and valuation in case</w:t>
      </w:r>
      <w:r>
        <w:rPr>
          <w:rFonts w:asciiTheme="minorHAnsi" w:hAnsiTheme="minorHAnsi"/>
        </w:rPr>
        <w:t>s</w:t>
      </w:r>
      <w:r w:rsidRPr="001A4B7B">
        <w:rPr>
          <w:rFonts w:asciiTheme="minorHAnsi" w:hAnsiTheme="minorHAnsi"/>
        </w:rPr>
        <w:t xml:space="preserve"> where livelihoods of communities </w:t>
      </w:r>
      <w:r w:rsidRPr="001A4B7B">
        <w:rPr>
          <w:rFonts w:asciiTheme="minorHAnsi" w:hAnsiTheme="minorHAnsi" w:cstheme="minorHAnsi"/>
        </w:rPr>
        <w:t xml:space="preserve">are </w:t>
      </w:r>
      <w:r w:rsidRPr="001A4B7B">
        <w:rPr>
          <w:rFonts w:asciiTheme="minorHAnsi" w:hAnsiTheme="minorHAnsi"/>
        </w:rPr>
        <w:t>significantly affected. Forests are covered under the EU Forests Policy.</w:t>
      </w:r>
    </w:p>
  </w:footnote>
  <w:footnote w:id="104">
    <w:p w14:paraId="38CF1FCD" w14:textId="77777777" w:rsidR="00CF59E1" w:rsidRPr="001A4B7B" w:rsidRDefault="00CF59E1" w:rsidP="00CF59E1">
      <w:pPr>
        <w:pStyle w:val="FootnoteText"/>
        <w:rPr>
          <w:rFonts w:asciiTheme="minorHAnsi" w:hAnsiTheme="minorHAnsi" w:cstheme="minorHAnsi"/>
        </w:rPr>
      </w:pPr>
      <w:r w:rsidRPr="001A4B7B">
        <w:rPr>
          <w:rStyle w:val="FootnoteReference"/>
          <w:rFonts w:asciiTheme="minorHAnsi" w:hAnsiTheme="minorHAnsi"/>
        </w:rPr>
        <w:footnoteRef/>
      </w:r>
      <w:r w:rsidRPr="001A4B7B">
        <w:rPr>
          <w:rFonts w:asciiTheme="minorHAnsi" w:hAnsiTheme="minorHAnsi"/>
        </w:rPr>
        <w:t xml:space="preserve"> Requires borrowers to justify deviations from the WBG </w:t>
      </w:r>
      <w:r w:rsidRPr="001A4B7B">
        <w:rPr>
          <w:rFonts w:asciiTheme="minorHAnsi" w:hAnsiTheme="minorHAnsi" w:cstheme="minorHAnsi"/>
        </w:rPr>
        <w:t>EHSGs.</w:t>
      </w:r>
    </w:p>
  </w:footnote>
  <w:footnote w:id="105">
    <w:p w14:paraId="7D03DC0D" w14:textId="77777777" w:rsidR="00CF59E1" w:rsidRPr="001A4B7B" w:rsidRDefault="00CF59E1" w:rsidP="00E66173">
      <w:pPr>
        <w:pStyle w:val="FootnoteText"/>
        <w:rPr>
          <w:rFonts w:asciiTheme="minorHAnsi" w:hAnsiTheme="minorHAnsi" w:cstheme="minorHAnsi"/>
        </w:rPr>
      </w:pPr>
      <w:r w:rsidRPr="001A4B7B">
        <w:rPr>
          <w:rStyle w:val="FootnoteReference"/>
          <w:rFonts w:asciiTheme="minorHAnsi" w:hAnsiTheme="minorHAnsi"/>
        </w:rPr>
        <w:footnoteRef/>
      </w:r>
      <w:r w:rsidRPr="001A4B7B">
        <w:rPr>
          <w:rFonts w:asciiTheme="minorHAnsi" w:hAnsiTheme="minorHAnsi"/>
        </w:rPr>
        <w:t xml:space="preserve"> In addition to specific requirements on pollution prevention and abatement</w:t>
      </w:r>
      <w:r w:rsidRPr="001A4B7B">
        <w:rPr>
          <w:rFonts w:asciiTheme="minorHAnsi" w:hAnsiTheme="minorHAnsi" w:cstheme="minorHAnsi"/>
        </w:rPr>
        <w:t>,</w:t>
      </w:r>
      <w:r w:rsidRPr="001A4B7B">
        <w:rPr>
          <w:rFonts w:asciiTheme="minorHAnsi" w:hAnsiTheme="minorHAnsi"/>
        </w:rPr>
        <w:t xml:space="preserve"> requires reference to WBG EHSGs</w:t>
      </w:r>
      <w:r w:rsidRPr="001A4B7B">
        <w:rPr>
          <w:rFonts w:asciiTheme="minorHAnsi" w:hAnsiTheme="minorHAnsi" w:cstheme="minorHAnsi"/>
        </w:rPr>
        <w:t>.</w:t>
      </w:r>
    </w:p>
  </w:footnote>
  <w:footnote w:id="106">
    <w:p w14:paraId="181DE419" w14:textId="77777777" w:rsidR="00CF59E1" w:rsidRPr="001A4B7B" w:rsidRDefault="00CF59E1" w:rsidP="00CF59E1">
      <w:pPr>
        <w:pStyle w:val="FootnoteText"/>
        <w:rPr>
          <w:rFonts w:asciiTheme="minorHAnsi" w:hAnsiTheme="minorHAnsi" w:cstheme="minorHAnsi"/>
        </w:rPr>
      </w:pPr>
      <w:r w:rsidRPr="001A4B7B">
        <w:rPr>
          <w:rStyle w:val="FootnoteReference"/>
          <w:rFonts w:asciiTheme="minorHAnsi" w:hAnsiTheme="minorHAnsi"/>
        </w:rPr>
        <w:footnoteRef/>
      </w:r>
      <w:r w:rsidRPr="001A4B7B">
        <w:rPr>
          <w:rFonts w:asciiTheme="minorHAnsi" w:hAnsiTheme="minorHAnsi"/>
        </w:rPr>
        <w:t xml:space="preserve"> EBRD, EIB and IFC include “security” measures within the scope of their respective Performance Standards/Requirements on Community Health and Safety. In </w:t>
      </w:r>
      <w:r w:rsidRPr="001A4B7B">
        <w:rPr>
          <w:rFonts w:asciiTheme="minorHAnsi" w:hAnsiTheme="minorHAnsi" w:cstheme="minorHAnsi"/>
        </w:rPr>
        <w:t>these</w:t>
      </w:r>
      <w:r w:rsidRPr="001A4B7B">
        <w:rPr>
          <w:rFonts w:asciiTheme="minorHAnsi" w:hAnsiTheme="minorHAnsi"/>
        </w:rPr>
        <w:t xml:space="preserve"> cases, “security” refers to risks to the public from “inappropriate use of force and other conduct on the part of project employees, government or private security forces</w:t>
      </w:r>
      <w:r w:rsidRPr="001A4B7B">
        <w:rPr>
          <w:rFonts w:asciiTheme="minorHAnsi" w:hAnsiTheme="minorHAnsi" w:cstheme="minorHAnsi"/>
        </w:rPr>
        <w:t>”</w:t>
      </w:r>
      <w:r w:rsidRPr="001A4B7B">
        <w:rPr>
          <w:rFonts w:asciiTheme="minorHAnsi" w:hAnsiTheme="minorHAnsi"/>
        </w:rPr>
        <w:t xml:space="preserve"> and </w:t>
      </w:r>
      <w:r w:rsidRPr="001A4B7B">
        <w:rPr>
          <w:rFonts w:asciiTheme="minorHAnsi" w:hAnsiTheme="minorHAnsi" w:cstheme="minorHAnsi"/>
        </w:rPr>
        <w:t>references</w:t>
      </w:r>
      <w:r w:rsidRPr="001A4B7B">
        <w:rPr>
          <w:rFonts w:asciiTheme="minorHAnsi" w:hAnsiTheme="minorHAnsi"/>
        </w:rPr>
        <w:t xml:space="preserve"> international good practice criteria that have been adopted for that purpose</w:t>
      </w:r>
      <w:r w:rsidRPr="001A4B7B">
        <w:rPr>
          <w:rFonts w:asciiTheme="minorHAnsi" w:hAnsiTheme="minorHAnsi" w:cstheme="minorHAnsi"/>
        </w:rPr>
        <w:t>.</w:t>
      </w:r>
    </w:p>
  </w:footnote>
  <w:footnote w:id="107">
    <w:p w14:paraId="4DC452D8" w14:textId="77777777" w:rsidR="00CF59E1" w:rsidRPr="001A4B7B" w:rsidRDefault="00CF59E1" w:rsidP="00E66173">
      <w:pPr>
        <w:pStyle w:val="FootnoteText"/>
        <w:rPr>
          <w:rFonts w:asciiTheme="minorHAnsi" w:hAnsiTheme="minorHAnsi" w:cstheme="minorHAnsi"/>
        </w:rPr>
      </w:pPr>
      <w:r w:rsidRPr="001A4B7B">
        <w:rPr>
          <w:rStyle w:val="FootnoteReference"/>
          <w:rFonts w:asciiTheme="minorHAnsi" w:hAnsiTheme="minorHAnsi"/>
        </w:rPr>
        <w:footnoteRef/>
      </w:r>
      <w:r w:rsidRPr="001A4B7B">
        <w:rPr>
          <w:rFonts w:asciiTheme="minorHAnsi" w:hAnsiTheme="minorHAnsi"/>
        </w:rPr>
        <w:t xml:space="preserve"> Para. 3 refers generally to “human health and safety” as an impact that is required to be assessed as part of EA</w:t>
      </w:r>
      <w:r w:rsidRPr="001A4B7B">
        <w:rPr>
          <w:rFonts w:asciiTheme="minorHAnsi" w:hAnsiTheme="minorHAnsi" w:cstheme="minorHAnsi"/>
        </w:rPr>
        <w:t>.</w:t>
      </w:r>
    </w:p>
  </w:footnote>
  <w:footnote w:id="108">
    <w:p w14:paraId="7FAB1868" w14:textId="77777777" w:rsidR="00CF59E1" w:rsidRPr="001A4B7B" w:rsidRDefault="00CF59E1" w:rsidP="00E66173">
      <w:pPr>
        <w:pStyle w:val="FootnoteText"/>
        <w:rPr>
          <w:rFonts w:asciiTheme="minorHAnsi" w:hAnsiTheme="minorHAnsi" w:cstheme="minorHAnsi"/>
        </w:rPr>
      </w:pPr>
      <w:r w:rsidRPr="001A4B7B">
        <w:rPr>
          <w:rStyle w:val="FootnoteReference"/>
          <w:rFonts w:asciiTheme="minorHAnsi" w:hAnsiTheme="minorHAnsi" w:cstheme="minorHAnsi"/>
        </w:rPr>
        <w:footnoteRef/>
      </w:r>
      <w:r w:rsidRPr="001A4B7B">
        <w:rPr>
          <w:rFonts w:asciiTheme="minorHAnsi" w:hAnsiTheme="minorHAnsi" w:cstheme="minorHAnsi"/>
        </w:rPr>
        <w:t xml:space="preserve"> OS 1 also makes </w:t>
      </w:r>
      <w:r w:rsidRPr="001A4B7B">
        <w:rPr>
          <w:rFonts w:asciiTheme="minorHAnsi" w:eastAsia="MS Gothic" w:hAnsiTheme="minorHAnsi" w:cstheme="minorHAnsi"/>
        </w:rPr>
        <w:t>reference to WBG EHSGs.</w:t>
      </w:r>
    </w:p>
  </w:footnote>
  <w:footnote w:id="109">
    <w:p w14:paraId="61D45C38" w14:textId="77777777" w:rsidR="00CF59E1" w:rsidRPr="001A4B7B" w:rsidRDefault="00CF59E1" w:rsidP="00CF59E1">
      <w:pPr>
        <w:rPr>
          <w:rFonts w:asciiTheme="minorHAnsi" w:hAnsiTheme="minorHAnsi"/>
          <w:sz w:val="20"/>
        </w:rPr>
      </w:pPr>
      <w:r w:rsidRPr="001A4B7B">
        <w:rPr>
          <w:rStyle w:val="FootnoteReference"/>
          <w:rFonts w:asciiTheme="minorHAnsi" w:hAnsiTheme="minorHAnsi"/>
          <w:sz w:val="20"/>
        </w:rPr>
        <w:footnoteRef/>
      </w:r>
      <w:r w:rsidRPr="001A4B7B">
        <w:rPr>
          <w:rFonts w:asciiTheme="minorHAnsi" w:hAnsiTheme="minorHAnsi"/>
          <w:sz w:val="20"/>
        </w:rPr>
        <w:t xml:space="preserve"> “</w:t>
      </w:r>
      <w:r w:rsidRPr="001A4B7B">
        <w:rPr>
          <w:rFonts w:asciiTheme="minorHAnsi" w:hAnsiTheme="minorHAnsi" w:cstheme="minorHAnsi"/>
          <w:sz w:val="20"/>
          <w:szCs w:val="20"/>
        </w:rPr>
        <w:t>Consistent with international human rights standards and principles” with reference to: (i) the UN Basic Principles on the Use of Force and Firearms by Law Enforcement Officials; (ii) the UN Code of Conduct for Law Enforcement Officials; (iii) the Voluntary Principles on Security and Human Rights; and (iv) the International Code of Conduct on Private Security Providers. The promoter is recommended to regularly carry out human rights due diligence in order to identify and assess any actual or potential adverse impact with which it may be involved (i.e., impacts that it may cause or contribute to as a result of its own activities or which may be directly linked to its operations, products or services by its business relationships). This is of special relevance in the case of business</w:t>
      </w:r>
      <w:r w:rsidRPr="001A4B7B">
        <w:rPr>
          <w:rFonts w:asciiTheme="minorHAnsi" w:hAnsiTheme="minorHAnsi"/>
          <w:sz w:val="20"/>
        </w:rPr>
        <w:t xml:space="preserve"> enterprises. As outlined in the UN Guiding Principles on Business and Human Rights (no 18), this process should: (a) draw on internal and/or independent external human rights expertise; and (b) involve meaningful consultation with potentially affected groups and other relevant stakeholders, as appropriate to the size of the business enterprise and the nature and context of the operation. Such security arrangements shall be defined in the ESMP; although a full standing security management plan may be requested by the EIB when deemed necessary.</w:t>
      </w:r>
    </w:p>
    <w:p w14:paraId="2AE2B5B9" w14:textId="77777777" w:rsidR="00CF59E1" w:rsidRPr="001A4B7B" w:rsidRDefault="00CF59E1" w:rsidP="00E66173">
      <w:pPr>
        <w:pStyle w:val="FootnoteText"/>
        <w:rPr>
          <w:rFonts w:asciiTheme="minorHAnsi" w:hAnsiTheme="minorHAnsi" w:cstheme="minorHAnsi"/>
        </w:rPr>
      </w:pPr>
      <w:r w:rsidRPr="001A4B7B">
        <w:rPr>
          <w:rFonts w:asciiTheme="minorHAnsi" w:hAnsiTheme="minorHAnsi"/>
        </w:rPr>
        <w:t>These requirements apply also to first-tier contractors and suppliers.</w:t>
      </w:r>
    </w:p>
  </w:footnote>
  <w:footnote w:id="110">
    <w:p w14:paraId="56624AD4" w14:textId="77777777" w:rsidR="00CF59E1" w:rsidRPr="001A4B7B" w:rsidRDefault="00CF59E1" w:rsidP="00E66173">
      <w:pPr>
        <w:pStyle w:val="FootnoteText"/>
        <w:contextualSpacing/>
        <w:rPr>
          <w:rFonts w:asciiTheme="minorHAnsi" w:hAnsiTheme="minorHAnsi" w:cstheme="minorHAnsi"/>
        </w:rPr>
      </w:pPr>
      <w:r w:rsidRPr="001A4B7B">
        <w:rPr>
          <w:rFonts w:asciiTheme="minorHAnsi" w:hAnsiTheme="minorHAnsi"/>
        </w:rPr>
        <w:t xml:space="preserve"> </w:t>
      </w:r>
      <w:r w:rsidRPr="001A4B7B">
        <w:rPr>
          <w:rStyle w:val="FootnoteReference"/>
          <w:rFonts w:asciiTheme="minorHAnsi" w:hAnsiTheme="minorHAnsi"/>
        </w:rPr>
        <w:footnoteRef/>
      </w:r>
      <w:r w:rsidRPr="001A4B7B">
        <w:rPr>
          <w:rFonts w:asciiTheme="minorHAnsi" w:hAnsiTheme="minorHAnsi"/>
        </w:rPr>
        <w:t xml:space="preserve"> OS 1</w:t>
      </w:r>
      <w:r w:rsidRPr="001A4B7B">
        <w:rPr>
          <w:rFonts w:asciiTheme="minorHAnsi" w:hAnsiTheme="minorHAnsi" w:cstheme="minorHAnsi"/>
        </w:rPr>
        <w:t>,</w:t>
      </w:r>
      <w:r w:rsidRPr="001A4B7B">
        <w:rPr>
          <w:rFonts w:asciiTheme="minorHAnsi" w:hAnsiTheme="minorHAnsi"/>
        </w:rPr>
        <w:t xml:space="preserve"> para. 39</w:t>
      </w:r>
      <w:r w:rsidRPr="001A4B7B">
        <w:rPr>
          <w:rFonts w:asciiTheme="minorHAnsi" w:hAnsiTheme="minorHAnsi" w:cstheme="minorHAnsi"/>
        </w:rPr>
        <w:t>,</w:t>
      </w:r>
      <w:r w:rsidRPr="001A4B7B">
        <w:rPr>
          <w:rFonts w:asciiTheme="minorHAnsi" w:hAnsiTheme="minorHAnsi"/>
        </w:rPr>
        <w:t xml:space="preserve"> “Depending on the specific context of the project, vulnerable groups may … include …indigenous peoples…:” Para. 45</w:t>
      </w:r>
      <w:r w:rsidRPr="001A4B7B">
        <w:rPr>
          <w:rFonts w:asciiTheme="minorHAnsi" w:hAnsiTheme="minorHAnsi" w:cstheme="minorHAnsi"/>
        </w:rPr>
        <w:t>,</w:t>
      </w:r>
      <w:r w:rsidRPr="001A4B7B">
        <w:rPr>
          <w:rFonts w:asciiTheme="minorHAnsi" w:hAnsiTheme="minorHAnsi"/>
        </w:rPr>
        <w:t xml:space="preserve"> “The borrower or client is responsible for conducting and providing evidence of meaningful consultation [and]…for projects affecting indigenous peoples.”</w:t>
      </w:r>
    </w:p>
  </w:footnote>
  <w:footnote w:id="111">
    <w:p w14:paraId="13DD91F1" w14:textId="6C74F8BA" w:rsidR="00CF59E1" w:rsidRPr="001A4B7B" w:rsidRDefault="00CF59E1" w:rsidP="00CF59E1">
      <w:pPr>
        <w:contextualSpacing/>
        <w:rPr>
          <w:rFonts w:asciiTheme="minorHAnsi" w:hAnsiTheme="minorHAnsi" w:cstheme="minorHAnsi"/>
          <w:sz w:val="20"/>
          <w:szCs w:val="20"/>
        </w:rPr>
      </w:pPr>
      <w:r w:rsidRPr="001A4B7B">
        <w:rPr>
          <w:rStyle w:val="FootnoteReference"/>
          <w:rFonts w:asciiTheme="minorHAnsi" w:hAnsiTheme="minorHAnsi"/>
          <w:sz w:val="20"/>
        </w:rPr>
        <w:footnoteRef/>
      </w:r>
      <w:r w:rsidRPr="001A4B7B">
        <w:rPr>
          <w:rFonts w:asciiTheme="minorHAnsi" w:hAnsiTheme="minorHAnsi"/>
          <w:sz w:val="20"/>
        </w:rPr>
        <w:t xml:space="preserve"> OP 4.10 requires the borrower to conduct and demonstrate a process of “free, prior, informed consultation” leading to “broad community support.” Bank safeguards make no reference to “FPIC” or to the </w:t>
      </w:r>
      <w:r w:rsidR="005A37A9">
        <w:rPr>
          <w:rFonts w:asciiTheme="minorHAnsi" w:hAnsiTheme="minorHAnsi"/>
          <w:sz w:val="20"/>
        </w:rPr>
        <w:t>UNDRIP</w:t>
      </w:r>
      <w:r w:rsidRPr="001A4B7B">
        <w:rPr>
          <w:rFonts w:asciiTheme="minorHAnsi" w:hAnsiTheme="minorHAnsi"/>
          <w:sz w:val="20"/>
        </w:rPr>
        <w:t>.</w:t>
      </w:r>
    </w:p>
  </w:footnote>
  <w:footnote w:id="112">
    <w:p w14:paraId="363485BF" w14:textId="77777777" w:rsidR="00CF59E1" w:rsidRPr="001A4B7B" w:rsidRDefault="00CF59E1" w:rsidP="00CF59E1">
      <w:pPr>
        <w:pStyle w:val="FootnoteText"/>
        <w:rPr>
          <w:rFonts w:asciiTheme="minorHAnsi" w:hAnsiTheme="minorHAnsi" w:cstheme="minorHAnsi"/>
        </w:rPr>
      </w:pPr>
      <w:r w:rsidRPr="001A4B7B">
        <w:rPr>
          <w:rStyle w:val="FootnoteReference"/>
          <w:rFonts w:asciiTheme="minorHAnsi" w:hAnsiTheme="minorHAnsi"/>
        </w:rPr>
        <w:footnoteRef/>
      </w:r>
      <w:r>
        <w:rPr>
          <w:rFonts w:asciiTheme="minorHAnsi" w:hAnsiTheme="minorHAnsi"/>
        </w:rPr>
        <w:t xml:space="preserve"> Although the </w:t>
      </w:r>
      <w:r w:rsidRPr="001A4B7B">
        <w:rPr>
          <w:rFonts w:asciiTheme="minorHAnsi" w:hAnsiTheme="minorHAnsi"/>
        </w:rPr>
        <w:t>ADB’s SPS makes no explicit reference to “FPIC,” ADB requires broad community support for commercial dev</w:t>
      </w:r>
      <w:r>
        <w:rPr>
          <w:rFonts w:asciiTheme="minorHAnsi" w:hAnsiTheme="minorHAnsi"/>
        </w:rPr>
        <w:t>elopment of Indigenous Peoples’</w:t>
      </w:r>
      <w:r w:rsidRPr="001A4B7B">
        <w:rPr>
          <w:rFonts w:asciiTheme="minorHAnsi" w:hAnsiTheme="minorHAnsi"/>
        </w:rPr>
        <w:t xml:space="preserve"> cultural or natural resources, or for their physical displacement. According to ADB the combined requirements for meaningful consultation and broad community support are functionally equivalent to FPIC. </w:t>
      </w:r>
    </w:p>
  </w:footnote>
  <w:footnote w:id="113">
    <w:p w14:paraId="17FBB6E6" w14:textId="77777777" w:rsidR="00CF59E1" w:rsidRPr="001A4B7B" w:rsidRDefault="00CF59E1" w:rsidP="00CF59E1">
      <w:pPr>
        <w:rPr>
          <w:rFonts w:asciiTheme="minorHAnsi" w:hAnsiTheme="minorHAnsi" w:cstheme="minorHAnsi"/>
          <w:sz w:val="20"/>
          <w:szCs w:val="20"/>
        </w:rPr>
      </w:pPr>
      <w:r w:rsidRPr="001A4B7B">
        <w:rPr>
          <w:rStyle w:val="FootnoteReference"/>
          <w:rFonts w:asciiTheme="minorHAnsi" w:hAnsiTheme="minorHAnsi"/>
          <w:sz w:val="20"/>
        </w:rPr>
        <w:footnoteRef/>
      </w:r>
      <w:r w:rsidRPr="001A4B7B">
        <w:rPr>
          <w:rFonts w:asciiTheme="minorHAnsi" w:hAnsiTheme="minorHAnsi"/>
          <w:sz w:val="20"/>
        </w:rPr>
        <w:t xml:space="preserve"> As part of its “Strategic Focus and Mechanisms for Bank Action “(as distinct from operational safeguard requirements</w:t>
      </w:r>
      <w:r w:rsidRPr="001A4B7B">
        <w:rPr>
          <w:rFonts w:asciiTheme="minorHAnsi" w:hAnsiTheme="minorHAnsi" w:cstheme="minorHAnsi"/>
          <w:sz w:val="20"/>
          <w:szCs w:val="20"/>
        </w:rPr>
        <w:t>),</w:t>
      </w:r>
      <w:r w:rsidRPr="001A4B7B">
        <w:rPr>
          <w:rFonts w:asciiTheme="minorHAnsi" w:hAnsiTheme="minorHAnsi"/>
          <w:sz w:val="20"/>
        </w:rPr>
        <w:t xml:space="preserve"> IDB states that “[M]echanisms and processes [designed for the…”institutionalization of the information , timely diffusion, consultation, good-faith negotiation and participation mechanisms and processes for indigenous peoples”] ….must take into account the general principle of the free</w:t>
      </w:r>
      <w:r>
        <w:rPr>
          <w:rFonts w:asciiTheme="minorHAnsi" w:hAnsiTheme="minorHAnsi"/>
          <w:sz w:val="20"/>
        </w:rPr>
        <w:t>, prior and</w:t>
      </w:r>
      <w:r w:rsidRPr="001A4B7B">
        <w:rPr>
          <w:rFonts w:asciiTheme="minorHAnsi" w:hAnsiTheme="minorHAnsi"/>
          <w:sz w:val="20"/>
        </w:rPr>
        <w:t xml:space="preserve"> informed consent of indigenous peoples as a way to exercise their rights and “decide their own priorities for the process of development as it affects their lives, beliefs, institutions and spiritual well-being and the lands they occupy or otherwise use, and to exercise control, to the extent possible, over their own economic, social and cultural development.” IDB, Policy on Indigenous Peoples and Strategy for Indigenous Peoples Development</w:t>
      </w:r>
      <w:r w:rsidRPr="001A4B7B">
        <w:rPr>
          <w:rFonts w:asciiTheme="minorHAnsi" w:hAnsiTheme="minorHAnsi" w:cstheme="minorHAnsi"/>
          <w:sz w:val="20"/>
          <w:szCs w:val="20"/>
        </w:rPr>
        <w:t>,</w:t>
      </w:r>
      <w:r w:rsidRPr="001A4B7B">
        <w:rPr>
          <w:rFonts w:asciiTheme="minorHAnsi" w:hAnsiTheme="minorHAnsi"/>
          <w:sz w:val="20"/>
        </w:rPr>
        <w:t xml:space="preserve"> Part IV, Strengthening Governance</w:t>
      </w:r>
      <w:r w:rsidRPr="001A4B7B">
        <w:rPr>
          <w:rFonts w:asciiTheme="minorHAnsi" w:hAnsiTheme="minorHAnsi" w:cstheme="minorHAnsi"/>
          <w:sz w:val="20"/>
          <w:szCs w:val="20"/>
        </w:rPr>
        <w:t>,</w:t>
      </w:r>
      <w:r w:rsidRPr="001A4B7B">
        <w:rPr>
          <w:rFonts w:asciiTheme="minorHAnsi" w:hAnsiTheme="minorHAnsi"/>
          <w:sz w:val="20"/>
        </w:rPr>
        <w:t xml:space="preserve"> Footnote 58 references ILO Convention 169 Concerning Indigenous and Tribal Peoples in Independent Countries, Articles 6.2 and 7.1</w:t>
      </w:r>
      <w:r w:rsidRPr="001A4B7B">
        <w:rPr>
          <w:rFonts w:asciiTheme="minorHAnsi" w:hAnsiTheme="minorHAnsi" w:cstheme="minorHAnsi"/>
          <w:sz w:val="20"/>
          <w:szCs w:val="20"/>
        </w:rPr>
        <w:t>.,</w:t>
      </w:r>
      <w:r w:rsidRPr="001A4B7B">
        <w:rPr>
          <w:rFonts w:asciiTheme="minorHAnsi" w:hAnsiTheme="minorHAnsi"/>
          <w:sz w:val="20"/>
        </w:rPr>
        <w:t xml:space="preserve"> as well as the [then] draft UNGA Resolution. </w:t>
      </w:r>
    </w:p>
  </w:footnote>
  <w:footnote w:id="114">
    <w:p w14:paraId="2EA4461C" w14:textId="77777777" w:rsidR="00CF59E1" w:rsidRPr="001A4B7B" w:rsidRDefault="00CF59E1" w:rsidP="00CF59E1">
      <w:pPr>
        <w:pStyle w:val="Default"/>
        <w:rPr>
          <w:rFonts w:asciiTheme="minorHAnsi" w:hAnsiTheme="minorHAnsi" w:cstheme="minorHAnsi"/>
          <w:sz w:val="20"/>
          <w:szCs w:val="20"/>
        </w:rPr>
      </w:pPr>
      <w:r w:rsidRPr="001A4B7B">
        <w:rPr>
          <w:rStyle w:val="FootnoteReference"/>
          <w:rFonts w:asciiTheme="minorHAnsi" w:hAnsiTheme="minorHAnsi"/>
          <w:sz w:val="20"/>
        </w:rPr>
        <w:footnoteRef/>
      </w:r>
      <w:r w:rsidRPr="001A4B7B">
        <w:rPr>
          <w:rFonts w:asciiTheme="minorHAnsi" w:hAnsiTheme="minorHAnsi"/>
          <w:sz w:val="20"/>
        </w:rPr>
        <w:t xml:space="preserve"> IFC, Performance Standard 1, para. 32</w:t>
      </w:r>
      <w:r w:rsidRPr="001A4B7B">
        <w:rPr>
          <w:rFonts w:asciiTheme="minorHAnsi" w:hAnsiTheme="minorHAnsi" w:cstheme="minorHAnsi"/>
          <w:sz w:val="20"/>
          <w:szCs w:val="20"/>
        </w:rPr>
        <w:t>,“</w:t>
      </w:r>
      <w:r w:rsidRPr="001A4B7B">
        <w:rPr>
          <w:rFonts w:asciiTheme="minorHAnsi" w:hAnsiTheme="minorHAnsi"/>
          <w:sz w:val="20"/>
        </w:rPr>
        <w:t xml:space="preserve">For projects with adverse impacts to Indigenous Peoples, the client is required to engage them in a process of ICP and in certain circumstances the client is required to obtain their Free, Prior, and Informed Consent (FPIC). The requirements related to Indigenous Peoples and the definition of the special circumstances requiring FPIC are described in Performance </w:t>
      </w:r>
      <w:r w:rsidRPr="001A4B7B">
        <w:rPr>
          <w:rFonts w:asciiTheme="minorHAnsi" w:hAnsiTheme="minorHAnsi" w:cstheme="minorHAnsi"/>
          <w:sz w:val="20"/>
          <w:szCs w:val="20"/>
        </w:rPr>
        <w:t>Standard 7.”</w:t>
      </w:r>
    </w:p>
  </w:footnote>
  <w:footnote w:id="115">
    <w:p w14:paraId="6F226E9F" w14:textId="77777777" w:rsidR="00CF59E1" w:rsidRPr="001A4B7B" w:rsidRDefault="00CF59E1">
      <w:pPr>
        <w:rPr>
          <w:rFonts w:asciiTheme="minorHAnsi" w:hAnsiTheme="minorHAnsi" w:cstheme="minorHAnsi"/>
          <w:sz w:val="20"/>
          <w:szCs w:val="20"/>
        </w:rPr>
      </w:pPr>
      <w:r w:rsidRPr="001A4B7B">
        <w:rPr>
          <w:rStyle w:val="FootnoteReference"/>
          <w:rFonts w:asciiTheme="minorHAnsi" w:hAnsiTheme="minorHAnsi" w:cstheme="minorHAnsi"/>
          <w:sz w:val="20"/>
          <w:szCs w:val="20"/>
        </w:rPr>
        <w:footnoteRef/>
      </w:r>
      <w:r w:rsidRPr="001A4B7B">
        <w:rPr>
          <w:rFonts w:asciiTheme="minorHAnsi" w:hAnsiTheme="minorHAnsi" w:cstheme="minorHAnsi"/>
          <w:sz w:val="20"/>
          <w:szCs w:val="20"/>
        </w:rPr>
        <w:t xml:space="preserve"> Per footnote 7 of PR 7, “t]here is no universally accepted definition of FPIC; however, for the purpose of this PR, consent refers to the process whereby the affected community of Indigenous Peoples, arrive at a decision, in accordance with their cultural traditions, customs and practices.”</w:t>
      </w:r>
    </w:p>
  </w:footnote>
  <w:footnote w:id="116">
    <w:p w14:paraId="16FAAA6C" w14:textId="77777777" w:rsidR="00CF59E1" w:rsidRPr="001A4B7B" w:rsidRDefault="00CF59E1" w:rsidP="00CF59E1">
      <w:pPr>
        <w:pStyle w:val="FootnoteText"/>
        <w:rPr>
          <w:rFonts w:asciiTheme="minorHAnsi" w:hAnsiTheme="minorHAnsi" w:cstheme="minorHAnsi"/>
        </w:rPr>
      </w:pPr>
      <w:r w:rsidRPr="001A4B7B">
        <w:rPr>
          <w:rStyle w:val="FootnoteReference"/>
          <w:rFonts w:asciiTheme="minorHAnsi" w:hAnsiTheme="minorHAnsi"/>
        </w:rPr>
        <w:footnoteRef/>
      </w:r>
      <w:r w:rsidRPr="001A4B7B">
        <w:rPr>
          <w:rFonts w:asciiTheme="minorHAnsi" w:hAnsiTheme="minorHAnsi"/>
        </w:rPr>
        <w:t xml:space="preserve"> </w:t>
      </w:r>
      <w:r w:rsidRPr="001A4B7B">
        <w:rPr>
          <w:rFonts w:asciiTheme="minorHAnsi" w:hAnsiTheme="minorHAnsi"/>
          <w:lang w:val="en-GB"/>
        </w:rPr>
        <w:t>OP 4.20, Gender and Development, issued in 2003 and revised in March 2012</w:t>
      </w:r>
      <w:r>
        <w:rPr>
          <w:rFonts w:asciiTheme="minorHAnsi" w:hAnsiTheme="minorHAnsi"/>
          <w:lang w:val="en-GB"/>
        </w:rPr>
        <w:t>,</w:t>
      </w:r>
      <w:r w:rsidRPr="001A4B7B">
        <w:rPr>
          <w:rFonts w:asciiTheme="minorHAnsi" w:hAnsiTheme="minorHAnsi"/>
          <w:lang w:val="en-GB"/>
        </w:rPr>
        <w:t xml:space="preserve"> requires the preparation of a Gender Assessment (GA) and Action Plan (AP) for each country, which serves as an input to the World Bank’s Country Assistance Strategy (CAS). The purpose of the GA/AP is to provide the CAS with guidance in ensuring that World Bank-financed projects and other World Bank activities are gender-responsive. </w:t>
      </w:r>
    </w:p>
  </w:footnote>
  <w:footnote w:id="117">
    <w:p w14:paraId="2968B100" w14:textId="77777777" w:rsidR="00CF59E1" w:rsidRPr="001A4B7B" w:rsidRDefault="00CF59E1" w:rsidP="00CF59E1">
      <w:pPr>
        <w:pStyle w:val="NormalWeb"/>
        <w:spacing w:before="0" w:beforeAutospacing="0" w:after="0" w:afterAutospacing="0"/>
        <w:rPr>
          <w:rFonts w:asciiTheme="minorHAnsi" w:hAnsiTheme="minorHAnsi" w:cstheme="minorHAnsi"/>
          <w:sz w:val="20"/>
          <w:szCs w:val="20"/>
        </w:rPr>
      </w:pPr>
      <w:r w:rsidRPr="001A4B7B">
        <w:rPr>
          <w:rStyle w:val="FootnoteReference"/>
          <w:rFonts w:asciiTheme="minorHAnsi" w:hAnsiTheme="minorHAnsi"/>
          <w:sz w:val="20"/>
        </w:rPr>
        <w:footnoteRef/>
      </w:r>
      <w:r w:rsidRPr="001A4B7B">
        <w:rPr>
          <w:rFonts w:asciiTheme="minorHAnsi" w:hAnsiTheme="minorHAnsi"/>
          <w:sz w:val="20"/>
        </w:rPr>
        <w:t xml:space="preserve"> “Core Labor Standards” are defined by the International Labour Organisation (ILO) in the “Declaration of the Fundamental Principles and Rights at Work” and include: freedom of association; the right to collective bargaining; prohibition of all forms of forced labor; </w:t>
      </w:r>
      <w:r w:rsidRPr="001A4B7B">
        <w:rPr>
          <w:rFonts w:asciiTheme="minorHAnsi" w:hAnsiTheme="minorHAnsi" w:cstheme="minorHAnsi"/>
          <w:sz w:val="20"/>
          <w:szCs w:val="20"/>
        </w:rPr>
        <w:t>elimination</w:t>
      </w:r>
      <w:r w:rsidRPr="001A4B7B">
        <w:rPr>
          <w:rFonts w:asciiTheme="minorHAnsi" w:hAnsiTheme="minorHAnsi"/>
          <w:sz w:val="20"/>
        </w:rPr>
        <w:t xml:space="preserve"> of the worst forms of child labor</w:t>
      </w:r>
      <w:r>
        <w:rPr>
          <w:rFonts w:asciiTheme="minorHAnsi" w:hAnsiTheme="minorHAnsi"/>
          <w:sz w:val="20"/>
        </w:rPr>
        <w:t>;</w:t>
      </w:r>
      <w:r w:rsidRPr="001A4B7B">
        <w:rPr>
          <w:rFonts w:asciiTheme="minorHAnsi" w:hAnsiTheme="minorHAnsi"/>
          <w:sz w:val="20"/>
        </w:rPr>
        <w:t xml:space="preserve"> and non-discrimination in employment. ILO Core Labor Standards are included in all MDBs’ procurement policies as per the 2011 MDB Harmonized Major Works (Construction) Contract.</w:t>
      </w:r>
      <w:r w:rsidRPr="001A4B7B">
        <w:rPr>
          <w:rStyle w:val="FootnoteReference"/>
          <w:rFonts w:asciiTheme="minorHAnsi" w:hAnsiTheme="minorHAnsi"/>
          <w:sz w:val="20"/>
        </w:rPr>
        <w:t xml:space="preserve"> </w:t>
      </w:r>
    </w:p>
  </w:footnote>
  <w:footnote w:id="118">
    <w:p w14:paraId="305B1695" w14:textId="77777777" w:rsidR="00CF59E1" w:rsidRPr="001A4B7B" w:rsidRDefault="00CF59E1">
      <w:pPr>
        <w:pStyle w:val="FootnoteText"/>
      </w:pPr>
      <w:r w:rsidRPr="001A4B7B">
        <w:rPr>
          <w:rStyle w:val="FootnoteReference"/>
        </w:rPr>
        <w:footnoteRef/>
      </w:r>
      <w:r w:rsidRPr="001A4B7B">
        <w:t xml:space="preserve"> In accordance with the Bank’s limited mandate. The Bank does not have a human rights mandate. The World Bank’s Articles of Agreement limit the World Bank’s mandate to “reconstruction and development” and prohibit political interference. Nonetheless, the World Bank has recognized the relevance of human rights and its operations are supportive of human rights and encourage respect for them in a manner consistent with its Articles of Agreement.</w:t>
      </w:r>
    </w:p>
  </w:footnote>
  <w:footnote w:id="119">
    <w:p w14:paraId="317E13D8" w14:textId="77777777" w:rsidR="00CF59E1" w:rsidRPr="001A4B7B" w:rsidRDefault="00CF59E1">
      <w:pPr>
        <w:pStyle w:val="FootnoteText"/>
      </w:pPr>
      <w:r w:rsidRPr="001A4B7B">
        <w:rPr>
          <w:rStyle w:val="FootnoteReference"/>
        </w:rPr>
        <w:footnoteRef/>
      </w:r>
      <w:r w:rsidRPr="001A4B7B">
        <w:t xml:space="preserve"> OP 4.10 </w:t>
      </w:r>
      <w:r w:rsidRPr="001A4B7B">
        <w:rPr>
          <w:rFonts w:asciiTheme="minorHAnsi" w:hAnsiTheme="minorHAnsi"/>
        </w:rPr>
        <w:t>cites the need to “ensure…respect for [the] human rights of Indigenous Peoples.”</w:t>
      </w:r>
    </w:p>
  </w:footnote>
  <w:footnote w:id="120">
    <w:p w14:paraId="4CCC0468" w14:textId="77777777" w:rsidR="00CF59E1" w:rsidRPr="001A4B7B" w:rsidRDefault="00CF59E1" w:rsidP="00E66173">
      <w:pPr>
        <w:pStyle w:val="FootnoteText"/>
        <w:rPr>
          <w:rFonts w:asciiTheme="minorHAnsi" w:hAnsiTheme="minorHAnsi" w:cstheme="minorHAnsi"/>
        </w:rPr>
      </w:pPr>
      <w:r w:rsidRPr="001A4B7B">
        <w:rPr>
          <w:rStyle w:val="FootnoteReference"/>
          <w:rFonts w:asciiTheme="minorHAnsi" w:hAnsiTheme="minorHAnsi"/>
        </w:rPr>
        <w:footnoteRef/>
      </w:r>
      <w:r w:rsidRPr="001A4B7B">
        <w:rPr>
          <w:rFonts w:asciiTheme="minorHAnsi" w:hAnsiTheme="minorHAnsi"/>
        </w:rPr>
        <w:t xml:space="preserve"> SR 3 cites “human rights” as among the impacts on Indigenous </w:t>
      </w:r>
      <w:r w:rsidRPr="001A4B7B">
        <w:rPr>
          <w:rFonts w:asciiTheme="minorHAnsi" w:hAnsiTheme="minorHAnsi" w:cstheme="minorHAnsi"/>
        </w:rPr>
        <w:t>Peoples</w:t>
      </w:r>
      <w:r w:rsidRPr="001A4B7B">
        <w:rPr>
          <w:rFonts w:asciiTheme="minorHAnsi" w:hAnsiTheme="minorHAnsi"/>
        </w:rPr>
        <w:t xml:space="preserve"> that could “trigger the policy.”</w:t>
      </w:r>
    </w:p>
  </w:footnote>
  <w:footnote w:id="121">
    <w:p w14:paraId="49D1F9CC" w14:textId="77777777" w:rsidR="00CF59E1" w:rsidRPr="001A4B7B" w:rsidRDefault="00CF59E1" w:rsidP="00E66173">
      <w:pPr>
        <w:pStyle w:val="FootnoteText"/>
        <w:rPr>
          <w:rFonts w:asciiTheme="minorHAnsi" w:hAnsiTheme="minorHAnsi" w:cstheme="minorHAnsi"/>
        </w:rPr>
      </w:pPr>
      <w:r w:rsidRPr="001A4B7B">
        <w:rPr>
          <w:rStyle w:val="FootnoteReference"/>
          <w:rFonts w:asciiTheme="minorHAnsi" w:hAnsiTheme="minorHAnsi"/>
        </w:rPr>
        <w:footnoteRef/>
      </w:r>
      <w:r w:rsidRPr="001A4B7B">
        <w:rPr>
          <w:rFonts w:asciiTheme="minorHAnsi" w:hAnsiTheme="minorHAnsi"/>
        </w:rPr>
        <w:t xml:space="preserve"> </w:t>
      </w:r>
      <w:r w:rsidRPr="001A4B7B">
        <w:rPr>
          <w:rFonts w:asciiTheme="minorHAnsi" w:hAnsiTheme="minorHAnsi" w:cstheme="minorHAnsi"/>
        </w:rPr>
        <w:t>In the non-binding preface to its Integrated Safeguards System, AfDB “affirms that it respects the principles and values of human rights” and “encourages member countries to observe international human rights norms, standards, and best practices.” AfDB, Integrated Safeguards System, Preface (December 2013).</w:t>
      </w:r>
    </w:p>
  </w:footnote>
  <w:footnote w:id="122">
    <w:p w14:paraId="1768F628" w14:textId="77777777" w:rsidR="00CF59E1" w:rsidRPr="001A4B7B" w:rsidRDefault="00CF59E1">
      <w:pPr>
        <w:pStyle w:val="FootnoteText"/>
      </w:pPr>
      <w:r w:rsidRPr="001A4B7B">
        <w:rPr>
          <w:rStyle w:val="FootnoteReference"/>
        </w:rPr>
        <w:footnoteRef/>
      </w:r>
      <w:r w:rsidRPr="001A4B7B">
        <w:t xml:space="preserve"> </w:t>
      </w:r>
      <w:r w:rsidRPr="001A4B7B">
        <w:rPr>
          <w:rFonts w:asciiTheme="minorHAnsi" w:hAnsiTheme="minorHAnsi" w:cstheme="minorHAnsi"/>
        </w:rPr>
        <w:t>IFC “recognizes the responsibility of business to respect human rights” (Policy on Environmental and Social Sustainability; PS 1).</w:t>
      </w:r>
    </w:p>
  </w:footnote>
  <w:footnote w:id="123">
    <w:p w14:paraId="30B8175A" w14:textId="77777777" w:rsidR="00CF59E1" w:rsidRPr="001A4B7B" w:rsidRDefault="00CF59E1" w:rsidP="00CF59E1">
      <w:pPr>
        <w:pStyle w:val="Default"/>
        <w:rPr>
          <w:rFonts w:asciiTheme="minorHAnsi" w:hAnsiTheme="minorHAnsi"/>
        </w:rPr>
      </w:pPr>
      <w:r w:rsidRPr="001A4B7B">
        <w:rPr>
          <w:rStyle w:val="FootnoteReference"/>
          <w:rFonts w:asciiTheme="minorHAnsi" w:hAnsiTheme="minorHAnsi"/>
          <w:sz w:val="20"/>
          <w:szCs w:val="20"/>
        </w:rPr>
        <w:footnoteRef/>
      </w:r>
      <w:r w:rsidRPr="001A4B7B">
        <w:rPr>
          <w:rFonts w:asciiTheme="minorHAnsi" w:hAnsiTheme="minorHAnsi"/>
          <w:sz w:val="20"/>
          <w:szCs w:val="20"/>
        </w:rPr>
        <w:t xml:space="preserve"> Among the PS 7 Objectives, “</w:t>
      </w:r>
      <w:r w:rsidRPr="001A4B7B">
        <w:rPr>
          <w:rFonts w:asciiTheme="minorHAnsi" w:hAnsiTheme="minorHAnsi" w:cs="Arial"/>
          <w:sz w:val="20"/>
          <w:szCs w:val="20"/>
        </w:rPr>
        <w:t>To ensure that the development process fosters full respect for the human rights.”</w:t>
      </w:r>
    </w:p>
  </w:footnote>
  <w:footnote w:id="124">
    <w:p w14:paraId="2164A1BA" w14:textId="77777777" w:rsidR="00CF59E1" w:rsidRPr="001A4B7B" w:rsidRDefault="00CF59E1">
      <w:pPr>
        <w:pStyle w:val="FootnoteText"/>
        <w:rPr>
          <w:rFonts w:asciiTheme="minorHAnsi" w:hAnsiTheme="minorHAnsi"/>
        </w:rPr>
      </w:pPr>
      <w:r w:rsidRPr="001A4B7B">
        <w:rPr>
          <w:rStyle w:val="FootnoteReference"/>
          <w:rFonts w:asciiTheme="minorHAnsi" w:hAnsiTheme="minorHAnsi"/>
        </w:rPr>
        <w:footnoteRef/>
      </w:r>
      <w:r w:rsidRPr="001A4B7B">
        <w:rPr>
          <w:rFonts w:asciiTheme="minorHAnsi" w:hAnsiTheme="minorHAnsi" w:cstheme="minorHAnsi"/>
        </w:rPr>
        <w:t xml:space="preserve"> EBRD “recognises the responsibility of clients and their business activities to respect human rights” (ESP, para.9) and includes human rights as part of “social” issues (ESP, Footnote 2; PR 1, Footnote 1)</w:t>
      </w:r>
      <w:r w:rsidRPr="001A4B7B">
        <w:rPr>
          <w:rFonts w:asciiTheme="minorHAnsi" w:hAnsiTheme="minorHAnsi" w:cstheme="minorHAnsi"/>
          <w:color w:val="000000"/>
        </w:rPr>
        <w:t xml:space="preserve">. </w:t>
      </w:r>
      <w:r w:rsidRPr="001A4B7B">
        <w:rPr>
          <w:rFonts w:asciiTheme="minorHAnsi" w:hAnsiTheme="minorHAnsi"/>
        </w:rPr>
        <w:t>One of the Objectives of PR 7 is “to ensure that the transition process fosters full respect for the dignity, human rights, aspirations, cultures and natural resource-based livelihoods of Indigenous Peoples.”</w:t>
      </w:r>
    </w:p>
  </w:footnote>
  <w:footnote w:id="125">
    <w:p w14:paraId="2C9D21BB" w14:textId="77777777" w:rsidR="00CF59E1" w:rsidRPr="001A4B7B" w:rsidRDefault="00CF59E1">
      <w:pPr>
        <w:pStyle w:val="FootnoteText"/>
      </w:pPr>
      <w:r w:rsidRPr="001A4B7B">
        <w:rPr>
          <w:rStyle w:val="FootnoteReference"/>
        </w:rPr>
        <w:footnoteRef/>
      </w:r>
      <w:r w:rsidRPr="001A4B7B">
        <w:rPr>
          <w:rFonts w:asciiTheme="minorHAnsi" w:hAnsiTheme="minorHAnsi" w:cstheme="minorHAnsi"/>
        </w:rPr>
        <w:t xml:space="preserve"> In line with EIB’s requirement to follow </w:t>
      </w:r>
      <w:r w:rsidRPr="001A4B7B">
        <w:rPr>
          <w:rFonts w:asciiTheme="minorHAnsi" w:hAnsiTheme="minorHAnsi" w:cstheme="minorHAnsi"/>
          <w:color w:val="000000"/>
        </w:rPr>
        <w:t xml:space="preserve">the fundamental human rights referred to in the EU Charter, its Statement of Environmental and Social Principles and Standards states that </w:t>
      </w:r>
      <w:r w:rsidRPr="001A4B7B">
        <w:rPr>
          <w:rFonts w:asciiTheme="minorHAnsi" w:hAnsiTheme="minorHAnsi" w:cstheme="minorHAnsi"/>
        </w:rPr>
        <w:t>“[t]</w:t>
      </w:r>
      <w:r w:rsidRPr="001A4B7B">
        <w:rPr>
          <w:rFonts w:asciiTheme="minorHAnsi" w:hAnsiTheme="minorHAnsi" w:cstheme="minorHAnsi"/>
          <w:color w:val="000000"/>
        </w:rPr>
        <w:t>he Bank will not finance projects which result in a violation of human rights.”</w:t>
      </w:r>
      <w:r w:rsidRPr="001A4B7B">
        <w:t xml:space="preserve"> </w:t>
      </w:r>
    </w:p>
  </w:footnote>
  <w:footnote w:id="126">
    <w:p w14:paraId="2323CF83" w14:textId="77777777" w:rsidR="00CF59E1" w:rsidRPr="00666469" w:rsidRDefault="00CF59E1" w:rsidP="00E66173">
      <w:pPr>
        <w:pStyle w:val="FootnoteText"/>
        <w:rPr>
          <w:rFonts w:asciiTheme="minorHAnsi" w:hAnsiTheme="minorHAnsi" w:cstheme="minorHAnsi"/>
        </w:rPr>
      </w:pPr>
      <w:r w:rsidRPr="001A4B7B">
        <w:rPr>
          <w:rStyle w:val="FootnoteReference"/>
          <w:rFonts w:asciiTheme="minorHAnsi" w:hAnsiTheme="minorHAnsi"/>
        </w:rPr>
        <w:footnoteRef/>
      </w:r>
      <w:r w:rsidRPr="001A4B7B">
        <w:rPr>
          <w:rFonts w:asciiTheme="minorHAnsi" w:hAnsiTheme="minorHAnsi"/>
        </w:rPr>
        <w:t xml:space="preserve"> World Bank Operational Policies for environmental and social safeguards do not include or reference a consolidated list of activities or products that are categorically excluded or prohibited from inclusion in Bank-supported investment lending projects. In particular, the Bank’s Policy on Procurement contains various provisions that effectively prohibit contractors engaged in Bank projects from taking certain actions with respect to designated actions and products. In addition, </w:t>
      </w:r>
      <w:r w:rsidRPr="001A4B7B">
        <w:rPr>
          <w:rFonts w:asciiTheme="minorHAnsi" w:hAnsiTheme="minorHAnsi" w:cstheme="minorHAnsi"/>
        </w:rPr>
        <w:t>the Bank’s</w:t>
      </w:r>
      <w:r w:rsidRPr="001A4B7B">
        <w:rPr>
          <w:rFonts w:asciiTheme="minorHAnsi" w:hAnsiTheme="minorHAnsi"/>
        </w:rPr>
        <w:t xml:space="preserve"> OP 8.60</w:t>
      </w:r>
      <w:r w:rsidRPr="001A4B7B">
        <w:rPr>
          <w:rFonts w:asciiTheme="minorHAnsi" w:hAnsiTheme="minorHAnsi" w:cstheme="minorHAnsi"/>
        </w:rPr>
        <w:t>,</w:t>
      </w:r>
      <w:r w:rsidRPr="001A4B7B">
        <w:rPr>
          <w:rFonts w:asciiTheme="minorHAnsi" w:hAnsiTheme="minorHAnsi"/>
        </w:rPr>
        <w:t xml:space="preserve"> Development Policy Lending (DPL</w:t>
      </w:r>
      <w:r w:rsidRPr="001A4B7B">
        <w:rPr>
          <w:rFonts w:asciiTheme="minorHAnsi" w:hAnsiTheme="minorHAnsi" w:cstheme="minorHAnsi"/>
        </w:rPr>
        <w:t>),</w:t>
      </w:r>
      <w:r w:rsidRPr="001A4B7B">
        <w:rPr>
          <w:rFonts w:asciiTheme="minorHAnsi" w:hAnsiTheme="minorHAnsi"/>
        </w:rPr>
        <w:t xml:space="preserve"> refers</w:t>
      </w:r>
      <w:r w:rsidRPr="001A4B7B">
        <w:rPr>
          <w:rFonts w:asciiTheme="minorHAnsi" w:hAnsiTheme="minorHAnsi" w:cstheme="minorHAnsi"/>
        </w:rPr>
        <w:t xml:space="preserve"> to</w:t>
      </w:r>
      <w:r w:rsidRPr="001A4B7B">
        <w:rPr>
          <w:rFonts w:asciiTheme="minorHAnsi" w:hAnsiTheme="minorHAnsi"/>
        </w:rPr>
        <w:t xml:space="preserve"> “excluded expenditures,” but these exclusions apply only to borrower procurement under DPLs and not to investment lending. For more detail, see Section 6 of the Main </w:t>
      </w:r>
      <w:r w:rsidRPr="001A4B7B">
        <w:rPr>
          <w:rFonts w:asciiTheme="minorHAnsi" w:hAnsiTheme="minorHAnsi" w:cstheme="minorHAnsi"/>
        </w:rPr>
        <w:t>Report</w:t>
      </w:r>
      <w:r w:rsidRPr="001A4B7B">
        <w:rPr>
          <w:rFonts w:asciiTheme="minorHAnsi" w:hAnsiTheme="minorHAnsi"/>
        </w:rPr>
        <w:t xml:space="preserve"> and Annex 3 </w:t>
      </w:r>
      <w:r w:rsidRPr="001A4B7B">
        <w:rPr>
          <w:rFonts w:asciiTheme="minorHAnsi" w:hAnsiTheme="minorHAnsi" w:cstheme="minorHAnsi"/>
        </w:rPr>
        <w:t>for</w:t>
      </w:r>
      <w:r w:rsidRPr="001A4B7B">
        <w:rPr>
          <w:rFonts w:asciiTheme="minorHAnsi" w:hAnsiTheme="minorHAnsi"/>
        </w:rPr>
        <w:t xml:space="preserve"> more detail on categorical exclusions and prohibitions</w:t>
      </w:r>
      <w:r w:rsidRPr="001A4B7B">
        <w:rPr>
          <w:rFonts w:asciiTheme="minorHAnsi" w:hAnsiTheme="minorHAnsi" w:cstheme="minorHAnsi"/>
        </w:rPr>
        <w:t>.</w:t>
      </w:r>
    </w:p>
  </w:footnote>
  <w:footnote w:id="127">
    <w:p w14:paraId="0578BA52" w14:textId="77777777" w:rsidR="00CF59E1" w:rsidRPr="0075366A" w:rsidRDefault="00CF59E1">
      <w:pPr>
        <w:pStyle w:val="FootnoteText"/>
      </w:pPr>
      <w:r w:rsidRPr="0075366A">
        <w:rPr>
          <w:rStyle w:val="FootnoteReference"/>
        </w:rPr>
        <w:footnoteRef/>
      </w:r>
      <w:r w:rsidRPr="0075366A">
        <w:t xml:space="preserve"> It should be noted that some MDBs set forth certain categorical exclusions or prohibitions in the context of their operational requirements applicable to borrowers and/or in their procurement policies. Categorical exclusions contained in MDB operational requirements are in Section 7 and Annex 4 of this report, to the extent that these provisions differ from World Bank Operational Policy. MDB procurement policies are not within the scope of this report. Accordingly the absence of a particular exclusion or prohibition from an MDB’s formal exclusion or prohibition list should not be taken as a definitive indicator of MDB policy. </w:t>
      </w:r>
    </w:p>
  </w:footnote>
  <w:footnote w:id="128">
    <w:p w14:paraId="03908D05" w14:textId="77777777" w:rsidR="00CF59E1" w:rsidRPr="0075366A" w:rsidRDefault="00CF59E1">
      <w:pPr>
        <w:pStyle w:val="FootnoteText"/>
      </w:pPr>
      <w:r w:rsidRPr="0075366A">
        <w:rPr>
          <w:rStyle w:val="FootnoteReference"/>
        </w:rPr>
        <w:footnoteRef/>
      </w:r>
      <w:r w:rsidRPr="0075366A">
        <w:t xml:space="preserve"> IDB’s Exclusion List for Non-Sovereign Guaranteed operations (2012) covers “projects and companies involved in the production, trade or use” of the specified products, substances or activities included in the list.</w:t>
      </w:r>
    </w:p>
  </w:footnote>
  <w:footnote w:id="129">
    <w:p w14:paraId="5B7EB941" w14:textId="77777777" w:rsidR="00CF59E1" w:rsidRPr="0075366A" w:rsidRDefault="00CF59E1" w:rsidP="00E93F38">
      <w:pPr>
        <w:pStyle w:val="FootnoteText"/>
      </w:pPr>
      <w:r w:rsidRPr="0075366A">
        <w:rPr>
          <w:rStyle w:val="FootnoteReference"/>
        </w:rPr>
        <w:footnoteRef/>
      </w:r>
      <w:r w:rsidRPr="0075366A">
        <w:t xml:space="preserve"> For AfDB such forms of labor are “defined by national regulations.”</w:t>
      </w:r>
    </w:p>
  </w:footnote>
  <w:footnote w:id="130">
    <w:p w14:paraId="2795D48C" w14:textId="77777777" w:rsidR="00CF59E1" w:rsidRPr="0075366A" w:rsidRDefault="00CF59E1" w:rsidP="00E93F38">
      <w:pPr>
        <w:pStyle w:val="FootnoteText"/>
      </w:pPr>
      <w:r w:rsidRPr="0075366A">
        <w:rPr>
          <w:rStyle w:val="FootnoteReference"/>
        </w:rPr>
        <w:footnoteRef/>
      </w:r>
      <w:r w:rsidRPr="0075366A">
        <w:t xml:space="preserve"> IDB’s exclusion is limited to Non-Sovereign loans and Sub-loans, the IIC and the Multilateral Investment Fund (MIF). It is also partially applicable to other operations through procurement policies.</w:t>
      </w:r>
    </w:p>
  </w:footnote>
  <w:footnote w:id="131">
    <w:p w14:paraId="3A07C1D9" w14:textId="77777777" w:rsidR="00CF59E1" w:rsidRPr="0075366A" w:rsidRDefault="00CF59E1" w:rsidP="00E93F38">
      <w:pPr>
        <w:pStyle w:val="FootnoteText"/>
      </w:pPr>
      <w:r w:rsidRPr="0075366A">
        <w:rPr>
          <w:rStyle w:val="FootnoteReference"/>
        </w:rPr>
        <w:footnoteRef/>
      </w:r>
      <w:r w:rsidRPr="0075366A">
        <w:t xml:space="preserve"> IFC applies this prohibition to all forms of IFC lending including direct lending, FIs, microfinance and trade finance.</w:t>
      </w:r>
    </w:p>
  </w:footnote>
  <w:footnote w:id="132">
    <w:p w14:paraId="56A46424" w14:textId="77777777" w:rsidR="00CF59E1" w:rsidRPr="0075366A" w:rsidRDefault="00CF59E1" w:rsidP="00E93F38">
      <w:pPr>
        <w:pStyle w:val="FootnoteText"/>
      </w:pPr>
      <w:r w:rsidRPr="0075366A">
        <w:rPr>
          <w:rStyle w:val="FootnoteReference"/>
        </w:rPr>
        <w:footnoteRef/>
      </w:r>
      <w:r w:rsidRPr="0075366A">
        <w:t xml:space="preserve"> For AfDB such forms of labor are “defined by national regulations.”</w:t>
      </w:r>
    </w:p>
  </w:footnote>
  <w:footnote w:id="133">
    <w:p w14:paraId="7BA2AFC3" w14:textId="77777777" w:rsidR="00CF59E1" w:rsidRPr="0075366A" w:rsidRDefault="00CF59E1" w:rsidP="00E93F38">
      <w:pPr>
        <w:pStyle w:val="FootnoteText"/>
      </w:pPr>
      <w:r w:rsidRPr="0075366A">
        <w:rPr>
          <w:rStyle w:val="FootnoteReference"/>
        </w:rPr>
        <w:footnoteRef/>
      </w:r>
      <w:r w:rsidRPr="0075366A">
        <w:t xml:space="preserve"> IDB’s exclusion is limited to the Non-Sovereign loans and Sub-loans, IIC and the MIF. It is also partially applicable to other operations through procurement policies.</w:t>
      </w:r>
    </w:p>
  </w:footnote>
  <w:footnote w:id="134">
    <w:p w14:paraId="2B3DC141" w14:textId="77777777" w:rsidR="00CF59E1" w:rsidRPr="0075366A" w:rsidRDefault="00CF59E1" w:rsidP="00E93F38">
      <w:pPr>
        <w:pStyle w:val="FootnoteText"/>
      </w:pPr>
      <w:r w:rsidRPr="0075366A">
        <w:rPr>
          <w:rStyle w:val="FootnoteReference"/>
        </w:rPr>
        <w:footnoteRef/>
      </w:r>
      <w:r w:rsidRPr="0075366A">
        <w:t xml:space="preserve"> IFC applies this prohibition to all forms of IFC lending including direct lending, FIs, microfinance and trade finance.</w:t>
      </w:r>
    </w:p>
  </w:footnote>
  <w:footnote w:id="135">
    <w:p w14:paraId="7B2BA65D" w14:textId="77777777" w:rsidR="00CF59E1" w:rsidRPr="0075366A" w:rsidRDefault="00CF59E1" w:rsidP="00E93F38">
      <w:pPr>
        <w:pStyle w:val="FootnoteText"/>
      </w:pPr>
      <w:r w:rsidRPr="0075366A">
        <w:rPr>
          <w:rStyle w:val="FootnoteReference"/>
        </w:rPr>
        <w:footnoteRef/>
      </w:r>
      <w:r w:rsidRPr="0075366A">
        <w:t xml:space="preserve"> IDB’s exclusion is limited to Non-Sovereign loans and Sub-loans, and the IIC. It is also partially applicable to other operations through procurement policies.</w:t>
      </w:r>
    </w:p>
  </w:footnote>
  <w:footnote w:id="136">
    <w:p w14:paraId="549A3020" w14:textId="77777777" w:rsidR="00CF59E1" w:rsidRPr="0075366A" w:rsidRDefault="00CF59E1" w:rsidP="00E93F38">
      <w:pPr>
        <w:pStyle w:val="FootnoteText"/>
      </w:pPr>
      <w:r w:rsidRPr="0075366A">
        <w:rPr>
          <w:rStyle w:val="FootnoteReference"/>
        </w:rPr>
        <w:footnoteRef/>
      </w:r>
      <w:r w:rsidRPr="0075366A">
        <w:t xml:space="preserve"> IDB’s exclusion is limited to Non-Sovereign loans and Sub-loans, and the IIC. It is also partially applicable to other operations through procurement policies.</w:t>
      </w:r>
    </w:p>
  </w:footnote>
  <w:footnote w:id="137">
    <w:p w14:paraId="3A351CA8" w14:textId="77777777" w:rsidR="00CF59E1" w:rsidRPr="0075366A" w:rsidRDefault="00CF59E1" w:rsidP="00E93F38">
      <w:pPr>
        <w:pStyle w:val="FootnoteText"/>
      </w:pPr>
      <w:r w:rsidRPr="0075366A">
        <w:rPr>
          <w:rStyle w:val="FootnoteReference"/>
        </w:rPr>
        <w:footnoteRef/>
      </w:r>
      <w:r w:rsidRPr="0075366A">
        <w:t xml:space="preserve"> EIB cites “sex trade and related infrastructure services and media; animal testing; gambling and related equipment (including hotels with in-house casinos); tobacco production, manufacturing, processing and distribution.</w:t>
      </w:r>
    </w:p>
  </w:footnote>
  <w:footnote w:id="138">
    <w:p w14:paraId="22993B7D" w14:textId="77777777" w:rsidR="00CF59E1" w:rsidRPr="0075366A" w:rsidRDefault="00CF59E1">
      <w:pPr>
        <w:pStyle w:val="FootnoteText"/>
      </w:pPr>
      <w:r w:rsidRPr="0075366A">
        <w:rPr>
          <w:rStyle w:val="FootnoteReference"/>
        </w:rPr>
        <w:footnoteRef/>
      </w:r>
      <w:r w:rsidRPr="0075366A">
        <w:t xml:space="preserve"> Only where prohibited by national law.</w:t>
      </w:r>
    </w:p>
  </w:footnote>
  <w:footnote w:id="139">
    <w:p w14:paraId="6B8BF7CF" w14:textId="77777777" w:rsidR="00CF59E1" w:rsidRPr="0075366A" w:rsidRDefault="00CF59E1">
      <w:pPr>
        <w:pStyle w:val="FootnoteText"/>
      </w:pPr>
      <w:r w:rsidRPr="0075366A">
        <w:rPr>
          <w:rStyle w:val="FootnoteReference"/>
        </w:rPr>
        <w:footnoteRef/>
      </w:r>
      <w:r w:rsidRPr="0075366A">
        <w:t xml:space="preserve"> Activities involving live animals for experimental or scientific purposes are eligible insofar as in compliance with Directive 2010/63/EU of the European Parliament and of the Council of 22 September 2010 on “The Protection of Animals Used for Scientific Purposes.”</w:t>
      </w:r>
    </w:p>
  </w:footnote>
  <w:footnote w:id="140">
    <w:p w14:paraId="73AEB263" w14:textId="77777777" w:rsidR="00CF59E1" w:rsidRPr="0075366A" w:rsidRDefault="00CF59E1" w:rsidP="00E93F38">
      <w:pPr>
        <w:pStyle w:val="FootnoteText"/>
      </w:pPr>
      <w:r w:rsidRPr="0075366A">
        <w:rPr>
          <w:rStyle w:val="FootnoteReference"/>
        </w:rPr>
        <w:footnoteRef/>
      </w:r>
      <w:r w:rsidRPr="0075366A">
        <w:t xml:space="preserve"> IDB applies limits for this type of exclusion to trade finance and other financial intermediation activities subject to limited or no [environmental or social due diligence (ESSD)] according to Operational Policies and refers to “materially significant unmitigated negative impacts on the environment or sensitive social groups (i.e., poor, Indigenous Peoples, etc.).”</w:t>
      </w:r>
    </w:p>
  </w:footnote>
  <w:footnote w:id="141">
    <w:p w14:paraId="0FFE7947" w14:textId="77777777" w:rsidR="00CF59E1" w:rsidRPr="0075366A" w:rsidRDefault="00CF59E1" w:rsidP="00E93F38">
      <w:pPr>
        <w:pStyle w:val="FootnoteText"/>
      </w:pPr>
      <w:r w:rsidRPr="0075366A">
        <w:rPr>
          <w:rStyle w:val="FootnoteReference"/>
        </w:rPr>
        <w:footnoteRef/>
      </w:r>
      <w:r w:rsidRPr="0075366A">
        <w:t xml:space="preserve"> IFC applies this exclusion only to microfinance projects.</w:t>
      </w:r>
    </w:p>
  </w:footnote>
  <w:footnote w:id="142">
    <w:p w14:paraId="307F4F44" w14:textId="77777777" w:rsidR="00CF59E1" w:rsidRPr="0075366A" w:rsidRDefault="00CF59E1" w:rsidP="00E93F38">
      <w:pPr>
        <w:pStyle w:val="FootnoteText"/>
      </w:pPr>
      <w:r w:rsidRPr="0075366A">
        <w:rPr>
          <w:rStyle w:val="FootnoteReference"/>
        </w:rPr>
        <w:footnoteRef/>
      </w:r>
      <w:r w:rsidRPr="0075366A">
        <w:t xml:space="preserve"> EIB cites “genetically modified organisms, abortion clinics, nuclear energy, etc.” </w:t>
      </w:r>
    </w:p>
  </w:footnote>
  <w:footnote w:id="143">
    <w:p w14:paraId="1F10BF91" w14:textId="77777777" w:rsidR="00CF59E1" w:rsidRPr="0075366A" w:rsidRDefault="00CF59E1" w:rsidP="00CF59E1">
      <w:pPr>
        <w:pStyle w:val="FootnoteText"/>
      </w:pPr>
      <w:r w:rsidRPr="0075366A">
        <w:rPr>
          <w:rStyle w:val="FootnoteReference"/>
        </w:rPr>
        <w:footnoteRef/>
      </w:r>
      <w:r w:rsidRPr="0075366A">
        <w:t xml:space="preserve"> IFC cites the following examples within this category: pharmaceuticals; pesticides/herbicides, ozone depleting substances, PCBs, wildlife or products regulated under CITES as applicable to all forms of IFC financing.</w:t>
      </w:r>
    </w:p>
  </w:footnote>
  <w:footnote w:id="144">
    <w:p w14:paraId="6091EBAD" w14:textId="77777777" w:rsidR="00CF59E1" w:rsidRPr="0075366A" w:rsidRDefault="00CF59E1" w:rsidP="00E93F38">
      <w:pPr>
        <w:pStyle w:val="FootnoteText"/>
      </w:pPr>
      <w:r w:rsidRPr="0075366A">
        <w:rPr>
          <w:rStyle w:val="FootnoteReference"/>
        </w:rPr>
        <w:footnoteRef/>
      </w:r>
      <w:r w:rsidRPr="0075366A">
        <w:t xml:space="preserve"> AfDB categorically excludes “goods harmful to the environment.” </w:t>
      </w:r>
    </w:p>
  </w:footnote>
  <w:footnote w:id="145">
    <w:p w14:paraId="590B290F" w14:textId="77777777" w:rsidR="00CF59E1" w:rsidRPr="0075366A" w:rsidRDefault="00CF59E1" w:rsidP="00CF59E1">
      <w:pPr>
        <w:pStyle w:val="FootnoteText"/>
      </w:pPr>
      <w:r w:rsidRPr="0075366A">
        <w:rPr>
          <w:rStyle w:val="FootnoteReference"/>
        </w:rPr>
        <w:footnoteRef/>
      </w:r>
      <w:r w:rsidRPr="0075366A">
        <w:t xml:space="preserve"> IFC cites the following examples within this category: pharmaceuticals; pesticides/herbicides, ozone depleting substances, PCBs, wildlife or products regulated under CITES as applicable to all forms of IFC financing.</w:t>
      </w:r>
    </w:p>
  </w:footnote>
  <w:footnote w:id="146">
    <w:p w14:paraId="1C32FCCB" w14:textId="77777777" w:rsidR="00CF59E1" w:rsidRPr="0075366A" w:rsidRDefault="00CF59E1">
      <w:pPr>
        <w:pStyle w:val="FootnoteText"/>
      </w:pPr>
      <w:r w:rsidRPr="0075366A">
        <w:rPr>
          <w:rStyle w:val="FootnoteReference"/>
        </w:rPr>
        <w:footnoteRef/>
      </w:r>
      <w:r w:rsidRPr="0075366A">
        <w:t xml:space="preserve"> EBRD references European Council Regulation No. 1013/2006 of June 14, 2006; Decision C(2001)107/Final of the OECD Governing Council concerning the revision of Decision C(92)39/Final on the Control of Transboundary Movements of Wastes Destined for Recovery Operations; and the Basel Convention on the Control of Transboundary Movements of Hazardous Wastes and their Disposal.</w:t>
      </w:r>
    </w:p>
  </w:footnote>
  <w:footnote w:id="147">
    <w:p w14:paraId="6B18B124" w14:textId="77777777" w:rsidR="00CF59E1" w:rsidRPr="0075366A" w:rsidRDefault="00CF59E1" w:rsidP="00E93F38">
      <w:pPr>
        <w:pStyle w:val="FootnoteText"/>
      </w:pPr>
      <w:r w:rsidRPr="0075366A">
        <w:rPr>
          <w:rStyle w:val="FootnoteReference"/>
        </w:rPr>
        <w:footnoteRef/>
      </w:r>
      <w:r w:rsidRPr="0075366A">
        <w:t xml:space="preserve"> As defined by the Basel Convention. IDB exclusion does not apply to non-hazardous waste and waste destined for recycling.</w:t>
      </w:r>
    </w:p>
  </w:footnote>
  <w:footnote w:id="148">
    <w:p w14:paraId="2D50912A" w14:textId="77777777" w:rsidR="00CF59E1" w:rsidRPr="0075366A" w:rsidRDefault="00CF59E1" w:rsidP="00CF59E1">
      <w:pPr>
        <w:pStyle w:val="FootnoteText"/>
      </w:pPr>
      <w:r w:rsidRPr="0075366A">
        <w:rPr>
          <w:rStyle w:val="FootnoteReference"/>
        </w:rPr>
        <w:footnoteRef/>
      </w:r>
      <w:r w:rsidRPr="0075366A">
        <w:t xml:space="preserve"> Convention on International Trade in Endangered Species of Wild Fauna and Flora. </w:t>
      </w:r>
    </w:p>
  </w:footnote>
  <w:footnote w:id="149">
    <w:p w14:paraId="06DDBF12" w14:textId="77777777" w:rsidR="00CF59E1" w:rsidRPr="0075366A" w:rsidRDefault="00CF59E1" w:rsidP="00E93F38">
      <w:pPr>
        <w:pStyle w:val="FootnoteText"/>
      </w:pPr>
      <w:r w:rsidRPr="0075366A">
        <w:rPr>
          <w:rStyle w:val="FootnoteReference"/>
        </w:rPr>
        <w:footnoteRef/>
      </w:r>
      <w:r w:rsidRPr="0075366A">
        <w:t xml:space="preserve"> IFC applies this prohibition to all forms of IFC financing.</w:t>
      </w:r>
    </w:p>
  </w:footnote>
  <w:footnote w:id="150">
    <w:p w14:paraId="03F7BB9B" w14:textId="77777777" w:rsidR="00CF59E1" w:rsidRPr="0075366A" w:rsidRDefault="00CF59E1">
      <w:pPr>
        <w:pStyle w:val="FootnoteText"/>
      </w:pPr>
      <w:r w:rsidRPr="0075366A">
        <w:rPr>
          <w:rStyle w:val="FootnoteReference"/>
        </w:rPr>
        <w:footnoteRef/>
      </w:r>
      <w:r w:rsidRPr="0075366A">
        <w:t xml:space="preserve"> Only where prohibited by national law.</w:t>
      </w:r>
    </w:p>
  </w:footnote>
  <w:footnote w:id="151">
    <w:p w14:paraId="51E4E746" w14:textId="77777777" w:rsidR="00CF59E1" w:rsidRPr="0075366A" w:rsidRDefault="00CF59E1">
      <w:pPr>
        <w:pStyle w:val="FootnoteText"/>
      </w:pPr>
      <w:r w:rsidRPr="0075366A">
        <w:rPr>
          <w:rStyle w:val="FootnoteReference"/>
        </w:rPr>
        <w:footnoteRef/>
      </w:r>
      <w:r w:rsidRPr="0075366A">
        <w:t xml:space="preserve"> Only where prohibited by national law.</w:t>
      </w:r>
    </w:p>
  </w:footnote>
  <w:footnote w:id="152">
    <w:p w14:paraId="55894A96" w14:textId="77777777" w:rsidR="00CF59E1" w:rsidRPr="0075366A" w:rsidRDefault="00CF59E1">
      <w:pPr>
        <w:pStyle w:val="FootnoteText"/>
      </w:pPr>
      <w:r w:rsidRPr="0075366A">
        <w:rPr>
          <w:rStyle w:val="FootnoteReference"/>
        </w:rPr>
        <w:footnoteRef/>
      </w:r>
      <w:r w:rsidRPr="0075366A">
        <w:t xml:space="preserve"> The relevant provision in ADB’s Prohibited Investment Activities List (PIAL) does not specify an allowable length for drift nets.</w:t>
      </w:r>
    </w:p>
  </w:footnote>
  <w:footnote w:id="153">
    <w:p w14:paraId="0EFF3463" w14:textId="77777777" w:rsidR="00CF59E1" w:rsidRPr="0075366A" w:rsidRDefault="00CF59E1" w:rsidP="00E93F38">
      <w:pPr>
        <w:pStyle w:val="FootnoteText"/>
      </w:pPr>
      <w:r w:rsidRPr="0075366A">
        <w:rPr>
          <w:rStyle w:val="FootnoteReference"/>
        </w:rPr>
        <w:footnoteRef/>
      </w:r>
      <w:r w:rsidRPr="0075366A">
        <w:t xml:space="preserve"> Ibid.</w:t>
      </w:r>
    </w:p>
  </w:footnote>
  <w:footnote w:id="154">
    <w:p w14:paraId="6F896FE9" w14:textId="77777777" w:rsidR="00CF59E1" w:rsidRPr="0075366A" w:rsidRDefault="00CF59E1">
      <w:pPr>
        <w:pStyle w:val="FootnoteText"/>
      </w:pPr>
      <w:r w:rsidRPr="0075366A">
        <w:rPr>
          <w:rStyle w:val="FootnoteReference"/>
        </w:rPr>
        <w:footnoteRef/>
      </w:r>
      <w:r w:rsidRPr="0075366A">
        <w:t xml:space="preserve"> EBRD cites the following relevant international conventions: Convention on the Conservation of Migratory Species of Wild Animals (Bonn Convention); Convention on Wetlands of International Importance (Ramsar Convention); Convention on the Conservation of European Wildlife and Natural Habitats (Bern Convention); Convention Concerning the Protection of the World Cultural and Natural Heritage; and the Convention on Biological Diversity.</w:t>
      </w:r>
    </w:p>
  </w:footnote>
  <w:footnote w:id="155">
    <w:p w14:paraId="06973575" w14:textId="77777777" w:rsidR="00CF59E1" w:rsidRPr="0075366A" w:rsidRDefault="00CF59E1">
      <w:pPr>
        <w:pStyle w:val="FootnoteText"/>
      </w:pPr>
      <w:r w:rsidRPr="0075366A">
        <w:rPr>
          <w:rStyle w:val="FootnoteReference"/>
        </w:rPr>
        <w:footnoteRef/>
      </w:r>
      <w:r w:rsidRPr="0075366A">
        <w:t xml:space="preserve"> Such as pharmaceuticals, pesticides/herbicides or other hazardous substances.</w:t>
      </w:r>
    </w:p>
  </w:footnote>
  <w:footnote w:id="156">
    <w:p w14:paraId="71EA8E10" w14:textId="77777777" w:rsidR="00CF59E1" w:rsidRPr="0075366A" w:rsidRDefault="00CF59E1" w:rsidP="00E93F38">
      <w:pPr>
        <w:contextualSpacing/>
        <w:rPr>
          <w:rFonts w:cs="Arial"/>
          <w:sz w:val="20"/>
          <w:szCs w:val="20"/>
        </w:rPr>
      </w:pPr>
      <w:r w:rsidRPr="0075366A">
        <w:rPr>
          <w:rStyle w:val="FootnoteReference"/>
          <w:rFonts w:cs="Arial"/>
          <w:sz w:val="20"/>
          <w:szCs w:val="20"/>
        </w:rPr>
        <w:footnoteRef/>
      </w:r>
      <w:r w:rsidRPr="0075366A">
        <w:rPr>
          <w:rFonts w:cs="Arial"/>
          <w:sz w:val="20"/>
          <w:szCs w:val="20"/>
        </w:rPr>
        <w:t xml:space="preserve"> ADB cites in particular: (</w:t>
      </w:r>
      <w:r w:rsidRPr="0075366A">
        <w:rPr>
          <w:rFonts w:cs="Arial"/>
          <w:color w:val="000000"/>
          <w:sz w:val="20"/>
          <w:szCs w:val="20"/>
        </w:rPr>
        <w:t>a) pharmaceuticals, pesticides, and herbicides; (b) ozone-depleting substances; (c) polychlorinated biphenyls and other hazardous chemicals; (d) wildlife or wildlife products regulated under the Convention on International Trade in Endangered Species of Wild Fauna and Flora; and (e) trans-boundary trade in waste or waste products.</w:t>
      </w:r>
    </w:p>
  </w:footnote>
  <w:footnote w:id="157">
    <w:p w14:paraId="4E58DD5E" w14:textId="77777777" w:rsidR="00CF59E1" w:rsidRPr="0075366A" w:rsidRDefault="00CF59E1" w:rsidP="00E93F38">
      <w:pPr>
        <w:pStyle w:val="FootnoteText"/>
      </w:pPr>
      <w:r w:rsidRPr="0075366A">
        <w:rPr>
          <w:rStyle w:val="FootnoteReference"/>
        </w:rPr>
        <w:footnoteRef/>
      </w:r>
      <w:r w:rsidRPr="0075366A">
        <w:t xml:space="preserve"> See footnote 1. In addition, AfDB cites pesticides classified [by WHO] as Class Ia (extremely hazardous), Ib (highly hazardous) or II (moderately hazardous). </w:t>
      </w:r>
    </w:p>
  </w:footnote>
  <w:footnote w:id="158">
    <w:p w14:paraId="42314C2B" w14:textId="77777777" w:rsidR="00CF59E1" w:rsidRPr="0075366A" w:rsidRDefault="00CF59E1">
      <w:pPr>
        <w:pStyle w:val="FootnoteText"/>
      </w:pPr>
      <w:r w:rsidRPr="0075366A">
        <w:rPr>
          <w:rStyle w:val="FootnoteReference"/>
        </w:rPr>
        <w:footnoteRef/>
      </w:r>
      <w:r w:rsidRPr="0075366A">
        <w:t xml:space="preserve"> EBRD cites European Council Regulation No. 2455/92 of July 23, 1992 Concerning the Export and Import of Certain Dangerous Chemicals; the UN Consolidated List of Products whose Consumption and/or Sale have been Banned, Withdrawn, Severely Restricted or not Approved by Government; Convention on the Prior Informed Consent Procedures for Certain Chemicals and Pesticides in International Trade (Rotterdam Convention); Stockholm Convention on Persistent Organic Pollutants; and the WHO Recommended Classification of Pesticides by Hazard.</w:t>
      </w:r>
    </w:p>
  </w:footnote>
  <w:footnote w:id="159">
    <w:p w14:paraId="7843F279" w14:textId="77777777" w:rsidR="00CF59E1" w:rsidRPr="0075366A" w:rsidRDefault="00CF59E1" w:rsidP="00E93F38">
      <w:pPr>
        <w:pStyle w:val="FootnoteText"/>
      </w:pPr>
      <w:r w:rsidRPr="0075366A">
        <w:rPr>
          <w:rStyle w:val="FootnoteReference"/>
        </w:rPr>
        <w:footnoteRef/>
      </w:r>
      <w:r w:rsidRPr="0075366A">
        <w:t xml:space="preserve"> IDB’s exclusion cites pharmaceuticals, pesticides and herbicides subject to either the Stockholm or Rotterdam Conventions.</w:t>
      </w:r>
    </w:p>
  </w:footnote>
  <w:footnote w:id="160">
    <w:p w14:paraId="61B9F887" w14:textId="77777777" w:rsidR="00CF59E1" w:rsidRPr="0075366A" w:rsidRDefault="00CF59E1" w:rsidP="00E93F38">
      <w:pPr>
        <w:pStyle w:val="FootnoteText"/>
      </w:pPr>
      <w:r w:rsidRPr="0075366A">
        <w:rPr>
          <w:rStyle w:val="FootnoteReference"/>
        </w:rPr>
        <w:footnoteRef/>
      </w:r>
      <w:r w:rsidRPr="0075366A">
        <w:t xml:space="preserve"> IFC</w:t>
      </w:r>
      <w:r>
        <w:t>’s</w:t>
      </w:r>
      <w:r w:rsidRPr="0075366A">
        <w:t xml:space="preserve"> exclusion applies to all forms of IFC financing and refers to products or activities subject to international phase outs but not bans.</w:t>
      </w:r>
    </w:p>
  </w:footnote>
  <w:footnote w:id="161">
    <w:p w14:paraId="36803487" w14:textId="77777777" w:rsidR="00CF59E1" w:rsidRPr="0075366A" w:rsidRDefault="00CF59E1" w:rsidP="00E93F38">
      <w:pPr>
        <w:pStyle w:val="FootnoteText"/>
      </w:pPr>
      <w:r w:rsidRPr="0075366A">
        <w:rPr>
          <w:rStyle w:val="FootnoteReference"/>
        </w:rPr>
        <w:footnoteRef/>
      </w:r>
      <w:r w:rsidRPr="0075366A">
        <w:t xml:space="preserve"> IDB</w:t>
      </w:r>
      <w:r>
        <w:t>’s</w:t>
      </w:r>
      <w:r w:rsidRPr="0075366A">
        <w:t xml:space="preserve"> exclusion is limited to the IIC.</w:t>
      </w:r>
    </w:p>
  </w:footnote>
  <w:footnote w:id="162">
    <w:p w14:paraId="6F6BDE94" w14:textId="77777777" w:rsidR="00CF59E1" w:rsidRPr="0075366A" w:rsidRDefault="00CF59E1" w:rsidP="00E93F38">
      <w:pPr>
        <w:pStyle w:val="FootnoteText"/>
      </w:pPr>
      <w:r w:rsidRPr="0075366A">
        <w:rPr>
          <w:rStyle w:val="FootnoteReference"/>
        </w:rPr>
        <w:footnoteRef/>
      </w:r>
      <w:r w:rsidRPr="0075366A">
        <w:t xml:space="preserve"> IFC applies this exclusion only to microfinance projects. The exclusion refers to production, trade, storage or transport of significant volumes of hazardous chemicals or commercial scale usage of hazardous chemicals including gasoline, kerosene and other petroleum products.</w:t>
      </w:r>
    </w:p>
  </w:footnote>
  <w:footnote w:id="163">
    <w:p w14:paraId="1846D52B" w14:textId="77777777" w:rsidR="00CF59E1" w:rsidRPr="0075366A" w:rsidRDefault="00CF59E1">
      <w:pPr>
        <w:pStyle w:val="FootnoteText"/>
      </w:pPr>
      <w:r w:rsidRPr="0075366A">
        <w:rPr>
          <w:rStyle w:val="FootnoteReference"/>
        </w:rPr>
        <w:footnoteRef/>
      </w:r>
      <w:r w:rsidRPr="0075366A">
        <w:t xml:space="preserve"> Only where prohibited by national law.</w:t>
      </w:r>
    </w:p>
  </w:footnote>
  <w:footnote w:id="164">
    <w:p w14:paraId="706CA0C5" w14:textId="77777777" w:rsidR="00CF59E1" w:rsidRPr="0075366A" w:rsidRDefault="00CF59E1">
      <w:pPr>
        <w:pStyle w:val="FootnoteText"/>
      </w:pPr>
      <w:r w:rsidRPr="0075366A">
        <w:rPr>
          <w:rStyle w:val="FootnoteReference"/>
        </w:rPr>
        <w:footnoteRef/>
      </w:r>
      <w:r w:rsidRPr="0075366A">
        <w:t xml:space="preserve"> EBRD cites the Montreal Protocol on Substances that Deplete the Ozone Layer as subject to the substances and phase out dates specified by UN Environment Programme.</w:t>
      </w:r>
    </w:p>
  </w:footnote>
  <w:footnote w:id="165">
    <w:p w14:paraId="126090B8" w14:textId="77777777" w:rsidR="00CF59E1" w:rsidRPr="0075366A" w:rsidRDefault="00CF59E1" w:rsidP="00E93F38">
      <w:pPr>
        <w:pStyle w:val="FootnoteText"/>
      </w:pPr>
      <w:r w:rsidRPr="0075366A">
        <w:rPr>
          <w:rStyle w:val="FootnoteReference"/>
        </w:rPr>
        <w:footnoteRef/>
      </w:r>
      <w:r w:rsidRPr="0075366A">
        <w:t xml:space="preserve"> As defined by the Montreal Protocol.</w:t>
      </w:r>
    </w:p>
  </w:footnote>
  <w:footnote w:id="166">
    <w:p w14:paraId="1D9C8CBB" w14:textId="77777777" w:rsidR="00CF59E1" w:rsidRPr="0075366A" w:rsidRDefault="00CF59E1" w:rsidP="00E93F38">
      <w:pPr>
        <w:pStyle w:val="FootnoteText"/>
      </w:pPr>
      <w:r w:rsidRPr="0075366A">
        <w:rPr>
          <w:rStyle w:val="FootnoteReference"/>
        </w:rPr>
        <w:footnoteRef/>
      </w:r>
      <w:r w:rsidRPr="0075366A">
        <w:t xml:space="preserve"> As defined by the International Convention on the Reduction and Elimination of Persistent Organic Pollutants.</w:t>
      </w:r>
    </w:p>
  </w:footnote>
  <w:footnote w:id="167">
    <w:p w14:paraId="19CFAA04" w14:textId="77777777" w:rsidR="00CF59E1" w:rsidRPr="0075366A" w:rsidRDefault="00CF59E1" w:rsidP="00E93F38">
      <w:pPr>
        <w:pStyle w:val="FootnoteText"/>
      </w:pPr>
      <w:r w:rsidRPr="0075366A">
        <w:rPr>
          <w:rStyle w:val="FootnoteReference"/>
        </w:rPr>
        <w:footnoteRef/>
      </w:r>
      <w:r w:rsidRPr="0075366A">
        <w:t xml:space="preserve"> ADB also excludes </w:t>
      </w:r>
      <w:r w:rsidRPr="0075366A">
        <w:rPr>
          <w:rFonts w:cs="Arial"/>
          <w:color w:val="000000"/>
        </w:rPr>
        <w:t>paramilitary materials.</w:t>
      </w:r>
    </w:p>
  </w:footnote>
  <w:footnote w:id="168">
    <w:p w14:paraId="4EBA2B40" w14:textId="77777777" w:rsidR="00CF59E1" w:rsidRPr="0075366A" w:rsidRDefault="00CF59E1" w:rsidP="00E93F38">
      <w:pPr>
        <w:pStyle w:val="FootnoteText"/>
      </w:pPr>
      <w:r w:rsidRPr="0075366A">
        <w:rPr>
          <w:rStyle w:val="FootnoteReference"/>
        </w:rPr>
        <w:footnoteRef/>
      </w:r>
      <w:r w:rsidRPr="0075366A">
        <w:t xml:space="preserve"> EIB applies this exclusion to explosives and sporting weapons.</w:t>
      </w:r>
    </w:p>
  </w:footnote>
  <w:footnote w:id="169">
    <w:p w14:paraId="571A213F" w14:textId="77777777" w:rsidR="00CF59E1" w:rsidRPr="0075366A" w:rsidRDefault="00CF59E1" w:rsidP="00E93F38">
      <w:pPr>
        <w:pStyle w:val="FootnoteText"/>
      </w:pPr>
      <w:r w:rsidRPr="0075366A">
        <w:rPr>
          <w:rStyle w:val="FootnoteReference"/>
        </w:rPr>
        <w:footnoteRef/>
      </w:r>
      <w:r w:rsidRPr="0075366A">
        <w:t xml:space="preserve"> IFC’s exclusion applies to all forms of IFC financing but does not apply to “sponsors who are not substantively involved in these activities [such that] the activity concerned is ancillary to a project sponsor’s primary operations.” </w:t>
      </w:r>
    </w:p>
  </w:footnote>
  <w:footnote w:id="170">
    <w:p w14:paraId="207A566A" w14:textId="77777777" w:rsidR="00CF59E1" w:rsidRPr="0075366A" w:rsidRDefault="00CF59E1" w:rsidP="00E93F38">
      <w:pPr>
        <w:contextualSpacing/>
        <w:rPr>
          <w:sz w:val="20"/>
          <w:szCs w:val="20"/>
        </w:rPr>
      </w:pPr>
      <w:r w:rsidRPr="0075366A">
        <w:rPr>
          <w:rStyle w:val="FootnoteReference"/>
          <w:sz w:val="20"/>
          <w:szCs w:val="20"/>
        </w:rPr>
        <w:footnoteRef/>
      </w:r>
      <w:r w:rsidRPr="0075366A">
        <w:rPr>
          <w:sz w:val="20"/>
          <w:szCs w:val="20"/>
        </w:rPr>
        <w:t xml:space="preserve"> ADB</w:t>
      </w:r>
      <w:r>
        <w:rPr>
          <w:sz w:val="20"/>
          <w:szCs w:val="20"/>
        </w:rPr>
        <w:t>’s</w:t>
      </w:r>
      <w:r w:rsidRPr="0075366A">
        <w:rPr>
          <w:sz w:val="20"/>
          <w:szCs w:val="20"/>
        </w:rPr>
        <w:t xml:space="preserve"> exclusion </w:t>
      </w:r>
      <w:r w:rsidRPr="0075366A">
        <w:rPr>
          <w:rFonts w:cs="Arial"/>
          <w:color w:val="090909"/>
          <w:sz w:val="20"/>
          <w:szCs w:val="20"/>
        </w:rPr>
        <w:t xml:space="preserve">does not apply to project sponsors who are not substantially involved in these activities. </w:t>
      </w:r>
      <w:r>
        <w:rPr>
          <w:rFonts w:cs="Arial"/>
          <w:color w:val="090909"/>
          <w:sz w:val="20"/>
          <w:szCs w:val="20"/>
        </w:rPr>
        <w:t>“</w:t>
      </w:r>
      <w:r w:rsidRPr="0075366A">
        <w:rPr>
          <w:rFonts w:cs="Arial"/>
          <w:color w:val="090909"/>
          <w:sz w:val="20"/>
          <w:szCs w:val="20"/>
        </w:rPr>
        <w:t>Not substantially involved</w:t>
      </w:r>
      <w:r>
        <w:rPr>
          <w:rFonts w:cs="Arial"/>
          <w:color w:val="090909"/>
          <w:sz w:val="20"/>
          <w:szCs w:val="20"/>
        </w:rPr>
        <w:t>”</w:t>
      </w:r>
      <w:r w:rsidRPr="0075366A">
        <w:rPr>
          <w:rFonts w:cs="Arial"/>
          <w:color w:val="090909"/>
          <w:sz w:val="20"/>
          <w:szCs w:val="20"/>
        </w:rPr>
        <w:t xml:space="preserve"> means that the activity concerned is ancillary to a project sponsor's primary operations</w:t>
      </w:r>
      <w:r>
        <w:rPr>
          <w:rFonts w:cs="Arial"/>
          <w:color w:val="090909"/>
          <w:sz w:val="20"/>
          <w:szCs w:val="20"/>
        </w:rPr>
        <w:t>.</w:t>
      </w:r>
    </w:p>
  </w:footnote>
  <w:footnote w:id="171">
    <w:p w14:paraId="1051E2E6" w14:textId="77777777" w:rsidR="00CF59E1" w:rsidRPr="0075366A" w:rsidRDefault="00CF59E1" w:rsidP="00E93F38">
      <w:pPr>
        <w:pStyle w:val="FootnoteText"/>
      </w:pPr>
      <w:r w:rsidRPr="0075366A">
        <w:rPr>
          <w:rStyle w:val="FootnoteReference"/>
        </w:rPr>
        <w:footnoteRef/>
      </w:r>
      <w:r w:rsidRPr="0075366A">
        <w:t xml:space="preserve"> IDB applies this exclusion only to the MIF and to alcoholic beverages that are prohibited in the host country.</w:t>
      </w:r>
    </w:p>
  </w:footnote>
  <w:footnote w:id="172">
    <w:p w14:paraId="307A427C" w14:textId="77777777" w:rsidR="00CF59E1" w:rsidRPr="0075366A" w:rsidRDefault="00CF59E1" w:rsidP="00E93F38">
      <w:pPr>
        <w:pStyle w:val="FootnoteText"/>
      </w:pPr>
      <w:r w:rsidRPr="0075366A">
        <w:rPr>
          <w:rStyle w:val="FootnoteReference"/>
        </w:rPr>
        <w:footnoteRef/>
      </w:r>
      <w:r w:rsidRPr="0075366A">
        <w:t xml:space="preserve"> IFC</w:t>
      </w:r>
      <w:r>
        <w:t>’s</w:t>
      </w:r>
      <w:r w:rsidRPr="0075366A">
        <w:t xml:space="preserve"> exclusion applies to all forms of IFC financing but does not apply to beer and wine, or to “sponsors who are not substantively involved in these activities [such that] the activity concerned is ancillary to a project sponsor’s primary operations.”</w:t>
      </w:r>
    </w:p>
  </w:footnote>
  <w:footnote w:id="173">
    <w:p w14:paraId="5D5559F9" w14:textId="77777777" w:rsidR="00CF59E1" w:rsidRPr="0075366A" w:rsidRDefault="00CF59E1" w:rsidP="00E93F38">
      <w:pPr>
        <w:pStyle w:val="FootnoteText"/>
        <w:contextualSpacing/>
      </w:pPr>
      <w:r w:rsidRPr="0075366A">
        <w:rPr>
          <w:rStyle w:val="FootnoteReference"/>
        </w:rPr>
        <w:footnoteRef/>
      </w:r>
      <w:r w:rsidRPr="0075366A">
        <w:t xml:space="preserve"> In addition for ADB this prohibition does not apply to beer and wine. </w:t>
      </w:r>
    </w:p>
  </w:footnote>
  <w:footnote w:id="174">
    <w:p w14:paraId="2E6997E0" w14:textId="77777777" w:rsidR="00CF59E1" w:rsidRPr="0075366A" w:rsidRDefault="00CF59E1">
      <w:pPr>
        <w:pStyle w:val="FootnoteText"/>
      </w:pPr>
      <w:r w:rsidRPr="0075366A">
        <w:rPr>
          <w:rStyle w:val="FootnoteReference"/>
        </w:rPr>
        <w:footnoteRef/>
      </w:r>
      <w:r w:rsidRPr="0075366A">
        <w:t xml:space="preserve"> EIB</w:t>
      </w:r>
      <w:r>
        <w:t>’s</w:t>
      </w:r>
      <w:r w:rsidRPr="0075366A">
        <w:t xml:space="preserve"> exclusion applies to production, manufacturing, processing and distribution. </w:t>
      </w:r>
    </w:p>
  </w:footnote>
  <w:footnote w:id="175">
    <w:p w14:paraId="23F42DDD" w14:textId="77777777" w:rsidR="00CF59E1" w:rsidRPr="0075366A" w:rsidRDefault="00CF59E1" w:rsidP="00E93F38">
      <w:pPr>
        <w:pStyle w:val="FootnoteText"/>
      </w:pPr>
      <w:r w:rsidRPr="0075366A">
        <w:rPr>
          <w:rStyle w:val="FootnoteReference"/>
        </w:rPr>
        <w:footnoteRef/>
      </w:r>
      <w:r w:rsidRPr="0075366A">
        <w:t xml:space="preserve"> IDB</w:t>
      </w:r>
      <w:r>
        <w:t>’s</w:t>
      </w:r>
      <w:r w:rsidRPr="0075366A">
        <w:t xml:space="preserve"> exclusion does not apply to “sponsors who are not substantively involved in these activities [such that] the activity concerned is ancillary to a project sponsor’s primary operations.” However, this limitation is not mentioned with respect to the MIF.</w:t>
      </w:r>
    </w:p>
  </w:footnote>
  <w:footnote w:id="176">
    <w:p w14:paraId="699047AE" w14:textId="77777777" w:rsidR="00CF59E1" w:rsidRPr="0075366A" w:rsidRDefault="00CF59E1" w:rsidP="00E93F38">
      <w:pPr>
        <w:pStyle w:val="FootnoteText"/>
      </w:pPr>
      <w:r w:rsidRPr="0075366A">
        <w:rPr>
          <w:rStyle w:val="FootnoteReference"/>
        </w:rPr>
        <w:footnoteRef/>
      </w:r>
      <w:r w:rsidRPr="0075366A">
        <w:t xml:space="preserve"> IFC</w:t>
      </w:r>
      <w:r>
        <w:t>’s</w:t>
      </w:r>
      <w:r w:rsidRPr="0075366A">
        <w:t xml:space="preserve"> exclusion applies to all forms of IFC financing but does not apply to “sponsors who are not substantively involved in these activities [such that] the activity concerned is ancillary to a project sponsor’s primary operations.”</w:t>
      </w:r>
    </w:p>
  </w:footnote>
  <w:footnote w:id="177">
    <w:p w14:paraId="5F1ADA97" w14:textId="77777777" w:rsidR="00CF59E1" w:rsidRPr="0075366A" w:rsidRDefault="00CF59E1" w:rsidP="00E93F38">
      <w:pPr>
        <w:pStyle w:val="FootnoteText"/>
        <w:contextualSpacing/>
      </w:pPr>
      <w:r w:rsidRPr="0075366A">
        <w:rPr>
          <w:rStyle w:val="FootnoteReference"/>
        </w:rPr>
        <w:footnoteRef/>
      </w:r>
      <w:r w:rsidRPr="0075366A">
        <w:t xml:space="preserve"> ADB</w:t>
      </w:r>
      <w:r>
        <w:t>’s</w:t>
      </w:r>
      <w:r w:rsidRPr="0075366A">
        <w:t xml:space="preserve"> exclusion</w:t>
      </w:r>
      <w:r w:rsidRPr="0075366A">
        <w:rPr>
          <w:rFonts w:cs="Arial"/>
          <w:color w:val="090909"/>
        </w:rPr>
        <w:t xml:space="preserve"> does not apply to project sponsors who are not substantially involved in these activities. “Not substantially involved” means that the activity concerned is ancillary to a project sponsor's primary operations.</w:t>
      </w:r>
    </w:p>
  </w:footnote>
  <w:footnote w:id="178">
    <w:p w14:paraId="2440C0C7" w14:textId="77777777" w:rsidR="00CF59E1" w:rsidRPr="0075366A" w:rsidRDefault="00CF59E1" w:rsidP="00E93F38">
      <w:pPr>
        <w:pStyle w:val="FootnoteText"/>
        <w:contextualSpacing/>
      </w:pPr>
      <w:r w:rsidRPr="0075366A">
        <w:rPr>
          <w:rStyle w:val="FootnoteReference"/>
        </w:rPr>
        <w:footnoteRef/>
      </w:r>
      <w:r w:rsidRPr="0075366A">
        <w:t xml:space="preserve"> IDB</w:t>
      </w:r>
      <w:r>
        <w:t>’s</w:t>
      </w:r>
      <w:r w:rsidRPr="0075366A">
        <w:t xml:space="preserve"> exclusion</w:t>
      </w:r>
      <w:r w:rsidRPr="0075366A">
        <w:rPr>
          <w:rFonts w:cs="Arial"/>
          <w:color w:val="090909"/>
        </w:rPr>
        <w:t xml:space="preserve"> does not apply to project sponsors who are not substantially involved in these activities. “Not substantially involved” means that the activity concerned is ancillary to a project sponsor's primary operations. This limitation is not specified with respect to the MIF. </w:t>
      </w:r>
    </w:p>
  </w:footnote>
  <w:footnote w:id="179">
    <w:p w14:paraId="633057AD" w14:textId="77777777" w:rsidR="00CF59E1" w:rsidRPr="0075366A" w:rsidRDefault="00CF59E1" w:rsidP="00E93F38">
      <w:pPr>
        <w:pStyle w:val="FootnoteText"/>
      </w:pPr>
      <w:r w:rsidRPr="0075366A">
        <w:rPr>
          <w:rStyle w:val="FootnoteReference"/>
        </w:rPr>
        <w:footnoteRef/>
      </w:r>
      <w:r w:rsidRPr="0075366A">
        <w:t xml:space="preserve"> IFC</w:t>
      </w:r>
      <w:r>
        <w:t>’s</w:t>
      </w:r>
      <w:r w:rsidRPr="0075366A">
        <w:t xml:space="preserve"> exclusion applies to all forms of IFC financing but does not apply to “sponsors who are not substantively involved in these activities [such that] the activity concerned is ancillary to a project sponsor’s primary operations.”</w:t>
      </w:r>
    </w:p>
  </w:footnote>
  <w:footnote w:id="180">
    <w:p w14:paraId="50A06954" w14:textId="77777777" w:rsidR="00CF59E1" w:rsidRPr="0075366A" w:rsidRDefault="00CF59E1" w:rsidP="00CF59E1">
      <w:pPr>
        <w:pStyle w:val="FootnoteText"/>
      </w:pPr>
      <w:r w:rsidRPr="0075366A">
        <w:rPr>
          <w:rStyle w:val="FootnoteReference"/>
        </w:rPr>
        <w:footnoteRef/>
      </w:r>
      <w:r w:rsidRPr="0075366A">
        <w:t xml:space="preserve"> IDB applies this exclusion only to the MIF.</w:t>
      </w:r>
    </w:p>
  </w:footnote>
  <w:footnote w:id="181">
    <w:p w14:paraId="34F5A16B" w14:textId="77777777" w:rsidR="00CF59E1" w:rsidRPr="0075366A" w:rsidRDefault="00CF59E1" w:rsidP="00E93F38">
      <w:pPr>
        <w:contextualSpacing/>
        <w:rPr>
          <w:sz w:val="20"/>
          <w:szCs w:val="20"/>
        </w:rPr>
      </w:pPr>
      <w:r w:rsidRPr="0075366A">
        <w:rPr>
          <w:rStyle w:val="FootnoteReference"/>
          <w:sz w:val="20"/>
          <w:szCs w:val="20"/>
        </w:rPr>
        <w:footnoteRef/>
      </w:r>
      <w:r w:rsidRPr="0075366A">
        <w:rPr>
          <w:sz w:val="20"/>
          <w:szCs w:val="20"/>
        </w:rPr>
        <w:t xml:space="preserve"> ADB</w:t>
      </w:r>
      <w:r>
        <w:rPr>
          <w:sz w:val="20"/>
          <w:szCs w:val="20"/>
        </w:rPr>
        <w:t>’s</w:t>
      </w:r>
      <w:r w:rsidRPr="0075366A">
        <w:rPr>
          <w:sz w:val="20"/>
          <w:szCs w:val="20"/>
        </w:rPr>
        <w:t xml:space="preserve"> prohibition does not apply to </w:t>
      </w:r>
      <w:r w:rsidRPr="0075366A">
        <w:rPr>
          <w:rFonts w:cs="Arial"/>
          <w:color w:val="000000"/>
          <w:sz w:val="20"/>
          <w:szCs w:val="20"/>
        </w:rPr>
        <w:t>the purchase of medical equipment, quality control (measurement) equipment, and any equipment for which ADB considers the radioactive source to be trivial and adequately shielded.</w:t>
      </w:r>
    </w:p>
  </w:footnote>
  <w:footnote w:id="182">
    <w:p w14:paraId="4E3E60E9" w14:textId="77777777" w:rsidR="00CF59E1" w:rsidRPr="0075366A" w:rsidRDefault="00CF59E1" w:rsidP="00E93F38">
      <w:pPr>
        <w:pStyle w:val="FootnoteText"/>
      </w:pPr>
      <w:r w:rsidRPr="0075366A">
        <w:rPr>
          <w:rStyle w:val="FootnoteReference"/>
        </w:rPr>
        <w:footnoteRef/>
      </w:r>
      <w:r w:rsidRPr="0075366A">
        <w:t xml:space="preserve"> AfDB</w:t>
      </w:r>
      <w:r>
        <w:t>’s</w:t>
      </w:r>
      <w:r w:rsidRPr="0075366A">
        <w:t xml:space="preserve"> prohibition does not apply to </w:t>
      </w:r>
      <w:r w:rsidRPr="0075366A">
        <w:rPr>
          <w:rFonts w:cs="Arial"/>
          <w:color w:val="000000"/>
        </w:rPr>
        <w:t>the purchase of medical equipment, quality control (measurement) equipment, and any equipment for which A</w:t>
      </w:r>
      <w:r>
        <w:rPr>
          <w:rFonts w:cs="Arial"/>
          <w:color w:val="000000"/>
        </w:rPr>
        <w:t>f</w:t>
      </w:r>
      <w:r w:rsidRPr="0075366A">
        <w:rPr>
          <w:rFonts w:cs="Arial"/>
          <w:color w:val="000000"/>
        </w:rPr>
        <w:t xml:space="preserve">DB considers the radioactive source to be trivial and adequately shielded. </w:t>
      </w:r>
    </w:p>
  </w:footnote>
  <w:footnote w:id="183">
    <w:p w14:paraId="4A1898B8" w14:textId="77777777" w:rsidR="00CF59E1" w:rsidRPr="0075366A" w:rsidRDefault="00CF59E1" w:rsidP="00E93F38">
      <w:pPr>
        <w:pStyle w:val="FootnoteText"/>
      </w:pPr>
      <w:r w:rsidRPr="0075366A">
        <w:rPr>
          <w:rStyle w:val="FootnoteReference"/>
        </w:rPr>
        <w:footnoteRef/>
      </w:r>
      <w:r w:rsidRPr="0075366A">
        <w:t xml:space="preserve"> IDB</w:t>
      </w:r>
      <w:r>
        <w:t>’s</w:t>
      </w:r>
      <w:r w:rsidRPr="0075366A">
        <w:t xml:space="preserve"> exclusion does not apply to the purchase of medical equipment, quality control (measurement) equipment and any equipment where </w:t>
      </w:r>
      <w:r>
        <w:t xml:space="preserve">IDB </w:t>
      </w:r>
      <w:r w:rsidRPr="0075366A">
        <w:t>considers the radioactive source to be trivial and/or adequately shielded.</w:t>
      </w:r>
    </w:p>
  </w:footnote>
  <w:footnote w:id="184">
    <w:p w14:paraId="2CA7AF06" w14:textId="77777777" w:rsidR="00CF59E1" w:rsidRPr="0075366A" w:rsidRDefault="00CF59E1" w:rsidP="00E93F38">
      <w:pPr>
        <w:pStyle w:val="FootnoteText"/>
      </w:pPr>
      <w:r w:rsidRPr="0075366A">
        <w:rPr>
          <w:rStyle w:val="FootnoteReference"/>
        </w:rPr>
        <w:footnoteRef/>
      </w:r>
      <w:r w:rsidRPr="0075366A">
        <w:t xml:space="preserve"> IFC</w:t>
      </w:r>
      <w:r>
        <w:t>’s</w:t>
      </w:r>
      <w:r w:rsidRPr="0075366A">
        <w:t xml:space="preserve"> exclusion does not apply to the purchase of medical equipment, quality control (measurement) equipment and any equipment where IFC considers the radioactive source to be trivial and/or adequately shielded.</w:t>
      </w:r>
    </w:p>
  </w:footnote>
  <w:footnote w:id="185">
    <w:p w14:paraId="37F24D66" w14:textId="77777777" w:rsidR="00CF59E1" w:rsidRPr="0075366A" w:rsidRDefault="00CF59E1" w:rsidP="00E93F38">
      <w:pPr>
        <w:contextualSpacing/>
        <w:rPr>
          <w:sz w:val="20"/>
          <w:szCs w:val="20"/>
        </w:rPr>
      </w:pPr>
      <w:r w:rsidRPr="0075366A">
        <w:rPr>
          <w:rStyle w:val="FootnoteReference"/>
          <w:sz w:val="20"/>
          <w:szCs w:val="20"/>
        </w:rPr>
        <w:footnoteRef/>
      </w:r>
      <w:r w:rsidRPr="0075366A">
        <w:rPr>
          <w:sz w:val="20"/>
          <w:szCs w:val="20"/>
        </w:rPr>
        <w:t xml:space="preserve"> ADB</w:t>
      </w:r>
      <w:r>
        <w:rPr>
          <w:sz w:val="20"/>
          <w:szCs w:val="20"/>
        </w:rPr>
        <w:t>’s</w:t>
      </w:r>
      <w:r w:rsidRPr="0075366A">
        <w:rPr>
          <w:sz w:val="20"/>
          <w:szCs w:val="20"/>
        </w:rPr>
        <w:t xml:space="preserve"> exclusion</w:t>
      </w:r>
      <w:r w:rsidRPr="0075366A">
        <w:rPr>
          <w:rFonts w:cs="Arial"/>
          <w:color w:val="000000"/>
          <w:sz w:val="20"/>
          <w:szCs w:val="20"/>
        </w:rPr>
        <w:t xml:space="preserve"> does not apply to the purchase and use of bonded asbestos cement sheeting where the asbestos content is less than 20%.</w:t>
      </w:r>
    </w:p>
  </w:footnote>
  <w:footnote w:id="186">
    <w:p w14:paraId="65902230" w14:textId="77777777" w:rsidR="00CF59E1" w:rsidRPr="0075366A" w:rsidRDefault="00CF59E1" w:rsidP="00E93F38">
      <w:pPr>
        <w:pStyle w:val="FootnoteText"/>
      </w:pPr>
      <w:r w:rsidRPr="0075366A">
        <w:rPr>
          <w:rStyle w:val="FootnoteReference"/>
        </w:rPr>
        <w:footnoteRef/>
      </w:r>
      <w:r w:rsidRPr="0075366A">
        <w:t xml:space="preserve"> AfDB</w:t>
      </w:r>
      <w:r>
        <w:t>’s</w:t>
      </w:r>
      <w:r w:rsidRPr="0075366A">
        <w:t xml:space="preserve"> prohibition applies only to products where bonded asbestos is the “dominant material.”</w:t>
      </w:r>
    </w:p>
  </w:footnote>
  <w:footnote w:id="187">
    <w:p w14:paraId="657C66FF" w14:textId="77777777" w:rsidR="00CF59E1" w:rsidRPr="0075366A" w:rsidRDefault="00CF59E1" w:rsidP="00E93F38">
      <w:pPr>
        <w:pStyle w:val="FootnoteText"/>
      </w:pPr>
      <w:r w:rsidRPr="0075366A">
        <w:rPr>
          <w:rStyle w:val="FootnoteReference"/>
        </w:rPr>
        <w:footnoteRef/>
      </w:r>
      <w:r w:rsidRPr="0075366A">
        <w:t xml:space="preserve"> IDB</w:t>
      </w:r>
      <w:r>
        <w:t>’s</w:t>
      </w:r>
      <w:r w:rsidRPr="0075366A">
        <w:t xml:space="preserve"> exclusion does not apply to purchase and use of bonded asbestos sheeting where the asbestos content is less than 20%. </w:t>
      </w:r>
    </w:p>
  </w:footnote>
  <w:footnote w:id="188">
    <w:p w14:paraId="7088437D" w14:textId="77777777" w:rsidR="00CF59E1" w:rsidRPr="0075366A" w:rsidRDefault="00CF59E1" w:rsidP="00E93F38">
      <w:pPr>
        <w:pStyle w:val="FootnoteText"/>
      </w:pPr>
      <w:r w:rsidRPr="0075366A">
        <w:rPr>
          <w:rStyle w:val="FootnoteReference"/>
        </w:rPr>
        <w:footnoteRef/>
      </w:r>
      <w:r w:rsidRPr="0075366A">
        <w:t xml:space="preserve"> IFC</w:t>
      </w:r>
      <w:r>
        <w:t>’s</w:t>
      </w:r>
      <w:r w:rsidRPr="0075366A">
        <w:t xml:space="preserve"> exclusion applies to all forms of IFC financing but does not apply to purchase and use of bonded asbestos sheeting where the asbestos content is less than 20%. </w:t>
      </w:r>
    </w:p>
  </w:footnote>
  <w:footnote w:id="189">
    <w:p w14:paraId="3692001B" w14:textId="77777777" w:rsidR="00CF59E1" w:rsidRPr="0075366A" w:rsidRDefault="00CF59E1" w:rsidP="00E93F38">
      <w:pPr>
        <w:pStyle w:val="FootnoteText"/>
      </w:pPr>
      <w:r w:rsidRPr="0075366A">
        <w:rPr>
          <w:rStyle w:val="FootnoteReference"/>
        </w:rPr>
        <w:footnoteRef/>
      </w:r>
      <w:r w:rsidRPr="0075366A">
        <w:t xml:space="preserve"> AfDB cites purchase of logging equipment for use in unmanaged primary tropical rainforests.</w:t>
      </w:r>
    </w:p>
  </w:footnote>
  <w:footnote w:id="190">
    <w:p w14:paraId="1A1AE2A7" w14:textId="77777777" w:rsidR="00CF59E1" w:rsidRPr="0075366A" w:rsidRDefault="00CF59E1" w:rsidP="00E93F38">
      <w:pPr>
        <w:pStyle w:val="FootnoteText"/>
      </w:pPr>
      <w:r w:rsidRPr="0075366A">
        <w:rPr>
          <w:rStyle w:val="FootnoteReference"/>
        </w:rPr>
        <w:footnoteRef/>
      </w:r>
      <w:r w:rsidRPr="0075366A">
        <w:t xml:space="preserve"> IDB</w:t>
      </w:r>
      <w:r>
        <w:t>’s</w:t>
      </w:r>
      <w:r w:rsidRPr="0075366A">
        <w:t xml:space="preserve"> exclusion is limited to trade finance operations and the MIF.</w:t>
      </w:r>
    </w:p>
  </w:footnote>
  <w:footnote w:id="191">
    <w:p w14:paraId="1475E827" w14:textId="77777777" w:rsidR="00CF59E1" w:rsidRPr="0075366A" w:rsidRDefault="00CF59E1" w:rsidP="00E93F38">
      <w:pPr>
        <w:pStyle w:val="FootnoteText"/>
      </w:pPr>
      <w:r w:rsidRPr="0075366A">
        <w:rPr>
          <w:rStyle w:val="FootnoteReference"/>
        </w:rPr>
        <w:footnoteRef/>
      </w:r>
      <w:r w:rsidRPr="0075366A">
        <w:t xml:space="preserve"> IFC applies this prohibition to direct lending and to all FIs.</w:t>
      </w:r>
    </w:p>
  </w:footnote>
  <w:footnote w:id="192">
    <w:p w14:paraId="0A57DE96" w14:textId="77777777" w:rsidR="00CF59E1" w:rsidRPr="0075366A" w:rsidRDefault="00CF59E1" w:rsidP="00E93F38">
      <w:pPr>
        <w:pStyle w:val="FootnoteText"/>
      </w:pPr>
      <w:r w:rsidRPr="0075366A">
        <w:rPr>
          <w:rStyle w:val="FootnoteReference"/>
        </w:rPr>
        <w:footnoteRef/>
      </w:r>
      <w:r w:rsidRPr="0075366A">
        <w:t xml:space="preserve"> In the case of an IDB trade finance project, the exclusion is stated in terms of “forestry projects or operations that lack sustainable management….in areas of high ecological value with the exception of preservation and light, non-extractive use of forest resources.” </w:t>
      </w:r>
    </w:p>
  </w:footnote>
  <w:footnote w:id="193">
    <w:p w14:paraId="6802DFBB" w14:textId="77777777" w:rsidR="00CF59E1" w:rsidRPr="0075366A" w:rsidRDefault="00CF59E1" w:rsidP="00E93F38">
      <w:pPr>
        <w:pStyle w:val="FootnoteText"/>
      </w:pPr>
      <w:r w:rsidRPr="0075366A">
        <w:rPr>
          <w:rStyle w:val="FootnoteReference"/>
        </w:rPr>
        <w:footnoteRef/>
      </w:r>
      <w:r w:rsidRPr="0075366A">
        <w:t xml:space="preserve"> IFC applies this exclusion to direct financing and all FIs. The exclusion is stated in terms of “production or trade in wood or other forestry projects other than from sustainably managed forests.”</w:t>
      </w:r>
    </w:p>
  </w:footnote>
  <w:footnote w:id="194">
    <w:p w14:paraId="514DEE76" w14:textId="77777777" w:rsidR="00CF59E1" w:rsidRPr="0075366A" w:rsidRDefault="00CF59E1" w:rsidP="00E93F38">
      <w:pPr>
        <w:pStyle w:val="FootnoteText"/>
      </w:pPr>
      <w:r w:rsidRPr="0075366A">
        <w:rPr>
          <w:rStyle w:val="FootnoteReference"/>
        </w:rPr>
        <w:footnoteRef/>
      </w:r>
      <w:r w:rsidRPr="0075366A">
        <w:t xml:space="preserve"> IDB limits this exclusion to trade finance operations not otherwise subject to IDB Operational Policies.</w:t>
      </w:r>
    </w:p>
  </w:footnote>
  <w:footnote w:id="195">
    <w:p w14:paraId="35C2036D" w14:textId="77777777" w:rsidR="00CF59E1" w:rsidRPr="0075366A" w:rsidRDefault="00CF59E1" w:rsidP="00E93F38">
      <w:pPr>
        <w:pStyle w:val="FootnoteText"/>
      </w:pPr>
      <w:r w:rsidRPr="0075366A">
        <w:rPr>
          <w:rStyle w:val="FootnoteReference"/>
        </w:rPr>
        <w:footnoteRef/>
      </w:r>
      <w:r w:rsidRPr="0075366A">
        <w:t xml:space="preserve"> Ibid.</w:t>
      </w:r>
    </w:p>
  </w:footnote>
  <w:footnote w:id="196">
    <w:p w14:paraId="6F0A4F47" w14:textId="77777777" w:rsidR="00CF59E1" w:rsidRPr="0075366A" w:rsidRDefault="00CF59E1" w:rsidP="00E93F38">
      <w:pPr>
        <w:pStyle w:val="FootnoteText"/>
      </w:pPr>
      <w:r w:rsidRPr="0075366A">
        <w:rPr>
          <w:rStyle w:val="FootnoteReference"/>
        </w:rPr>
        <w:footnoteRef/>
      </w:r>
      <w:r w:rsidRPr="0075366A">
        <w:t xml:space="preserve"> IDB limits this exclusion to financial intermediaries financed by the MIF.</w:t>
      </w:r>
    </w:p>
  </w:footnote>
  <w:footnote w:id="197">
    <w:p w14:paraId="79903918" w14:textId="77777777" w:rsidR="00CF59E1" w:rsidRPr="0075366A" w:rsidRDefault="00CF59E1">
      <w:pPr>
        <w:pStyle w:val="FootnoteText"/>
      </w:pPr>
      <w:r w:rsidRPr="0075366A">
        <w:rPr>
          <w:rStyle w:val="FootnoteReference"/>
        </w:rPr>
        <w:footnoteRef/>
      </w:r>
      <w:r w:rsidRPr="0075366A">
        <w:t xml:space="preserve"> EBRD cites the International Convention for the Prevention of Pollution from Ships (MARPOL); International Convention for the Safety of Life at Sea (SOLAS); tankers blacklisted by the European Union or banned by the Paris Memorandum of Understanding on Port State Control; tankers due for phase out under MARPOL regulation 13G; and single hull tankers over 25 years old.</w:t>
      </w:r>
    </w:p>
  </w:footnote>
  <w:footnote w:id="198">
    <w:p w14:paraId="18F53D21" w14:textId="77777777" w:rsidR="00CF59E1" w:rsidRPr="00494D97" w:rsidRDefault="00CF59E1" w:rsidP="00CF59E1">
      <w:pPr>
        <w:pStyle w:val="NormalWeb"/>
        <w:spacing w:before="0" w:beforeAutospacing="0" w:after="0" w:afterAutospacing="0"/>
        <w:rPr>
          <w:rFonts w:asciiTheme="minorHAnsi" w:hAnsiTheme="minorHAnsi" w:cs="Arial"/>
          <w:color w:val="000000"/>
          <w:sz w:val="20"/>
          <w:szCs w:val="20"/>
        </w:rPr>
      </w:pPr>
      <w:r w:rsidRPr="00494D97">
        <w:rPr>
          <w:rStyle w:val="FootnoteReference"/>
          <w:rFonts w:asciiTheme="minorHAnsi" w:hAnsiTheme="minorHAnsi" w:cs="Calibri"/>
          <w:sz w:val="20"/>
          <w:szCs w:val="20"/>
        </w:rPr>
        <w:footnoteRef/>
      </w:r>
      <w:r w:rsidRPr="00494D97">
        <w:rPr>
          <w:rFonts w:asciiTheme="minorHAnsi" w:hAnsiTheme="minorHAnsi" w:cs="Calibri"/>
          <w:sz w:val="20"/>
          <w:szCs w:val="20"/>
        </w:rPr>
        <w:t xml:space="preserve"> The Bank makes reference to “ancillary facilities” in the context of defining a project’s “area of influence” rather than using the term “associated impacts.” For purposes of Involuntary Resettlement, OP 4.12 also applies to activities other than components of the Project that are: “</w:t>
      </w:r>
      <w:r w:rsidRPr="00494D97">
        <w:rPr>
          <w:rFonts w:asciiTheme="minorHAnsi" w:hAnsiTheme="minorHAnsi" w:cs="Arial"/>
          <w:color w:val="000000"/>
          <w:sz w:val="20"/>
          <w:szCs w:val="20"/>
        </w:rPr>
        <w:t>(a) directly and significantly related to the Bank-assisted project,(b) necessary to achieve its objectives as set forth in the project documents; and(c) carried out, or planned to be carried out, contemporaneously with the project.”</w:t>
      </w:r>
    </w:p>
  </w:footnote>
  <w:footnote w:id="199">
    <w:p w14:paraId="1336EC37" w14:textId="77777777" w:rsidR="00CF59E1" w:rsidRPr="00494D97" w:rsidRDefault="00CF59E1" w:rsidP="00CF59E1">
      <w:pPr>
        <w:pStyle w:val="FootnoteText"/>
        <w:rPr>
          <w:rFonts w:asciiTheme="minorHAnsi" w:hAnsiTheme="minorHAnsi" w:cs="Calibri"/>
        </w:rPr>
      </w:pPr>
      <w:r w:rsidRPr="00494D97">
        <w:rPr>
          <w:rStyle w:val="FootnoteReference"/>
          <w:rFonts w:asciiTheme="minorHAnsi" w:hAnsiTheme="minorHAnsi" w:cs="Calibri"/>
        </w:rPr>
        <w:footnoteRef/>
      </w:r>
      <w:r w:rsidRPr="00494D97">
        <w:rPr>
          <w:rFonts w:asciiTheme="minorHAnsi" w:hAnsiTheme="minorHAnsi" w:cs="Calibri"/>
        </w:rPr>
        <w:t xml:space="preserve"> “In some cases, associated facilities may have been subject to environmental and social safeguard policies of other funding institutions equivalent to the Bank’s OSs.”</w:t>
      </w:r>
    </w:p>
  </w:footnote>
  <w:footnote w:id="200">
    <w:p w14:paraId="3D10A98F"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African Development Bank, Integrated Safeguard Policy, Operational Standards, (OS) (December 2013.</w:t>
      </w:r>
    </w:p>
  </w:footnote>
  <w:footnote w:id="201">
    <w:p w14:paraId="4345B9E7"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Asian Development Bank, Safeguard Policy Statement, July 2009.</w:t>
      </w:r>
    </w:p>
  </w:footnote>
  <w:footnote w:id="202">
    <w:p w14:paraId="64F99C6C"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Inter-American Development Bank, Environmental and Safeguard Compliance Policy (ESCP) 2006.</w:t>
      </w:r>
    </w:p>
  </w:footnote>
  <w:footnote w:id="203">
    <w:p w14:paraId="56F2BC57"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EIB, Environmental and Social Handbook (ESH), January 2014.</w:t>
      </w:r>
    </w:p>
  </w:footnote>
  <w:footnote w:id="204">
    <w:p w14:paraId="39303F08"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Where citations from EIB sources are not included, “EIB” refers to EIB insertions into draft matrix paper, summarizing relevant provisions of the corresponding EIB safeguard provisions as reflected in the ESH and/or EIB Statement of Environmental and Social Principles (“EIB Statement”). </w:t>
      </w:r>
    </w:p>
  </w:footnote>
  <w:footnote w:id="205">
    <w:p w14:paraId="0AEEDF31"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Environmental and Social Standards. </w:t>
      </w:r>
    </w:p>
  </w:footnote>
  <w:footnote w:id="206">
    <w:p w14:paraId="08F500A5" w14:textId="77777777" w:rsidR="00CF59E1" w:rsidRPr="00494D97" w:rsidRDefault="00CF59E1" w:rsidP="00CF59E1">
      <w:pPr>
        <w:pStyle w:val="FootnoteText"/>
        <w:rPr>
          <w:rFonts w:asciiTheme="minorHAnsi" w:hAnsiTheme="minorHAnsi" w:cs="Calibri"/>
        </w:rPr>
      </w:pPr>
      <w:r w:rsidRPr="00494D97">
        <w:rPr>
          <w:rStyle w:val="FootnoteReference"/>
          <w:rFonts w:asciiTheme="minorHAnsi" w:hAnsiTheme="minorHAnsi" w:cs="Calibri"/>
        </w:rPr>
        <w:footnoteRef/>
      </w:r>
      <w:r w:rsidRPr="00494D97">
        <w:rPr>
          <w:rFonts w:asciiTheme="minorHAnsi" w:hAnsiTheme="minorHAnsi" w:cs="Calibri"/>
        </w:rPr>
        <w:t xml:space="preserve"> With respect to the scope of EA, OP 4.01 expressly refers to Indigenous Peoples, but not to vulnerable groups generically nor to gender. </w:t>
      </w:r>
    </w:p>
  </w:footnote>
  <w:footnote w:id="207">
    <w:p w14:paraId="3A266301"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Alternative and innovative MDB requirements relative to current World Bank Operational Policy requirements are indicated in italics where necessary.</w:t>
      </w:r>
    </w:p>
  </w:footnote>
  <w:footnote w:id="208">
    <w:p w14:paraId="6DB0E584" w14:textId="77777777" w:rsidR="00CF59E1" w:rsidRPr="00494D97" w:rsidRDefault="00CF59E1" w:rsidP="00CF59E1">
      <w:pPr>
        <w:rPr>
          <w:rFonts w:asciiTheme="minorHAnsi" w:hAnsiTheme="minorHAnsi" w:cs="Calibri"/>
          <w:sz w:val="20"/>
          <w:szCs w:val="20"/>
        </w:rPr>
      </w:pPr>
      <w:r w:rsidRPr="00494D97">
        <w:rPr>
          <w:rStyle w:val="FootnoteReference"/>
          <w:rFonts w:asciiTheme="minorHAnsi" w:hAnsiTheme="minorHAnsi" w:cs="Calibri"/>
          <w:sz w:val="20"/>
          <w:szCs w:val="20"/>
        </w:rPr>
        <w:footnoteRef/>
      </w:r>
      <w:r w:rsidRPr="00494D97">
        <w:rPr>
          <w:rFonts w:asciiTheme="minorHAnsi" w:hAnsiTheme="minorHAnsi" w:cs="Calibri"/>
          <w:sz w:val="20"/>
          <w:szCs w:val="20"/>
        </w:rPr>
        <w:t xml:space="preserve"> The World Bank requires the borrower to “assess</w:t>
      </w:r>
      <w:r w:rsidRPr="00494D97">
        <w:rPr>
          <w:rFonts w:asciiTheme="minorHAnsi" w:hAnsiTheme="minorHAnsi" w:cs="Calibri"/>
          <w:color w:val="000000"/>
          <w:sz w:val="20"/>
          <w:szCs w:val="20"/>
        </w:rPr>
        <w:t xml:space="preserve"> the adequacy” the applicable legal and institutional framework and “take into account…national legislation” but does not require the borrower’s EIA to be prepared in compliance with host country laws and obligations.</w:t>
      </w:r>
      <w:r w:rsidRPr="00494D97">
        <w:rPr>
          <w:rFonts w:asciiTheme="minorHAnsi" w:hAnsiTheme="minorHAnsi" w:cs="Calibri"/>
          <w:color w:val="FF0000"/>
          <w:sz w:val="20"/>
          <w:szCs w:val="20"/>
        </w:rPr>
        <w:t xml:space="preserve"> </w:t>
      </w:r>
      <w:r w:rsidRPr="00494D97">
        <w:rPr>
          <w:rFonts w:asciiTheme="minorHAnsi" w:hAnsiTheme="minorHAnsi" w:cs="Calibri"/>
          <w:sz w:val="20"/>
          <w:szCs w:val="20"/>
        </w:rPr>
        <w:t>The World Bank also notes the EA for category A discusses the legal framework in which the project is carried out.</w:t>
      </w:r>
    </w:p>
  </w:footnote>
  <w:footnote w:id="209">
    <w:p w14:paraId="3661F616"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Annexes I and II of the EIA Directive explicitly categorize projects by industry sector and size, whereas the World Bank provides indicative guidance on screening and categorization by type of nature of activity</w:t>
      </w:r>
      <w:r>
        <w:rPr>
          <w:rFonts w:asciiTheme="minorHAnsi" w:hAnsiTheme="minorHAnsi"/>
        </w:rPr>
        <w:t>.</w:t>
      </w:r>
      <w:r w:rsidRPr="00494D97">
        <w:rPr>
          <w:rFonts w:asciiTheme="minorHAnsi" w:hAnsiTheme="minorHAnsi"/>
        </w:rPr>
        <w:t xml:space="preserve"> </w:t>
      </w:r>
    </w:p>
  </w:footnote>
  <w:footnote w:id="210">
    <w:p w14:paraId="672A6AA7"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Although social impacts and related requirements are not explicit criteria for inclusion in World Bank Category A, in practice this is most often the case.</w:t>
      </w:r>
    </w:p>
  </w:footnote>
  <w:footnote w:id="211">
    <w:p w14:paraId="614A7F81" w14:textId="77777777" w:rsidR="00CF59E1" w:rsidRPr="00494D97" w:rsidRDefault="00CF59E1" w:rsidP="00CF59E1">
      <w:pPr>
        <w:pStyle w:val="FootnoteText"/>
        <w:rPr>
          <w:rFonts w:asciiTheme="minorHAnsi" w:hAnsiTheme="minorHAnsi" w:cs="Calibri"/>
        </w:rPr>
      </w:pPr>
      <w:r w:rsidRPr="00494D97">
        <w:rPr>
          <w:rStyle w:val="FootnoteReference"/>
          <w:rFonts w:asciiTheme="minorHAnsi" w:hAnsiTheme="minorHAnsi" w:cs="Calibri"/>
        </w:rPr>
        <w:footnoteRef/>
      </w:r>
      <w:r w:rsidRPr="00494D97">
        <w:rPr>
          <w:rFonts w:asciiTheme="minorHAnsi" w:hAnsiTheme="minorHAnsi" w:cs="Calibri"/>
        </w:rPr>
        <w:t xml:space="preserve"> World Bank specifies that MEAs are to be “identified during the EA”, which is the responsibility of the borrower</w:t>
      </w:r>
      <w:r>
        <w:rPr>
          <w:rFonts w:asciiTheme="minorHAnsi" w:hAnsiTheme="minorHAnsi" w:cs="Calibri"/>
        </w:rPr>
        <w:t>.</w:t>
      </w:r>
      <w:r w:rsidRPr="00494D97">
        <w:rPr>
          <w:rFonts w:asciiTheme="minorHAnsi" w:hAnsiTheme="minorHAnsi" w:cs="Calibri"/>
        </w:rPr>
        <w:t xml:space="preserve"> </w:t>
      </w:r>
    </w:p>
  </w:footnote>
  <w:footnote w:id="212">
    <w:p w14:paraId="020A54DA"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The original (1998) version of the EHSGs were referred to as the </w:t>
      </w:r>
      <w:r w:rsidRPr="00494D97">
        <w:rPr>
          <w:rFonts w:asciiTheme="minorHAnsi" w:hAnsiTheme="minorHAnsi"/>
          <w:i/>
        </w:rPr>
        <w:t>Pollution Prevention and Abatement Handbook</w:t>
      </w:r>
      <w:r w:rsidRPr="00494D97">
        <w:rPr>
          <w:rFonts w:asciiTheme="minorHAnsi" w:hAnsiTheme="minorHAnsi"/>
        </w:rPr>
        <w:t xml:space="preserve"> (1998)</w:t>
      </w:r>
      <w:r>
        <w:rPr>
          <w:rFonts w:asciiTheme="minorHAnsi" w:hAnsiTheme="minorHAnsi"/>
        </w:rPr>
        <w:t>.</w:t>
      </w:r>
    </w:p>
  </w:footnote>
  <w:footnote w:id="213">
    <w:p w14:paraId="6165F2A1" w14:textId="77777777" w:rsidR="00CF59E1" w:rsidRPr="00494D97" w:rsidRDefault="00CF59E1" w:rsidP="00CF59E1">
      <w:pPr>
        <w:rPr>
          <w:rFonts w:asciiTheme="minorHAnsi" w:hAnsiTheme="minorHAnsi"/>
          <w:sz w:val="20"/>
          <w:szCs w:val="20"/>
        </w:rPr>
      </w:pPr>
      <w:r w:rsidRPr="00494D97">
        <w:rPr>
          <w:rStyle w:val="FootnoteReference"/>
          <w:rFonts w:asciiTheme="minorHAnsi" w:hAnsiTheme="minorHAnsi"/>
          <w:sz w:val="20"/>
          <w:szCs w:val="20"/>
        </w:rPr>
        <w:footnoteRef/>
      </w:r>
      <w:r w:rsidRPr="00494D97">
        <w:rPr>
          <w:rFonts w:asciiTheme="minorHAnsi" w:hAnsiTheme="minorHAnsi"/>
          <w:sz w:val="20"/>
          <w:szCs w:val="20"/>
        </w:rPr>
        <w:t xml:space="preserve"> In its statement of Objectives to OS 4 AfDB states that it “</w:t>
      </w:r>
      <w:r w:rsidRPr="00494D97">
        <w:rPr>
          <w:rFonts w:asciiTheme="minorHAnsi" w:hAnsiTheme="minorHAnsi" w:cs="HelveticaNeueLTStd-Lt"/>
          <w:sz w:val="20"/>
          <w:szCs w:val="20"/>
        </w:rPr>
        <w:t>requires compliance with internationally accepted environmental standards,   particularly the World Bank Group Environmental Health and Safety (EHS) Guidelines.”</w:t>
      </w:r>
    </w:p>
  </w:footnote>
  <w:footnote w:id="214">
    <w:p w14:paraId="1F19F69D"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IDB has also adopted a GHG Assessment Emissions methodology and Guidelines for GHG Emissions in Liquid and Gaseous Fossil Fuel Power Plants; Coal-Fired Power Plants; Landfills and Cement Manufacturing Plants</w:t>
      </w:r>
      <w:r>
        <w:rPr>
          <w:rFonts w:asciiTheme="minorHAnsi" w:hAnsiTheme="minorHAnsi"/>
        </w:rPr>
        <w:t>.</w:t>
      </w:r>
    </w:p>
  </w:footnote>
  <w:footnote w:id="215">
    <w:p w14:paraId="4216B3A3" w14:textId="77777777" w:rsidR="00CF59E1" w:rsidRPr="00494D97" w:rsidRDefault="00CF59E1" w:rsidP="00CF59E1">
      <w:pPr>
        <w:pStyle w:val="FootnoteText"/>
        <w:rPr>
          <w:rFonts w:asciiTheme="minorHAnsi" w:hAnsiTheme="minorHAnsi" w:cs="Calibri"/>
        </w:rPr>
      </w:pPr>
      <w:r w:rsidRPr="00494D97">
        <w:rPr>
          <w:rStyle w:val="FootnoteReference"/>
          <w:rFonts w:asciiTheme="minorHAnsi" w:hAnsiTheme="minorHAnsi" w:cs="Calibri"/>
        </w:rPr>
        <w:footnoteRef/>
      </w:r>
      <w:r w:rsidRPr="00494D97">
        <w:rPr>
          <w:rFonts w:asciiTheme="minorHAnsi" w:hAnsiTheme="minorHAnsi" w:cs="Calibri"/>
        </w:rPr>
        <w:t xml:space="preserve"> In 2012 the World Bank began the process of exploring options for designing project based grievance mechanisms pursuant to the Management Response to the recommendations of 2010 report of the World Bank’s Independent Evaluation Group on “Safeguards and Sustainability Policies in a Changing World.” </w:t>
      </w:r>
      <w:hyperlink r:id="rId6" w:history="1">
        <w:r w:rsidRPr="00494D97">
          <w:rPr>
            <w:rStyle w:val="Hyperlink"/>
            <w:rFonts w:asciiTheme="minorHAnsi" w:hAnsiTheme="minorHAnsi" w:cs="Calibri"/>
            <w:color w:val="auto"/>
          </w:rPr>
          <w:t>http://siteresources.worldbank.org/EXTSAFANDSUS/Resources/mgmt_response_mar.pdf</w:t>
        </w:r>
      </w:hyperlink>
    </w:p>
  </w:footnote>
  <w:footnote w:id="216">
    <w:p w14:paraId="7BF63C71" w14:textId="77777777" w:rsidR="00CF59E1" w:rsidRPr="00494D97" w:rsidRDefault="00CF59E1" w:rsidP="00CF59E1">
      <w:pPr>
        <w:pStyle w:val="FootnoteText"/>
        <w:rPr>
          <w:rFonts w:asciiTheme="minorHAnsi" w:hAnsiTheme="minorHAnsi" w:cs="Calibri"/>
        </w:rPr>
      </w:pPr>
      <w:r w:rsidRPr="00494D97">
        <w:rPr>
          <w:rStyle w:val="FootnoteReference"/>
          <w:rFonts w:asciiTheme="minorHAnsi" w:hAnsiTheme="minorHAnsi" w:cs="Calibri"/>
        </w:rPr>
        <w:footnoteRef/>
      </w:r>
      <w:r w:rsidRPr="00494D97">
        <w:rPr>
          <w:rFonts w:asciiTheme="minorHAnsi" w:hAnsiTheme="minorHAnsi" w:cs="Calibri"/>
        </w:rPr>
        <w:t xml:space="preserve"> These habitat categories and their definitions are consistent with those used in IFC Performance Standard 6 (2012) and the International Union for the Conservation of Nature (IUCN) (World Conservation Union).</w:t>
      </w:r>
    </w:p>
  </w:footnote>
  <w:footnote w:id="217">
    <w:p w14:paraId="3079BF27"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Although OP 4.36 refers to “alien species” in the limited context for forest plantations the Bank’s requirement for the use of the “precautionary approach in OP 4.04” could be interpreted as an implicit prohibition on the introduction of alien species into any form of natural habitat</w:t>
      </w:r>
      <w:r>
        <w:rPr>
          <w:rFonts w:asciiTheme="minorHAnsi" w:hAnsiTheme="minorHAnsi"/>
        </w:rPr>
        <w:t>.</w:t>
      </w:r>
      <w:r w:rsidRPr="00494D97">
        <w:rPr>
          <w:rFonts w:asciiTheme="minorHAnsi" w:hAnsiTheme="minorHAnsi"/>
        </w:rPr>
        <w:t xml:space="preserve"> </w:t>
      </w:r>
    </w:p>
  </w:footnote>
  <w:footnote w:id="218">
    <w:p w14:paraId="49A6F7A3"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Although OP 4.04 does refer to “GMOs,” such a provision </w:t>
      </w:r>
      <w:r w:rsidRPr="00494D97">
        <w:rPr>
          <w:rFonts w:asciiTheme="minorHAnsi" w:hAnsiTheme="minorHAnsi"/>
          <w:i/>
        </w:rPr>
        <w:t>may</w:t>
      </w:r>
      <w:r w:rsidRPr="00494D97">
        <w:rPr>
          <w:rFonts w:asciiTheme="minorHAnsi" w:hAnsiTheme="minorHAnsi"/>
        </w:rPr>
        <w:t xml:space="preserve"> possibly be interpreted as implicit in the Bank’s requirement for the use of the “precautionary approach.”</w:t>
      </w:r>
    </w:p>
  </w:footnote>
  <w:footnote w:id="219">
    <w:p w14:paraId="2576F219"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The conservation of ecological flows may be implicit in the Bank’s requirement for the support of “ecological functions.”</w:t>
      </w:r>
    </w:p>
  </w:footnote>
  <w:footnote w:id="220">
    <w:p w14:paraId="5F32604D" w14:textId="77777777" w:rsidR="00CF59E1" w:rsidRPr="00494D97" w:rsidRDefault="00CF59E1" w:rsidP="00CF59E1">
      <w:pPr>
        <w:rPr>
          <w:rFonts w:asciiTheme="minorHAnsi" w:hAnsiTheme="minorHAnsi"/>
          <w:sz w:val="20"/>
          <w:szCs w:val="20"/>
        </w:rPr>
      </w:pPr>
    </w:p>
  </w:footnote>
  <w:footnote w:id="221">
    <w:p w14:paraId="2AA56528" w14:textId="77777777" w:rsidR="00CF59E1" w:rsidRPr="00494D97" w:rsidRDefault="00CF59E1" w:rsidP="00CF59E1">
      <w:pPr>
        <w:rPr>
          <w:rFonts w:asciiTheme="minorHAnsi" w:hAnsiTheme="minorHAnsi"/>
          <w:sz w:val="20"/>
          <w:szCs w:val="20"/>
        </w:rPr>
      </w:pPr>
    </w:p>
  </w:footnote>
  <w:footnote w:id="222">
    <w:p w14:paraId="26267AB0" w14:textId="77777777" w:rsidR="00CF59E1" w:rsidRPr="00494D97" w:rsidRDefault="00CF59E1" w:rsidP="00CF59E1">
      <w:pPr>
        <w:rPr>
          <w:rFonts w:asciiTheme="minorHAnsi" w:hAnsiTheme="minorHAnsi"/>
          <w:sz w:val="20"/>
          <w:szCs w:val="20"/>
        </w:rPr>
      </w:pPr>
    </w:p>
  </w:footnote>
  <w:footnote w:id="223">
    <w:p w14:paraId="2D3D6C88" w14:textId="77777777" w:rsidR="00CF59E1" w:rsidRPr="00494D97" w:rsidRDefault="00CF59E1" w:rsidP="00CF59E1">
      <w:pPr>
        <w:rPr>
          <w:rFonts w:asciiTheme="minorHAnsi" w:hAnsiTheme="minorHAnsi"/>
          <w:sz w:val="20"/>
          <w:szCs w:val="20"/>
        </w:rPr>
      </w:pPr>
    </w:p>
  </w:footnote>
  <w:footnote w:id="224">
    <w:p w14:paraId="287978E5" w14:textId="77777777" w:rsidR="00CF59E1" w:rsidRPr="00494D97" w:rsidRDefault="00CF59E1" w:rsidP="00CF59E1">
      <w:pPr>
        <w:pStyle w:val="FootnoteText"/>
        <w:rPr>
          <w:rFonts w:asciiTheme="minorHAnsi" w:hAnsiTheme="minorHAnsi" w:cs="Calibri"/>
        </w:rPr>
      </w:pPr>
      <w:r w:rsidRPr="00494D97">
        <w:rPr>
          <w:rStyle w:val="FootnoteReference"/>
          <w:rFonts w:asciiTheme="minorHAnsi" w:hAnsiTheme="minorHAnsi" w:cs="Calibri"/>
        </w:rPr>
        <w:footnoteRef/>
      </w:r>
      <w:r w:rsidRPr="00494D97">
        <w:rPr>
          <w:rFonts w:asciiTheme="minorHAnsi" w:hAnsiTheme="minorHAnsi" w:cs="Calibri"/>
        </w:rPr>
        <w:t xml:space="preserve"> This and several other statements cited in this section are derived from the “Recommended Strategy” (Section V) of ADB’s “Policy on Forestry”(1995). It is not clear whether statements derived from this section of the Policy fully qualify as “mandatory operational safeguard requirements” as the term is used in this paper.</w:t>
      </w:r>
    </w:p>
  </w:footnote>
  <w:footnote w:id="225">
    <w:p w14:paraId="571FBAB6" w14:textId="77777777" w:rsidR="00CF59E1" w:rsidRPr="00494D97" w:rsidRDefault="00CF59E1" w:rsidP="00CF59E1">
      <w:pPr>
        <w:pStyle w:val="FootnoteText"/>
        <w:rPr>
          <w:rFonts w:asciiTheme="minorHAnsi" w:hAnsiTheme="minorHAnsi" w:cs="Calibri"/>
        </w:rPr>
      </w:pPr>
      <w:r w:rsidRPr="00494D97">
        <w:rPr>
          <w:rStyle w:val="FootnoteReference"/>
          <w:rFonts w:asciiTheme="minorHAnsi" w:hAnsiTheme="minorHAnsi" w:cs="Calibri"/>
        </w:rPr>
        <w:footnoteRef/>
      </w:r>
      <w:r w:rsidRPr="00494D97">
        <w:rPr>
          <w:rFonts w:asciiTheme="minorHAnsi" w:hAnsiTheme="minorHAnsi" w:cs="Calibri"/>
        </w:rPr>
        <w:t xml:space="preserve"> Ibid.</w:t>
      </w:r>
    </w:p>
  </w:footnote>
  <w:footnote w:id="226">
    <w:p w14:paraId="774AC9EE" w14:textId="77777777" w:rsidR="00CF59E1" w:rsidRPr="00494D97" w:rsidRDefault="00CF59E1" w:rsidP="00CF59E1">
      <w:pPr>
        <w:pStyle w:val="FootnoteText"/>
        <w:rPr>
          <w:rFonts w:asciiTheme="minorHAnsi" w:hAnsiTheme="minorHAnsi" w:cs="Calibri"/>
        </w:rPr>
      </w:pPr>
      <w:r w:rsidRPr="00494D97">
        <w:rPr>
          <w:rStyle w:val="FootnoteReference"/>
          <w:rFonts w:asciiTheme="minorHAnsi" w:hAnsiTheme="minorHAnsi" w:cs="Calibri"/>
        </w:rPr>
        <w:footnoteRef/>
      </w:r>
      <w:r w:rsidRPr="00494D97">
        <w:rPr>
          <w:rFonts w:asciiTheme="minorHAnsi" w:hAnsiTheme="minorHAnsi" w:cs="Calibri"/>
        </w:rPr>
        <w:t xml:space="preserve"> Ibid.</w:t>
      </w:r>
    </w:p>
  </w:footnote>
  <w:footnote w:id="227">
    <w:p w14:paraId="0B31AC4C"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Ibid.</w:t>
      </w:r>
    </w:p>
  </w:footnote>
  <w:footnote w:id="228">
    <w:p w14:paraId="0BAB8467" w14:textId="77777777" w:rsidR="00CF59E1" w:rsidRPr="00494D97" w:rsidRDefault="00CF59E1" w:rsidP="00CF59E1">
      <w:pPr>
        <w:pStyle w:val="FootnoteText"/>
        <w:rPr>
          <w:rFonts w:asciiTheme="minorHAnsi" w:hAnsiTheme="minorHAnsi" w:cs="Calibri"/>
        </w:rPr>
      </w:pPr>
      <w:r w:rsidRPr="00494D97">
        <w:rPr>
          <w:rStyle w:val="FootnoteReference"/>
          <w:rFonts w:asciiTheme="minorHAnsi" w:hAnsiTheme="minorHAnsi" w:cs="Calibri"/>
        </w:rPr>
        <w:footnoteRef/>
      </w:r>
      <w:r>
        <w:rPr>
          <w:rFonts w:asciiTheme="minorHAnsi" w:hAnsiTheme="minorHAnsi" w:cs="Calibri"/>
        </w:rPr>
        <w:t xml:space="preserve"> </w:t>
      </w:r>
      <w:r w:rsidRPr="00494D97">
        <w:rPr>
          <w:rFonts w:asciiTheme="minorHAnsi" w:hAnsiTheme="minorHAnsi" w:cs="Calibri"/>
        </w:rPr>
        <w:t>Ibid.</w:t>
      </w:r>
    </w:p>
  </w:footnote>
  <w:footnote w:id="229">
    <w:p w14:paraId="4E031E03" w14:textId="77777777" w:rsidR="00CF59E1" w:rsidRPr="00494D97" w:rsidRDefault="00CF59E1" w:rsidP="00CF59E1">
      <w:pPr>
        <w:pStyle w:val="FootnoteText"/>
        <w:rPr>
          <w:rFonts w:asciiTheme="minorHAnsi" w:hAnsiTheme="minorHAnsi" w:cs="Calibri"/>
        </w:rPr>
      </w:pPr>
      <w:r w:rsidRPr="00494D97">
        <w:rPr>
          <w:rStyle w:val="FootnoteReference"/>
          <w:rFonts w:asciiTheme="minorHAnsi" w:hAnsiTheme="minorHAnsi" w:cs="Calibri"/>
        </w:rPr>
        <w:footnoteRef/>
      </w:r>
      <w:r w:rsidRPr="00494D97">
        <w:rPr>
          <w:rFonts w:asciiTheme="minorHAnsi" w:hAnsiTheme="minorHAnsi" w:cs="Calibri"/>
          <w:color w:val="000000"/>
        </w:rPr>
        <w:t xml:space="preserve"> Likewise </w:t>
      </w:r>
      <w:r w:rsidRPr="00494D97">
        <w:rPr>
          <w:rFonts w:asciiTheme="minorHAnsi" w:hAnsiTheme="minorHAnsi" w:cs="Calibri"/>
          <w:b/>
        </w:rPr>
        <w:t>AfDB</w:t>
      </w:r>
      <w:r w:rsidRPr="00494D97">
        <w:rPr>
          <w:rFonts w:asciiTheme="minorHAnsi" w:hAnsiTheme="minorHAnsi" w:cs="Calibri"/>
        </w:rPr>
        <w:t xml:space="preserve">’s </w:t>
      </w:r>
      <w:r w:rsidRPr="00494D97">
        <w:rPr>
          <w:rFonts w:asciiTheme="minorHAnsi" w:hAnsiTheme="minorHAnsi" w:cs="Calibri"/>
          <w:color w:val="000000"/>
        </w:rPr>
        <w:t>ISS states that: “This OS should also be taken into account when a project requires the temporary relocation of people. In that case, the resettlement activities should be subject to consideration and criteria that are consistent with this OS, while taking into account the temporary nature of the displacement. The objectives would be to minimize disruption to the people affected, avoid irreversible negative impacts, and provide satisfactory temporary services and –where appropriate– compensate for transitional hardships.”</w:t>
      </w:r>
      <w:r w:rsidRPr="00494D97">
        <w:rPr>
          <w:rFonts w:asciiTheme="minorHAnsi" w:hAnsiTheme="minorHAnsi" w:cs="Calibri"/>
        </w:rPr>
        <w:t xml:space="preserve"> On the other hand, by not addressing the duration of IR impacts, it could be presumed that the World Bank’s IR policy covers temporary relocation.</w:t>
      </w:r>
    </w:p>
  </w:footnote>
  <w:footnote w:id="230">
    <w:p w14:paraId="68A33493"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IDB, Involuntary Resettlement: Principles and Guidelines, 1999</w:t>
      </w:r>
      <w:r>
        <w:rPr>
          <w:rFonts w:asciiTheme="minorHAnsi" w:hAnsiTheme="minorHAnsi"/>
        </w:rPr>
        <w:t>.</w:t>
      </w:r>
    </w:p>
  </w:footnote>
  <w:footnote w:id="231">
    <w:p w14:paraId="5824E349" w14:textId="77777777" w:rsidR="00CF59E1" w:rsidRPr="00494D97" w:rsidRDefault="00CF59E1" w:rsidP="00CF59E1">
      <w:pPr>
        <w:pStyle w:val="FootnoteText"/>
        <w:rPr>
          <w:rFonts w:asciiTheme="minorHAnsi" w:hAnsiTheme="minorHAnsi" w:cs="Calibri"/>
        </w:rPr>
      </w:pPr>
      <w:r w:rsidRPr="00494D97">
        <w:rPr>
          <w:rStyle w:val="FootnoteReference"/>
          <w:rFonts w:asciiTheme="minorHAnsi" w:hAnsiTheme="minorHAnsi" w:cs="Calibri"/>
        </w:rPr>
        <w:footnoteRef/>
      </w:r>
      <w:r w:rsidRPr="00494D97">
        <w:rPr>
          <w:rFonts w:asciiTheme="minorHAnsi" w:hAnsiTheme="minorHAnsi" w:cs="Calibri"/>
        </w:rPr>
        <w:t xml:space="preserve"> </w:t>
      </w:r>
      <w:r w:rsidRPr="00494D97">
        <w:rPr>
          <w:rFonts w:asciiTheme="minorHAnsi" w:hAnsiTheme="minorHAnsi" w:cs="Calibri"/>
          <w:b/>
        </w:rPr>
        <w:t>AfDB</w:t>
      </w:r>
      <w:r w:rsidRPr="00494D97">
        <w:rPr>
          <w:rFonts w:asciiTheme="minorHAnsi" w:hAnsiTheme="minorHAnsi" w:cs="Calibri"/>
        </w:rPr>
        <w:t xml:space="preserve"> has similar provisions that apply to this category of project-affected persons provided that “</w:t>
      </w:r>
      <w:r w:rsidRPr="00494D97">
        <w:rPr>
          <w:rFonts w:asciiTheme="minorHAnsi" w:hAnsiTheme="minorHAnsi" w:cs="Calibri"/>
          <w:color w:val="000000"/>
        </w:rPr>
        <w:t xml:space="preserve">they themselves or witnesses can demonstrate that they occupied the project area of influence for a reasonable time (at least six months) prior to a cut-off date established by the borrower or client and acceptable to the Bank.” In contrast the World </w:t>
      </w:r>
      <w:r w:rsidRPr="00494D97">
        <w:rPr>
          <w:rFonts w:asciiTheme="minorHAnsi" w:hAnsiTheme="minorHAnsi" w:cs="Calibri"/>
        </w:rPr>
        <w:t>Bank requires the borrower to provide “resettlement assistance in lieu of compensation.”</w:t>
      </w:r>
    </w:p>
  </w:footnote>
  <w:footnote w:id="232">
    <w:p w14:paraId="1A305957"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w:t>
      </w:r>
      <w:r w:rsidRPr="00494D97">
        <w:rPr>
          <w:rFonts w:asciiTheme="minorHAnsi" w:eastAsia="Times New Roman" w:hAnsiTheme="minorHAnsi" w:cs="Calibri"/>
        </w:rPr>
        <w:t>Gender Equality in Development: Operational Policy. (2010).</w:t>
      </w:r>
    </w:p>
  </w:footnote>
  <w:footnote w:id="233">
    <w:p w14:paraId="4BE00EB6" w14:textId="77777777" w:rsidR="00CF59E1" w:rsidRPr="00494D97" w:rsidRDefault="00CF59E1" w:rsidP="00CF59E1">
      <w:pPr>
        <w:tabs>
          <w:tab w:val="left" w:pos="450"/>
          <w:tab w:val="left" w:pos="900"/>
        </w:tabs>
        <w:autoSpaceDE/>
        <w:autoSpaceDN/>
        <w:adjustRightInd/>
        <w:rPr>
          <w:rFonts w:asciiTheme="minorHAnsi" w:hAnsiTheme="minorHAnsi"/>
        </w:rPr>
      </w:pPr>
      <w:r w:rsidRPr="00494D97">
        <w:rPr>
          <w:rStyle w:val="FootnoteReference"/>
          <w:rFonts w:asciiTheme="minorHAnsi" w:hAnsiTheme="minorHAnsi"/>
          <w:sz w:val="20"/>
          <w:szCs w:val="20"/>
        </w:rPr>
        <w:footnoteRef/>
      </w:r>
      <w:r w:rsidRPr="00494D97">
        <w:rPr>
          <w:rFonts w:asciiTheme="minorHAnsi" w:hAnsiTheme="minorHAnsi"/>
          <w:sz w:val="20"/>
          <w:szCs w:val="20"/>
        </w:rPr>
        <w:t xml:space="preserve"> “</w:t>
      </w:r>
      <w:r w:rsidRPr="00494D97">
        <w:rPr>
          <w:rFonts w:asciiTheme="minorHAnsi" w:eastAsia="Times New Roman" w:hAnsiTheme="minorHAnsi" w:cs="Calibri"/>
          <w:sz w:val="20"/>
          <w:szCs w:val="20"/>
        </w:rPr>
        <w:t>Impoverishment Risk Analysis. When the baseline information indicates that a significant number of the persons to be resettled belong to marginal or low-income groups, special consideration will be given to the risks of impoverishment to which they may be exposed as a result of resettlement. Impoverishment can occur through any of the following six means: loss of housing, land, access to common property or other rights to real property due to lack of clear title, economic pressure or other factors; loss of employment; loss of access to means of production; food insecurity, increased morbidity and mortality; disarticulation of social networks; and loss of access to education. A detailed analysis will be carried out at the earliest opportunity, covering gender, ethnicity, income and other socioeconomic factors, in order to determine the risks and design preventive measures to minimize them. In this context, cash compensation will only be offered as an option if the social and economic conditions of the affected population, the institutional setting and housing market, or the complementary services included in the resettlement plan, are such as to ensure that it can be invested in a manner that will restore the affected population´s standard of living.”(</w:t>
      </w:r>
      <w:r w:rsidRPr="00494D97">
        <w:rPr>
          <w:rFonts w:asciiTheme="minorHAnsi" w:eastAsia="Times New Roman" w:hAnsiTheme="minorHAnsi" w:cs="Calibri"/>
          <w:b/>
          <w:sz w:val="20"/>
          <w:szCs w:val="20"/>
        </w:rPr>
        <w:t>IDB</w:t>
      </w:r>
      <w:r w:rsidRPr="00494D97">
        <w:rPr>
          <w:rFonts w:asciiTheme="minorHAnsi" w:eastAsia="Times New Roman" w:hAnsiTheme="minorHAnsi" w:cs="Calibri"/>
          <w:sz w:val="20"/>
          <w:szCs w:val="20"/>
        </w:rPr>
        <w:t>)</w:t>
      </w:r>
    </w:p>
  </w:footnote>
  <w:footnote w:id="234">
    <w:p w14:paraId="6DA1271E" w14:textId="77777777" w:rsidR="00CF59E1" w:rsidRPr="00494D97" w:rsidRDefault="00CF59E1" w:rsidP="00CF59E1">
      <w:pPr>
        <w:tabs>
          <w:tab w:val="left" w:pos="450"/>
          <w:tab w:val="left" w:pos="900"/>
        </w:tabs>
        <w:rPr>
          <w:rFonts w:asciiTheme="minorHAnsi" w:hAnsiTheme="minorHAnsi"/>
        </w:rPr>
      </w:pPr>
      <w:r w:rsidRPr="00494D97">
        <w:rPr>
          <w:rStyle w:val="FootnoteReference"/>
          <w:rFonts w:asciiTheme="minorHAnsi" w:hAnsiTheme="minorHAnsi"/>
          <w:sz w:val="20"/>
          <w:szCs w:val="20"/>
        </w:rPr>
        <w:footnoteRef/>
      </w:r>
      <w:r w:rsidRPr="00494D97">
        <w:rPr>
          <w:rFonts w:asciiTheme="minorHAnsi" w:hAnsiTheme="minorHAnsi"/>
          <w:sz w:val="20"/>
          <w:szCs w:val="20"/>
        </w:rPr>
        <w:t xml:space="preserve"> </w:t>
      </w:r>
      <w:r w:rsidRPr="00494D97">
        <w:rPr>
          <w:rFonts w:asciiTheme="minorHAnsi" w:eastAsia="Times New Roman" w:hAnsiTheme="minorHAnsi" w:cs="Calibri"/>
          <w:sz w:val="20"/>
          <w:szCs w:val="20"/>
        </w:rPr>
        <w:t xml:space="preserve">IDB requires that implementation of its IR policy “be coordinated with” its Policy on Gender Equality in Development. </w:t>
      </w:r>
    </w:p>
  </w:footnote>
  <w:footnote w:id="235">
    <w:p w14:paraId="5A66A348" w14:textId="77777777" w:rsidR="00CF59E1" w:rsidRPr="00494D97" w:rsidRDefault="00CF59E1" w:rsidP="00CF59E1">
      <w:pPr>
        <w:pStyle w:val="FootnoteText"/>
        <w:rPr>
          <w:rFonts w:asciiTheme="minorHAnsi" w:hAnsiTheme="minorHAnsi" w:cs="Calibri"/>
        </w:rPr>
      </w:pPr>
      <w:r w:rsidRPr="00494D97">
        <w:rPr>
          <w:rStyle w:val="FootnoteReference"/>
          <w:rFonts w:asciiTheme="minorHAnsi" w:hAnsiTheme="minorHAnsi" w:cs="Calibri"/>
        </w:rPr>
        <w:footnoteRef/>
      </w:r>
      <w:r w:rsidRPr="00494D97">
        <w:rPr>
          <w:rFonts w:asciiTheme="minorHAnsi" w:hAnsiTheme="minorHAnsi" w:cs="Calibri"/>
        </w:rPr>
        <w:t xml:space="preserve"> The World Bank regularly supervises resettlement implementation “to determine compliance with resettlement instrument,” but does not further elaborate on the Bank’s supervision requirements.</w:t>
      </w:r>
    </w:p>
  </w:footnote>
  <w:footnote w:id="236">
    <w:p w14:paraId="2E92E4E3" w14:textId="77777777" w:rsidR="00CF59E1" w:rsidRPr="00494D97" w:rsidRDefault="00CF59E1" w:rsidP="00CF59E1">
      <w:pPr>
        <w:pStyle w:val="FootnoteText"/>
        <w:rPr>
          <w:rFonts w:asciiTheme="minorHAnsi" w:hAnsiTheme="minorHAnsi" w:cs="Calibri"/>
        </w:rPr>
      </w:pPr>
      <w:r w:rsidRPr="00494D97">
        <w:rPr>
          <w:rStyle w:val="FootnoteReference"/>
          <w:rFonts w:asciiTheme="minorHAnsi" w:hAnsiTheme="minorHAnsi" w:cs="Calibri"/>
        </w:rPr>
        <w:footnoteRef/>
      </w:r>
      <w:r w:rsidRPr="00494D97">
        <w:rPr>
          <w:rFonts w:asciiTheme="minorHAnsi" w:hAnsiTheme="minorHAnsi" w:cs="Calibri"/>
        </w:rPr>
        <w:t xml:space="preserve"> The World Bank requires that upon project completion, the borrower undertake “an assessment to determine whether the objectives of the resettlement instrument have been achieved,” taking “into account the baseline conditions and the results of resettlement monitoring.” </w:t>
      </w:r>
    </w:p>
  </w:footnote>
  <w:footnote w:id="237">
    <w:p w14:paraId="5463A93D" w14:textId="77777777" w:rsidR="00CF59E1" w:rsidRPr="00494D97" w:rsidRDefault="00CF59E1" w:rsidP="00CF59E1">
      <w:pPr>
        <w:pStyle w:val="FootnoteText"/>
        <w:jc w:val="both"/>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w:t>
      </w:r>
      <w:r w:rsidRPr="00494D97">
        <w:rPr>
          <w:rFonts w:asciiTheme="minorHAnsi" w:hAnsiTheme="minorHAnsi" w:cs="Arial"/>
        </w:rPr>
        <w:t>Echoing Article 2 of the International Covenant on Civil and Political Rights, Article 2, para. 2 of the International Covenant on Economic, Social and Cultural Rights.</w:t>
      </w:r>
    </w:p>
  </w:footnote>
  <w:footnote w:id="238">
    <w:p w14:paraId="0E605BA9" w14:textId="77777777" w:rsidR="00CF59E1" w:rsidRPr="00494D97" w:rsidRDefault="00CF59E1" w:rsidP="00CF59E1">
      <w:pPr>
        <w:pStyle w:val="FootnoteText"/>
        <w:rPr>
          <w:rFonts w:asciiTheme="minorHAnsi" w:hAnsiTheme="minorHAnsi" w:cs="Calibri"/>
        </w:rPr>
      </w:pPr>
      <w:r w:rsidRPr="00494D97">
        <w:rPr>
          <w:rStyle w:val="FootnoteReference"/>
          <w:rFonts w:asciiTheme="minorHAnsi" w:hAnsiTheme="minorHAnsi" w:cs="Calibri"/>
        </w:rPr>
        <w:footnoteRef/>
      </w:r>
      <w:r w:rsidRPr="00494D97">
        <w:rPr>
          <w:rFonts w:asciiTheme="minorHAnsi" w:hAnsiTheme="minorHAnsi" w:cs="Calibri"/>
        </w:rPr>
        <w:t xml:space="preserve"> The full text of the </w:t>
      </w:r>
      <w:r w:rsidRPr="00494D97">
        <w:rPr>
          <w:rFonts w:asciiTheme="minorHAnsi" w:hAnsiTheme="minorHAnsi" w:cs="Calibri"/>
          <w:b/>
        </w:rPr>
        <w:t>ADB</w:t>
      </w:r>
      <w:r w:rsidRPr="00494D97">
        <w:rPr>
          <w:rFonts w:asciiTheme="minorHAnsi" w:hAnsiTheme="minorHAnsi" w:cs="Calibri"/>
        </w:rPr>
        <w:t xml:space="preserve"> SPS statement on scope and trigger states: “The requirements apply to all </w:t>
      </w:r>
      <w:r w:rsidRPr="00494D97">
        <w:rPr>
          <w:rFonts w:asciiTheme="minorHAnsi" w:hAnsiTheme="minorHAnsi" w:cs="Calibri"/>
          <w:b/>
        </w:rPr>
        <w:t>ADB</w:t>
      </w:r>
      <w:r w:rsidRPr="00494D97">
        <w:rPr>
          <w:rFonts w:asciiTheme="minorHAnsi" w:hAnsiTheme="minorHAnsi" w:cs="Calibri"/>
        </w:rPr>
        <w:t xml:space="preserve">-financed and/or </w:t>
      </w:r>
      <w:r w:rsidRPr="00494D97">
        <w:rPr>
          <w:rFonts w:asciiTheme="minorHAnsi" w:hAnsiTheme="minorHAnsi" w:cs="Calibri"/>
          <w:b/>
        </w:rPr>
        <w:t>ADB</w:t>
      </w:r>
      <w:r w:rsidRPr="00494D97">
        <w:rPr>
          <w:rFonts w:asciiTheme="minorHAnsi" w:hAnsiTheme="minorHAnsi" w:cs="Calibri"/>
        </w:rPr>
        <w:t xml:space="preserve">-administered sovereign and non-sovereign projects, and their components regardless of the source of financing, including investment projects funded by a loan; and/or a grant; and/or other means, such as equity and/or guarantees (hereafter broadly referred to as projects).” </w:t>
      </w:r>
      <w:r w:rsidRPr="00494D97">
        <w:rPr>
          <w:rFonts w:asciiTheme="minorHAnsi" w:hAnsiTheme="minorHAnsi" w:cs="Calibri"/>
          <w:b/>
        </w:rPr>
        <w:t>ADB</w:t>
      </w:r>
      <w:r w:rsidRPr="00494D97">
        <w:rPr>
          <w:rFonts w:asciiTheme="minorHAnsi" w:hAnsiTheme="minorHAnsi" w:cs="Calibri"/>
        </w:rPr>
        <w:t xml:space="preserve">’s references to “non-sovereign projects” and “equity” reflect </w:t>
      </w:r>
      <w:r w:rsidRPr="00494D97">
        <w:rPr>
          <w:rFonts w:asciiTheme="minorHAnsi" w:hAnsiTheme="minorHAnsi" w:cs="Calibri"/>
          <w:b/>
        </w:rPr>
        <w:t>ADB</w:t>
      </w:r>
      <w:r w:rsidRPr="00494D97">
        <w:rPr>
          <w:rFonts w:asciiTheme="minorHAnsi" w:hAnsiTheme="minorHAnsi" w:cs="Calibri"/>
        </w:rPr>
        <w:t xml:space="preserve">’s institutional application of its SPS to both private and public sector projects rather than a more expansive scope with respect to the substance of the policy. </w:t>
      </w:r>
    </w:p>
  </w:footnote>
  <w:footnote w:id="239">
    <w:p w14:paraId="21A91559"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IDB, Policy on Indigenous Peoples, 2006 (OP-765)</w:t>
      </w:r>
      <w:r>
        <w:rPr>
          <w:rFonts w:asciiTheme="minorHAnsi" w:hAnsiTheme="minorHAnsi"/>
        </w:rPr>
        <w:t>.</w:t>
      </w:r>
    </w:p>
  </w:footnote>
  <w:footnote w:id="240">
    <w:p w14:paraId="6EA4BE96" w14:textId="77777777" w:rsidR="00CF59E1" w:rsidRPr="00494D97" w:rsidRDefault="00CF59E1" w:rsidP="00CF59E1">
      <w:pPr>
        <w:pStyle w:val="FootnoteText"/>
        <w:jc w:val="both"/>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w:t>
      </w:r>
      <w:hyperlink r:id="rId7" w:history="1">
        <w:r w:rsidRPr="00494D97">
          <w:rPr>
            <w:rStyle w:val="Hyperlink"/>
            <w:rFonts w:asciiTheme="minorHAnsi" w:hAnsiTheme="minorHAnsi" w:cs="Arial"/>
            <w:color w:val="auto"/>
          </w:rPr>
          <w:t>http://www.un.org/esa/socdev/unpfii/documents/DRIPS_en.pdf</w:t>
        </w:r>
      </w:hyperlink>
    </w:p>
  </w:footnote>
  <w:footnote w:id="241">
    <w:p w14:paraId="413076BB" w14:textId="77777777" w:rsidR="00CF59E1" w:rsidRPr="00494D97" w:rsidRDefault="00CF59E1" w:rsidP="00CF59E1">
      <w:pPr>
        <w:rPr>
          <w:rFonts w:asciiTheme="minorHAnsi" w:hAnsiTheme="minorHAnsi" w:cs="Calibri"/>
          <w:sz w:val="20"/>
          <w:szCs w:val="20"/>
        </w:rPr>
      </w:pPr>
      <w:r w:rsidRPr="00494D97">
        <w:rPr>
          <w:rStyle w:val="FootnoteReference"/>
          <w:rFonts w:asciiTheme="minorHAnsi" w:hAnsiTheme="minorHAnsi" w:cs="Calibri"/>
          <w:sz w:val="20"/>
          <w:szCs w:val="20"/>
        </w:rPr>
        <w:footnoteRef/>
      </w:r>
      <w:r w:rsidRPr="00494D97">
        <w:rPr>
          <w:rFonts w:asciiTheme="minorHAnsi" w:hAnsiTheme="minorHAnsi" w:cs="Calibri"/>
          <w:sz w:val="20"/>
          <w:szCs w:val="20"/>
        </w:rPr>
        <w:t xml:space="preserve"> With respect to trans-border IPs, </w:t>
      </w:r>
      <w:r w:rsidRPr="00494D97">
        <w:rPr>
          <w:rFonts w:asciiTheme="minorHAnsi" w:hAnsiTheme="minorHAnsi" w:cs="Calibri"/>
          <w:b/>
          <w:sz w:val="20"/>
          <w:szCs w:val="20"/>
        </w:rPr>
        <w:t>IDB</w:t>
      </w:r>
      <w:r w:rsidRPr="00494D97">
        <w:rPr>
          <w:rFonts w:asciiTheme="minorHAnsi" w:hAnsiTheme="minorHAnsi" w:cs="Calibri"/>
          <w:sz w:val="20"/>
          <w:szCs w:val="20"/>
        </w:rPr>
        <w:t xml:space="preserve"> requires that “in regional projects involving two or more countries or in border areas where indigenous peoples are present, the Bank will adopt such measures as are necessary to contravene adverse impacts of its projects that might affect trans-border peoples. These will include consultation and good faith negotiation processes, legal security and territorial control programs, and other culturally appropriate programs related to rights and priorities in health, freedom of movement, dual nationality (within the context of the applicable legal norms), and cultural, social, and economic integration between the affected peoples, among others. </w:t>
      </w:r>
    </w:p>
  </w:footnote>
  <w:footnote w:id="242">
    <w:p w14:paraId="7B47AFAF" w14:textId="77777777" w:rsidR="00CF59E1" w:rsidRPr="00494D97" w:rsidRDefault="00CF59E1" w:rsidP="00CF59E1">
      <w:pPr>
        <w:rPr>
          <w:rFonts w:asciiTheme="minorHAnsi" w:hAnsiTheme="minorHAnsi" w:cs="Calibri"/>
          <w:b/>
          <w:sz w:val="20"/>
          <w:szCs w:val="20"/>
        </w:rPr>
      </w:pPr>
      <w:r w:rsidRPr="00494D97">
        <w:rPr>
          <w:rStyle w:val="FootnoteReference"/>
          <w:rFonts w:asciiTheme="minorHAnsi" w:hAnsiTheme="minorHAnsi" w:cs="Calibri"/>
          <w:sz w:val="20"/>
          <w:szCs w:val="20"/>
        </w:rPr>
        <w:footnoteRef/>
      </w:r>
      <w:r w:rsidRPr="00494D97">
        <w:rPr>
          <w:rFonts w:asciiTheme="minorHAnsi" w:hAnsiTheme="minorHAnsi" w:cs="Calibri"/>
          <w:sz w:val="20"/>
          <w:szCs w:val="20"/>
        </w:rPr>
        <w:t xml:space="preserve"> With respect to u</w:t>
      </w:r>
      <w:r w:rsidRPr="00494D97">
        <w:rPr>
          <w:rFonts w:asciiTheme="minorHAnsi" w:hAnsiTheme="minorHAnsi" w:cs="Calibri"/>
          <w:iCs/>
          <w:sz w:val="20"/>
          <w:szCs w:val="20"/>
        </w:rPr>
        <w:t>ncontacted indigenous peoples</w:t>
      </w:r>
      <w:r w:rsidRPr="00494D97">
        <w:rPr>
          <w:rFonts w:asciiTheme="minorHAnsi" w:hAnsiTheme="minorHAnsi" w:cs="Calibri"/>
          <w:sz w:val="20"/>
          <w:szCs w:val="20"/>
        </w:rPr>
        <w:t xml:space="preserve"> </w:t>
      </w:r>
      <w:r w:rsidRPr="00494D97">
        <w:rPr>
          <w:rFonts w:asciiTheme="minorHAnsi" w:hAnsiTheme="minorHAnsi" w:cs="Calibri"/>
          <w:b/>
          <w:sz w:val="20"/>
          <w:szCs w:val="20"/>
        </w:rPr>
        <w:t>IDB</w:t>
      </w:r>
      <w:r w:rsidRPr="00494D97">
        <w:rPr>
          <w:rFonts w:asciiTheme="minorHAnsi" w:hAnsiTheme="minorHAnsi" w:cs="Calibri"/>
          <w:sz w:val="20"/>
          <w:szCs w:val="20"/>
        </w:rPr>
        <w:t xml:space="preserve"> requires that “[i]n view of the exceptional nature of uncontacted indigenous peoples, also known as ‘peoples in voluntary isolation,’” as well as their special vulnerability and the impossibility of applying prior consultation and good faith negotiation mechanisms, the Bank will only finance projects that respect the right of these peoples to remain in said isolated condition and to live freely according to their culture. In order to safeguard the collective and individual physical, territorial, and cultural integrity of these peoples, projects that may have potential impacts on these peoples, their lands and territories, or their way of life will have to include the appropriate measures to recognize, respect and protect their lands and territories, environment, health and culture, and to avoid contact with them as a consequence of the project.</w:t>
      </w:r>
    </w:p>
  </w:footnote>
  <w:footnote w:id="243">
    <w:p w14:paraId="082BBEEB" w14:textId="77777777" w:rsidR="00CF59E1" w:rsidRPr="00494D97" w:rsidRDefault="00CF59E1" w:rsidP="00CF59E1">
      <w:pPr>
        <w:rPr>
          <w:rFonts w:asciiTheme="minorHAnsi" w:hAnsiTheme="minorHAnsi" w:cs="Calibri"/>
          <w:sz w:val="20"/>
          <w:szCs w:val="20"/>
        </w:rPr>
      </w:pPr>
      <w:r w:rsidRPr="00494D97">
        <w:rPr>
          <w:rStyle w:val="FootnoteReference"/>
          <w:rFonts w:asciiTheme="minorHAnsi" w:hAnsiTheme="minorHAnsi" w:cs="Calibri"/>
          <w:sz w:val="20"/>
          <w:szCs w:val="20"/>
        </w:rPr>
        <w:footnoteRef/>
      </w:r>
      <w:r w:rsidRPr="00494D97">
        <w:rPr>
          <w:rFonts w:asciiTheme="minorHAnsi" w:hAnsiTheme="minorHAnsi" w:cs="Calibri"/>
          <w:sz w:val="20"/>
          <w:szCs w:val="20"/>
        </w:rPr>
        <w:t xml:space="preserve"> The full list of international legislation cited by IDB includes, “as in force for each country…, the United Nations Universal Declaration of Human Rights (1948), the International Covenant on Civil and Political Rights (1966), the American Convention on Human Rights (1969), the International Covenant on Economic, Social, and Cultural Rights (1976), the International Convention on the Elimination of all Forms of Racial Discrimination (1966), the Convention on the Rights of the Child (1990), the International Labor Organization (ILO) Convention 107 concerning the Protection and Integration of Indigenous and Other Tribal and Semi-Tribal Populations in Independent Countries (1957), ILO Convention 169 concerning Indigenous and Tribal Populations in Independent Countries (1989), Agenda 21 adopted by the United Nations Conference on Environment and Development (UNCED) (1992), and the International Convention on Biological Diversity (1992), as well as the corresponding international jurisprudence of the Inter- American Court of Human Rights or similar bodies whose jurisdiction has been accepted by the relevant country, as well as other international instruments currently in preparation, such as the draft United Nations Declaration on the Rights of Indigenous Peoples and the draft American Declaration on the Rights of Indigenous Peoples.”</w:t>
      </w:r>
    </w:p>
  </w:footnote>
  <w:footnote w:id="244">
    <w:p w14:paraId="1147F80B" w14:textId="77777777" w:rsidR="00CF59E1" w:rsidRPr="00494D97" w:rsidRDefault="00CF59E1" w:rsidP="00CF59E1">
      <w:pPr>
        <w:rPr>
          <w:rFonts w:asciiTheme="minorHAnsi" w:hAnsiTheme="minorHAnsi"/>
          <w:sz w:val="20"/>
          <w:szCs w:val="20"/>
        </w:rPr>
      </w:pPr>
      <w:r w:rsidRPr="00494D97">
        <w:rPr>
          <w:rStyle w:val="FootnoteReference"/>
          <w:rFonts w:asciiTheme="minorHAnsi" w:hAnsiTheme="minorHAnsi"/>
          <w:sz w:val="20"/>
          <w:szCs w:val="20"/>
        </w:rPr>
        <w:footnoteRef/>
      </w:r>
      <w:r w:rsidRPr="00494D97">
        <w:rPr>
          <w:rFonts w:asciiTheme="minorHAnsi" w:hAnsiTheme="minorHAnsi"/>
          <w:sz w:val="20"/>
          <w:szCs w:val="20"/>
        </w:rPr>
        <w:t xml:space="preserve"> </w:t>
      </w:r>
      <w:r w:rsidRPr="00494D97">
        <w:rPr>
          <w:rFonts w:asciiTheme="minorHAnsi" w:hAnsiTheme="minorHAnsi" w:cs="Arial"/>
          <w:sz w:val="20"/>
          <w:szCs w:val="20"/>
        </w:rPr>
        <w:t>A meaningful [stakeholder] engagement process allows for the efficient implementation of a financed operation and, in particular, the early and effective identification, assessment, and management of any environment and social risks, impacts, and opportunities. The views, interests, and concerns of project affected communities and other interested stakeholders are heard, understood, and taken into account throughout the project lifecycle. (EIB)</w:t>
      </w:r>
      <w:r>
        <w:rPr>
          <w:rFonts w:asciiTheme="minorHAnsi" w:hAnsiTheme="minorHAnsi" w:cs="Arial"/>
          <w:sz w:val="20"/>
          <w:szCs w:val="20"/>
        </w:rPr>
        <w:t>.</w:t>
      </w:r>
    </w:p>
  </w:footnote>
  <w:footnote w:id="245">
    <w:p w14:paraId="11037A17" w14:textId="77777777" w:rsidR="00CF59E1" w:rsidRPr="00494D97" w:rsidRDefault="00CF59E1" w:rsidP="00CF59E1">
      <w:pPr>
        <w:pStyle w:val="FootnoteText"/>
        <w:rPr>
          <w:rFonts w:asciiTheme="minorHAnsi" w:hAnsiTheme="minorHAnsi"/>
        </w:rPr>
      </w:pPr>
      <w:r w:rsidRPr="00494D97">
        <w:rPr>
          <w:rStyle w:val="FootnoteReference"/>
          <w:rFonts w:asciiTheme="minorHAnsi" w:hAnsiTheme="minorHAnsi"/>
        </w:rPr>
        <w:footnoteRef/>
      </w:r>
      <w:r w:rsidRPr="00494D97">
        <w:rPr>
          <w:rFonts w:asciiTheme="minorHAnsi" w:hAnsiTheme="minorHAnsi"/>
        </w:rPr>
        <w:t xml:space="preserve"> The standard applicable when a project involved the commercial development of Indigenous Peoples cultural resources and knowledge is “prior agreement” which is equivalent to consent. </w:t>
      </w:r>
    </w:p>
  </w:footnote>
  <w:footnote w:id="246">
    <w:p w14:paraId="4D6F91C2" w14:textId="77777777" w:rsidR="00CF59E1" w:rsidRPr="00494D97" w:rsidRDefault="00CF59E1" w:rsidP="00CF59E1">
      <w:pPr>
        <w:pStyle w:val="FootnoteText"/>
        <w:rPr>
          <w:rFonts w:asciiTheme="minorHAnsi" w:hAnsiTheme="minorHAnsi" w:cs="Calibri"/>
        </w:rPr>
      </w:pPr>
      <w:r w:rsidRPr="00494D97">
        <w:rPr>
          <w:rStyle w:val="FootnoteReference"/>
          <w:rFonts w:asciiTheme="minorHAnsi" w:hAnsiTheme="minorHAnsi" w:cs="Calibri"/>
        </w:rPr>
        <w:footnoteRef/>
      </w:r>
      <w:r w:rsidRPr="00494D97">
        <w:rPr>
          <w:rFonts w:asciiTheme="minorHAnsi" w:hAnsiTheme="minorHAnsi" w:cs="Calibri"/>
        </w:rPr>
        <w:t xml:space="preserve"> ADB’s use of “consent” is qualified by the definition of “consent” as evidence of “broad community support,” (BCS), the term used by the World Bank with respect to project approval overall. The World Bank’s requirement for “free, prior, informed consultation” in relation to natural resources stops short of requiring BCS and is therefore neither equivalent nor comparable to ADB’s “consent” requirement.</w:t>
      </w:r>
    </w:p>
  </w:footnote>
  <w:footnote w:id="247">
    <w:p w14:paraId="4C378B4E" w14:textId="77777777" w:rsidR="00CF59E1" w:rsidRPr="00494D97" w:rsidRDefault="00CF59E1" w:rsidP="00CF59E1">
      <w:pPr>
        <w:pStyle w:val="FootnoteText"/>
        <w:rPr>
          <w:rFonts w:asciiTheme="minorHAnsi" w:hAnsiTheme="minorHAnsi" w:cs="Calibri"/>
        </w:rPr>
      </w:pPr>
      <w:r w:rsidRPr="00494D97">
        <w:rPr>
          <w:rStyle w:val="FootnoteReference"/>
          <w:rFonts w:asciiTheme="minorHAnsi" w:hAnsiTheme="minorHAnsi" w:cs="Calibri"/>
        </w:rPr>
        <w:footnoteRef/>
      </w:r>
      <w:r>
        <w:rPr>
          <w:rFonts w:asciiTheme="minorHAnsi" w:hAnsiTheme="minorHAnsi" w:cs="Calibri"/>
        </w:rPr>
        <w:t xml:space="preserve"> </w:t>
      </w:r>
      <w:r w:rsidRPr="00494D97">
        <w:rPr>
          <w:rFonts w:asciiTheme="minorHAnsi" w:hAnsiTheme="minorHAnsi" w:cs="Calibri"/>
        </w:rPr>
        <w:t>The World Bank requires the</w:t>
      </w:r>
      <w:r w:rsidRPr="00494D97">
        <w:rPr>
          <w:rFonts w:asciiTheme="minorHAnsi" w:hAnsiTheme="minorHAnsi" w:cs="Calibri"/>
          <w:color w:val="000000"/>
        </w:rPr>
        <w:t xml:space="preserve"> borrower to “ensure… that as part of the free, prior, and informed consultation process the affected communities are informed of (a) their rights to such resources under statutory and customary law; (b) the scope and nature of the proposed commercial development and the parties interested or involved in such development; and (c) the potential effects of such development on the Indigenous Peoples’ livelihoods, environments, and use of such resources.”</w:t>
      </w:r>
    </w:p>
  </w:footnote>
  <w:footnote w:id="248">
    <w:p w14:paraId="09E80249" w14:textId="77777777" w:rsidR="00CF59E1" w:rsidRPr="00494D97" w:rsidRDefault="00CF59E1" w:rsidP="00CF59E1">
      <w:pPr>
        <w:pStyle w:val="FootnoteText"/>
        <w:rPr>
          <w:rFonts w:asciiTheme="minorHAnsi" w:hAnsiTheme="minorHAnsi" w:cs="Calibri"/>
        </w:rPr>
      </w:pPr>
      <w:r w:rsidRPr="00494D97">
        <w:rPr>
          <w:rStyle w:val="FootnoteReference"/>
          <w:rFonts w:asciiTheme="minorHAnsi" w:hAnsiTheme="minorHAnsi" w:cs="Calibri"/>
        </w:rPr>
        <w:footnoteRef/>
      </w:r>
      <w:r w:rsidRPr="00494D97">
        <w:rPr>
          <w:rFonts w:asciiTheme="minorHAnsi" w:hAnsiTheme="minorHAnsi" w:cs="Calibri"/>
        </w:rPr>
        <w:t xml:space="preserve"> The Bank specifies that such a mechanism is required, and that it “take into account the availability of judicial recourse and customary dispute mechanisms among [IPs}.”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9D58D" w14:textId="744103BD" w:rsidR="00CF59E1" w:rsidRPr="00CF59E1" w:rsidRDefault="00CF59E1" w:rsidP="00CF59E1">
    <w:pPr>
      <w:pStyle w:val="Header"/>
      <w:jc w:val="center"/>
      <w:rPr>
        <w:i/>
      </w:rPr>
    </w:pPr>
    <w:r w:rsidRPr="00CF59E1">
      <w:rPr>
        <w:i/>
      </w:rPr>
      <w:t>Comparative Review of MDB Safeguard Systems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0F0A" w14:textId="7FC4D7C9" w:rsidR="00CF59E1" w:rsidRPr="00020E9D" w:rsidRDefault="00CF59E1" w:rsidP="00446D58">
    <w:pPr>
      <w:pStyle w:val="Header"/>
      <w:jc w:val="right"/>
      <w:rPr>
        <w:b/>
        <w:bCs/>
        <w:sz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Roman"/>
      <w:lvlText w:val="%1."/>
      <w:lvlJc w:val="left"/>
      <w:pPr>
        <w:ind w:left="840" w:hanging="721"/>
      </w:pPr>
      <w:rPr>
        <w:rFonts w:ascii="Arial" w:hAnsi="Arial" w:cs="Arial"/>
        <w:b/>
        <w:bCs/>
        <w:w w:val="99"/>
        <w:sz w:val="22"/>
        <w:szCs w:val="22"/>
      </w:rPr>
    </w:lvl>
    <w:lvl w:ilvl="1">
      <w:start w:val="1"/>
      <w:numFmt w:val="lowerRoman"/>
      <w:lvlText w:val="(%2)"/>
      <w:lvlJc w:val="left"/>
      <w:pPr>
        <w:ind w:left="1560" w:hanging="721"/>
      </w:pPr>
      <w:rPr>
        <w:rFonts w:ascii="Arial" w:hAnsi="Arial" w:cs="Arial"/>
        <w:b w:val="0"/>
        <w:bCs w:val="0"/>
        <w:w w:val="99"/>
        <w:sz w:val="22"/>
        <w:szCs w:val="22"/>
      </w:rPr>
    </w:lvl>
    <w:lvl w:ilvl="2">
      <w:start w:val="1"/>
      <w:numFmt w:val="lowerLetter"/>
      <w:lvlText w:val="(%3)"/>
      <w:lvlJc w:val="left"/>
      <w:pPr>
        <w:ind w:left="2280" w:hanging="721"/>
      </w:pPr>
      <w:rPr>
        <w:rFonts w:ascii="Arial" w:hAnsi="Arial" w:cs="Arial"/>
        <w:b w:val="0"/>
        <w:bCs w:val="0"/>
        <w:w w:val="99"/>
        <w:sz w:val="22"/>
        <w:szCs w:val="22"/>
      </w:rPr>
    </w:lvl>
    <w:lvl w:ilvl="3">
      <w:numFmt w:val="bullet"/>
      <w:lvlText w:val="•"/>
      <w:lvlJc w:val="left"/>
      <w:pPr>
        <w:ind w:left="2280" w:hanging="721"/>
      </w:pPr>
    </w:lvl>
    <w:lvl w:ilvl="4">
      <w:numFmt w:val="bullet"/>
      <w:lvlText w:val="•"/>
      <w:lvlJc w:val="left"/>
      <w:pPr>
        <w:ind w:left="3325" w:hanging="721"/>
      </w:pPr>
    </w:lvl>
    <w:lvl w:ilvl="5">
      <w:numFmt w:val="bullet"/>
      <w:lvlText w:val="•"/>
      <w:lvlJc w:val="left"/>
      <w:pPr>
        <w:ind w:left="4371" w:hanging="721"/>
      </w:pPr>
    </w:lvl>
    <w:lvl w:ilvl="6">
      <w:numFmt w:val="bullet"/>
      <w:lvlText w:val="•"/>
      <w:lvlJc w:val="left"/>
      <w:pPr>
        <w:ind w:left="5417" w:hanging="721"/>
      </w:pPr>
    </w:lvl>
    <w:lvl w:ilvl="7">
      <w:numFmt w:val="bullet"/>
      <w:lvlText w:val="•"/>
      <w:lvlJc w:val="left"/>
      <w:pPr>
        <w:ind w:left="6462" w:hanging="721"/>
      </w:pPr>
    </w:lvl>
    <w:lvl w:ilvl="8">
      <w:numFmt w:val="bullet"/>
      <w:lvlText w:val="•"/>
      <w:lvlJc w:val="left"/>
      <w:pPr>
        <w:ind w:left="7508" w:hanging="721"/>
      </w:pPr>
    </w:lvl>
  </w:abstractNum>
  <w:abstractNum w:abstractNumId="1" w15:restartNumberingAfterBreak="0">
    <w:nsid w:val="00BD00D2"/>
    <w:multiLevelType w:val="hybridMultilevel"/>
    <w:tmpl w:val="5AAE2B2E"/>
    <w:lvl w:ilvl="0" w:tplc="85E640F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B30DB"/>
    <w:multiLevelType w:val="hybridMultilevel"/>
    <w:tmpl w:val="11D694FC"/>
    <w:lvl w:ilvl="0" w:tplc="85E640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36FBC"/>
    <w:multiLevelType w:val="hybridMultilevel"/>
    <w:tmpl w:val="8152CB00"/>
    <w:lvl w:ilvl="0" w:tplc="85E640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C3188"/>
    <w:multiLevelType w:val="hybridMultilevel"/>
    <w:tmpl w:val="372A98B6"/>
    <w:lvl w:ilvl="0" w:tplc="50925700">
      <w:start w:val="4"/>
      <w:numFmt w:val="low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D18F1"/>
    <w:multiLevelType w:val="hybridMultilevel"/>
    <w:tmpl w:val="F2C40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C31479"/>
    <w:multiLevelType w:val="hybridMultilevel"/>
    <w:tmpl w:val="25BE75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DA6C9B"/>
    <w:multiLevelType w:val="hybridMultilevel"/>
    <w:tmpl w:val="7DB61520"/>
    <w:lvl w:ilvl="0" w:tplc="AF689C16">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15:restartNumberingAfterBreak="0">
    <w:nsid w:val="0F0E3068"/>
    <w:multiLevelType w:val="hybridMultilevel"/>
    <w:tmpl w:val="4780839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910F5E"/>
    <w:multiLevelType w:val="hybridMultilevel"/>
    <w:tmpl w:val="B15C970A"/>
    <w:lvl w:ilvl="0" w:tplc="C9821978">
      <w:start w:val="1"/>
      <w:numFmt w:val="decimal"/>
      <w:pStyle w:val="hhhead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98395F"/>
    <w:multiLevelType w:val="hybridMultilevel"/>
    <w:tmpl w:val="1D4A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FC437D"/>
    <w:multiLevelType w:val="hybridMultilevel"/>
    <w:tmpl w:val="CE90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29231B"/>
    <w:multiLevelType w:val="hybridMultilevel"/>
    <w:tmpl w:val="E6284B0A"/>
    <w:lvl w:ilvl="0" w:tplc="D480E988">
      <w:start w:val="1"/>
      <w:numFmt w:val="bullet"/>
      <w:pStyle w:val="ea1"/>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DDB224A"/>
    <w:multiLevelType w:val="hybridMultilevel"/>
    <w:tmpl w:val="A8A657C2"/>
    <w:lvl w:ilvl="0" w:tplc="0409000F">
      <w:start w:val="1"/>
      <w:numFmt w:val="decimal"/>
      <w:lvlText w:val="%1."/>
      <w:lvlJc w:val="left"/>
      <w:pPr>
        <w:tabs>
          <w:tab w:val="num" w:pos="720"/>
        </w:tabs>
        <w:ind w:left="0" w:firstLine="0"/>
      </w:pPr>
      <w:rPr>
        <w:rFonts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24F33"/>
    <w:multiLevelType w:val="hybridMultilevel"/>
    <w:tmpl w:val="8534BFAC"/>
    <w:lvl w:ilvl="0" w:tplc="85E640F4">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7871C7F"/>
    <w:multiLevelType w:val="hybridMultilevel"/>
    <w:tmpl w:val="BBCAC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C32F0"/>
    <w:multiLevelType w:val="hybridMultilevel"/>
    <w:tmpl w:val="D062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229B2"/>
    <w:multiLevelType w:val="hybridMultilevel"/>
    <w:tmpl w:val="A4D2AAD0"/>
    <w:lvl w:ilvl="0" w:tplc="862A6868">
      <w:start w:val="1"/>
      <w:numFmt w:val="bullet"/>
      <w:lvlText w:val="•"/>
      <w:lvlJc w:val="left"/>
      <w:pPr>
        <w:tabs>
          <w:tab w:val="num" w:pos="720"/>
        </w:tabs>
        <w:ind w:left="720" w:hanging="360"/>
      </w:pPr>
      <w:rPr>
        <w:rFonts w:ascii="Arial" w:hAnsi="Arial" w:hint="default"/>
      </w:rPr>
    </w:lvl>
    <w:lvl w:ilvl="1" w:tplc="C256E7BA" w:tentative="1">
      <w:start w:val="1"/>
      <w:numFmt w:val="bullet"/>
      <w:lvlText w:val="•"/>
      <w:lvlJc w:val="left"/>
      <w:pPr>
        <w:tabs>
          <w:tab w:val="num" w:pos="1440"/>
        </w:tabs>
        <w:ind w:left="1440" w:hanging="360"/>
      </w:pPr>
      <w:rPr>
        <w:rFonts w:ascii="Arial" w:hAnsi="Arial" w:hint="default"/>
      </w:rPr>
    </w:lvl>
    <w:lvl w:ilvl="2" w:tplc="660A2BD8" w:tentative="1">
      <w:start w:val="1"/>
      <w:numFmt w:val="bullet"/>
      <w:lvlText w:val="•"/>
      <w:lvlJc w:val="left"/>
      <w:pPr>
        <w:tabs>
          <w:tab w:val="num" w:pos="2160"/>
        </w:tabs>
        <w:ind w:left="2160" w:hanging="360"/>
      </w:pPr>
      <w:rPr>
        <w:rFonts w:ascii="Arial" w:hAnsi="Arial" w:hint="default"/>
      </w:rPr>
    </w:lvl>
    <w:lvl w:ilvl="3" w:tplc="6226CAE4" w:tentative="1">
      <w:start w:val="1"/>
      <w:numFmt w:val="bullet"/>
      <w:lvlText w:val="•"/>
      <w:lvlJc w:val="left"/>
      <w:pPr>
        <w:tabs>
          <w:tab w:val="num" w:pos="2880"/>
        </w:tabs>
        <w:ind w:left="2880" w:hanging="360"/>
      </w:pPr>
      <w:rPr>
        <w:rFonts w:ascii="Arial" w:hAnsi="Arial" w:hint="default"/>
      </w:rPr>
    </w:lvl>
    <w:lvl w:ilvl="4" w:tplc="1FE63F26" w:tentative="1">
      <w:start w:val="1"/>
      <w:numFmt w:val="bullet"/>
      <w:lvlText w:val="•"/>
      <w:lvlJc w:val="left"/>
      <w:pPr>
        <w:tabs>
          <w:tab w:val="num" w:pos="3600"/>
        </w:tabs>
        <w:ind w:left="3600" w:hanging="360"/>
      </w:pPr>
      <w:rPr>
        <w:rFonts w:ascii="Arial" w:hAnsi="Arial" w:hint="default"/>
      </w:rPr>
    </w:lvl>
    <w:lvl w:ilvl="5" w:tplc="0E400B78" w:tentative="1">
      <w:start w:val="1"/>
      <w:numFmt w:val="bullet"/>
      <w:lvlText w:val="•"/>
      <w:lvlJc w:val="left"/>
      <w:pPr>
        <w:tabs>
          <w:tab w:val="num" w:pos="4320"/>
        </w:tabs>
        <w:ind w:left="4320" w:hanging="360"/>
      </w:pPr>
      <w:rPr>
        <w:rFonts w:ascii="Arial" w:hAnsi="Arial" w:hint="default"/>
      </w:rPr>
    </w:lvl>
    <w:lvl w:ilvl="6" w:tplc="6AACAA84" w:tentative="1">
      <w:start w:val="1"/>
      <w:numFmt w:val="bullet"/>
      <w:lvlText w:val="•"/>
      <w:lvlJc w:val="left"/>
      <w:pPr>
        <w:tabs>
          <w:tab w:val="num" w:pos="5040"/>
        </w:tabs>
        <w:ind w:left="5040" w:hanging="360"/>
      </w:pPr>
      <w:rPr>
        <w:rFonts w:ascii="Arial" w:hAnsi="Arial" w:hint="default"/>
      </w:rPr>
    </w:lvl>
    <w:lvl w:ilvl="7" w:tplc="0434B2FC" w:tentative="1">
      <w:start w:val="1"/>
      <w:numFmt w:val="bullet"/>
      <w:lvlText w:val="•"/>
      <w:lvlJc w:val="left"/>
      <w:pPr>
        <w:tabs>
          <w:tab w:val="num" w:pos="5760"/>
        </w:tabs>
        <w:ind w:left="5760" w:hanging="360"/>
      </w:pPr>
      <w:rPr>
        <w:rFonts w:ascii="Arial" w:hAnsi="Arial" w:hint="default"/>
      </w:rPr>
    </w:lvl>
    <w:lvl w:ilvl="8" w:tplc="EF4AB0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E757BA"/>
    <w:multiLevelType w:val="hybridMultilevel"/>
    <w:tmpl w:val="A79EF1EE"/>
    <w:lvl w:ilvl="0" w:tplc="EC92340E">
      <w:start w:val="1"/>
      <w:numFmt w:val="bullet"/>
      <w:lvlText w:val="•"/>
      <w:lvlJc w:val="left"/>
      <w:pPr>
        <w:tabs>
          <w:tab w:val="num" w:pos="720"/>
        </w:tabs>
        <w:ind w:left="720" w:hanging="360"/>
      </w:pPr>
      <w:rPr>
        <w:rFonts w:ascii="Arial" w:hAnsi="Arial" w:hint="default"/>
      </w:rPr>
    </w:lvl>
    <w:lvl w:ilvl="1" w:tplc="70B2F33C" w:tentative="1">
      <w:start w:val="1"/>
      <w:numFmt w:val="bullet"/>
      <w:lvlText w:val="•"/>
      <w:lvlJc w:val="left"/>
      <w:pPr>
        <w:tabs>
          <w:tab w:val="num" w:pos="1440"/>
        </w:tabs>
        <w:ind w:left="1440" w:hanging="360"/>
      </w:pPr>
      <w:rPr>
        <w:rFonts w:ascii="Arial" w:hAnsi="Arial" w:hint="default"/>
      </w:rPr>
    </w:lvl>
    <w:lvl w:ilvl="2" w:tplc="D58A9A48" w:tentative="1">
      <w:start w:val="1"/>
      <w:numFmt w:val="bullet"/>
      <w:lvlText w:val="•"/>
      <w:lvlJc w:val="left"/>
      <w:pPr>
        <w:tabs>
          <w:tab w:val="num" w:pos="2160"/>
        </w:tabs>
        <w:ind w:left="2160" w:hanging="360"/>
      </w:pPr>
      <w:rPr>
        <w:rFonts w:ascii="Arial" w:hAnsi="Arial" w:hint="default"/>
      </w:rPr>
    </w:lvl>
    <w:lvl w:ilvl="3" w:tplc="3B50CB2E" w:tentative="1">
      <w:start w:val="1"/>
      <w:numFmt w:val="bullet"/>
      <w:lvlText w:val="•"/>
      <w:lvlJc w:val="left"/>
      <w:pPr>
        <w:tabs>
          <w:tab w:val="num" w:pos="2880"/>
        </w:tabs>
        <w:ind w:left="2880" w:hanging="360"/>
      </w:pPr>
      <w:rPr>
        <w:rFonts w:ascii="Arial" w:hAnsi="Arial" w:hint="default"/>
      </w:rPr>
    </w:lvl>
    <w:lvl w:ilvl="4" w:tplc="32A4417C" w:tentative="1">
      <w:start w:val="1"/>
      <w:numFmt w:val="bullet"/>
      <w:lvlText w:val="•"/>
      <w:lvlJc w:val="left"/>
      <w:pPr>
        <w:tabs>
          <w:tab w:val="num" w:pos="3600"/>
        </w:tabs>
        <w:ind w:left="3600" w:hanging="360"/>
      </w:pPr>
      <w:rPr>
        <w:rFonts w:ascii="Arial" w:hAnsi="Arial" w:hint="default"/>
      </w:rPr>
    </w:lvl>
    <w:lvl w:ilvl="5" w:tplc="7ED883FC" w:tentative="1">
      <w:start w:val="1"/>
      <w:numFmt w:val="bullet"/>
      <w:lvlText w:val="•"/>
      <w:lvlJc w:val="left"/>
      <w:pPr>
        <w:tabs>
          <w:tab w:val="num" w:pos="4320"/>
        </w:tabs>
        <w:ind w:left="4320" w:hanging="360"/>
      </w:pPr>
      <w:rPr>
        <w:rFonts w:ascii="Arial" w:hAnsi="Arial" w:hint="default"/>
      </w:rPr>
    </w:lvl>
    <w:lvl w:ilvl="6" w:tplc="FD2E53FE" w:tentative="1">
      <w:start w:val="1"/>
      <w:numFmt w:val="bullet"/>
      <w:lvlText w:val="•"/>
      <w:lvlJc w:val="left"/>
      <w:pPr>
        <w:tabs>
          <w:tab w:val="num" w:pos="5040"/>
        </w:tabs>
        <w:ind w:left="5040" w:hanging="360"/>
      </w:pPr>
      <w:rPr>
        <w:rFonts w:ascii="Arial" w:hAnsi="Arial" w:hint="default"/>
      </w:rPr>
    </w:lvl>
    <w:lvl w:ilvl="7" w:tplc="A96070F2" w:tentative="1">
      <w:start w:val="1"/>
      <w:numFmt w:val="bullet"/>
      <w:lvlText w:val="•"/>
      <w:lvlJc w:val="left"/>
      <w:pPr>
        <w:tabs>
          <w:tab w:val="num" w:pos="5760"/>
        </w:tabs>
        <w:ind w:left="5760" w:hanging="360"/>
      </w:pPr>
      <w:rPr>
        <w:rFonts w:ascii="Arial" w:hAnsi="Arial" w:hint="default"/>
      </w:rPr>
    </w:lvl>
    <w:lvl w:ilvl="8" w:tplc="941201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DC758F"/>
    <w:multiLevelType w:val="hybridMultilevel"/>
    <w:tmpl w:val="8028F5D4"/>
    <w:lvl w:ilvl="0" w:tplc="85E640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97E4A"/>
    <w:multiLevelType w:val="hybridMultilevel"/>
    <w:tmpl w:val="6C58F3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0CE5E16"/>
    <w:multiLevelType w:val="hybridMultilevel"/>
    <w:tmpl w:val="56440B40"/>
    <w:lvl w:ilvl="0" w:tplc="85E640F4">
      <w:start w:val="1"/>
      <w:numFmt w:val="bullet"/>
      <w:lvlText w:val="•"/>
      <w:lvlJc w:val="left"/>
      <w:pPr>
        <w:ind w:left="1815" w:hanging="360"/>
      </w:pPr>
      <w:rPr>
        <w:rFonts w:ascii="Times New Roman"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2" w15:restartNumberingAfterBreak="0">
    <w:nsid w:val="44250DBC"/>
    <w:multiLevelType w:val="multilevel"/>
    <w:tmpl w:val="0A9438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86349DD"/>
    <w:multiLevelType w:val="hybridMultilevel"/>
    <w:tmpl w:val="B0FEA8A2"/>
    <w:lvl w:ilvl="0" w:tplc="C278F276">
      <w:start w:val="1"/>
      <w:numFmt w:val="bullet"/>
      <w:lvlText w:val="•"/>
      <w:lvlJc w:val="left"/>
      <w:pPr>
        <w:tabs>
          <w:tab w:val="num" w:pos="720"/>
        </w:tabs>
        <w:ind w:left="720" w:hanging="360"/>
      </w:pPr>
      <w:rPr>
        <w:rFonts w:ascii="Arial" w:hAnsi="Arial" w:hint="default"/>
      </w:rPr>
    </w:lvl>
    <w:lvl w:ilvl="1" w:tplc="1E46DDAA" w:tentative="1">
      <w:start w:val="1"/>
      <w:numFmt w:val="bullet"/>
      <w:lvlText w:val="•"/>
      <w:lvlJc w:val="left"/>
      <w:pPr>
        <w:tabs>
          <w:tab w:val="num" w:pos="1440"/>
        </w:tabs>
        <w:ind w:left="1440" w:hanging="360"/>
      </w:pPr>
      <w:rPr>
        <w:rFonts w:ascii="Arial" w:hAnsi="Arial" w:hint="default"/>
      </w:rPr>
    </w:lvl>
    <w:lvl w:ilvl="2" w:tplc="7F4284C0" w:tentative="1">
      <w:start w:val="1"/>
      <w:numFmt w:val="bullet"/>
      <w:lvlText w:val="•"/>
      <w:lvlJc w:val="left"/>
      <w:pPr>
        <w:tabs>
          <w:tab w:val="num" w:pos="2160"/>
        </w:tabs>
        <w:ind w:left="2160" w:hanging="360"/>
      </w:pPr>
      <w:rPr>
        <w:rFonts w:ascii="Arial" w:hAnsi="Arial" w:hint="default"/>
      </w:rPr>
    </w:lvl>
    <w:lvl w:ilvl="3" w:tplc="428EC232" w:tentative="1">
      <w:start w:val="1"/>
      <w:numFmt w:val="bullet"/>
      <w:lvlText w:val="•"/>
      <w:lvlJc w:val="left"/>
      <w:pPr>
        <w:tabs>
          <w:tab w:val="num" w:pos="2880"/>
        </w:tabs>
        <w:ind w:left="2880" w:hanging="360"/>
      </w:pPr>
      <w:rPr>
        <w:rFonts w:ascii="Arial" w:hAnsi="Arial" w:hint="default"/>
      </w:rPr>
    </w:lvl>
    <w:lvl w:ilvl="4" w:tplc="AEC8BD52" w:tentative="1">
      <w:start w:val="1"/>
      <w:numFmt w:val="bullet"/>
      <w:lvlText w:val="•"/>
      <w:lvlJc w:val="left"/>
      <w:pPr>
        <w:tabs>
          <w:tab w:val="num" w:pos="3600"/>
        </w:tabs>
        <w:ind w:left="3600" w:hanging="360"/>
      </w:pPr>
      <w:rPr>
        <w:rFonts w:ascii="Arial" w:hAnsi="Arial" w:hint="default"/>
      </w:rPr>
    </w:lvl>
    <w:lvl w:ilvl="5" w:tplc="6BD43806" w:tentative="1">
      <w:start w:val="1"/>
      <w:numFmt w:val="bullet"/>
      <w:lvlText w:val="•"/>
      <w:lvlJc w:val="left"/>
      <w:pPr>
        <w:tabs>
          <w:tab w:val="num" w:pos="4320"/>
        </w:tabs>
        <w:ind w:left="4320" w:hanging="360"/>
      </w:pPr>
      <w:rPr>
        <w:rFonts w:ascii="Arial" w:hAnsi="Arial" w:hint="default"/>
      </w:rPr>
    </w:lvl>
    <w:lvl w:ilvl="6" w:tplc="B1745A14" w:tentative="1">
      <w:start w:val="1"/>
      <w:numFmt w:val="bullet"/>
      <w:lvlText w:val="•"/>
      <w:lvlJc w:val="left"/>
      <w:pPr>
        <w:tabs>
          <w:tab w:val="num" w:pos="5040"/>
        </w:tabs>
        <w:ind w:left="5040" w:hanging="360"/>
      </w:pPr>
      <w:rPr>
        <w:rFonts w:ascii="Arial" w:hAnsi="Arial" w:hint="default"/>
      </w:rPr>
    </w:lvl>
    <w:lvl w:ilvl="7" w:tplc="25FC8CBA" w:tentative="1">
      <w:start w:val="1"/>
      <w:numFmt w:val="bullet"/>
      <w:lvlText w:val="•"/>
      <w:lvlJc w:val="left"/>
      <w:pPr>
        <w:tabs>
          <w:tab w:val="num" w:pos="5760"/>
        </w:tabs>
        <w:ind w:left="5760" w:hanging="360"/>
      </w:pPr>
      <w:rPr>
        <w:rFonts w:ascii="Arial" w:hAnsi="Arial" w:hint="default"/>
      </w:rPr>
    </w:lvl>
    <w:lvl w:ilvl="8" w:tplc="477E3A6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8E1E3A"/>
    <w:multiLevelType w:val="hybridMultilevel"/>
    <w:tmpl w:val="13A03C1C"/>
    <w:lvl w:ilvl="0" w:tplc="CC543FE2">
      <w:start w:val="1"/>
      <w:numFmt w:val="lowerRoman"/>
      <w:lvlText w:val="(%1)"/>
      <w:lvlJc w:val="left"/>
      <w:pPr>
        <w:ind w:left="1815" w:hanging="720"/>
      </w:pPr>
      <w:rPr>
        <w:rFonts w:hint="default"/>
        <w:sz w:val="24"/>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4DFF6EC4"/>
    <w:multiLevelType w:val="hybridMultilevel"/>
    <w:tmpl w:val="197E7060"/>
    <w:lvl w:ilvl="0" w:tplc="9750648C">
      <w:start w:val="1"/>
      <w:numFmt w:val="bullet"/>
      <w:lvlText w:val=""/>
      <w:lvlJc w:val="left"/>
      <w:pPr>
        <w:ind w:left="364" w:hanging="360"/>
      </w:pPr>
      <w:rPr>
        <w:rFonts w:ascii="Wingdings" w:hAnsi="Wingdings" w:hint="default"/>
        <w:color w:val="auto"/>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6" w15:restartNumberingAfterBreak="0">
    <w:nsid w:val="4F5C328D"/>
    <w:multiLevelType w:val="hybridMultilevel"/>
    <w:tmpl w:val="268C5466"/>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7" w15:restartNumberingAfterBreak="0">
    <w:nsid w:val="56640716"/>
    <w:multiLevelType w:val="hybridMultilevel"/>
    <w:tmpl w:val="F352352C"/>
    <w:lvl w:ilvl="0" w:tplc="85E640F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00B2E"/>
    <w:multiLevelType w:val="hybridMultilevel"/>
    <w:tmpl w:val="41B4288A"/>
    <w:lvl w:ilvl="0" w:tplc="85E640F4">
      <w:start w:val="1"/>
      <w:numFmt w:val="bullet"/>
      <w:lvlText w:val="•"/>
      <w:lvlJc w:val="left"/>
      <w:pPr>
        <w:ind w:left="-180" w:hanging="360"/>
      </w:pPr>
      <w:rPr>
        <w:rFonts w:ascii="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9" w15:restartNumberingAfterBreak="0">
    <w:nsid w:val="59BB33AE"/>
    <w:multiLevelType w:val="hybridMultilevel"/>
    <w:tmpl w:val="118EF15A"/>
    <w:lvl w:ilvl="0" w:tplc="B60C988E">
      <w:start w:val="1"/>
      <w:numFmt w:val="lowerLetter"/>
      <w:lvlText w:val="%1)"/>
      <w:lvlJc w:val="left"/>
      <w:pPr>
        <w:ind w:left="420" w:hanging="360"/>
      </w:pPr>
      <w:rPr>
        <w:rFonts w:eastAsia="Calibri"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A732E39"/>
    <w:multiLevelType w:val="hybridMultilevel"/>
    <w:tmpl w:val="F9C4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676CD"/>
    <w:multiLevelType w:val="hybridMultilevel"/>
    <w:tmpl w:val="3E6078CE"/>
    <w:lvl w:ilvl="0" w:tplc="A12EF9BC">
      <w:start w:val="1"/>
      <w:numFmt w:val="lowerLetter"/>
      <w:lvlText w:val="(%1)"/>
      <w:lvlJc w:val="left"/>
      <w:pPr>
        <w:ind w:left="270" w:hanging="360"/>
      </w:pPr>
      <w:rPr>
        <w:rFonts w:eastAsia="Calibri" w:cs="Aria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2" w15:restartNumberingAfterBreak="0">
    <w:nsid w:val="5DE27572"/>
    <w:multiLevelType w:val="hybridMultilevel"/>
    <w:tmpl w:val="CBCE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88569A"/>
    <w:multiLevelType w:val="hybridMultilevel"/>
    <w:tmpl w:val="1E642A8E"/>
    <w:lvl w:ilvl="0" w:tplc="CC9C1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37379"/>
    <w:multiLevelType w:val="hybridMultilevel"/>
    <w:tmpl w:val="5284E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3B7904"/>
    <w:multiLevelType w:val="hybridMultilevel"/>
    <w:tmpl w:val="CA98CC38"/>
    <w:lvl w:ilvl="0" w:tplc="69289FC6">
      <w:start w:val="1"/>
      <w:numFmt w:val="decimal"/>
      <w:lvlText w:val="%1."/>
      <w:lvlJc w:val="left"/>
      <w:pPr>
        <w:ind w:left="644" w:hanging="360"/>
      </w:pPr>
      <w:rPr>
        <w:b w:val="0"/>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3336E2"/>
    <w:multiLevelType w:val="hybridMultilevel"/>
    <w:tmpl w:val="8A1E4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C256A"/>
    <w:multiLevelType w:val="hybridMultilevel"/>
    <w:tmpl w:val="6E3EC194"/>
    <w:lvl w:ilvl="0" w:tplc="85E640F4">
      <w:start w:val="1"/>
      <w:numFmt w:val="bullet"/>
      <w:lvlText w:val="•"/>
      <w:lvlJc w:val="left"/>
      <w:pPr>
        <w:ind w:left="1715" w:hanging="360"/>
      </w:pPr>
      <w:rPr>
        <w:rFonts w:ascii="Times New Roman" w:hAnsi="Times New Roman" w:cs="Times New Roman" w:hint="default"/>
      </w:rPr>
    </w:lvl>
    <w:lvl w:ilvl="1" w:tplc="04090003" w:tentative="1">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38" w15:restartNumberingAfterBreak="0">
    <w:nsid w:val="72B60C72"/>
    <w:multiLevelType w:val="hybridMultilevel"/>
    <w:tmpl w:val="2132D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4B5EB7"/>
    <w:multiLevelType w:val="hybridMultilevel"/>
    <w:tmpl w:val="AC56DE08"/>
    <w:lvl w:ilvl="0" w:tplc="85E640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32"/>
  </w:num>
  <w:num w:numId="5">
    <w:abstractNumId w:val="36"/>
  </w:num>
  <w:num w:numId="6">
    <w:abstractNumId w:val="25"/>
  </w:num>
  <w:num w:numId="7">
    <w:abstractNumId w:val="34"/>
  </w:num>
  <w:num w:numId="8">
    <w:abstractNumId w:val="27"/>
  </w:num>
  <w:num w:numId="9">
    <w:abstractNumId w:val="39"/>
  </w:num>
  <w:num w:numId="10">
    <w:abstractNumId w:val="2"/>
  </w:num>
  <w:num w:numId="11">
    <w:abstractNumId w:val="17"/>
  </w:num>
  <w:num w:numId="12">
    <w:abstractNumId w:val="23"/>
  </w:num>
  <w:num w:numId="13">
    <w:abstractNumId w:val="18"/>
  </w:num>
  <w:num w:numId="14">
    <w:abstractNumId w:val="16"/>
  </w:num>
  <w:num w:numId="15">
    <w:abstractNumId w:val="6"/>
  </w:num>
  <w:num w:numId="16">
    <w:abstractNumId w:val="7"/>
  </w:num>
  <w:num w:numId="17">
    <w:abstractNumId w:val="19"/>
  </w:num>
  <w:num w:numId="18">
    <w:abstractNumId w:val="33"/>
  </w:num>
  <w:num w:numId="19">
    <w:abstractNumId w:val="37"/>
  </w:num>
  <w:num w:numId="20">
    <w:abstractNumId w:val="1"/>
  </w:num>
  <w:num w:numId="21">
    <w:abstractNumId w:val="3"/>
  </w:num>
  <w:num w:numId="22">
    <w:abstractNumId w:val="28"/>
  </w:num>
  <w:num w:numId="23">
    <w:abstractNumId w:val="12"/>
  </w:num>
  <w:num w:numId="24">
    <w:abstractNumId w:val="22"/>
  </w:num>
  <w:num w:numId="25">
    <w:abstractNumId w:val="10"/>
  </w:num>
  <w:num w:numId="26">
    <w:abstractNumId w:val="8"/>
  </w:num>
  <w:num w:numId="27">
    <w:abstractNumId w:val="24"/>
  </w:num>
  <w:num w:numId="28">
    <w:abstractNumId w:val="21"/>
  </w:num>
  <w:num w:numId="29">
    <w:abstractNumId w:val="5"/>
  </w:num>
  <w:num w:numId="30">
    <w:abstractNumId w:val="35"/>
  </w:num>
  <w:num w:numId="31">
    <w:abstractNumId w:val="30"/>
  </w:num>
  <w:num w:numId="32">
    <w:abstractNumId w:val="31"/>
  </w:num>
  <w:num w:numId="33">
    <w:abstractNumId w:val="29"/>
  </w:num>
  <w:num w:numId="34">
    <w:abstractNumId w:val="0"/>
  </w:num>
  <w:num w:numId="35">
    <w:abstractNumId w:val="4"/>
  </w:num>
  <w:num w:numId="36">
    <w:abstractNumId w:val="11"/>
  </w:num>
  <w:num w:numId="37">
    <w:abstractNumId w:val="20"/>
  </w:num>
  <w:num w:numId="38">
    <w:abstractNumId w:val="26"/>
  </w:num>
  <w:num w:numId="39">
    <w:abstractNumId w:val="15"/>
  </w:num>
  <w:num w:numId="4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F8"/>
    <w:rsid w:val="00001DEC"/>
    <w:rsid w:val="00001FBE"/>
    <w:rsid w:val="000029CD"/>
    <w:rsid w:val="000041B7"/>
    <w:rsid w:val="00004BEB"/>
    <w:rsid w:val="000062DE"/>
    <w:rsid w:val="00007B13"/>
    <w:rsid w:val="00011480"/>
    <w:rsid w:val="000138F2"/>
    <w:rsid w:val="0001403D"/>
    <w:rsid w:val="00015AA9"/>
    <w:rsid w:val="00015AC9"/>
    <w:rsid w:val="00017659"/>
    <w:rsid w:val="00017C0E"/>
    <w:rsid w:val="00020E9D"/>
    <w:rsid w:val="00021D2B"/>
    <w:rsid w:val="00022113"/>
    <w:rsid w:val="00022377"/>
    <w:rsid w:val="00022A1C"/>
    <w:rsid w:val="000267D1"/>
    <w:rsid w:val="00030711"/>
    <w:rsid w:val="00030799"/>
    <w:rsid w:val="00032CCE"/>
    <w:rsid w:val="00033CFC"/>
    <w:rsid w:val="0003414C"/>
    <w:rsid w:val="00034477"/>
    <w:rsid w:val="000364FE"/>
    <w:rsid w:val="00036B05"/>
    <w:rsid w:val="00037225"/>
    <w:rsid w:val="00040A35"/>
    <w:rsid w:val="00040FA0"/>
    <w:rsid w:val="00042E8E"/>
    <w:rsid w:val="00043B29"/>
    <w:rsid w:val="000445E0"/>
    <w:rsid w:val="00044C72"/>
    <w:rsid w:val="000462C8"/>
    <w:rsid w:val="00050DBE"/>
    <w:rsid w:val="000510E6"/>
    <w:rsid w:val="00051348"/>
    <w:rsid w:val="00051928"/>
    <w:rsid w:val="000535D8"/>
    <w:rsid w:val="0005488B"/>
    <w:rsid w:val="000550FE"/>
    <w:rsid w:val="0005517D"/>
    <w:rsid w:val="000562B7"/>
    <w:rsid w:val="000577B5"/>
    <w:rsid w:val="00063474"/>
    <w:rsid w:val="00064A2E"/>
    <w:rsid w:val="00064E83"/>
    <w:rsid w:val="00067CFE"/>
    <w:rsid w:val="0007062C"/>
    <w:rsid w:val="00071876"/>
    <w:rsid w:val="000721AF"/>
    <w:rsid w:val="00073578"/>
    <w:rsid w:val="00075748"/>
    <w:rsid w:val="00076765"/>
    <w:rsid w:val="00076F78"/>
    <w:rsid w:val="00080370"/>
    <w:rsid w:val="00081048"/>
    <w:rsid w:val="0008190F"/>
    <w:rsid w:val="0008242E"/>
    <w:rsid w:val="00083382"/>
    <w:rsid w:val="00083A8E"/>
    <w:rsid w:val="00083AA3"/>
    <w:rsid w:val="0008519C"/>
    <w:rsid w:val="000855B3"/>
    <w:rsid w:val="0008589A"/>
    <w:rsid w:val="0009460C"/>
    <w:rsid w:val="00095D0D"/>
    <w:rsid w:val="000961C9"/>
    <w:rsid w:val="0009647B"/>
    <w:rsid w:val="0009741A"/>
    <w:rsid w:val="000A00E9"/>
    <w:rsid w:val="000A07FB"/>
    <w:rsid w:val="000A0A44"/>
    <w:rsid w:val="000A150D"/>
    <w:rsid w:val="000A1859"/>
    <w:rsid w:val="000A1D12"/>
    <w:rsid w:val="000A3688"/>
    <w:rsid w:val="000A3CF9"/>
    <w:rsid w:val="000A3E39"/>
    <w:rsid w:val="000A48D7"/>
    <w:rsid w:val="000A4CE3"/>
    <w:rsid w:val="000A5297"/>
    <w:rsid w:val="000A5CA8"/>
    <w:rsid w:val="000A5F90"/>
    <w:rsid w:val="000B1A98"/>
    <w:rsid w:val="000B1E3D"/>
    <w:rsid w:val="000B2728"/>
    <w:rsid w:val="000B29CD"/>
    <w:rsid w:val="000B2AFD"/>
    <w:rsid w:val="000B3D2B"/>
    <w:rsid w:val="000B3F3D"/>
    <w:rsid w:val="000B44A9"/>
    <w:rsid w:val="000B45BE"/>
    <w:rsid w:val="000B4DE4"/>
    <w:rsid w:val="000B5A1E"/>
    <w:rsid w:val="000B687A"/>
    <w:rsid w:val="000C4483"/>
    <w:rsid w:val="000C7A02"/>
    <w:rsid w:val="000D1213"/>
    <w:rsid w:val="000D220E"/>
    <w:rsid w:val="000D47CA"/>
    <w:rsid w:val="000D55BB"/>
    <w:rsid w:val="000E015F"/>
    <w:rsid w:val="000E1A34"/>
    <w:rsid w:val="000E1CEE"/>
    <w:rsid w:val="000E1F08"/>
    <w:rsid w:val="000E3453"/>
    <w:rsid w:val="000E57F4"/>
    <w:rsid w:val="000E5CF8"/>
    <w:rsid w:val="000E6271"/>
    <w:rsid w:val="000E6B3D"/>
    <w:rsid w:val="000E7410"/>
    <w:rsid w:val="000E7E46"/>
    <w:rsid w:val="000F1729"/>
    <w:rsid w:val="000F1831"/>
    <w:rsid w:val="000F37C1"/>
    <w:rsid w:val="000F5285"/>
    <w:rsid w:val="000F62A5"/>
    <w:rsid w:val="000F6B36"/>
    <w:rsid w:val="000F6EDA"/>
    <w:rsid w:val="000F7276"/>
    <w:rsid w:val="00100543"/>
    <w:rsid w:val="0010071B"/>
    <w:rsid w:val="00100FD7"/>
    <w:rsid w:val="00101357"/>
    <w:rsid w:val="001013A0"/>
    <w:rsid w:val="0010277B"/>
    <w:rsid w:val="001029BA"/>
    <w:rsid w:val="001034E9"/>
    <w:rsid w:val="00103B45"/>
    <w:rsid w:val="00103BA6"/>
    <w:rsid w:val="0010454A"/>
    <w:rsid w:val="001109E3"/>
    <w:rsid w:val="00111343"/>
    <w:rsid w:val="00111BD0"/>
    <w:rsid w:val="001120E6"/>
    <w:rsid w:val="00112805"/>
    <w:rsid w:val="00112EBB"/>
    <w:rsid w:val="00120B77"/>
    <w:rsid w:val="00120C95"/>
    <w:rsid w:val="001211E7"/>
    <w:rsid w:val="00121799"/>
    <w:rsid w:val="001223D3"/>
    <w:rsid w:val="00122980"/>
    <w:rsid w:val="001234D5"/>
    <w:rsid w:val="0012381A"/>
    <w:rsid w:val="001252E7"/>
    <w:rsid w:val="001274EA"/>
    <w:rsid w:val="00131E57"/>
    <w:rsid w:val="00133585"/>
    <w:rsid w:val="00134D89"/>
    <w:rsid w:val="00135C19"/>
    <w:rsid w:val="001375F3"/>
    <w:rsid w:val="00140932"/>
    <w:rsid w:val="00140C40"/>
    <w:rsid w:val="0014221E"/>
    <w:rsid w:val="0014261B"/>
    <w:rsid w:val="00142A41"/>
    <w:rsid w:val="00146573"/>
    <w:rsid w:val="00146EFB"/>
    <w:rsid w:val="00150228"/>
    <w:rsid w:val="00150422"/>
    <w:rsid w:val="001514DB"/>
    <w:rsid w:val="00152247"/>
    <w:rsid w:val="00155C31"/>
    <w:rsid w:val="0015608C"/>
    <w:rsid w:val="001564C6"/>
    <w:rsid w:val="00157457"/>
    <w:rsid w:val="001615E4"/>
    <w:rsid w:val="00162659"/>
    <w:rsid w:val="001631B8"/>
    <w:rsid w:val="001637D8"/>
    <w:rsid w:val="00164949"/>
    <w:rsid w:val="00165EE5"/>
    <w:rsid w:val="00167A51"/>
    <w:rsid w:val="00171AE6"/>
    <w:rsid w:val="00172A4A"/>
    <w:rsid w:val="00173111"/>
    <w:rsid w:val="001742B1"/>
    <w:rsid w:val="001759CB"/>
    <w:rsid w:val="001777E9"/>
    <w:rsid w:val="00177CC9"/>
    <w:rsid w:val="00180388"/>
    <w:rsid w:val="00181208"/>
    <w:rsid w:val="00182E62"/>
    <w:rsid w:val="001845D8"/>
    <w:rsid w:val="0018566C"/>
    <w:rsid w:val="00185DC9"/>
    <w:rsid w:val="0018713A"/>
    <w:rsid w:val="0018782F"/>
    <w:rsid w:val="00187DE5"/>
    <w:rsid w:val="001905B8"/>
    <w:rsid w:val="00191137"/>
    <w:rsid w:val="00194B7A"/>
    <w:rsid w:val="00194DA0"/>
    <w:rsid w:val="0019587B"/>
    <w:rsid w:val="00195DE5"/>
    <w:rsid w:val="00196B69"/>
    <w:rsid w:val="001A02EC"/>
    <w:rsid w:val="001A0B6E"/>
    <w:rsid w:val="001A251D"/>
    <w:rsid w:val="001A479C"/>
    <w:rsid w:val="001A77C3"/>
    <w:rsid w:val="001A78E8"/>
    <w:rsid w:val="001B2055"/>
    <w:rsid w:val="001B3266"/>
    <w:rsid w:val="001B4BA8"/>
    <w:rsid w:val="001B5627"/>
    <w:rsid w:val="001C0394"/>
    <w:rsid w:val="001C0AF4"/>
    <w:rsid w:val="001C46FC"/>
    <w:rsid w:val="001C5038"/>
    <w:rsid w:val="001C5364"/>
    <w:rsid w:val="001C7987"/>
    <w:rsid w:val="001D001A"/>
    <w:rsid w:val="001D12DA"/>
    <w:rsid w:val="001D1928"/>
    <w:rsid w:val="001D35A7"/>
    <w:rsid w:val="001D3907"/>
    <w:rsid w:val="001D3BA0"/>
    <w:rsid w:val="001D5804"/>
    <w:rsid w:val="001D67DC"/>
    <w:rsid w:val="001D7F32"/>
    <w:rsid w:val="001E0013"/>
    <w:rsid w:val="001E03FB"/>
    <w:rsid w:val="001E1174"/>
    <w:rsid w:val="001E1746"/>
    <w:rsid w:val="001E2292"/>
    <w:rsid w:val="001E29A3"/>
    <w:rsid w:val="001E3214"/>
    <w:rsid w:val="001E5961"/>
    <w:rsid w:val="001E5D37"/>
    <w:rsid w:val="001E664C"/>
    <w:rsid w:val="001F1ABD"/>
    <w:rsid w:val="001F20DF"/>
    <w:rsid w:val="001F3019"/>
    <w:rsid w:val="001F4537"/>
    <w:rsid w:val="001F5D93"/>
    <w:rsid w:val="001F7782"/>
    <w:rsid w:val="00201841"/>
    <w:rsid w:val="00202B3F"/>
    <w:rsid w:val="002046B8"/>
    <w:rsid w:val="00205500"/>
    <w:rsid w:val="002077F7"/>
    <w:rsid w:val="00207907"/>
    <w:rsid w:val="00210FBA"/>
    <w:rsid w:val="00212C6C"/>
    <w:rsid w:val="0021317F"/>
    <w:rsid w:val="00213683"/>
    <w:rsid w:val="002153E4"/>
    <w:rsid w:val="0021728E"/>
    <w:rsid w:val="00222C49"/>
    <w:rsid w:val="00222F33"/>
    <w:rsid w:val="002234C9"/>
    <w:rsid w:val="00224580"/>
    <w:rsid w:val="00224E94"/>
    <w:rsid w:val="00225975"/>
    <w:rsid w:val="00226039"/>
    <w:rsid w:val="00226442"/>
    <w:rsid w:val="002266EA"/>
    <w:rsid w:val="002270F8"/>
    <w:rsid w:val="00227739"/>
    <w:rsid w:val="00227B27"/>
    <w:rsid w:val="00231715"/>
    <w:rsid w:val="002320D7"/>
    <w:rsid w:val="00232720"/>
    <w:rsid w:val="00234170"/>
    <w:rsid w:val="00234A7C"/>
    <w:rsid w:val="00240D58"/>
    <w:rsid w:val="002417B2"/>
    <w:rsid w:val="002419B3"/>
    <w:rsid w:val="00245540"/>
    <w:rsid w:val="00246EF1"/>
    <w:rsid w:val="002501AA"/>
    <w:rsid w:val="002503EF"/>
    <w:rsid w:val="002515B8"/>
    <w:rsid w:val="00251AD9"/>
    <w:rsid w:val="0025438E"/>
    <w:rsid w:val="0025728E"/>
    <w:rsid w:val="00260310"/>
    <w:rsid w:val="00261715"/>
    <w:rsid w:val="00261B2D"/>
    <w:rsid w:val="0026216C"/>
    <w:rsid w:val="00262321"/>
    <w:rsid w:val="00262841"/>
    <w:rsid w:val="0026375F"/>
    <w:rsid w:val="00264502"/>
    <w:rsid w:val="00265B0E"/>
    <w:rsid w:val="00265C40"/>
    <w:rsid w:val="00266B38"/>
    <w:rsid w:val="002717F9"/>
    <w:rsid w:val="00272B35"/>
    <w:rsid w:val="00272C9A"/>
    <w:rsid w:val="00274208"/>
    <w:rsid w:val="00275B63"/>
    <w:rsid w:val="002808E2"/>
    <w:rsid w:val="00281799"/>
    <w:rsid w:val="0028182C"/>
    <w:rsid w:val="00282549"/>
    <w:rsid w:val="00283239"/>
    <w:rsid w:val="00284DC7"/>
    <w:rsid w:val="00285F83"/>
    <w:rsid w:val="00287034"/>
    <w:rsid w:val="002909F5"/>
    <w:rsid w:val="00291BB8"/>
    <w:rsid w:val="00293DDB"/>
    <w:rsid w:val="00294AA6"/>
    <w:rsid w:val="00296B79"/>
    <w:rsid w:val="002A044D"/>
    <w:rsid w:val="002A06E8"/>
    <w:rsid w:val="002A0B55"/>
    <w:rsid w:val="002A142B"/>
    <w:rsid w:val="002A2A0B"/>
    <w:rsid w:val="002A2E6B"/>
    <w:rsid w:val="002A51AF"/>
    <w:rsid w:val="002A532F"/>
    <w:rsid w:val="002A562C"/>
    <w:rsid w:val="002A6FAD"/>
    <w:rsid w:val="002A790D"/>
    <w:rsid w:val="002B0650"/>
    <w:rsid w:val="002B0EA0"/>
    <w:rsid w:val="002B20C3"/>
    <w:rsid w:val="002B2CAC"/>
    <w:rsid w:val="002B3479"/>
    <w:rsid w:val="002B4C8D"/>
    <w:rsid w:val="002B4D67"/>
    <w:rsid w:val="002B5BDA"/>
    <w:rsid w:val="002B617C"/>
    <w:rsid w:val="002B7C0D"/>
    <w:rsid w:val="002C038F"/>
    <w:rsid w:val="002C154A"/>
    <w:rsid w:val="002C3DD0"/>
    <w:rsid w:val="002C4EAF"/>
    <w:rsid w:val="002C54FF"/>
    <w:rsid w:val="002C6022"/>
    <w:rsid w:val="002C6AE3"/>
    <w:rsid w:val="002D089A"/>
    <w:rsid w:val="002D08E3"/>
    <w:rsid w:val="002D121A"/>
    <w:rsid w:val="002D13DB"/>
    <w:rsid w:val="002D4421"/>
    <w:rsid w:val="002D59BA"/>
    <w:rsid w:val="002D60E9"/>
    <w:rsid w:val="002E062B"/>
    <w:rsid w:val="002E0FA9"/>
    <w:rsid w:val="002E12EC"/>
    <w:rsid w:val="002E33EA"/>
    <w:rsid w:val="002E5378"/>
    <w:rsid w:val="002E71D0"/>
    <w:rsid w:val="002F3CA8"/>
    <w:rsid w:val="002F43C8"/>
    <w:rsid w:val="002F5A08"/>
    <w:rsid w:val="002F70BF"/>
    <w:rsid w:val="0030214A"/>
    <w:rsid w:val="0030255A"/>
    <w:rsid w:val="0030519E"/>
    <w:rsid w:val="00305F7B"/>
    <w:rsid w:val="003075E8"/>
    <w:rsid w:val="0031004F"/>
    <w:rsid w:val="003106D0"/>
    <w:rsid w:val="00310774"/>
    <w:rsid w:val="00311EA1"/>
    <w:rsid w:val="00314917"/>
    <w:rsid w:val="00320DC8"/>
    <w:rsid w:val="00320E37"/>
    <w:rsid w:val="00322510"/>
    <w:rsid w:val="00322713"/>
    <w:rsid w:val="00323167"/>
    <w:rsid w:val="00323510"/>
    <w:rsid w:val="00324AB5"/>
    <w:rsid w:val="00325105"/>
    <w:rsid w:val="00327743"/>
    <w:rsid w:val="003277BD"/>
    <w:rsid w:val="003278F8"/>
    <w:rsid w:val="003309C1"/>
    <w:rsid w:val="00330EF9"/>
    <w:rsid w:val="00331009"/>
    <w:rsid w:val="0033161A"/>
    <w:rsid w:val="00332260"/>
    <w:rsid w:val="00332F90"/>
    <w:rsid w:val="00336F0F"/>
    <w:rsid w:val="00337254"/>
    <w:rsid w:val="003374E9"/>
    <w:rsid w:val="00337AD3"/>
    <w:rsid w:val="00340AB1"/>
    <w:rsid w:val="00341B49"/>
    <w:rsid w:val="00341D43"/>
    <w:rsid w:val="00344E66"/>
    <w:rsid w:val="00345BA3"/>
    <w:rsid w:val="00346DD0"/>
    <w:rsid w:val="0034796B"/>
    <w:rsid w:val="00347AE1"/>
    <w:rsid w:val="00352A4D"/>
    <w:rsid w:val="0035393B"/>
    <w:rsid w:val="00354E02"/>
    <w:rsid w:val="00356E7B"/>
    <w:rsid w:val="00357570"/>
    <w:rsid w:val="00360F8F"/>
    <w:rsid w:val="003627A8"/>
    <w:rsid w:val="0036292F"/>
    <w:rsid w:val="00362A80"/>
    <w:rsid w:val="00362DEF"/>
    <w:rsid w:val="00362EED"/>
    <w:rsid w:val="003636C7"/>
    <w:rsid w:val="003654F3"/>
    <w:rsid w:val="00365B83"/>
    <w:rsid w:val="003671CB"/>
    <w:rsid w:val="00367337"/>
    <w:rsid w:val="00367548"/>
    <w:rsid w:val="00367D68"/>
    <w:rsid w:val="00367DE7"/>
    <w:rsid w:val="00370196"/>
    <w:rsid w:val="003704AD"/>
    <w:rsid w:val="003704C6"/>
    <w:rsid w:val="00370C31"/>
    <w:rsid w:val="003717C8"/>
    <w:rsid w:val="00371FA1"/>
    <w:rsid w:val="0037296B"/>
    <w:rsid w:val="00372F87"/>
    <w:rsid w:val="003743CD"/>
    <w:rsid w:val="00374647"/>
    <w:rsid w:val="003768DC"/>
    <w:rsid w:val="00377916"/>
    <w:rsid w:val="00377D55"/>
    <w:rsid w:val="0038049C"/>
    <w:rsid w:val="0038614D"/>
    <w:rsid w:val="00393650"/>
    <w:rsid w:val="00393DF2"/>
    <w:rsid w:val="003977B0"/>
    <w:rsid w:val="003A0EF2"/>
    <w:rsid w:val="003A11BD"/>
    <w:rsid w:val="003A723E"/>
    <w:rsid w:val="003A7CD6"/>
    <w:rsid w:val="003B4412"/>
    <w:rsid w:val="003B5D85"/>
    <w:rsid w:val="003B6F00"/>
    <w:rsid w:val="003B787F"/>
    <w:rsid w:val="003B7DAB"/>
    <w:rsid w:val="003C0D9D"/>
    <w:rsid w:val="003C1CA5"/>
    <w:rsid w:val="003C1DA2"/>
    <w:rsid w:val="003C391A"/>
    <w:rsid w:val="003C3FE7"/>
    <w:rsid w:val="003C51E8"/>
    <w:rsid w:val="003C5611"/>
    <w:rsid w:val="003C5EF2"/>
    <w:rsid w:val="003C6652"/>
    <w:rsid w:val="003D1B4C"/>
    <w:rsid w:val="003D212F"/>
    <w:rsid w:val="003D2B98"/>
    <w:rsid w:val="003D2F2D"/>
    <w:rsid w:val="003D39F2"/>
    <w:rsid w:val="003D3FF3"/>
    <w:rsid w:val="003D5C0D"/>
    <w:rsid w:val="003E0B04"/>
    <w:rsid w:val="003E16D2"/>
    <w:rsid w:val="003E7660"/>
    <w:rsid w:val="003F089E"/>
    <w:rsid w:val="003F1948"/>
    <w:rsid w:val="003F40A7"/>
    <w:rsid w:val="003F433D"/>
    <w:rsid w:val="003F4C3E"/>
    <w:rsid w:val="003F51FF"/>
    <w:rsid w:val="003F6FB5"/>
    <w:rsid w:val="003F7392"/>
    <w:rsid w:val="00402F5B"/>
    <w:rsid w:val="004031AF"/>
    <w:rsid w:val="00406320"/>
    <w:rsid w:val="0040716B"/>
    <w:rsid w:val="0041078D"/>
    <w:rsid w:val="0041373B"/>
    <w:rsid w:val="00413A41"/>
    <w:rsid w:val="00414FEB"/>
    <w:rsid w:val="00415A0B"/>
    <w:rsid w:val="00416E37"/>
    <w:rsid w:val="004171D0"/>
    <w:rsid w:val="004210A2"/>
    <w:rsid w:val="00423929"/>
    <w:rsid w:val="00423FD6"/>
    <w:rsid w:val="00424AAC"/>
    <w:rsid w:val="0042794F"/>
    <w:rsid w:val="004304CC"/>
    <w:rsid w:val="00430AA1"/>
    <w:rsid w:val="004315D7"/>
    <w:rsid w:val="00431659"/>
    <w:rsid w:val="00431F03"/>
    <w:rsid w:val="00432C02"/>
    <w:rsid w:val="0043384D"/>
    <w:rsid w:val="00433BED"/>
    <w:rsid w:val="00435BFB"/>
    <w:rsid w:val="0043753C"/>
    <w:rsid w:val="00440750"/>
    <w:rsid w:val="004417C6"/>
    <w:rsid w:val="00441AA7"/>
    <w:rsid w:val="00442F4E"/>
    <w:rsid w:val="0044304C"/>
    <w:rsid w:val="004432FB"/>
    <w:rsid w:val="00444080"/>
    <w:rsid w:val="004453BA"/>
    <w:rsid w:val="004469A4"/>
    <w:rsid w:val="00446D58"/>
    <w:rsid w:val="0044794B"/>
    <w:rsid w:val="004479BD"/>
    <w:rsid w:val="00447E5E"/>
    <w:rsid w:val="0045213C"/>
    <w:rsid w:val="004523E4"/>
    <w:rsid w:val="0045261B"/>
    <w:rsid w:val="004558B0"/>
    <w:rsid w:val="00455DA0"/>
    <w:rsid w:val="00456423"/>
    <w:rsid w:val="0045743F"/>
    <w:rsid w:val="00466A44"/>
    <w:rsid w:val="00466C27"/>
    <w:rsid w:val="0046789D"/>
    <w:rsid w:val="00472D0D"/>
    <w:rsid w:val="00475076"/>
    <w:rsid w:val="004760F7"/>
    <w:rsid w:val="00476C9E"/>
    <w:rsid w:val="00480D9E"/>
    <w:rsid w:val="0048141A"/>
    <w:rsid w:val="00481BBE"/>
    <w:rsid w:val="00481E59"/>
    <w:rsid w:val="00482AAA"/>
    <w:rsid w:val="00483D11"/>
    <w:rsid w:val="00484D39"/>
    <w:rsid w:val="00485CAF"/>
    <w:rsid w:val="004860C2"/>
    <w:rsid w:val="004868B5"/>
    <w:rsid w:val="00487487"/>
    <w:rsid w:val="004878E5"/>
    <w:rsid w:val="00492D98"/>
    <w:rsid w:val="00493D31"/>
    <w:rsid w:val="00493DD7"/>
    <w:rsid w:val="00494EB4"/>
    <w:rsid w:val="004952D3"/>
    <w:rsid w:val="00495400"/>
    <w:rsid w:val="00495629"/>
    <w:rsid w:val="004A0CEC"/>
    <w:rsid w:val="004A114A"/>
    <w:rsid w:val="004A1C6E"/>
    <w:rsid w:val="004A1F8E"/>
    <w:rsid w:val="004A2B5D"/>
    <w:rsid w:val="004A334E"/>
    <w:rsid w:val="004B2C2F"/>
    <w:rsid w:val="004B3509"/>
    <w:rsid w:val="004B50F2"/>
    <w:rsid w:val="004B590C"/>
    <w:rsid w:val="004B7CF6"/>
    <w:rsid w:val="004C13D4"/>
    <w:rsid w:val="004C1825"/>
    <w:rsid w:val="004C2D9F"/>
    <w:rsid w:val="004C460A"/>
    <w:rsid w:val="004C636B"/>
    <w:rsid w:val="004C68BA"/>
    <w:rsid w:val="004C6D32"/>
    <w:rsid w:val="004C7B4A"/>
    <w:rsid w:val="004D0B20"/>
    <w:rsid w:val="004D1F6E"/>
    <w:rsid w:val="004D24F3"/>
    <w:rsid w:val="004D333E"/>
    <w:rsid w:val="004D48DA"/>
    <w:rsid w:val="004D62EA"/>
    <w:rsid w:val="004D760E"/>
    <w:rsid w:val="004E0A14"/>
    <w:rsid w:val="004E1971"/>
    <w:rsid w:val="004E3313"/>
    <w:rsid w:val="004E3AF6"/>
    <w:rsid w:val="004E4CEC"/>
    <w:rsid w:val="004E6EF9"/>
    <w:rsid w:val="004E7184"/>
    <w:rsid w:val="004E76BE"/>
    <w:rsid w:val="004F1D37"/>
    <w:rsid w:val="004F289C"/>
    <w:rsid w:val="004F3B83"/>
    <w:rsid w:val="004F48F4"/>
    <w:rsid w:val="004F6219"/>
    <w:rsid w:val="0050079C"/>
    <w:rsid w:val="005029CC"/>
    <w:rsid w:val="005041A6"/>
    <w:rsid w:val="005045B0"/>
    <w:rsid w:val="00504A3C"/>
    <w:rsid w:val="00507654"/>
    <w:rsid w:val="00507F20"/>
    <w:rsid w:val="00510354"/>
    <w:rsid w:val="00510732"/>
    <w:rsid w:val="00510C36"/>
    <w:rsid w:val="005110AA"/>
    <w:rsid w:val="00511E0C"/>
    <w:rsid w:val="00512548"/>
    <w:rsid w:val="00512ADB"/>
    <w:rsid w:val="00512BFD"/>
    <w:rsid w:val="005144D8"/>
    <w:rsid w:val="00514EFD"/>
    <w:rsid w:val="0051665C"/>
    <w:rsid w:val="005167F8"/>
    <w:rsid w:val="00517664"/>
    <w:rsid w:val="00522235"/>
    <w:rsid w:val="0052314B"/>
    <w:rsid w:val="00524FE3"/>
    <w:rsid w:val="00525EAD"/>
    <w:rsid w:val="0052666E"/>
    <w:rsid w:val="0053289D"/>
    <w:rsid w:val="00534AA8"/>
    <w:rsid w:val="0053770B"/>
    <w:rsid w:val="00537DB1"/>
    <w:rsid w:val="005402B2"/>
    <w:rsid w:val="005433C8"/>
    <w:rsid w:val="00544323"/>
    <w:rsid w:val="00544DC4"/>
    <w:rsid w:val="005508AF"/>
    <w:rsid w:val="00552740"/>
    <w:rsid w:val="00553D8B"/>
    <w:rsid w:val="00555006"/>
    <w:rsid w:val="0055533A"/>
    <w:rsid w:val="00557804"/>
    <w:rsid w:val="00557B76"/>
    <w:rsid w:val="00561176"/>
    <w:rsid w:val="00561D0F"/>
    <w:rsid w:val="0056343E"/>
    <w:rsid w:val="005647A3"/>
    <w:rsid w:val="00564ADF"/>
    <w:rsid w:val="00565E0D"/>
    <w:rsid w:val="005674B0"/>
    <w:rsid w:val="0057026A"/>
    <w:rsid w:val="00570CF3"/>
    <w:rsid w:val="00570E8A"/>
    <w:rsid w:val="00571312"/>
    <w:rsid w:val="00571AC3"/>
    <w:rsid w:val="0057233A"/>
    <w:rsid w:val="00572A80"/>
    <w:rsid w:val="00573E22"/>
    <w:rsid w:val="00574543"/>
    <w:rsid w:val="005754A8"/>
    <w:rsid w:val="005777F5"/>
    <w:rsid w:val="00580067"/>
    <w:rsid w:val="005829FC"/>
    <w:rsid w:val="00584E3F"/>
    <w:rsid w:val="00585507"/>
    <w:rsid w:val="00585E1D"/>
    <w:rsid w:val="0058709C"/>
    <w:rsid w:val="00587713"/>
    <w:rsid w:val="00590623"/>
    <w:rsid w:val="0059080A"/>
    <w:rsid w:val="00591015"/>
    <w:rsid w:val="00592832"/>
    <w:rsid w:val="00592948"/>
    <w:rsid w:val="0059633F"/>
    <w:rsid w:val="005A2B9A"/>
    <w:rsid w:val="005A2CC4"/>
    <w:rsid w:val="005A37A9"/>
    <w:rsid w:val="005A556A"/>
    <w:rsid w:val="005A5742"/>
    <w:rsid w:val="005B29F4"/>
    <w:rsid w:val="005B30A8"/>
    <w:rsid w:val="005B39F5"/>
    <w:rsid w:val="005B3C19"/>
    <w:rsid w:val="005B4EAF"/>
    <w:rsid w:val="005B68C7"/>
    <w:rsid w:val="005B76A4"/>
    <w:rsid w:val="005B7F72"/>
    <w:rsid w:val="005C2182"/>
    <w:rsid w:val="005D1784"/>
    <w:rsid w:val="005D3542"/>
    <w:rsid w:val="005D3644"/>
    <w:rsid w:val="005D5B79"/>
    <w:rsid w:val="005D6B1B"/>
    <w:rsid w:val="005D749C"/>
    <w:rsid w:val="005D76DF"/>
    <w:rsid w:val="005D7835"/>
    <w:rsid w:val="005E05B0"/>
    <w:rsid w:val="005E0B84"/>
    <w:rsid w:val="005E24D2"/>
    <w:rsid w:val="005E27C0"/>
    <w:rsid w:val="005E28CA"/>
    <w:rsid w:val="005E2DEF"/>
    <w:rsid w:val="005E314A"/>
    <w:rsid w:val="005E3A52"/>
    <w:rsid w:val="005E44C6"/>
    <w:rsid w:val="005E496B"/>
    <w:rsid w:val="005E5670"/>
    <w:rsid w:val="005E5EC9"/>
    <w:rsid w:val="005E7AF9"/>
    <w:rsid w:val="005F0E34"/>
    <w:rsid w:val="005F2BD0"/>
    <w:rsid w:val="005F3FB9"/>
    <w:rsid w:val="005F4BD5"/>
    <w:rsid w:val="005F532B"/>
    <w:rsid w:val="005F7B54"/>
    <w:rsid w:val="006027C7"/>
    <w:rsid w:val="00602AAB"/>
    <w:rsid w:val="00603F3F"/>
    <w:rsid w:val="00604469"/>
    <w:rsid w:val="00606062"/>
    <w:rsid w:val="00606D0E"/>
    <w:rsid w:val="006106F7"/>
    <w:rsid w:val="00610727"/>
    <w:rsid w:val="00610C62"/>
    <w:rsid w:val="00612340"/>
    <w:rsid w:val="00612DCE"/>
    <w:rsid w:val="0062169A"/>
    <w:rsid w:val="00622017"/>
    <w:rsid w:val="00623D8A"/>
    <w:rsid w:val="006249FB"/>
    <w:rsid w:val="00624AAE"/>
    <w:rsid w:val="00626868"/>
    <w:rsid w:val="006312FA"/>
    <w:rsid w:val="00631569"/>
    <w:rsid w:val="006324B1"/>
    <w:rsid w:val="00633195"/>
    <w:rsid w:val="00634B10"/>
    <w:rsid w:val="006408F5"/>
    <w:rsid w:val="006425B9"/>
    <w:rsid w:val="0064296C"/>
    <w:rsid w:val="0064462B"/>
    <w:rsid w:val="00644F25"/>
    <w:rsid w:val="00645E21"/>
    <w:rsid w:val="006460BB"/>
    <w:rsid w:val="006464AC"/>
    <w:rsid w:val="006475D4"/>
    <w:rsid w:val="006479E7"/>
    <w:rsid w:val="00650029"/>
    <w:rsid w:val="0065092E"/>
    <w:rsid w:val="00653802"/>
    <w:rsid w:val="00654D27"/>
    <w:rsid w:val="00654DDC"/>
    <w:rsid w:val="00655041"/>
    <w:rsid w:val="00655733"/>
    <w:rsid w:val="0065787F"/>
    <w:rsid w:val="0066160D"/>
    <w:rsid w:val="006616BF"/>
    <w:rsid w:val="00663146"/>
    <w:rsid w:val="006646C5"/>
    <w:rsid w:val="006658D3"/>
    <w:rsid w:val="006660BC"/>
    <w:rsid w:val="00667F22"/>
    <w:rsid w:val="00670424"/>
    <w:rsid w:val="00670425"/>
    <w:rsid w:val="00670476"/>
    <w:rsid w:val="00671154"/>
    <w:rsid w:val="00673854"/>
    <w:rsid w:val="00674233"/>
    <w:rsid w:val="0067534C"/>
    <w:rsid w:val="00676D38"/>
    <w:rsid w:val="006777EB"/>
    <w:rsid w:val="00677992"/>
    <w:rsid w:val="00677D5A"/>
    <w:rsid w:val="0068161C"/>
    <w:rsid w:val="006817C8"/>
    <w:rsid w:val="00684C3A"/>
    <w:rsid w:val="0068576B"/>
    <w:rsid w:val="00686D97"/>
    <w:rsid w:val="006903B0"/>
    <w:rsid w:val="0069126A"/>
    <w:rsid w:val="006926D2"/>
    <w:rsid w:val="00692EC1"/>
    <w:rsid w:val="00693DF3"/>
    <w:rsid w:val="00696CB0"/>
    <w:rsid w:val="00697A9F"/>
    <w:rsid w:val="006A1306"/>
    <w:rsid w:val="006A166F"/>
    <w:rsid w:val="006A2236"/>
    <w:rsid w:val="006A22AF"/>
    <w:rsid w:val="006A26AA"/>
    <w:rsid w:val="006A3E46"/>
    <w:rsid w:val="006A4B8D"/>
    <w:rsid w:val="006A4DA0"/>
    <w:rsid w:val="006A603D"/>
    <w:rsid w:val="006A60C7"/>
    <w:rsid w:val="006B4435"/>
    <w:rsid w:val="006B6F24"/>
    <w:rsid w:val="006C04D0"/>
    <w:rsid w:val="006D04C0"/>
    <w:rsid w:val="006D2597"/>
    <w:rsid w:val="006D66E5"/>
    <w:rsid w:val="006D6E2E"/>
    <w:rsid w:val="006D7525"/>
    <w:rsid w:val="006D7B15"/>
    <w:rsid w:val="006E0B84"/>
    <w:rsid w:val="006E25F8"/>
    <w:rsid w:val="006E294F"/>
    <w:rsid w:val="006E441B"/>
    <w:rsid w:val="006E493C"/>
    <w:rsid w:val="006E63B4"/>
    <w:rsid w:val="006E7ACB"/>
    <w:rsid w:val="006F03C4"/>
    <w:rsid w:val="006F054A"/>
    <w:rsid w:val="006F08B8"/>
    <w:rsid w:val="006F0EBC"/>
    <w:rsid w:val="006F15FE"/>
    <w:rsid w:val="006F2694"/>
    <w:rsid w:val="006F4234"/>
    <w:rsid w:val="006F46F4"/>
    <w:rsid w:val="006F501E"/>
    <w:rsid w:val="006F78AF"/>
    <w:rsid w:val="00701AA8"/>
    <w:rsid w:val="00702995"/>
    <w:rsid w:val="00703EE7"/>
    <w:rsid w:val="00707050"/>
    <w:rsid w:val="007078B6"/>
    <w:rsid w:val="007106C8"/>
    <w:rsid w:val="00710BDB"/>
    <w:rsid w:val="00710E7D"/>
    <w:rsid w:val="007136CB"/>
    <w:rsid w:val="00713DD8"/>
    <w:rsid w:val="00713E41"/>
    <w:rsid w:val="00715471"/>
    <w:rsid w:val="00717B60"/>
    <w:rsid w:val="00717DA6"/>
    <w:rsid w:val="00720CC3"/>
    <w:rsid w:val="007211C0"/>
    <w:rsid w:val="00722DC8"/>
    <w:rsid w:val="00723C61"/>
    <w:rsid w:val="0072472A"/>
    <w:rsid w:val="0072479E"/>
    <w:rsid w:val="0072543C"/>
    <w:rsid w:val="0073297D"/>
    <w:rsid w:val="00733ABD"/>
    <w:rsid w:val="0073402F"/>
    <w:rsid w:val="00734495"/>
    <w:rsid w:val="007376C6"/>
    <w:rsid w:val="0074019B"/>
    <w:rsid w:val="00740887"/>
    <w:rsid w:val="00741E31"/>
    <w:rsid w:val="007442D9"/>
    <w:rsid w:val="007452FC"/>
    <w:rsid w:val="0075276D"/>
    <w:rsid w:val="00752F4C"/>
    <w:rsid w:val="00754252"/>
    <w:rsid w:val="00755AED"/>
    <w:rsid w:val="0076067D"/>
    <w:rsid w:val="0076080D"/>
    <w:rsid w:val="00763CEC"/>
    <w:rsid w:val="007649D2"/>
    <w:rsid w:val="0076546D"/>
    <w:rsid w:val="00765899"/>
    <w:rsid w:val="007676E7"/>
    <w:rsid w:val="00767D48"/>
    <w:rsid w:val="0077014A"/>
    <w:rsid w:val="0077046B"/>
    <w:rsid w:val="00770A4B"/>
    <w:rsid w:val="0077169C"/>
    <w:rsid w:val="00772C31"/>
    <w:rsid w:val="0077330E"/>
    <w:rsid w:val="00774B26"/>
    <w:rsid w:val="0077564D"/>
    <w:rsid w:val="00776011"/>
    <w:rsid w:val="00776825"/>
    <w:rsid w:val="00776CF6"/>
    <w:rsid w:val="00781B47"/>
    <w:rsid w:val="00781DB4"/>
    <w:rsid w:val="00782143"/>
    <w:rsid w:val="007830D0"/>
    <w:rsid w:val="00783525"/>
    <w:rsid w:val="00785246"/>
    <w:rsid w:val="00785534"/>
    <w:rsid w:val="007856BB"/>
    <w:rsid w:val="00785E7E"/>
    <w:rsid w:val="00794142"/>
    <w:rsid w:val="007952F4"/>
    <w:rsid w:val="00795699"/>
    <w:rsid w:val="00795ADB"/>
    <w:rsid w:val="00797153"/>
    <w:rsid w:val="0079721D"/>
    <w:rsid w:val="007A0067"/>
    <w:rsid w:val="007A0481"/>
    <w:rsid w:val="007A3BD7"/>
    <w:rsid w:val="007A66D7"/>
    <w:rsid w:val="007A72CF"/>
    <w:rsid w:val="007A79C5"/>
    <w:rsid w:val="007B0860"/>
    <w:rsid w:val="007B0F9C"/>
    <w:rsid w:val="007B2116"/>
    <w:rsid w:val="007B2E5D"/>
    <w:rsid w:val="007B46AF"/>
    <w:rsid w:val="007B6222"/>
    <w:rsid w:val="007C0450"/>
    <w:rsid w:val="007C1A4A"/>
    <w:rsid w:val="007C40A5"/>
    <w:rsid w:val="007C4F01"/>
    <w:rsid w:val="007C769C"/>
    <w:rsid w:val="007D18FC"/>
    <w:rsid w:val="007D2567"/>
    <w:rsid w:val="007D2ED1"/>
    <w:rsid w:val="007D31FC"/>
    <w:rsid w:val="007D423F"/>
    <w:rsid w:val="007D4C49"/>
    <w:rsid w:val="007D57D4"/>
    <w:rsid w:val="007D5A77"/>
    <w:rsid w:val="007D6915"/>
    <w:rsid w:val="007D7387"/>
    <w:rsid w:val="007D73A1"/>
    <w:rsid w:val="007D7A3D"/>
    <w:rsid w:val="007E02CC"/>
    <w:rsid w:val="007E05BE"/>
    <w:rsid w:val="007E0FE8"/>
    <w:rsid w:val="007E1889"/>
    <w:rsid w:val="007E2857"/>
    <w:rsid w:val="007E291D"/>
    <w:rsid w:val="007E330A"/>
    <w:rsid w:val="007E51B7"/>
    <w:rsid w:val="007F0DAC"/>
    <w:rsid w:val="007F1206"/>
    <w:rsid w:val="007F2BA6"/>
    <w:rsid w:val="007F33D4"/>
    <w:rsid w:val="007F47E1"/>
    <w:rsid w:val="007F47F4"/>
    <w:rsid w:val="007F56FA"/>
    <w:rsid w:val="007F6247"/>
    <w:rsid w:val="007F6A2F"/>
    <w:rsid w:val="007F7805"/>
    <w:rsid w:val="007F7F11"/>
    <w:rsid w:val="00801AA4"/>
    <w:rsid w:val="0080683B"/>
    <w:rsid w:val="00807968"/>
    <w:rsid w:val="008107CD"/>
    <w:rsid w:val="00814F03"/>
    <w:rsid w:val="00815330"/>
    <w:rsid w:val="008167CF"/>
    <w:rsid w:val="00817B95"/>
    <w:rsid w:val="00817DE6"/>
    <w:rsid w:val="00817DF3"/>
    <w:rsid w:val="00822184"/>
    <w:rsid w:val="00822B24"/>
    <w:rsid w:val="0082366C"/>
    <w:rsid w:val="00825061"/>
    <w:rsid w:val="0082539B"/>
    <w:rsid w:val="008262E8"/>
    <w:rsid w:val="008271D0"/>
    <w:rsid w:val="00827768"/>
    <w:rsid w:val="00827BC2"/>
    <w:rsid w:val="0083027B"/>
    <w:rsid w:val="008306A7"/>
    <w:rsid w:val="008324F0"/>
    <w:rsid w:val="008327B6"/>
    <w:rsid w:val="00834440"/>
    <w:rsid w:val="00834F6B"/>
    <w:rsid w:val="0083509B"/>
    <w:rsid w:val="00835603"/>
    <w:rsid w:val="00836859"/>
    <w:rsid w:val="008371A5"/>
    <w:rsid w:val="0084025D"/>
    <w:rsid w:val="00843280"/>
    <w:rsid w:val="00844039"/>
    <w:rsid w:val="008451BD"/>
    <w:rsid w:val="00847B6C"/>
    <w:rsid w:val="00847C97"/>
    <w:rsid w:val="008504F5"/>
    <w:rsid w:val="00850D0A"/>
    <w:rsid w:val="00852EF5"/>
    <w:rsid w:val="00855E1F"/>
    <w:rsid w:val="00856326"/>
    <w:rsid w:val="00857BF4"/>
    <w:rsid w:val="008609EF"/>
    <w:rsid w:val="0086312E"/>
    <w:rsid w:val="008634BE"/>
    <w:rsid w:val="0086442F"/>
    <w:rsid w:val="00864AF4"/>
    <w:rsid w:val="00865C5B"/>
    <w:rsid w:val="0086709D"/>
    <w:rsid w:val="00867A78"/>
    <w:rsid w:val="00870098"/>
    <w:rsid w:val="00870769"/>
    <w:rsid w:val="00870A3B"/>
    <w:rsid w:val="00873B00"/>
    <w:rsid w:val="00873C07"/>
    <w:rsid w:val="008750DC"/>
    <w:rsid w:val="00875862"/>
    <w:rsid w:val="00876D27"/>
    <w:rsid w:val="0088065F"/>
    <w:rsid w:val="00881F68"/>
    <w:rsid w:val="008878F7"/>
    <w:rsid w:val="0089232A"/>
    <w:rsid w:val="008945FB"/>
    <w:rsid w:val="00895242"/>
    <w:rsid w:val="00897BA6"/>
    <w:rsid w:val="00897EBE"/>
    <w:rsid w:val="008A1585"/>
    <w:rsid w:val="008A1F8B"/>
    <w:rsid w:val="008A20CD"/>
    <w:rsid w:val="008A2A31"/>
    <w:rsid w:val="008A303F"/>
    <w:rsid w:val="008A3F59"/>
    <w:rsid w:val="008A6664"/>
    <w:rsid w:val="008A6AC1"/>
    <w:rsid w:val="008A74AC"/>
    <w:rsid w:val="008B00E2"/>
    <w:rsid w:val="008B0B3A"/>
    <w:rsid w:val="008B19E1"/>
    <w:rsid w:val="008B2D6B"/>
    <w:rsid w:val="008B43A0"/>
    <w:rsid w:val="008B5790"/>
    <w:rsid w:val="008B5ECB"/>
    <w:rsid w:val="008B6FAE"/>
    <w:rsid w:val="008C1FC4"/>
    <w:rsid w:val="008C2F46"/>
    <w:rsid w:val="008C42D1"/>
    <w:rsid w:val="008C47D6"/>
    <w:rsid w:val="008C5935"/>
    <w:rsid w:val="008C5A79"/>
    <w:rsid w:val="008C72DA"/>
    <w:rsid w:val="008D03DD"/>
    <w:rsid w:val="008D040B"/>
    <w:rsid w:val="008D0447"/>
    <w:rsid w:val="008D0A32"/>
    <w:rsid w:val="008D10B6"/>
    <w:rsid w:val="008D4ED4"/>
    <w:rsid w:val="008D5B72"/>
    <w:rsid w:val="008D6283"/>
    <w:rsid w:val="008D6A21"/>
    <w:rsid w:val="008E0951"/>
    <w:rsid w:val="008E12AB"/>
    <w:rsid w:val="008E1DE9"/>
    <w:rsid w:val="008E2ADB"/>
    <w:rsid w:val="008E38F9"/>
    <w:rsid w:val="008E44FE"/>
    <w:rsid w:val="008E4C5C"/>
    <w:rsid w:val="008E5312"/>
    <w:rsid w:val="008E768A"/>
    <w:rsid w:val="008E7FE8"/>
    <w:rsid w:val="008F1494"/>
    <w:rsid w:val="008F1B6E"/>
    <w:rsid w:val="008F36D7"/>
    <w:rsid w:val="008F45C1"/>
    <w:rsid w:val="008F718F"/>
    <w:rsid w:val="00900CF3"/>
    <w:rsid w:val="00901149"/>
    <w:rsid w:val="009016DC"/>
    <w:rsid w:val="00902CF9"/>
    <w:rsid w:val="00904F75"/>
    <w:rsid w:val="009050BE"/>
    <w:rsid w:val="0090569F"/>
    <w:rsid w:val="00905D47"/>
    <w:rsid w:val="00906DE3"/>
    <w:rsid w:val="00907D25"/>
    <w:rsid w:val="0091154A"/>
    <w:rsid w:val="00914147"/>
    <w:rsid w:val="0091439E"/>
    <w:rsid w:val="00915D19"/>
    <w:rsid w:val="00916240"/>
    <w:rsid w:val="0091789A"/>
    <w:rsid w:val="0092201E"/>
    <w:rsid w:val="009234A2"/>
    <w:rsid w:val="00924AF7"/>
    <w:rsid w:val="00925A68"/>
    <w:rsid w:val="00925CC2"/>
    <w:rsid w:val="0092655A"/>
    <w:rsid w:val="0092668A"/>
    <w:rsid w:val="00927FAB"/>
    <w:rsid w:val="00932181"/>
    <w:rsid w:val="00932901"/>
    <w:rsid w:val="00932929"/>
    <w:rsid w:val="0093379C"/>
    <w:rsid w:val="0093526D"/>
    <w:rsid w:val="00935A04"/>
    <w:rsid w:val="00935AA3"/>
    <w:rsid w:val="00936B29"/>
    <w:rsid w:val="009372A3"/>
    <w:rsid w:val="00937B6F"/>
    <w:rsid w:val="009419F6"/>
    <w:rsid w:val="009423C4"/>
    <w:rsid w:val="00942BD2"/>
    <w:rsid w:val="0094387E"/>
    <w:rsid w:val="00946FD8"/>
    <w:rsid w:val="00947CF6"/>
    <w:rsid w:val="00952245"/>
    <w:rsid w:val="00953348"/>
    <w:rsid w:val="00955037"/>
    <w:rsid w:val="00956F28"/>
    <w:rsid w:val="00957831"/>
    <w:rsid w:val="00960593"/>
    <w:rsid w:val="00972EE8"/>
    <w:rsid w:val="00973D46"/>
    <w:rsid w:val="00974D22"/>
    <w:rsid w:val="00975A1C"/>
    <w:rsid w:val="00975A38"/>
    <w:rsid w:val="0097729F"/>
    <w:rsid w:val="0098256F"/>
    <w:rsid w:val="009827D4"/>
    <w:rsid w:val="009852B7"/>
    <w:rsid w:val="00985A24"/>
    <w:rsid w:val="00985B56"/>
    <w:rsid w:val="00985CCB"/>
    <w:rsid w:val="009874DC"/>
    <w:rsid w:val="00987AD9"/>
    <w:rsid w:val="00991244"/>
    <w:rsid w:val="009939D7"/>
    <w:rsid w:val="0099561A"/>
    <w:rsid w:val="00996498"/>
    <w:rsid w:val="0099672E"/>
    <w:rsid w:val="00997A74"/>
    <w:rsid w:val="00997D9B"/>
    <w:rsid w:val="009A1F47"/>
    <w:rsid w:val="009A25DA"/>
    <w:rsid w:val="009A2E53"/>
    <w:rsid w:val="009A57BE"/>
    <w:rsid w:val="009A7B69"/>
    <w:rsid w:val="009B0073"/>
    <w:rsid w:val="009B299C"/>
    <w:rsid w:val="009B3558"/>
    <w:rsid w:val="009B3B7F"/>
    <w:rsid w:val="009B5401"/>
    <w:rsid w:val="009B73B6"/>
    <w:rsid w:val="009B7990"/>
    <w:rsid w:val="009C2800"/>
    <w:rsid w:val="009C45AF"/>
    <w:rsid w:val="009C4813"/>
    <w:rsid w:val="009C5009"/>
    <w:rsid w:val="009C56C8"/>
    <w:rsid w:val="009C5C5F"/>
    <w:rsid w:val="009C5D2F"/>
    <w:rsid w:val="009C6444"/>
    <w:rsid w:val="009C6B59"/>
    <w:rsid w:val="009D1030"/>
    <w:rsid w:val="009D1947"/>
    <w:rsid w:val="009D2945"/>
    <w:rsid w:val="009D333C"/>
    <w:rsid w:val="009D3686"/>
    <w:rsid w:val="009D3CBD"/>
    <w:rsid w:val="009D7BC4"/>
    <w:rsid w:val="009E03A7"/>
    <w:rsid w:val="009E09F7"/>
    <w:rsid w:val="009E1489"/>
    <w:rsid w:val="009E2083"/>
    <w:rsid w:val="009E2864"/>
    <w:rsid w:val="009E3350"/>
    <w:rsid w:val="009E3B64"/>
    <w:rsid w:val="009E3FC9"/>
    <w:rsid w:val="009E45C1"/>
    <w:rsid w:val="009E5100"/>
    <w:rsid w:val="009E5486"/>
    <w:rsid w:val="009E584A"/>
    <w:rsid w:val="009E7957"/>
    <w:rsid w:val="009E7BC2"/>
    <w:rsid w:val="009F163D"/>
    <w:rsid w:val="009F2F00"/>
    <w:rsid w:val="009F30B3"/>
    <w:rsid w:val="009F36DA"/>
    <w:rsid w:val="009F3E8E"/>
    <w:rsid w:val="009F4818"/>
    <w:rsid w:val="009F522B"/>
    <w:rsid w:val="009F53D6"/>
    <w:rsid w:val="009F559E"/>
    <w:rsid w:val="009F5677"/>
    <w:rsid w:val="009F5D56"/>
    <w:rsid w:val="009F73A3"/>
    <w:rsid w:val="009F7711"/>
    <w:rsid w:val="009F7D6E"/>
    <w:rsid w:val="00A009E7"/>
    <w:rsid w:val="00A053BD"/>
    <w:rsid w:val="00A056AA"/>
    <w:rsid w:val="00A06812"/>
    <w:rsid w:val="00A10D75"/>
    <w:rsid w:val="00A11E65"/>
    <w:rsid w:val="00A125D2"/>
    <w:rsid w:val="00A132A2"/>
    <w:rsid w:val="00A142A5"/>
    <w:rsid w:val="00A15977"/>
    <w:rsid w:val="00A16434"/>
    <w:rsid w:val="00A221A3"/>
    <w:rsid w:val="00A22308"/>
    <w:rsid w:val="00A23E65"/>
    <w:rsid w:val="00A3282B"/>
    <w:rsid w:val="00A3362B"/>
    <w:rsid w:val="00A35157"/>
    <w:rsid w:val="00A360F1"/>
    <w:rsid w:val="00A361F4"/>
    <w:rsid w:val="00A40375"/>
    <w:rsid w:val="00A40742"/>
    <w:rsid w:val="00A40B2D"/>
    <w:rsid w:val="00A433B7"/>
    <w:rsid w:val="00A448D6"/>
    <w:rsid w:val="00A467DB"/>
    <w:rsid w:val="00A46E68"/>
    <w:rsid w:val="00A511AF"/>
    <w:rsid w:val="00A51291"/>
    <w:rsid w:val="00A5288D"/>
    <w:rsid w:val="00A52A75"/>
    <w:rsid w:val="00A52F02"/>
    <w:rsid w:val="00A53E25"/>
    <w:rsid w:val="00A551DF"/>
    <w:rsid w:val="00A563EB"/>
    <w:rsid w:val="00A5674F"/>
    <w:rsid w:val="00A578FC"/>
    <w:rsid w:val="00A63861"/>
    <w:rsid w:val="00A63992"/>
    <w:rsid w:val="00A64FEA"/>
    <w:rsid w:val="00A65DB3"/>
    <w:rsid w:val="00A66DC4"/>
    <w:rsid w:val="00A70AE5"/>
    <w:rsid w:val="00A70D75"/>
    <w:rsid w:val="00A711BF"/>
    <w:rsid w:val="00A72CF5"/>
    <w:rsid w:val="00A75266"/>
    <w:rsid w:val="00A77F72"/>
    <w:rsid w:val="00A809F9"/>
    <w:rsid w:val="00A84B10"/>
    <w:rsid w:val="00A85D43"/>
    <w:rsid w:val="00A8776E"/>
    <w:rsid w:val="00A90A4E"/>
    <w:rsid w:val="00A91CE3"/>
    <w:rsid w:val="00A964D7"/>
    <w:rsid w:val="00A97286"/>
    <w:rsid w:val="00A973D9"/>
    <w:rsid w:val="00AA21F8"/>
    <w:rsid w:val="00AA25AF"/>
    <w:rsid w:val="00AA32A3"/>
    <w:rsid w:val="00AA5067"/>
    <w:rsid w:val="00AA59A0"/>
    <w:rsid w:val="00AB1038"/>
    <w:rsid w:val="00AB19C4"/>
    <w:rsid w:val="00AB1BB4"/>
    <w:rsid w:val="00AB486E"/>
    <w:rsid w:val="00AB4EB4"/>
    <w:rsid w:val="00AB5455"/>
    <w:rsid w:val="00AB61D3"/>
    <w:rsid w:val="00AB7D87"/>
    <w:rsid w:val="00AC21D3"/>
    <w:rsid w:val="00AC3848"/>
    <w:rsid w:val="00AC543E"/>
    <w:rsid w:val="00AC775B"/>
    <w:rsid w:val="00AD02F7"/>
    <w:rsid w:val="00AD14E1"/>
    <w:rsid w:val="00AD1CB0"/>
    <w:rsid w:val="00AD1CBF"/>
    <w:rsid w:val="00AD1D39"/>
    <w:rsid w:val="00AD21B8"/>
    <w:rsid w:val="00AD2351"/>
    <w:rsid w:val="00AD380A"/>
    <w:rsid w:val="00AD4872"/>
    <w:rsid w:val="00AD5163"/>
    <w:rsid w:val="00AD5252"/>
    <w:rsid w:val="00AD5D59"/>
    <w:rsid w:val="00AD71A4"/>
    <w:rsid w:val="00AD74C2"/>
    <w:rsid w:val="00AD7A25"/>
    <w:rsid w:val="00AD7D69"/>
    <w:rsid w:val="00AE14B4"/>
    <w:rsid w:val="00AE14E8"/>
    <w:rsid w:val="00AE276A"/>
    <w:rsid w:val="00AE3180"/>
    <w:rsid w:val="00AE3FB1"/>
    <w:rsid w:val="00AE58BD"/>
    <w:rsid w:val="00AF07A4"/>
    <w:rsid w:val="00AF2237"/>
    <w:rsid w:val="00AF469C"/>
    <w:rsid w:val="00B0003A"/>
    <w:rsid w:val="00B0081A"/>
    <w:rsid w:val="00B01F72"/>
    <w:rsid w:val="00B02C4F"/>
    <w:rsid w:val="00B05638"/>
    <w:rsid w:val="00B05F39"/>
    <w:rsid w:val="00B115BF"/>
    <w:rsid w:val="00B12F2F"/>
    <w:rsid w:val="00B14C69"/>
    <w:rsid w:val="00B163E1"/>
    <w:rsid w:val="00B16CBD"/>
    <w:rsid w:val="00B22358"/>
    <w:rsid w:val="00B22C85"/>
    <w:rsid w:val="00B257DA"/>
    <w:rsid w:val="00B25A2E"/>
    <w:rsid w:val="00B264A4"/>
    <w:rsid w:val="00B309DD"/>
    <w:rsid w:val="00B3128B"/>
    <w:rsid w:val="00B3362E"/>
    <w:rsid w:val="00B35710"/>
    <w:rsid w:val="00B35A47"/>
    <w:rsid w:val="00B36720"/>
    <w:rsid w:val="00B37EB6"/>
    <w:rsid w:val="00B4094D"/>
    <w:rsid w:val="00B422BB"/>
    <w:rsid w:val="00B43516"/>
    <w:rsid w:val="00B436EA"/>
    <w:rsid w:val="00B43F1F"/>
    <w:rsid w:val="00B440E4"/>
    <w:rsid w:val="00B454D2"/>
    <w:rsid w:val="00B45773"/>
    <w:rsid w:val="00B45CF4"/>
    <w:rsid w:val="00B465E3"/>
    <w:rsid w:val="00B4726B"/>
    <w:rsid w:val="00B47D4B"/>
    <w:rsid w:val="00B50743"/>
    <w:rsid w:val="00B513A1"/>
    <w:rsid w:val="00B52D7B"/>
    <w:rsid w:val="00B5305B"/>
    <w:rsid w:val="00B53B37"/>
    <w:rsid w:val="00B54042"/>
    <w:rsid w:val="00B55852"/>
    <w:rsid w:val="00B56148"/>
    <w:rsid w:val="00B6170F"/>
    <w:rsid w:val="00B62635"/>
    <w:rsid w:val="00B62D52"/>
    <w:rsid w:val="00B62E8C"/>
    <w:rsid w:val="00B66BC2"/>
    <w:rsid w:val="00B6707E"/>
    <w:rsid w:val="00B717D4"/>
    <w:rsid w:val="00B72592"/>
    <w:rsid w:val="00B759C4"/>
    <w:rsid w:val="00B762D2"/>
    <w:rsid w:val="00B763F6"/>
    <w:rsid w:val="00B7680C"/>
    <w:rsid w:val="00B80153"/>
    <w:rsid w:val="00B81249"/>
    <w:rsid w:val="00B81951"/>
    <w:rsid w:val="00B85938"/>
    <w:rsid w:val="00B870BB"/>
    <w:rsid w:val="00B87A1F"/>
    <w:rsid w:val="00B9036F"/>
    <w:rsid w:val="00B909DB"/>
    <w:rsid w:val="00B92F33"/>
    <w:rsid w:val="00B94426"/>
    <w:rsid w:val="00B955C6"/>
    <w:rsid w:val="00B97398"/>
    <w:rsid w:val="00B9746B"/>
    <w:rsid w:val="00B979C5"/>
    <w:rsid w:val="00B97BBE"/>
    <w:rsid w:val="00BA05F6"/>
    <w:rsid w:val="00BA1236"/>
    <w:rsid w:val="00BA2F38"/>
    <w:rsid w:val="00BA30A4"/>
    <w:rsid w:val="00BA6B81"/>
    <w:rsid w:val="00BB2157"/>
    <w:rsid w:val="00BB5BC6"/>
    <w:rsid w:val="00BB6429"/>
    <w:rsid w:val="00BB6614"/>
    <w:rsid w:val="00BC05E5"/>
    <w:rsid w:val="00BC1853"/>
    <w:rsid w:val="00BC35A9"/>
    <w:rsid w:val="00BC5206"/>
    <w:rsid w:val="00BC6BC5"/>
    <w:rsid w:val="00BC6F03"/>
    <w:rsid w:val="00BC73ED"/>
    <w:rsid w:val="00BD010D"/>
    <w:rsid w:val="00BD0264"/>
    <w:rsid w:val="00BD10A6"/>
    <w:rsid w:val="00BD490A"/>
    <w:rsid w:val="00BD4D5B"/>
    <w:rsid w:val="00BD74C3"/>
    <w:rsid w:val="00BD763A"/>
    <w:rsid w:val="00BE1CAB"/>
    <w:rsid w:val="00BE33CE"/>
    <w:rsid w:val="00BE3B77"/>
    <w:rsid w:val="00BE5D63"/>
    <w:rsid w:val="00BE6DE5"/>
    <w:rsid w:val="00BE7E6D"/>
    <w:rsid w:val="00BF05AF"/>
    <w:rsid w:val="00BF1EAF"/>
    <w:rsid w:val="00BF4B12"/>
    <w:rsid w:val="00BF4FDC"/>
    <w:rsid w:val="00BF6CDC"/>
    <w:rsid w:val="00C00FF2"/>
    <w:rsid w:val="00C034ED"/>
    <w:rsid w:val="00C04840"/>
    <w:rsid w:val="00C05728"/>
    <w:rsid w:val="00C05DF1"/>
    <w:rsid w:val="00C076DA"/>
    <w:rsid w:val="00C12E39"/>
    <w:rsid w:val="00C13178"/>
    <w:rsid w:val="00C14137"/>
    <w:rsid w:val="00C1791D"/>
    <w:rsid w:val="00C17C3C"/>
    <w:rsid w:val="00C20147"/>
    <w:rsid w:val="00C21F75"/>
    <w:rsid w:val="00C24E62"/>
    <w:rsid w:val="00C27A9F"/>
    <w:rsid w:val="00C321F1"/>
    <w:rsid w:val="00C340B0"/>
    <w:rsid w:val="00C343AB"/>
    <w:rsid w:val="00C3446D"/>
    <w:rsid w:val="00C350EE"/>
    <w:rsid w:val="00C365D9"/>
    <w:rsid w:val="00C4055D"/>
    <w:rsid w:val="00C41960"/>
    <w:rsid w:val="00C41E3F"/>
    <w:rsid w:val="00C43144"/>
    <w:rsid w:val="00C442D7"/>
    <w:rsid w:val="00C45CE9"/>
    <w:rsid w:val="00C47457"/>
    <w:rsid w:val="00C47E53"/>
    <w:rsid w:val="00C52931"/>
    <w:rsid w:val="00C52C37"/>
    <w:rsid w:val="00C53081"/>
    <w:rsid w:val="00C60A39"/>
    <w:rsid w:val="00C61858"/>
    <w:rsid w:val="00C6199B"/>
    <w:rsid w:val="00C62FEF"/>
    <w:rsid w:val="00C630CF"/>
    <w:rsid w:val="00C6358F"/>
    <w:rsid w:val="00C6360E"/>
    <w:rsid w:val="00C63FBA"/>
    <w:rsid w:val="00C6462F"/>
    <w:rsid w:val="00C64B39"/>
    <w:rsid w:val="00C64D97"/>
    <w:rsid w:val="00C650E5"/>
    <w:rsid w:val="00C65AC6"/>
    <w:rsid w:val="00C673B6"/>
    <w:rsid w:val="00C70884"/>
    <w:rsid w:val="00C71467"/>
    <w:rsid w:val="00C72729"/>
    <w:rsid w:val="00C739ED"/>
    <w:rsid w:val="00C75303"/>
    <w:rsid w:val="00C768AB"/>
    <w:rsid w:val="00C76EE4"/>
    <w:rsid w:val="00C77E15"/>
    <w:rsid w:val="00C815D3"/>
    <w:rsid w:val="00C8230B"/>
    <w:rsid w:val="00C83739"/>
    <w:rsid w:val="00C844A0"/>
    <w:rsid w:val="00C848E3"/>
    <w:rsid w:val="00C852BA"/>
    <w:rsid w:val="00C8703C"/>
    <w:rsid w:val="00C87E1E"/>
    <w:rsid w:val="00C90FFA"/>
    <w:rsid w:val="00C9175F"/>
    <w:rsid w:val="00C91BCD"/>
    <w:rsid w:val="00C934C3"/>
    <w:rsid w:val="00C9464E"/>
    <w:rsid w:val="00C94AE5"/>
    <w:rsid w:val="00C94BA7"/>
    <w:rsid w:val="00C9552C"/>
    <w:rsid w:val="00CA065F"/>
    <w:rsid w:val="00CA158E"/>
    <w:rsid w:val="00CA1F12"/>
    <w:rsid w:val="00CA2B7F"/>
    <w:rsid w:val="00CA3221"/>
    <w:rsid w:val="00CA38EF"/>
    <w:rsid w:val="00CA3B8A"/>
    <w:rsid w:val="00CA3FB5"/>
    <w:rsid w:val="00CA42F2"/>
    <w:rsid w:val="00CA480C"/>
    <w:rsid w:val="00CB0185"/>
    <w:rsid w:val="00CB0535"/>
    <w:rsid w:val="00CB0619"/>
    <w:rsid w:val="00CB16D2"/>
    <w:rsid w:val="00CB2031"/>
    <w:rsid w:val="00CB2414"/>
    <w:rsid w:val="00CB2C7F"/>
    <w:rsid w:val="00CB38ED"/>
    <w:rsid w:val="00CB4B0B"/>
    <w:rsid w:val="00CB5712"/>
    <w:rsid w:val="00CB6839"/>
    <w:rsid w:val="00CC0BF4"/>
    <w:rsid w:val="00CC10D5"/>
    <w:rsid w:val="00CC1A9A"/>
    <w:rsid w:val="00CC21E6"/>
    <w:rsid w:val="00CC4120"/>
    <w:rsid w:val="00CC63E2"/>
    <w:rsid w:val="00CC6E72"/>
    <w:rsid w:val="00CD06A0"/>
    <w:rsid w:val="00CD0EE0"/>
    <w:rsid w:val="00CD1C5A"/>
    <w:rsid w:val="00CD1F76"/>
    <w:rsid w:val="00CD2552"/>
    <w:rsid w:val="00CD2B01"/>
    <w:rsid w:val="00CD6BD8"/>
    <w:rsid w:val="00CE0071"/>
    <w:rsid w:val="00CE0F78"/>
    <w:rsid w:val="00CE1F38"/>
    <w:rsid w:val="00CE4735"/>
    <w:rsid w:val="00CE4791"/>
    <w:rsid w:val="00CE7716"/>
    <w:rsid w:val="00CF024B"/>
    <w:rsid w:val="00CF098D"/>
    <w:rsid w:val="00CF161D"/>
    <w:rsid w:val="00CF1935"/>
    <w:rsid w:val="00CF1BED"/>
    <w:rsid w:val="00CF1DF9"/>
    <w:rsid w:val="00CF2523"/>
    <w:rsid w:val="00CF361B"/>
    <w:rsid w:val="00CF3C89"/>
    <w:rsid w:val="00CF47A9"/>
    <w:rsid w:val="00CF59E1"/>
    <w:rsid w:val="00CF6058"/>
    <w:rsid w:val="00D00612"/>
    <w:rsid w:val="00D03C67"/>
    <w:rsid w:val="00D04C47"/>
    <w:rsid w:val="00D058AD"/>
    <w:rsid w:val="00D05AB9"/>
    <w:rsid w:val="00D05BFC"/>
    <w:rsid w:val="00D05C4E"/>
    <w:rsid w:val="00D108D8"/>
    <w:rsid w:val="00D10A9A"/>
    <w:rsid w:val="00D132BC"/>
    <w:rsid w:val="00D1509D"/>
    <w:rsid w:val="00D1625A"/>
    <w:rsid w:val="00D22007"/>
    <w:rsid w:val="00D24D90"/>
    <w:rsid w:val="00D272B9"/>
    <w:rsid w:val="00D3136F"/>
    <w:rsid w:val="00D31624"/>
    <w:rsid w:val="00D32D95"/>
    <w:rsid w:val="00D33351"/>
    <w:rsid w:val="00D34B2E"/>
    <w:rsid w:val="00D34CE2"/>
    <w:rsid w:val="00D34E90"/>
    <w:rsid w:val="00D4130E"/>
    <w:rsid w:val="00D42A98"/>
    <w:rsid w:val="00D42CD2"/>
    <w:rsid w:val="00D43614"/>
    <w:rsid w:val="00D43D34"/>
    <w:rsid w:val="00D44F27"/>
    <w:rsid w:val="00D4565A"/>
    <w:rsid w:val="00D46AFF"/>
    <w:rsid w:val="00D4792E"/>
    <w:rsid w:val="00D512FA"/>
    <w:rsid w:val="00D53C6C"/>
    <w:rsid w:val="00D57CD4"/>
    <w:rsid w:val="00D57EE0"/>
    <w:rsid w:val="00D60C42"/>
    <w:rsid w:val="00D61EB0"/>
    <w:rsid w:val="00D62958"/>
    <w:rsid w:val="00D64C4A"/>
    <w:rsid w:val="00D70A20"/>
    <w:rsid w:val="00D70A49"/>
    <w:rsid w:val="00D735A9"/>
    <w:rsid w:val="00D73D3D"/>
    <w:rsid w:val="00D7400C"/>
    <w:rsid w:val="00D74010"/>
    <w:rsid w:val="00D74214"/>
    <w:rsid w:val="00D74A0E"/>
    <w:rsid w:val="00D7512F"/>
    <w:rsid w:val="00D75A3C"/>
    <w:rsid w:val="00D76D66"/>
    <w:rsid w:val="00D77236"/>
    <w:rsid w:val="00D7760A"/>
    <w:rsid w:val="00D82052"/>
    <w:rsid w:val="00D85169"/>
    <w:rsid w:val="00D8568B"/>
    <w:rsid w:val="00D871D6"/>
    <w:rsid w:val="00D87C90"/>
    <w:rsid w:val="00D901C8"/>
    <w:rsid w:val="00D917D4"/>
    <w:rsid w:val="00D92C47"/>
    <w:rsid w:val="00D9305E"/>
    <w:rsid w:val="00D935E7"/>
    <w:rsid w:val="00D93E6F"/>
    <w:rsid w:val="00D968ED"/>
    <w:rsid w:val="00D972A7"/>
    <w:rsid w:val="00D97766"/>
    <w:rsid w:val="00D97C4A"/>
    <w:rsid w:val="00DA34E1"/>
    <w:rsid w:val="00DA3DB1"/>
    <w:rsid w:val="00DA4114"/>
    <w:rsid w:val="00DA421C"/>
    <w:rsid w:val="00DA4C8E"/>
    <w:rsid w:val="00DA4F0F"/>
    <w:rsid w:val="00DA5492"/>
    <w:rsid w:val="00DA61A2"/>
    <w:rsid w:val="00DA67A6"/>
    <w:rsid w:val="00DA70B4"/>
    <w:rsid w:val="00DA720A"/>
    <w:rsid w:val="00DA7307"/>
    <w:rsid w:val="00DB183E"/>
    <w:rsid w:val="00DB219C"/>
    <w:rsid w:val="00DB30BA"/>
    <w:rsid w:val="00DB42A9"/>
    <w:rsid w:val="00DB54DC"/>
    <w:rsid w:val="00DC6B58"/>
    <w:rsid w:val="00DC70CF"/>
    <w:rsid w:val="00DC7207"/>
    <w:rsid w:val="00DD0FED"/>
    <w:rsid w:val="00DD40F5"/>
    <w:rsid w:val="00DD4B28"/>
    <w:rsid w:val="00DD7B8D"/>
    <w:rsid w:val="00DE0D88"/>
    <w:rsid w:val="00DE48B2"/>
    <w:rsid w:val="00DE5729"/>
    <w:rsid w:val="00DE651F"/>
    <w:rsid w:val="00DE6836"/>
    <w:rsid w:val="00DE72D4"/>
    <w:rsid w:val="00DF03D9"/>
    <w:rsid w:val="00DF0B07"/>
    <w:rsid w:val="00DF0BDD"/>
    <w:rsid w:val="00DF4E5A"/>
    <w:rsid w:val="00DF5885"/>
    <w:rsid w:val="00DF592E"/>
    <w:rsid w:val="00DF5CC1"/>
    <w:rsid w:val="00DF5D7E"/>
    <w:rsid w:val="00E007C7"/>
    <w:rsid w:val="00E00D9D"/>
    <w:rsid w:val="00E01796"/>
    <w:rsid w:val="00E01CBA"/>
    <w:rsid w:val="00E02A78"/>
    <w:rsid w:val="00E02DDB"/>
    <w:rsid w:val="00E05DFF"/>
    <w:rsid w:val="00E06314"/>
    <w:rsid w:val="00E06EF1"/>
    <w:rsid w:val="00E118F5"/>
    <w:rsid w:val="00E13439"/>
    <w:rsid w:val="00E1471D"/>
    <w:rsid w:val="00E20370"/>
    <w:rsid w:val="00E21E63"/>
    <w:rsid w:val="00E2339B"/>
    <w:rsid w:val="00E23921"/>
    <w:rsid w:val="00E23998"/>
    <w:rsid w:val="00E24206"/>
    <w:rsid w:val="00E24730"/>
    <w:rsid w:val="00E30F72"/>
    <w:rsid w:val="00E3112B"/>
    <w:rsid w:val="00E33553"/>
    <w:rsid w:val="00E335EC"/>
    <w:rsid w:val="00E357AC"/>
    <w:rsid w:val="00E361E3"/>
    <w:rsid w:val="00E3741F"/>
    <w:rsid w:val="00E40075"/>
    <w:rsid w:val="00E4048C"/>
    <w:rsid w:val="00E4127C"/>
    <w:rsid w:val="00E41A3D"/>
    <w:rsid w:val="00E41DED"/>
    <w:rsid w:val="00E42A56"/>
    <w:rsid w:val="00E42D4B"/>
    <w:rsid w:val="00E43D94"/>
    <w:rsid w:val="00E442C8"/>
    <w:rsid w:val="00E443B5"/>
    <w:rsid w:val="00E44ADB"/>
    <w:rsid w:val="00E464AB"/>
    <w:rsid w:val="00E51730"/>
    <w:rsid w:val="00E522AF"/>
    <w:rsid w:val="00E527AF"/>
    <w:rsid w:val="00E5374E"/>
    <w:rsid w:val="00E54C5C"/>
    <w:rsid w:val="00E5565C"/>
    <w:rsid w:val="00E5585A"/>
    <w:rsid w:val="00E5660C"/>
    <w:rsid w:val="00E57298"/>
    <w:rsid w:val="00E5758B"/>
    <w:rsid w:val="00E57AEB"/>
    <w:rsid w:val="00E626F6"/>
    <w:rsid w:val="00E627D1"/>
    <w:rsid w:val="00E62E67"/>
    <w:rsid w:val="00E63805"/>
    <w:rsid w:val="00E6570D"/>
    <w:rsid w:val="00E66173"/>
    <w:rsid w:val="00E70425"/>
    <w:rsid w:val="00E71A59"/>
    <w:rsid w:val="00E7381A"/>
    <w:rsid w:val="00E75FA4"/>
    <w:rsid w:val="00E775B9"/>
    <w:rsid w:val="00E7791D"/>
    <w:rsid w:val="00E82F5A"/>
    <w:rsid w:val="00E8583D"/>
    <w:rsid w:val="00E900F5"/>
    <w:rsid w:val="00E90EEB"/>
    <w:rsid w:val="00E91F66"/>
    <w:rsid w:val="00E93F38"/>
    <w:rsid w:val="00E95000"/>
    <w:rsid w:val="00E9513D"/>
    <w:rsid w:val="00E95BC7"/>
    <w:rsid w:val="00E960E4"/>
    <w:rsid w:val="00EA1146"/>
    <w:rsid w:val="00EA2D54"/>
    <w:rsid w:val="00EA301D"/>
    <w:rsid w:val="00EA3FAE"/>
    <w:rsid w:val="00EA424F"/>
    <w:rsid w:val="00EA595E"/>
    <w:rsid w:val="00EA681E"/>
    <w:rsid w:val="00EB16FB"/>
    <w:rsid w:val="00EB1A1D"/>
    <w:rsid w:val="00EB3A79"/>
    <w:rsid w:val="00EB6300"/>
    <w:rsid w:val="00EB76BE"/>
    <w:rsid w:val="00EC0A99"/>
    <w:rsid w:val="00EC2BBC"/>
    <w:rsid w:val="00EC2C86"/>
    <w:rsid w:val="00EC3D44"/>
    <w:rsid w:val="00EC4B0E"/>
    <w:rsid w:val="00EC4BB9"/>
    <w:rsid w:val="00EC5406"/>
    <w:rsid w:val="00EC5D65"/>
    <w:rsid w:val="00EC6640"/>
    <w:rsid w:val="00EC71FE"/>
    <w:rsid w:val="00ED021A"/>
    <w:rsid w:val="00ED2F35"/>
    <w:rsid w:val="00ED38E9"/>
    <w:rsid w:val="00ED3E42"/>
    <w:rsid w:val="00ED3F54"/>
    <w:rsid w:val="00ED7A7D"/>
    <w:rsid w:val="00EE02CA"/>
    <w:rsid w:val="00EE1451"/>
    <w:rsid w:val="00EE2051"/>
    <w:rsid w:val="00EE34F5"/>
    <w:rsid w:val="00EE58D8"/>
    <w:rsid w:val="00EE6C81"/>
    <w:rsid w:val="00EE71B2"/>
    <w:rsid w:val="00EE7CF6"/>
    <w:rsid w:val="00EF310E"/>
    <w:rsid w:val="00EF4E49"/>
    <w:rsid w:val="00EF65DF"/>
    <w:rsid w:val="00EF7AE5"/>
    <w:rsid w:val="00F00EC4"/>
    <w:rsid w:val="00F01B89"/>
    <w:rsid w:val="00F01D88"/>
    <w:rsid w:val="00F021DF"/>
    <w:rsid w:val="00F02EAC"/>
    <w:rsid w:val="00F04ECB"/>
    <w:rsid w:val="00F052F1"/>
    <w:rsid w:val="00F06CA4"/>
    <w:rsid w:val="00F07ADA"/>
    <w:rsid w:val="00F07FD8"/>
    <w:rsid w:val="00F111D5"/>
    <w:rsid w:val="00F1151D"/>
    <w:rsid w:val="00F11B3E"/>
    <w:rsid w:val="00F11FCE"/>
    <w:rsid w:val="00F12ECF"/>
    <w:rsid w:val="00F12F82"/>
    <w:rsid w:val="00F144B4"/>
    <w:rsid w:val="00F14541"/>
    <w:rsid w:val="00F145F9"/>
    <w:rsid w:val="00F14825"/>
    <w:rsid w:val="00F1482E"/>
    <w:rsid w:val="00F155D0"/>
    <w:rsid w:val="00F15CE0"/>
    <w:rsid w:val="00F17243"/>
    <w:rsid w:val="00F23C2C"/>
    <w:rsid w:val="00F250C8"/>
    <w:rsid w:val="00F250CB"/>
    <w:rsid w:val="00F26F3A"/>
    <w:rsid w:val="00F27B74"/>
    <w:rsid w:val="00F27E89"/>
    <w:rsid w:val="00F27FCE"/>
    <w:rsid w:val="00F30BA7"/>
    <w:rsid w:val="00F30E7E"/>
    <w:rsid w:val="00F32416"/>
    <w:rsid w:val="00F36F5C"/>
    <w:rsid w:val="00F375B3"/>
    <w:rsid w:val="00F37800"/>
    <w:rsid w:val="00F412BA"/>
    <w:rsid w:val="00F46561"/>
    <w:rsid w:val="00F47D05"/>
    <w:rsid w:val="00F47D60"/>
    <w:rsid w:val="00F50319"/>
    <w:rsid w:val="00F55EB4"/>
    <w:rsid w:val="00F56AD2"/>
    <w:rsid w:val="00F57858"/>
    <w:rsid w:val="00F57C75"/>
    <w:rsid w:val="00F57EF5"/>
    <w:rsid w:val="00F6251D"/>
    <w:rsid w:val="00F62C8C"/>
    <w:rsid w:val="00F63478"/>
    <w:rsid w:val="00F64402"/>
    <w:rsid w:val="00F645A3"/>
    <w:rsid w:val="00F6470B"/>
    <w:rsid w:val="00F659EE"/>
    <w:rsid w:val="00F668D6"/>
    <w:rsid w:val="00F669B8"/>
    <w:rsid w:val="00F6709B"/>
    <w:rsid w:val="00F677A5"/>
    <w:rsid w:val="00F71B7D"/>
    <w:rsid w:val="00F73148"/>
    <w:rsid w:val="00F757A8"/>
    <w:rsid w:val="00F77516"/>
    <w:rsid w:val="00F81089"/>
    <w:rsid w:val="00F8447A"/>
    <w:rsid w:val="00F86BC2"/>
    <w:rsid w:val="00F871E7"/>
    <w:rsid w:val="00F876A7"/>
    <w:rsid w:val="00F904A0"/>
    <w:rsid w:val="00F905C6"/>
    <w:rsid w:val="00F907A6"/>
    <w:rsid w:val="00F919EC"/>
    <w:rsid w:val="00F92F85"/>
    <w:rsid w:val="00F96116"/>
    <w:rsid w:val="00F96704"/>
    <w:rsid w:val="00F969C9"/>
    <w:rsid w:val="00F975AD"/>
    <w:rsid w:val="00FA0581"/>
    <w:rsid w:val="00FA0992"/>
    <w:rsid w:val="00FA0A67"/>
    <w:rsid w:val="00FA45CE"/>
    <w:rsid w:val="00FA6B89"/>
    <w:rsid w:val="00FA7CE2"/>
    <w:rsid w:val="00FB1C65"/>
    <w:rsid w:val="00FB1CFD"/>
    <w:rsid w:val="00FB2A40"/>
    <w:rsid w:val="00FB3911"/>
    <w:rsid w:val="00FB3B4E"/>
    <w:rsid w:val="00FB5476"/>
    <w:rsid w:val="00FB572D"/>
    <w:rsid w:val="00FB5FEC"/>
    <w:rsid w:val="00FB6D35"/>
    <w:rsid w:val="00FB7603"/>
    <w:rsid w:val="00FB7DF2"/>
    <w:rsid w:val="00FC0262"/>
    <w:rsid w:val="00FC0BAB"/>
    <w:rsid w:val="00FC3907"/>
    <w:rsid w:val="00FC44D8"/>
    <w:rsid w:val="00FC4A80"/>
    <w:rsid w:val="00FC58CD"/>
    <w:rsid w:val="00FC5EAA"/>
    <w:rsid w:val="00FC6017"/>
    <w:rsid w:val="00FD1A51"/>
    <w:rsid w:val="00FD4B54"/>
    <w:rsid w:val="00FE0895"/>
    <w:rsid w:val="00FE2C48"/>
    <w:rsid w:val="00FE3726"/>
    <w:rsid w:val="00FE498F"/>
    <w:rsid w:val="00FE68D4"/>
    <w:rsid w:val="00FE6B0F"/>
    <w:rsid w:val="00FE75B7"/>
    <w:rsid w:val="00FF09B8"/>
    <w:rsid w:val="00FF117E"/>
    <w:rsid w:val="00FF14E3"/>
    <w:rsid w:val="00FF2D35"/>
    <w:rsid w:val="00FF39F8"/>
    <w:rsid w:val="00FF646A"/>
    <w:rsid w:val="00FF7161"/>
    <w:rsid w:val="00FF7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6C230"/>
  <w15:docId w15:val="{99808F17-3562-4DDF-8B18-4BC4F51D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1AF"/>
    <w:pPr>
      <w:autoSpaceDE w:val="0"/>
      <w:autoSpaceDN w:val="0"/>
      <w:adjustRightInd w:val="0"/>
    </w:pPr>
    <w:rPr>
      <w:rFonts w:cs="GaramondITCbyBT-Light"/>
      <w:sz w:val="22"/>
      <w:szCs w:val="22"/>
    </w:rPr>
  </w:style>
  <w:style w:type="paragraph" w:styleId="Heading1">
    <w:name w:val="heading 1"/>
    <w:basedOn w:val="Normal"/>
    <w:next w:val="Normal"/>
    <w:link w:val="Heading1Char"/>
    <w:uiPriority w:val="9"/>
    <w:qFormat/>
    <w:rsid w:val="000810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16BF"/>
    <w:pPr>
      <w:keepNext/>
      <w:keepLines/>
      <w:autoSpaceDE/>
      <w:autoSpaceDN/>
      <w:adjustRightInd/>
      <w:spacing w:before="200" w:line="276" w:lineRule="auto"/>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0810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8D040B"/>
    <w:pPr>
      <w:ind w:left="720"/>
      <w:contextualSpacing/>
    </w:pPr>
  </w:style>
  <w:style w:type="paragraph" w:styleId="FootnoteText">
    <w:name w:val="footnote text"/>
    <w:aliases w:val="ft,Footnote Text Char Char,ALTS FOOTNOTE,fn,FOOTNOTES,single space,Geneva 9,Font: Geneva 9,Boston 10,f"/>
    <w:basedOn w:val="Normal"/>
    <w:link w:val="FootnoteTextChar"/>
    <w:uiPriority w:val="99"/>
    <w:unhideWhenUsed/>
    <w:rsid w:val="008D040B"/>
    <w:rPr>
      <w:rFonts w:cs="Times New Roman"/>
      <w:sz w:val="20"/>
      <w:szCs w:val="20"/>
    </w:rPr>
  </w:style>
  <w:style w:type="character" w:customStyle="1" w:styleId="FootnoteTextChar">
    <w:name w:val="Footnote Text Char"/>
    <w:aliases w:val="ft Char,Footnote Text Char Char Char,ALTS FOOTNOTE Char,fn Char,FOOTNOTES Char,single space Char,Geneva 9 Char,Font: Geneva 9 Char,Boston 10 Char,f Char"/>
    <w:link w:val="FootnoteText"/>
    <w:uiPriority w:val="99"/>
    <w:rsid w:val="008D040B"/>
    <w:rPr>
      <w:sz w:val="20"/>
      <w:szCs w:val="20"/>
    </w:rPr>
  </w:style>
  <w:style w:type="character" w:styleId="FootnoteReference">
    <w:name w:val="footnote reference"/>
    <w:aliases w:val="16 Point,Superscript 6 Point"/>
    <w:uiPriority w:val="99"/>
    <w:unhideWhenUsed/>
    <w:rsid w:val="008D040B"/>
    <w:rPr>
      <w:vertAlign w:val="superscript"/>
    </w:rPr>
  </w:style>
  <w:style w:type="character" w:styleId="Hyperlink">
    <w:name w:val="Hyperlink"/>
    <w:uiPriority w:val="99"/>
    <w:unhideWhenUsed/>
    <w:rsid w:val="007D2ED1"/>
    <w:rPr>
      <w:color w:val="0000FF"/>
      <w:u w:val="single"/>
    </w:rPr>
  </w:style>
  <w:style w:type="paragraph" w:styleId="Header">
    <w:name w:val="header"/>
    <w:basedOn w:val="Normal"/>
    <w:link w:val="HeaderChar"/>
    <w:uiPriority w:val="99"/>
    <w:unhideWhenUsed/>
    <w:rsid w:val="00352A4D"/>
    <w:pPr>
      <w:tabs>
        <w:tab w:val="center" w:pos="4680"/>
        <w:tab w:val="right" w:pos="9360"/>
      </w:tabs>
    </w:pPr>
  </w:style>
  <w:style w:type="character" w:customStyle="1" w:styleId="HeaderChar">
    <w:name w:val="Header Char"/>
    <w:basedOn w:val="DefaultParagraphFont"/>
    <w:link w:val="Header"/>
    <w:uiPriority w:val="99"/>
    <w:rsid w:val="00352A4D"/>
  </w:style>
  <w:style w:type="paragraph" w:styleId="Footer">
    <w:name w:val="footer"/>
    <w:basedOn w:val="Normal"/>
    <w:link w:val="FooterChar"/>
    <w:uiPriority w:val="99"/>
    <w:unhideWhenUsed/>
    <w:rsid w:val="00352A4D"/>
    <w:pPr>
      <w:tabs>
        <w:tab w:val="center" w:pos="4680"/>
        <w:tab w:val="right" w:pos="9360"/>
      </w:tabs>
    </w:pPr>
  </w:style>
  <w:style w:type="character" w:customStyle="1" w:styleId="FooterChar">
    <w:name w:val="Footer Char"/>
    <w:basedOn w:val="DefaultParagraphFont"/>
    <w:link w:val="Footer"/>
    <w:uiPriority w:val="99"/>
    <w:rsid w:val="00352A4D"/>
  </w:style>
  <w:style w:type="paragraph" w:customStyle="1" w:styleId="Default">
    <w:name w:val="Default"/>
    <w:rsid w:val="009B3B7F"/>
    <w:pPr>
      <w:autoSpaceDE w:val="0"/>
      <w:autoSpaceDN w:val="0"/>
      <w:adjustRightInd w:val="0"/>
    </w:pPr>
    <w:rPr>
      <w:rFonts w:ascii="NBDFCD+TimesNewRoman" w:hAnsi="NBDFCD+TimesNewRoman" w:cs="NBDFCD+TimesNewRoman"/>
      <w:color w:val="000000"/>
      <w:sz w:val="24"/>
      <w:szCs w:val="24"/>
    </w:rPr>
  </w:style>
  <w:style w:type="character" w:customStyle="1" w:styleId="XFootNote">
    <w:name w:val="XFootNote"/>
    <w:uiPriority w:val="99"/>
    <w:rsid w:val="00362EED"/>
    <w:rPr>
      <w:rFonts w:ascii="Book Antiqua" w:hAnsi="Book Antiqua"/>
      <w:position w:val="6"/>
      <w:sz w:val="14"/>
      <w:vertAlign w:val="baseline"/>
    </w:rPr>
  </w:style>
  <w:style w:type="paragraph" w:styleId="NormalWeb">
    <w:name w:val="Normal (Web)"/>
    <w:basedOn w:val="Normal"/>
    <w:uiPriority w:val="99"/>
    <w:unhideWhenUsed/>
    <w:rsid w:val="00FC44D8"/>
    <w:pPr>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bullet">
    <w:name w:val="bullet"/>
    <w:basedOn w:val="Normal"/>
    <w:qFormat/>
    <w:rsid w:val="005B76A4"/>
    <w:pPr>
      <w:numPr>
        <w:ilvl w:val="1"/>
        <w:numId w:val="1"/>
      </w:numPr>
      <w:autoSpaceDE/>
      <w:autoSpaceDN/>
      <w:adjustRightInd/>
      <w:spacing w:after="240" w:line="276" w:lineRule="auto"/>
      <w:jc w:val="both"/>
    </w:pPr>
    <w:rPr>
      <w:rFonts w:ascii="Times New Roman" w:eastAsia="Times New Roman" w:hAnsi="Times New Roman" w:cs="Times New Roman"/>
      <w:sz w:val="24"/>
      <w:szCs w:val="24"/>
    </w:rPr>
  </w:style>
  <w:style w:type="character" w:styleId="Emphasis">
    <w:name w:val="Emphasis"/>
    <w:uiPriority w:val="20"/>
    <w:qFormat/>
    <w:rsid w:val="005B76A4"/>
    <w:rPr>
      <w:i/>
      <w:iCs/>
    </w:rPr>
  </w:style>
  <w:style w:type="character" w:styleId="CommentReference">
    <w:name w:val="annotation reference"/>
    <w:uiPriority w:val="99"/>
    <w:semiHidden/>
    <w:unhideWhenUsed/>
    <w:rsid w:val="006D66E5"/>
    <w:rPr>
      <w:sz w:val="16"/>
      <w:szCs w:val="16"/>
    </w:rPr>
  </w:style>
  <w:style w:type="table" w:styleId="TableGrid">
    <w:name w:val="Table Grid"/>
    <w:basedOn w:val="TableNormal"/>
    <w:uiPriority w:val="59"/>
    <w:rsid w:val="006D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D66E5"/>
    <w:pPr>
      <w:autoSpaceDE/>
      <w:autoSpaceDN/>
      <w:adjustRightInd/>
      <w:spacing w:after="200"/>
    </w:pPr>
    <w:rPr>
      <w:rFonts w:cs="Times New Roman"/>
      <w:sz w:val="20"/>
      <w:szCs w:val="20"/>
    </w:rPr>
  </w:style>
  <w:style w:type="character" w:customStyle="1" w:styleId="CommentTextChar">
    <w:name w:val="Comment Text Char"/>
    <w:link w:val="CommentText"/>
    <w:uiPriority w:val="99"/>
    <w:rsid w:val="006D66E5"/>
    <w:rPr>
      <w:sz w:val="20"/>
      <w:szCs w:val="20"/>
    </w:rPr>
  </w:style>
  <w:style w:type="paragraph" w:styleId="BalloonText">
    <w:name w:val="Balloon Text"/>
    <w:basedOn w:val="Normal"/>
    <w:link w:val="BalloonTextChar"/>
    <w:uiPriority w:val="99"/>
    <w:semiHidden/>
    <w:unhideWhenUsed/>
    <w:rsid w:val="006D66E5"/>
    <w:rPr>
      <w:rFonts w:ascii="Tahoma" w:hAnsi="Tahoma" w:cs="Times New Roman"/>
      <w:sz w:val="16"/>
      <w:szCs w:val="16"/>
    </w:rPr>
  </w:style>
  <w:style w:type="character" w:customStyle="1" w:styleId="BalloonTextChar">
    <w:name w:val="Balloon Text Char"/>
    <w:link w:val="BalloonText"/>
    <w:uiPriority w:val="99"/>
    <w:semiHidden/>
    <w:rsid w:val="006D66E5"/>
    <w:rPr>
      <w:rFonts w:ascii="Tahoma" w:hAnsi="Tahoma" w:cs="Tahoma"/>
      <w:sz w:val="16"/>
      <w:szCs w:val="16"/>
    </w:rPr>
  </w:style>
  <w:style w:type="character" w:styleId="Strong">
    <w:name w:val="Strong"/>
    <w:uiPriority w:val="22"/>
    <w:qFormat/>
    <w:rsid w:val="00BC5206"/>
    <w:rPr>
      <w:b/>
      <w:bCs/>
    </w:rPr>
  </w:style>
  <w:style w:type="numbering" w:customStyle="1" w:styleId="NoList1">
    <w:name w:val="No List1"/>
    <w:next w:val="NoList"/>
    <w:uiPriority w:val="99"/>
    <w:semiHidden/>
    <w:unhideWhenUsed/>
    <w:rsid w:val="00B3128B"/>
  </w:style>
  <w:style w:type="character" w:customStyle="1" w:styleId="st">
    <w:name w:val="st"/>
    <w:basedOn w:val="DefaultParagraphFont"/>
    <w:rsid w:val="00B3128B"/>
  </w:style>
  <w:style w:type="paragraph" w:styleId="CommentSubject">
    <w:name w:val="annotation subject"/>
    <w:basedOn w:val="CommentText"/>
    <w:next w:val="CommentText"/>
    <w:link w:val="CommentSubjectChar"/>
    <w:uiPriority w:val="99"/>
    <w:semiHidden/>
    <w:unhideWhenUsed/>
    <w:rsid w:val="00B3128B"/>
    <w:rPr>
      <w:b/>
      <w:bCs/>
    </w:rPr>
  </w:style>
  <w:style w:type="character" w:customStyle="1" w:styleId="CommentSubjectChar">
    <w:name w:val="Comment Subject Char"/>
    <w:link w:val="CommentSubject"/>
    <w:uiPriority w:val="99"/>
    <w:semiHidden/>
    <w:rsid w:val="00B3128B"/>
    <w:rPr>
      <w:b/>
      <w:bCs/>
      <w:sz w:val="20"/>
      <w:szCs w:val="20"/>
    </w:rPr>
  </w:style>
  <w:style w:type="paragraph" w:styleId="Revision">
    <w:name w:val="Revision"/>
    <w:hidden/>
    <w:uiPriority w:val="99"/>
    <w:semiHidden/>
    <w:rsid w:val="00B3128B"/>
    <w:rPr>
      <w:sz w:val="22"/>
      <w:szCs w:val="22"/>
    </w:rPr>
  </w:style>
  <w:style w:type="paragraph" w:styleId="EndnoteText">
    <w:name w:val="endnote text"/>
    <w:basedOn w:val="Normal"/>
    <w:link w:val="EndnoteTextChar"/>
    <w:uiPriority w:val="99"/>
    <w:semiHidden/>
    <w:unhideWhenUsed/>
    <w:rsid w:val="00472D0D"/>
    <w:rPr>
      <w:rFonts w:cs="Times New Roman"/>
      <w:sz w:val="20"/>
      <w:szCs w:val="20"/>
    </w:rPr>
  </w:style>
  <w:style w:type="character" w:customStyle="1" w:styleId="EndnoteTextChar">
    <w:name w:val="Endnote Text Char"/>
    <w:link w:val="EndnoteText"/>
    <w:uiPriority w:val="99"/>
    <w:semiHidden/>
    <w:rsid w:val="00472D0D"/>
    <w:rPr>
      <w:rFonts w:cs="GaramondITCbyBT-Light"/>
      <w:sz w:val="20"/>
      <w:szCs w:val="20"/>
    </w:rPr>
  </w:style>
  <w:style w:type="character" w:styleId="EndnoteReference">
    <w:name w:val="endnote reference"/>
    <w:uiPriority w:val="99"/>
    <w:semiHidden/>
    <w:unhideWhenUsed/>
    <w:rsid w:val="00472D0D"/>
    <w:rPr>
      <w:vertAlign w:val="superscript"/>
    </w:rPr>
  </w:style>
  <w:style w:type="table" w:customStyle="1" w:styleId="TableGrid2">
    <w:name w:val="Table Grid2"/>
    <w:basedOn w:val="TableNormal"/>
    <w:next w:val="TableGrid"/>
    <w:uiPriority w:val="59"/>
    <w:rsid w:val="009C6B5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6616BF"/>
    <w:rPr>
      <w:rFonts w:ascii="Cambria" w:eastAsia="MS Gothic" w:hAnsi="Cambria" w:cs="Times New Roman"/>
      <w:b/>
      <w:bCs/>
      <w:color w:val="4F81BD"/>
      <w:sz w:val="26"/>
      <w:szCs w:val="26"/>
    </w:rPr>
  </w:style>
  <w:style w:type="table" w:customStyle="1" w:styleId="TableGrid21">
    <w:name w:val="Table Grid21"/>
    <w:basedOn w:val="TableNormal"/>
    <w:next w:val="TableGrid"/>
    <w:uiPriority w:val="59"/>
    <w:rsid w:val="00935A0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FC4A80"/>
    <w:rPr>
      <w:rFonts w:ascii="Cambria" w:eastAsia="MS Gothic"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pabid7">
    <w:name w:val="pabid7"/>
    <w:basedOn w:val="Normal"/>
    <w:rsid w:val="00E9513D"/>
    <w:pPr>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semiHidden/>
    <w:unhideWhenUsed/>
    <w:rsid w:val="00284DC7"/>
    <w:rPr>
      <w:color w:val="800080"/>
      <w:u w:val="single"/>
    </w:rPr>
  </w:style>
  <w:style w:type="paragraph" w:styleId="PlainText">
    <w:name w:val="Plain Text"/>
    <w:basedOn w:val="Normal"/>
    <w:link w:val="PlainTextChar"/>
    <w:uiPriority w:val="99"/>
    <w:rsid w:val="00036B05"/>
    <w:pPr>
      <w:autoSpaceDE/>
      <w:autoSpaceDN/>
      <w:adjustRightInd/>
      <w:jc w:val="both"/>
    </w:pPr>
    <w:rPr>
      <w:rFonts w:ascii="Gill Sans MT" w:eastAsia="Times New Roman" w:hAnsi="Gill Sans MT" w:cs="Times New Roman"/>
      <w:sz w:val="20"/>
      <w:szCs w:val="20"/>
      <w:lang w:val="en-GB"/>
    </w:rPr>
  </w:style>
  <w:style w:type="character" w:customStyle="1" w:styleId="PlainTextChar">
    <w:name w:val="Plain Text Char"/>
    <w:link w:val="PlainText"/>
    <w:uiPriority w:val="99"/>
    <w:rsid w:val="00036B05"/>
    <w:rPr>
      <w:rFonts w:ascii="Gill Sans MT" w:eastAsia="Times New Roman" w:hAnsi="Gill Sans MT" w:cs="Times New Roman"/>
      <w:sz w:val="20"/>
      <w:szCs w:val="20"/>
      <w:lang w:val="en-GB"/>
    </w:rPr>
  </w:style>
  <w:style w:type="paragraph" w:customStyle="1" w:styleId="Pa1">
    <w:name w:val="Pa1"/>
    <w:basedOn w:val="Default"/>
    <w:next w:val="Default"/>
    <w:uiPriority w:val="99"/>
    <w:rsid w:val="00076F78"/>
    <w:pPr>
      <w:spacing w:line="361" w:lineRule="atLeast"/>
    </w:pPr>
    <w:rPr>
      <w:rFonts w:ascii="FranklinGothicMediumITC" w:hAnsi="FranklinGothicMediumITC" w:cs="Times New Roman"/>
      <w:color w:val="auto"/>
    </w:rPr>
  </w:style>
  <w:style w:type="paragraph" w:customStyle="1" w:styleId="Pa2">
    <w:name w:val="Pa2"/>
    <w:basedOn w:val="Default"/>
    <w:next w:val="Default"/>
    <w:uiPriority w:val="99"/>
    <w:rsid w:val="00076F78"/>
    <w:pPr>
      <w:spacing w:line="241" w:lineRule="atLeast"/>
    </w:pPr>
    <w:rPr>
      <w:rFonts w:ascii="FranklinGothicMediumITC" w:hAnsi="FranklinGothicMediumITC" w:cs="Times New Roman"/>
      <w:color w:val="auto"/>
    </w:rPr>
  </w:style>
  <w:style w:type="table" w:customStyle="1" w:styleId="MediumShading1-Accent11">
    <w:name w:val="Medium Shading 1 - Accent 11"/>
    <w:basedOn w:val="TableNormal"/>
    <w:uiPriority w:val="63"/>
    <w:rsid w:val="005B30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hhhead1">
    <w:name w:val="hhhead1"/>
    <w:basedOn w:val="ListParagraph"/>
    <w:link w:val="hhhead1Char"/>
    <w:qFormat/>
    <w:rsid w:val="000A5F90"/>
    <w:pPr>
      <w:keepNext/>
      <w:keepLines/>
      <w:numPr>
        <w:numId w:val="3"/>
      </w:numPr>
      <w:spacing w:after="240"/>
      <w:contextualSpacing w:val="0"/>
    </w:pPr>
    <w:rPr>
      <w:b/>
      <w:caps/>
      <w:sz w:val="28"/>
      <w:szCs w:val="24"/>
    </w:rPr>
  </w:style>
  <w:style w:type="character" w:customStyle="1" w:styleId="Heading1Char">
    <w:name w:val="Heading 1 Char"/>
    <w:basedOn w:val="DefaultParagraphFont"/>
    <w:link w:val="Heading1"/>
    <w:uiPriority w:val="9"/>
    <w:rsid w:val="00081048"/>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Bullets Char"/>
    <w:basedOn w:val="DefaultParagraphFont"/>
    <w:link w:val="ListParagraph"/>
    <w:uiPriority w:val="34"/>
    <w:rsid w:val="00081048"/>
    <w:rPr>
      <w:rFonts w:cs="GaramondITCbyBT-Light"/>
      <w:sz w:val="22"/>
      <w:szCs w:val="22"/>
    </w:rPr>
  </w:style>
  <w:style w:type="character" w:customStyle="1" w:styleId="hhhead1Char">
    <w:name w:val="hhhead1 Char"/>
    <w:basedOn w:val="ListParagraphChar"/>
    <w:link w:val="hhhead1"/>
    <w:rsid w:val="000A5F90"/>
    <w:rPr>
      <w:rFonts w:cs="GaramondITCbyBT-Light"/>
      <w:b/>
      <w:caps/>
      <w:sz w:val="28"/>
      <w:szCs w:val="24"/>
    </w:rPr>
  </w:style>
  <w:style w:type="character" w:customStyle="1" w:styleId="Heading3Char">
    <w:name w:val="Heading 3 Char"/>
    <w:basedOn w:val="DefaultParagraphFont"/>
    <w:link w:val="Heading3"/>
    <w:uiPriority w:val="9"/>
    <w:semiHidden/>
    <w:rsid w:val="00081048"/>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081048"/>
    <w:pPr>
      <w:spacing w:after="100"/>
    </w:pPr>
  </w:style>
  <w:style w:type="paragraph" w:customStyle="1" w:styleId="ea1">
    <w:name w:val="ea1"/>
    <w:basedOn w:val="Normal"/>
    <w:next w:val="Normal"/>
    <w:autoRedefine/>
    <w:rsid w:val="00AD2351"/>
    <w:pPr>
      <w:keepNext/>
      <w:keepLines/>
      <w:numPr>
        <w:numId w:val="23"/>
      </w:numPr>
      <w:tabs>
        <w:tab w:val="clear" w:pos="360"/>
        <w:tab w:val="num" w:pos="720"/>
      </w:tabs>
      <w:autoSpaceDE/>
      <w:autoSpaceDN/>
      <w:adjustRightInd/>
      <w:spacing w:before="240" w:after="240"/>
      <w:ind w:left="720"/>
      <w:jc w:val="center"/>
    </w:pPr>
    <w:rPr>
      <w:rFonts w:ascii="Times New Roman" w:eastAsia="Times New Roman" w:hAnsi="Times New Roman" w:cs="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1600">
      <w:bodyDiv w:val="1"/>
      <w:marLeft w:val="0"/>
      <w:marRight w:val="0"/>
      <w:marTop w:val="0"/>
      <w:marBottom w:val="0"/>
      <w:divBdr>
        <w:top w:val="none" w:sz="0" w:space="0" w:color="auto"/>
        <w:left w:val="none" w:sz="0" w:space="0" w:color="auto"/>
        <w:bottom w:val="none" w:sz="0" w:space="0" w:color="auto"/>
        <w:right w:val="none" w:sz="0" w:space="0" w:color="auto"/>
      </w:divBdr>
      <w:divsChild>
        <w:div w:id="217326424">
          <w:marLeft w:val="547"/>
          <w:marRight w:val="0"/>
          <w:marTop w:val="115"/>
          <w:marBottom w:val="0"/>
          <w:divBdr>
            <w:top w:val="none" w:sz="0" w:space="0" w:color="auto"/>
            <w:left w:val="none" w:sz="0" w:space="0" w:color="auto"/>
            <w:bottom w:val="none" w:sz="0" w:space="0" w:color="auto"/>
            <w:right w:val="none" w:sz="0" w:space="0" w:color="auto"/>
          </w:divBdr>
        </w:div>
        <w:div w:id="1001275502">
          <w:marLeft w:val="547"/>
          <w:marRight w:val="0"/>
          <w:marTop w:val="115"/>
          <w:marBottom w:val="0"/>
          <w:divBdr>
            <w:top w:val="none" w:sz="0" w:space="0" w:color="auto"/>
            <w:left w:val="none" w:sz="0" w:space="0" w:color="auto"/>
            <w:bottom w:val="none" w:sz="0" w:space="0" w:color="auto"/>
            <w:right w:val="none" w:sz="0" w:space="0" w:color="auto"/>
          </w:divBdr>
        </w:div>
        <w:div w:id="1708528855">
          <w:marLeft w:val="547"/>
          <w:marRight w:val="0"/>
          <w:marTop w:val="115"/>
          <w:marBottom w:val="0"/>
          <w:divBdr>
            <w:top w:val="none" w:sz="0" w:space="0" w:color="auto"/>
            <w:left w:val="none" w:sz="0" w:space="0" w:color="auto"/>
            <w:bottom w:val="none" w:sz="0" w:space="0" w:color="auto"/>
            <w:right w:val="none" w:sz="0" w:space="0" w:color="auto"/>
          </w:divBdr>
        </w:div>
      </w:divsChild>
    </w:div>
    <w:div w:id="154342202">
      <w:bodyDiv w:val="1"/>
      <w:marLeft w:val="0"/>
      <w:marRight w:val="0"/>
      <w:marTop w:val="0"/>
      <w:marBottom w:val="0"/>
      <w:divBdr>
        <w:top w:val="none" w:sz="0" w:space="0" w:color="auto"/>
        <w:left w:val="none" w:sz="0" w:space="0" w:color="auto"/>
        <w:bottom w:val="none" w:sz="0" w:space="0" w:color="auto"/>
        <w:right w:val="none" w:sz="0" w:space="0" w:color="auto"/>
      </w:divBdr>
      <w:divsChild>
        <w:div w:id="3151818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6557616">
      <w:bodyDiv w:val="1"/>
      <w:marLeft w:val="0"/>
      <w:marRight w:val="0"/>
      <w:marTop w:val="0"/>
      <w:marBottom w:val="0"/>
      <w:divBdr>
        <w:top w:val="none" w:sz="0" w:space="0" w:color="auto"/>
        <w:left w:val="none" w:sz="0" w:space="0" w:color="auto"/>
        <w:bottom w:val="none" w:sz="0" w:space="0" w:color="auto"/>
        <w:right w:val="none" w:sz="0" w:space="0" w:color="auto"/>
      </w:divBdr>
      <w:divsChild>
        <w:div w:id="5229427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2229282">
      <w:bodyDiv w:val="1"/>
      <w:marLeft w:val="0"/>
      <w:marRight w:val="0"/>
      <w:marTop w:val="0"/>
      <w:marBottom w:val="0"/>
      <w:divBdr>
        <w:top w:val="none" w:sz="0" w:space="0" w:color="auto"/>
        <w:left w:val="none" w:sz="0" w:space="0" w:color="auto"/>
        <w:bottom w:val="none" w:sz="0" w:space="0" w:color="auto"/>
        <w:right w:val="none" w:sz="0" w:space="0" w:color="auto"/>
      </w:divBdr>
      <w:divsChild>
        <w:div w:id="8831738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25645976">
      <w:bodyDiv w:val="1"/>
      <w:marLeft w:val="0"/>
      <w:marRight w:val="0"/>
      <w:marTop w:val="0"/>
      <w:marBottom w:val="0"/>
      <w:divBdr>
        <w:top w:val="none" w:sz="0" w:space="0" w:color="auto"/>
        <w:left w:val="none" w:sz="0" w:space="0" w:color="auto"/>
        <w:bottom w:val="none" w:sz="0" w:space="0" w:color="auto"/>
        <w:right w:val="none" w:sz="0" w:space="0" w:color="auto"/>
      </w:divBdr>
      <w:divsChild>
        <w:div w:id="19429489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12416710">
      <w:bodyDiv w:val="1"/>
      <w:marLeft w:val="0"/>
      <w:marRight w:val="0"/>
      <w:marTop w:val="0"/>
      <w:marBottom w:val="0"/>
      <w:divBdr>
        <w:top w:val="none" w:sz="0" w:space="0" w:color="auto"/>
        <w:left w:val="none" w:sz="0" w:space="0" w:color="auto"/>
        <w:bottom w:val="none" w:sz="0" w:space="0" w:color="auto"/>
        <w:right w:val="none" w:sz="0" w:space="0" w:color="auto"/>
      </w:divBdr>
      <w:divsChild>
        <w:div w:id="14668964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52608953">
      <w:bodyDiv w:val="1"/>
      <w:marLeft w:val="0"/>
      <w:marRight w:val="0"/>
      <w:marTop w:val="0"/>
      <w:marBottom w:val="0"/>
      <w:divBdr>
        <w:top w:val="none" w:sz="0" w:space="0" w:color="auto"/>
        <w:left w:val="none" w:sz="0" w:space="0" w:color="auto"/>
        <w:bottom w:val="none" w:sz="0" w:space="0" w:color="auto"/>
        <w:right w:val="none" w:sz="0" w:space="0" w:color="auto"/>
      </w:divBdr>
      <w:divsChild>
        <w:div w:id="7850834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60329312">
      <w:bodyDiv w:val="1"/>
      <w:marLeft w:val="0"/>
      <w:marRight w:val="0"/>
      <w:marTop w:val="0"/>
      <w:marBottom w:val="0"/>
      <w:divBdr>
        <w:top w:val="none" w:sz="0" w:space="0" w:color="auto"/>
        <w:left w:val="none" w:sz="0" w:space="0" w:color="auto"/>
        <w:bottom w:val="none" w:sz="0" w:space="0" w:color="auto"/>
        <w:right w:val="none" w:sz="0" w:space="0" w:color="auto"/>
      </w:divBdr>
      <w:divsChild>
        <w:div w:id="11777713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07523508">
      <w:bodyDiv w:val="1"/>
      <w:marLeft w:val="0"/>
      <w:marRight w:val="0"/>
      <w:marTop w:val="0"/>
      <w:marBottom w:val="0"/>
      <w:divBdr>
        <w:top w:val="none" w:sz="0" w:space="0" w:color="auto"/>
        <w:left w:val="none" w:sz="0" w:space="0" w:color="auto"/>
        <w:bottom w:val="none" w:sz="0" w:space="0" w:color="auto"/>
        <w:right w:val="none" w:sz="0" w:space="0" w:color="auto"/>
      </w:divBdr>
      <w:divsChild>
        <w:div w:id="8416259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13033256">
      <w:bodyDiv w:val="1"/>
      <w:marLeft w:val="0"/>
      <w:marRight w:val="0"/>
      <w:marTop w:val="0"/>
      <w:marBottom w:val="0"/>
      <w:divBdr>
        <w:top w:val="none" w:sz="0" w:space="0" w:color="auto"/>
        <w:left w:val="none" w:sz="0" w:space="0" w:color="auto"/>
        <w:bottom w:val="none" w:sz="0" w:space="0" w:color="auto"/>
        <w:right w:val="none" w:sz="0" w:space="0" w:color="auto"/>
      </w:divBdr>
      <w:divsChild>
        <w:div w:id="1305156774">
          <w:marLeft w:val="0"/>
          <w:marRight w:val="0"/>
          <w:marTop w:val="0"/>
          <w:marBottom w:val="0"/>
          <w:divBdr>
            <w:top w:val="none" w:sz="0" w:space="0" w:color="auto"/>
            <w:left w:val="none" w:sz="0" w:space="0" w:color="auto"/>
            <w:bottom w:val="none" w:sz="0" w:space="0" w:color="auto"/>
            <w:right w:val="none" w:sz="0" w:space="0" w:color="auto"/>
          </w:divBdr>
          <w:divsChild>
            <w:div w:id="1268079524">
              <w:marLeft w:val="0"/>
              <w:marRight w:val="0"/>
              <w:marTop w:val="0"/>
              <w:marBottom w:val="0"/>
              <w:divBdr>
                <w:top w:val="none" w:sz="0" w:space="0" w:color="auto"/>
                <w:left w:val="none" w:sz="0" w:space="0" w:color="auto"/>
                <w:bottom w:val="none" w:sz="0" w:space="0" w:color="auto"/>
                <w:right w:val="none" w:sz="0" w:space="0" w:color="auto"/>
              </w:divBdr>
              <w:divsChild>
                <w:div w:id="285897424">
                  <w:marLeft w:val="0"/>
                  <w:marRight w:val="0"/>
                  <w:marTop w:val="0"/>
                  <w:marBottom w:val="0"/>
                  <w:divBdr>
                    <w:top w:val="none" w:sz="0" w:space="0" w:color="auto"/>
                    <w:left w:val="none" w:sz="0" w:space="0" w:color="auto"/>
                    <w:bottom w:val="none" w:sz="0" w:space="0" w:color="auto"/>
                    <w:right w:val="none" w:sz="0" w:space="0" w:color="auto"/>
                  </w:divBdr>
                  <w:divsChild>
                    <w:div w:id="1532256697">
                      <w:marLeft w:val="0"/>
                      <w:marRight w:val="0"/>
                      <w:marTop w:val="0"/>
                      <w:marBottom w:val="0"/>
                      <w:divBdr>
                        <w:top w:val="none" w:sz="0" w:space="0" w:color="auto"/>
                        <w:left w:val="none" w:sz="0" w:space="0" w:color="auto"/>
                        <w:bottom w:val="none" w:sz="0" w:space="0" w:color="auto"/>
                        <w:right w:val="none" w:sz="0" w:space="0" w:color="auto"/>
                      </w:divBdr>
                      <w:divsChild>
                        <w:div w:id="87310016">
                          <w:marLeft w:val="2100"/>
                          <w:marRight w:val="0"/>
                          <w:marTop w:val="0"/>
                          <w:marBottom w:val="0"/>
                          <w:divBdr>
                            <w:top w:val="none" w:sz="0" w:space="0" w:color="auto"/>
                            <w:left w:val="none" w:sz="0" w:space="0" w:color="auto"/>
                            <w:bottom w:val="none" w:sz="0" w:space="0" w:color="auto"/>
                            <w:right w:val="none" w:sz="0" w:space="0" w:color="auto"/>
                          </w:divBdr>
                          <w:divsChild>
                            <w:div w:id="1270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8627">
      <w:bodyDiv w:val="1"/>
      <w:marLeft w:val="0"/>
      <w:marRight w:val="0"/>
      <w:marTop w:val="0"/>
      <w:marBottom w:val="0"/>
      <w:divBdr>
        <w:top w:val="none" w:sz="0" w:space="0" w:color="auto"/>
        <w:left w:val="none" w:sz="0" w:space="0" w:color="auto"/>
        <w:bottom w:val="none" w:sz="0" w:space="0" w:color="auto"/>
        <w:right w:val="none" w:sz="0" w:space="0" w:color="auto"/>
      </w:divBdr>
      <w:divsChild>
        <w:div w:id="869732321">
          <w:marLeft w:val="547"/>
          <w:marRight w:val="0"/>
          <w:marTop w:val="115"/>
          <w:marBottom w:val="0"/>
          <w:divBdr>
            <w:top w:val="none" w:sz="0" w:space="0" w:color="auto"/>
            <w:left w:val="none" w:sz="0" w:space="0" w:color="auto"/>
            <w:bottom w:val="none" w:sz="0" w:space="0" w:color="auto"/>
            <w:right w:val="none" w:sz="0" w:space="0" w:color="auto"/>
          </w:divBdr>
        </w:div>
        <w:div w:id="1031226165">
          <w:marLeft w:val="547"/>
          <w:marRight w:val="0"/>
          <w:marTop w:val="115"/>
          <w:marBottom w:val="0"/>
          <w:divBdr>
            <w:top w:val="none" w:sz="0" w:space="0" w:color="auto"/>
            <w:left w:val="none" w:sz="0" w:space="0" w:color="auto"/>
            <w:bottom w:val="none" w:sz="0" w:space="0" w:color="auto"/>
            <w:right w:val="none" w:sz="0" w:space="0" w:color="auto"/>
          </w:divBdr>
        </w:div>
        <w:div w:id="1501579731">
          <w:marLeft w:val="547"/>
          <w:marRight w:val="0"/>
          <w:marTop w:val="115"/>
          <w:marBottom w:val="0"/>
          <w:divBdr>
            <w:top w:val="none" w:sz="0" w:space="0" w:color="auto"/>
            <w:left w:val="none" w:sz="0" w:space="0" w:color="auto"/>
            <w:bottom w:val="none" w:sz="0" w:space="0" w:color="auto"/>
            <w:right w:val="none" w:sz="0" w:space="0" w:color="auto"/>
          </w:divBdr>
        </w:div>
        <w:div w:id="1552613659">
          <w:marLeft w:val="547"/>
          <w:marRight w:val="0"/>
          <w:marTop w:val="115"/>
          <w:marBottom w:val="0"/>
          <w:divBdr>
            <w:top w:val="none" w:sz="0" w:space="0" w:color="auto"/>
            <w:left w:val="none" w:sz="0" w:space="0" w:color="auto"/>
            <w:bottom w:val="none" w:sz="0" w:space="0" w:color="auto"/>
            <w:right w:val="none" w:sz="0" w:space="0" w:color="auto"/>
          </w:divBdr>
        </w:div>
        <w:div w:id="2048681583">
          <w:marLeft w:val="547"/>
          <w:marRight w:val="0"/>
          <w:marTop w:val="115"/>
          <w:marBottom w:val="0"/>
          <w:divBdr>
            <w:top w:val="none" w:sz="0" w:space="0" w:color="auto"/>
            <w:left w:val="none" w:sz="0" w:space="0" w:color="auto"/>
            <w:bottom w:val="none" w:sz="0" w:space="0" w:color="auto"/>
            <w:right w:val="none" w:sz="0" w:space="0" w:color="auto"/>
          </w:divBdr>
        </w:div>
      </w:divsChild>
    </w:div>
    <w:div w:id="736053702">
      <w:bodyDiv w:val="1"/>
      <w:marLeft w:val="0"/>
      <w:marRight w:val="0"/>
      <w:marTop w:val="0"/>
      <w:marBottom w:val="0"/>
      <w:divBdr>
        <w:top w:val="none" w:sz="0" w:space="0" w:color="auto"/>
        <w:left w:val="none" w:sz="0" w:space="0" w:color="auto"/>
        <w:bottom w:val="none" w:sz="0" w:space="0" w:color="auto"/>
        <w:right w:val="none" w:sz="0" w:space="0" w:color="auto"/>
      </w:divBdr>
      <w:divsChild>
        <w:div w:id="15233983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74788652">
      <w:bodyDiv w:val="1"/>
      <w:marLeft w:val="0"/>
      <w:marRight w:val="0"/>
      <w:marTop w:val="0"/>
      <w:marBottom w:val="0"/>
      <w:divBdr>
        <w:top w:val="none" w:sz="0" w:space="0" w:color="auto"/>
        <w:left w:val="none" w:sz="0" w:space="0" w:color="auto"/>
        <w:bottom w:val="none" w:sz="0" w:space="0" w:color="auto"/>
        <w:right w:val="none" w:sz="0" w:space="0" w:color="auto"/>
      </w:divBdr>
      <w:divsChild>
        <w:div w:id="17152352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62007133">
      <w:bodyDiv w:val="1"/>
      <w:marLeft w:val="0"/>
      <w:marRight w:val="0"/>
      <w:marTop w:val="0"/>
      <w:marBottom w:val="0"/>
      <w:divBdr>
        <w:top w:val="none" w:sz="0" w:space="0" w:color="auto"/>
        <w:left w:val="none" w:sz="0" w:space="0" w:color="auto"/>
        <w:bottom w:val="none" w:sz="0" w:space="0" w:color="auto"/>
        <w:right w:val="none" w:sz="0" w:space="0" w:color="auto"/>
      </w:divBdr>
      <w:divsChild>
        <w:div w:id="938611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27756591">
      <w:bodyDiv w:val="1"/>
      <w:marLeft w:val="0"/>
      <w:marRight w:val="0"/>
      <w:marTop w:val="0"/>
      <w:marBottom w:val="0"/>
      <w:divBdr>
        <w:top w:val="none" w:sz="0" w:space="0" w:color="auto"/>
        <w:left w:val="none" w:sz="0" w:space="0" w:color="auto"/>
        <w:bottom w:val="none" w:sz="0" w:space="0" w:color="auto"/>
        <w:right w:val="none" w:sz="0" w:space="0" w:color="auto"/>
      </w:divBdr>
      <w:divsChild>
        <w:div w:id="15399292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25065749">
      <w:bodyDiv w:val="1"/>
      <w:marLeft w:val="0"/>
      <w:marRight w:val="0"/>
      <w:marTop w:val="0"/>
      <w:marBottom w:val="0"/>
      <w:divBdr>
        <w:top w:val="none" w:sz="0" w:space="0" w:color="auto"/>
        <w:left w:val="none" w:sz="0" w:space="0" w:color="auto"/>
        <w:bottom w:val="none" w:sz="0" w:space="0" w:color="auto"/>
        <w:right w:val="none" w:sz="0" w:space="0" w:color="auto"/>
      </w:divBdr>
      <w:divsChild>
        <w:div w:id="53048033">
          <w:marLeft w:val="0"/>
          <w:marRight w:val="0"/>
          <w:marTop w:val="0"/>
          <w:marBottom w:val="0"/>
          <w:divBdr>
            <w:top w:val="none" w:sz="0" w:space="0" w:color="auto"/>
            <w:left w:val="none" w:sz="0" w:space="0" w:color="auto"/>
            <w:bottom w:val="none" w:sz="0" w:space="0" w:color="auto"/>
            <w:right w:val="none" w:sz="0" w:space="0" w:color="auto"/>
          </w:divBdr>
          <w:divsChild>
            <w:div w:id="1877769371">
              <w:marLeft w:val="0"/>
              <w:marRight w:val="0"/>
              <w:marTop w:val="0"/>
              <w:marBottom w:val="0"/>
              <w:divBdr>
                <w:top w:val="none" w:sz="0" w:space="0" w:color="auto"/>
                <w:left w:val="none" w:sz="0" w:space="0" w:color="auto"/>
                <w:bottom w:val="none" w:sz="0" w:space="0" w:color="auto"/>
                <w:right w:val="none" w:sz="0" w:space="0" w:color="auto"/>
              </w:divBdr>
              <w:divsChild>
                <w:div w:id="18706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42124">
      <w:bodyDiv w:val="1"/>
      <w:marLeft w:val="0"/>
      <w:marRight w:val="0"/>
      <w:marTop w:val="0"/>
      <w:marBottom w:val="0"/>
      <w:divBdr>
        <w:top w:val="none" w:sz="0" w:space="0" w:color="auto"/>
        <w:left w:val="none" w:sz="0" w:space="0" w:color="auto"/>
        <w:bottom w:val="none" w:sz="0" w:space="0" w:color="auto"/>
        <w:right w:val="none" w:sz="0" w:space="0" w:color="auto"/>
      </w:divBdr>
      <w:divsChild>
        <w:div w:id="5319203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82028247">
      <w:bodyDiv w:val="1"/>
      <w:marLeft w:val="0"/>
      <w:marRight w:val="0"/>
      <w:marTop w:val="0"/>
      <w:marBottom w:val="0"/>
      <w:divBdr>
        <w:top w:val="none" w:sz="0" w:space="0" w:color="auto"/>
        <w:left w:val="none" w:sz="0" w:space="0" w:color="auto"/>
        <w:bottom w:val="none" w:sz="0" w:space="0" w:color="auto"/>
        <w:right w:val="none" w:sz="0" w:space="0" w:color="auto"/>
      </w:divBdr>
      <w:divsChild>
        <w:div w:id="339639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62046933">
      <w:bodyDiv w:val="1"/>
      <w:marLeft w:val="0"/>
      <w:marRight w:val="0"/>
      <w:marTop w:val="0"/>
      <w:marBottom w:val="0"/>
      <w:divBdr>
        <w:top w:val="none" w:sz="0" w:space="0" w:color="auto"/>
        <w:left w:val="none" w:sz="0" w:space="0" w:color="auto"/>
        <w:bottom w:val="none" w:sz="0" w:space="0" w:color="auto"/>
        <w:right w:val="none" w:sz="0" w:space="0" w:color="auto"/>
      </w:divBdr>
      <w:divsChild>
        <w:div w:id="540835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11346039">
      <w:bodyDiv w:val="1"/>
      <w:marLeft w:val="0"/>
      <w:marRight w:val="0"/>
      <w:marTop w:val="0"/>
      <w:marBottom w:val="0"/>
      <w:divBdr>
        <w:top w:val="none" w:sz="0" w:space="0" w:color="auto"/>
        <w:left w:val="none" w:sz="0" w:space="0" w:color="auto"/>
        <w:bottom w:val="none" w:sz="0" w:space="0" w:color="auto"/>
        <w:right w:val="none" w:sz="0" w:space="0" w:color="auto"/>
      </w:divBdr>
      <w:divsChild>
        <w:div w:id="79448200">
          <w:marLeft w:val="547"/>
          <w:marRight w:val="0"/>
          <w:marTop w:val="106"/>
          <w:marBottom w:val="0"/>
          <w:divBdr>
            <w:top w:val="none" w:sz="0" w:space="0" w:color="auto"/>
            <w:left w:val="none" w:sz="0" w:space="0" w:color="auto"/>
            <w:bottom w:val="none" w:sz="0" w:space="0" w:color="auto"/>
            <w:right w:val="none" w:sz="0" w:space="0" w:color="auto"/>
          </w:divBdr>
        </w:div>
        <w:div w:id="226888948">
          <w:marLeft w:val="547"/>
          <w:marRight w:val="0"/>
          <w:marTop w:val="106"/>
          <w:marBottom w:val="0"/>
          <w:divBdr>
            <w:top w:val="none" w:sz="0" w:space="0" w:color="auto"/>
            <w:left w:val="none" w:sz="0" w:space="0" w:color="auto"/>
            <w:bottom w:val="none" w:sz="0" w:space="0" w:color="auto"/>
            <w:right w:val="none" w:sz="0" w:space="0" w:color="auto"/>
          </w:divBdr>
        </w:div>
        <w:div w:id="982738783">
          <w:marLeft w:val="547"/>
          <w:marRight w:val="0"/>
          <w:marTop w:val="106"/>
          <w:marBottom w:val="0"/>
          <w:divBdr>
            <w:top w:val="none" w:sz="0" w:space="0" w:color="auto"/>
            <w:left w:val="none" w:sz="0" w:space="0" w:color="auto"/>
            <w:bottom w:val="none" w:sz="0" w:space="0" w:color="auto"/>
            <w:right w:val="none" w:sz="0" w:space="0" w:color="auto"/>
          </w:divBdr>
        </w:div>
        <w:div w:id="1988049100">
          <w:marLeft w:val="547"/>
          <w:marRight w:val="0"/>
          <w:marTop w:val="91"/>
          <w:marBottom w:val="0"/>
          <w:divBdr>
            <w:top w:val="none" w:sz="0" w:space="0" w:color="auto"/>
            <w:left w:val="none" w:sz="0" w:space="0" w:color="auto"/>
            <w:bottom w:val="none" w:sz="0" w:space="0" w:color="auto"/>
            <w:right w:val="none" w:sz="0" w:space="0" w:color="auto"/>
          </w:divBdr>
        </w:div>
        <w:div w:id="2089306853">
          <w:marLeft w:val="547"/>
          <w:marRight w:val="0"/>
          <w:marTop w:val="91"/>
          <w:marBottom w:val="0"/>
          <w:divBdr>
            <w:top w:val="none" w:sz="0" w:space="0" w:color="auto"/>
            <w:left w:val="none" w:sz="0" w:space="0" w:color="auto"/>
            <w:bottom w:val="none" w:sz="0" w:space="0" w:color="auto"/>
            <w:right w:val="none" w:sz="0" w:space="0" w:color="auto"/>
          </w:divBdr>
        </w:div>
      </w:divsChild>
    </w:div>
    <w:div w:id="1522163541">
      <w:bodyDiv w:val="1"/>
      <w:marLeft w:val="0"/>
      <w:marRight w:val="0"/>
      <w:marTop w:val="0"/>
      <w:marBottom w:val="0"/>
      <w:divBdr>
        <w:top w:val="none" w:sz="0" w:space="0" w:color="auto"/>
        <w:left w:val="none" w:sz="0" w:space="0" w:color="auto"/>
        <w:bottom w:val="none" w:sz="0" w:space="0" w:color="auto"/>
        <w:right w:val="none" w:sz="0" w:space="0" w:color="auto"/>
      </w:divBdr>
      <w:divsChild>
        <w:div w:id="122430755">
          <w:marLeft w:val="547"/>
          <w:marRight w:val="0"/>
          <w:marTop w:val="96"/>
          <w:marBottom w:val="0"/>
          <w:divBdr>
            <w:top w:val="none" w:sz="0" w:space="0" w:color="auto"/>
            <w:left w:val="none" w:sz="0" w:space="0" w:color="auto"/>
            <w:bottom w:val="none" w:sz="0" w:space="0" w:color="auto"/>
            <w:right w:val="none" w:sz="0" w:space="0" w:color="auto"/>
          </w:divBdr>
        </w:div>
        <w:div w:id="942346240">
          <w:marLeft w:val="547"/>
          <w:marRight w:val="0"/>
          <w:marTop w:val="96"/>
          <w:marBottom w:val="0"/>
          <w:divBdr>
            <w:top w:val="none" w:sz="0" w:space="0" w:color="auto"/>
            <w:left w:val="none" w:sz="0" w:space="0" w:color="auto"/>
            <w:bottom w:val="none" w:sz="0" w:space="0" w:color="auto"/>
            <w:right w:val="none" w:sz="0" w:space="0" w:color="auto"/>
          </w:divBdr>
        </w:div>
        <w:div w:id="1125974504">
          <w:marLeft w:val="547"/>
          <w:marRight w:val="0"/>
          <w:marTop w:val="96"/>
          <w:marBottom w:val="0"/>
          <w:divBdr>
            <w:top w:val="none" w:sz="0" w:space="0" w:color="auto"/>
            <w:left w:val="none" w:sz="0" w:space="0" w:color="auto"/>
            <w:bottom w:val="none" w:sz="0" w:space="0" w:color="auto"/>
            <w:right w:val="none" w:sz="0" w:space="0" w:color="auto"/>
          </w:divBdr>
        </w:div>
        <w:div w:id="1142960910">
          <w:marLeft w:val="547"/>
          <w:marRight w:val="0"/>
          <w:marTop w:val="96"/>
          <w:marBottom w:val="0"/>
          <w:divBdr>
            <w:top w:val="none" w:sz="0" w:space="0" w:color="auto"/>
            <w:left w:val="none" w:sz="0" w:space="0" w:color="auto"/>
            <w:bottom w:val="none" w:sz="0" w:space="0" w:color="auto"/>
            <w:right w:val="none" w:sz="0" w:space="0" w:color="auto"/>
          </w:divBdr>
        </w:div>
        <w:div w:id="1457871128">
          <w:marLeft w:val="547"/>
          <w:marRight w:val="0"/>
          <w:marTop w:val="96"/>
          <w:marBottom w:val="0"/>
          <w:divBdr>
            <w:top w:val="none" w:sz="0" w:space="0" w:color="auto"/>
            <w:left w:val="none" w:sz="0" w:space="0" w:color="auto"/>
            <w:bottom w:val="none" w:sz="0" w:space="0" w:color="auto"/>
            <w:right w:val="none" w:sz="0" w:space="0" w:color="auto"/>
          </w:divBdr>
        </w:div>
      </w:divsChild>
    </w:div>
    <w:div w:id="1630938296">
      <w:bodyDiv w:val="1"/>
      <w:marLeft w:val="0"/>
      <w:marRight w:val="0"/>
      <w:marTop w:val="0"/>
      <w:marBottom w:val="0"/>
      <w:divBdr>
        <w:top w:val="none" w:sz="0" w:space="0" w:color="auto"/>
        <w:left w:val="none" w:sz="0" w:space="0" w:color="auto"/>
        <w:bottom w:val="none" w:sz="0" w:space="0" w:color="auto"/>
        <w:right w:val="none" w:sz="0" w:space="0" w:color="auto"/>
      </w:divBdr>
      <w:divsChild>
        <w:div w:id="386539123">
          <w:marLeft w:val="547"/>
          <w:marRight w:val="0"/>
          <w:marTop w:val="0"/>
          <w:marBottom w:val="0"/>
          <w:divBdr>
            <w:top w:val="none" w:sz="0" w:space="0" w:color="auto"/>
            <w:left w:val="none" w:sz="0" w:space="0" w:color="auto"/>
            <w:bottom w:val="none" w:sz="0" w:space="0" w:color="auto"/>
            <w:right w:val="none" w:sz="0" w:space="0" w:color="auto"/>
          </w:divBdr>
        </w:div>
        <w:div w:id="841430135">
          <w:marLeft w:val="547"/>
          <w:marRight w:val="0"/>
          <w:marTop w:val="0"/>
          <w:marBottom w:val="0"/>
          <w:divBdr>
            <w:top w:val="none" w:sz="0" w:space="0" w:color="auto"/>
            <w:left w:val="none" w:sz="0" w:space="0" w:color="auto"/>
            <w:bottom w:val="none" w:sz="0" w:space="0" w:color="auto"/>
            <w:right w:val="none" w:sz="0" w:space="0" w:color="auto"/>
          </w:divBdr>
        </w:div>
      </w:divsChild>
    </w:div>
    <w:div w:id="1929117839">
      <w:bodyDiv w:val="1"/>
      <w:marLeft w:val="0"/>
      <w:marRight w:val="0"/>
      <w:marTop w:val="0"/>
      <w:marBottom w:val="0"/>
      <w:divBdr>
        <w:top w:val="none" w:sz="0" w:space="0" w:color="auto"/>
        <w:left w:val="none" w:sz="0" w:space="0" w:color="auto"/>
        <w:bottom w:val="none" w:sz="0" w:space="0" w:color="auto"/>
        <w:right w:val="none" w:sz="0" w:space="0" w:color="auto"/>
      </w:divBdr>
      <w:divsChild>
        <w:div w:id="364449247">
          <w:marLeft w:val="547"/>
          <w:marRight w:val="0"/>
          <w:marTop w:val="144"/>
          <w:marBottom w:val="0"/>
          <w:divBdr>
            <w:top w:val="none" w:sz="0" w:space="0" w:color="auto"/>
            <w:left w:val="none" w:sz="0" w:space="0" w:color="auto"/>
            <w:bottom w:val="none" w:sz="0" w:space="0" w:color="auto"/>
            <w:right w:val="none" w:sz="0" w:space="0" w:color="auto"/>
          </w:divBdr>
        </w:div>
        <w:div w:id="626741645">
          <w:marLeft w:val="547"/>
          <w:marRight w:val="0"/>
          <w:marTop w:val="144"/>
          <w:marBottom w:val="0"/>
          <w:divBdr>
            <w:top w:val="none" w:sz="0" w:space="0" w:color="auto"/>
            <w:left w:val="none" w:sz="0" w:space="0" w:color="auto"/>
            <w:bottom w:val="none" w:sz="0" w:space="0" w:color="auto"/>
            <w:right w:val="none" w:sz="0" w:space="0" w:color="auto"/>
          </w:divBdr>
        </w:div>
        <w:div w:id="866942371">
          <w:marLeft w:val="547"/>
          <w:marRight w:val="0"/>
          <w:marTop w:val="144"/>
          <w:marBottom w:val="0"/>
          <w:divBdr>
            <w:top w:val="none" w:sz="0" w:space="0" w:color="auto"/>
            <w:left w:val="none" w:sz="0" w:space="0" w:color="auto"/>
            <w:bottom w:val="none" w:sz="0" w:space="0" w:color="auto"/>
            <w:right w:val="none" w:sz="0" w:space="0" w:color="auto"/>
          </w:divBdr>
        </w:div>
        <w:div w:id="1071152628">
          <w:marLeft w:val="547"/>
          <w:marRight w:val="0"/>
          <w:marTop w:val="144"/>
          <w:marBottom w:val="0"/>
          <w:divBdr>
            <w:top w:val="none" w:sz="0" w:space="0" w:color="auto"/>
            <w:left w:val="none" w:sz="0" w:space="0" w:color="auto"/>
            <w:bottom w:val="none" w:sz="0" w:space="0" w:color="auto"/>
            <w:right w:val="none" w:sz="0" w:space="0" w:color="auto"/>
          </w:divBdr>
        </w:div>
      </w:divsChild>
    </w:div>
    <w:div w:id="1929925110">
      <w:bodyDiv w:val="1"/>
      <w:marLeft w:val="0"/>
      <w:marRight w:val="0"/>
      <w:marTop w:val="0"/>
      <w:marBottom w:val="0"/>
      <w:divBdr>
        <w:top w:val="none" w:sz="0" w:space="0" w:color="auto"/>
        <w:left w:val="none" w:sz="0" w:space="0" w:color="auto"/>
        <w:bottom w:val="none" w:sz="0" w:space="0" w:color="auto"/>
        <w:right w:val="none" w:sz="0" w:space="0" w:color="auto"/>
      </w:divBdr>
      <w:divsChild>
        <w:div w:id="21084965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87992384">
      <w:bodyDiv w:val="1"/>
      <w:marLeft w:val="0"/>
      <w:marRight w:val="0"/>
      <w:marTop w:val="0"/>
      <w:marBottom w:val="0"/>
      <w:divBdr>
        <w:top w:val="none" w:sz="0" w:space="0" w:color="auto"/>
        <w:left w:val="none" w:sz="0" w:space="0" w:color="auto"/>
        <w:bottom w:val="none" w:sz="0" w:space="0" w:color="auto"/>
        <w:right w:val="none" w:sz="0" w:space="0" w:color="auto"/>
      </w:divBdr>
      <w:divsChild>
        <w:div w:id="19569357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worldbank.org/WBSITE/EXTERNAL/PROJECTS/EXTPOLICIES/EXTOPMANUAL/0,,contentMDK:21238942~menuPK:4564185~pagePK:64709096~piPK:64709108~theSitePK:502184~isCURL:Y,00.html" TargetMode="External"/><Relationship Id="rId18" Type="http://schemas.openxmlformats.org/officeDocument/2006/relationships/image" Target="media/image2.emf"/><Relationship Id="rId26" Type="http://schemas.openxmlformats.org/officeDocument/2006/relationships/hyperlink" Target="http://intranet.worldbank.org/WBSITE/INTRANET/OPSMANUAL/0,,contentMDK:20064614~menuPK:51456940~pagePK:51457169~piPK:51457175~theSitePK:210385~isCURL:Y,00.html" TargetMode="External"/><Relationship Id="rId39" Type="http://schemas.openxmlformats.org/officeDocument/2006/relationships/hyperlink" Target="http://intranet.worldbank.org/WBSITE/INTRANET/OPSMANUAL/0,,contentMDK:20065305~menuPK:51456940~pagePK:51457169~piPK:51457175~theSitePK:210385,00.html" TargetMode="Externa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hyperlink" Target="http://intranet.worldbank.org/WBSITE/INTRANET/OPSMANUAL/0,,contentMDK:20553653~menuPK:51456940~pagePK:51457169~piPK:51457175~theSitePK:210385~isCURL:Y,00.html" TargetMode="External"/><Relationship Id="rId42" Type="http://schemas.openxmlformats.org/officeDocument/2006/relationships/hyperlink" Target="http://intranet.worldbank.org/WBSITE/INTRANET/OPSMANUAL/0,,contentMDK:20064757~menuPK:51456940~pagePK:51457169~piPK:51457175~theSitePK:210385,00.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worldbank.org/WBSITE/EXTERNAL/PROJECTS/EXTPOLICIES/EXTOPMANUAL/0,,contentMDK:20240031~menuPK:4564185~pagePK:64709096~piPK:64709108~theSitePK:502184~isCURL:Y,00.html" TargetMode="External"/><Relationship Id="rId17" Type="http://schemas.openxmlformats.org/officeDocument/2006/relationships/image" Target="media/image1.jpeg"/><Relationship Id="rId25" Type="http://schemas.openxmlformats.org/officeDocument/2006/relationships/hyperlink" Target="http://intranet.worldbank.org/WBSITE/INTRANET/OPSMANUAL/0,,contentMDK:20064724~menuPK:51456940~pagePK:51457169~piPK:51457175~theSitePK:210385~isCURL:Y,00.html" TargetMode="External"/><Relationship Id="rId33" Type="http://schemas.openxmlformats.org/officeDocument/2006/relationships/hyperlink" Target="http://www1.ifc.org/wps/wcm/connect/Topics_Ext_Content/IFC_External_Corporate_Site/IFC+Sustainability/Sustainability+Framework/Environmental,+Health,+and+Safety+Guidelines/" TargetMode="External"/><Relationship Id="rId38" Type="http://schemas.openxmlformats.org/officeDocument/2006/relationships/hyperlink" Target="http://intranet.worldbank.org/WBSITE/INTRANET/OPSMANUAL/0,,contentMDK:20064757~menuPK:51456940~pagePK:51457169~piPK:51457175~theSitePK:210385,00.html" TargetMode="External"/><Relationship Id="rId46" Type="http://schemas.openxmlformats.org/officeDocument/2006/relationships/hyperlink" Target="http://web.worldbank.org/WBSITE/EXTERNAL/PROJECTS/EXTPOLICIES/EXTOPMANUAL/0,,contentMDK:20553653~menuPK:4564185~pagePK:64709096~piPK:64709108~theSitePK:502184,00.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Data" Target="diagrams/data1.xml"/><Relationship Id="rId29" Type="http://schemas.openxmlformats.org/officeDocument/2006/relationships/hyperlink" Target="http://web.worldbank.org/WBSITE/EXTERNAL/PROJECTS/EXTPOLICIES/EXTOPMANUAL/0,,contentMDK:20065218~menuPK:64701637~pagePK:64709096~piPK:64709108~theSitePK:502184,00.html" TargetMode="External"/><Relationship Id="rId41" Type="http://schemas.openxmlformats.org/officeDocument/2006/relationships/hyperlink" Target="http://intranet.worldbank.org/WBSITE/INTRANET/OPSMANUAL/0,,contentMDK:20064757~menuPK:51456940~pagePK:51457169~piPK:51457175~theSitePK:210385,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b.org/document.cfm?id=35597106" TargetMode="External"/><Relationship Id="rId24" Type="http://schemas.microsoft.com/office/2007/relationships/diagramDrawing" Target="diagrams/drawing1.xml"/><Relationship Id="rId32" Type="http://schemas.openxmlformats.org/officeDocument/2006/relationships/hyperlink" Target="http://intranet.worldbank.org/WBSITE/INTRANET/OPSMANUAL/0,,contentMDK:20064757~menuPK:51456940~pagePK:51457169~piPK:51457175~theSitePK:210385,00.html" TargetMode="External"/><Relationship Id="rId37" Type="http://schemas.openxmlformats.org/officeDocument/2006/relationships/hyperlink" Target="http://intranet.worldbank.org/WBSITE/INTRANET/OPSMANUAL/0,,contentMDK:20064675~menuPK:51456940~pagePK:51457169~piPK:51457175~theSitePK:210385~isCURL:Y,00.html" TargetMode="External"/><Relationship Id="rId40" Type="http://schemas.openxmlformats.org/officeDocument/2006/relationships/hyperlink" Target="http://intranet.worldbank.org/WBSITE/INTRANET/OPSMANUAL/0,,contentMDK:20065305~menuPK:51456940~pagePK:51457169~piPK:51457175~theSitePK:210385,00.html" TargetMode="External"/><Relationship Id="rId45" Type="http://schemas.openxmlformats.org/officeDocument/2006/relationships/hyperlink" Target="http://web.worldbank.org/WBSITE/EXTERNAL/PROJECTS/EXTPOLICIES/EXTOPMANUAL/0,,contentMDK:20553653~menuPK:4564185~pagePK:64709096~piPK:64709108~theSitePK:502184,00.html" TargetMode="External"/><Relationship Id="rId5" Type="http://schemas.openxmlformats.org/officeDocument/2006/relationships/webSettings" Target="webSettings.xml"/><Relationship Id="rId15" Type="http://schemas.openxmlformats.org/officeDocument/2006/relationships/hyperlink" Target="http://web.worldbank.org/WBSITE/EXTERNAL/PROJECTS/EXTPOLICIES/EXTOPMANUAL/0,,contentMDK:21238942~menuPK:4564185~pagePK:64709096~piPK:64709108~theSitePK:502184~isCURL:Y,00.html" TargetMode="External"/><Relationship Id="rId23" Type="http://schemas.openxmlformats.org/officeDocument/2006/relationships/diagramColors" Target="diagrams/colors1.xml"/><Relationship Id="rId28" Type="http://schemas.openxmlformats.org/officeDocument/2006/relationships/hyperlink" Target="http://web.worldbank.org/WBSITE/EXTERNAL/PROJECTS/EXTPOLICIES/EXTOPMANUAL/0,,contentMDK:20064724~menuPK:64701637~pagePK:64709096~piPK:64709108~theSitePK:502184,00.html" TargetMode="External"/><Relationship Id="rId36" Type="http://schemas.openxmlformats.org/officeDocument/2006/relationships/hyperlink" Target="http://intranet.worldbank.org/WBSITE/INTRANET/OPSMANUAL/0,,contentMDK:20064610~menuPK:51456940~pagePK:51457169~piPK:51457175~theSitePK:210385~isCURL:Y,00.html" TargetMode="External"/><Relationship Id="rId10" Type="http://schemas.openxmlformats.org/officeDocument/2006/relationships/header" Target="header2.xml"/><Relationship Id="rId19" Type="http://schemas.openxmlformats.org/officeDocument/2006/relationships/image" Target="media/image3.jpg"/><Relationship Id="rId31" Type="http://schemas.openxmlformats.org/officeDocument/2006/relationships/hyperlink" Target="http://web.worldbank.org/WBSITE/EXTERNAL/PROJECTS/EXTPOLICIES/EXTOPMANUAL/0,,contentMDK:20065218~menuPK:64701637~pagePK:64709096~piPK:64709108~theSitePK:502184,00.html" TargetMode="External"/><Relationship Id="rId44" Type="http://schemas.openxmlformats.org/officeDocument/2006/relationships/hyperlink" Target="http://intranet.worldbank.org/WBSITE/INTRANET/OPSMANUAL/0,,contentMDK:20064757~menuPK:51456940~pagePK:51457169~piPK:51457175~theSitePK:210385,00.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worldbank.org/WBSITE/EXTERNAL/PROJECTS/EXTPOLICIES/EXTOPMANUAL/0,,contentMDK:20240031~menuPK:4564185~pagePK:64709096~piPK:64709108~theSitePK:502184~isCURL:Y,00.html" TargetMode="External"/><Relationship Id="rId22" Type="http://schemas.openxmlformats.org/officeDocument/2006/relationships/diagramQuickStyle" Target="diagrams/quickStyle1.xml"/><Relationship Id="rId27" Type="http://schemas.openxmlformats.org/officeDocument/2006/relationships/hyperlink" Target="http://intranet.worldbank.org/WBSITE/INTRANET/OPSMANUAL/0,,contentMDK:20064724~menuPK:51456940~pagePK:51457169~piPK:51457175~theSitePK:210385~isCURL:Y,00.html" TargetMode="External"/><Relationship Id="rId30" Type="http://schemas.openxmlformats.org/officeDocument/2006/relationships/hyperlink" Target="http://web.worldbank.org/WBSITE/EXTERNAL/PROJECTS/EXTPOLICIES/EXTOPMANUAL/0,,contentMDK:20065218~menuPK:64701637~pagePK:64709096~piPK:64709108~theSitePK:502184,00.html" TargetMode="External"/><Relationship Id="rId35" Type="http://schemas.openxmlformats.org/officeDocument/2006/relationships/hyperlink" Target="http://intranet.worldbank.org/WBSITE/INTRANET/OPSMANUAL/0,,contentMDK:20553664~menuPK:51456940~pagePK:51457169~piPK:51457175~theSitePK:210385~isCURL:Y,00.html" TargetMode="External"/><Relationship Id="rId43" Type="http://schemas.openxmlformats.org/officeDocument/2006/relationships/hyperlink" Target="http://web.worldbank.org/WBSITE/EXTERNAL/PROJECTS/EXTPOLICIES/EXTOPMANUAL/0,,contentMDK:20064757~menuPK:64701637~pagePK:64709096~piPK:64709108~theSitePK:502184,00.html"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brd.com/pages/workingwithus/projects/what.shtml" TargetMode="External"/><Relationship Id="rId7" Type="http://schemas.openxmlformats.org/officeDocument/2006/relationships/hyperlink" Target="http://www.un.org/esa/socdev/unpfii/documents/DRIPS_en.pdf" TargetMode="External"/><Relationship Id="rId2" Type="http://schemas.openxmlformats.org/officeDocument/2006/relationships/hyperlink" Target="http://www.eib.org/attachments/documents/excluded_activities_2013_en.pdf" TargetMode="External"/><Relationship Id="rId1" Type="http://schemas.openxmlformats.org/officeDocument/2006/relationships/hyperlink" Target="http://fidic.org/node/321" TargetMode="External"/><Relationship Id="rId6" Type="http://schemas.openxmlformats.org/officeDocument/2006/relationships/hyperlink" Target="http://siteresources.worldbank.org/EXTSAFANDSUS/Resources/mgmt_response_mar.pdf" TargetMode="External"/><Relationship Id="rId5" Type="http://schemas.openxmlformats.org/officeDocument/2006/relationships/hyperlink" Target="http://www.wcpfc.int/system/files/CMM%202008-04%20%5BDriftnets%5D.pdf" TargetMode="External"/><Relationship Id="rId4" Type="http://schemas.openxmlformats.org/officeDocument/2006/relationships/hyperlink" Target="http://www.ifc.org/wps/wcm/connect/Topics_Ext_Content/IFC_External_Corporate_Site/IFC+Sustainability/Sustainability+Framework/IFC+Exclusion+Lis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6C8BF2-D53C-4FC1-AA04-787B10C0AAB5}" type="doc">
      <dgm:prSet loTypeId="urn:microsoft.com/office/officeart/2005/8/layout/hList3" loCatId="list" qsTypeId="urn:microsoft.com/office/officeart/2005/8/quickstyle/simple3" qsCatId="simple" csTypeId="urn:microsoft.com/office/officeart/2005/8/colors/accent1_2" csCatId="accent1" phldr="1"/>
      <dgm:spPr/>
      <dgm:t>
        <a:bodyPr/>
        <a:lstStyle/>
        <a:p>
          <a:endParaRPr lang="en-GB"/>
        </a:p>
      </dgm:t>
    </dgm:pt>
    <dgm:pt modelId="{F545CEEA-7703-4731-925C-6C5080A9F269}">
      <dgm:prSet custT="1"/>
      <dgm:spPr>
        <a:solidFill>
          <a:schemeClr val="bg1">
            <a:lumMod val="95000"/>
          </a:schemeClr>
        </a:solidFill>
      </dgm:spPr>
      <dgm:t>
        <a:bodyPr vert="vert270"/>
        <a:lstStyle/>
        <a:p>
          <a:r>
            <a:rPr lang="en-GB" sz="1800"/>
            <a:t>Informing</a:t>
          </a:r>
        </a:p>
      </dgm:t>
    </dgm:pt>
    <dgm:pt modelId="{6EEE65B9-BF91-46EF-B6C5-39E394553CCF}">
      <dgm:prSet/>
      <dgm:spPr/>
      <dgm:t>
        <a:bodyPr/>
        <a:lstStyle/>
        <a:p>
          <a:endParaRPr lang="en-GB"/>
        </a:p>
      </dgm:t>
    </dgm:pt>
    <dgm:pt modelId="{F81AA9E1-5906-4222-A0DE-7AF0CE880904}">
      <dgm:prSet phldrT="[Text]"/>
      <dgm:spPr>
        <a:gradFill rotWithShape="0">
          <a:gsLst>
            <a:gs pos="0">
              <a:schemeClr val="accent1">
                <a:hueOff val="0"/>
                <a:satOff val="0"/>
                <a:alphaOff val="0"/>
                <a:tint val="50000"/>
                <a:satMod val="300000"/>
                <a:lumMod val="4000"/>
                <a:lumOff val="96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gradFill>
      </dgm:spPr>
      <dgm:t>
        <a:bodyPr/>
        <a:lstStyle/>
        <a:p>
          <a:endParaRPr lang="en-GB"/>
        </a:p>
        <a:p>
          <a:endParaRPr lang="en-GB"/>
        </a:p>
      </dgm:t>
    </dgm:pt>
    <dgm:pt modelId="{30822454-2F59-42FE-A4E9-76360AFF5724}">
      <dgm:prSet phldrT="[Text]" custT="1"/>
      <dgm:spPr/>
      <dgm:t>
        <a:bodyPr/>
        <a:lstStyle/>
        <a:p>
          <a:r>
            <a:rPr lang="en-GB" sz="2300">
              <a:latin typeface="Calibri (Body)"/>
            </a:rPr>
            <a:t>Lisbon Treaty</a:t>
          </a:r>
        </a:p>
        <a:p>
          <a:r>
            <a:rPr lang="en-GB" sz="2300">
              <a:latin typeface="Calibri (Body)"/>
            </a:rPr>
            <a:t>EU Charter of Fundamental Rights</a:t>
          </a:r>
        </a:p>
      </dgm:t>
    </dgm:pt>
    <dgm:pt modelId="{3C441796-DB11-4740-B89D-2DE7F5BB8F20}" type="sibTrans" cxnId="{1992F615-4BDB-42DC-AC76-42B2191EE67D}">
      <dgm:prSet/>
      <dgm:spPr/>
      <dgm:t>
        <a:bodyPr/>
        <a:lstStyle/>
        <a:p>
          <a:endParaRPr lang="en-GB"/>
        </a:p>
      </dgm:t>
    </dgm:pt>
    <dgm:pt modelId="{DBA3E122-2073-49F2-9700-BDE82639751D}" type="parTrans" cxnId="{1992F615-4BDB-42DC-AC76-42B2191EE67D}">
      <dgm:prSet/>
      <dgm:spPr/>
      <dgm:t>
        <a:bodyPr/>
        <a:lstStyle/>
        <a:p>
          <a:endParaRPr lang="en-GB"/>
        </a:p>
      </dgm:t>
    </dgm:pt>
    <dgm:pt modelId="{1BE57AAD-A705-4F93-B511-AE308E0641F8}" type="sibTrans" cxnId="{243F009B-69BD-4C84-AD4D-7C22A7AA48D3}">
      <dgm:prSet/>
      <dgm:spPr/>
      <dgm:t>
        <a:bodyPr/>
        <a:lstStyle/>
        <a:p>
          <a:endParaRPr lang="en-GB"/>
        </a:p>
      </dgm:t>
    </dgm:pt>
    <dgm:pt modelId="{1418D3C9-64F6-4A57-B210-D2AAE243F8C0}" type="parTrans" cxnId="{243F009B-69BD-4C84-AD4D-7C22A7AA48D3}">
      <dgm:prSet/>
      <dgm:spPr/>
      <dgm:t>
        <a:bodyPr/>
        <a:lstStyle/>
        <a:p>
          <a:endParaRPr lang="en-GB"/>
        </a:p>
      </dgm:t>
    </dgm:pt>
    <dgm:pt modelId="{1A28BC1F-1090-4CC0-805C-6339D1529579}" type="sibTrans" cxnId="{E082EA7D-689F-4424-B10D-EC211927BA75}">
      <dgm:prSet/>
      <dgm:spPr/>
      <dgm:t>
        <a:bodyPr/>
        <a:lstStyle/>
        <a:p>
          <a:endParaRPr lang="en-GB"/>
        </a:p>
      </dgm:t>
    </dgm:pt>
    <dgm:pt modelId="{4F7AE2A1-2664-43F2-8FD2-F4A828191603}" type="parTrans" cxnId="{E082EA7D-689F-4424-B10D-EC211927BA75}">
      <dgm:prSet/>
      <dgm:spPr/>
      <dgm:t>
        <a:bodyPr/>
        <a:lstStyle/>
        <a:p>
          <a:endParaRPr lang="en-GB"/>
        </a:p>
      </dgm:t>
    </dgm:pt>
    <dgm:pt modelId="{1A456F0D-D4CF-4A99-96AF-F3A6160201DA}" type="sibTrans" cxnId="{9557D8D6-79EC-47D1-AA90-050FED05E1AD}">
      <dgm:prSet/>
      <dgm:spPr/>
      <dgm:t>
        <a:bodyPr/>
        <a:lstStyle/>
        <a:p>
          <a:endParaRPr lang="en-GB"/>
        </a:p>
      </dgm:t>
    </dgm:pt>
    <dgm:pt modelId="{06A35335-5582-4098-8CBA-40F970C05003}" type="parTrans" cxnId="{9557D8D6-79EC-47D1-AA90-050FED05E1AD}">
      <dgm:prSet/>
      <dgm:spPr/>
      <dgm:t>
        <a:bodyPr/>
        <a:lstStyle/>
        <a:p>
          <a:endParaRPr lang="en-GB"/>
        </a:p>
      </dgm:t>
    </dgm:pt>
    <dgm:pt modelId="{C7A948FA-70E6-4C10-816E-87C90AD2F5D2}" type="pres">
      <dgm:prSet presAssocID="{2D6C8BF2-D53C-4FC1-AA04-787B10C0AAB5}" presName="composite" presStyleCnt="0">
        <dgm:presLayoutVars>
          <dgm:chMax val="1"/>
          <dgm:dir/>
          <dgm:resizeHandles val="exact"/>
        </dgm:presLayoutVars>
      </dgm:prSet>
      <dgm:spPr/>
      <dgm:t>
        <a:bodyPr/>
        <a:lstStyle/>
        <a:p>
          <a:endParaRPr lang="en-US"/>
        </a:p>
      </dgm:t>
    </dgm:pt>
    <dgm:pt modelId="{42DEF211-E055-45C6-BD91-C6B5FD4D02F3}" type="pres">
      <dgm:prSet presAssocID="{30822454-2F59-42FE-A4E9-76360AFF5724}" presName="roof" presStyleLbl="dkBgShp" presStyleIdx="0" presStyleCnt="2" custScaleY="45842"/>
      <dgm:spPr/>
      <dgm:t>
        <a:bodyPr/>
        <a:lstStyle/>
        <a:p>
          <a:endParaRPr lang="en-GB"/>
        </a:p>
      </dgm:t>
    </dgm:pt>
    <dgm:pt modelId="{A9D095B8-F243-48AA-9666-1039179D9088}" type="pres">
      <dgm:prSet presAssocID="{30822454-2F59-42FE-A4E9-76360AFF5724}" presName="pillars" presStyleCnt="0"/>
      <dgm:spPr/>
    </dgm:pt>
    <dgm:pt modelId="{41F8988B-E116-4495-BCC7-938BAA5D2BD3}" type="pres">
      <dgm:prSet presAssocID="{30822454-2F59-42FE-A4E9-76360AFF5724}" presName="pillar1" presStyleLbl="node1" presStyleIdx="0" presStyleCnt="3" custScaleX="262421" custScaleY="116569" custLinFactNeighborX="13893" custLinFactNeighborY="-951">
        <dgm:presLayoutVars>
          <dgm:bulletEnabled val="1"/>
        </dgm:presLayoutVars>
      </dgm:prSet>
      <dgm:spPr/>
      <dgm:t>
        <a:bodyPr/>
        <a:lstStyle/>
        <a:p>
          <a:endParaRPr lang="en-US"/>
        </a:p>
      </dgm:t>
    </dgm:pt>
    <dgm:pt modelId="{7E4E62DA-2483-4656-B524-567A2699C77A}" type="pres">
      <dgm:prSet presAssocID="{6EEE65B9-BF91-46EF-B6C5-39E394553CCF}" presName="pillarX" presStyleLbl="node1" presStyleIdx="1" presStyleCnt="3" custScaleX="230288" custScaleY="116112" custLinFactNeighborX="30886" custLinFactNeighborY="-1376">
        <dgm:presLayoutVars>
          <dgm:bulletEnabled val="1"/>
        </dgm:presLayoutVars>
      </dgm:prSet>
      <dgm:spPr/>
      <dgm:t>
        <a:bodyPr/>
        <a:lstStyle/>
        <a:p>
          <a:endParaRPr lang="en-GB"/>
        </a:p>
      </dgm:t>
    </dgm:pt>
    <dgm:pt modelId="{6534E485-2FDC-425C-8696-455B5A91D0E7}" type="pres">
      <dgm:prSet presAssocID="{F545CEEA-7703-4731-925C-6C5080A9F269}" presName="pillarX" presStyleLbl="node1" presStyleIdx="2" presStyleCnt="3" custAng="0" custScaleX="49479" custScaleY="79371" custLinFactX="-100000" custLinFactNeighborX="-118326" custLinFactNeighborY="-11875">
        <dgm:presLayoutVars>
          <dgm:bulletEnabled val="1"/>
        </dgm:presLayoutVars>
      </dgm:prSet>
      <dgm:spPr>
        <a:prstGeom prst="leftArrowCallout">
          <a:avLst/>
        </a:prstGeom>
      </dgm:spPr>
      <dgm:t>
        <a:bodyPr/>
        <a:lstStyle/>
        <a:p>
          <a:endParaRPr lang="en-GB"/>
        </a:p>
      </dgm:t>
    </dgm:pt>
    <dgm:pt modelId="{E3CE8EC3-729D-44E1-BFFC-D21A630C8CD2}" type="pres">
      <dgm:prSet presAssocID="{30822454-2F59-42FE-A4E9-76360AFF5724}" presName="base" presStyleLbl="dkBgShp" presStyleIdx="1" presStyleCnt="2" custAng="10800000" custFlipVert="1" custFlipHor="0" custScaleX="742" custScaleY="7990" custLinFactNeighborX="4574" custLinFactNeighborY="13116"/>
      <dgm:spPr>
        <a:solidFill>
          <a:schemeClr val="accent1">
            <a:lumMod val="75000"/>
          </a:schemeClr>
        </a:solidFill>
      </dgm:spPr>
    </dgm:pt>
  </dgm:ptLst>
  <dgm:cxnLst>
    <dgm:cxn modelId="{31FC8350-8716-4959-AE61-2EBD16B5E09D}" type="presOf" srcId="{6EEE65B9-BF91-46EF-B6C5-39E394553CCF}" destId="{7E4E62DA-2483-4656-B524-567A2699C77A}" srcOrd="0" destOrd="0" presId="urn:microsoft.com/office/officeart/2005/8/layout/hList3"/>
    <dgm:cxn modelId="{E4469356-3B14-4300-BED4-BC8B9FF38A27}" type="presOf" srcId="{F545CEEA-7703-4731-925C-6C5080A9F269}" destId="{6534E485-2FDC-425C-8696-455B5A91D0E7}" srcOrd="0" destOrd="0" presId="urn:microsoft.com/office/officeart/2005/8/layout/hList3"/>
    <dgm:cxn modelId="{1992F615-4BDB-42DC-AC76-42B2191EE67D}" srcId="{2D6C8BF2-D53C-4FC1-AA04-787B10C0AAB5}" destId="{30822454-2F59-42FE-A4E9-76360AFF5724}" srcOrd="0" destOrd="0" parTransId="{DBA3E122-2073-49F2-9700-BDE82639751D}" sibTransId="{3C441796-DB11-4740-B89D-2DE7F5BB8F20}"/>
    <dgm:cxn modelId="{6296B363-84BF-4FD7-B6B0-AFDA73BAB03E}" type="presOf" srcId="{2D6C8BF2-D53C-4FC1-AA04-787B10C0AAB5}" destId="{C7A948FA-70E6-4C10-816E-87C90AD2F5D2}" srcOrd="0" destOrd="0" presId="urn:microsoft.com/office/officeart/2005/8/layout/hList3"/>
    <dgm:cxn modelId="{243F009B-69BD-4C84-AD4D-7C22A7AA48D3}" srcId="{30822454-2F59-42FE-A4E9-76360AFF5724}" destId="{F545CEEA-7703-4731-925C-6C5080A9F269}" srcOrd="2" destOrd="0" parTransId="{1418D3C9-64F6-4A57-B210-D2AAE243F8C0}" sibTransId="{1BE57AAD-A705-4F93-B511-AE308E0641F8}"/>
    <dgm:cxn modelId="{F6AB8FB1-D774-4518-A394-09871E6AF518}" type="presOf" srcId="{30822454-2F59-42FE-A4E9-76360AFF5724}" destId="{42DEF211-E055-45C6-BD91-C6B5FD4D02F3}" srcOrd="0" destOrd="0" presId="urn:microsoft.com/office/officeart/2005/8/layout/hList3"/>
    <dgm:cxn modelId="{E082EA7D-689F-4424-B10D-EC211927BA75}" srcId="{30822454-2F59-42FE-A4E9-76360AFF5724}" destId="{6EEE65B9-BF91-46EF-B6C5-39E394553CCF}" srcOrd="1" destOrd="0" parTransId="{4F7AE2A1-2664-43F2-8FD2-F4A828191603}" sibTransId="{1A28BC1F-1090-4CC0-805C-6339D1529579}"/>
    <dgm:cxn modelId="{9557D8D6-79EC-47D1-AA90-050FED05E1AD}" srcId="{30822454-2F59-42FE-A4E9-76360AFF5724}" destId="{F81AA9E1-5906-4222-A0DE-7AF0CE880904}" srcOrd="0" destOrd="0" parTransId="{06A35335-5582-4098-8CBA-40F970C05003}" sibTransId="{1A456F0D-D4CF-4A99-96AF-F3A6160201DA}"/>
    <dgm:cxn modelId="{61AAC499-D5AE-4F18-BAE9-ABC1886C1EB2}" type="presOf" srcId="{F81AA9E1-5906-4222-A0DE-7AF0CE880904}" destId="{41F8988B-E116-4495-BCC7-938BAA5D2BD3}" srcOrd="0" destOrd="0" presId="urn:microsoft.com/office/officeart/2005/8/layout/hList3"/>
    <dgm:cxn modelId="{B7D20A25-0909-4551-9018-AD9036E8CEDD}" type="presParOf" srcId="{C7A948FA-70E6-4C10-816E-87C90AD2F5D2}" destId="{42DEF211-E055-45C6-BD91-C6B5FD4D02F3}" srcOrd="0" destOrd="0" presId="urn:microsoft.com/office/officeart/2005/8/layout/hList3"/>
    <dgm:cxn modelId="{F6FA94E1-E0B6-46F5-8613-DE336D6CCDEF}" type="presParOf" srcId="{C7A948FA-70E6-4C10-816E-87C90AD2F5D2}" destId="{A9D095B8-F243-48AA-9666-1039179D9088}" srcOrd="1" destOrd="0" presId="urn:microsoft.com/office/officeart/2005/8/layout/hList3"/>
    <dgm:cxn modelId="{7BCE2B9F-CA99-4A44-87D6-13EF3FAF0004}" type="presParOf" srcId="{A9D095B8-F243-48AA-9666-1039179D9088}" destId="{41F8988B-E116-4495-BCC7-938BAA5D2BD3}" srcOrd="0" destOrd="0" presId="urn:microsoft.com/office/officeart/2005/8/layout/hList3"/>
    <dgm:cxn modelId="{FB9FD8EF-2D1A-4797-8245-AA748C0174A4}" type="presParOf" srcId="{A9D095B8-F243-48AA-9666-1039179D9088}" destId="{7E4E62DA-2483-4656-B524-567A2699C77A}" srcOrd="1" destOrd="0" presId="urn:microsoft.com/office/officeart/2005/8/layout/hList3"/>
    <dgm:cxn modelId="{AB3B7CD2-1BB1-414D-AAE2-FCB02B97D596}" type="presParOf" srcId="{A9D095B8-F243-48AA-9666-1039179D9088}" destId="{6534E485-2FDC-425C-8696-455B5A91D0E7}" srcOrd="2" destOrd="0" presId="urn:microsoft.com/office/officeart/2005/8/layout/hList3"/>
    <dgm:cxn modelId="{0BCD4C05-DFED-4CD3-B360-B2DC18204D65}" type="presParOf" srcId="{C7A948FA-70E6-4C10-816E-87C90AD2F5D2}" destId="{E3CE8EC3-729D-44E1-BFFC-D21A630C8CD2}" srcOrd="2" destOrd="0" presId="urn:microsoft.com/office/officeart/2005/8/layout/hList3"/>
  </dgm:cxnLst>
  <dgm:bg>
    <a:solidFill>
      <a:schemeClr val="accent1">
        <a:lumMod val="75000"/>
      </a:schemeClr>
    </a:solidFill>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EF211-E055-45C6-BD91-C6B5FD4D02F3}">
      <dsp:nvSpPr>
        <dsp:cNvPr id="0" name=""/>
        <dsp:cNvSpPr/>
      </dsp:nvSpPr>
      <dsp:spPr>
        <a:xfrm>
          <a:off x="0" y="250637"/>
          <a:ext cx="7633054" cy="696032"/>
        </a:xfrm>
        <a:prstGeom prst="rect">
          <a:avLst/>
        </a:prstGeom>
        <a:solidFill>
          <a:schemeClr val="accent1">
            <a:shade val="8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GB" sz="2300" kern="1200">
              <a:latin typeface="Calibri (Body)"/>
            </a:rPr>
            <a:t>Lisbon Treaty</a:t>
          </a:r>
        </a:p>
        <a:p>
          <a:pPr lvl="0" algn="ctr" defTabSz="1022350">
            <a:lnSpc>
              <a:spcPct val="90000"/>
            </a:lnSpc>
            <a:spcBef>
              <a:spcPct val="0"/>
            </a:spcBef>
            <a:spcAft>
              <a:spcPct val="35000"/>
            </a:spcAft>
          </a:pPr>
          <a:r>
            <a:rPr lang="en-GB" sz="2300" kern="1200">
              <a:latin typeface="Calibri (Body)"/>
            </a:rPr>
            <a:t>EU Charter of Fundamental Rights</a:t>
          </a:r>
        </a:p>
      </dsp:txBody>
      <dsp:txXfrm>
        <a:off x="0" y="250637"/>
        <a:ext cx="7633054" cy="696032"/>
      </dsp:txXfrm>
    </dsp:sp>
    <dsp:sp modelId="{41F8988B-E116-4495-BCC7-938BAA5D2BD3}">
      <dsp:nvSpPr>
        <dsp:cNvPr id="0" name=""/>
        <dsp:cNvSpPr/>
      </dsp:nvSpPr>
      <dsp:spPr>
        <a:xfrm>
          <a:off x="197781" y="1063345"/>
          <a:ext cx="3692189" cy="3716792"/>
        </a:xfrm>
        <a:prstGeom prst="rect">
          <a:avLst/>
        </a:prstGeom>
        <a:gradFill rotWithShape="0">
          <a:gsLst>
            <a:gs pos="0">
              <a:schemeClr val="accent1">
                <a:hueOff val="0"/>
                <a:satOff val="0"/>
                <a:alphaOff val="0"/>
                <a:tint val="50000"/>
                <a:satMod val="300000"/>
                <a:lumMod val="4000"/>
                <a:lumOff val="96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GB" sz="6500" kern="1200"/>
        </a:p>
        <a:p>
          <a:pPr lvl="0" algn="ctr" defTabSz="2889250">
            <a:lnSpc>
              <a:spcPct val="90000"/>
            </a:lnSpc>
            <a:spcBef>
              <a:spcPct val="0"/>
            </a:spcBef>
            <a:spcAft>
              <a:spcPct val="35000"/>
            </a:spcAft>
          </a:pPr>
          <a:endParaRPr lang="en-GB" sz="6500" kern="1200"/>
        </a:p>
      </dsp:txBody>
      <dsp:txXfrm>
        <a:off x="197781" y="1063345"/>
        <a:ext cx="3692189" cy="3716792"/>
      </dsp:txXfrm>
    </dsp:sp>
    <dsp:sp modelId="{7E4E62DA-2483-4656-B524-567A2699C77A}">
      <dsp:nvSpPr>
        <dsp:cNvPr id="0" name=""/>
        <dsp:cNvSpPr/>
      </dsp:nvSpPr>
      <dsp:spPr>
        <a:xfrm>
          <a:off x="4129057" y="1057079"/>
          <a:ext cx="3240086" cy="370222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GB" sz="6500" kern="1200"/>
        </a:p>
      </dsp:txBody>
      <dsp:txXfrm>
        <a:off x="4129057" y="1057079"/>
        <a:ext cx="3240086" cy="3702221"/>
      </dsp:txXfrm>
    </dsp:sp>
    <dsp:sp modelId="{6534E485-2FDC-425C-8696-455B5A91D0E7}">
      <dsp:nvSpPr>
        <dsp:cNvPr id="0" name=""/>
        <dsp:cNvSpPr/>
      </dsp:nvSpPr>
      <dsp:spPr>
        <a:xfrm>
          <a:off x="3862802" y="1308061"/>
          <a:ext cx="696155" cy="2530737"/>
        </a:xfrm>
        <a:prstGeom prst="leftArrowCallout">
          <a:avLst/>
        </a:prstGeom>
        <a:solidFill>
          <a:schemeClr val="bg1">
            <a:lumMod val="9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vert270"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Informing</a:t>
          </a:r>
        </a:p>
      </dsp:txBody>
      <dsp:txXfrm>
        <a:off x="4106616" y="1308061"/>
        <a:ext cx="452341" cy="2530737"/>
      </dsp:txXfrm>
    </dsp:sp>
    <dsp:sp modelId="{E3CE8EC3-729D-44E1-BFFC-D21A630C8CD2}">
      <dsp:nvSpPr>
        <dsp:cNvPr id="0" name=""/>
        <dsp:cNvSpPr/>
      </dsp:nvSpPr>
      <dsp:spPr>
        <a:xfrm rot="10800000" flipV="1">
          <a:off x="4137344" y="4755762"/>
          <a:ext cx="56637" cy="28306"/>
        </a:xfrm>
        <a:prstGeom prst="rect">
          <a:avLst/>
        </a:prstGeom>
        <a:solidFill>
          <a:schemeClr val="accent1">
            <a:lumMod val="75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57B36-C0B9-4EDF-84C5-4AEDAD1A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40793</Words>
  <Characters>232521</Characters>
  <Application>Microsoft Office Word</Application>
  <DocSecurity>0</DocSecurity>
  <Lines>1937</Lines>
  <Paragraphs>545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272769</CharactersWithSpaces>
  <SharedDoc>false</SharedDoc>
  <HLinks>
    <vt:vector size="78" baseType="variant">
      <vt:variant>
        <vt:i4>524370</vt:i4>
      </vt:variant>
      <vt:variant>
        <vt:i4>24</vt:i4>
      </vt:variant>
      <vt:variant>
        <vt:i4>0</vt:i4>
      </vt:variant>
      <vt:variant>
        <vt:i4>5</vt:i4>
      </vt:variant>
      <vt:variant>
        <vt:lpwstr>http://web.worldbank.org/WBSITE/EXTERNAL/PROJECTS/EXTPOLICIES/EXTOPMANUAL/0,,contentMDK:20553653~menuPK:4564185~pagePK:64709096~piPK:64709108~theSitePK:502184,00.html</vt:lpwstr>
      </vt:variant>
      <vt:variant>
        <vt:lpwstr>F18</vt:lpwstr>
      </vt:variant>
      <vt:variant>
        <vt:i4>917586</vt:i4>
      </vt:variant>
      <vt:variant>
        <vt:i4>21</vt:i4>
      </vt:variant>
      <vt:variant>
        <vt:i4>0</vt:i4>
      </vt:variant>
      <vt:variant>
        <vt:i4>5</vt:i4>
      </vt:variant>
      <vt:variant>
        <vt:lpwstr>http://web.worldbank.org/WBSITE/EXTERNAL/PROJECTS/EXTPOLICIES/EXTOPMANUAL/0,,contentMDK:20553653~menuPK:4564185~pagePK:64709096~piPK:64709108~theSitePK:502184,00.html</vt:lpwstr>
      </vt:variant>
      <vt:variant>
        <vt:lpwstr>F7</vt:lpwstr>
      </vt:variant>
      <vt:variant>
        <vt:i4>393229</vt:i4>
      </vt:variant>
      <vt:variant>
        <vt:i4>18</vt:i4>
      </vt:variant>
      <vt:variant>
        <vt:i4>0</vt:i4>
      </vt:variant>
      <vt:variant>
        <vt:i4>5</vt:i4>
      </vt:variant>
      <vt:variant>
        <vt:lpwstr>http://web.worldbank.org/WBSITE/EXTERNAL/PROJECTS/EXTPOLICIES/EXTOPMANUAL/0,,contentMDK:20064757~menuPK:64701637~pagePK:64709096~piPK:64709108~theSitePK:502184,00.html</vt:lpwstr>
      </vt:variant>
      <vt:variant>
        <vt:lpwstr>f1</vt:lpwstr>
      </vt:variant>
      <vt:variant>
        <vt:i4>3539070</vt:i4>
      </vt:variant>
      <vt:variant>
        <vt:i4>15</vt:i4>
      </vt:variant>
      <vt:variant>
        <vt:i4>0</vt:i4>
      </vt:variant>
      <vt:variant>
        <vt:i4>5</vt:i4>
      </vt:variant>
      <vt:variant>
        <vt:lpwstr>http://web.worldbank.org/WBSITE/EXTERNAL/PROJECTS/EXTPOLICIES/EXTOPMANUAL/0,,contentMDK:20064599~isCURL:Y~menuPK:64701637~pagePK:64709096~piPK:64709108~theSitePK:502184,00.html</vt:lpwstr>
      </vt:variant>
      <vt:variant>
        <vt:lpwstr>f1</vt:lpwstr>
      </vt:variant>
      <vt:variant>
        <vt:i4>6881339</vt:i4>
      </vt:variant>
      <vt:variant>
        <vt:i4>12</vt:i4>
      </vt:variant>
      <vt:variant>
        <vt:i4>0</vt:i4>
      </vt:variant>
      <vt:variant>
        <vt:i4>5</vt:i4>
      </vt:variant>
      <vt:variant>
        <vt:lpwstr>http://web.worldbank.org/WBSITE/EXTERNAL/PROJECTS/EXTPOLICIES/EXTOPMANUAL/0,,contentMDK:20064724~menuPK:64701637~pagePK:64709096~piPK:64709108~theSitePK:502184,00.html</vt:lpwstr>
      </vt:variant>
      <vt:variant>
        <vt:lpwstr>fn13</vt:lpwstr>
      </vt:variant>
      <vt:variant>
        <vt:i4>6815803</vt:i4>
      </vt:variant>
      <vt:variant>
        <vt:i4>9</vt:i4>
      </vt:variant>
      <vt:variant>
        <vt:i4>0</vt:i4>
      </vt:variant>
      <vt:variant>
        <vt:i4>5</vt:i4>
      </vt:variant>
      <vt:variant>
        <vt:lpwstr>http://web.worldbank.org/WBSITE/EXTERNAL/PROJECTS/EXTPOLICIES/EXTOPMANUAL/0,,contentMDK:20064724~menuPK:64701637~pagePK:64709096~piPK:64709108~theSitePK:502184,00.html</vt:lpwstr>
      </vt:variant>
      <vt:variant>
        <vt:lpwstr>fn12</vt:lpwstr>
      </vt:variant>
      <vt:variant>
        <vt:i4>524399</vt:i4>
      </vt:variant>
      <vt:variant>
        <vt:i4>6</vt:i4>
      </vt:variant>
      <vt:variant>
        <vt:i4>0</vt:i4>
      </vt:variant>
      <vt:variant>
        <vt:i4>5</vt:i4>
      </vt:variant>
      <vt:variant>
        <vt:lpwstr>http://siteresources.worldbank.org/EXTSAFANDSUS/Resources/Safeguards_eval.pdf</vt:lpwstr>
      </vt:variant>
      <vt:variant>
        <vt:lpwstr/>
      </vt:variant>
      <vt:variant>
        <vt:i4>3014689</vt:i4>
      </vt:variant>
      <vt:variant>
        <vt:i4>3</vt:i4>
      </vt:variant>
      <vt:variant>
        <vt:i4>0</vt:i4>
      </vt:variant>
      <vt:variant>
        <vt:i4>5</vt:i4>
      </vt:variant>
      <vt:variant>
        <vt:lpwstr>http://siteresources.worldbank.org/EXTSAFEPOL/Resources/584434-1306431390058/SafeguardsReviewApproachPaper.pdf</vt:lpwstr>
      </vt:variant>
      <vt:variant>
        <vt:lpwstr/>
      </vt:variant>
      <vt:variant>
        <vt:i4>983117</vt:i4>
      </vt:variant>
      <vt:variant>
        <vt:i4>0</vt:i4>
      </vt:variant>
      <vt:variant>
        <vt:i4>0</vt:i4>
      </vt:variant>
      <vt:variant>
        <vt:i4>5</vt:i4>
      </vt:variant>
      <vt:variant>
        <vt:lpwstr>http://www.iadb.org/document.cfm?id=35597106</vt:lpwstr>
      </vt:variant>
      <vt:variant>
        <vt:lpwstr/>
      </vt:variant>
      <vt:variant>
        <vt:i4>5111855</vt:i4>
      </vt:variant>
      <vt:variant>
        <vt:i4>3</vt:i4>
      </vt:variant>
      <vt:variant>
        <vt:i4>0</vt:i4>
      </vt:variant>
      <vt:variant>
        <vt:i4>5</vt:i4>
      </vt:variant>
      <vt:variant>
        <vt:lpwstr>http://www.un.org/esa/socdev/unpfii/documents/DRIPS_en.pdf</vt:lpwstr>
      </vt:variant>
      <vt:variant>
        <vt:lpwstr/>
      </vt:variant>
      <vt:variant>
        <vt:i4>4980739</vt:i4>
      </vt:variant>
      <vt:variant>
        <vt:i4>0</vt:i4>
      </vt:variant>
      <vt:variant>
        <vt:i4>0</vt:i4>
      </vt:variant>
      <vt:variant>
        <vt:i4>5</vt:i4>
      </vt:variant>
      <vt:variant>
        <vt:lpwstr>http://siteresources.worldbank.org/EXTSAFANDSUS/Resources/mgmt_response_mar.pdf</vt:lpwstr>
      </vt:variant>
      <vt:variant>
        <vt:lpwstr/>
      </vt:variant>
      <vt:variant>
        <vt:i4>7143463</vt:i4>
      </vt:variant>
      <vt:variant>
        <vt:i4>3</vt:i4>
      </vt:variant>
      <vt:variant>
        <vt:i4>0</vt:i4>
      </vt:variant>
      <vt:variant>
        <vt:i4>5</vt:i4>
      </vt:variant>
      <vt:variant>
        <vt:lpwstr>http://web.worldbank.org/WBSITE/EXTERNAL/PROJECTS/EXTPOLICIES/EXTOPMANUAL/0,,contentMDK:21238942~menuPK:4564185~pagePK:64709096~piPK:64709108~theSitePK:502184~isCURL:Y,00.html</vt:lpwstr>
      </vt:variant>
      <vt:variant>
        <vt:lpwstr/>
      </vt:variant>
      <vt:variant>
        <vt:i4>6357032</vt:i4>
      </vt:variant>
      <vt:variant>
        <vt:i4>0</vt:i4>
      </vt:variant>
      <vt:variant>
        <vt:i4>0</vt:i4>
      </vt:variant>
      <vt:variant>
        <vt:i4>5</vt:i4>
      </vt:variant>
      <vt:variant>
        <vt:lpwstr>http://web.worldbank.org/WBSITE/EXTERNAL/PROJECTS/EXTPOLICIES/EXTOPMANUAL/0,,contentMDK:20240031~menuPK:4564185~pagePK:64709096~piPK:64709108~theSitePK:502184~isCURL:Y,00.html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 Himberg</dc:creator>
  <cp:lastModifiedBy>Jennifer Chato</cp:lastModifiedBy>
  <cp:revision>2</cp:revision>
  <cp:lastPrinted>2015-05-13T16:31:00Z</cp:lastPrinted>
  <dcterms:created xsi:type="dcterms:W3CDTF">2016-08-01T23:10:00Z</dcterms:created>
  <dcterms:modified xsi:type="dcterms:W3CDTF">2016-08-01T23:10:00Z</dcterms:modified>
</cp:coreProperties>
</file>