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58D" w:rsidRDefault="00116C1F" w:rsidP="00F45E9B">
      <w:pPr>
        <w:spacing w:after="0" w:line="240" w:lineRule="auto"/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eastAsia="en-US" w:bidi="ar-SA"/>
        </w:rPr>
      </w:pPr>
      <w:bookmarkStart w:id="0" w:name="_GoBack"/>
      <w:bookmarkEnd w:id="0"/>
      <w:r w:rsidRPr="00F45E9B">
        <w:rPr>
          <w:rFonts w:asciiTheme="minorHAnsi" w:hAnsiTheme="minorHAnsi" w:cstheme="minorHAnsi"/>
          <w:noProof/>
          <w:color w:val="000000"/>
          <w:sz w:val="18"/>
          <w:szCs w:val="18"/>
          <w:lang w:eastAsia="en-US" w:bidi="ar-SA"/>
        </w:rPr>
        <w:drawing>
          <wp:inline distT="0" distB="0" distL="0" distR="0" wp14:anchorId="45B9CD23" wp14:editId="03FF8CFD">
            <wp:extent cx="3448050" cy="1021152"/>
            <wp:effectExtent l="0" t="0" r="0" b="0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8D" w:rsidRDefault="00DA0989" w:rsidP="00F45E9B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eastAsia="en-US" w:bidi="ar-SA"/>
        </w:rPr>
      </w:pPr>
      <w:r w:rsidRPr="008D70B8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eastAsia="en-US" w:bidi="ar-SA"/>
        </w:rPr>
        <w:t>The World Bank</w:t>
      </w:r>
    </w:p>
    <w:p w:rsidR="0034158D" w:rsidRDefault="00DA0989" w:rsidP="00F45E9B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8D70B8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:rsidR="0034158D" w:rsidRPr="00F45E9B" w:rsidRDefault="0034158D" w:rsidP="00F45E9B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color w:val="365F91" w:themeColor="accent1" w:themeShade="BF"/>
          <w:sz w:val="28"/>
          <w:szCs w:val="28"/>
        </w:rPr>
      </w:pPr>
      <w:r w:rsidRPr="00F45E9B">
        <w:rPr>
          <w:rFonts w:asciiTheme="minorHAnsi" w:eastAsiaTheme="minorEastAsia" w:hAnsiTheme="minorHAnsi" w:cstheme="minorHAnsi"/>
          <w:b/>
          <w:color w:val="365F91" w:themeColor="accent1" w:themeShade="BF"/>
          <w:sz w:val="28"/>
          <w:szCs w:val="28"/>
        </w:rPr>
        <w:t>China: Dialogue with Ethnic Minorities</w:t>
      </w:r>
    </w:p>
    <w:p w:rsidR="0034158D" w:rsidRPr="00F45E9B" w:rsidRDefault="0034158D" w:rsidP="00F45E9B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color w:val="365F91" w:themeColor="accent1" w:themeShade="BF"/>
          <w:sz w:val="28"/>
          <w:szCs w:val="28"/>
        </w:rPr>
      </w:pPr>
      <w:r w:rsidRPr="00F45E9B">
        <w:rPr>
          <w:rFonts w:asciiTheme="minorHAnsi" w:eastAsiaTheme="minorEastAsia" w:hAnsiTheme="minorHAnsi" w:cstheme="minorHAnsi"/>
          <w:b/>
          <w:color w:val="365F91" w:themeColor="accent1" w:themeShade="BF"/>
          <w:sz w:val="28"/>
          <w:szCs w:val="28"/>
        </w:rPr>
        <w:t>Feedback Summary</w:t>
      </w:r>
      <w:r w:rsidR="00F45E9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br/>
      </w:r>
    </w:p>
    <w:p w:rsidR="00F45E9B" w:rsidRPr="00F45E9B" w:rsidRDefault="00F45E9B" w:rsidP="00F45E9B">
      <w:pPr>
        <w:pStyle w:val="Default"/>
      </w:pPr>
      <w:r w:rsidRPr="00F45E9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dialogue </w:t>
      </w:r>
      <w:r w:rsidRPr="00F45E9B">
        <w:rPr>
          <w:rFonts w:asciiTheme="minorHAnsi" w:hAnsiTheme="minorHAnsi" w:cstheme="minorHAnsi"/>
        </w:rPr>
        <w:t>with Government officials and representatives from academia, project management offices and Ethnic Minorities</w:t>
      </w:r>
      <w:r>
        <w:rPr>
          <w:rFonts w:asciiTheme="minorHAnsi" w:hAnsiTheme="minorHAnsi" w:cstheme="minorHAnsi"/>
        </w:rPr>
        <w:t xml:space="preserve"> </w:t>
      </w:r>
      <w:r w:rsidRPr="00F45E9B">
        <w:rPr>
          <w:rFonts w:asciiTheme="minorHAnsi" w:hAnsiTheme="minorHAnsi" w:cstheme="minorHAnsi"/>
        </w:rPr>
        <w:t xml:space="preserve">was held on </w:t>
      </w:r>
      <w:r>
        <w:rPr>
          <w:rFonts w:asciiTheme="minorHAnsi" w:hAnsiTheme="minorHAnsi" w:cstheme="minorHAnsi"/>
        </w:rPr>
        <w:t>November</w:t>
      </w:r>
      <w:r w:rsidRPr="00F45E9B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2-13</w:t>
      </w:r>
      <w:r w:rsidRPr="00F45E9B">
        <w:rPr>
          <w:rFonts w:asciiTheme="minorHAnsi" w:hAnsiTheme="minorHAnsi" w:cstheme="minorHAnsi"/>
        </w:rPr>
        <w:t xml:space="preserve">, 2013 in </w:t>
      </w:r>
      <w:r>
        <w:rPr>
          <w:rFonts w:asciiTheme="minorHAnsi" w:hAnsiTheme="minorHAnsi" w:cstheme="minorHAnsi"/>
        </w:rPr>
        <w:t>Beijing</w:t>
      </w:r>
      <w:r w:rsidRPr="00F45E9B">
        <w:rPr>
          <w:rFonts w:asciiTheme="minorHAnsi" w:hAnsiTheme="minorHAnsi" w:cstheme="minorHAnsi"/>
        </w:rPr>
        <w:t>, C</w:t>
      </w:r>
      <w:r>
        <w:rPr>
          <w:rFonts w:asciiTheme="minorHAnsi" w:hAnsiTheme="minorHAnsi" w:cstheme="minorHAnsi"/>
        </w:rPr>
        <w:t>hina</w:t>
      </w:r>
      <w:r w:rsidRPr="00F45E9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This regional dialogue is part of a global dialogue with Indigenous Peoples that the World Bank </w:t>
      </w:r>
      <w:r w:rsidR="00442560">
        <w:rPr>
          <w:rFonts w:asciiTheme="minorHAnsi" w:hAnsiTheme="minorHAnsi" w:cstheme="minorHAnsi"/>
        </w:rPr>
        <w:t>held to seekinput to the safeguard policies</w:t>
      </w:r>
      <w:r>
        <w:rPr>
          <w:rFonts w:asciiTheme="minorHAnsi" w:hAnsiTheme="minorHAnsi" w:cstheme="minorHAnsi"/>
        </w:rPr>
        <w:t xml:space="preserve"> review </w:t>
      </w:r>
      <w:r w:rsidR="00442560">
        <w:rPr>
          <w:rFonts w:asciiTheme="minorHAnsi" w:hAnsiTheme="minorHAnsi" w:cstheme="minorHAnsi"/>
        </w:rPr>
        <w:t xml:space="preserve">and update </w:t>
      </w:r>
      <w:r>
        <w:rPr>
          <w:rFonts w:asciiTheme="minorHAnsi" w:hAnsiTheme="minorHAnsi" w:cstheme="minorHAnsi"/>
        </w:rPr>
        <w:t>process</w:t>
      </w:r>
      <w:r>
        <w:rPr>
          <w:sz w:val="22"/>
          <w:szCs w:val="22"/>
        </w:rPr>
        <w:t xml:space="preserve">. </w:t>
      </w:r>
      <w:r w:rsidR="00442560">
        <w:rPr>
          <w:sz w:val="22"/>
          <w:szCs w:val="22"/>
        </w:rPr>
        <w:t xml:space="preserve"> </w:t>
      </w:r>
      <w:r w:rsidR="00442560" w:rsidRPr="00442560">
        <w:t xml:space="preserve">A </w:t>
      </w:r>
      <w:hyperlink r:id="rId13" w:history="1">
        <w:r w:rsidR="00442560" w:rsidRPr="00442560">
          <w:rPr>
            <w:rStyle w:val="Hyperlink"/>
          </w:rPr>
          <w:t>term of reference</w:t>
        </w:r>
      </w:hyperlink>
      <w:r w:rsidR="00442560" w:rsidRPr="00442560">
        <w:t xml:space="preserve"> of the global dialogue is available on the website.</w:t>
      </w:r>
      <w:r w:rsidR="00442560">
        <w:rPr>
          <w:sz w:val="22"/>
          <w:szCs w:val="22"/>
        </w:rPr>
        <w:t xml:space="preserve">  </w:t>
      </w:r>
      <w:r w:rsidRPr="00F45E9B">
        <w:rPr>
          <w:rFonts w:asciiTheme="minorHAnsi" w:hAnsiTheme="minorHAnsi" w:cstheme="minorHAnsi"/>
        </w:rPr>
        <w:t xml:space="preserve">After an overview presentation by the Bank on the safeguard policy review process, </w:t>
      </w:r>
      <w:r w:rsidR="00442560">
        <w:rPr>
          <w:rFonts w:asciiTheme="minorHAnsi" w:hAnsiTheme="minorHAnsi" w:cstheme="minorHAnsi"/>
        </w:rPr>
        <w:t xml:space="preserve">participants </w:t>
      </w:r>
      <w:r w:rsidR="004D1F01">
        <w:t xml:space="preserve">shared their thoughts on the safeguard update process as well as their thoughts </w:t>
      </w:r>
      <w:r w:rsidR="004D1F01">
        <w:rPr>
          <w:rFonts w:cs="Times New Roman"/>
        </w:rPr>
        <w:t xml:space="preserve">on a number of </w:t>
      </w:r>
      <w:r w:rsidR="004D1F01" w:rsidRPr="00DD409A">
        <w:rPr>
          <w:rFonts w:cs="Times New Roman"/>
        </w:rPr>
        <w:t xml:space="preserve">specific issues </w:t>
      </w:r>
      <w:r w:rsidR="004D1F01">
        <w:rPr>
          <w:rFonts w:cs="Times New Roman"/>
        </w:rPr>
        <w:t xml:space="preserve">important to Ethnic Minorities. </w:t>
      </w:r>
      <w:r w:rsidR="00442560">
        <w:rPr>
          <w:rFonts w:asciiTheme="minorHAnsi" w:hAnsiTheme="minorHAnsi" w:cstheme="minorHAnsi"/>
        </w:rPr>
        <w:t>The table below summarizes points raised during the dialogue.</w:t>
      </w:r>
    </w:p>
    <w:p w:rsidR="0034158D" w:rsidRPr="00F45E9B" w:rsidRDefault="0034158D" w:rsidP="00F45E9B">
      <w:pPr>
        <w:pStyle w:val="Title"/>
        <w:spacing w:after="0"/>
        <w:contextualSpacing w:val="0"/>
        <w:rPr>
          <w:rFonts w:ascii="Calibri" w:hAnsi="Calibri" w:cs="Calibri"/>
          <w:b/>
          <w:color w:val="4F81BD" w:themeColor="accent1"/>
          <w:sz w:val="32"/>
          <w:szCs w:val="32"/>
          <w:lang w:eastAsia="zh-CN"/>
        </w:rPr>
      </w:pPr>
    </w:p>
    <w:p w:rsidR="0034158D" w:rsidRDefault="004417FE" w:rsidP="00F45E9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inorHAnsi"/>
          <w:b/>
          <w:szCs w:val="24"/>
          <w:lang w:val="en-US"/>
        </w:rPr>
      </w:pPr>
      <w:r w:rsidRPr="008D70B8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9B7F4B" w:rsidRPr="008D70B8">
        <w:rPr>
          <w:rFonts w:asciiTheme="minorHAnsi" w:hAnsiTheme="minorHAnsi" w:cstheme="minorHAnsi"/>
          <w:b/>
          <w:bCs/>
          <w:szCs w:val="24"/>
          <w:lang w:val="en-US"/>
        </w:rPr>
        <w:t>Nov</w:t>
      </w:r>
      <w:r w:rsidR="00652EA2" w:rsidRPr="008D70B8">
        <w:rPr>
          <w:rFonts w:asciiTheme="minorHAnsi" w:hAnsiTheme="minorHAnsi" w:cstheme="minorHAnsi"/>
          <w:b/>
          <w:bCs/>
          <w:szCs w:val="24"/>
          <w:lang w:val="en-US"/>
        </w:rPr>
        <w:t>ember</w:t>
      </w:r>
      <w:r w:rsidR="00E06B80" w:rsidRPr="008D70B8"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 </w:t>
      </w:r>
      <w:r w:rsidR="0034158D" w:rsidRPr="00F45E9B">
        <w:rPr>
          <w:rFonts w:asciiTheme="minorHAnsi" w:hAnsiTheme="minorHAnsi" w:cstheme="minorHAnsi"/>
          <w:b/>
          <w:bCs/>
          <w:szCs w:val="24"/>
          <w:lang w:val="en-US"/>
        </w:rPr>
        <w:t>12</w:t>
      </w:r>
      <w:r w:rsidR="0034158D" w:rsidRPr="00F45E9B">
        <w:rPr>
          <w:rFonts w:asciiTheme="minorHAnsi" w:hAnsiTheme="minorHAnsi" w:cstheme="minorHAnsi"/>
          <w:b/>
          <w:bCs/>
          <w:szCs w:val="24"/>
          <w:lang w:val="en-US" w:eastAsia="zh-CN"/>
        </w:rPr>
        <w:t>-13</w:t>
      </w:r>
      <w:r w:rsidRPr="008D70B8">
        <w:rPr>
          <w:rFonts w:asciiTheme="minorHAnsi" w:hAnsiTheme="minorHAnsi" w:cstheme="minorHAnsi"/>
          <w:b/>
          <w:bCs/>
          <w:szCs w:val="24"/>
          <w:lang w:val="en-US"/>
        </w:rPr>
        <w:t xml:space="preserve">, 2013 </w:t>
      </w:r>
    </w:p>
    <w:p w:rsidR="0034158D" w:rsidRDefault="004417FE" w:rsidP="00F45E9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8D70B8">
        <w:rPr>
          <w:rFonts w:asciiTheme="minorHAnsi" w:hAnsiTheme="minorHAnsi" w:cstheme="minorHAnsi"/>
          <w:b/>
          <w:bCs/>
          <w:szCs w:val="24"/>
          <w:lang w:val="en-US"/>
        </w:rPr>
        <w:t>Venue: Beijing, China</w:t>
      </w:r>
    </w:p>
    <w:p w:rsidR="0034158D" w:rsidRDefault="004417FE" w:rsidP="00F45E9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8D70B8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8D70B8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 w:rsidR="004351E3" w:rsidRPr="008D70B8">
        <w:rPr>
          <w:rFonts w:asciiTheme="minorHAnsi" w:hAnsiTheme="minorHAnsi" w:cstheme="minorHAnsi"/>
          <w:b/>
          <w:szCs w:val="24"/>
          <w:lang w:val="en-US" w:eastAsia="zh-CN"/>
        </w:rPr>
        <w:t>40</w:t>
      </w:r>
      <w:r w:rsidR="00041DD8" w:rsidRPr="008D70B8">
        <w:rPr>
          <w:rFonts w:asciiTheme="minorHAnsi" w:hAnsiTheme="minorHAnsi" w:cstheme="minorHAnsi"/>
          <w:b/>
          <w:szCs w:val="24"/>
          <w:lang w:val="en-US"/>
        </w:rPr>
        <w:t xml:space="preserve"> (including </w:t>
      </w:r>
      <w:r w:rsidR="009A707A" w:rsidRPr="008D70B8">
        <w:rPr>
          <w:rFonts w:asciiTheme="minorHAnsi" w:hAnsiTheme="minorHAnsi" w:cstheme="minorHAnsi"/>
          <w:b/>
          <w:szCs w:val="24"/>
          <w:lang w:val="en-US"/>
        </w:rPr>
        <w:t>G</w:t>
      </w:r>
      <w:r w:rsidR="00041DD8" w:rsidRPr="008D70B8">
        <w:rPr>
          <w:rFonts w:asciiTheme="minorHAnsi" w:hAnsiTheme="minorHAnsi" w:cstheme="minorHAnsi"/>
          <w:b/>
          <w:szCs w:val="24"/>
          <w:lang w:val="en-US"/>
        </w:rPr>
        <w:t xml:space="preserve">overnment officials and representatives from academia, </w:t>
      </w:r>
      <w:r w:rsidR="00A1553E" w:rsidRPr="008D70B8">
        <w:rPr>
          <w:rFonts w:asciiTheme="minorHAnsi" w:hAnsiTheme="minorHAnsi" w:cstheme="minorHAnsi"/>
          <w:b/>
          <w:szCs w:val="24"/>
          <w:lang w:val="en-US"/>
        </w:rPr>
        <w:t xml:space="preserve">project management offices </w:t>
      </w:r>
      <w:r w:rsidR="00041DD8" w:rsidRPr="008D70B8">
        <w:rPr>
          <w:rFonts w:asciiTheme="minorHAnsi" w:hAnsiTheme="minorHAnsi" w:cstheme="minorHAnsi"/>
          <w:b/>
          <w:szCs w:val="24"/>
          <w:lang w:val="en-US"/>
        </w:rPr>
        <w:t xml:space="preserve">and </w:t>
      </w:r>
      <w:r w:rsidR="00652EA2" w:rsidRPr="008D70B8">
        <w:rPr>
          <w:rFonts w:asciiTheme="minorHAnsi" w:hAnsiTheme="minorHAnsi" w:cstheme="minorHAnsi"/>
          <w:b/>
          <w:szCs w:val="24"/>
          <w:lang w:val="en-US"/>
        </w:rPr>
        <w:t>E</w:t>
      </w:r>
      <w:r w:rsidR="00041DD8" w:rsidRPr="008D70B8">
        <w:rPr>
          <w:rFonts w:asciiTheme="minorHAnsi" w:hAnsiTheme="minorHAnsi" w:cstheme="minorHAnsi"/>
          <w:b/>
          <w:szCs w:val="24"/>
          <w:lang w:val="en-US"/>
        </w:rPr>
        <w:t>th</w:t>
      </w:r>
      <w:r w:rsidR="00652EA2" w:rsidRPr="008D70B8">
        <w:rPr>
          <w:rFonts w:asciiTheme="minorHAnsi" w:hAnsiTheme="minorHAnsi" w:cstheme="minorHAnsi"/>
          <w:b/>
          <w:szCs w:val="24"/>
          <w:lang w:val="en-US"/>
        </w:rPr>
        <w:t>n</w:t>
      </w:r>
      <w:r w:rsidR="00041DD8" w:rsidRPr="008D70B8">
        <w:rPr>
          <w:rFonts w:asciiTheme="minorHAnsi" w:hAnsiTheme="minorHAnsi" w:cstheme="minorHAnsi"/>
          <w:b/>
          <w:szCs w:val="24"/>
          <w:lang w:val="en-US"/>
        </w:rPr>
        <w:t xml:space="preserve">ic </w:t>
      </w:r>
      <w:r w:rsidR="00652EA2" w:rsidRPr="008D70B8">
        <w:rPr>
          <w:rFonts w:asciiTheme="minorHAnsi" w:hAnsiTheme="minorHAnsi" w:cstheme="minorHAnsi"/>
          <w:b/>
          <w:szCs w:val="24"/>
          <w:lang w:val="en-US"/>
        </w:rPr>
        <w:t>Mi</w:t>
      </w:r>
      <w:r w:rsidR="00041DD8" w:rsidRPr="008D70B8">
        <w:rPr>
          <w:rFonts w:asciiTheme="minorHAnsi" w:hAnsiTheme="minorHAnsi" w:cstheme="minorHAnsi"/>
          <w:b/>
          <w:szCs w:val="24"/>
          <w:lang w:val="en-US"/>
        </w:rPr>
        <w:t>norities</w:t>
      </w:r>
      <w:r w:rsidRPr="008D70B8">
        <w:rPr>
          <w:rFonts w:asciiTheme="minorHAnsi" w:hAnsiTheme="minorHAnsi" w:cstheme="minorHAnsi"/>
          <w:b/>
          <w:szCs w:val="24"/>
          <w:lang w:val="en-US"/>
        </w:rPr>
        <w:t>)</w:t>
      </w:r>
    </w:p>
    <w:p w:rsidR="0034158D" w:rsidRDefault="0034158D" w:rsidP="00F45E9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="Calibri" w:hAnsi="Calibri" w:cs="Calibri"/>
          <w:b/>
          <w:szCs w:val="24"/>
          <w:lang w:val="en-US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04"/>
        <w:gridCol w:w="7"/>
      </w:tblGrid>
      <w:tr w:rsidR="009B7F4B" w:rsidRPr="008D70B8" w:rsidTr="00F45E9B">
        <w:trPr>
          <w:gridAfter w:val="1"/>
          <w:wAfter w:w="7" w:type="dxa"/>
        </w:trPr>
        <w:tc>
          <w:tcPr>
            <w:tcW w:w="13504" w:type="dxa"/>
            <w:shd w:val="pct15" w:color="auto" w:fill="auto"/>
          </w:tcPr>
          <w:p w:rsidR="009B7F4B" w:rsidRPr="00ED0471" w:rsidRDefault="009B7F4B" w:rsidP="00ED0471">
            <w:pPr>
              <w:pStyle w:val="ListParagraph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0B8">
              <w:rPr>
                <w:rFonts w:cs="Times New Roman"/>
                <w:b/>
                <w:iCs/>
                <w:sz w:val="22"/>
                <w:szCs w:val="22"/>
              </w:rPr>
              <w:t xml:space="preserve">Lessons Learned From Strategies and Programs for </w:t>
            </w:r>
            <w:r w:rsidRPr="008D70B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Development of Ethnic Minorities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9B7F4B" w:rsidP="00F45E9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</w:rPr>
              <w:t>What is the vision for the development of Ethnic Minorities? What are the main premises of this vision?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 What has been most important in achieving progress?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DA0989" w:rsidP="00F45E9B">
            <w:pPr>
              <w:pStyle w:val="BodyText2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r w:rsidR="0023510E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Chinese </w:t>
            </w:r>
            <w:r w:rsidR="00410BCE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G</w:t>
            </w:r>
            <w:r w:rsidR="0023510E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overnment’s policy on </w:t>
            </w:r>
            <w:r w:rsidR="004E29FC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Ethnic Minorities</w:t>
            </w:r>
            <w:r w:rsidR="0023510E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is in line with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r w:rsidR="00652EA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Bank’s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Operational P</w:t>
            </w:r>
            <w:r w:rsidR="0023510E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olicy in terms of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="0023510E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23510E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a) promoting development of </w:t>
            </w:r>
            <w:r w:rsidR="004E29FC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Ethnic Minorities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  <w:r w:rsidR="005E4AAD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5E4AAD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b) minimiz</w:t>
            </w:r>
            <w:r w:rsidR="005E4AAD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ing</w:t>
            </w:r>
            <w:r w:rsidR="0023510E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negative impact</w:t>
            </w:r>
            <w:r w:rsidR="0026010D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s</w:t>
            </w:r>
            <w:r w:rsidR="0023510E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on </w:t>
            </w:r>
            <w:r w:rsidR="004E29FC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Ethnic Minorities</w:t>
            </w:r>
            <w:r w:rsidR="0023510E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34158D" w:rsidRDefault="00410BCE" w:rsidP="00F45E9B">
            <w:pPr>
              <w:pStyle w:val="BodyText2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The Chinese Government has supported development of </w:t>
            </w:r>
            <w:r w:rsidR="00652EA2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E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thnic </w:t>
            </w:r>
            <w:r w:rsidR="00652EA2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M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inorities </w:t>
            </w:r>
            <w:r w:rsidR="00652EA2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by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implementing targeted policies</w:t>
            </w:r>
            <w:r w:rsidR="00652EA2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,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plans</w:t>
            </w:r>
            <w:r w:rsidR="00652EA2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and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  <w:r w:rsidR="00652EA2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twinning mechanisms/arrangements, and by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providing earmarked financial support</w:t>
            </w:r>
            <w:r w:rsidR="0037369B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9B7F4B" w:rsidP="00F45E9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</w:rPr>
              <w:t xml:space="preserve">What has worked in China to allow for the effective engagement of Ethnic Minorities on development at the policy and strategy levels?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8551C9" w:rsidP="00F45E9B">
            <w:pPr>
              <w:pStyle w:val="BodyText2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Bank policies on Ethnic Minorities have helped China improving its own policies for Ethnic Minorities. For example, China’s Resettlement Policy No.17 was enhanced by including ‘resettlement should observe tradition, </w:t>
            </w:r>
            <w:r w:rsidR="002C179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cultural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habits of Ethnic Minorities’ after implementing World Bank projects.</w:t>
            </w:r>
          </w:p>
          <w:p w:rsidR="0034158D" w:rsidRDefault="008867E9" w:rsidP="00F45E9B">
            <w:pPr>
              <w:pStyle w:val="BodyText2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The Community Driven Development (</w:t>
            </w:r>
            <w:r w:rsidR="0026010D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CDD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)</w:t>
            </w:r>
            <w:r w:rsidR="0026010D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model </w:t>
            </w:r>
            <w:r w:rsidR="00083EDC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was </w:t>
            </w:r>
            <w:r w:rsidR="00CB5EF4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successfully adopted in </w:t>
            </w:r>
            <w:r w:rsidR="00083EDC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the Economic Reform Implementation Project (</w:t>
            </w:r>
            <w:r w:rsidR="00CB5EF4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TCC5</w:t>
            </w:r>
            <w:r w:rsidR="00083EDC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)</w:t>
            </w:r>
            <w:r w:rsidR="00C165AF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, </w:t>
            </w:r>
            <w:r w:rsidR="00083EDC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and the </w:t>
            </w:r>
            <w:r w:rsidR="00C165AF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experience </w:t>
            </w:r>
            <w:r w:rsidR="00083EDC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from this </w:t>
            </w:r>
            <w:r w:rsidR="00C165AF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has been applied </w:t>
            </w:r>
            <w:r w:rsidR="0037369B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in</w:t>
            </w:r>
            <w:r w:rsidR="00C165AF" w:rsidRPr="008D70B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local poverty alleviation projects.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9B7F4B" w:rsidP="00F45E9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</w:rPr>
              <w:t>What can be done to more rapidly reduce poverty among Ethnic Minorities?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99482F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  <w:lang w:eastAsia="zh-CN"/>
              </w:rPr>
              <w:t>Strengthen cooperation with the Bank to exp</w:t>
            </w:r>
            <w:r w:rsidR="00083EDC" w:rsidRPr="008D70B8">
              <w:rPr>
                <w:rFonts w:cs="Times New Roman"/>
                <w:sz w:val="22"/>
                <w:szCs w:val="22"/>
                <w:lang w:eastAsia="zh-CN"/>
              </w:rPr>
              <w:t xml:space="preserve">and procurement by Fortune 500 companies of products from </w:t>
            </w:r>
            <w:r w:rsidR="008D70B8" w:rsidRPr="008D70B8">
              <w:rPr>
                <w:rFonts w:cs="Times New Roman"/>
                <w:sz w:val="22"/>
                <w:szCs w:val="22"/>
                <w:lang w:eastAsia="zh-CN"/>
              </w:rPr>
              <w:t>Ethnic</w:t>
            </w:r>
            <w:r w:rsidR="00083EDC" w:rsidRPr="008D70B8">
              <w:rPr>
                <w:rFonts w:cs="Times New Roman"/>
                <w:sz w:val="22"/>
                <w:szCs w:val="22"/>
                <w:lang w:eastAsia="zh-CN"/>
              </w:rPr>
              <w:t xml:space="preserve"> M</w:t>
            </w:r>
            <w:r w:rsidRPr="008D70B8">
              <w:rPr>
                <w:rFonts w:cs="Times New Roman"/>
                <w:sz w:val="22"/>
                <w:szCs w:val="22"/>
                <w:lang w:eastAsia="zh-CN"/>
              </w:rPr>
              <w:t>inority enterprises.</w:t>
            </w:r>
          </w:p>
          <w:p w:rsidR="0034158D" w:rsidRDefault="0099482F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  <w:lang w:eastAsia="zh-CN"/>
              </w:rPr>
              <w:t xml:space="preserve">Work together with the Bank to support development of handicraft industry in </w:t>
            </w:r>
            <w:r w:rsidR="004503F6" w:rsidRPr="008D70B8">
              <w:rPr>
                <w:rFonts w:cs="Times New Roman"/>
                <w:sz w:val="22"/>
                <w:szCs w:val="22"/>
                <w:lang w:eastAsia="zh-CN"/>
              </w:rPr>
              <w:t>Ethnic M</w:t>
            </w:r>
            <w:r w:rsidRPr="008D70B8">
              <w:rPr>
                <w:rFonts w:cs="Times New Roman"/>
                <w:sz w:val="22"/>
                <w:szCs w:val="22"/>
                <w:lang w:eastAsia="zh-CN"/>
              </w:rPr>
              <w:t xml:space="preserve">inority areas, using the Bank’s </w:t>
            </w:r>
            <w:r w:rsidR="006F2C1C" w:rsidRPr="008D70B8">
              <w:rPr>
                <w:rFonts w:cs="Times New Roman"/>
                <w:sz w:val="22"/>
                <w:szCs w:val="22"/>
                <w:lang w:eastAsia="zh-CN"/>
              </w:rPr>
              <w:t xml:space="preserve">experience in management, </w:t>
            </w:r>
            <w:r w:rsidRPr="008D70B8">
              <w:rPr>
                <w:rFonts w:cs="Times New Roman"/>
                <w:sz w:val="22"/>
                <w:szCs w:val="22"/>
                <w:lang w:eastAsia="zh-CN"/>
              </w:rPr>
              <w:t>marketing</w:t>
            </w:r>
            <w:r w:rsidR="006F2C1C" w:rsidRPr="008D70B8">
              <w:rPr>
                <w:rFonts w:cs="Times New Roman"/>
                <w:sz w:val="22"/>
                <w:szCs w:val="22"/>
                <w:lang w:eastAsia="zh-CN"/>
              </w:rPr>
              <w:t>, technical training and beneficiary participation</w:t>
            </w:r>
            <w:r w:rsidRPr="008D70B8">
              <w:rPr>
                <w:rFonts w:cs="Times New Roman"/>
                <w:sz w:val="22"/>
                <w:szCs w:val="22"/>
                <w:lang w:eastAsia="zh-CN"/>
              </w:rPr>
              <w:t xml:space="preserve"> </w:t>
            </w:r>
            <w:r w:rsidR="006F2C1C" w:rsidRPr="008D70B8">
              <w:rPr>
                <w:rFonts w:cs="Times New Roman"/>
                <w:sz w:val="22"/>
                <w:szCs w:val="22"/>
                <w:lang w:eastAsia="zh-CN"/>
              </w:rPr>
              <w:t>to expand employment</w:t>
            </w:r>
            <w:r w:rsidR="004503F6" w:rsidRPr="008D70B8">
              <w:rPr>
                <w:rFonts w:cs="Times New Roman"/>
                <w:sz w:val="22"/>
                <w:szCs w:val="22"/>
                <w:lang w:eastAsia="zh-CN"/>
              </w:rPr>
              <w:t xml:space="preserve"> and increase income of Ethnic M</w:t>
            </w:r>
            <w:r w:rsidR="006F2C1C" w:rsidRPr="008D70B8">
              <w:rPr>
                <w:rFonts w:cs="Times New Roman"/>
                <w:sz w:val="22"/>
                <w:szCs w:val="22"/>
                <w:lang w:eastAsia="zh-CN"/>
              </w:rPr>
              <w:t xml:space="preserve">inority </w:t>
            </w:r>
            <w:r w:rsidR="005E4AAD" w:rsidRPr="008D70B8">
              <w:rPr>
                <w:rFonts w:cs="Times New Roman"/>
                <w:sz w:val="22"/>
                <w:szCs w:val="22"/>
                <w:lang w:eastAsia="zh-CN"/>
              </w:rPr>
              <w:t>groups</w:t>
            </w:r>
            <w:r w:rsidR="006F2C1C" w:rsidRPr="008D70B8">
              <w:rPr>
                <w:rFonts w:cs="Times New Roman"/>
                <w:sz w:val="22"/>
                <w:szCs w:val="22"/>
                <w:lang w:eastAsia="zh-CN"/>
              </w:rPr>
              <w:t>.</w:t>
            </w:r>
          </w:p>
          <w:p w:rsidR="0034158D" w:rsidRPr="00F45E9B" w:rsidRDefault="00A75873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  <w:lang w:eastAsia="zh-CN"/>
              </w:rPr>
              <w:t>Provide employment opportunities</w:t>
            </w:r>
            <w:r w:rsidR="004503F6" w:rsidRPr="008D70B8">
              <w:rPr>
                <w:rFonts w:cs="Times New Roman"/>
                <w:sz w:val="22"/>
                <w:szCs w:val="22"/>
                <w:lang w:eastAsia="zh-CN"/>
              </w:rPr>
              <w:t xml:space="preserve"> and skills training to Ethnic M</w:t>
            </w:r>
            <w:r w:rsidR="00451046" w:rsidRPr="008D70B8">
              <w:rPr>
                <w:rFonts w:cs="Times New Roman"/>
                <w:sz w:val="22"/>
                <w:szCs w:val="22"/>
                <w:lang w:eastAsia="zh-CN"/>
              </w:rPr>
              <w:t>inorities</w:t>
            </w:r>
            <w:r w:rsidR="00B02E19" w:rsidRPr="008D70B8">
              <w:rPr>
                <w:rFonts w:cs="Times New Roman"/>
                <w:sz w:val="22"/>
                <w:szCs w:val="22"/>
                <w:lang w:eastAsia="zh-CN"/>
              </w:rPr>
              <w:t>,</w:t>
            </w:r>
            <w:r w:rsidR="00451046" w:rsidRPr="008D70B8">
              <w:rPr>
                <w:rFonts w:cs="Times New Roman"/>
                <w:sz w:val="22"/>
                <w:szCs w:val="22"/>
                <w:lang w:eastAsia="zh-CN"/>
              </w:rPr>
              <w:t xml:space="preserve"> </w:t>
            </w:r>
            <w:r w:rsidR="004503F6" w:rsidRPr="008D70B8">
              <w:rPr>
                <w:rFonts w:cs="Times New Roman"/>
                <w:sz w:val="22"/>
                <w:szCs w:val="22"/>
                <w:lang w:eastAsia="zh-CN"/>
              </w:rPr>
              <w:t xml:space="preserve">support to set up businesses, and </w:t>
            </w:r>
            <w:r w:rsidR="00451046" w:rsidRPr="008D70B8">
              <w:rPr>
                <w:rFonts w:cs="Times New Roman"/>
                <w:sz w:val="22"/>
                <w:szCs w:val="22"/>
                <w:lang w:eastAsia="zh-CN"/>
              </w:rPr>
              <w:t>invest more in educ</w:t>
            </w:r>
            <w:r w:rsidR="00B02E19" w:rsidRPr="008D70B8">
              <w:rPr>
                <w:rFonts w:cs="Times New Roman"/>
                <w:sz w:val="22"/>
                <w:szCs w:val="22"/>
                <w:lang w:eastAsia="zh-CN"/>
              </w:rPr>
              <w:t xml:space="preserve">ation for </w:t>
            </w:r>
            <w:r w:rsidR="004503F6" w:rsidRPr="008D70B8">
              <w:rPr>
                <w:rFonts w:cs="Times New Roman"/>
                <w:sz w:val="22"/>
                <w:szCs w:val="22"/>
                <w:lang w:eastAsia="zh-CN"/>
              </w:rPr>
              <w:t>Ethnic M</w:t>
            </w:r>
            <w:r w:rsidR="00B02E19" w:rsidRPr="008D70B8">
              <w:rPr>
                <w:rFonts w:cs="Times New Roman"/>
                <w:sz w:val="22"/>
                <w:szCs w:val="22"/>
                <w:lang w:eastAsia="zh-CN"/>
              </w:rPr>
              <w:t>inority people.</w:t>
            </w:r>
            <w:r w:rsidR="0099482F" w:rsidRPr="008D70B8">
              <w:rPr>
                <w:rFonts w:cs="Times New Roman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9B7F4B" w:rsidP="00F45E9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 w:val="0"/>
              <w:jc w:val="left"/>
              <w:rPr>
                <w:rFonts w:cs="Times New Roman"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</w:rPr>
              <w:t>What can be done to increase shared prosperity among Ethnic Minorities?</w:t>
            </w:r>
          </w:p>
        </w:tc>
      </w:tr>
      <w:tr w:rsidR="00247A18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4503F6" w:rsidP="00F45E9B">
            <w:pPr>
              <w:pStyle w:val="BodyText2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Environmental Impact Assessment (</w:t>
            </w:r>
            <w:r w:rsidR="00A90FA9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EIA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="00A90FA9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Resettlement Action Plans (</w:t>
            </w:r>
            <w:r w:rsidR="00A90FA9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RAP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="00A90FA9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have been included as mandatory requirements in China’s project approval process,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 </w:t>
            </w:r>
            <w:r w:rsidR="00A90FA9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resources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are thus </w:t>
            </w:r>
            <w:r w:rsidR="00A90FA9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allocated to carry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them </w:t>
            </w:r>
            <w:r w:rsidR="00A90FA9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out.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Social A</w:t>
            </w:r>
            <w:r w:rsidR="00D63C0B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ssessment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(SA) </w:t>
            </w:r>
            <w:r w:rsidR="00D63C0B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 </w:t>
            </w:r>
            <w:r w:rsidR="00F45E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Etnic Minorities Development Plans (EDMP) </w:t>
            </w:r>
            <w:r w:rsidR="00D63C0B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should also be included as mandatory requirements to improve enforcement of the policy. SA and </w:t>
            </w:r>
            <w:r w:rsidR="00F45E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plans </w:t>
            </w:r>
            <w:r w:rsidR="00D63C0B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are important because they directly impact resource redistribution, which </w:t>
            </w:r>
            <w:r w:rsidR="00967E39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is key in </w:t>
            </w:r>
            <w:r w:rsidR="00D63C0B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promoting shared prosperity.</w:t>
            </w:r>
          </w:p>
          <w:p w:rsidR="0034158D" w:rsidRPr="00F45E9B" w:rsidRDefault="009B738C" w:rsidP="00F45E9B">
            <w:pPr>
              <w:pStyle w:val="BodyText2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There is a need to further study how to achieve economic development of Ethnic Minorities </w:t>
            </w:r>
            <w:r w:rsidR="000142D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while maintaining their culture and identity, as well as h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ow to balance short term economic benefits </w:t>
            </w:r>
            <w:r w:rsidR="000142D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with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longer term sustainable livelihoods. Economic benefits can be achieved in </w:t>
            </w:r>
            <w:r w:rsidR="000142D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short term </w:t>
            </w:r>
            <w:r w:rsidR="000142D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through significant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investment in tourism and other suitable </w:t>
            </w:r>
            <w:r w:rsidR="000142D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activities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but </w:t>
            </w:r>
            <w:r w:rsidR="000142D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if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local environment and unique culture </w:t>
            </w:r>
            <w:r w:rsidR="000142D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are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compromised, </w:t>
            </w:r>
            <w:r w:rsidR="000142D2"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they can be </w:t>
            </w:r>
            <w:r w:rsidRPr="008D7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almost impossible to repair.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9B7F4B" w:rsidP="00F45E9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 w:val="0"/>
              <w:jc w:val="left"/>
              <w:rPr>
                <w:rFonts w:cs="Times New Roman"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</w:rPr>
              <w:t>What can be done to expand the role of Ethnic Minorities in supporting sustainable development?</w:t>
            </w:r>
          </w:p>
        </w:tc>
      </w:tr>
      <w:tr w:rsidR="009F010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Pr="00F45E9B" w:rsidRDefault="00FD574D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Involve </w:t>
            </w:r>
            <w:r w:rsidR="00967E3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Ethnic M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inority communities in follow-up management of projects</w:t>
            </w:r>
            <w:r w:rsidR="003C529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Default="009B7F4B" w:rsidP="00F45E9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ind w:left="360"/>
              <w:contextualSpacing w:val="0"/>
              <w:jc w:val="left"/>
              <w:rPr>
                <w:rFonts w:cs="Times New Roman"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</w:rPr>
              <w:t>What are the key lessons learned from Chinese experience in supporting the development and engagement of Ethnic Minorities?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504" w:type="dxa"/>
          </w:tcPr>
          <w:p w:rsidR="0034158D" w:rsidRPr="00F45E9B" w:rsidRDefault="000E6339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Develop and imple</w:t>
            </w:r>
            <w:r w:rsidR="00967E3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ment special plans targeted at E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thnic </w:t>
            </w:r>
            <w:r w:rsidR="00967E3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Minorities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  <w:shd w:val="pct15" w:color="auto" w:fill="auto"/>
          </w:tcPr>
          <w:p w:rsidR="0034158D" w:rsidRDefault="009B7F4B" w:rsidP="00F45E9B">
            <w:pPr>
              <w:pStyle w:val="ListParagraph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 w:val="0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D70B8">
              <w:rPr>
                <w:rFonts w:cs="Times New Roman"/>
                <w:b/>
                <w:bCs/>
                <w:iCs/>
                <w:sz w:val="22"/>
                <w:szCs w:val="22"/>
              </w:rPr>
              <w:t>Lessons Learned from Project Preparation and Implementation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34158D" w:rsidP="00F45E9B">
            <w:pPr>
              <w:pStyle w:val="ListParagraph"/>
              <w:numPr>
                <w:ilvl w:val="0"/>
                <w:numId w:val="45"/>
              </w:numPr>
              <w:suppressAutoHyphens w:val="0"/>
              <w:spacing w:after="0" w:line="240" w:lineRule="auto"/>
              <w:ind w:left="335" w:hanging="335"/>
              <w:contextualSpacing w:val="0"/>
              <w:jc w:val="left"/>
              <w:rPr>
                <w:iCs/>
                <w:sz w:val="22"/>
                <w:szCs w:val="22"/>
              </w:rPr>
            </w:pPr>
            <w:r w:rsidRPr="00F45E9B">
              <w:rPr>
                <w:sz w:val="22"/>
                <w:szCs w:val="22"/>
              </w:rPr>
              <w:t>What</w:t>
            </w:r>
            <w:r w:rsidR="009B7F4B" w:rsidRPr="008D70B8">
              <w:rPr>
                <w:rFonts w:cs="Times New Roman"/>
                <w:iCs/>
                <w:sz w:val="22"/>
                <w:szCs w:val="22"/>
              </w:rPr>
              <w:t xml:space="preserve"> are the key elements that lead to success in the preparation and implementation of projects focused on Ethnic Minorities?</w:t>
            </w:r>
            <w:r w:rsidR="009A707A" w:rsidRPr="008D70B8">
              <w:rPr>
                <w:rFonts w:ascii="SimSun" w:eastAsia="SimSun" w:hAnsi="SimSun" w:cs="SimSun"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B7F4B" w:rsidRPr="008D70B8" w:rsidTr="00083EDC">
        <w:trPr>
          <w:gridAfter w:val="1"/>
          <w:wAfter w:w="7" w:type="dxa"/>
        </w:trPr>
        <w:tc>
          <w:tcPr>
            <w:tcW w:w="13486" w:type="dxa"/>
          </w:tcPr>
          <w:p w:rsidR="0034158D" w:rsidRDefault="000D0B9B" w:rsidP="00F45E9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Borrowing countries need</w:t>
            </w:r>
            <w:r w:rsidR="00CD700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to improve coordination among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line ministries</w:t>
            </w:r>
            <w:r w:rsidR="000142D2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to integrate resources for </w:t>
            </w:r>
            <w:r w:rsidR="008D70B8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holistic</w:t>
            </w:r>
            <w:r w:rsidR="00CD700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project design, so that budget earmarked for specific purposes </w:t>
            </w:r>
            <w:r w:rsidR="006712A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can </w:t>
            </w:r>
            <w:r w:rsidR="00CD700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be mobilized to fund relevant components of the project. For example, </w:t>
            </w:r>
            <w:r w:rsidR="006712A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the </w:t>
            </w:r>
            <w:r w:rsidR="00CD700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budget from </w:t>
            </w:r>
            <w:r w:rsidR="00C04EF2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Commis</w:t>
            </w:r>
            <w:r w:rsidR="006712A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s</w:t>
            </w:r>
            <w:r w:rsidR="00C04EF2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ion of </w:t>
            </w:r>
            <w:r w:rsidR="00CD700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Ethnic Minority </w:t>
            </w:r>
            <w:r w:rsidR="00C04EF2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Affairs could be in</w:t>
            </w:r>
            <w:r w:rsidR="006712A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tegrated into a project if the C</w:t>
            </w:r>
            <w:r w:rsidR="00C04EF2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ommission is involved early on during project preparation.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Pr="00F45E9B" w:rsidRDefault="009B7F4B" w:rsidP="00F45E9B">
            <w:pPr>
              <w:pStyle w:val="ListParagraph"/>
              <w:numPr>
                <w:ilvl w:val="0"/>
                <w:numId w:val="45"/>
              </w:numPr>
              <w:suppressAutoHyphens w:val="0"/>
              <w:spacing w:after="0" w:line="240" w:lineRule="auto"/>
              <w:ind w:left="335" w:hanging="335"/>
              <w:contextualSpacing w:val="0"/>
              <w:jc w:val="left"/>
              <w:rPr>
                <w:rFonts w:cs="Times New Roman"/>
                <w:sz w:val="22"/>
                <w:szCs w:val="22"/>
              </w:rPr>
            </w:pPr>
            <w:r w:rsidRPr="008D70B8">
              <w:rPr>
                <w:rFonts w:cs="Times New Roman"/>
                <w:sz w:val="22"/>
                <w:szCs w:val="22"/>
              </w:rPr>
              <w:t>What are the key challenges in projects focused on Ethnic Minorities and how can these issues be addressed?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382F7C" w:rsidP="00F45E9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lastRenderedPageBreak/>
              <w:t xml:space="preserve">In some cases where </w:t>
            </w:r>
            <w:r w:rsidR="006712A0" w:rsidRPr="008D70B8">
              <w:rPr>
                <w:rFonts w:cs="Times New Roman"/>
                <w:iCs/>
                <w:sz w:val="22"/>
                <w:szCs w:val="22"/>
              </w:rPr>
              <w:t xml:space="preserve">the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policy </w:t>
            </w:r>
            <w:r w:rsidR="006712A0" w:rsidRPr="008D70B8">
              <w:rPr>
                <w:rFonts w:cs="Times New Roman"/>
                <w:iCs/>
                <w:sz w:val="22"/>
                <w:szCs w:val="22"/>
              </w:rPr>
              <w:t xml:space="preserve">on Ethnic Minorities </w:t>
            </w:r>
            <w:r w:rsidRPr="008D70B8">
              <w:rPr>
                <w:rFonts w:cs="Times New Roman"/>
                <w:iCs/>
                <w:sz w:val="22"/>
                <w:szCs w:val="22"/>
              </w:rPr>
              <w:t>wa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 xml:space="preserve">s triggered, </w:t>
            </w:r>
            <w:r w:rsidR="006712A0" w:rsidRPr="008D70B8">
              <w:rPr>
                <w:rFonts w:cs="Times New Roman"/>
                <w:iCs/>
                <w:sz w:val="22"/>
                <w:szCs w:val="22"/>
              </w:rPr>
              <w:t xml:space="preserve">the local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>project management office (</w:t>
            </w:r>
            <w:r w:rsidR="006712A0" w:rsidRPr="008D70B8">
              <w:rPr>
                <w:rFonts w:cs="Times New Roman"/>
                <w:iCs/>
                <w:sz w:val="22"/>
                <w:szCs w:val="22"/>
              </w:rPr>
              <w:t>PMO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>)</w:t>
            </w:r>
            <w:r w:rsidR="006712A0" w:rsidRPr="008D70B8">
              <w:rPr>
                <w:rFonts w:cs="Times New Roman"/>
                <w:iCs/>
                <w:sz w:val="22"/>
                <w:szCs w:val="22"/>
              </w:rPr>
              <w:t xml:space="preserve"> wa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 xml:space="preserve">s inclined to drop the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area </w:t>
            </w:r>
            <w:r w:rsidR="006712A0" w:rsidRPr="008D70B8">
              <w:rPr>
                <w:rFonts w:cs="Times New Roman"/>
                <w:iCs/>
                <w:sz w:val="22"/>
                <w:szCs w:val="22"/>
              </w:rPr>
              <w:t xml:space="preserve">concerned 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>because they lack</w:t>
            </w:r>
            <w:r w:rsidR="006712A0" w:rsidRPr="008D70B8">
              <w:rPr>
                <w:rFonts w:cs="Times New Roman"/>
                <w:iCs/>
                <w:sz w:val="22"/>
                <w:szCs w:val="22"/>
              </w:rPr>
              <w:t>ed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 xml:space="preserve"> resources to prepare and implement the </w:t>
            </w:r>
            <w:r w:rsidRPr="008D70B8">
              <w:rPr>
                <w:rFonts w:cs="Times New Roman"/>
                <w:iCs/>
                <w:sz w:val="22"/>
                <w:szCs w:val="22"/>
              </w:rPr>
              <w:t>required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F45E9B">
              <w:rPr>
                <w:rFonts w:cs="Times New Roman"/>
                <w:iCs/>
                <w:sz w:val="22"/>
                <w:szCs w:val="22"/>
              </w:rPr>
              <w:t>Ethnic Minorities Plan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 xml:space="preserve">. To tackle this problem,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 xml:space="preserve">it 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 xml:space="preserve">should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>be mad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 xml:space="preserve">e clear that borrowers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 xml:space="preserve">must prepare a 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 xml:space="preserve">budget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>for this purpose</w:t>
            </w:r>
            <w:r w:rsidR="00575E38" w:rsidRPr="008D70B8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34158D" w:rsidRDefault="00575E38" w:rsidP="00F45E9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>During project preparat</w:t>
            </w:r>
            <w:r w:rsidR="00382F7C" w:rsidRPr="008D70B8">
              <w:rPr>
                <w:rFonts w:cs="Times New Roman"/>
                <w:iCs/>
                <w:sz w:val="22"/>
                <w:szCs w:val="22"/>
              </w:rPr>
              <w:t xml:space="preserve">ion, social experts were </w:t>
            </w:r>
            <w:r w:rsidR="002C1792" w:rsidRPr="008D70B8">
              <w:rPr>
                <w:rFonts w:cs="Times New Roman"/>
                <w:iCs/>
                <w:sz w:val="22"/>
                <w:szCs w:val="22"/>
              </w:rPr>
              <w:t>involved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 at a later s</w:t>
            </w:r>
            <w:r w:rsidR="00382F7C" w:rsidRPr="008D70B8">
              <w:rPr>
                <w:rFonts w:cs="Times New Roman"/>
                <w:iCs/>
                <w:sz w:val="22"/>
                <w:szCs w:val="22"/>
              </w:rPr>
              <w:t xml:space="preserve">tage than technical experts,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 xml:space="preserve">and </w:t>
            </w:r>
            <w:r w:rsidRPr="008D70B8">
              <w:rPr>
                <w:rFonts w:cs="Times New Roman"/>
                <w:iCs/>
                <w:sz w:val="22"/>
                <w:szCs w:val="22"/>
              </w:rPr>
              <w:t>the opportunity to integrate social issues in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>to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 project preparation early on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 xml:space="preserve"> was lost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. Therefore it is suggested that social experts should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 xml:space="preserve">be </w:t>
            </w:r>
            <w:r w:rsidRPr="008D70B8">
              <w:rPr>
                <w:rFonts w:cs="Times New Roman"/>
                <w:iCs/>
                <w:sz w:val="22"/>
                <w:szCs w:val="22"/>
              </w:rPr>
              <w:t>involve</w:t>
            </w:r>
            <w:r w:rsidR="00EE3B0C" w:rsidRPr="008D70B8">
              <w:rPr>
                <w:rFonts w:cs="Times New Roman"/>
                <w:iCs/>
                <w:sz w:val="22"/>
                <w:szCs w:val="22"/>
              </w:rPr>
              <w:t xml:space="preserve">d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early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 xml:space="preserve">in </w:t>
            </w:r>
            <w:r w:rsidRPr="008D70B8">
              <w:rPr>
                <w:rFonts w:cs="Times New Roman"/>
                <w:iCs/>
                <w:sz w:val="22"/>
                <w:szCs w:val="22"/>
              </w:rPr>
              <w:t>project preparation.</w:t>
            </w:r>
          </w:p>
          <w:p w:rsidR="0034158D" w:rsidRDefault="00F26F7F" w:rsidP="00F45E9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 xml:space="preserve">Lack of capacity is a challenge especially at lower levels of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>PMOs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.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>C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apacity building should be provided as </w:t>
            </w:r>
            <w:r w:rsidR="00A1553E" w:rsidRPr="008D70B8">
              <w:rPr>
                <w:rFonts w:cs="Times New Roman"/>
                <w:iCs/>
                <w:sz w:val="22"/>
                <w:szCs w:val="22"/>
              </w:rPr>
              <w:t xml:space="preserve">was done for the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involuntary resettlement policy. </w:t>
            </w:r>
          </w:p>
          <w:p w:rsidR="0034158D" w:rsidRDefault="00A1553E" w:rsidP="00F45E9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>I</w:t>
            </w:r>
            <w:r w:rsidR="00B96819" w:rsidRPr="008D70B8">
              <w:rPr>
                <w:rFonts w:cs="Times New Roman"/>
                <w:iCs/>
                <w:sz w:val="22"/>
                <w:szCs w:val="22"/>
              </w:rPr>
              <w:t>nternal approval process</w:t>
            </w:r>
            <w:r w:rsidRPr="008D70B8">
              <w:rPr>
                <w:rFonts w:cs="Times New Roman"/>
                <w:iCs/>
                <w:sz w:val="22"/>
                <w:szCs w:val="22"/>
              </w:rPr>
              <w:t>es require</w:t>
            </w:r>
            <w:r w:rsidR="00B96819" w:rsidRPr="008D70B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a </w:t>
            </w:r>
            <w:r w:rsidR="00B96819" w:rsidRPr="008D70B8">
              <w:rPr>
                <w:rFonts w:cs="Times New Roman"/>
                <w:iCs/>
                <w:sz w:val="22"/>
                <w:szCs w:val="22"/>
              </w:rPr>
              <w:t xml:space="preserve">feasibility study approved by the government. If the feasibility study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does </w:t>
            </w:r>
            <w:r w:rsidR="00B96819" w:rsidRPr="008D70B8">
              <w:rPr>
                <w:rFonts w:cs="Times New Roman"/>
                <w:iCs/>
                <w:sz w:val="22"/>
                <w:szCs w:val="22"/>
              </w:rPr>
              <w:t>not cover compliance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 with Ethnic Minority requirements</w:t>
            </w:r>
            <w:r w:rsidR="00B96819" w:rsidRPr="008D70B8">
              <w:rPr>
                <w:rFonts w:cs="Times New Roman"/>
                <w:iCs/>
                <w:sz w:val="22"/>
                <w:szCs w:val="22"/>
              </w:rPr>
              <w:t>, t</w:t>
            </w:r>
            <w:r w:rsidR="00906C84" w:rsidRPr="008D70B8">
              <w:rPr>
                <w:rFonts w:cs="Times New Roman"/>
                <w:iCs/>
                <w:sz w:val="22"/>
                <w:szCs w:val="22"/>
              </w:rPr>
              <w:t xml:space="preserve">hen it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becomes </w:t>
            </w:r>
            <w:r w:rsidR="00906C84" w:rsidRPr="008D70B8">
              <w:rPr>
                <w:rFonts w:cs="Times New Roman"/>
                <w:iCs/>
                <w:sz w:val="22"/>
                <w:szCs w:val="22"/>
              </w:rPr>
              <w:t>difficult to</w:t>
            </w:r>
            <w:r w:rsidR="0000756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  <w:r w:rsidR="00906C84" w:rsidRPr="008D70B8">
              <w:rPr>
                <w:rFonts w:cs="Times New Roman"/>
                <w:iCs/>
                <w:sz w:val="22"/>
                <w:szCs w:val="22"/>
              </w:rPr>
              <w:t xml:space="preserve">adjust project design to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address </w:t>
            </w:r>
            <w:r w:rsidR="00906C84" w:rsidRPr="008D70B8">
              <w:rPr>
                <w:rFonts w:cs="Times New Roman"/>
                <w:iCs/>
                <w:sz w:val="22"/>
                <w:szCs w:val="22"/>
              </w:rPr>
              <w:t>social impact</w:t>
            </w:r>
            <w:r w:rsidRPr="008D70B8">
              <w:rPr>
                <w:rFonts w:cs="Times New Roman"/>
                <w:iCs/>
                <w:sz w:val="22"/>
                <w:szCs w:val="22"/>
              </w:rPr>
              <w:t>s</w:t>
            </w:r>
            <w:r w:rsidR="00906C84" w:rsidRPr="008D70B8">
              <w:rPr>
                <w:rFonts w:cs="Times New Roman"/>
                <w:iCs/>
                <w:sz w:val="22"/>
                <w:szCs w:val="22"/>
              </w:rPr>
              <w:t xml:space="preserve"> and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meet </w:t>
            </w:r>
            <w:r w:rsidR="00906C84" w:rsidRPr="008D70B8">
              <w:rPr>
                <w:rFonts w:cs="Times New Roman"/>
                <w:iCs/>
                <w:sz w:val="22"/>
                <w:szCs w:val="22"/>
              </w:rPr>
              <w:t xml:space="preserve">the needs of </w:t>
            </w:r>
            <w:r w:rsidR="004E29FC" w:rsidRPr="008D70B8">
              <w:rPr>
                <w:rFonts w:cs="Times New Roman"/>
                <w:iCs/>
                <w:sz w:val="22"/>
                <w:szCs w:val="22"/>
              </w:rPr>
              <w:t>Ethnic Minorities</w:t>
            </w:r>
            <w:r w:rsidR="00906C84" w:rsidRPr="008D70B8">
              <w:rPr>
                <w:rFonts w:cs="Times New Roman"/>
                <w:iCs/>
                <w:sz w:val="22"/>
                <w:szCs w:val="22"/>
              </w:rPr>
              <w:t>.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9B7F4B" w:rsidP="00F45E9B">
            <w:pPr>
              <w:pStyle w:val="ListParagraph"/>
            </w:pPr>
            <w:r w:rsidRPr="008D70B8">
              <w:rPr>
                <w:rFonts w:cs="Times New Roman"/>
                <w:iCs/>
                <w:sz w:val="22"/>
                <w:szCs w:val="22"/>
              </w:rPr>
              <w:t xml:space="preserve">What are the critical issues related to full and effective participation of Ethnic Minorities in projects?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5A4FF2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Involve </w:t>
            </w:r>
            <w:r w:rsidR="00A1553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Ethnic Minority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communities in the monitoring and evaluation process, </w:t>
            </w:r>
            <w:r w:rsidR="00A1553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in particular of any </w:t>
            </w:r>
            <w:r w:rsidR="00F45E9B">
              <w:rPr>
                <w:rFonts w:cs="Times New Roman"/>
                <w:iCs/>
                <w:sz w:val="22"/>
                <w:szCs w:val="22"/>
                <w:lang w:eastAsia="zh-CN"/>
              </w:rPr>
              <w:t>Ethnic Minorities Plans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4158D" w:rsidRDefault="00222436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Design of project activities </w:t>
            </w:r>
            <w:r w:rsidR="00F101B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should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reflect local needs, which may change over time.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9B7F4B" w:rsidP="00F45E9B">
            <w:pPr>
              <w:pStyle w:val="ListParagraph"/>
              <w:numPr>
                <w:ilvl w:val="0"/>
                <w:numId w:val="45"/>
              </w:numPr>
              <w:suppressAutoHyphens w:val="0"/>
              <w:spacing w:after="0" w:line="240" w:lineRule="auto"/>
              <w:ind w:left="335" w:hanging="335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>How can Ethnic Minorities be more involved in the preparation and implementation of World Bank projects?</w:t>
            </w:r>
          </w:p>
        </w:tc>
      </w:tr>
      <w:tr w:rsidR="005520F8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4D73E7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 xml:space="preserve">It is very important to engage Ethnic Minorities </w:t>
            </w:r>
            <w:r w:rsidR="007A5BC6" w:rsidRPr="008D70B8">
              <w:rPr>
                <w:rFonts w:cs="Times New Roman"/>
                <w:iCs/>
                <w:sz w:val="22"/>
                <w:szCs w:val="22"/>
              </w:rPr>
              <w:t xml:space="preserve">so as </w:t>
            </w:r>
            <w:r w:rsidRPr="008D70B8">
              <w:rPr>
                <w:rFonts w:cs="Times New Roman"/>
                <w:iCs/>
                <w:sz w:val="22"/>
                <w:szCs w:val="22"/>
              </w:rPr>
              <w:t>to hear their voices during project preparation</w:t>
            </w:r>
            <w:r w:rsidR="007A5BC6" w:rsidRPr="008D70B8">
              <w:rPr>
                <w:rFonts w:cs="Times New Roman"/>
                <w:iCs/>
                <w:sz w:val="22"/>
                <w:szCs w:val="22"/>
              </w:rPr>
              <w:t>; this will help</w:t>
            </w:r>
            <w:r w:rsidR="00EA64B5" w:rsidRPr="008D70B8">
              <w:rPr>
                <w:rFonts w:cs="Times New Roman"/>
                <w:iCs/>
                <w:sz w:val="22"/>
                <w:szCs w:val="22"/>
              </w:rPr>
              <w:t xml:space="preserve"> to ensure project sustainability</w:t>
            </w:r>
            <w:r w:rsidRPr="008D70B8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34158D" w:rsidRDefault="004D73E7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 xml:space="preserve">Project design should incorporate and reflect </w:t>
            </w:r>
            <w:r w:rsidR="007A5BC6" w:rsidRPr="008D70B8">
              <w:rPr>
                <w:rFonts w:cs="Times New Roman"/>
                <w:iCs/>
                <w:sz w:val="22"/>
                <w:szCs w:val="22"/>
              </w:rPr>
              <w:t xml:space="preserve">the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needs of </w:t>
            </w:r>
            <w:r w:rsidR="004E29FC" w:rsidRPr="008D70B8">
              <w:rPr>
                <w:rFonts w:cs="Times New Roman"/>
                <w:iCs/>
                <w:sz w:val="22"/>
                <w:szCs w:val="22"/>
              </w:rPr>
              <w:t>Ethnic Minorities</w:t>
            </w:r>
            <w:r w:rsidRPr="008D70B8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34158D" w:rsidRPr="00F45E9B" w:rsidRDefault="00922000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I</w:t>
            </w:r>
            <w:r w:rsidR="00830BAB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nnovation in community organizations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should be fostered </w:t>
            </w:r>
            <w:r w:rsidR="00830BAB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so that they can take a leading role in community development and management and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participate fully</w:t>
            </w:r>
            <w:r w:rsidR="00830BAB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in project preparation, implementation, monitoring and evaluation.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9B7F4B" w:rsidP="00F45E9B">
            <w:pPr>
              <w:pStyle w:val="ListParagraph"/>
              <w:numPr>
                <w:ilvl w:val="0"/>
                <w:numId w:val="45"/>
              </w:numPr>
              <w:suppressAutoHyphens w:val="0"/>
              <w:spacing w:after="0" w:line="240" w:lineRule="auto"/>
              <w:ind w:left="335" w:hanging="335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>What measures have proven most effective in monitoring of project progress during implementation? What role(s) can be undertaken by members of Ethnic Minority communities in project monitoring?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922000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Ethnic M</w:t>
            </w:r>
            <w:r w:rsidR="003F6451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inority communities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should be engaged </w:t>
            </w:r>
            <w:r w:rsidR="003F6451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in monitoring project progress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.</w:t>
            </w:r>
            <w:r w:rsidR="00277DD5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M</w:t>
            </w:r>
            <w:r w:rsidR="00277DD5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embers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may </w:t>
            </w:r>
            <w:r w:rsidR="00277DD5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take a leading role in project monitoring</w:t>
            </w:r>
            <w:r w:rsidR="00185BF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,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as has been done </w:t>
            </w:r>
            <w:r w:rsidR="00185BF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in some projects.</w:t>
            </w:r>
            <w:r w:rsidR="003F6451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9B7F4B" w:rsidP="00F45E9B">
            <w:pPr>
              <w:pStyle w:val="ListParagraph"/>
              <w:numPr>
                <w:ilvl w:val="0"/>
                <w:numId w:val="45"/>
              </w:numPr>
              <w:suppressAutoHyphens w:val="0"/>
              <w:spacing w:after="0" w:line="240" w:lineRule="auto"/>
              <w:ind w:left="335" w:hanging="335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>What are the key lessons learned from Chinese experience in supporting the preparation and implementation of projects focused on development of Ethnic Minorities?</w:t>
            </w:r>
          </w:p>
        </w:tc>
      </w:tr>
      <w:tr w:rsidR="009B7F4B" w:rsidRPr="008D70B8" w:rsidTr="00F45E9B">
        <w:trPr>
          <w:gridAfter w:val="1"/>
          <w:wAfter w:w="7" w:type="dxa"/>
        </w:trPr>
        <w:tc>
          <w:tcPr>
            <w:tcW w:w="13486" w:type="dxa"/>
          </w:tcPr>
          <w:p w:rsidR="0034158D" w:rsidRDefault="000B4F12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>Project preparation should res</w:t>
            </w:r>
            <w:r w:rsidR="004D73E7" w:rsidRPr="008D70B8">
              <w:rPr>
                <w:rFonts w:cs="Times New Roman"/>
                <w:iCs/>
                <w:sz w:val="22"/>
                <w:szCs w:val="22"/>
              </w:rPr>
              <w:t>pect local knowledge to capture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22000" w:rsidRPr="008D70B8">
              <w:rPr>
                <w:rFonts w:cs="Times New Roman"/>
                <w:iCs/>
                <w:sz w:val="22"/>
                <w:szCs w:val="22"/>
              </w:rPr>
              <w:t xml:space="preserve">and reflect </w:t>
            </w:r>
            <w:r w:rsidRPr="008D70B8">
              <w:rPr>
                <w:rFonts w:cs="Times New Roman"/>
                <w:iCs/>
                <w:sz w:val="22"/>
                <w:szCs w:val="22"/>
              </w:rPr>
              <w:t>reality</w:t>
            </w:r>
            <w:r w:rsidR="00922000" w:rsidRPr="008D70B8">
              <w:rPr>
                <w:rFonts w:cs="Times New Roman"/>
                <w:iCs/>
                <w:sz w:val="22"/>
                <w:szCs w:val="22"/>
              </w:rPr>
              <w:t xml:space="preserve"> on the ground</w:t>
            </w:r>
            <w:r w:rsidRPr="008D70B8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34158D" w:rsidRDefault="00841C8F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 xml:space="preserve">It is helpful to link </w:t>
            </w:r>
            <w:r w:rsidR="00922000" w:rsidRPr="008D70B8">
              <w:rPr>
                <w:rFonts w:cs="Times New Roman"/>
                <w:iCs/>
                <w:sz w:val="22"/>
                <w:szCs w:val="22"/>
              </w:rPr>
              <w:t xml:space="preserve">Ethnic Minority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policy implementation with </w:t>
            </w:r>
            <w:r w:rsidR="000B4F12" w:rsidRPr="008D70B8">
              <w:rPr>
                <w:rFonts w:cs="Times New Roman"/>
                <w:iCs/>
                <w:sz w:val="22"/>
                <w:szCs w:val="22"/>
              </w:rPr>
              <w:t>local poverty reduction policies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22000" w:rsidRPr="008D70B8">
              <w:rPr>
                <w:rFonts w:cs="Times New Roman"/>
                <w:iCs/>
                <w:sz w:val="22"/>
                <w:szCs w:val="22"/>
              </w:rPr>
              <w:t xml:space="preserve">in order to ensure </w:t>
            </w:r>
            <w:r w:rsidRPr="008D70B8">
              <w:rPr>
                <w:rFonts w:cs="Times New Roman"/>
                <w:iCs/>
                <w:sz w:val="22"/>
                <w:szCs w:val="22"/>
              </w:rPr>
              <w:t>political and financial support.</w:t>
            </w:r>
          </w:p>
          <w:p w:rsidR="0034158D" w:rsidRDefault="000B4F12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>Action plan</w:t>
            </w:r>
            <w:r w:rsidR="00922000" w:rsidRPr="008D70B8">
              <w:rPr>
                <w:rFonts w:cs="Times New Roman"/>
                <w:iCs/>
                <w:sz w:val="22"/>
                <w:szCs w:val="22"/>
              </w:rPr>
              <w:t>s need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 to be included in the </w:t>
            </w:r>
            <w:r w:rsidR="00F45E9B">
              <w:rPr>
                <w:rFonts w:cs="Times New Roman"/>
                <w:iCs/>
                <w:sz w:val="22"/>
                <w:szCs w:val="22"/>
              </w:rPr>
              <w:t>EMDP</w:t>
            </w:r>
            <w:r w:rsidR="00922000" w:rsidRPr="008D70B8">
              <w:rPr>
                <w:rFonts w:cs="Times New Roman"/>
                <w:iCs/>
                <w:sz w:val="22"/>
                <w:szCs w:val="22"/>
              </w:rPr>
              <w:t xml:space="preserve">so that they are </w:t>
            </w:r>
            <w:r w:rsidRPr="008D70B8">
              <w:rPr>
                <w:rFonts w:cs="Times New Roman"/>
                <w:iCs/>
                <w:sz w:val="22"/>
                <w:szCs w:val="22"/>
              </w:rPr>
              <w:t>effectively implement</w:t>
            </w:r>
            <w:r w:rsidR="00922000" w:rsidRPr="008D70B8">
              <w:rPr>
                <w:rFonts w:cs="Times New Roman"/>
                <w:iCs/>
                <w:sz w:val="22"/>
                <w:szCs w:val="22"/>
              </w:rPr>
              <w:t>ed</w:t>
            </w:r>
            <w:r w:rsidRPr="008D70B8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34158D" w:rsidRDefault="001055C2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 xml:space="preserve">Supervision of </w:t>
            </w:r>
            <w:r w:rsidR="00F45E9B">
              <w:rPr>
                <w:rFonts w:cs="Times New Roman"/>
                <w:iCs/>
                <w:sz w:val="22"/>
                <w:szCs w:val="22"/>
              </w:rPr>
              <w:t>EMDP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 implementation will improve </w:t>
            </w:r>
            <w:r w:rsidR="002C1792" w:rsidRPr="008D70B8">
              <w:rPr>
                <w:rFonts w:cs="Times New Roman"/>
                <w:iCs/>
                <w:sz w:val="22"/>
                <w:szCs w:val="22"/>
              </w:rPr>
              <w:t>enforcement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 of the plan.</w:t>
            </w:r>
          </w:p>
          <w:p w:rsidR="0034158D" w:rsidRDefault="00ED09AB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PMOs </w:t>
            </w:r>
            <w:r w:rsidR="0092200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should </w:t>
            </w:r>
            <w:r w:rsidR="00B11B5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identify local needs </w:t>
            </w:r>
            <w:r w:rsidR="0092200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by </w:t>
            </w:r>
            <w:r w:rsidR="00B11B5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conducting household interviews on a regular basis. </w:t>
            </w:r>
          </w:p>
          <w:p w:rsidR="0034158D" w:rsidRDefault="00922000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C</w:t>
            </w:r>
            <w:r w:rsidR="000E633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ritical infrastructure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should be provided </w:t>
            </w:r>
            <w:r w:rsidR="009D025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to local communities, development of local unique industries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should be supported </w:t>
            </w:r>
            <w:r w:rsidR="009D025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and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measures </w:t>
            </w:r>
            <w:r w:rsidR="009D025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take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n</w:t>
            </w:r>
            <w:r w:rsidR="009D025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to ensure protection and development of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Ethnic M</w:t>
            </w:r>
            <w:r w:rsidR="0083558C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inority culture, including non-physical cultural resources.</w:t>
            </w:r>
          </w:p>
          <w:p w:rsidR="0034158D" w:rsidRDefault="00922000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lastRenderedPageBreak/>
              <w:t>E</w:t>
            </w:r>
            <w:r w:rsidR="0008014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thnic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M</w:t>
            </w:r>
            <w:r w:rsidR="0008014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inorities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should be mobilized </w:t>
            </w:r>
            <w:r w:rsidR="0008014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to par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ticipate in project implementation</w:t>
            </w:r>
            <w:r w:rsidR="0008014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by </w:t>
            </w:r>
            <w:r w:rsidR="0008014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providing them with temporary employment opportunities in the project.</w:t>
            </w:r>
            <w:r w:rsidR="009D025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B7F4B" w:rsidRPr="008D70B8" w:rsidTr="009F0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6" w:type="dxa"/>
            <w:gridSpan w:val="2"/>
            <w:shd w:val="pct15" w:color="auto" w:fill="auto"/>
          </w:tcPr>
          <w:p w:rsidR="0034158D" w:rsidRDefault="009A1E74" w:rsidP="00F45E9B">
            <w:pPr>
              <w:pStyle w:val="ListParagraph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Cs w:val="24"/>
              </w:rPr>
              <w:lastRenderedPageBreak/>
              <w:br w:type="page"/>
            </w:r>
            <w:r w:rsidR="009B7F4B" w:rsidRPr="008D70B8">
              <w:rPr>
                <w:rFonts w:cs="Times New Roman"/>
                <w:b/>
                <w:bCs/>
                <w:iCs/>
                <w:sz w:val="22"/>
                <w:szCs w:val="22"/>
              </w:rPr>
              <w:t>Lessons Learned from Application of World Bank Operational Policy (OP) 4.10 on Ethnic Minorities</w:t>
            </w:r>
          </w:p>
        </w:tc>
      </w:tr>
      <w:tr w:rsidR="009B7F4B" w:rsidRPr="008D70B8" w:rsidTr="009F0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6" w:type="dxa"/>
            <w:gridSpan w:val="2"/>
          </w:tcPr>
          <w:p w:rsidR="0034158D" w:rsidRDefault="009B7F4B" w:rsidP="00F45E9B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bCs/>
                <w:iCs/>
                <w:sz w:val="22"/>
                <w:szCs w:val="22"/>
              </w:rPr>
              <w:t>What are the key elements that lead to success in the preparation and implementation of projects that involved application of World Bank OP 4.10 on Ethnic Minorities?</w:t>
            </w:r>
          </w:p>
        </w:tc>
      </w:tr>
      <w:tr w:rsidR="009B7F4B" w:rsidRPr="008D70B8" w:rsidTr="009F0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6" w:type="dxa"/>
            <w:gridSpan w:val="2"/>
          </w:tcPr>
          <w:p w:rsidR="0034158D" w:rsidRDefault="00350F4D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  <w:lang w:eastAsia="zh-CN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Project design, preparation and implementation should respe</w:t>
            </w:r>
            <w:r w:rsidR="00A71A12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ct local knowledge and customs.</w:t>
            </w:r>
          </w:p>
          <w:p w:rsidR="0034158D" w:rsidRDefault="00A71A12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  <w:lang w:eastAsia="zh-CN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Minority development needs to be integrated with local poverty risk reduction.</w:t>
            </w:r>
          </w:p>
          <w:p w:rsidR="0034158D" w:rsidRDefault="00A71A12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Effective </w:t>
            </w:r>
            <w:r w:rsidR="00E1218F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monitoring and evaluation of </w:t>
            </w:r>
            <w:r w:rsidR="00F45E9B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EMDP </w:t>
            </w:r>
            <w:r w:rsidR="00E1218F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contributes to optimizing project design and</w:t>
            </w:r>
            <w:r w:rsidR="00F376BD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adapting </w:t>
            </w:r>
            <w:r w:rsidR="00F376BD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implementation plans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as needed</w:t>
            </w:r>
            <w:r w:rsidR="00E1218F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9B7F4B" w:rsidRPr="008D70B8" w:rsidTr="009F0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6" w:type="dxa"/>
            <w:gridSpan w:val="2"/>
          </w:tcPr>
          <w:p w:rsidR="0034158D" w:rsidRDefault="009B7F4B" w:rsidP="00F45E9B">
            <w:pPr>
              <w:pStyle w:val="ListParagraph"/>
              <w:numPr>
                <w:ilvl w:val="0"/>
                <w:numId w:val="39"/>
              </w:numPr>
            </w:pPr>
            <w:r w:rsidRPr="00BD4ADF">
              <w:rPr>
                <w:rFonts w:cs="Times New Roman"/>
                <w:bCs/>
                <w:iCs/>
                <w:sz w:val="22"/>
                <w:szCs w:val="22"/>
              </w:rPr>
              <w:t>What are the key challenges in projects that have applied the World Bank OP 4.10 on Ethnic Minorities and how can these be addressed?</w:t>
            </w:r>
          </w:p>
        </w:tc>
      </w:tr>
      <w:tr w:rsidR="009B7F4B" w:rsidRPr="008D70B8" w:rsidTr="009F0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6" w:type="dxa"/>
            <w:gridSpan w:val="2"/>
          </w:tcPr>
          <w:p w:rsidR="0034158D" w:rsidRDefault="00B961E9" w:rsidP="00F45E9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</w:rPr>
              <w:t>Often</w:t>
            </w:r>
            <w:r w:rsidR="001500F0" w:rsidRPr="008D70B8">
              <w:rPr>
                <w:rFonts w:cs="Times New Roman"/>
                <w:iCs/>
                <w:sz w:val="22"/>
                <w:szCs w:val="22"/>
              </w:rPr>
              <w:t xml:space="preserve"> only children and elderly people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are available in rural areas </w:t>
            </w:r>
            <w:r w:rsidR="001500F0" w:rsidRPr="008D70B8">
              <w:rPr>
                <w:rFonts w:cs="Times New Roman"/>
                <w:iCs/>
                <w:sz w:val="22"/>
                <w:szCs w:val="22"/>
              </w:rPr>
              <w:t xml:space="preserve">when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the </w:t>
            </w:r>
            <w:r w:rsidR="001500F0" w:rsidRPr="008D70B8">
              <w:rPr>
                <w:rFonts w:cs="Times New Roman"/>
                <w:iCs/>
                <w:sz w:val="22"/>
                <w:szCs w:val="22"/>
              </w:rPr>
              <w:t xml:space="preserve">social assessment </w:t>
            </w:r>
            <w:r w:rsidRPr="008D70B8">
              <w:rPr>
                <w:rFonts w:cs="Times New Roman"/>
                <w:iCs/>
                <w:sz w:val="22"/>
                <w:szCs w:val="22"/>
              </w:rPr>
              <w:t>is undertaken</w:t>
            </w:r>
            <w:r w:rsidR="001500F0" w:rsidRPr="008D70B8">
              <w:rPr>
                <w:rFonts w:cs="Times New Roman"/>
                <w:iCs/>
                <w:sz w:val="22"/>
                <w:szCs w:val="22"/>
              </w:rPr>
              <w:t xml:space="preserve">. This </w:t>
            </w:r>
            <w:r w:rsidRPr="008D70B8">
              <w:rPr>
                <w:rFonts w:cs="Times New Roman"/>
                <w:iCs/>
                <w:sz w:val="22"/>
                <w:szCs w:val="22"/>
              </w:rPr>
              <w:t>weakens</w:t>
            </w:r>
            <w:r w:rsidR="001500F0" w:rsidRPr="008D70B8">
              <w:rPr>
                <w:rFonts w:cs="Times New Roman"/>
                <w:iCs/>
                <w:sz w:val="22"/>
                <w:szCs w:val="22"/>
              </w:rPr>
              <w:t xml:space="preserve"> the quality of community participation, and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makes it </w:t>
            </w:r>
            <w:r w:rsidR="001500F0" w:rsidRPr="008D70B8">
              <w:rPr>
                <w:rFonts w:cs="Times New Roman"/>
                <w:iCs/>
                <w:sz w:val="22"/>
                <w:szCs w:val="22"/>
              </w:rPr>
              <w:t xml:space="preserve">challenging for social experts to achieve full </w:t>
            </w:r>
            <w:r w:rsidRPr="008D70B8">
              <w:rPr>
                <w:rFonts w:cs="Times New Roman"/>
                <w:iCs/>
                <w:sz w:val="22"/>
                <w:szCs w:val="22"/>
              </w:rPr>
              <w:t xml:space="preserve">and appropriate </w:t>
            </w:r>
            <w:r w:rsidR="001500F0" w:rsidRPr="008D70B8">
              <w:rPr>
                <w:rFonts w:cs="Times New Roman"/>
                <w:iCs/>
                <w:sz w:val="22"/>
                <w:szCs w:val="22"/>
              </w:rPr>
              <w:t xml:space="preserve">representation during </w:t>
            </w:r>
            <w:r w:rsidRPr="008D70B8">
              <w:rPr>
                <w:rFonts w:cs="Times New Roman"/>
                <w:iCs/>
                <w:sz w:val="22"/>
                <w:szCs w:val="22"/>
              </w:rPr>
              <w:t>the SA</w:t>
            </w:r>
            <w:r w:rsidR="001500F0" w:rsidRPr="008D70B8">
              <w:rPr>
                <w:rFonts w:cs="Times New Roman"/>
                <w:iCs/>
                <w:sz w:val="22"/>
                <w:szCs w:val="22"/>
              </w:rPr>
              <w:t>.</w:t>
            </w:r>
            <w:r w:rsidR="007B475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To address this issue, mobile phone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s</w:t>
            </w:r>
            <w:r w:rsidR="007B475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and the internet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may </w:t>
            </w:r>
            <w:r w:rsidR="007B475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be used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to ensure participating in </w:t>
            </w:r>
            <w:r w:rsidR="007B475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community decisions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/villager assemblies</w:t>
            </w:r>
            <w:r w:rsidR="007B4756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. </w:t>
            </w:r>
          </w:p>
          <w:p w:rsidR="0034158D" w:rsidRDefault="004D237D" w:rsidP="00F45E9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Pressure from the government and the World Bank 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regarding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project schedule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s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can impede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effective participation of communities in 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Ethnic M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inority areas as comm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unity participation often takes time to achieve.</w:t>
            </w:r>
          </w:p>
        </w:tc>
      </w:tr>
      <w:tr w:rsidR="009B7F4B" w:rsidRPr="008D70B8" w:rsidTr="009F0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6" w:type="dxa"/>
            <w:gridSpan w:val="2"/>
          </w:tcPr>
          <w:p w:rsidR="0034158D" w:rsidRDefault="009B7F4B" w:rsidP="00F45E9B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bCs/>
                <w:iCs/>
                <w:sz w:val="22"/>
                <w:szCs w:val="22"/>
              </w:rPr>
              <w:t>What types of changes or clarifications should be included in a revised version of the World Bank OP 4.10 to make it more effective and implementable at the field level?</w:t>
            </w:r>
          </w:p>
        </w:tc>
      </w:tr>
      <w:tr w:rsidR="009B7F4B" w:rsidRPr="008D70B8" w:rsidTr="009F0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6" w:type="dxa"/>
            <w:gridSpan w:val="2"/>
          </w:tcPr>
          <w:p w:rsidR="0034158D" w:rsidRDefault="00F36B39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Further clarify criteria for 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identifying Ethnic M</w:t>
            </w:r>
            <w:r w:rsidR="00FB26E4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inorities: whether one or all four criteria shall be satisfied</w:t>
            </w:r>
            <w:r w:rsidR="002B7A98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; whether the majority of 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Ethnic M</w:t>
            </w:r>
            <w:r w:rsidR="006A0AD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inority </w:t>
            </w:r>
            <w:r w:rsidR="002B7A98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people</w:t>
            </w:r>
            <w:r w:rsidR="006A0AD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  <w:r w:rsidR="008D70B8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benefiting</w:t>
            </w:r>
            <w:r w:rsidR="006A0AD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from a project</w:t>
            </w:r>
            <w:r w:rsidR="002B7A98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refers to the majority under a component or the entire project</w:t>
            </w:r>
            <w:r w:rsidR="00B961E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.</w:t>
            </w:r>
          </w:p>
          <w:p w:rsidR="0034158D" w:rsidRDefault="00A219AE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Clarify </w:t>
            </w:r>
            <w:r w:rsidR="00FB26E4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specific circumstances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that require compliance with </w:t>
            </w:r>
            <w:r w:rsidR="00FB26E4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OP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  <w:r w:rsidR="00FB26E4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4.10.</w:t>
            </w:r>
          </w:p>
          <w:p w:rsidR="0034158D" w:rsidRDefault="002F47B2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Clarify objectives of </w:t>
            </w:r>
            <w:r w:rsidR="00F45E9B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EMDP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monitoring and ev</w:t>
            </w:r>
            <w:r w:rsidR="0011361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aluation and develop guidelines</w:t>
            </w:r>
            <w:r w:rsidR="001F2C8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, similar to those on involuntary resettlement</w:t>
            </w:r>
            <w:r w:rsidR="0011361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; </w:t>
            </w:r>
            <w:r w:rsidR="00A219A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prepare a </w:t>
            </w:r>
            <w:r w:rsidR="0011361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monitoring and evaluation manual and </w:t>
            </w:r>
            <w:r w:rsidR="00A219A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identify </w:t>
            </w:r>
            <w:r w:rsidR="00113610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monitoring indicators.</w:t>
            </w:r>
            <w:r w:rsidR="00FB26E4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4158D" w:rsidRDefault="00397C1C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Clearly define the scope of </w:t>
            </w:r>
            <w:r w:rsidR="00A219A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the </w:t>
            </w:r>
            <w:r w:rsidR="00F45E9B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EMDP </w:t>
            </w:r>
            <w:r w:rsidR="00A219A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and s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ources of funding for IPP preparation. </w:t>
            </w:r>
          </w:p>
          <w:p w:rsidR="0034158D" w:rsidRPr="00F45E9B" w:rsidRDefault="0058733E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Clearly define what types of projects need to prepare </w:t>
            </w:r>
            <w:r w:rsidR="00A219A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and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EMDP and </w:t>
            </w:r>
            <w:r w:rsidR="00A219A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ensure that there are operational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guide</w:t>
            </w:r>
            <w:r w:rsidR="00277DD5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lines and rules governing EMDP preparation.</w:t>
            </w:r>
            <w:r w:rsidR="00F36B3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B7F4B" w:rsidRPr="008D70B8" w:rsidTr="009F0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6" w:type="dxa"/>
            <w:gridSpan w:val="2"/>
          </w:tcPr>
          <w:p w:rsidR="0034158D" w:rsidRDefault="009B7F4B" w:rsidP="00F45E9B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bCs/>
                <w:iCs/>
                <w:sz w:val="22"/>
                <w:szCs w:val="22"/>
              </w:rPr>
              <w:t xml:space="preserve">What are the key lessons from the conduct of social assessments and their application in the preparation of Ethnic Minority Frameworks and Ethnic Minority </w:t>
            </w:r>
            <w:r w:rsidR="00F45E9B">
              <w:rPr>
                <w:rFonts w:cs="Times New Roman"/>
                <w:bCs/>
                <w:iCs/>
                <w:sz w:val="22"/>
                <w:szCs w:val="22"/>
              </w:rPr>
              <w:t xml:space="preserve">Development </w:t>
            </w:r>
            <w:r w:rsidRPr="008D70B8">
              <w:rPr>
                <w:rFonts w:cs="Times New Roman"/>
                <w:bCs/>
                <w:iCs/>
                <w:sz w:val="22"/>
                <w:szCs w:val="22"/>
              </w:rPr>
              <w:t>Plans?</w:t>
            </w:r>
          </w:p>
        </w:tc>
      </w:tr>
      <w:tr w:rsidR="009B7F4B" w:rsidRPr="008D70B8" w:rsidTr="009F0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6" w:type="dxa"/>
            <w:gridSpan w:val="2"/>
          </w:tcPr>
          <w:p w:rsidR="0034158D" w:rsidRDefault="00A71A12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An </w:t>
            </w:r>
            <w:r w:rsidR="000A636F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EMDP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shall be accompanied by an Action Plan. </w:t>
            </w:r>
          </w:p>
          <w:p w:rsidR="0034158D" w:rsidRDefault="00A219AE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Clearly define and ensure </w:t>
            </w:r>
            <w:r w:rsidR="004A1F5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adequate resources for preparation of </w:t>
            </w:r>
            <w:r w:rsidR="000A636F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EMDP.</w:t>
            </w:r>
          </w:p>
          <w:p w:rsidR="0034158D" w:rsidRDefault="00C40439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Build capacity of grassroots level implementing units in preparing </w:t>
            </w:r>
            <w:r w:rsidR="000A636F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EMDP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through training and other approaches.</w:t>
            </w:r>
          </w:p>
          <w:p w:rsidR="0034158D" w:rsidRDefault="002B203F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Simplify </w:t>
            </w:r>
            <w:r w:rsidR="000A636F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EMDP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:</w:t>
            </w:r>
            <w:r w:rsidR="000A636F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whether </w:t>
            </w:r>
            <w:r w:rsidR="00BC294B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activities</w:t>
            </w:r>
            <w:r w:rsidR="000A636F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already covered in the </w:t>
            </w:r>
            <w:r w:rsidR="009B7D57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SA can be dropped and if yes, whether a 2-</w:t>
            </w:r>
            <w:r w:rsidR="00BC294B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4 </w:t>
            </w:r>
            <w:r w:rsidR="009B7D57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page improved action plan would be sufficient, or whether a stand-alone EMDP is still needed. </w:t>
            </w:r>
            <w:r w:rsidR="00C40439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4158D" w:rsidRDefault="00F441A8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EMDP design and implementation </w:t>
            </w:r>
            <w:r w:rsidR="00A219AE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should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re</w:t>
            </w:r>
            <w:r w:rsidR="0018792C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spect local culture and customs </w:t>
            </w:r>
          </w:p>
          <w:p w:rsidR="0034158D" w:rsidRDefault="007329A2" w:rsidP="00F45E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>EMDP implementation</w:t>
            </w:r>
            <w:r w:rsidR="0018792C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and monitoring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should </w:t>
            </w:r>
            <w:r w:rsidR="0018792C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be supported with </w:t>
            </w:r>
            <w:r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adequate </w:t>
            </w:r>
            <w:r w:rsidR="0018792C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funding. </w:t>
            </w:r>
            <w:r w:rsidR="00F441A8" w:rsidRPr="008D70B8">
              <w:rPr>
                <w:rFonts w:cs="Times New Roman"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116C1F" w:rsidRDefault="00116C1F" w:rsidP="00F45E9B">
      <w:pPr>
        <w:spacing w:after="0" w:line="240" w:lineRule="auto"/>
        <w:rPr>
          <w:rFonts w:ascii="Cambria" w:hAnsi="Cambria"/>
          <w:b/>
          <w:color w:val="17365D"/>
        </w:rPr>
      </w:pPr>
    </w:p>
    <w:sectPr w:rsidR="00116C1F" w:rsidSect="00E62F90">
      <w:headerReference w:type="default" r:id="rId14"/>
      <w:footerReference w:type="even" r:id="rId15"/>
      <w:footerReference w:type="default" r:id="rId16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B5" w:rsidRDefault="00910FB5">
      <w:pPr>
        <w:spacing w:after="0" w:line="240" w:lineRule="auto"/>
      </w:pPr>
      <w:r>
        <w:separator/>
      </w:r>
    </w:p>
  </w:endnote>
  <w:endnote w:type="continuationSeparator" w:id="0">
    <w:p w:rsidR="00910FB5" w:rsidRDefault="0091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AE" w:rsidRDefault="00684E1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219AE">
      <w:rPr>
        <w:noProof/>
      </w:rPr>
      <w:t>4</w:t>
    </w:r>
    <w:r>
      <w:rPr>
        <w:noProof/>
      </w:rPr>
      <w:fldChar w:fldCharType="end"/>
    </w:r>
  </w:p>
  <w:p w:rsidR="00A219AE" w:rsidRDefault="00A21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1606"/>
      <w:docPartObj>
        <w:docPartGallery w:val="Page Numbers (Bottom of Page)"/>
        <w:docPartUnique/>
      </w:docPartObj>
    </w:sdtPr>
    <w:sdtEndPr/>
    <w:sdtContent>
      <w:p w:rsidR="0034158D" w:rsidRDefault="0034158D" w:rsidP="00F45E9B">
        <w:pPr>
          <w:pStyle w:val="Footer"/>
          <w:jc w:val="center"/>
        </w:pPr>
        <w:r w:rsidRPr="00F45E9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45E9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F45E9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72B1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F45E9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B5" w:rsidRDefault="00910FB5">
      <w:pPr>
        <w:spacing w:after="0" w:line="240" w:lineRule="auto"/>
      </w:pPr>
      <w:r>
        <w:separator/>
      </w:r>
    </w:p>
  </w:footnote>
  <w:footnote w:type="continuationSeparator" w:id="0">
    <w:p w:rsidR="00910FB5" w:rsidRDefault="0091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AE" w:rsidRDefault="00A219AE">
    <w:pPr>
      <w:pStyle w:val="Header"/>
      <w:rPr>
        <w:sz w:val="18"/>
        <w:szCs w:val="18"/>
      </w:rPr>
    </w:pPr>
  </w:p>
  <w:p w:rsidR="00A219AE" w:rsidRPr="00ED2123" w:rsidRDefault="00A219A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66CA"/>
    <w:multiLevelType w:val="hybridMultilevel"/>
    <w:tmpl w:val="2272B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343"/>
    <w:multiLevelType w:val="hybridMultilevel"/>
    <w:tmpl w:val="B928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856FF"/>
    <w:multiLevelType w:val="hybridMultilevel"/>
    <w:tmpl w:val="D3EC7E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64965"/>
    <w:multiLevelType w:val="hybridMultilevel"/>
    <w:tmpl w:val="EAD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F0698"/>
    <w:multiLevelType w:val="hybridMultilevel"/>
    <w:tmpl w:val="BC6060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D892296"/>
    <w:multiLevelType w:val="hybridMultilevel"/>
    <w:tmpl w:val="100C22B8"/>
    <w:lvl w:ilvl="0" w:tplc="4D7ACE3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8629A"/>
    <w:multiLevelType w:val="hybridMultilevel"/>
    <w:tmpl w:val="F646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20085"/>
    <w:multiLevelType w:val="hybridMultilevel"/>
    <w:tmpl w:val="D0C6C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C250F"/>
    <w:multiLevelType w:val="hybridMultilevel"/>
    <w:tmpl w:val="E51C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4B814E56"/>
    <w:multiLevelType w:val="hybridMultilevel"/>
    <w:tmpl w:val="1188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="Calibr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4FFA7E14"/>
    <w:multiLevelType w:val="hybridMultilevel"/>
    <w:tmpl w:val="226872D6"/>
    <w:lvl w:ilvl="0" w:tplc="6B10CB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4D538B1"/>
    <w:multiLevelType w:val="hybridMultilevel"/>
    <w:tmpl w:val="1B96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91994"/>
    <w:multiLevelType w:val="hybridMultilevel"/>
    <w:tmpl w:val="F392B6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C5F99"/>
    <w:multiLevelType w:val="hybridMultilevel"/>
    <w:tmpl w:val="67A8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B4D1F"/>
    <w:multiLevelType w:val="hybridMultilevel"/>
    <w:tmpl w:val="D1EC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C5C8B"/>
    <w:multiLevelType w:val="hybridMultilevel"/>
    <w:tmpl w:val="050AB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730837A4"/>
    <w:multiLevelType w:val="hybridMultilevel"/>
    <w:tmpl w:val="A4909E54"/>
    <w:lvl w:ilvl="0" w:tplc="9F4E03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>
    <w:nsid w:val="79DE091B"/>
    <w:multiLevelType w:val="hybridMultilevel"/>
    <w:tmpl w:val="19B8F4F2"/>
    <w:lvl w:ilvl="0" w:tplc="6B10CB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3"/>
  </w:num>
  <w:num w:numId="4">
    <w:abstractNumId w:val="29"/>
  </w:num>
  <w:num w:numId="5">
    <w:abstractNumId w:val="24"/>
  </w:num>
  <w:num w:numId="6">
    <w:abstractNumId w:val="39"/>
  </w:num>
  <w:num w:numId="7">
    <w:abstractNumId w:val="45"/>
  </w:num>
  <w:num w:numId="8">
    <w:abstractNumId w:val="46"/>
  </w:num>
  <w:num w:numId="9">
    <w:abstractNumId w:val="41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  <w:num w:numId="15">
    <w:abstractNumId w:val="37"/>
  </w:num>
  <w:num w:numId="16">
    <w:abstractNumId w:val="2"/>
  </w:num>
  <w:num w:numId="17">
    <w:abstractNumId w:val="38"/>
  </w:num>
  <w:num w:numId="18">
    <w:abstractNumId w:val="8"/>
  </w:num>
  <w:num w:numId="19">
    <w:abstractNumId w:val="18"/>
  </w:num>
  <w:num w:numId="20">
    <w:abstractNumId w:val="5"/>
  </w:num>
  <w:num w:numId="21">
    <w:abstractNumId w:val="10"/>
  </w:num>
  <w:num w:numId="22">
    <w:abstractNumId w:val="22"/>
  </w:num>
  <w:num w:numId="23">
    <w:abstractNumId w:val="40"/>
  </w:num>
  <w:num w:numId="24">
    <w:abstractNumId w:val="33"/>
  </w:num>
  <w:num w:numId="25">
    <w:abstractNumId w:val="14"/>
  </w:num>
  <w:num w:numId="26">
    <w:abstractNumId w:val="26"/>
  </w:num>
  <w:num w:numId="27">
    <w:abstractNumId w:val="15"/>
  </w:num>
  <w:num w:numId="28">
    <w:abstractNumId w:val="19"/>
  </w:num>
  <w:num w:numId="29">
    <w:abstractNumId w:val="16"/>
  </w:num>
  <w:num w:numId="30">
    <w:abstractNumId w:val="21"/>
  </w:num>
  <w:num w:numId="31">
    <w:abstractNumId w:val="31"/>
  </w:num>
  <w:num w:numId="32">
    <w:abstractNumId w:val="36"/>
  </w:num>
  <w:num w:numId="33">
    <w:abstractNumId w:val="4"/>
  </w:num>
  <w:num w:numId="34">
    <w:abstractNumId w:val="20"/>
  </w:num>
  <w:num w:numId="35">
    <w:abstractNumId w:val="25"/>
  </w:num>
  <w:num w:numId="36">
    <w:abstractNumId w:val="44"/>
  </w:num>
  <w:num w:numId="37">
    <w:abstractNumId w:val="11"/>
  </w:num>
  <w:num w:numId="38">
    <w:abstractNumId w:val="17"/>
  </w:num>
  <w:num w:numId="39">
    <w:abstractNumId w:val="42"/>
  </w:num>
  <w:num w:numId="40">
    <w:abstractNumId w:val="23"/>
  </w:num>
  <w:num w:numId="41">
    <w:abstractNumId w:val="6"/>
  </w:num>
  <w:num w:numId="42">
    <w:abstractNumId w:val="34"/>
  </w:num>
  <w:num w:numId="43">
    <w:abstractNumId w:val="30"/>
  </w:num>
  <w:num w:numId="44">
    <w:abstractNumId w:val="35"/>
  </w:num>
  <w:num w:numId="45">
    <w:abstractNumId w:val="28"/>
  </w:num>
  <w:num w:numId="4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56E"/>
    <w:rsid w:val="00007DA4"/>
    <w:rsid w:val="000142D2"/>
    <w:rsid w:val="00014E36"/>
    <w:rsid w:val="00021A3D"/>
    <w:rsid w:val="000225BA"/>
    <w:rsid w:val="0002336F"/>
    <w:rsid w:val="00024DD6"/>
    <w:rsid w:val="00025C6B"/>
    <w:rsid w:val="00026C80"/>
    <w:rsid w:val="00030C2C"/>
    <w:rsid w:val="00032054"/>
    <w:rsid w:val="000328E3"/>
    <w:rsid w:val="0003575B"/>
    <w:rsid w:val="00036C7B"/>
    <w:rsid w:val="0003735C"/>
    <w:rsid w:val="00037CDC"/>
    <w:rsid w:val="00037D98"/>
    <w:rsid w:val="00041DD8"/>
    <w:rsid w:val="0004207A"/>
    <w:rsid w:val="00042252"/>
    <w:rsid w:val="000423C3"/>
    <w:rsid w:val="00050278"/>
    <w:rsid w:val="00052126"/>
    <w:rsid w:val="00052A60"/>
    <w:rsid w:val="000568E5"/>
    <w:rsid w:val="000615B0"/>
    <w:rsid w:val="00064133"/>
    <w:rsid w:val="000701AB"/>
    <w:rsid w:val="000744EF"/>
    <w:rsid w:val="00080146"/>
    <w:rsid w:val="00081AF6"/>
    <w:rsid w:val="00083CB4"/>
    <w:rsid w:val="00083EDC"/>
    <w:rsid w:val="00092809"/>
    <w:rsid w:val="00093B2C"/>
    <w:rsid w:val="00097805"/>
    <w:rsid w:val="000A1804"/>
    <w:rsid w:val="000A636F"/>
    <w:rsid w:val="000A6D16"/>
    <w:rsid w:val="000A7F3E"/>
    <w:rsid w:val="000B2DE8"/>
    <w:rsid w:val="000B3468"/>
    <w:rsid w:val="000B4F12"/>
    <w:rsid w:val="000B6108"/>
    <w:rsid w:val="000C05A5"/>
    <w:rsid w:val="000C228B"/>
    <w:rsid w:val="000C51A0"/>
    <w:rsid w:val="000C60DE"/>
    <w:rsid w:val="000D0B99"/>
    <w:rsid w:val="000D0B9B"/>
    <w:rsid w:val="000D1AEB"/>
    <w:rsid w:val="000D2C0A"/>
    <w:rsid w:val="000D65F8"/>
    <w:rsid w:val="000D742B"/>
    <w:rsid w:val="000E4A9F"/>
    <w:rsid w:val="000E5A24"/>
    <w:rsid w:val="000E5F00"/>
    <w:rsid w:val="000E6339"/>
    <w:rsid w:val="000E6B6A"/>
    <w:rsid w:val="000F248E"/>
    <w:rsid w:val="000F3983"/>
    <w:rsid w:val="000F3E02"/>
    <w:rsid w:val="000F42AD"/>
    <w:rsid w:val="000F70D2"/>
    <w:rsid w:val="00101AD6"/>
    <w:rsid w:val="001055C2"/>
    <w:rsid w:val="00112D59"/>
    <w:rsid w:val="00113610"/>
    <w:rsid w:val="00116045"/>
    <w:rsid w:val="0011666B"/>
    <w:rsid w:val="00116C1F"/>
    <w:rsid w:val="0012738A"/>
    <w:rsid w:val="00130F40"/>
    <w:rsid w:val="0013530E"/>
    <w:rsid w:val="00136AB9"/>
    <w:rsid w:val="0014341F"/>
    <w:rsid w:val="00143686"/>
    <w:rsid w:val="00144343"/>
    <w:rsid w:val="001453DE"/>
    <w:rsid w:val="001467E0"/>
    <w:rsid w:val="001500F0"/>
    <w:rsid w:val="0015489E"/>
    <w:rsid w:val="0015696B"/>
    <w:rsid w:val="001603D5"/>
    <w:rsid w:val="00165F5F"/>
    <w:rsid w:val="00166F32"/>
    <w:rsid w:val="00167293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85BF6"/>
    <w:rsid w:val="0018792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B6254"/>
    <w:rsid w:val="001C0DF8"/>
    <w:rsid w:val="001C4A97"/>
    <w:rsid w:val="001C6EB8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2C8E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1558F"/>
    <w:rsid w:val="00222436"/>
    <w:rsid w:val="002248F1"/>
    <w:rsid w:val="002253F7"/>
    <w:rsid w:val="00227180"/>
    <w:rsid w:val="00232712"/>
    <w:rsid w:val="0023392A"/>
    <w:rsid w:val="00234BFF"/>
    <w:rsid w:val="0023510E"/>
    <w:rsid w:val="00236099"/>
    <w:rsid w:val="0023669B"/>
    <w:rsid w:val="0024205F"/>
    <w:rsid w:val="00245870"/>
    <w:rsid w:val="00247A18"/>
    <w:rsid w:val="00255132"/>
    <w:rsid w:val="0026010D"/>
    <w:rsid w:val="002648AA"/>
    <w:rsid w:val="002659D6"/>
    <w:rsid w:val="00267AE4"/>
    <w:rsid w:val="002705F9"/>
    <w:rsid w:val="002717AA"/>
    <w:rsid w:val="0027488F"/>
    <w:rsid w:val="00276622"/>
    <w:rsid w:val="00277DD5"/>
    <w:rsid w:val="002801FD"/>
    <w:rsid w:val="00281DE2"/>
    <w:rsid w:val="00283919"/>
    <w:rsid w:val="00292E6E"/>
    <w:rsid w:val="00295A21"/>
    <w:rsid w:val="002A30FC"/>
    <w:rsid w:val="002A5286"/>
    <w:rsid w:val="002A53A4"/>
    <w:rsid w:val="002A5680"/>
    <w:rsid w:val="002A673A"/>
    <w:rsid w:val="002A6B80"/>
    <w:rsid w:val="002A7906"/>
    <w:rsid w:val="002B203F"/>
    <w:rsid w:val="002B67F6"/>
    <w:rsid w:val="002B7A98"/>
    <w:rsid w:val="002C015C"/>
    <w:rsid w:val="002C02C4"/>
    <w:rsid w:val="002C1792"/>
    <w:rsid w:val="002C1A68"/>
    <w:rsid w:val="002C26F1"/>
    <w:rsid w:val="002D786E"/>
    <w:rsid w:val="002E0C15"/>
    <w:rsid w:val="002E1692"/>
    <w:rsid w:val="002E3DC8"/>
    <w:rsid w:val="002E7551"/>
    <w:rsid w:val="002E7FA4"/>
    <w:rsid w:val="002F017A"/>
    <w:rsid w:val="002F0F6D"/>
    <w:rsid w:val="002F156A"/>
    <w:rsid w:val="002F47B2"/>
    <w:rsid w:val="002F5B95"/>
    <w:rsid w:val="002F79E8"/>
    <w:rsid w:val="0030042C"/>
    <w:rsid w:val="003048A6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2607"/>
    <w:rsid w:val="00323CE8"/>
    <w:rsid w:val="00327933"/>
    <w:rsid w:val="00332CDC"/>
    <w:rsid w:val="0033673C"/>
    <w:rsid w:val="00337BD2"/>
    <w:rsid w:val="003402AA"/>
    <w:rsid w:val="0034158D"/>
    <w:rsid w:val="00344222"/>
    <w:rsid w:val="00345D6C"/>
    <w:rsid w:val="003507ED"/>
    <w:rsid w:val="00350F4D"/>
    <w:rsid w:val="003523D2"/>
    <w:rsid w:val="00353D85"/>
    <w:rsid w:val="00353E83"/>
    <w:rsid w:val="00354731"/>
    <w:rsid w:val="003559C0"/>
    <w:rsid w:val="0035744E"/>
    <w:rsid w:val="00361A5B"/>
    <w:rsid w:val="00366C5B"/>
    <w:rsid w:val="00367E63"/>
    <w:rsid w:val="00372BAA"/>
    <w:rsid w:val="0037369B"/>
    <w:rsid w:val="003739E9"/>
    <w:rsid w:val="00374FDF"/>
    <w:rsid w:val="00377D76"/>
    <w:rsid w:val="00380533"/>
    <w:rsid w:val="003811B9"/>
    <w:rsid w:val="00382F7C"/>
    <w:rsid w:val="00386344"/>
    <w:rsid w:val="00387008"/>
    <w:rsid w:val="0039156C"/>
    <w:rsid w:val="003918B3"/>
    <w:rsid w:val="00391E63"/>
    <w:rsid w:val="003942AC"/>
    <w:rsid w:val="00394329"/>
    <w:rsid w:val="00394346"/>
    <w:rsid w:val="00397C1C"/>
    <w:rsid w:val="003A366A"/>
    <w:rsid w:val="003B013D"/>
    <w:rsid w:val="003B06D5"/>
    <w:rsid w:val="003B14C5"/>
    <w:rsid w:val="003B34CF"/>
    <w:rsid w:val="003B7CD0"/>
    <w:rsid w:val="003C5296"/>
    <w:rsid w:val="003C798A"/>
    <w:rsid w:val="003D1475"/>
    <w:rsid w:val="003D1587"/>
    <w:rsid w:val="003D4776"/>
    <w:rsid w:val="003D5011"/>
    <w:rsid w:val="003D686C"/>
    <w:rsid w:val="003E1AAE"/>
    <w:rsid w:val="003E2779"/>
    <w:rsid w:val="003E2B02"/>
    <w:rsid w:val="003E32AF"/>
    <w:rsid w:val="003F04AF"/>
    <w:rsid w:val="003F2F60"/>
    <w:rsid w:val="003F309E"/>
    <w:rsid w:val="003F6451"/>
    <w:rsid w:val="0040761E"/>
    <w:rsid w:val="00410BCE"/>
    <w:rsid w:val="0041268A"/>
    <w:rsid w:val="00416EDE"/>
    <w:rsid w:val="00424C82"/>
    <w:rsid w:val="00426B51"/>
    <w:rsid w:val="00431D5F"/>
    <w:rsid w:val="004351E3"/>
    <w:rsid w:val="00436033"/>
    <w:rsid w:val="004417FE"/>
    <w:rsid w:val="00442560"/>
    <w:rsid w:val="00442D97"/>
    <w:rsid w:val="00443EEF"/>
    <w:rsid w:val="00446D15"/>
    <w:rsid w:val="004503F6"/>
    <w:rsid w:val="00451046"/>
    <w:rsid w:val="00457F6D"/>
    <w:rsid w:val="0046032B"/>
    <w:rsid w:val="004604F5"/>
    <w:rsid w:val="00462530"/>
    <w:rsid w:val="00465D29"/>
    <w:rsid w:val="00466CE3"/>
    <w:rsid w:val="00473315"/>
    <w:rsid w:val="00474F9B"/>
    <w:rsid w:val="00477385"/>
    <w:rsid w:val="00481ACF"/>
    <w:rsid w:val="00486D5C"/>
    <w:rsid w:val="00491A35"/>
    <w:rsid w:val="00491D90"/>
    <w:rsid w:val="0049389F"/>
    <w:rsid w:val="00496A48"/>
    <w:rsid w:val="00497432"/>
    <w:rsid w:val="004A1A9D"/>
    <w:rsid w:val="004A1F5E"/>
    <w:rsid w:val="004A35AD"/>
    <w:rsid w:val="004B0E26"/>
    <w:rsid w:val="004B2020"/>
    <w:rsid w:val="004B2825"/>
    <w:rsid w:val="004B30F9"/>
    <w:rsid w:val="004B69B8"/>
    <w:rsid w:val="004C2A58"/>
    <w:rsid w:val="004C34CD"/>
    <w:rsid w:val="004C3573"/>
    <w:rsid w:val="004C37E8"/>
    <w:rsid w:val="004C4524"/>
    <w:rsid w:val="004C6BA6"/>
    <w:rsid w:val="004C7FCA"/>
    <w:rsid w:val="004D059D"/>
    <w:rsid w:val="004D1F01"/>
    <w:rsid w:val="004D237D"/>
    <w:rsid w:val="004D4CBA"/>
    <w:rsid w:val="004D668A"/>
    <w:rsid w:val="004D6875"/>
    <w:rsid w:val="004D68F9"/>
    <w:rsid w:val="004D73E7"/>
    <w:rsid w:val="004E29FC"/>
    <w:rsid w:val="004E558A"/>
    <w:rsid w:val="004E61B9"/>
    <w:rsid w:val="004F2672"/>
    <w:rsid w:val="004F3586"/>
    <w:rsid w:val="004F4615"/>
    <w:rsid w:val="004F551D"/>
    <w:rsid w:val="004F5D6B"/>
    <w:rsid w:val="004F604E"/>
    <w:rsid w:val="004F78BE"/>
    <w:rsid w:val="00503AC3"/>
    <w:rsid w:val="005065C7"/>
    <w:rsid w:val="00507646"/>
    <w:rsid w:val="00510C7B"/>
    <w:rsid w:val="00517A78"/>
    <w:rsid w:val="00521046"/>
    <w:rsid w:val="005214D1"/>
    <w:rsid w:val="00522CAE"/>
    <w:rsid w:val="0053345C"/>
    <w:rsid w:val="005409E3"/>
    <w:rsid w:val="005420E0"/>
    <w:rsid w:val="00542408"/>
    <w:rsid w:val="00542D82"/>
    <w:rsid w:val="00551E85"/>
    <w:rsid w:val="005520F8"/>
    <w:rsid w:val="00555A56"/>
    <w:rsid w:val="005602FF"/>
    <w:rsid w:val="00560F42"/>
    <w:rsid w:val="00561582"/>
    <w:rsid w:val="00562369"/>
    <w:rsid w:val="00565BEE"/>
    <w:rsid w:val="00566924"/>
    <w:rsid w:val="00567698"/>
    <w:rsid w:val="005703C8"/>
    <w:rsid w:val="0057243A"/>
    <w:rsid w:val="00574316"/>
    <w:rsid w:val="00575E38"/>
    <w:rsid w:val="0057765C"/>
    <w:rsid w:val="00580742"/>
    <w:rsid w:val="00581F5B"/>
    <w:rsid w:val="00582C42"/>
    <w:rsid w:val="0058733E"/>
    <w:rsid w:val="00590F1D"/>
    <w:rsid w:val="005926E0"/>
    <w:rsid w:val="00592B56"/>
    <w:rsid w:val="005941F6"/>
    <w:rsid w:val="00594D12"/>
    <w:rsid w:val="00595239"/>
    <w:rsid w:val="005A1B20"/>
    <w:rsid w:val="005A323D"/>
    <w:rsid w:val="005A4FF2"/>
    <w:rsid w:val="005B5659"/>
    <w:rsid w:val="005B5868"/>
    <w:rsid w:val="005C0B3E"/>
    <w:rsid w:val="005C2BD1"/>
    <w:rsid w:val="005C3028"/>
    <w:rsid w:val="005C478A"/>
    <w:rsid w:val="005C4C50"/>
    <w:rsid w:val="005D07F3"/>
    <w:rsid w:val="005D0D38"/>
    <w:rsid w:val="005D0EF7"/>
    <w:rsid w:val="005D1984"/>
    <w:rsid w:val="005D7374"/>
    <w:rsid w:val="005E4AAD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52EA2"/>
    <w:rsid w:val="006657CD"/>
    <w:rsid w:val="00665A65"/>
    <w:rsid w:val="00665F7F"/>
    <w:rsid w:val="006712A0"/>
    <w:rsid w:val="0067308A"/>
    <w:rsid w:val="00674EEA"/>
    <w:rsid w:val="00676077"/>
    <w:rsid w:val="00676792"/>
    <w:rsid w:val="00677147"/>
    <w:rsid w:val="00680472"/>
    <w:rsid w:val="006810E8"/>
    <w:rsid w:val="00684485"/>
    <w:rsid w:val="006846AC"/>
    <w:rsid w:val="00684E1B"/>
    <w:rsid w:val="00694CBC"/>
    <w:rsid w:val="00695C15"/>
    <w:rsid w:val="00696B3E"/>
    <w:rsid w:val="00697FED"/>
    <w:rsid w:val="006A0ADE"/>
    <w:rsid w:val="006A1A6E"/>
    <w:rsid w:val="006A26A0"/>
    <w:rsid w:val="006A4710"/>
    <w:rsid w:val="006B1A71"/>
    <w:rsid w:val="006B1E56"/>
    <w:rsid w:val="006B1F5D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1818"/>
    <w:rsid w:val="006D4EB1"/>
    <w:rsid w:val="006D5D8B"/>
    <w:rsid w:val="006D7F10"/>
    <w:rsid w:val="006E0806"/>
    <w:rsid w:val="006E4401"/>
    <w:rsid w:val="006E4E89"/>
    <w:rsid w:val="006E68C8"/>
    <w:rsid w:val="006E698B"/>
    <w:rsid w:val="006F2C1C"/>
    <w:rsid w:val="006F5B2A"/>
    <w:rsid w:val="006F7CE9"/>
    <w:rsid w:val="00703DDF"/>
    <w:rsid w:val="00705B77"/>
    <w:rsid w:val="00706D64"/>
    <w:rsid w:val="00712242"/>
    <w:rsid w:val="00721455"/>
    <w:rsid w:val="00721DDD"/>
    <w:rsid w:val="00732129"/>
    <w:rsid w:val="007329A2"/>
    <w:rsid w:val="0074508D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000F"/>
    <w:rsid w:val="007641B0"/>
    <w:rsid w:val="0076500E"/>
    <w:rsid w:val="00765BAF"/>
    <w:rsid w:val="0077055E"/>
    <w:rsid w:val="0077436C"/>
    <w:rsid w:val="00775647"/>
    <w:rsid w:val="00780523"/>
    <w:rsid w:val="00780E7C"/>
    <w:rsid w:val="007826D8"/>
    <w:rsid w:val="007832A9"/>
    <w:rsid w:val="00785020"/>
    <w:rsid w:val="007A025C"/>
    <w:rsid w:val="007A4F6E"/>
    <w:rsid w:val="007A53B1"/>
    <w:rsid w:val="007A5BC6"/>
    <w:rsid w:val="007A79F4"/>
    <w:rsid w:val="007B1E0E"/>
    <w:rsid w:val="007B4756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406"/>
    <w:rsid w:val="00826F47"/>
    <w:rsid w:val="008308F0"/>
    <w:rsid w:val="00830BAB"/>
    <w:rsid w:val="00831DE1"/>
    <w:rsid w:val="00832B88"/>
    <w:rsid w:val="0083558C"/>
    <w:rsid w:val="00836853"/>
    <w:rsid w:val="00837F2B"/>
    <w:rsid w:val="00841C8F"/>
    <w:rsid w:val="00841DF7"/>
    <w:rsid w:val="008551C9"/>
    <w:rsid w:val="008564C4"/>
    <w:rsid w:val="00856C25"/>
    <w:rsid w:val="00872B1E"/>
    <w:rsid w:val="00873220"/>
    <w:rsid w:val="00875B03"/>
    <w:rsid w:val="00877B95"/>
    <w:rsid w:val="00877C0B"/>
    <w:rsid w:val="00883EDE"/>
    <w:rsid w:val="00885E07"/>
    <w:rsid w:val="008867E9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03ED"/>
    <w:rsid w:val="008D5294"/>
    <w:rsid w:val="008D6E46"/>
    <w:rsid w:val="008D70B8"/>
    <w:rsid w:val="008E6553"/>
    <w:rsid w:val="008E663F"/>
    <w:rsid w:val="008E6961"/>
    <w:rsid w:val="008F4648"/>
    <w:rsid w:val="008F514A"/>
    <w:rsid w:val="00901980"/>
    <w:rsid w:val="0090611C"/>
    <w:rsid w:val="00906582"/>
    <w:rsid w:val="00906C84"/>
    <w:rsid w:val="00910FB5"/>
    <w:rsid w:val="0091180A"/>
    <w:rsid w:val="00912D3B"/>
    <w:rsid w:val="009138D6"/>
    <w:rsid w:val="00913A85"/>
    <w:rsid w:val="009202D6"/>
    <w:rsid w:val="009215AE"/>
    <w:rsid w:val="00921B7D"/>
    <w:rsid w:val="00922000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266D"/>
    <w:rsid w:val="0096419A"/>
    <w:rsid w:val="00967E39"/>
    <w:rsid w:val="0097042D"/>
    <w:rsid w:val="009724B0"/>
    <w:rsid w:val="00972C54"/>
    <w:rsid w:val="00980635"/>
    <w:rsid w:val="00981BE5"/>
    <w:rsid w:val="00990B5E"/>
    <w:rsid w:val="00993EAB"/>
    <w:rsid w:val="0099482F"/>
    <w:rsid w:val="00994D19"/>
    <w:rsid w:val="009A1E74"/>
    <w:rsid w:val="009A343C"/>
    <w:rsid w:val="009A7027"/>
    <w:rsid w:val="009A707A"/>
    <w:rsid w:val="009B2BF4"/>
    <w:rsid w:val="009B36E2"/>
    <w:rsid w:val="009B738C"/>
    <w:rsid w:val="009B7D57"/>
    <w:rsid w:val="009B7F4B"/>
    <w:rsid w:val="009C0FFD"/>
    <w:rsid w:val="009C16BB"/>
    <w:rsid w:val="009C27DD"/>
    <w:rsid w:val="009C509A"/>
    <w:rsid w:val="009D025E"/>
    <w:rsid w:val="009D4938"/>
    <w:rsid w:val="009D7BF5"/>
    <w:rsid w:val="009E4E07"/>
    <w:rsid w:val="009E5FD0"/>
    <w:rsid w:val="009E60A4"/>
    <w:rsid w:val="009E6AC5"/>
    <w:rsid w:val="009F010B"/>
    <w:rsid w:val="009F14D6"/>
    <w:rsid w:val="009F279E"/>
    <w:rsid w:val="009F6623"/>
    <w:rsid w:val="009F7308"/>
    <w:rsid w:val="00A02FEB"/>
    <w:rsid w:val="00A03042"/>
    <w:rsid w:val="00A06B4E"/>
    <w:rsid w:val="00A07870"/>
    <w:rsid w:val="00A10665"/>
    <w:rsid w:val="00A135FF"/>
    <w:rsid w:val="00A1539F"/>
    <w:rsid w:val="00A1553E"/>
    <w:rsid w:val="00A20AB9"/>
    <w:rsid w:val="00A219AE"/>
    <w:rsid w:val="00A21FB6"/>
    <w:rsid w:val="00A22FD0"/>
    <w:rsid w:val="00A23C5C"/>
    <w:rsid w:val="00A2401A"/>
    <w:rsid w:val="00A240A7"/>
    <w:rsid w:val="00A262BD"/>
    <w:rsid w:val="00A26E3B"/>
    <w:rsid w:val="00A271D6"/>
    <w:rsid w:val="00A31EC2"/>
    <w:rsid w:val="00A34312"/>
    <w:rsid w:val="00A37BF2"/>
    <w:rsid w:val="00A44601"/>
    <w:rsid w:val="00A51AC5"/>
    <w:rsid w:val="00A51B0F"/>
    <w:rsid w:val="00A55954"/>
    <w:rsid w:val="00A55AA3"/>
    <w:rsid w:val="00A6050C"/>
    <w:rsid w:val="00A62001"/>
    <w:rsid w:val="00A62C8E"/>
    <w:rsid w:val="00A71A12"/>
    <w:rsid w:val="00A75762"/>
    <w:rsid w:val="00A75873"/>
    <w:rsid w:val="00A760E0"/>
    <w:rsid w:val="00A772A8"/>
    <w:rsid w:val="00A778A2"/>
    <w:rsid w:val="00A83E2A"/>
    <w:rsid w:val="00A840E8"/>
    <w:rsid w:val="00A85F40"/>
    <w:rsid w:val="00A87FE8"/>
    <w:rsid w:val="00A900BA"/>
    <w:rsid w:val="00A90A5E"/>
    <w:rsid w:val="00A90FA9"/>
    <w:rsid w:val="00A91A3A"/>
    <w:rsid w:val="00A9542C"/>
    <w:rsid w:val="00A9590E"/>
    <w:rsid w:val="00A96BA3"/>
    <w:rsid w:val="00A9794C"/>
    <w:rsid w:val="00AA044A"/>
    <w:rsid w:val="00AA23E1"/>
    <w:rsid w:val="00AA7CA7"/>
    <w:rsid w:val="00AA7FC7"/>
    <w:rsid w:val="00AB05C6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D6110"/>
    <w:rsid w:val="00AD6C50"/>
    <w:rsid w:val="00AD6E42"/>
    <w:rsid w:val="00AE30D9"/>
    <w:rsid w:val="00AE5083"/>
    <w:rsid w:val="00AF0A93"/>
    <w:rsid w:val="00AF1D2F"/>
    <w:rsid w:val="00AF31AE"/>
    <w:rsid w:val="00AF36BE"/>
    <w:rsid w:val="00AF52DA"/>
    <w:rsid w:val="00AF61A2"/>
    <w:rsid w:val="00AF6ED0"/>
    <w:rsid w:val="00B00B8D"/>
    <w:rsid w:val="00B02E19"/>
    <w:rsid w:val="00B02FD1"/>
    <w:rsid w:val="00B046A5"/>
    <w:rsid w:val="00B06E1C"/>
    <w:rsid w:val="00B075C5"/>
    <w:rsid w:val="00B11B5E"/>
    <w:rsid w:val="00B12479"/>
    <w:rsid w:val="00B13307"/>
    <w:rsid w:val="00B13770"/>
    <w:rsid w:val="00B166F0"/>
    <w:rsid w:val="00B210B9"/>
    <w:rsid w:val="00B24A84"/>
    <w:rsid w:val="00B30833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6A3A"/>
    <w:rsid w:val="00B7734C"/>
    <w:rsid w:val="00B87220"/>
    <w:rsid w:val="00B90D46"/>
    <w:rsid w:val="00B91719"/>
    <w:rsid w:val="00B947D5"/>
    <w:rsid w:val="00B961E9"/>
    <w:rsid w:val="00B96819"/>
    <w:rsid w:val="00BA494C"/>
    <w:rsid w:val="00BA52B0"/>
    <w:rsid w:val="00BB3213"/>
    <w:rsid w:val="00BB62D4"/>
    <w:rsid w:val="00BC0E42"/>
    <w:rsid w:val="00BC1A8B"/>
    <w:rsid w:val="00BC294B"/>
    <w:rsid w:val="00BD45B9"/>
    <w:rsid w:val="00BD4986"/>
    <w:rsid w:val="00BD4ADF"/>
    <w:rsid w:val="00BD7218"/>
    <w:rsid w:val="00BE2842"/>
    <w:rsid w:val="00BF18CB"/>
    <w:rsid w:val="00BF32BF"/>
    <w:rsid w:val="00BF360C"/>
    <w:rsid w:val="00BF3D87"/>
    <w:rsid w:val="00BF5F0F"/>
    <w:rsid w:val="00C012CA"/>
    <w:rsid w:val="00C04EF2"/>
    <w:rsid w:val="00C10A79"/>
    <w:rsid w:val="00C11C9E"/>
    <w:rsid w:val="00C12265"/>
    <w:rsid w:val="00C1318A"/>
    <w:rsid w:val="00C1490D"/>
    <w:rsid w:val="00C14B81"/>
    <w:rsid w:val="00C165AF"/>
    <w:rsid w:val="00C17EEE"/>
    <w:rsid w:val="00C23D76"/>
    <w:rsid w:val="00C2461A"/>
    <w:rsid w:val="00C25CD2"/>
    <w:rsid w:val="00C30A48"/>
    <w:rsid w:val="00C333B3"/>
    <w:rsid w:val="00C33550"/>
    <w:rsid w:val="00C33DD9"/>
    <w:rsid w:val="00C362F6"/>
    <w:rsid w:val="00C36B34"/>
    <w:rsid w:val="00C37185"/>
    <w:rsid w:val="00C40439"/>
    <w:rsid w:val="00C405BA"/>
    <w:rsid w:val="00C4631D"/>
    <w:rsid w:val="00C47BD3"/>
    <w:rsid w:val="00C532C2"/>
    <w:rsid w:val="00C53915"/>
    <w:rsid w:val="00C56076"/>
    <w:rsid w:val="00C606C1"/>
    <w:rsid w:val="00C61950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07C3"/>
    <w:rsid w:val="00CA31EC"/>
    <w:rsid w:val="00CA53DF"/>
    <w:rsid w:val="00CA7E99"/>
    <w:rsid w:val="00CB1BC5"/>
    <w:rsid w:val="00CB4D53"/>
    <w:rsid w:val="00CB5EF4"/>
    <w:rsid w:val="00CB7BBA"/>
    <w:rsid w:val="00CC0149"/>
    <w:rsid w:val="00CD05E9"/>
    <w:rsid w:val="00CD37EF"/>
    <w:rsid w:val="00CD481A"/>
    <w:rsid w:val="00CD7009"/>
    <w:rsid w:val="00CE1E59"/>
    <w:rsid w:val="00CE21B4"/>
    <w:rsid w:val="00CE24E4"/>
    <w:rsid w:val="00CE3AFE"/>
    <w:rsid w:val="00CE71B7"/>
    <w:rsid w:val="00CF3100"/>
    <w:rsid w:val="00CF4060"/>
    <w:rsid w:val="00D04A80"/>
    <w:rsid w:val="00D04D48"/>
    <w:rsid w:val="00D06820"/>
    <w:rsid w:val="00D13458"/>
    <w:rsid w:val="00D15331"/>
    <w:rsid w:val="00D1654D"/>
    <w:rsid w:val="00D178CE"/>
    <w:rsid w:val="00D23A7D"/>
    <w:rsid w:val="00D23E72"/>
    <w:rsid w:val="00D26D70"/>
    <w:rsid w:val="00D27B79"/>
    <w:rsid w:val="00D30DCF"/>
    <w:rsid w:val="00D31423"/>
    <w:rsid w:val="00D31C38"/>
    <w:rsid w:val="00D363D5"/>
    <w:rsid w:val="00D4184B"/>
    <w:rsid w:val="00D43659"/>
    <w:rsid w:val="00D446EB"/>
    <w:rsid w:val="00D63C0B"/>
    <w:rsid w:val="00D7462B"/>
    <w:rsid w:val="00D779D5"/>
    <w:rsid w:val="00D77CF6"/>
    <w:rsid w:val="00D87419"/>
    <w:rsid w:val="00D87D07"/>
    <w:rsid w:val="00D87DD1"/>
    <w:rsid w:val="00D91DB4"/>
    <w:rsid w:val="00D93EC4"/>
    <w:rsid w:val="00DA0989"/>
    <w:rsid w:val="00DA1005"/>
    <w:rsid w:val="00DA12D0"/>
    <w:rsid w:val="00DA4F42"/>
    <w:rsid w:val="00DB01C2"/>
    <w:rsid w:val="00DB111C"/>
    <w:rsid w:val="00DB2128"/>
    <w:rsid w:val="00DB2DD4"/>
    <w:rsid w:val="00DB2E90"/>
    <w:rsid w:val="00DB342D"/>
    <w:rsid w:val="00DB3A95"/>
    <w:rsid w:val="00DB59CB"/>
    <w:rsid w:val="00DB7246"/>
    <w:rsid w:val="00DC0EA5"/>
    <w:rsid w:val="00DC2018"/>
    <w:rsid w:val="00DC24B0"/>
    <w:rsid w:val="00DC4998"/>
    <w:rsid w:val="00DC7363"/>
    <w:rsid w:val="00DD079D"/>
    <w:rsid w:val="00DD4053"/>
    <w:rsid w:val="00DD4202"/>
    <w:rsid w:val="00DD437D"/>
    <w:rsid w:val="00DD4CC3"/>
    <w:rsid w:val="00DD575B"/>
    <w:rsid w:val="00DD719B"/>
    <w:rsid w:val="00DE075F"/>
    <w:rsid w:val="00DE7249"/>
    <w:rsid w:val="00DE7778"/>
    <w:rsid w:val="00DF2005"/>
    <w:rsid w:val="00DF35D7"/>
    <w:rsid w:val="00DF5CC8"/>
    <w:rsid w:val="00E06B80"/>
    <w:rsid w:val="00E07CFD"/>
    <w:rsid w:val="00E108B1"/>
    <w:rsid w:val="00E11AD2"/>
    <w:rsid w:val="00E1218F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0908"/>
    <w:rsid w:val="00E51C96"/>
    <w:rsid w:val="00E52769"/>
    <w:rsid w:val="00E52D71"/>
    <w:rsid w:val="00E5378A"/>
    <w:rsid w:val="00E55FE0"/>
    <w:rsid w:val="00E62F90"/>
    <w:rsid w:val="00E64D6C"/>
    <w:rsid w:val="00E664D1"/>
    <w:rsid w:val="00E7226C"/>
    <w:rsid w:val="00E72DFF"/>
    <w:rsid w:val="00E7417F"/>
    <w:rsid w:val="00E76D91"/>
    <w:rsid w:val="00E77D18"/>
    <w:rsid w:val="00E805E8"/>
    <w:rsid w:val="00E8252A"/>
    <w:rsid w:val="00E83950"/>
    <w:rsid w:val="00E83A0B"/>
    <w:rsid w:val="00E84A10"/>
    <w:rsid w:val="00E84C03"/>
    <w:rsid w:val="00E85331"/>
    <w:rsid w:val="00E8605E"/>
    <w:rsid w:val="00E94BCB"/>
    <w:rsid w:val="00EA0243"/>
    <w:rsid w:val="00EA1859"/>
    <w:rsid w:val="00EA526C"/>
    <w:rsid w:val="00EA64B5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0471"/>
    <w:rsid w:val="00ED09AB"/>
    <w:rsid w:val="00ED1AA0"/>
    <w:rsid w:val="00ED2123"/>
    <w:rsid w:val="00ED316F"/>
    <w:rsid w:val="00EE0C22"/>
    <w:rsid w:val="00EE11EB"/>
    <w:rsid w:val="00EE3B0C"/>
    <w:rsid w:val="00EE5D78"/>
    <w:rsid w:val="00EE68BE"/>
    <w:rsid w:val="00EF252F"/>
    <w:rsid w:val="00EF2849"/>
    <w:rsid w:val="00EF7C0B"/>
    <w:rsid w:val="00F00E8D"/>
    <w:rsid w:val="00F0583F"/>
    <w:rsid w:val="00F066E5"/>
    <w:rsid w:val="00F101B6"/>
    <w:rsid w:val="00F10288"/>
    <w:rsid w:val="00F11331"/>
    <w:rsid w:val="00F14AC8"/>
    <w:rsid w:val="00F17E83"/>
    <w:rsid w:val="00F203A0"/>
    <w:rsid w:val="00F20726"/>
    <w:rsid w:val="00F2350E"/>
    <w:rsid w:val="00F25D92"/>
    <w:rsid w:val="00F26F7F"/>
    <w:rsid w:val="00F30919"/>
    <w:rsid w:val="00F32AD1"/>
    <w:rsid w:val="00F34040"/>
    <w:rsid w:val="00F36B39"/>
    <w:rsid w:val="00F37144"/>
    <w:rsid w:val="00F376BD"/>
    <w:rsid w:val="00F441A8"/>
    <w:rsid w:val="00F45E9B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5151"/>
    <w:rsid w:val="00F762E5"/>
    <w:rsid w:val="00F77974"/>
    <w:rsid w:val="00F805D4"/>
    <w:rsid w:val="00F81989"/>
    <w:rsid w:val="00F81BFF"/>
    <w:rsid w:val="00F83258"/>
    <w:rsid w:val="00F910C3"/>
    <w:rsid w:val="00F923A8"/>
    <w:rsid w:val="00F92DFB"/>
    <w:rsid w:val="00F93709"/>
    <w:rsid w:val="00FA06BE"/>
    <w:rsid w:val="00FA0B42"/>
    <w:rsid w:val="00FA0FB8"/>
    <w:rsid w:val="00FB26E4"/>
    <w:rsid w:val="00FB3B45"/>
    <w:rsid w:val="00FC3F39"/>
    <w:rsid w:val="00FC492B"/>
    <w:rsid w:val="00FC61C1"/>
    <w:rsid w:val="00FD0726"/>
    <w:rsid w:val="00FD292C"/>
    <w:rsid w:val="00FD2A81"/>
    <w:rsid w:val="00FD53F3"/>
    <w:rsid w:val="00FD574D"/>
    <w:rsid w:val="00FD73AE"/>
    <w:rsid w:val="00FE1957"/>
    <w:rsid w:val="00FE278A"/>
    <w:rsid w:val="00FE519B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qFormat/>
    <w:rsid w:val="00981BE5"/>
    <w:rPr>
      <w:i/>
      <w:iCs/>
    </w:rPr>
  </w:style>
  <w:style w:type="character" w:customStyle="1" w:styleId="BalloonTextChar">
    <w:name w:val="Balloon Text Char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uiPriority w:val="99"/>
    <w:unhideWhenUsed/>
    <w:rsid w:val="001353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78CB"/>
    <w:rPr>
      <w:color w:val="800080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D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A2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A2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A2"/>
    <w:rPr>
      <w:rFonts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652EA2"/>
    <w:rPr>
      <w:rFonts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F45E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qFormat/>
    <w:rsid w:val="00981BE5"/>
    <w:rPr>
      <w:i/>
      <w:iCs/>
    </w:rPr>
  </w:style>
  <w:style w:type="character" w:customStyle="1" w:styleId="BalloonTextChar">
    <w:name w:val="Balloon Text Char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uiPriority w:val="99"/>
    <w:unhideWhenUsed/>
    <w:rsid w:val="001353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78CB"/>
    <w:rPr>
      <w:color w:val="800080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D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A2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A2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A2"/>
    <w:rPr>
      <w:rFonts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652EA2"/>
    <w:rPr>
      <w:rFonts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F45E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onsultations.worldbank.org/Data/hub/files/safeguards_review_terms_of_reference_for_ip_regional_dialogue_201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E9B1-E261-4E24-ABC1-A0C70BA9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EEF7B-A0ED-4F1B-9CA9-882FBCF727E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B76D13-585B-4E15-9A6A-ECA2DD0E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2013-03-15T03:34:00Z</cp:lastPrinted>
  <dcterms:created xsi:type="dcterms:W3CDTF">2014-04-01T23:18:00Z</dcterms:created>
  <dcterms:modified xsi:type="dcterms:W3CDTF">2014-04-01T23:18:00Z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