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2C3B" w14:textId="77777777" w:rsidR="002F6FD2" w:rsidRPr="002F6FD2" w:rsidRDefault="002F6FD2" w:rsidP="002F6FD2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8"/>
          <w:szCs w:val="28"/>
        </w:rPr>
      </w:pPr>
      <w:bookmarkStart w:id="0" w:name="_GoBack"/>
      <w:bookmarkEnd w:id="0"/>
      <w:r w:rsidRPr="002F6FD2">
        <w:rPr>
          <w:rFonts w:asciiTheme="majorHAnsi" w:hAnsiTheme="majorHAnsi" w:cs="Arial"/>
          <w:b/>
          <w:noProof/>
          <w:color w:val="2B9214"/>
          <w:sz w:val="28"/>
          <w:szCs w:val="28"/>
        </w:rPr>
        <w:drawing>
          <wp:inline distT="0" distB="0" distL="0" distR="0" wp14:anchorId="360BA734" wp14:editId="781A5293">
            <wp:extent cx="3017520" cy="6004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-horizontal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ACE4" w14:textId="69F88829" w:rsidR="001E0F0C" w:rsidRPr="001573C3" w:rsidRDefault="00F45309" w:rsidP="00DB675F">
      <w:pPr>
        <w:spacing w:after="120"/>
        <w:rPr>
          <w:rFonts w:asciiTheme="majorHAnsi" w:eastAsia="Times New Roman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Factsheet: </w:t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>Proposed</w:t>
      </w:r>
      <w:r w:rsidR="007E22A7">
        <w:rPr>
          <w:rStyle w:val="FootnoteReference"/>
          <w:rFonts w:asciiTheme="majorHAnsi" w:hAnsiTheme="majorHAnsi" w:cs="Arial"/>
          <w:b/>
          <w:color w:val="2B9214"/>
          <w:sz w:val="28"/>
          <w:szCs w:val="28"/>
        </w:rPr>
        <w:footnoteReference w:id="1"/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 </w:t>
      </w:r>
      <w:r w:rsidR="001E0F0C" w:rsidRPr="001573C3">
        <w:rPr>
          <w:rFonts w:asciiTheme="majorHAnsi" w:eastAsia="Times New Roman" w:hAnsiTheme="majorHAnsi" w:cs="Arial"/>
          <w:b/>
          <w:color w:val="2B9214"/>
          <w:sz w:val="28"/>
          <w:szCs w:val="28"/>
        </w:rPr>
        <w:t>Environmental and Social Standard 8:</w:t>
      </w:r>
    </w:p>
    <w:p w14:paraId="737493FF" w14:textId="2E891918" w:rsidR="001E0F0C" w:rsidRPr="001573C3" w:rsidRDefault="001E0F0C" w:rsidP="00DB675F">
      <w:pPr>
        <w:spacing w:after="120"/>
        <w:rPr>
          <w:rFonts w:asciiTheme="majorHAnsi" w:eastAsia="Times New Roman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eastAsia="Times New Roman" w:hAnsiTheme="majorHAnsi" w:cs="Arial"/>
          <w:b/>
          <w:color w:val="2B9214"/>
          <w:sz w:val="28"/>
          <w:szCs w:val="28"/>
        </w:rPr>
        <w:t>Cultural Heritage</w:t>
      </w:r>
    </w:p>
    <w:p w14:paraId="78DA69DE" w14:textId="6C663D31" w:rsidR="001E0F0C" w:rsidRPr="001573C3" w:rsidRDefault="001E0F0C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>What is</w:t>
      </w:r>
      <w:r w:rsidR="007E22A7">
        <w:rPr>
          <w:rFonts w:asciiTheme="majorHAnsi" w:hAnsiTheme="majorHAnsi" w:cs="Arial"/>
          <w:b/>
          <w:color w:val="2B9214"/>
          <w:sz w:val="22"/>
          <w:szCs w:val="22"/>
        </w:rPr>
        <w:t xml:space="preserve"> the proposed</w:t>
      </w: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 ESS</w:t>
      </w:r>
      <w:r w:rsidR="00346E43" w:rsidRPr="001573C3">
        <w:rPr>
          <w:rFonts w:asciiTheme="majorHAnsi" w:hAnsiTheme="majorHAnsi" w:cs="Arial"/>
          <w:b/>
          <w:color w:val="2B9214"/>
          <w:sz w:val="22"/>
          <w:szCs w:val="22"/>
        </w:rPr>
        <w:t>8</w:t>
      </w: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 about?</w:t>
      </w:r>
    </w:p>
    <w:p w14:paraId="26BA0D04" w14:textId="46409FEA" w:rsidR="00DB675F" w:rsidRPr="001573C3" w:rsidRDefault="00346E43" w:rsidP="000F563F">
      <w:pPr>
        <w:spacing w:after="120"/>
        <w:rPr>
          <w:rFonts w:asciiTheme="majorHAnsi" w:hAnsiTheme="majorHAnsi" w:cs="Times New Roman"/>
          <w:sz w:val="22"/>
          <w:szCs w:val="22"/>
        </w:rPr>
      </w:pPr>
      <w:r w:rsidRPr="001573C3">
        <w:rPr>
          <w:rFonts w:asciiTheme="majorHAnsi" w:hAnsiTheme="majorHAnsi" w:cs="Times New Roman"/>
          <w:sz w:val="22"/>
          <w:szCs w:val="22"/>
        </w:rPr>
        <w:t xml:space="preserve">ESS8 </w:t>
      </w:r>
      <w:r w:rsidR="00D96C31" w:rsidRPr="001573C3">
        <w:rPr>
          <w:rFonts w:asciiTheme="majorHAnsi" w:hAnsiTheme="majorHAnsi" w:cs="Times New Roman"/>
          <w:sz w:val="22"/>
          <w:szCs w:val="22"/>
        </w:rPr>
        <w:t>is proposed to apply</w:t>
      </w:r>
      <w:r w:rsidRPr="001573C3">
        <w:rPr>
          <w:rFonts w:asciiTheme="majorHAnsi" w:hAnsiTheme="majorHAnsi" w:cs="Times New Roman"/>
          <w:sz w:val="22"/>
          <w:szCs w:val="22"/>
        </w:rPr>
        <w:t xml:space="preserve"> to all projects that are likely to have adverse impact on cultural heritage and</w:t>
      </w:r>
      <w:r w:rsidR="00BB0A1B">
        <w:rPr>
          <w:rFonts w:asciiTheme="majorHAnsi" w:hAnsiTheme="majorHAnsi" w:cs="Times New Roman"/>
          <w:sz w:val="22"/>
          <w:szCs w:val="22"/>
        </w:rPr>
        <w:t>, if approved, would</w:t>
      </w:r>
      <w:r w:rsidRPr="001573C3">
        <w:rPr>
          <w:rFonts w:asciiTheme="majorHAnsi" w:hAnsiTheme="majorHAnsi" w:cs="Times New Roman"/>
          <w:sz w:val="22"/>
          <w:szCs w:val="22"/>
        </w:rPr>
        <w:t xml:space="preserve"> always apply in projects that involve significant earthworks and other changes in the physical environment or where the project is located in a recognized cultural heritage site. It </w:t>
      </w:r>
      <w:r w:rsidR="00F65F79">
        <w:rPr>
          <w:rFonts w:asciiTheme="majorHAnsi" w:hAnsiTheme="majorHAnsi" w:cs="Times New Roman"/>
          <w:sz w:val="22"/>
          <w:szCs w:val="22"/>
        </w:rPr>
        <w:t xml:space="preserve">would </w:t>
      </w:r>
      <w:r w:rsidRPr="001573C3">
        <w:rPr>
          <w:rFonts w:asciiTheme="majorHAnsi" w:hAnsiTheme="majorHAnsi" w:cs="Times New Roman"/>
          <w:sz w:val="22"/>
          <w:szCs w:val="22"/>
        </w:rPr>
        <w:t xml:space="preserve">require projects to adopt a chance find procedure, together with other internationally recognized procedures for the protection of cultural heritage. ESS8 </w:t>
      </w:r>
      <w:r w:rsidR="00213A96" w:rsidRPr="001573C3">
        <w:rPr>
          <w:rFonts w:asciiTheme="majorHAnsi" w:hAnsiTheme="majorHAnsi" w:cs="Times New Roman"/>
          <w:sz w:val="22"/>
          <w:szCs w:val="22"/>
        </w:rPr>
        <w:t xml:space="preserve">would </w:t>
      </w:r>
      <w:r w:rsidRPr="001573C3">
        <w:rPr>
          <w:rFonts w:asciiTheme="majorHAnsi" w:hAnsiTheme="majorHAnsi" w:cs="Times New Roman"/>
          <w:sz w:val="22"/>
          <w:szCs w:val="22"/>
        </w:rPr>
        <w:t xml:space="preserve">require that all relevant stakeholders are identified and consulted about cultural heritage. ESS8 identifies different types of cultural heritage, and sets out specific </w:t>
      </w:r>
      <w:r w:rsidR="00F65F79">
        <w:rPr>
          <w:rFonts w:asciiTheme="majorHAnsi" w:hAnsiTheme="majorHAnsi" w:cs="Times New Roman"/>
          <w:sz w:val="22"/>
          <w:szCs w:val="22"/>
        </w:rPr>
        <w:t xml:space="preserve">proposed </w:t>
      </w:r>
      <w:r w:rsidRPr="001573C3">
        <w:rPr>
          <w:rFonts w:asciiTheme="majorHAnsi" w:hAnsiTheme="majorHAnsi" w:cs="Times New Roman"/>
          <w:sz w:val="22"/>
          <w:szCs w:val="22"/>
        </w:rPr>
        <w:t xml:space="preserve">requirements where cultural heritage </w:t>
      </w:r>
      <w:r w:rsidR="0010171D" w:rsidRPr="001573C3">
        <w:rPr>
          <w:rFonts w:asciiTheme="majorHAnsi" w:hAnsiTheme="majorHAnsi" w:cs="Times New Roman"/>
          <w:sz w:val="22"/>
          <w:szCs w:val="22"/>
        </w:rPr>
        <w:t>could</w:t>
      </w:r>
      <w:r w:rsidRPr="001573C3">
        <w:rPr>
          <w:rFonts w:asciiTheme="majorHAnsi" w:hAnsiTheme="majorHAnsi" w:cs="Times New Roman"/>
          <w:sz w:val="22"/>
          <w:szCs w:val="22"/>
        </w:rPr>
        <w:t xml:space="preserve"> be used by the project for commercial purposes.</w:t>
      </w:r>
      <w:r w:rsidR="00D06758" w:rsidRPr="001573C3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6C19852" w14:textId="77777777" w:rsidR="008719AD" w:rsidRPr="008719AD" w:rsidRDefault="008719AD" w:rsidP="008719AD">
      <w:pPr>
        <w:spacing w:after="120"/>
        <w:rPr>
          <w:rFonts w:asciiTheme="majorHAnsi" w:hAnsiTheme="majorHAnsi" w:cs="Arial"/>
          <w:sz w:val="22"/>
          <w:szCs w:val="22"/>
        </w:rPr>
      </w:pPr>
      <w:r w:rsidRPr="008719AD">
        <w:rPr>
          <w:rFonts w:asciiTheme="majorHAnsi" w:hAnsiTheme="majorHAnsi" w:cs="Arial"/>
          <w:sz w:val="22"/>
          <w:szCs w:val="22"/>
        </w:rPr>
        <w:t>Under the proposed World Bank Environmental and Social Policy, t</w:t>
      </w:r>
      <w:r w:rsidRPr="008719AD" w:rsidDel="000D72A8">
        <w:rPr>
          <w:rFonts w:asciiTheme="majorHAnsi" w:hAnsiTheme="majorHAnsi" w:cs="Arial"/>
          <w:sz w:val="22"/>
          <w:szCs w:val="22"/>
        </w:rPr>
        <w:t xml:space="preserve">he World Bank’s responsibilities </w:t>
      </w:r>
      <w:r w:rsidRPr="008719AD">
        <w:rPr>
          <w:rFonts w:asciiTheme="majorHAnsi" w:hAnsiTheme="majorHAnsi" w:cs="Arial"/>
          <w:sz w:val="22"/>
          <w:szCs w:val="22"/>
        </w:rPr>
        <w:t>would</w:t>
      </w:r>
      <w:r w:rsidRPr="008719AD" w:rsidDel="000D72A8">
        <w:rPr>
          <w:rFonts w:asciiTheme="majorHAnsi" w:hAnsiTheme="majorHAnsi" w:cs="Arial"/>
          <w:sz w:val="22"/>
          <w:szCs w:val="22"/>
        </w:rPr>
        <w:t xml:space="preserve"> include reviewing the assessments</w:t>
      </w:r>
      <w:r w:rsidRPr="008719AD">
        <w:rPr>
          <w:rFonts w:asciiTheme="majorHAnsi" w:hAnsiTheme="majorHAnsi" w:cs="Arial"/>
          <w:sz w:val="22"/>
          <w:szCs w:val="22"/>
        </w:rPr>
        <w:t xml:space="preserve"> conducted by the Borrower;</w:t>
      </w:r>
      <w:r w:rsidRPr="008719AD" w:rsidDel="000D72A8">
        <w:rPr>
          <w:rFonts w:asciiTheme="majorHAnsi" w:hAnsiTheme="majorHAnsi" w:cs="Arial"/>
          <w:sz w:val="22"/>
          <w:szCs w:val="22"/>
        </w:rPr>
        <w:t xml:space="preserve"> assist</w:t>
      </w:r>
      <w:r w:rsidRPr="008719AD">
        <w:rPr>
          <w:rFonts w:asciiTheme="majorHAnsi" w:hAnsiTheme="majorHAnsi" w:cs="Arial"/>
          <w:sz w:val="22"/>
          <w:szCs w:val="22"/>
        </w:rPr>
        <w:t>ing</w:t>
      </w:r>
      <w:r w:rsidRPr="008719AD" w:rsidDel="000D72A8">
        <w:rPr>
          <w:rFonts w:asciiTheme="majorHAnsi" w:hAnsiTheme="majorHAnsi" w:cs="Arial"/>
          <w:sz w:val="22"/>
          <w:szCs w:val="22"/>
        </w:rPr>
        <w:t xml:space="preserve"> the Borrower in developing measures </w:t>
      </w:r>
      <w:r w:rsidRPr="008719AD">
        <w:rPr>
          <w:rFonts w:asciiTheme="majorHAnsi" w:hAnsiTheme="majorHAnsi" w:cs="Arial"/>
          <w:sz w:val="22"/>
          <w:szCs w:val="22"/>
        </w:rPr>
        <w:t>and actions required for the project to comply with ESS6; and agreeing with the Borrower on the measures and actions they would take in the Environmental and Social Commitment Plan (ESCP)</w:t>
      </w:r>
      <w:r w:rsidRPr="008719AD" w:rsidDel="000D72A8">
        <w:rPr>
          <w:rFonts w:asciiTheme="majorHAnsi" w:hAnsiTheme="majorHAnsi" w:cs="Arial"/>
          <w:sz w:val="22"/>
          <w:szCs w:val="22"/>
        </w:rPr>
        <w:t>.</w:t>
      </w:r>
      <w:r w:rsidRPr="008719AD">
        <w:rPr>
          <w:rFonts w:asciiTheme="majorHAnsi" w:hAnsiTheme="majorHAnsi" w:cs="Arial"/>
          <w:sz w:val="22"/>
          <w:szCs w:val="22"/>
        </w:rPr>
        <w:t>Throughout implementation, the World Bank would monitor the environmental and social performance and provides support and capacity building, as needed, in accordance with the legal agreement, including the ESCP.</w:t>
      </w:r>
    </w:p>
    <w:p w14:paraId="11892AF2" w14:textId="77777777" w:rsidR="001E0F0C" w:rsidRPr="001573C3" w:rsidRDefault="001E0F0C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What’s new? </w:t>
      </w:r>
    </w:p>
    <w:p w14:paraId="47213722" w14:textId="04BDD52C" w:rsidR="005E52B1" w:rsidRPr="001573C3" w:rsidRDefault="001E0F0C" w:rsidP="00931884">
      <w:pPr>
        <w:pStyle w:val="ListParagraph"/>
        <w:numPr>
          <w:ilvl w:val="0"/>
          <w:numId w:val="10"/>
        </w:numPr>
        <w:spacing w:after="120"/>
        <w:ind w:left="360"/>
        <w:rPr>
          <w:rFonts w:asciiTheme="majorHAnsi" w:hAnsiTheme="majorHAnsi" w:cs="Arial"/>
          <w:b/>
          <w:noProof/>
          <w:sz w:val="22"/>
          <w:szCs w:val="22"/>
        </w:rPr>
      </w:pPr>
      <w:r w:rsidRPr="000F563F">
        <w:rPr>
          <w:rFonts w:asciiTheme="majorHAnsi" w:hAnsiTheme="majorHAnsi" w:cs="Arial"/>
          <w:b/>
          <w:i/>
          <w:iCs/>
          <w:noProof/>
          <w:sz w:val="22"/>
          <w:szCs w:val="22"/>
        </w:rPr>
        <w:t>Broader objectives</w:t>
      </w:r>
      <w:r w:rsidR="005E52B1" w:rsidRPr="001573C3">
        <w:rPr>
          <w:rFonts w:asciiTheme="majorHAnsi" w:hAnsiTheme="majorHAnsi" w:cs="Arial"/>
          <w:b/>
          <w:noProof/>
          <w:sz w:val="22"/>
          <w:szCs w:val="22"/>
        </w:rPr>
        <w:t xml:space="preserve">: </w:t>
      </w:r>
      <w:r w:rsidR="00860588" w:rsidRPr="001573C3">
        <w:rPr>
          <w:rFonts w:asciiTheme="majorHAnsi" w:hAnsiTheme="majorHAnsi" w:cs="Arial"/>
          <w:noProof/>
          <w:sz w:val="22"/>
          <w:szCs w:val="22"/>
        </w:rPr>
        <w:t xml:space="preserve">The proposed </w:t>
      </w:r>
      <w:r w:rsidR="003D13FA" w:rsidRPr="001573C3">
        <w:rPr>
          <w:rFonts w:asciiTheme="majorHAnsi" w:hAnsiTheme="majorHAnsi" w:cs="Arial"/>
          <w:noProof/>
          <w:sz w:val="22"/>
          <w:szCs w:val="22"/>
        </w:rPr>
        <w:t>ESS8 aims</w:t>
      </w:r>
      <w:r w:rsidR="003D13FA" w:rsidRPr="001573C3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sz w:val="22"/>
          <w:szCs w:val="22"/>
        </w:rPr>
        <w:t xml:space="preserve">to protect cultural heritage from the adverse impacts of project activities and support its preservation; to address cultural heritage as an integral aspect of sustainable development; </w:t>
      </w:r>
      <w:r w:rsidR="008719AD">
        <w:rPr>
          <w:rFonts w:ascii="Calibri" w:hAnsi="Calibri" w:cs="Calibri"/>
          <w:sz w:val="22"/>
          <w:szCs w:val="22"/>
        </w:rPr>
        <w:t xml:space="preserve">and </w:t>
      </w:r>
      <w:r w:rsidR="005E52B1" w:rsidRPr="001573C3">
        <w:rPr>
          <w:rFonts w:ascii="Calibri" w:hAnsi="Calibri" w:cs="Calibri"/>
          <w:sz w:val="22"/>
          <w:szCs w:val="22"/>
        </w:rPr>
        <w:t>to promote the equitable sharing of benefits from the use of cultural heritage.</w:t>
      </w:r>
    </w:p>
    <w:p w14:paraId="7C78B074" w14:textId="16EF332D" w:rsidR="000F563F" w:rsidRPr="000F563F" w:rsidRDefault="001C27E8" w:rsidP="00B512DC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i/>
          <w:noProof/>
          <w:sz w:val="22"/>
          <w:szCs w:val="22"/>
        </w:rPr>
      </w:pPr>
      <w:r>
        <w:rPr>
          <w:rFonts w:asciiTheme="majorHAnsi" w:hAnsiTheme="majorHAnsi" w:cs="Arial"/>
          <w:b/>
          <w:bCs/>
          <w:i/>
          <w:noProof/>
          <w:sz w:val="22"/>
          <w:szCs w:val="22"/>
        </w:rPr>
        <w:t xml:space="preserve">Inclusion of </w:t>
      </w:r>
      <w:r w:rsidR="000F563F" w:rsidRPr="000F563F">
        <w:rPr>
          <w:rFonts w:asciiTheme="majorHAnsi" w:hAnsiTheme="majorHAnsi" w:cs="Arial"/>
          <w:b/>
          <w:bCs/>
          <w:i/>
          <w:noProof/>
          <w:sz w:val="22"/>
          <w:szCs w:val="22"/>
        </w:rPr>
        <w:t>Intangible cultural heritage</w:t>
      </w:r>
      <w:r w:rsidR="000F563F">
        <w:rPr>
          <w:rFonts w:asciiTheme="majorHAnsi" w:hAnsiTheme="majorHAnsi" w:cs="Arial"/>
          <w:i/>
          <w:noProof/>
          <w:sz w:val="22"/>
          <w:szCs w:val="22"/>
        </w:rPr>
        <w:t xml:space="preserve">: </w:t>
      </w:r>
      <w:r w:rsidR="00B512DC" w:rsidRPr="00B512DC">
        <w:rPr>
          <w:rFonts w:asciiTheme="majorHAnsi" w:hAnsiTheme="majorHAnsi" w:cs="Arial"/>
          <w:iCs/>
          <w:noProof/>
          <w:sz w:val="22"/>
          <w:szCs w:val="22"/>
        </w:rPr>
        <w:t>The scop</w:t>
      </w:r>
      <w:r w:rsidR="00B512DC">
        <w:rPr>
          <w:rFonts w:asciiTheme="majorHAnsi" w:hAnsiTheme="majorHAnsi" w:cs="Arial"/>
          <w:iCs/>
          <w:noProof/>
          <w:sz w:val="22"/>
          <w:szCs w:val="22"/>
        </w:rPr>
        <w:t>e of application of the proposed ESS8 includes intangible cultural heritage insofar as it relates to a physical component of a project.</w:t>
      </w:r>
    </w:p>
    <w:p w14:paraId="012E1008" w14:textId="5CF5552C" w:rsidR="005E52B1" w:rsidRPr="001573C3" w:rsidRDefault="001E0F0C" w:rsidP="000F563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i/>
          <w:noProof/>
          <w:sz w:val="22"/>
          <w:szCs w:val="22"/>
        </w:rPr>
      </w:pPr>
      <w:r w:rsidRPr="001573C3">
        <w:rPr>
          <w:rFonts w:asciiTheme="majorHAnsi" w:hAnsiTheme="majorHAnsi" w:cs="Arial"/>
          <w:b/>
          <w:i/>
          <w:noProof/>
          <w:sz w:val="22"/>
          <w:szCs w:val="22"/>
        </w:rPr>
        <w:t>Enhanced consultation with affected communitie</w:t>
      </w:r>
      <w:r w:rsidRPr="001573C3">
        <w:rPr>
          <w:rFonts w:asciiTheme="majorHAnsi" w:hAnsiTheme="majorHAnsi" w:cs="Arial"/>
          <w:b/>
          <w:bCs/>
          <w:i/>
          <w:noProof/>
          <w:sz w:val="22"/>
          <w:szCs w:val="22"/>
        </w:rPr>
        <w:t>s</w:t>
      </w:r>
      <w:r w:rsidR="00F4536B" w:rsidRPr="001573C3">
        <w:rPr>
          <w:rFonts w:asciiTheme="majorHAnsi" w:hAnsiTheme="majorHAnsi" w:cs="Arial"/>
          <w:noProof/>
          <w:sz w:val="22"/>
          <w:szCs w:val="22"/>
        </w:rPr>
        <w:t xml:space="preserve">: </w:t>
      </w:r>
      <w:r w:rsidR="00941EB0">
        <w:rPr>
          <w:rFonts w:asciiTheme="majorHAnsi" w:hAnsiTheme="majorHAnsi" w:cs="Arial"/>
          <w:noProof/>
          <w:sz w:val="22"/>
          <w:szCs w:val="22"/>
        </w:rPr>
        <w:t>If approved, t</w:t>
      </w:r>
      <w:r w:rsidR="005E52B1" w:rsidRPr="001573C3">
        <w:rPr>
          <w:rFonts w:ascii="Calibri" w:hAnsi="Calibri" w:cs="Calibri"/>
          <w:sz w:val="22"/>
          <w:szCs w:val="22"/>
        </w:rPr>
        <w:t xml:space="preserve">he environmental and social assessment </w:t>
      </w:r>
      <w:r w:rsidR="00941EB0">
        <w:rPr>
          <w:rFonts w:ascii="Calibri" w:hAnsi="Calibri" w:cs="Calibri"/>
          <w:sz w:val="22"/>
          <w:szCs w:val="22"/>
        </w:rPr>
        <w:t>would</w:t>
      </w:r>
      <w:r w:rsidR="00941EB0" w:rsidRPr="001573C3">
        <w:rPr>
          <w:rFonts w:ascii="Calibri" w:hAnsi="Calibri" w:cs="Calibri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sz w:val="22"/>
          <w:szCs w:val="22"/>
        </w:rPr>
        <w:t>identify all relevant stakeholders for cultural</w:t>
      </w:r>
      <w:r w:rsidR="00881E0C" w:rsidRPr="001573C3">
        <w:rPr>
          <w:rFonts w:ascii="Calibri" w:hAnsi="Calibri" w:cs="Calibri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sz w:val="22"/>
          <w:szCs w:val="22"/>
        </w:rPr>
        <w:t xml:space="preserve">heritage that </w:t>
      </w:r>
      <w:r w:rsidR="002F53AA" w:rsidRPr="001573C3">
        <w:rPr>
          <w:rFonts w:ascii="Calibri" w:hAnsi="Calibri" w:cs="Calibri"/>
          <w:sz w:val="22"/>
          <w:szCs w:val="22"/>
        </w:rPr>
        <w:t>are</w:t>
      </w:r>
      <w:r w:rsidR="005E52B1" w:rsidRPr="001573C3">
        <w:rPr>
          <w:rFonts w:ascii="Calibri" w:hAnsi="Calibri" w:cs="Calibri"/>
          <w:sz w:val="22"/>
          <w:szCs w:val="22"/>
        </w:rPr>
        <w:t xml:space="preserve"> known to exist or likely to be encountered during the project</w:t>
      </w:r>
      <w:r w:rsidR="000F563F">
        <w:rPr>
          <w:rFonts w:ascii="Calibri" w:hAnsi="Calibri" w:cs="Calibri"/>
          <w:sz w:val="22"/>
          <w:szCs w:val="22"/>
        </w:rPr>
        <w:t xml:space="preserve"> life-cycle</w:t>
      </w:r>
      <w:r w:rsidR="005E52B1" w:rsidRPr="001573C3">
        <w:rPr>
          <w:rFonts w:ascii="Calibri" w:hAnsi="Calibri" w:cs="Calibri"/>
          <w:sz w:val="22"/>
          <w:szCs w:val="22"/>
        </w:rPr>
        <w:t xml:space="preserve">.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The Borrower </w:t>
      </w:r>
      <w:r w:rsidR="00326A7D">
        <w:rPr>
          <w:rFonts w:ascii="Calibri" w:hAnsi="Calibri" w:cs="Calibri"/>
          <w:color w:val="000000"/>
          <w:sz w:val="22"/>
          <w:szCs w:val="22"/>
        </w:rPr>
        <w:t>would</w:t>
      </w:r>
      <w:r w:rsidR="00326A7D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563F">
        <w:rPr>
          <w:rFonts w:ascii="Calibri" w:hAnsi="Calibri" w:cs="Calibri"/>
          <w:color w:val="000000"/>
          <w:sz w:val="22"/>
          <w:szCs w:val="22"/>
        </w:rPr>
        <w:t xml:space="preserve">carry out meaningful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consult</w:t>
      </w:r>
      <w:r w:rsidR="000F563F">
        <w:rPr>
          <w:rFonts w:ascii="Calibri" w:hAnsi="Calibri" w:cs="Calibri"/>
          <w:color w:val="000000"/>
          <w:sz w:val="22"/>
          <w:szCs w:val="22"/>
        </w:rPr>
        <w:t>ations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with stakeholders</w:t>
      </w:r>
      <w:r w:rsidR="000F563F">
        <w:rPr>
          <w:rFonts w:ascii="Calibri" w:hAnsi="Calibri" w:cs="Calibri"/>
          <w:color w:val="000000"/>
          <w:sz w:val="22"/>
          <w:szCs w:val="22"/>
        </w:rPr>
        <w:t xml:space="preserve"> in order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to identify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563F">
        <w:rPr>
          <w:rFonts w:ascii="Calibri" w:hAnsi="Calibri" w:cs="Calibri"/>
          <w:color w:val="000000"/>
          <w:sz w:val="22"/>
          <w:szCs w:val="22"/>
        </w:rPr>
        <w:t>cultural heritage that may be affected by the project;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assign value to cultural heritage affected by the project</w:t>
      </w:r>
      <w:r w:rsidR="000F563F">
        <w:rPr>
          <w:rFonts w:ascii="Calibri" w:hAnsi="Calibri" w:cs="Calibri"/>
          <w:color w:val="000000"/>
          <w:sz w:val="22"/>
          <w:szCs w:val="22"/>
        </w:rPr>
        <w:t>; develop an understanding of the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potential </w:t>
      </w:r>
      <w:r w:rsidR="000F563F">
        <w:rPr>
          <w:rFonts w:ascii="Calibri" w:hAnsi="Calibri" w:cs="Calibri"/>
          <w:color w:val="000000"/>
          <w:sz w:val="22"/>
          <w:szCs w:val="22"/>
        </w:rPr>
        <w:t xml:space="preserve">risks and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impacts</w:t>
      </w:r>
      <w:r w:rsidR="000F563F">
        <w:rPr>
          <w:rFonts w:ascii="Calibri" w:hAnsi="Calibri" w:cs="Calibri"/>
          <w:color w:val="000000"/>
          <w:sz w:val="22"/>
          <w:szCs w:val="22"/>
        </w:rPr>
        <w:t>;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explor</w:t>
      </w:r>
      <w:r w:rsidR="000F563F">
        <w:rPr>
          <w:rFonts w:ascii="Calibri" w:hAnsi="Calibri" w:cs="Calibri"/>
          <w:color w:val="000000"/>
          <w:sz w:val="22"/>
          <w:szCs w:val="22"/>
        </w:rPr>
        <w:t>e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avoidance and mitigation options.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The Borrower, in consultation with the Bank</w:t>
      </w:r>
      <w:r w:rsidR="000F563F">
        <w:rPr>
          <w:rFonts w:ascii="Calibri" w:hAnsi="Calibri" w:cs="Calibri"/>
          <w:color w:val="000000"/>
          <w:sz w:val="22"/>
          <w:szCs w:val="22"/>
        </w:rPr>
        <w:t>, project affected parties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0F563F">
        <w:rPr>
          <w:rFonts w:ascii="Calibri" w:hAnsi="Calibri" w:cs="Calibri"/>
          <w:color w:val="000000"/>
          <w:sz w:val="22"/>
          <w:szCs w:val="22"/>
        </w:rPr>
        <w:t>cultural heritage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experts, </w:t>
      </w:r>
      <w:r w:rsidR="008A065F">
        <w:rPr>
          <w:rFonts w:ascii="Calibri" w:hAnsi="Calibri" w:cs="Calibri"/>
          <w:color w:val="000000"/>
          <w:sz w:val="22"/>
          <w:szCs w:val="22"/>
        </w:rPr>
        <w:t>would</w:t>
      </w:r>
      <w:r w:rsidR="008A065F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determine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whether disclosure of information regarding cultural heritage would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compromise or jeopardize the safety or integrity of </w:t>
      </w:r>
      <w:r w:rsidR="000F563F">
        <w:rPr>
          <w:rFonts w:ascii="Calibri" w:hAnsi="Calibri" w:cs="Calibri"/>
          <w:color w:val="000000"/>
          <w:sz w:val="22"/>
          <w:szCs w:val="22"/>
        </w:rPr>
        <w:t>the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 xml:space="preserve"> cultural heritage</w:t>
      </w:r>
      <w:r w:rsidR="000F563F">
        <w:rPr>
          <w:rFonts w:ascii="Calibri" w:hAnsi="Calibri" w:cs="Calibri"/>
          <w:color w:val="000000"/>
          <w:sz w:val="22"/>
          <w:szCs w:val="22"/>
        </w:rPr>
        <w:t xml:space="preserve"> or would endanger sources of information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. In such cases, sensitive</w:t>
      </w:r>
      <w:r w:rsidR="00881E0C" w:rsidRPr="0015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2B1" w:rsidRPr="001573C3">
        <w:rPr>
          <w:rFonts w:ascii="Calibri" w:hAnsi="Calibri" w:cs="Calibri"/>
          <w:color w:val="000000"/>
          <w:sz w:val="22"/>
          <w:szCs w:val="22"/>
        </w:rPr>
        <w:t>information may be omitted from public disclosure.</w:t>
      </w:r>
      <w:r w:rsidR="00881E0C" w:rsidRPr="001573C3">
        <w:rPr>
          <w:rFonts w:asciiTheme="majorHAnsi" w:hAnsiTheme="majorHAnsi" w:cs="Arial"/>
          <w:noProof/>
          <w:sz w:val="22"/>
          <w:szCs w:val="22"/>
        </w:rPr>
        <w:t xml:space="preserve"> </w:t>
      </w:r>
    </w:p>
    <w:p w14:paraId="6A1CEA89" w14:textId="5BED341D" w:rsidR="001E0F0C" w:rsidRPr="001573C3" w:rsidRDefault="001E0F0C" w:rsidP="000F563F">
      <w:pPr>
        <w:numPr>
          <w:ilvl w:val="0"/>
          <w:numId w:val="6"/>
        </w:numPr>
        <w:spacing w:after="120"/>
        <w:rPr>
          <w:rFonts w:asciiTheme="majorHAnsi" w:hAnsiTheme="majorHAnsi" w:cs="Arial"/>
          <w:i/>
          <w:noProof/>
          <w:sz w:val="22"/>
          <w:szCs w:val="22"/>
        </w:rPr>
      </w:pPr>
      <w:r w:rsidRPr="001573C3">
        <w:rPr>
          <w:rFonts w:asciiTheme="majorHAnsi" w:hAnsiTheme="majorHAnsi" w:cs="Arial"/>
          <w:b/>
          <w:i/>
          <w:noProof/>
          <w:sz w:val="22"/>
          <w:szCs w:val="22"/>
        </w:rPr>
        <w:t xml:space="preserve">Adoption of the concept of </w:t>
      </w:r>
      <w:r w:rsidR="000F563F">
        <w:rPr>
          <w:rFonts w:asciiTheme="majorHAnsi" w:hAnsiTheme="majorHAnsi" w:cs="Arial"/>
          <w:b/>
          <w:i/>
          <w:noProof/>
          <w:sz w:val="22"/>
          <w:szCs w:val="22"/>
        </w:rPr>
        <w:t>stakeholders’</w:t>
      </w:r>
      <w:r w:rsidRPr="001573C3">
        <w:rPr>
          <w:rFonts w:asciiTheme="majorHAnsi" w:hAnsiTheme="majorHAnsi" w:cs="Arial"/>
          <w:b/>
          <w:i/>
          <w:noProof/>
          <w:sz w:val="22"/>
          <w:szCs w:val="22"/>
        </w:rPr>
        <w:t xml:space="preserve"> access</w:t>
      </w:r>
      <w:r w:rsidR="00881E0C" w:rsidRPr="001573C3">
        <w:rPr>
          <w:rFonts w:asciiTheme="majorHAnsi" w:hAnsiTheme="majorHAnsi" w:cs="Arial"/>
          <w:b/>
          <w:noProof/>
          <w:sz w:val="22"/>
          <w:szCs w:val="22"/>
        </w:rPr>
        <w:t>:</w:t>
      </w:r>
      <w:r w:rsidRPr="001573C3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881E0C" w:rsidRPr="001573C3">
        <w:rPr>
          <w:rFonts w:ascii="Calibri" w:hAnsi="Calibri" w:cs="Calibri"/>
          <w:sz w:val="22"/>
          <w:szCs w:val="22"/>
        </w:rPr>
        <w:t xml:space="preserve">Where the Borrower’s project site contains cultural heritage or prevents access to previously accessible cultural heritage sites, the Borrower </w:t>
      </w:r>
      <w:r w:rsidR="002865F4">
        <w:rPr>
          <w:rFonts w:ascii="Calibri" w:hAnsi="Calibri" w:cs="Calibri"/>
          <w:sz w:val="22"/>
          <w:szCs w:val="22"/>
        </w:rPr>
        <w:t>would</w:t>
      </w:r>
      <w:r w:rsidR="00881E0C" w:rsidRPr="001573C3">
        <w:rPr>
          <w:rFonts w:ascii="Calibri" w:hAnsi="Calibri" w:cs="Calibri"/>
          <w:sz w:val="22"/>
          <w:szCs w:val="22"/>
        </w:rPr>
        <w:t xml:space="preserve">, based on consultations with users of the site, allow continued access to the cultural site, or will provide an alternative access route. Continuing access </w:t>
      </w:r>
      <w:r w:rsidR="005C6654">
        <w:rPr>
          <w:rFonts w:ascii="Calibri" w:hAnsi="Calibri" w:cs="Calibri"/>
          <w:sz w:val="22"/>
          <w:szCs w:val="22"/>
        </w:rPr>
        <w:t>would</w:t>
      </w:r>
      <w:r w:rsidR="005C6654" w:rsidRPr="001573C3">
        <w:rPr>
          <w:rFonts w:ascii="Calibri" w:hAnsi="Calibri" w:cs="Calibri"/>
          <w:sz w:val="22"/>
          <w:szCs w:val="22"/>
        </w:rPr>
        <w:t xml:space="preserve"> </w:t>
      </w:r>
      <w:r w:rsidR="00881E0C" w:rsidRPr="001573C3">
        <w:rPr>
          <w:rFonts w:ascii="Calibri" w:hAnsi="Calibri" w:cs="Calibri"/>
          <w:sz w:val="22"/>
          <w:szCs w:val="22"/>
        </w:rPr>
        <w:t>be designed taking into account health, safety and security considerations.</w:t>
      </w:r>
    </w:p>
    <w:p w14:paraId="520A0ADB" w14:textId="1B30BB75" w:rsidR="001E0F0C" w:rsidRPr="001573C3" w:rsidRDefault="001E0F0C" w:rsidP="000F563F">
      <w:pPr>
        <w:numPr>
          <w:ilvl w:val="0"/>
          <w:numId w:val="6"/>
        </w:numPr>
        <w:spacing w:after="120"/>
        <w:rPr>
          <w:rFonts w:asciiTheme="majorHAnsi" w:hAnsiTheme="majorHAnsi" w:cs="Arial"/>
          <w:i/>
          <w:noProof/>
          <w:sz w:val="22"/>
          <w:szCs w:val="22"/>
        </w:rPr>
      </w:pPr>
      <w:r w:rsidRPr="001573C3">
        <w:rPr>
          <w:rFonts w:asciiTheme="majorHAnsi" w:hAnsiTheme="majorHAnsi" w:cs="Arial"/>
          <w:b/>
          <w:i/>
          <w:noProof/>
          <w:sz w:val="22"/>
          <w:szCs w:val="22"/>
        </w:rPr>
        <w:t>Requirements on commercialization of cultural heritage</w:t>
      </w:r>
      <w:r w:rsidR="00881E0C" w:rsidRPr="001573C3">
        <w:rPr>
          <w:rFonts w:asciiTheme="majorHAnsi" w:hAnsiTheme="majorHAnsi" w:cs="Arial"/>
          <w:b/>
          <w:i/>
          <w:noProof/>
          <w:sz w:val="22"/>
          <w:szCs w:val="22"/>
        </w:rPr>
        <w:t>:</w:t>
      </w:r>
      <w:r w:rsidRPr="001573C3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881E0C" w:rsidRPr="001573C3">
        <w:rPr>
          <w:rFonts w:ascii="Calibri" w:hAnsi="Calibri" w:cs="Calibri"/>
          <w:sz w:val="22"/>
          <w:szCs w:val="22"/>
        </w:rPr>
        <w:t xml:space="preserve">Where a project intends to use cultural heritage, </w:t>
      </w:r>
      <w:proofErr w:type="gramStart"/>
      <w:r w:rsidR="00881E0C" w:rsidRPr="001573C3">
        <w:rPr>
          <w:rFonts w:ascii="Calibri" w:hAnsi="Calibri" w:cs="Calibri"/>
          <w:sz w:val="22"/>
          <w:szCs w:val="22"/>
        </w:rPr>
        <w:t>including</w:t>
      </w:r>
      <w:proofErr w:type="gramEnd"/>
      <w:r w:rsidR="00881E0C" w:rsidRPr="001573C3">
        <w:rPr>
          <w:rFonts w:ascii="Calibri" w:hAnsi="Calibri" w:cs="Calibri"/>
          <w:sz w:val="22"/>
          <w:szCs w:val="22"/>
        </w:rPr>
        <w:t xml:space="preserve"> knowledge, innovations or practices of local communities, for commercial purposes,</w:t>
      </w:r>
      <w:r w:rsidR="005C6654">
        <w:rPr>
          <w:rFonts w:ascii="Calibri" w:hAnsi="Calibri" w:cs="Calibri"/>
          <w:sz w:val="22"/>
          <w:szCs w:val="22"/>
        </w:rPr>
        <w:t xml:space="preserve"> under the </w:t>
      </w:r>
      <w:r w:rsidR="005C6654">
        <w:rPr>
          <w:rFonts w:ascii="Calibri" w:hAnsi="Calibri" w:cs="Calibri"/>
          <w:sz w:val="22"/>
          <w:szCs w:val="22"/>
        </w:rPr>
        <w:lastRenderedPageBreak/>
        <w:t>proposed Standard</w:t>
      </w:r>
      <w:r w:rsidR="00881E0C" w:rsidRPr="001573C3">
        <w:rPr>
          <w:rFonts w:ascii="Calibri" w:hAnsi="Calibri" w:cs="Calibri"/>
          <w:sz w:val="22"/>
          <w:szCs w:val="22"/>
        </w:rPr>
        <w:t xml:space="preserve"> the Borrower </w:t>
      </w:r>
      <w:r w:rsidR="005C6654">
        <w:rPr>
          <w:rFonts w:ascii="Calibri" w:hAnsi="Calibri" w:cs="Calibri"/>
          <w:sz w:val="22"/>
          <w:szCs w:val="22"/>
        </w:rPr>
        <w:t>would</w:t>
      </w:r>
      <w:r w:rsidR="005C6654" w:rsidRPr="001573C3">
        <w:rPr>
          <w:rFonts w:ascii="Calibri" w:hAnsi="Calibri" w:cs="Calibri"/>
          <w:sz w:val="22"/>
          <w:szCs w:val="22"/>
        </w:rPr>
        <w:t xml:space="preserve"> </w:t>
      </w:r>
      <w:r w:rsidR="00881E0C" w:rsidRPr="001573C3">
        <w:rPr>
          <w:rFonts w:ascii="Calibri" w:hAnsi="Calibri" w:cs="Calibri"/>
          <w:sz w:val="22"/>
          <w:szCs w:val="22"/>
        </w:rPr>
        <w:t xml:space="preserve">inform the affected communities of: (a) their rights under national law; (b) the scope and nature of the commercial development and the potential impacts; and (c) the potential consequences of such development and impacts. The Borrower </w:t>
      </w:r>
      <w:r w:rsidR="00F839EB">
        <w:rPr>
          <w:rFonts w:ascii="Calibri" w:hAnsi="Calibri" w:cs="Calibri"/>
          <w:sz w:val="22"/>
          <w:szCs w:val="22"/>
        </w:rPr>
        <w:t>would</w:t>
      </w:r>
      <w:r w:rsidR="00F839EB" w:rsidRPr="001573C3">
        <w:rPr>
          <w:rFonts w:ascii="Calibri" w:hAnsi="Calibri" w:cs="Calibri"/>
          <w:sz w:val="22"/>
          <w:szCs w:val="22"/>
        </w:rPr>
        <w:t xml:space="preserve"> </w:t>
      </w:r>
      <w:r w:rsidR="00881E0C" w:rsidRPr="001573C3">
        <w:rPr>
          <w:rFonts w:ascii="Calibri" w:hAnsi="Calibri" w:cs="Calibri"/>
          <w:sz w:val="22"/>
          <w:szCs w:val="22"/>
        </w:rPr>
        <w:t>not proceed with the project unless it: (a) carries out meaningful consultation as described in ESS10; (b) provides for fair and equitable sharing of benefits from commercialization of such cultural heritage, consistent with customs and traditions of the affected communities; and (c) identifies mitigation measures according to the mitigation hierarchy</w:t>
      </w:r>
      <w:r w:rsidR="00881E0C" w:rsidRPr="001573C3">
        <w:rPr>
          <w:rFonts w:ascii="Calibri" w:hAnsi="Calibri" w:cs="Calibri"/>
          <w:i/>
          <w:sz w:val="22"/>
          <w:szCs w:val="22"/>
        </w:rPr>
        <w:t>.</w:t>
      </w:r>
      <w:r w:rsidR="00881E0C" w:rsidRPr="001573C3">
        <w:rPr>
          <w:rFonts w:asciiTheme="majorHAnsi" w:hAnsiTheme="majorHAnsi" w:cs="Arial"/>
          <w:i/>
          <w:noProof/>
          <w:sz w:val="22"/>
          <w:szCs w:val="22"/>
        </w:rPr>
        <w:t xml:space="preserve"> </w:t>
      </w:r>
    </w:p>
    <w:p w14:paraId="0329C690" w14:textId="7A222A8F" w:rsidR="001E0F0C" w:rsidRPr="001573C3" w:rsidRDefault="001E0F0C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 stays the same? </w:t>
      </w:r>
    </w:p>
    <w:p w14:paraId="70F86D8C" w14:textId="40D47C02" w:rsidR="00DA636B" w:rsidRPr="001573C3" w:rsidRDefault="003D13FA" w:rsidP="003D13FA">
      <w:pPr>
        <w:pStyle w:val="ListParagraph"/>
        <w:numPr>
          <w:ilvl w:val="0"/>
          <w:numId w:val="12"/>
        </w:numPr>
        <w:spacing w:after="120"/>
        <w:ind w:left="360"/>
        <w:rPr>
          <w:rFonts w:asciiTheme="majorHAnsi" w:hAnsiTheme="majorHAnsi"/>
          <w:sz w:val="22"/>
          <w:szCs w:val="22"/>
        </w:rPr>
      </w:pPr>
      <w:r w:rsidRPr="001573C3">
        <w:rPr>
          <w:rFonts w:asciiTheme="majorHAnsi" w:hAnsiTheme="majorHAnsi"/>
          <w:sz w:val="22"/>
          <w:szCs w:val="22"/>
        </w:rPr>
        <w:t xml:space="preserve">This </w:t>
      </w:r>
      <w:r w:rsidR="007D01BE" w:rsidRPr="001573C3">
        <w:rPr>
          <w:rFonts w:asciiTheme="majorHAnsi" w:hAnsiTheme="majorHAnsi"/>
          <w:sz w:val="22"/>
          <w:szCs w:val="22"/>
        </w:rPr>
        <w:t xml:space="preserve">proposed </w:t>
      </w:r>
      <w:r w:rsidRPr="001573C3">
        <w:rPr>
          <w:rFonts w:asciiTheme="majorHAnsi" w:hAnsiTheme="majorHAnsi"/>
          <w:sz w:val="22"/>
          <w:szCs w:val="22"/>
        </w:rPr>
        <w:t xml:space="preserve">ESS incorporates </w:t>
      </w:r>
      <w:r w:rsidR="002F53AA" w:rsidRPr="001573C3">
        <w:rPr>
          <w:rFonts w:asciiTheme="majorHAnsi" w:hAnsiTheme="majorHAnsi"/>
          <w:sz w:val="22"/>
          <w:szCs w:val="22"/>
        </w:rPr>
        <w:t>the</w:t>
      </w:r>
      <w:r w:rsidRPr="001573C3">
        <w:rPr>
          <w:rFonts w:asciiTheme="majorHAnsi" w:hAnsiTheme="majorHAnsi"/>
          <w:sz w:val="22"/>
          <w:szCs w:val="22"/>
        </w:rPr>
        <w:t xml:space="preserve"> provisions of the current World Bank policy on </w:t>
      </w:r>
      <w:hyperlink r:id="rId9" w:history="1">
        <w:r w:rsidRPr="00F839EB">
          <w:rPr>
            <w:rStyle w:val="Hyperlink"/>
            <w:rFonts w:asciiTheme="majorHAnsi" w:hAnsiTheme="majorHAnsi" w:cstheme="minorBidi"/>
            <w:sz w:val="22"/>
            <w:szCs w:val="22"/>
          </w:rPr>
          <w:t>Physical Cultural Resources</w:t>
        </w:r>
      </w:hyperlink>
      <w:r w:rsidRPr="001573C3">
        <w:rPr>
          <w:rFonts w:asciiTheme="majorHAnsi" w:hAnsiTheme="majorHAnsi"/>
          <w:sz w:val="22"/>
          <w:szCs w:val="22"/>
        </w:rPr>
        <w:t xml:space="preserve">. </w:t>
      </w:r>
    </w:p>
    <w:p w14:paraId="058F82C2" w14:textId="1152ED8C" w:rsidR="0025039D" w:rsidRPr="001573C3" w:rsidRDefault="0025039D">
      <w:pPr>
        <w:rPr>
          <w:rFonts w:asciiTheme="majorHAnsi" w:hAnsiTheme="majorHAnsi"/>
        </w:rPr>
      </w:pPr>
    </w:p>
    <w:sectPr w:rsidR="0025039D" w:rsidRPr="001573C3" w:rsidSect="00C45C88">
      <w:footerReference w:type="default" r:id="rId10"/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8181" w14:textId="77777777" w:rsidR="00576107" w:rsidRDefault="00576107" w:rsidP="00D336F0">
      <w:r>
        <w:separator/>
      </w:r>
    </w:p>
  </w:endnote>
  <w:endnote w:type="continuationSeparator" w:id="0">
    <w:p w14:paraId="07292230" w14:textId="77777777" w:rsidR="00576107" w:rsidRDefault="00576107" w:rsidP="00D3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6B3B" w14:textId="27A02CC7" w:rsidR="000F563F" w:rsidRPr="00DB675F" w:rsidRDefault="000F563F">
    <w:pPr>
      <w:pStyle w:val="Footer"/>
      <w:rPr>
        <w:i/>
        <w:sz w:val="20"/>
        <w:szCs w:val="20"/>
      </w:rPr>
    </w:pPr>
    <w:r w:rsidRPr="00DB675F">
      <w:rPr>
        <w:i/>
        <w:sz w:val="20"/>
        <w:szCs w:val="20"/>
      </w:rPr>
      <w:t xml:space="preserve">To review the proposed framework, including the full text of all ten standards, and provide feedback, please visit http://consultations.worldbank.org/consultation/review-and-update-world-bank-safeguard-policies </w:t>
    </w:r>
  </w:p>
  <w:p w14:paraId="79F37B21" w14:textId="2FFDE713" w:rsidR="000F563F" w:rsidRPr="004D512D" w:rsidRDefault="000F563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53CAD" w14:textId="77777777" w:rsidR="00576107" w:rsidRDefault="00576107" w:rsidP="00D336F0">
      <w:r>
        <w:separator/>
      </w:r>
    </w:p>
  </w:footnote>
  <w:footnote w:type="continuationSeparator" w:id="0">
    <w:p w14:paraId="46D8B4D4" w14:textId="77777777" w:rsidR="00576107" w:rsidRDefault="00576107" w:rsidP="00D336F0">
      <w:r>
        <w:continuationSeparator/>
      </w:r>
    </w:p>
  </w:footnote>
  <w:footnote w:id="1">
    <w:p w14:paraId="7E8C84B4" w14:textId="23652E32" w:rsidR="007E22A7" w:rsidRDefault="007E22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142A">
        <w:t>The content of the proposed Standard is for consultation purposes. It has not been endorsed by the Executive Directors of IBRD/IDA. The Board of Executive Directors will make the final decision on the content</w:t>
      </w:r>
      <w:r w:rsidRPr="00EB142A">
        <w:rPr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85"/>
    <w:multiLevelType w:val="hybridMultilevel"/>
    <w:tmpl w:val="C6D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6D"/>
    <w:multiLevelType w:val="hybridMultilevel"/>
    <w:tmpl w:val="378A0676"/>
    <w:lvl w:ilvl="0" w:tplc="7C1EE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A2A"/>
    <w:multiLevelType w:val="hybridMultilevel"/>
    <w:tmpl w:val="78B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C023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8BE"/>
    <w:multiLevelType w:val="hybridMultilevel"/>
    <w:tmpl w:val="E0D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1C2"/>
    <w:multiLevelType w:val="hybridMultilevel"/>
    <w:tmpl w:val="9A0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009"/>
    <w:multiLevelType w:val="hybridMultilevel"/>
    <w:tmpl w:val="EB7A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BD8"/>
    <w:multiLevelType w:val="hybridMultilevel"/>
    <w:tmpl w:val="81D8BF10"/>
    <w:lvl w:ilvl="0" w:tplc="4DCCEF9A">
      <w:start w:val="1"/>
      <w:numFmt w:val="lowerLetter"/>
      <w:pStyle w:val="essroman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2F5"/>
    <w:multiLevelType w:val="hybridMultilevel"/>
    <w:tmpl w:val="A296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92E68"/>
    <w:multiLevelType w:val="hybridMultilevel"/>
    <w:tmpl w:val="AFD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B06"/>
    <w:multiLevelType w:val="hybridMultilevel"/>
    <w:tmpl w:val="642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039F"/>
    <w:multiLevelType w:val="hybridMultilevel"/>
    <w:tmpl w:val="43C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5139"/>
    <w:multiLevelType w:val="hybridMultilevel"/>
    <w:tmpl w:val="567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76A"/>
    <w:multiLevelType w:val="hybridMultilevel"/>
    <w:tmpl w:val="7F3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5"/>
    <w:rsid w:val="0000411D"/>
    <w:rsid w:val="000065A0"/>
    <w:rsid w:val="000071A8"/>
    <w:rsid w:val="0005152A"/>
    <w:rsid w:val="0009212E"/>
    <w:rsid w:val="000924D4"/>
    <w:rsid w:val="000A2C37"/>
    <w:rsid w:val="000A58C8"/>
    <w:rsid w:val="000C7E6B"/>
    <w:rsid w:val="000D0B21"/>
    <w:rsid w:val="000D72A8"/>
    <w:rsid w:val="000E11A5"/>
    <w:rsid w:val="000E60CB"/>
    <w:rsid w:val="000E6B1C"/>
    <w:rsid w:val="000F4EAA"/>
    <w:rsid w:val="000F563F"/>
    <w:rsid w:val="000F6BF6"/>
    <w:rsid w:val="00100053"/>
    <w:rsid w:val="0010171D"/>
    <w:rsid w:val="00102511"/>
    <w:rsid w:val="00107268"/>
    <w:rsid w:val="00110041"/>
    <w:rsid w:val="001133C8"/>
    <w:rsid w:val="001210F8"/>
    <w:rsid w:val="00127EDA"/>
    <w:rsid w:val="001510A9"/>
    <w:rsid w:val="001573C3"/>
    <w:rsid w:val="0016021A"/>
    <w:rsid w:val="00163A44"/>
    <w:rsid w:val="001660C1"/>
    <w:rsid w:val="00171B3B"/>
    <w:rsid w:val="001723C7"/>
    <w:rsid w:val="00177F30"/>
    <w:rsid w:val="00182088"/>
    <w:rsid w:val="00184842"/>
    <w:rsid w:val="00185041"/>
    <w:rsid w:val="00185FD1"/>
    <w:rsid w:val="00195354"/>
    <w:rsid w:val="001977B9"/>
    <w:rsid w:val="001A0402"/>
    <w:rsid w:val="001A065F"/>
    <w:rsid w:val="001A07F1"/>
    <w:rsid w:val="001A159A"/>
    <w:rsid w:val="001B2866"/>
    <w:rsid w:val="001B77AF"/>
    <w:rsid w:val="001C27E8"/>
    <w:rsid w:val="001C6206"/>
    <w:rsid w:val="001C621D"/>
    <w:rsid w:val="001C6870"/>
    <w:rsid w:val="001C763D"/>
    <w:rsid w:val="001D4982"/>
    <w:rsid w:val="001E0F0C"/>
    <w:rsid w:val="001F36DD"/>
    <w:rsid w:val="00202860"/>
    <w:rsid w:val="00206CB1"/>
    <w:rsid w:val="00210CE2"/>
    <w:rsid w:val="00213A96"/>
    <w:rsid w:val="0021612E"/>
    <w:rsid w:val="00231172"/>
    <w:rsid w:val="002410EF"/>
    <w:rsid w:val="00241CF8"/>
    <w:rsid w:val="00247905"/>
    <w:rsid w:val="0025039D"/>
    <w:rsid w:val="00254CB5"/>
    <w:rsid w:val="00266354"/>
    <w:rsid w:val="002720A9"/>
    <w:rsid w:val="0027216A"/>
    <w:rsid w:val="0027610D"/>
    <w:rsid w:val="002865F4"/>
    <w:rsid w:val="002869FF"/>
    <w:rsid w:val="0028737F"/>
    <w:rsid w:val="00290109"/>
    <w:rsid w:val="00294CD8"/>
    <w:rsid w:val="002B3A33"/>
    <w:rsid w:val="002C43E2"/>
    <w:rsid w:val="002C67DB"/>
    <w:rsid w:val="002D09BB"/>
    <w:rsid w:val="002E6E32"/>
    <w:rsid w:val="002F0E27"/>
    <w:rsid w:val="002F53AA"/>
    <w:rsid w:val="002F6FD2"/>
    <w:rsid w:val="00326A7D"/>
    <w:rsid w:val="00326AC7"/>
    <w:rsid w:val="0034177C"/>
    <w:rsid w:val="003423CC"/>
    <w:rsid w:val="00346E43"/>
    <w:rsid w:val="00352481"/>
    <w:rsid w:val="003553D7"/>
    <w:rsid w:val="0037569F"/>
    <w:rsid w:val="00376924"/>
    <w:rsid w:val="0037734D"/>
    <w:rsid w:val="003826EA"/>
    <w:rsid w:val="00391B78"/>
    <w:rsid w:val="003A0E41"/>
    <w:rsid w:val="003A16D1"/>
    <w:rsid w:val="003B2CE3"/>
    <w:rsid w:val="003B6CB6"/>
    <w:rsid w:val="003C1BD1"/>
    <w:rsid w:val="003C38E3"/>
    <w:rsid w:val="003C461C"/>
    <w:rsid w:val="003D13FA"/>
    <w:rsid w:val="003E0C07"/>
    <w:rsid w:val="003E56A0"/>
    <w:rsid w:val="003F54C5"/>
    <w:rsid w:val="00407A16"/>
    <w:rsid w:val="00417CAC"/>
    <w:rsid w:val="00432C69"/>
    <w:rsid w:val="00435DCD"/>
    <w:rsid w:val="00445729"/>
    <w:rsid w:val="00456CCD"/>
    <w:rsid w:val="0046071C"/>
    <w:rsid w:val="00463EA7"/>
    <w:rsid w:val="00475518"/>
    <w:rsid w:val="0048323C"/>
    <w:rsid w:val="0048372D"/>
    <w:rsid w:val="00486FE3"/>
    <w:rsid w:val="004A6A6E"/>
    <w:rsid w:val="004C65AB"/>
    <w:rsid w:val="004D372D"/>
    <w:rsid w:val="004D512D"/>
    <w:rsid w:val="004D6C38"/>
    <w:rsid w:val="004E65DD"/>
    <w:rsid w:val="004E6CFD"/>
    <w:rsid w:val="00502217"/>
    <w:rsid w:val="00504477"/>
    <w:rsid w:val="005063FB"/>
    <w:rsid w:val="00511B96"/>
    <w:rsid w:val="00541DA9"/>
    <w:rsid w:val="00547119"/>
    <w:rsid w:val="0055081B"/>
    <w:rsid w:val="00553E32"/>
    <w:rsid w:val="00555C0A"/>
    <w:rsid w:val="00566077"/>
    <w:rsid w:val="00567C6C"/>
    <w:rsid w:val="00576107"/>
    <w:rsid w:val="00581DB0"/>
    <w:rsid w:val="00584181"/>
    <w:rsid w:val="005904F3"/>
    <w:rsid w:val="005A3955"/>
    <w:rsid w:val="005A5289"/>
    <w:rsid w:val="005A6260"/>
    <w:rsid w:val="005B488F"/>
    <w:rsid w:val="005B6A48"/>
    <w:rsid w:val="005B7199"/>
    <w:rsid w:val="005B7AEE"/>
    <w:rsid w:val="005C6654"/>
    <w:rsid w:val="005D6769"/>
    <w:rsid w:val="005E1E37"/>
    <w:rsid w:val="005E3CD8"/>
    <w:rsid w:val="005E52B1"/>
    <w:rsid w:val="005F533D"/>
    <w:rsid w:val="0060183B"/>
    <w:rsid w:val="00602BF7"/>
    <w:rsid w:val="0061231C"/>
    <w:rsid w:val="0063358B"/>
    <w:rsid w:val="00637B2F"/>
    <w:rsid w:val="00640316"/>
    <w:rsid w:val="00650343"/>
    <w:rsid w:val="00650929"/>
    <w:rsid w:val="006509C5"/>
    <w:rsid w:val="0065321A"/>
    <w:rsid w:val="006825F8"/>
    <w:rsid w:val="006B008C"/>
    <w:rsid w:val="006B381D"/>
    <w:rsid w:val="006B41E6"/>
    <w:rsid w:val="006E4D69"/>
    <w:rsid w:val="006F76BD"/>
    <w:rsid w:val="00700EE6"/>
    <w:rsid w:val="00712128"/>
    <w:rsid w:val="00715467"/>
    <w:rsid w:val="007321DF"/>
    <w:rsid w:val="007327CC"/>
    <w:rsid w:val="007407C6"/>
    <w:rsid w:val="00743F1A"/>
    <w:rsid w:val="00763672"/>
    <w:rsid w:val="00780463"/>
    <w:rsid w:val="0078301E"/>
    <w:rsid w:val="00783DA3"/>
    <w:rsid w:val="007844F3"/>
    <w:rsid w:val="00796990"/>
    <w:rsid w:val="007A0670"/>
    <w:rsid w:val="007A2C2A"/>
    <w:rsid w:val="007A4826"/>
    <w:rsid w:val="007A5480"/>
    <w:rsid w:val="007B337B"/>
    <w:rsid w:val="007C11FC"/>
    <w:rsid w:val="007C2DC6"/>
    <w:rsid w:val="007D01BE"/>
    <w:rsid w:val="007D2818"/>
    <w:rsid w:val="007D430A"/>
    <w:rsid w:val="007E22A7"/>
    <w:rsid w:val="008035A0"/>
    <w:rsid w:val="00813D0E"/>
    <w:rsid w:val="008221F2"/>
    <w:rsid w:val="00825685"/>
    <w:rsid w:val="00840CD4"/>
    <w:rsid w:val="00843D3F"/>
    <w:rsid w:val="0085239C"/>
    <w:rsid w:val="00853B01"/>
    <w:rsid w:val="00860588"/>
    <w:rsid w:val="008624A9"/>
    <w:rsid w:val="008719AD"/>
    <w:rsid w:val="0087767E"/>
    <w:rsid w:val="00880363"/>
    <w:rsid w:val="00881E0C"/>
    <w:rsid w:val="008A065F"/>
    <w:rsid w:val="008A2530"/>
    <w:rsid w:val="008B13AF"/>
    <w:rsid w:val="008B307C"/>
    <w:rsid w:val="008C02C1"/>
    <w:rsid w:val="008C10B7"/>
    <w:rsid w:val="008C18D9"/>
    <w:rsid w:val="008C3D7D"/>
    <w:rsid w:val="008C659D"/>
    <w:rsid w:val="008D00D4"/>
    <w:rsid w:val="008D2EF6"/>
    <w:rsid w:val="008E0C83"/>
    <w:rsid w:val="008E35E3"/>
    <w:rsid w:val="008F1D18"/>
    <w:rsid w:val="00902959"/>
    <w:rsid w:val="00915E1D"/>
    <w:rsid w:val="00917784"/>
    <w:rsid w:val="00931884"/>
    <w:rsid w:val="00934C6A"/>
    <w:rsid w:val="009357B9"/>
    <w:rsid w:val="00941EB0"/>
    <w:rsid w:val="009459D6"/>
    <w:rsid w:val="00947ADD"/>
    <w:rsid w:val="0095117C"/>
    <w:rsid w:val="00955172"/>
    <w:rsid w:val="009560E1"/>
    <w:rsid w:val="00961A84"/>
    <w:rsid w:val="0097101F"/>
    <w:rsid w:val="00975114"/>
    <w:rsid w:val="009754AE"/>
    <w:rsid w:val="00975D95"/>
    <w:rsid w:val="009838B6"/>
    <w:rsid w:val="0098590E"/>
    <w:rsid w:val="009874C9"/>
    <w:rsid w:val="00993049"/>
    <w:rsid w:val="009A3058"/>
    <w:rsid w:val="009A6F89"/>
    <w:rsid w:val="009B2027"/>
    <w:rsid w:val="009C6609"/>
    <w:rsid w:val="009C78BF"/>
    <w:rsid w:val="009D25B9"/>
    <w:rsid w:val="009E040A"/>
    <w:rsid w:val="009E47B8"/>
    <w:rsid w:val="00A06226"/>
    <w:rsid w:val="00A23727"/>
    <w:rsid w:val="00A43E4D"/>
    <w:rsid w:val="00A60A5A"/>
    <w:rsid w:val="00A6451B"/>
    <w:rsid w:val="00A75218"/>
    <w:rsid w:val="00A81618"/>
    <w:rsid w:val="00A95D81"/>
    <w:rsid w:val="00A964A0"/>
    <w:rsid w:val="00AA46B1"/>
    <w:rsid w:val="00AB25AE"/>
    <w:rsid w:val="00AB6221"/>
    <w:rsid w:val="00AB75C4"/>
    <w:rsid w:val="00AB7B95"/>
    <w:rsid w:val="00AC4A24"/>
    <w:rsid w:val="00AC4FB1"/>
    <w:rsid w:val="00AD3C64"/>
    <w:rsid w:val="00AF20A5"/>
    <w:rsid w:val="00AF48BD"/>
    <w:rsid w:val="00AF595B"/>
    <w:rsid w:val="00AF7155"/>
    <w:rsid w:val="00B10A71"/>
    <w:rsid w:val="00B133ED"/>
    <w:rsid w:val="00B2302E"/>
    <w:rsid w:val="00B27319"/>
    <w:rsid w:val="00B41C32"/>
    <w:rsid w:val="00B512DC"/>
    <w:rsid w:val="00B52063"/>
    <w:rsid w:val="00B53DFD"/>
    <w:rsid w:val="00B6430E"/>
    <w:rsid w:val="00B74E8D"/>
    <w:rsid w:val="00B75F1E"/>
    <w:rsid w:val="00B82824"/>
    <w:rsid w:val="00B82FF1"/>
    <w:rsid w:val="00B846E5"/>
    <w:rsid w:val="00B85AE1"/>
    <w:rsid w:val="00B86404"/>
    <w:rsid w:val="00B95EF7"/>
    <w:rsid w:val="00BA2320"/>
    <w:rsid w:val="00BA39C8"/>
    <w:rsid w:val="00BB0A1B"/>
    <w:rsid w:val="00BB34D1"/>
    <w:rsid w:val="00BB4F9F"/>
    <w:rsid w:val="00BC5211"/>
    <w:rsid w:val="00BD2AA3"/>
    <w:rsid w:val="00BE3CC9"/>
    <w:rsid w:val="00BE7A8E"/>
    <w:rsid w:val="00BF0309"/>
    <w:rsid w:val="00BF32DC"/>
    <w:rsid w:val="00C0234B"/>
    <w:rsid w:val="00C101E1"/>
    <w:rsid w:val="00C12AFB"/>
    <w:rsid w:val="00C27FE5"/>
    <w:rsid w:val="00C334D5"/>
    <w:rsid w:val="00C33DA4"/>
    <w:rsid w:val="00C344FF"/>
    <w:rsid w:val="00C353F3"/>
    <w:rsid w:val="00C45C88"/>
    <w:rsid w:val="00C53C41"/>
    <w:rsid w:val="00C5785D"/>
    <w:rsid w:val="00C741FF"/>
    <w:rsid w:val="00C74978"/>
    <w:rsid w:val="00C76A74"/>
    <w:rsid w:val="00C814B9"/>
    <w:rsid w:val="00C9735F"/>
    <w:rsid w:val="00CB058E"/>
    <w:rsid w:val="00CC7A98"/>
    <w:rsid w:val="00CD365A"/>
    <w:rsid w:val="00CF08A3"/>
    <w:rsid w:val="00CF6B13"/>
    <w:rsid w:val="00D06758"/>
    <w:rsid w:val="00D17407"/>
    <w:rsid w:val="00D2318E"/>
    <w:rsid w:val="00D2767C"/>
    <w:rsid w:val="00D32827"/>
    <w:rsid w:val="00D336F0"/>
    <w:rsid w:val="00D552C3"/>
    <w:rsid w:val="00D561FF"/>
    <w:rsid w:val="00D65CE9"/>
    <w:rsid w:val="00D66DB3"/>
    <w:rsid w:val="00D74EE8"/>
    <w:rsid w:val="00D77017"/>
    <w:rsid w:val="00D81BD6"/>
    <w:rsid w:val="00D8548D"/>
    <w:rsid w:val="00D85C52"/>
    <w:rsid w:val="00D87811"/>
    <w:rsid w:val="00D879C7"/>
    <w:rsid w:val="00D966BE"/>
    <w:rsid w:val="00D96C31"/>
    <w:rsid w:val="00DA0F73"/>
    <w:rsid w:val="00DA1A47"/>
    <w:rsid w:val="00DA31A7"/>
    <w:rsid w:val="00DA636B"/>
    <w:rsid w:val="00DB0DA6"/>
    <w:rsid w:val="00DB1FA8"/>
    <w:rsid w:val="00DB675F"/>
    <w:rsid w:val="00DC4F88"/>
    <w:rsid w:val="00DC573D"/>
    <w:rsid w:val="00DE188D"/>
    <w:rsid w:val="00DE1F9A"/>
    <w:rsid w:val="00DE264A"/>
    <w:rsid w:val="00DF0537"/>
    <w:rsid w:val="00DF10E4"/>
    <w:rsid w:val="00DF12C4"/>
    <w:rsid w:val="00E075D5"/>
    <w:rsid w:val="00E07637"/>
    <w:rsid w:val="00E1214C"/>
    <w:rsid w:val="00E13CB8"/>
    <w:rsid w:val="00E2150C"/>
    <w:rsid w:val="00E26641"/>
    <w:rsid w:val="00E30E6D"/>
    <w:rsid w:val="00E3399E"/>
    <w:rsid w:val="00E3594A"/>
    <w:rsid w:val="00E377E7"/>
    <w:rsid w:val="00E566B2"/>
    <w:rsid w:val="00E7091F"/>
    <w:rsid w:val="00E7606A"/>
    <w:rsid w:val="00E77A63"/>
    <w:rsid w:val="00E86E12"/>
    <w:rsid w:val="00E95BAA"/>
    <w:rsid w:val="00E968D4"/>
    <w:rsid w:val="00E96E82"/>
    <w:rsid w:val="00EA0914"/>
    <w:rsid w:val="00EB0E4D"/>
    <w:rsid w:val="00EB2556"/>
    <w:rsid w:val="00EB407D"/>
    <w:rsid w:val="00EC31AD"/>
    <w:rsid w:val="00ED6C69"/>
    <w:rsid w:val="00EF0E36"/>
    <w:rsid w:val="00EF2E32"/>
    <w:rsid w:val="00F039EA"/>
    <w:rsid w:val="00F07E7B"/>
    <w:rsid w:val="00F15731"/>
    <w:rsid w:val="00F207E4"/>
    <w:rsid w:val="00F30DA5"/>
    <w:rsid w:val="00F403E4"/>
    <w:rsid w:val="00F44422"/>
    <w:rsid w:val="00F45309"/>
    <w:rsid w:val="00F4536B"/>
    <w:rsid w:val="00F50B2B"/>
    <w:rsid w:val="00F6313F"/>
    <w:rsid w:val="00F63CFC"/>
    <w:rsid w:val="00F65F79"/>
    <w:rsid w:val="00F721F6"/>
    <w:rsid w:val="00F746C4"/>
    <w:rsid w:val="00F806B3"/>
    <w:rsid w:val="00F82869"/>
    <w:rsid w:val="00F839EB"/>
    <w:rsid w:val="00F91CEB"/>
    <w:rsid w:val="00FA1846"/>
    <w:rsid w:val="00FA4394"/>
    <w:rsid w:val="00FB7179"/>
    <w:rsid w:val="00FC40BB"/>
    <w:rsid w:val="00FD06E8"/>
    <w:rsid w:val="00FD2BEF"/>
    <w:rsid w:val="00FE312C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CEEE9"/>
  <w14:defaultImageDpi w14:val="300"/>
  <w15:docId w15:val="{D6F80BF8-18EF-4532-9847-598668B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3CC"/>
    <w:pPr>
      <w:keepNext/>
      <w:keepLines/>
      <w:spacing w:before="200" w:after="360"/>
      <w:ind w:left="7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BodyTextIndent2"/>
    <w:autoRedefine/>
    <w:qFormat/>
    <w:rsid w:val="003423CC"/>
    <w:pPr>
      <w:spacing w:after="0" w:line="240" w:lineRule="auto"/>
      <w:ind w:left="0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23CC"/>
  </w:style>
  <w:style w:type="character" w:customStyle="1" w:styleId="Heading4Char">
    <w:name w:val="Heading 4 Char"/>
    <w:basedOn w:val="DefaultParagraphFont"/>
    <w:link w:val="Heading4"/>
    <w:uiPriority w:val="9"/>
    <w:semiHidden/>
    <w:rsid w:val="003423CC"/>
    <w:rPr>
      <w:rFonts w:ascii="Times New Roman" w:eastAsiaTheme="majorEastAsia" w:hAnsi="Times New Roman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F0"/>
  </w:style>
  <w:style w:type="paragraph" w:styleId="Footer">
    <w:name w:val="footer"/>
    <w:basedOn w:val="Normal"/>
    <w:link w:val="Foot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F0"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650929"/>
    <w:pPr>
      <w:ind w:left="720"/>
      <w:contextualSpacing/>
    </w:pPr>
  </w:style>
  <w:style w:type="paragraph" w:customStyle="1" w:styleId="essroman">
    <w:name w:val="ess roman"/>
    <w:basedOn w:val="Normal"/>
    <w:rsid w:val="00C5785D"/>
    <w:pPr>
      <w:numPr>
        <w:numId w:val="4"/>
      </w:num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highlight">
    <w:name w:val="highlight"/>
    <w:basedOn w:val="DefaultParagraphFont"/>
    <w:rsid w:val="001133C8"/>
  </w:style>
  <w:style w:type="character" w:styleId="CommentReference">
    <w:name w:val="annotation reference"/>
    <w:basedOn w:val="DefaultParagraphFont"/>
    <w:uiPriority w:val="99"/>
    <w:semiHidden/>
    <w:unhideWhenUsed/>
    <w:rsid w:val="00C023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4B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4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1723C7"/>
  </w:style>
  <w:style w:type="character" w:styleId="Hyperlink">
    <w:name w:val="Hyperlink"/>
    <w:basedOn w:val="DefaultParagraphFont"/>
    <w:uiPriority w:val="99"/>
    <w:unhideWhenUsed/>
    <w:rsid w:val="001723C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worldbank.org/WBSITE/EXTERNAL/PROJECTS/EXTPOLICIES/EXTSAFEPOL/0,,contentMDK:20543961~menuPK:1286639~pagePK:64168445~piPK:64168309~theSitePK:584435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7B8F-4D8F-4518-BCC5-5FD46FAD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Katrin Arnold</dc:creator>
  <cp:lastModifiedBy>Jennifer Chato</cp:lastModifiedBy>
  <cp:revision>2</cp:revision>
  <cp:lastPrinted>2014-09-22T19:06:00Z</cp:lastPrinted>
  <dcterms:created xsi:type="dcterms:W3CDTF">2015-09-10T19:19:00Z</dcterms:created>
  <dcterms:modified xsi:type="dcterms:W3CDTF">2015-09-10T19:19:00Z</dcterms:modified>
</cp:coreProperties>
</file>