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B89F58B" w14:textId="77777777" w:rsidR="00FC6E39" w:rsidRPr="00E8726F" w:rsidRDefault="00FC6E39" w:rsidP="00E8726F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p w14:paraId="469D8EE4" w14:textId="77777777" w:rsidR="00EB75B9" w:rsidRPr="00E8726F" w:rsidRDefault="00A35D65" w:rsidP="00E8726F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  <w:r w:rsidRPr="00E8726F">
        <w:rPr>
          <w:rFonts w:asciiTheme="minorHAnsi" w:hAnsiTheme="minorHAnsi" w:cs="Arial"/>
          <w:noProof/>
          <w:color w:val="000000"/>
          <w:sz w:val="22"/>
          <w:szCs w:val="22"/>
          <w:lang w:eastAsia="en-US" w:bidi="ar-SA"/>
        </w:rPr>
        <w:drawing>
          <wp:inline distT="0" distB="0" distL="0" distR="0" wp14:anchorId="3B36DAAA" wp14:editId="426F7F4E">
            <wp:extent cx="3000375" cy="888572"/>
            <wp:effectExtent l="0" t="0" r="0" b="0"/>
            <wp:docPr id="1" name="Picture 1" descr="This image shows different scenes such as green fields, water, and peop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is image shows different scenes such as green fields, water, and people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888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7F9FEA" w14:textId="77777777" w:rsidR="00A35D65" w:rsidRPr="00E8726F" w:rsidRDefault="00A35D65" w:rsidP="00E8726F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8726F">
        <w:rPr>
          <w:rFonts w:asciiTheme="minorHAnsi" w:hAnsiTheme="minorHAnsi" w:cstheme="minorHAnsi"/>
          <w:b/>
          <w:bCs/>
          <w:sz w:val="22"/>
          <w:szCs w:val="22"/>
        </w:rPr>
        <w:t>Review and Update of the World Bank’s Environmental and Social Safeguard Policies</w:t>
      </w:r>
    </w:p>
    <w:p w14:paraId="2C269ABE" w14:textId="77777777" w:rsidR="00A35D65" w:rsidRPr="00E8726F" w:rsidRDefault="008C0E8A" w:rsidP="00E8726F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8726F">
        <w:rPr>
          <w:rFonts w:asciiTheme="minorHAnsi" w:hAnsiTheme="minorHAnsi" w:cstheme="minorHAnsi"/>
          <w:b/>
          <w:bCs/>
          <w:sz w:val="22"/>
          <w:szCs w:val="22"/>
        </w:rPr>
        <w:t>Phase 2</w:t>
      </w:r>
    </w:p>
    <w:p w14:paraId="600B307B" w14:textId="77777777" w:rsidR="003E2779" w:rsidRPr="00E8726F" w:rsidRDefault="00A35D65" w:rsidP="00E8726F">
      <w:pPr>
        <w:pStyle w:val="Title"/>
        <w:spacing w:after="120" w:line="276" w:lineRule="auto"/>
        <w:jc w:val="center"/>
        <w:rPr>
          <w:rFonts w:asciiTheme="minorHAnsi" w:hAnsiTheme="minorHAnsi"/>
          <w:color w:val="auto"/>
          <w:sz w:val="22"/>
          <w:szCs w:val="22"/>
        </w:rPr>
      </w:pPr>
      <w:r w:rsidRPr="00E8726F">
        <w:rPr>
          <w:rFonts w:asciiTheme="minorHAnsi" w:hAnsiTheme="minorHAnsi"/>
          <w:b/>
          <w:bCs/>
          <w:color w:val="auto"/>
          <w:sz w:val="22"/>
          <w:szCs w:val="22"/>
        </w:rPr>
        <w:t>F</w:t>
      </w:r>
      <w:r w:rsidR="003E2779" w:rsidRPr="00E8726F">
        <w:rPr>
          <w:rFonts w:asciiTheme="minorHAnsi" w:hAnsiTheme="minorHAnsi"/>
          <w:b/>
          <w:bCs/>
          <w:color w:val="auto"/>
          <w:sz w:val="22"/>
          <w:szCs w:val="22"/>
        </w:rPr>
        <w:t>eedback Summary</w:t>
      </w:r>
    </w:p>
    <w:p w14:paraId="284FC723" w14:textId="5F684D4B" w:rsidR="00093B2C" w:rsidRPr="00E8726F" w:rsidRDefault="00093B2C" w:rsidP="00E8726F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spacing w:after="120" w:line="276" w:lineRule="auto"/>
        <w:rPr>
          <w:rFonts w:asciiTheme="minorHAnsi" w:hAnsiTheme="minorHAnsi" w:cs="Times New Roman"/>
          <w:b/>
          <w:sz w:val="22"/>
          <w:szCs w:val="22"/>
          <w:lang w:val="en-US"/>
        </w:rPr>
      </w:pPr>
      <w:r w:rsidRPr="00E8726F">
        <w:rPr>
          <w:rFonts w:asciiTheme="minorHAnsi" w:hAnsiTheme="minorHAnsi" w:cs="Times New Roman"/>
          <w:b/>
          <w:bCs/>
          <w:sz w:val="22"/>
          <w:szCs w:val="22"/>
          <w:lang w:val="en-US"/>
        </w:rPr>
        <w:t xml:space="preserve">Date: </w:t>
      </w:r>
      <w:r w:rsidR="002D2FBF">
        <w:rPr>
          <w:rFonts w:asciiTheme="minorHAnsi" w:hAnsiTheme="minorHAnsi" w:cs="Times New Roman"/>
          <w:b/>
          <w:bCs/>
          <w:sz w:val="22"/>
          <w:szCs w:val="22"/>
          <w:lang w:val="en-US"/>
        </w:rPr>
        <w:t>January 8, 2015</w:t>
      </w:r>
    </w:p>
    <w:p w14:paraId="17974523" w14:textId="0964077B" w:rsidR="0028355B" w:rsidRPr="00E8726F" w:rsidRDefault="002E23E9" w:rsidP="00E8726F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spacing w:after="120" w:line="276" w:lineRule="auto"/>
        <w:rPr>
          <w:rFonts w:asciiTheme="minorHAnsi" w:hAnsiTheme="minorHAnsi" w:cs="Times New Roman"/>
          <w:b/>
          <w:bCs/>
          <w:sz w:val="22"/>
          <w:szCs w:val="22"/>
          <w:lang w:val="en-US"/>
        </w:rPr>
      </w:pPr>
      <w:r w:rsidRPr="00E8726F">
        <w:rPr>
          <w:rFonts w:asciiTheme="minorHAnsi" w:hAnsiTheme="minorHAnsi" w:cs="Times New Roman"/>
          <w:b/>
          <w:bCs/>
          <w:sz w:val="22"/>
          <w:szCs w:val="22"/>
          <w:lang w:val="en-US"/>
        </w:rPr>
        <w:t>Location (City, Country)</w:t>
      </w:r>
      <w:r w:rsidR="00093B2C" w:rsidRPr="00E8726F">
        <w:rPr>
          <w:rFonts w:asciiTheme="minorHAnsi" w:hAnsiTheme="minorHAnsi" w:cs="Times New Roman"/>
          <w:b/>
          <w:bCs/>
          <w:sz w:val="22"/>
          <w:szCs w:val="22"/>
          <w:lang w:val="en-US"/>
        </w:rPr>
        <w:t xml:space="preserve">: </w:t>
      </w:r>
      <w:r w:rsidR="002D2FBF">
        <w:rPr>
          <w:rFonts w:asciiTheme="minorHAnsi" w:hAnsiTheme="minorHAnsi" w:cs="Times New Roman"/>
          <w:b/>
          <w:bCs/>
          <w:sz w:val="22"/>
          <w:szCs w:val="22"/>
          <w:lang w:val="en-US"/>
        </w:rPr>
        <w:t>Ottawa</w:t>
      </w:r>
      <w:r w:rsidR="00B817A6" w:rsidRPr="00E8726F">
        <w:rPr>
          <w:rFonts w:asciiTheme="minorHAnsi" w:hAnsiTheme="minorHAnsi" w:cs="Times New Roman"/>
          <w:b/>
          <w:bCs/>
          <w:sz w:val="22"/>
          <w:szCs w:val="22"/>
          <w:lang w:val="en-US"/>
        </w:rPr>
        <w:t xml:space="preserve">, </w:t>
      </w:r>
      <w:r w:rsidR="002D2FBF">
        <w:rPr>
          <w:rFonts w:asciiTheme="minorHAnsi" w:hAnsiTheme="minorHAnsi" w:cs="Times New Roman"/>
          <w:b/>
          <w:bCs/>
          <w:sz w:val="22"/>
          <w:szCs w:val="22"/>
          <w:lang w:val="en-US"/>
        </w:rPr>
        <w:t>Canada</w:t>
      </w:r>
    </w:p>
    <w:p w14:paraId="214404C4" w14:textId="0778E02E" w:rsidR="0028355B" w:rsidRPr="00E8726F" w:rsidRDefault="0028355B" w:rsidP="00E8726F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spacing w:after="120" w:line="276" w:lineRule="auto"/>
        <w:rPr>
          <w:rFonts w:asciiTheme="minorHAnsi" w:hAnsiTheme="minorHAnsi" w:cs="Times New Roman"/>
          <w:b/>
          <w:bCs/>
          <w:sz w:val="22"/>
          <w:szCs w:val="22"/>
          <w:lang w:val="en-US"/>
        </w:rPr>
      </w:pPr>
      <w:r w:rsidRPr="00E8726F">
        <w:rPr>
          <w:rFonts w:asciiTheme="minorHAnsi" w:hAnsiTheme="minorHAnsi" w:cs="Times New Roman"/>
          <w:b/>
          <w:bCs/>
          <w:sz w:val="22"/>
          <w:szCs w:val="22"/>
          <w:lang w:val="en-US"/>
        </w:rPr>
        <w:t>Audience (Government, CSO, etc.):</w:t>
      </w:r>
      <w:r w:rsidR="00B817A6" w:rsidRPr="00E8726F">
        <w:rPr>
          <w:rFonts w:asciiTheme="minorHAnsi" w:hAnsiTheme="minorHAnsi" w:cs="Times New Roman"/>
          <w:b/>
          <w:bCs/>
          <w:sz w:val="22"/>
          <w:szCs w:val="22"/>
          <w:lang w:val="en-US"/>
        </w:rPr>
        <w:t xml:space="preserve"> </w:t>
      </w:r>
      <w:r w:rsidR="002D2FBF">
        <w:rPr>
          <w:rFonts w:asciiTheme="minorHAnsi" w:hAnsiTheme="minorHAnsi" w:cs="Times New Roman"/>
          <w:b/>
          <w:bCs/>
          <w:sz w:val="22"/>
          <w:szCs w:val="22"/>
          <w:lang w:val="en-US"/>
        </w:rPr>
        <w:t>Private Sector</w:t>
      </w:r>
    </w:p>
    <w:p w14:paraId="49779DC2" w14:textId="77777777" w:rsidR="00B16E9C" w:rsidRPr="00E8726F" w:rsidRDefault="00B16E9C" w:rsidP="00E8726F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spacing w:after="120" w:line="276" w:lineRule="auto"/>
        <w:jc w:val="left"/>
        <w:rPr>
          <w:rFonts w:asciiTheme="minorHAnsi" w:hAnsiTheme="minorHAnsi" w:cs="Times New Roman"/>
          <w:b/>
          <w:sz w:val="22"/>
          <w:szCs w:val="22"/>
        </w:rPr>
      </w:pPr>
      <w:r w:rsidRPr="00E8726F">
        <w:rPr>
          <w:rFonts w:asciiTheme="minorHAnsi" w:hAnsiTheme="minorHAnsi" w:cs="Times New Roman"/>
          <w:b/>
          <w:sz w:val="22"/>
          <w:szCs w:val="22"/>
        </w:rPr>
        <w:t xml:space="preserve">Overview and </w:t>
      </w:r>
      <w:r w:rsidR="00A35D65" w:rsidRPr="00E8726F">
        <w:rPr>
          <w:rFonts w:asciiTheme="minorHAnsi" w:hAnsiTheme="minorHAnsi" w:cs="Times New Roman"/>
          <w:b/>
          <w:sz w:val="22"/>
          <w:szCs w:val="22"/>
        </w:rPr>
        <w:t>Key Issues Discussed</w:t>
      </w:r>
      <w:r w:rsidR="005C56F1" w:rsidRPr="00E8726F">
        <w:rPr>
          <w:rFonts w:asciiTheme="minorHAnsi" w:hAnsiTheme="minorHAnsi" w:cs="Times New Roman"/>
          <w:b/>
          <w:sz w:val="22"/>
          <w:szCs w:val="22"/>
        </w:rPr>
        <w:t>:</w:t>
      </w:r>
      <w:r w:rsidRPr="00E8726F">
        <w:rPr>
          <w:rFonts w:asciiTheme="minorHAnsi" w:hAnsiTheme="minorHAnsi" w:cs="Times New Roman"/>
          <w:b/>
          <w:sz w:val="22"/>
          <w:szCs w:val="22"/>
        </w:rPr>
        <w:t xml:space="preserve"> </w:t>
      </w:r>
    </w:p>
    <w:p w14:paraId="0CEBEB0E" w14:textId="7B1BBC03" w:rsidR="00B817A6" w:rsidRPr="00E8726F" w:rsidRDefault="00B817A6" w:rsidP="0052573F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spacing w:before="120" w:after="120" w:line="276" w:lineRule="auto"/>
        <w:rPr>
          <w:rFonts w:asciiTheme="minorHAnsi" w:hAnsiTheme="minorHAnsi" w:cs="Times New Roman"/>
          <w:sz w:val="22"/>
          <w:szCs w:val="22"/>
        </w:rPr>
      </w:pPr>
      <w:r w:rsidRPr="00E8726F">
        <w:rPr>
          <w:rFonts w:asciiTheme="minorHAnsi" w:hAnsiTheme="minorHAnsi" w:cs="Times New Roman"/>
          <w:sz w:val="22"/>
          <w:szCs w:val="22"/>
        </w:rPr>
        <w:t xml:space="preserve">On </w:t>
      </w:r>
      <w:r w:rsidR="002D2FBF">
        <w:rPr>
          <w:rFonts w:asciiTheme="minorHAnsi" w:hAnsiTheme="minorHAnsi" w:cs="Times New Roman"/>
          <w:sz w:val="22"/>
          <w:szCs w:val="22"/>
        </w:rPr>
        <w:t>January 8, 2015</w:t>
      </w:r>
      <w:r w:rsidRPr="00E8726F">
        <w:rPr>
          <w:rFonts w:asciiTheme="minorHAnsi" w:hAnsiTheme="minorHAnsi" w:cs="Times New Roman"/>
          <w:sz w:val="22"/>
          <w:szCs w:val="22"/>
        </w:rPr>
        <w:t xml:space="preserve">, the </w:t>
      </w:r>
      <w:r w:rsidR="0052573F">
        <w:rPr>
          <w:rFonts w:asciiTheme="minorHAnsi" w:hAnsiTheme="minorHAnsi" w:cs="Times New Roman"/>
          <w:sz w:val="22"/>
          <w:szCs w:val="22"/>
        </w:rPr>
        <w:t xml:space="preserve">Canadian Export Credit Agency (EDC) hosted a consultation meeting for the World Bank </w:t>
      </w:r>
      <w:r w:rsidRPr="00E8726F">
        <w:rPr>
          <w:rFonts w:asciiTheme="minorHAnsi" w:hAnsiTheme="minorHAnsi" w:cs="Times New Roman"/>
          <w:sz w:val="22"/>
          <w:szCs w:val="22"/>
        </w:rPr>
        <w:t xml:space="preserve">with representatives of </w:t>
      </w:r>
      <w:r w:rsidR="0052573F">
        <w:rPr>
          <w:rFonts w:asciiTheme="minorHAnsi" w:hAnsiTheme="minorHAnsi" w:cs="Times New Roman"/>
          <w:sz w:val="22"/>
          <w:szCs w:val="22"/>
        </w:rPr>
        <w:t>th</w:t>
      </w:r>
      <w:r w:rsidR="002D2FBF">
        <w:rPr>
          <w:rFonts w:asciiTheme="minorHAnsi" w:hAnsiTheme="minorHAnsi" w:cs="Times New Roman"/>
          <w:sz w:val="22"/>
          <w:szCs w:val="22"/>
        </w:rPr>
        <w:t>e private sector</w:t>
      </w:r>
      <w:r w:rsidR="0082387D">
        <w:rPr>
          <w:rFonts w:asciiTheme="minorHAnsi" w:hAnsiTheme="minorHAnsi" w:cs="Times New Roman"/>
          <w:sz w:val="22"/>
          <w:szCs w:val="22"/>
        </w:rPr>
        <w:t xml:space="preserve">. Qays Hamad, Senior Operations Officer and Nina Chee, Senior Environmental </w:t>
      </w:r>
      <w:r w:rsidR="00B31359">
        <w:rPr>
          <w:rFonts w:asciiTheme="minorHAnsi" w:hAnsiTheme="minorHAnsi" w:cs="Times New Roman"/>
          <w:sz w:val="22"/>
          <w:szCs w:val="22"/>
        </w:rPr>
        <w:t xml:space="preserve">Specialist, </w:t>
      </w:r>
      <w:r w:rsidRPr="00E8726F">
        <w:rPr>
          <w:rFonts w:asciiTheme="minorHAnsi" w:hAnsiTheme="minorHAnsi" w:cs="Times New Roman"/>
          <w:sz w:val="22"/>
          <w:szCs w:val="22"/>
        </w:rPr>
        <w:t xml:space="preserve">presented the proposed Environmental and Social Framework </w:t>
      </w:r>
      <w:r w:rsidR="00843265">
        <w:rPr>
          <w:rFonts w:asciiTheme="minorHAnsi" w:hAnsiTheme="minorHAnsi" w:cs="Times New Roman"/>
          <w:sz w:val="22"/>
          <w:szCs w:val="22"/>
        </w:rPr>
        <w:t xml:space="preserve">(ESF) </w:t>
      </w:r>
      <w:r w:rsidRPr="00E8726F">
        <w:rPr>
          <w:rFonts w:asciiTheme="minorHAnsi" w:hAnsiTheme="minorHAnsi" w:cs="Times New Roman"/>
          <w:sz w:val="22"/>
          <w:szCs w:val="22"/>
        </w:rPr>
        <w:t>to stakeholders. The discussion foc</w:t>
      </w:r>
      <w:bookmarkStart w:id="0" w:name="_GoBack"/>
      <w:bookmarkEnd w:id="0"/>
      <w:r w:rsidRPr="00E8726F">
        <w:rPr>
          <w:rFonts w:asciiTheme="minorHAnsi" w:hAnsiTheme="minorHAnsi" w:cs="Times New Roman"/>
          <w:sz w:val="22"/>
          <w:szCs w:val="22"/>
        </w:rPr>
        <w:t>used on</w:t>
      </w:r>
      <w:r w:rsidR="00B31359">
        <w:rPr>
          <w:rFonts w:asciiTheme="minorHAnsi" w:hAnsiTheme="minorHAnsi" w:cs="Times New Roman"/>
          <w:sz w:val="22"/>
          <w:szCs w:val="22"/>
        </w:rPr>
        <w:t xml:space="preserve"> </w:t>
      </w:r>
      <w:r w:rsidR="00D1158F">
        <w:rPr>
          <w:rFonts w:asciiTheme="minorHAnsi" w:hAnsiTheme="minorHAnsi" w:cs="Times New Roman"/>
          <w:sz w:val="22"/>
          <w:szCs w:val="22"/>
        </w:rPr>
        <w:t>human rights, Indigenous Peoples, and Borrower capacity for impact assessment</w:t>
      </w:r>
      <w:r w:rsidRPr="00E8726F">
        <w:rPr>
          <w:rFonts w:asciiTheme="minorHAnsi" w:hAnsiTheme="minorHAnsi" w:cs="Times New Roman"/>
          <w:sz w:val="22"/>
          <w:szCs w:val="22"/>
        </w:rPr>
        <w:t xml:space="preserve">. </w:t>
      </w:r>
      <w:r w:rsidRPr="00E8726F">
        <w:rPr>
          <w:rFonts w:asciiTheme="minorHAnsi" w:hAnsiTheme="minorHAnsi" w:cs="Calibri"/>
          <w:sz w:val="22"/>
          <w:szCs w:val="22"/>
        </w:rPr>
        <w:t>For purposes of conciseness, the following summary highlights comments and recommendations that were provided by individual representatives; collective comments and recommendations are noted as such.</w:t>
      </w:r>
    </w:p>
    <w:p w14:paraId="51A527D1" w14:textId="77777777" w:rsidR="005B1D7C" w:rsidRPr="00E8726F" w:rsidRDefault="005B1D7C" w:rsidP="00E8726F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spacing w:after="120" w:line="276" w:lineRule="auto"/>
        <w:rPr>
          <w:rFonts w:asciiTheme="minorHAnsi" w:hAnsiTheme="minorHAnsi" w:cs="Times New Roman"/>
          <w:sz w:val="22"/>
          <w:szCs w:val="22"/>
        </w:rPr>
      </w:pPr>
    </w:p>
    <w:tbl>
      <w:tblPr>
        <w:tblW w:w="133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320"/>
      </w:tblGrid>
      <w:tr w:rsidR="00B16E9C" w:rsidRPr="00E8726F" w14:paraId="2B49BED0" w14:textId="77777777" w:rsidTr="002C093B">
        <w:trPr>
          <w:trHeight w:val="70"/>
        </w:trPr>
        <w:tc>
          <w:tcPr>
            <w:tcW w:w="13320" w:type="dxa"/>
            <w:shd w:val="clear" w:color="auto" w:fill="DBE5F1" w:themeFill="accent1" w:themeFillTint="33"/>
          </w:tcPr>
          <w:p w14:paraId="7B37EB45" w14:textId="29DED3EB" w:rsidR="00B16E9C" w:rsidRPr="00E8726F" w:rsidRDefault="00A35D65" w:rsidP="00E8726F">
            <w:pPr>
              <w:pStyle w:val="BodyText2"/>
              <w:snapToGrid w:val="0"/>
              <w:spacing w:after="120" w:line="276" w:lineRule="auto"/>
              <w:ind w:right="0"/>
              <w:rPr>
                <w:rFonts w:asciiTheme="minorHAnsi" w:eastAsia="Batang" w:hAnsiTheme="minorHAnsi" w:cs="Times New Roman"/>
                <w:b/>
                <w:color w:val="auto"/>
                <w:sz w:val="22"/>
                <w:szCs w:val="22"/>
              </w:rPr>
            </w:pPr>
            <w:r w:rsidRPr="00E8726F">
              <w:rPr>
                <w:rFonts w:asciiTheme="minorHAnsi" w:eastAsia="Batang" w:hAnsiTheme="minorHAnsi" w:cs="Times New Roman"/>
                <w:b/>
                <w:color w:val="auto"/>
                <w:sz w:val="22"/>
                <w:szCs w:val="22"/>
              </w:rPr>
              <w:t xml:space="preserve">Specific </w:t>
            </w:r>
            <w:r w:rsidR="00B16E9C" w:rsidRPr="00E8726F">
              <w:rPr>
                <w:rFonts w:asciiTheme="minorHAnsi" w:eastAsia="Batang" w:hAnsiTheme="minorHAnsi" w:cs="Times New Roman"/>
                <w:b/>
                <w:color w:val="auto"/>
                <w:sz w:val="22"/>
                <w:szCs w:val="22"/>
              </w:rPr>
              <w:t>Feedback from Stakeholders</w:t>
            </w:r>
          </w:p>
        </w:tc>
      </w:tr>
      <w:tr w:rsidR="0013530E" w:rsidRPr="00E8726F" w14:paraId="301EA175" w14:textId="77777777" w:rsidTr="002C093B">
        <w:tblPrEx>
          <w:tblCellMar>
            <w:left w:w="0" w:type="dxa"/>
            <w:right w:w="0" w:type="dxa"/>
          </w:tblCellMar>
        </w:tblPrEx>
        <w:trPr>
          <w:trHeight w:val="70"/>
        </w:trPr>
        <w:tc>
          <w:tcPr>
            <w:tcW w:w="13320" w:type="dxa"/>
            <w:shd w:val="clear" w:color="auto" w:fill="DBE5F1" w:themeFill="accent1" w:themeFillTint="33"/>
          </w:tcPr>
          <w:p w14:paraId="4729F812" w14:textId="77777777" w:rsidR="0013530E" w:rsidRPr="00E8726F" w:rsidRDefault="008B074D" w:rsidP="00E8726F">
            <w:pPr>
              <w:pStyle w:val="ListParagraph"/>
              <w:numPr>
                <w:ilvl w:val="0"/>
                <w:numId w:val="30"/>
              </w:numPr>
              <w:snapToGrid w:val="0"/>
              <w:spacing w:line="276" w:lineRule="auto"/>
              <w:ind w:left="540" w:right="180"/>
              <w:rPr>
                <w:rFonts w:asciiTheme="minorHAnsi" w:eastAsia="Batang" w:hAnsiTheme="minorHAnsi"/>
                <w:b/>
                <w:sz w:val="22"/>
                <w:szCs w:val="22"/>
              </w:rPr>
            </w:pPr>
            <w:r w:rsidRPr="00E8726F">
              <w:rPr>
                <w:rFonts w:asciiTheme="minorHAnsi" w:hAnsiTheme="minorHAnsi"/>
                <w:b/>
                <w:bCs/>
                <w:sz w:val="22"/>
                <w:szCs w:val="22"/>
              </w:rPr>
              <w:t>General Comments</w:t>
            </w:r>
          </w:p>
        </w:tc>
      </w:tr>
      <w:tr w:rsidR="002E23E9" w:rsidRPr="00E8726F" w14:paraId="79E4184B" w14:textId="77777777" w:rsidTr="008B074D">
        <w:trPr>
          <w:trHeight w:val="458"/>
        </w:trPr>
        <w:tc>
          <w:tcPr>
            <w:tcW w:w="13320" w:type="dxa"/>
            <w:shd w:val="clear" w:color="auto" w:fill="auto"/>
          </w:tcPr>
          <w:p w14:paraId="172F446D" w14:textId="7653DED9" w:rsidR="000C5064" w:rsidRPr="006943D0" w:rsidRDefault="00E61B02" w:rsidP="00E7114E">
            <w:pPr>
              <w:pStyle w:val="ListParagraph"/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line="276" w:lineRule="auto"/>
              <w:ind w:right="40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A part</w:t>
            </w:r>
            <w:r w:rsidR="00454A44">
              <w:rPr>
                <w:rFonts w:asciiTheme="minorHAnsi" w:hAnsiTheme="minorHAnsi" w:cs="Times New Roman"/>
                <w:sz w:val="22"/>
                <w:szCs w:val="22"/>
              </w:rPr>
              <w:t>icipant pointed out that there i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s a gap between the proposed </w:t>
            </w:r>
            <w:r w:rsidR="005E6BA0">
              <w:rPr>
                <w:rFonts w:asciiTheme="minorHAnsi" w:hAnsiTheme="minorHAnsi" w:cs="Times New Roman"/>
                <w:sz w:val="22"/>
                <w:szCs w:val="22"/>
              </w:rPr>
              <w:t>ESF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 and the International Finance Corporation’s (IFC) Performance Standards. </w:t>
            </w:r>
            <w:r w:rsidR="00E7114E">
              <w:rPr>
                <w:rFonts w:asciiTheme="minorHAnsi" w:hAnsiTheme="minorHAnsi" w:cs="Times New Roman"/>
                <w:sz w:val="22"/>
                <w:szCs w:val="22"/>
              </w:rPr>
              <w:t xml:space="preserve">It should be clarified where the World Bank is </w:t>
            </w:r>
            <w:r w:rsidR="000C5064" w:rsidRPr="006943D0">
              <w:rPr>
                <w:rFonts w:asciiTheme="minorHAnsi" w:hAnsiTheme="minorHAnsi" w:cs="Times New Roman"/>
                <w:sz w:val="22"/>
                <w:szCs w:val="22"/>
              </w:rPr>
              <w:t xml:space="preserve">going beyond </w:t>
            </w:r>
            <w:r w:rsidR="00E7114E">
              <w:rPr>
                <w:rFonts w:asciiTheme="minorHAnsi" w:hAnsiTheme="minorHAnsi" w:cs="Times New Roman"/>
                <w:sz w:val="22"/>
                <w:szCs w:val="22"/>
              </w:rPr>
              <w:t xml:space="preserve">the </w:t>
            </w:r>
            <w:r w:rsidR="00A05DF1">
              <w:rPr>
                <w:rFonts w:asciiTheme="minorHAnsi" w:hAnsiTheme="minorHAnsi" w:cs="Times New Roman"/>
                <w:sz w:val="22"/>
                <w:szCs w:val="22"/>
              </w:rPr>
              <w:t>Performance</w:t>
            </w:r>
            <w:r w:rsidR="00E7114E">
              <w:rPr>
                <w:rFonts w:asciiTheme="minorHAnsi" w:hAnsiTheme="minorHAnsi" w:cs="Times New Roman"/>
                <w:sz w:val="22"/>
                <w:szCs w:val="22"/>
              </w:rPr>
              <w:t xml:space="preserve"> Standards and where the World Bank is catching up with IFC. </w:t>
            </w:r>
          </w:p>
          <w:p w14:paraId="4AFC87C5" w14:textId="40D5C697" w:rsidR="000C5064" w:rsidRPr="006943D0" w:rsidRDefault="008E2F4A" w:rsidP="008168C6">
            <w:pPr>
              <w:pStyle w:val="ListParagraph"/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line="276" w:lineRule="auto"/>
              <w:ind w:right="40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An overlap between the safeguard policies and the World Bank’s ongoing review of its procurement policy was identified. A stakeholder pointed out that the procurement plan should show the budget associated with </w:t>
            </w:r>
            <w:r w:rsidR="000C5064" w:rsidRPr="006943D0">
              <w:rPr>
                <w:rFonts w:asciiTheme="minorHAnsi" w:hAnsiTheme="minorHAnsi" w:cs="Times New Roman"/>
                <w:sz w:val="22"/>
                <w:szCs w:val="22"/>
              </w:rPr>
              <w:t>safeguards</w:t>
            </w:r>
            <w:r w:rsidR="00371AAC">
              <w:rPr>
                <w:rFonts w:asciiTheme="minorHAnsi" w:hAnsiTheme="minorHAnsi" w:cs="Times New Roman"/>
                <w:sz w:val="22"/>
                <w:szCs w:val="22"/>
              </w:rPr>
              <w:t xml:space="preserve">, which </w:t>
            </w:r>
            <w:r w:rsidR="000C5064" w:rsidRPr="006943D0">
              <w:rPr>
                <w:rFonts w:asciiTheme="minorHAnsi" w:hAnsiTheme="minorHAnsi" w:cs="Times New Roman"/>
                <w:sz w:val="22"/>
                <w:szCs w:val="22"/>
              </w:rPr>
              <w:t xml:space="preserve">would ensure that Borrowers have to dedicate a certain amount of money to </w:t>
            </w:r>
            <w:r w:rsidR="00371AAC">
              <w:rPr>
                <w:rFonts w:asciiTheme="minorHAnsi" w:hAnsiTheme="minorHAnsi" w:cs="Times New Roman"/>
                <w:sz w:val="22"/>
                <w:szCs w:val="22"/>
              </w:rPr>
              <w:t>implementing safeguards</w:t>
            </w:r>
            <w:r w:rsidR="000C5064" w:rsidRPr="006943D0">
              <w:rPr>
                <w:rFonts w:asciiTheme="minorHAnsi" w:hAnsiTheme="minorHAnsi" w:cs="Times New Roman"/>
                <w:sz w:val="22"/>
                <w:szCs w:val="22"/>
              </w:rPr>
              <w:t xml:space="preserve">. </w:t>
            </w:r>
            <w:r w:rsidR="00371AAC">
              <w:rPr>
                <w:rFonts w:asciiTheme="minorHAnsi" w:hAnsiTheme="minorHAnsi" w:cs="Times New Roman"/>
                <w:sz w:val="22"/>
                <w:szCs w:val="22"/>
              </w:rPr>
              <w:t xml:space="preserve">The procurement and safeguards reviews should be better integrated. </w:t>
            </w:r>
            <w:r w:rsidR="000C5064" w:rsidRPr="006943D0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</w:p>
          <w:p w14:paraId="25D51D11" w14:textId="499C0CA1" w:rsidR="006943D0" w:rsidRPr="006943D0" w:rsidRDefault="002D12DF" w:rsidP="00F42741">
            <w:pPr>
              <w:pStyle w:val="ListParagraph"/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line="276" w:lineRule="auto"/>
              <w:ind w:right="40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The proposed </w:t>
            </w:r>
            <w:r w:rsidR="0093459B">
              <w:rPr>
                <w:rFonts w:asciiTheme="minorHAnsi" w:hAnsiTheme="minorHAnsi" w:cs="Times New Roman"/>
                <w:sz w:val="22"/>
                <w:szCs w:val="22"/>
              </w:rPr>
              <w:t>ESF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 s</w:t>
            </w:r>
            <w:r w:rsidR="006943D0" w:rsidRPr="006943D0">
              <w:rPr>
                <w:rFonts w:asciiTheme="minorHAnsi" w:hAnsiTheme="minorHAnsi" w:cs="Times New Roman"/>
                <w:sz w:val="22"/>
                <w:szCs w:val="22"/>
              </w:rPr>
              <w:t xml:space="preserve">hould aim for the best international practice, not </w:t>
            </w:r>
            <w:r w:rsidR="00F42741">
              <w:rPr>
                <w:rFonts w:asciiTheme="minorHAnsi" w:hAnsiTheme="minorHAnsi" w:cs="Times New Roman"/>
                <w:sz w:val="22"/>
                <w:szCs w:val="22"/>
              </w:rPr>
              <w:t>only</w:t>
            </w:r>
            <w:r w:rsidR="006943D0" w:rsidRPr="006943D0">
              <w:rPr>
                <w:rFonts w:asciiTheme="minorHAnsi" w:hAnsiTheme="minorHAnsi" w:cs="Times New Roman"/>
                <w:sz w:val="22"/>
                <w:szCs w:val="22"/>
              </w:rPr>
              <w:t xml:space="preserve"> good practice</w:t>
            </w:r>
            <w:r w:rsidR="008E3F41">
              <w:rPr>
                <w:rFonts w:asciiTheme="minorHAnsi" w:hAnsiTheme="minorHAnsi" w:cs="Times New Roman"/>
                <w:sz w:val="22"/>
                <w:szCs w:val="22"/>
              </w:rPr>
              <w:t xml:space="preserve">. </w:t>
            </w:r>
          </w:p>
          <w:p w14:paraId="2224D3F5" w14:textId="7DDEAB0B" w:rsidR="0028355B" w:rsidRPr="00C6395E" w:rsidRDefault="006939CE" w:rsidP="00C6395E">
            <w:pPr>
              <w:pStyle w:val="ListParagraph"/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line="276" w:lineRule="auto"/>
              <w:ind w:right="40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Clarifications were </w:t>
            </w:r>
            <w:r w:rsidR="00832D7C">
              <w:rPr>
                <w:rFonts w:asciiTheme="minorHAnsi" w:hAnsiTheme="minorHAnsi" w:cs="Times New Roman"/>
                <w:sz w:val="22"/>
                <w:szCs w:val="22"/>
              </w:rPr>
              <w:t xml:space="preserve">proposed on whether projects with small impacts should be exempted from the safeguards. </w:t>
            </w:r>
          </w:p>
        </w:tc>
      </w:tr>
      <w:tr w:rsidR="00A840E8" w:rsidRPr="00E8726F" w14:paraId="0F9AB994" w14:textId="77777777" w:rsidTr="002C093B">
        <w:tblPrEx>
          <w:tblCellMar>
            <w:left w:w="0" w:type="dxa"/>
            <w:right w:w="0" w:type="dxa"/>
          </w:tblCellMar>
        </w:tblPrEx>
        <w:trPr>
          <w:trHeight w:val="70"/>
        </w:trPr>
        <w:tc>
          <w:tcPr>
            <w:tcW w:w="13320" w:type="dxa"/>
            <w:shd w:val="clear" w:color="auto" w:fill="DBE5F1" w:themeFill="accent1" w:themeFillTint="33"/>
          </w:tcPr>
          <w:p w14:paraId="3E850196" w14:textId="77777777" w:rsidR="00A840E8" w:rsidRPr="00E8726F" w:rsidRDefault="008B074D" w:rsidP="00E8726F">
            <w:pPr>
              <w:numPr>
                <w:ilvl w:val="0"/>
                <w:numId w:val="30"/>
              </w:numPr>
              <w:snapToGrid w:val="0"/>
              <w:spacing w:line="276" w:lineRule="auto"/>
              <w:ind w:left="540" w:right="180"/>
              <w:rPr>
                <w:rFonts w:asciiTheme="minorHAnsi" w:eastAsia="Batang" w:hAnsiTheme="minorHAnsi"/>
                <w:b/>
                <w:i/>
                <w:iCs/>
                <w:sz w:val="22"/>
                <w:szCs w:val="22"/>
              </w:rPr>
            </w:pPr>
            <w:r w:rsidRPr="00E8726F">
              <w:rPr>
                <w:rFonts w:asciiTheme="minorHAnsi" w:eastAsia="Batang" w:hAnsiTheme="minorHAnsi"/>
                <w:b/>
                <w:bCs/>
                <w:i/>
                <w:iCs/>
                <w:sz w:val="22"/>
                <w:szCs w:val="22"/>
              </w:rPr>
              <w:t>A Vision for Sustainable Development</w:t>
            </w:r>
          </w:p>
        </w:tc>
      </w:tr>
      <w:tr w:rsidR="002E23E9" w:rsidRPr="00E8726F" w14:paraId="24E20996" w14:textId="77777777" w:rsidTr="008B074D">
        <w:trPr>
          <w:trHeight w:val="395"/>
        </w:trPr>
        <w:tc>
          <w:tcPr>
            <w:tcW w:w="13320" w:type="dxa"/>
            <w:shd w:val="clear" w:color="auto" w:fill="auto"/>
          </w:tcPr>
          <w:p w14:paraId="37ED899E" w14:textId="2ED8C3AE" w:rsidR="00C4401E" w:rsidRPr="00056A66" w:rsidRDefault="00843265" w:rsidP="00A22BFF">
            <w:pPr>
              <w:pStyle w:val="ListParagraph"/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line="276" w:lineRule="auto"/>
              <w:ind w:right="40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lastRenderedPageBreak/>
              <w:t xml:space="preserve">The Voluntary Principles on Security and Human Rights and the United Nations’ Guiding Principles on Business and </w:t>
            </w:r>
            <w:r w:rsidR="00A05DF1">
              <w:rPr>
                <w:rFonts w:asciiTheme="minorHAnsi" w:hAnsiTheme="minorHAnsi" w:cs="Times New Roman"/>
                <w:sz w:val="22"/>
                <w:szCs w:val="22"/>
              </w:rPr>
              <w:t>Human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 Rights should guide the ESF</w:t>
            </w:r>
            <w:r w:rsidR="005507FD">
              <w:rPr>
                <w:rFonts w:asciiTheme="minorHAnsi" w:hAnsiTheme="minorHAnsi" w:cs="Times New Roman"/>
                <w:sz w:val="22"/>
                <w:szCs w:val="22"/>
              </w:rPr>
              <w:t xml:space="preserve"> on the treatment of human rights. </w:t>
            </w:r>
            <w:r w:rsidR="00A22BFF">
              <w:rPr>
                <w:rFonts w:asciiTheme="minorHAnsi" w:hAnsiTheme="minorHAnsi" w:cs="Times New Roman"/>
                <w:sz w:val="22"/>
                <w:szCs w:val="22"/>
              </w:rPr>
              <w:t xml:space="preserve">The World Bank should </w:t>
            </w:r>
            <w:r w:rsidR="00C4401E" w:rsidRPr="00056A66">
              <w:rPr>
                <w:rFonts w:asciiTheme="minorHAnsi" w:hAnsiTheme="minorHAnsi" w:cs="Times New Roman"/>
                <w:sz w:val="22"/>
                <w:szCs w:val="22"/>
              </w:rPr>
              <w:t xml:space="preserve">use its leverage to promote adherence to these principles. </w:t>
            </w:r>
          </w:p>
          <w:p w14:paraId="3DCE0D53" w14:textId="15CDED59" w:rsidR="002E23E9" w:rsidRPr="00E1794A" w:rsidRDefault="00056A66" w:rsidP="00A22BFF">
            <w:pPr>
              <w:pStyle w:val="ListParagraph"/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line="276" w:lineRule="auto"/>
              <w:ind w:right="40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 w:rsidRPr="00056A66">
              <w:rPr>
                <w:rFonts w:asciiTheme="minorHAnsi" w:hAnsiTheme="minorHAnsi" w:cs="Times New Roman"/>
                <w:sz w:val="22"/>
                <w:szCs w:val="22"/>
              </w:rPr>
              <w:t xml:space="preserve">Human rights </w:t>
            </w:r>
            <w:r w:rsidR="00A22BFF">
              <w:rPr>
                <w:rFonts w:asciiTheme="minorHAnsi" w:hAnsiTheme="minorHAnsi" w:cs="Times New Roman"/>
                <w:sz w:val="22"/>
                <w:szCs w:val="22"/>
              </w:rPr>
              <w:t>could</w:t>
            </w:r>
            <w:r w:rsidRPr="00056A66">
              <w:rPr>
                <w:rFonts w:asciiTheme="minorHAnsi" w:hAnsiTheme="minorHAnsi" w:cs="Times New Roman"/>
                <w:sz w:val="22"/>
                <w:szCs w:val="22"/>
              </w:rPr>
              <w:t xml:space="preserve"> be enforced by </w:t>
            </w:r>
            <w:r w:rsidR="00A22BFF">
              <w:rPr>
                <w:rFonts w:asciiTheme="minorHAnsi" w:hAnsiTheme="minorHAnsi" w:cs="Times New Roman"/>
                <w:sz w:val="22"/>
                <w:szCs w:val="22"/>
              </w:rPr>
              <w:t xml:space="preserve">the World Bank by withholding </w:t>
            </w:r>
            <w:r w:rsidRPr="00056A66">
              <w:rPr>
                <w:rFonts w:asciiTheme="minorHAnsi" w:hAnsiTheme="minorHAnsi" w:cs="Times New Roman"/>
                <w:sz w:val="22"/>
                <w:szCs w:val="22"/>
              </w:rPr>
              <w:t xml:space="preserve">money for a project that would violate them. </w:t>
            </w:r>
          </w:p>
        </w:tc>
      </w:tr>
      <w:tr w:rsidR="00941C03" w:rsidRPr="00E8726F" w14:paraId="4134D2AF" w14:textId="77777777" w:rsidTr="002C093B">
        <w:tblPrEx>
          <w:tblCellMar>
            <w:left w:w="0" w:type="dxa"/>
            <w:right w:w="0" w:type="dxa"/>
          </w:tblCellMar>
        </w:tblPrEx>
        <w:trPr>
          <w:trHeight w:val="458"/>
        </w:trPr>
        <w:tc>
          <w:tcPr>
            <w:tcW w:w="13320" w:type="dxa"/>
            <w:shd w:val="clear" w:color="auto" w:fill="DBE5F1" w:themeFill="accent1" w:themeFillTint="33"/>
          </w:tcPr>
          <w:p w14:paraId="0E969091" w14:textId="77777777" w:rsidR="00941C03" w:rsidRPr="00E8726F" w:rsidRDefault="008B074D" w:rsidP="00E8726F">
            <w:pPr>
              <w:numPr>
                <w:ilvl w:val="0"/>
                <w:numId w:val="30"/>
              </w:numPr>
              <w:snapToGrid w:val="0"/>
              <w:spacing w:line="276" w:lineRule="auto"/>
              <w:ind w:left="540" w:right="180"/>
              <w:rPr>
                <w:rFonts w:asciiTheme="minorHAnsi" w:eastAsia="Batang" w:hAnsiTheme="minorHAnsi"/>
                <w:b/>
                <w:bCs/>
                <w:sz w:val="22"/>
                <w:szCs w:val="22"/>
              </w:rPr>
            </w:pPr>
            <w:r w:rsidRPr="00E8726F"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  <w:t>World Bank Environmental and Social Policy</w:t>
            </w:r>
          </w:p>
        </w:tc>
      </w:tr>
      <w:tr w:rsidR="002E23E9" w:rsidRPr="00E8726F" w14:paraId="2216FA8A" w14:textId="77777777" w:rsidTr="008B074D">
        <w:trPr>
          <w:trHeight w:val="422"/>
        </w:trPr>
        <w:tc>
          <w:tcPr>
            <w:tcW w:w="13320" w:type="dxa"/>
            <w:shd w:val="clear" w:color="auto" w:fill="auto"/>
          </w:tcPr>
          <w:p w14:paraId="22834C68" w14:textId="77777777" w:rsidR="002E23E9" w:rsidRPr="00E8726F" w:rsidRDefault="002E23E9" w:rsidP="00E8726F">
            <w:pPr>
              <w:pStyle w:val="ListParagraph"/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line="276" w:lineRule="auto"/>
              <w:ind w:right="40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173E2F" w:rsidRPr="00E8726F" w14:paraId="2D6BC0A5" w14:textId="77777777" w:rsidTr="002C093B">
        <w:tblPrEx>
          <w:tblCellMar>
            <w:left w:w="0" w:type="dxa"/>
            <w:right w:w="0" w:type="dxa"/>
          </w:tblCellMar>
        </w:tblPrEx>
        <w:trPr>
          <w:trHeight w:val="70"/>
        </w:trPr>
        <w:tc>
          <w:tcPr>
            <w:tcW w:w="13320" w:type="dxa"/>
            <w:shd w:val="clear" w:color="auto" w:fill="DBE5F1" w:themeFill="accent1" w:themeFillTint="33"/>
          </w:tcPr>
          <w:p w14:paraId="669641EB" w14:textId="77777777" w:rsidR="00173E2F" w:rsidRPr="00E8726F" w:rsidRDefault="008B074D" w:rsidP="00E8726F">
            <w:pPr>
              <w:numPr>
                <w:ilvl w:val="0"/>
                <w:numId w:val="30"/>
              </w:numPr>
              <w:snapToGrid w:val="0"/>
              <w:spacing w:line="276" w:lineRule="auto"/>
              <w:ind w:left="540" w:right="180"/>
              <w:rPr>
                <w:rFonts w:asciiTheme="minorHAnsi" w:eastAsia="Batang" w:hAnsiTheme="minorHAnsi"/>
                <w:b/>
                <w:bCs/>
                <w:i/>
                <w:iCs/>
                <w:sz w:val="22"/>
                <w:szCs w:val="22"/>
              </w:rPr>
            </w:pPr>
            <w:r w:rsidRPr="00E8726F">
              <w:rPr>
                <w:rFonts w:asciiTheme="minorHAnsi" w:eastAsia="Batang" w:hAnsiTheme="minorHAnsi"/>
                <w:sz w:val="22"/>
                <w:szCs w:val="22"/>
              </w:rPr>
              <w:t xml:space="preserve"> </w:t>
            </w:r>
            <w:r w:rsidRPr="00E8726F">
              <w:rPr>
                <w:rFonts w:asciiTheme="minorHAnsi" w:eastAsia="Batang" w:hAnsiTheme="minorHAnsi"/>
                <w:b/>
                <w:bCs/>
                <w:i/>
                <w:iCs/>
                <w:sz w:val="22"/>
                <w:szCs w:val="22"/>
              </w:rPr>
              <w:t>Environmental and Social Standard 1 (ESS1): Assessment and Management of Environmental and Social Risks and Impacts</w:t>
            </w:r>
          </w:p>
        </w:tc>
      </w:tr>
      <w:tr w:rsidR="002E23E9" w:rsidRPr="00E8726F" w14:paraId="7EF1F45F" w14:textId="77777777" w:rsidTr="008B074D">
        <w:trPr>
          <w:trHeight w:val="413"/>
        </w:trPr>
        <w:tc>
          <w:tcPr>
            <w:tcW w:w="13320" w:type="dxa"/>
            <w:shd w:val="clear" w:color="auto" w:fill="auto"/>
          </w:tcPr>
          <w:p w14:paraId="2437FB75" w14:textId="5C79C02E" w:rsidR="0092331A" w:rsidRDefault="0092331A" w:rsidP="00F34A52">
            <w:pPr>
              <w:pStyle w:val="ListParagraph"/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line="276" w:lineRule="auto"/>
              <w:ind w:right="40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A stakeholder asked for clarifications on the difference between the proposed Commitment Plan and IFC’s Action Plan that is regulated by the Performance Standards. </w:t>
            </w:r>
          </w:p>
          <w:p w14:paraId="56931C87" w14:textId="6A6365F4" w:rsidR="00523381" w:rsidRDefault="009E6A80" w:rsidP="00523381">
            <w:pPr>
              <w:pStyle w:val="ListParagraph"/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line="276" w:lineRule="auto"/>
              <w:ind w:right="40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The proposed increased reliance on Borrower </w:t>
            </w:r>
            <w:r w:rsidR="00C4401E" w:rsidRPr="00F34A52">
              <w:rPr>
                <w:rFonts w:asciiTheme="minorHAnsi" w:hAnsiTheme="minorHAnsi" w:cs="Times New Roman"/>
                <w:sz w:val="22"/>
                <w:szCs w:val="22"/>
              </w:rPr>
              <w:t>systems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 could </w:t>
            </w:r>
            <w:r w:rsidR="00C4401E" w:rsidRPr="00F34A52">
              <w:rPr>
                <w:rFonts w:asciiTheme="minorHAnsi" w:hAnsiTheme="minorHAnsi" w:cs="Times New Roman"/>
                <w:sz w:val="22"/>
                <w:szCs w:val="22"/>
              </w:rPr>
              <w:t xml:space="preserve">increase the likelihood of mistakes and failures, mainly due to 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lack of </w:t>
            </w:r>
            <w:r w:rsidR="00A05DF1" w:rsidRPr="00F34A52">
              <w:rPr>
                <w:rFonts w:asciiTheme="minorHAnsi" w:hAnsiTheme="minorHAnsi" w:cs="Times New Roman"/>
                <w:sz w:val="22"/>
                <w:szCs w:val="22"/>
              </w:rPr>
              <w:t>capacity</w:t>
            </w:r>
            <w:r w:rsidR="00A05DF1">
              <w:rPr>
                <w:rFonts w:asciiTheme="minorHAnsi" w:hAnsiTheme="minorHAnsi" w:cs="Times New Roman"/>
                <w:sz w:val="22"/>
                <w:szCs w:val="22"/>
              </w:rPr>
              <w:t xml:space="preserve"> on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 the side of the Borrowers</w:t>
            </w:r>
            <w:r w:rsidR="00C4401E" w:rsidRPr="00F34A52">
              <w:rPr>
                <w:rFonts w:asciiTheme="minorHAnsi" w:hAnsiTheme="minorHAnsi" w:cs="Times New Roman"/>
                <w:sz w:val="22"/>
                <w:szCs w:val="22"/>
              </w:rPr>
              <w:t xml:space="preserve">. </w:t>
            </w:r>
            <w:r w:rsidR="009441B3">
              <w:rPr>
                <w:rFonts w:asciiTheme="minorHAnsi" w:hAnsiTheme="minorHAnsi" w:cs="Times New Roman"/>
                <w:sz w:val="22"/>
                <w:szCs w:val="22"/>
              </w:rPr>
              <w:t xml:space="preserve">This is why the proposed ESF would need to </w:t>
            </w:r>
            <w:r w:rsidR="00C4401E" w:rsidRPr="009441B3">
              <w:rPr>
                <w:rFonts w:asciiTheme="minorHAnsi" w:hAnsiTheme="minorHAnsi" w:cs="Times New Roman"/>
                <w:sz w:val="22"/>
                <w:szCs w:val="22"/>
              </w:rPr>
              <w:t>be more explicit with regard to requirements for monitoring and</w:t>
            </w:r>
            <w:r w:rsidR="006F1EE3">
              <w:rPr>
                <w:rFonts w:asciiTheme="minorHAnsi" w:hAnsiTheme="minorHAnsi" w:cs="Times New Roman"/>
                <w:sz w:val="22"/>
                <w:szCs w:val="22"/>
              </w:rPr>
              <w:t xml:space="preserve"> consequences of violations. The t</w:t>
            </w:r>
            <w:r w:rsidR="00C4401E" w:rsidRPr="009441B3">
              <w:rPr>
                <w:rFonts w:asciiTheme="minorHAnsi" w:hAnsiTheme="minorHAnsi" w:cs="Times New Roman"/>
                <w:sz w:val="22"/>
                <w:szCs w:val="22"/>
              </w:rPr>
              <w:t xml:space="preserve">ype, frequency of monitoring, </w:t>
            </w:r>
            <w:r w:rsidR="006F1EE3">
              <w:rPr>
                <w:rFonts w:asciiTheme="minorHAnsi" w:hAnsiTheme="minorHAnsi" w:cs="Times New Roman"/>
                <w:sz w:val="22"/>
                <w:szCs w:val="22"/>
              </w:rPr>
              <w:t>and monitoring specialists should be specified clearly</w:t>
            </w:r>
            <w:r w:rsidR="00C4401E" w:rsidRPr="009441B3">
              <w:rPr>
                <w:rFonts w:asciiTheme="minorHAnsi" w:hAnsiTheme="minorHAnsi" w:cs="Times New Roman"/>
                <w:sz w:val="22"/>
                <w:szCs w:val="22"/>
              </w:rPr>
              <w:t xml:space="preserve">. </w:t>
            </w:r>
            <w:r w:rsidR="00523381">
              <w:rPr>
                <w:rFonts w:asciiTheme="minorHAnsi" w:hAnsiTheme="minorHAnsi" w:cs="Times New Roman"/>
                <w:sz w:val="22"/>
                <w:szCs w:val="22"/>
              </w:rPr>
              <w:t xml:space="preserve">For example, it should be clear whether the World Bank would step in if the Borrower’s </w:t>
            </w:r>
            <w:r w:rsidR="00523381" w:rsidRPr="00F34A52">
              <w:rPr>
                <w:rFonts w:asciiTheme="minorHAnsi" w:hAnsiTheme="minorHAnsi" w:cs="Times New Roman"/>
                <w:sz w:val="22"/>
                <w:szCs w:val="22"/>
              </w:rPr>
              <w:t>impact assessment system</w:t>
            </w:r>
            <w:r w:rsidR="00523381">
              <w:rPr>
                <w:rFonts w:asciiTheme="minorHAnsi" w:hAnsiTheme="minorHAnsi" w:cs="Times New Roman"/>
                <w:sz w:val="22"/>
                <w:szCs w:val="22"/>
              </w:rPr>
              <w:t xml:space="preserve"> is considered inadequate and how the Bank would </w:t>
            </w:r>
            <w:r w:rsidR="00523381" w:rsidRPr="00F34A52">
              <w:rPr>
                <w:rFonts w:asciiTheme="minorHAnsi" w:hAnsiTheme="minorHAnsi" w:cs="Times New Roman"/>
                <w:sz w:val="22"/>
                <w:szCs w:val="22"/>
              </w:rPr>
              <w:t xml:space="preserve">ensure that assessment will completed in a way that achieves the outcomes intended by the </w:t>
            </w:r>
            <w:r w:rsidR="00523381">
              <w:rPr>
                <w:rFonts w:asciiTheme="minorHAnsi" w:hAnsiTheme="minorHAnsi" w:cs="Times New Roman"/>
                <w:sz w:val="22"/>
                <w:szCs w:val="22"/>
              </w:rPr>
              <w:t xml:space="preserve">World </w:t>
            </w:r>
            <w:r w:rsidR="00523381" w:rsidRPr="00F34A52">
              <w:rPr>
                <w:rFonts w:asciiTheme="minorHAnsi" w:hAnsiTheme="minorHAnsi" w:cs="Times New Roman"/>
                <w:sz w:val="22"/>
                <w:szCs w:val="22"/>
              </w:rPr>
              <w:t xml:space="preserve">Bank. </w:t>
            </w:r>
          </w:p>
          <w:p w14:paraId="64900019" w14:textId="191BF052" w:rsidR="00A72068" w:rsidRPr="00F34A52" w:rsidRDefault="00A72068" w:rsidP="00523381">
            <w:pPr>
              <w:pStyle w:val="ListParagraph"/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line="276" w:lineRule="auto"/>
              <w:ind w:right="40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In some cases, </w:t>
            </w:r>
            <w:r w:rsidR="00A05DF1">
              <w:rPr>
                <w:rFonts w:asciiTheme="minorHAnsi" w:hAnsiTheme="minorHAnsi" w:cs="Times New Roman"/>
                <w:sz w:val="22"/>
                <w:szCs w:val="22"/>
              </w:rPr>
              <w:t>the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 private sector creates a regulatory framework when th</w:t>
            </w:r>
            <w:r w:rsidR="00271E83">
              <w:rPr>
                <w:rFonts w:asciiTheme="minorHAnsi" w:hAnsiTheme="minorHAnsi" w:cs="Times New Roman"/>
                <w:sz w:val="22"/>
                <w:szCs w:val="22"/>
              </w:rPr>
              <w:t>e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 government does not do so. </w:t>
            </w:r>
            <w:r w:rsidR="00271E83">
              <w:rPr>
                <w:rFonts w:asciiTheme="minorHAnsi" w:hAnsiTheme="minorHAnsi" w:cs="Times New Roman"/>
                <w:sz w:val="22"/>
                <w:szCs w:val="22"/>
              </w:rPr>
              <w:t xml:space="preserve">However, the government is not bound by the </w:t>
            </w:r>
            <w:r w:rsidR="003C50AD">
              <w:rPr>
                <w:rFonts w:asciiTheme="minorHAnsi" w:hAnsiTheme="minorHAnsi" w:cs="Times New Roman"/>
                <w:sz w:val="22"/>
                <w:szCs w:val="22"/>
              </w:rPr>
              <w:t xml:space="preserve">private sector’s </w:t>
            </w:r>
            <w:r w:rsidR="00271E83">
              <w:rPr>
                <w:rFonts w:asciiTheme="minorHAnsi" w:hAnsiTheme="minorHAnsi" w:cs="Times New Roman"/>
                <w:sz w:val="22"/>
                <w:szCs w:val="22"/>
              </w:rPr>
              <w:t>framework</w:t>
            </w:r>
            <w:r w:rsidR="003C50AD">
              <w:rPr>
                <w:rFonts w:asciiTheme="minorHAnsi" w:hAnsiTheme="minorHAnsi" w:cs="Times New Roman"/>
                <w:sz w:val="22"/>
                <w:szCs w:val="22"/>
              </w:rPr>
              <w:t xml:space="preserve">. In those cases the </w:t>
            </w:r>
            <w:r w:rsidR="00271E83">
              <w:rPr>
                <w:rFonts w:asciiTheme="minorHAnsi" w:hAnsiTheme="minorHAnsi" w:cs="Times New Roman"/>
                <w:sz w:val="22"/>
                <w:szCs w:val="22"/>
              </w:rPr>
              <w:t xml:space="preserve">World Bank needs to step in and guarantee good governance. </w:t>
            </w:r>
          </w:p>
          <w:p w14:paraId="19CA3F7A" w14:textId="04FA4DBD" w:rsidR="002E23E9" w:rsidRPr="00271E83" w:rsidRDefault="007462C7" w:rsidP="00271E83">
            <w:pPr>
              <w:pStyle w:val="ListParagraph"/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line="276" w:lineRule="auto"/>
              <w:ind w:right="40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Clarifications were also considered necessary with regard to coordinating several donors involved in one project. </w:t>
            </w:r>
            <w:r w:rsidR="006943D0" w:rsidRPr="00271E83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</w:p>
        </w:tc>
      </w:tr>
      <w:tr w:rsidR="002717AA" w:rsidRPr="00E8726F" w14:paraId="58A437B5" w14:textId="77777777" w:rsidTr="002C093B">
        <w:tblPrEx>
          <w:tblCellMar>
            <w:left w:w="0" w:type="dxa"/>
            <w:right w:w="0" w:type="dxa"/>
          </w:tblCellMar>
        </w:tblPrEx>
        <w:trPr>
          <w:trHeight w:val="70"/>
        </w:trPr>
        <w:tc>
          <w:tcPr>
            <w:tcW w:w="13320" w:type="dxa"/>
            <w:shd w:val="clear" w:color="auto" w:fill="DBE5F1" w:themeFill="accent1" w:themeFillTint="33"/>
          </w:tcPr>
          <w:p w14:paraId="2338E48A" w14:textId="77777777" w:rsidR="002717AA" w:rsidRPr="00E8726F" w:rsidRDefault="008B074D" w:rsidP="00E8726F">
            <w:pPr>
              <w:numPr>
                <w:ilvl w:val="0"/>
                <w:numId w:val="30"/>
              </w:numPr>
              <w:snapToGrid w:val="0"/>
              <w:spacing w:line="276" w:lineRule="auto"/>
              <w:ind w:left="540" w:right="180"/>
              <w:rPr>
                <w:rFonts w:asciiTheme="minorHAnsi" w:eastAsia="Batang" w:hAnsiTheme="minorHAnsi"/>
                <w:sz w:val="22"/>
                <w:szCs w:val="22"/>
              </w:rPr>
            </w:pPr>
            <w:r w:rsidRPr="00E8726F">
              <w:rPr>
                <w:rFonts w:asciiTheme="minorHAnsi" w:eastAsia="Batang" w:hAnsiTheme="minorHAnsi"/>
                <w:b/>
                <w:bCs/>
                <w:i/>
                <w:iCs/>
                <w:sz w:val="22"/>
                <w:szCs w:val="22"/>
              </w:rPr>
              <w:t>Environmental and Social Standard 2 (ESS2): Labor and Working Conditions</w:t>
            </w:r>
          </w:p>
        </w:tc>
      </w:tr>
      <w:tr w:rsidR="002E23E9" w:rsidRPr="00E8726F" w14:paraId="456E654C" w14:textId="77777777" w:rsidTr="008B074D">
        <w:trPr>
          <w:trHeight w:val="395"/>
        </w:trPr>
        <w:tc>
          <w:tcPr>
            <w:tcW w:w="13320" w:type="dxa"/>
            <w:shd w:val="clear" w:color="auto" w:fill="auto"/>
          </w:tcPr>
          <w:p w14:paraId="2EF9EFB9" w14:textId="34A16C39" w:rsidR="002E23E9" w:rsidRPr="00603450" w:rsidRDefault="002E23E9" w:rsidP="00603450">
            <w:pPr>
              <w:pStyle w:val="ListParagraph"/>
              <w:numPr>
                <w:ilvl w:val="0"/>
                <w:numId w:val="42"/>
              </w:numPr>
              <w:suppressAutoHyphens w:val="0"/>
              <w:spacing w:line="276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A7906" w:rsidRPr="00E8726F" w14:paraId="6B0D6563" w14:textId="77777777" w:rsidTr="002C093B">
        <w:tblPrEx>
          <w:tblCellMar>
            <w:left w:w="0" w:type="dxa"/>
            <w:right w:w="0" w:type="dxa"/>
          </w:tblCellMar>
        </w:tblPrEx>
        <w:trPr>
          <w:trHeight w:val="70"/>
        </w:trPr>
        <w:tc>
          <w:tcPr>
            <w:tcW w:w="13320" w:type="dxa"/>
            <w:shd w:val="clear" w:color="auto" w:fill="DBE5F1" w:themeFill="accent1" w:themeFillTint="33"/>
          </w:tcPr>
          <w:p w14:paraId="3730ED53" w14:textId="26D09BF9" w:rsidR="002A7906" w:rsidRPr="00E8726F" w:rsidRDefault="008B074D" w:rsidP="00E8726F">
            <w:pPr>
              <w:numPr>
                <w:ilvl w:val="0"/>
                <w:numId w:val="30"/>
              </w:numPr>
              <w:snapToGrid w:val="0"/>
              <w:spacing w:line="276" w:lineRule="auto"/>
              <w:ind w:left="540" w:right="180"/>
              <w:rPr>
                <w:rFonts w:asciiTheme="minorHAnsi" w:eastAsia="Batang" w:hAnsiTheme="minorHAnsi"/>
                <w:sz w:val="22"/>
                <w:szCs w:val="22"/>
              </w:rPr>
            </w:pPr>
            <w:r w:rsidRPr="00E8726F">
              <w:rPr>
                <w:rFonts w:asciiTheme="minorHAnsi" w:eastAsia="Batang" w:hAnsiTheme="minorHAnsi"/>
                <w:b/>
                <w:bCs/>
                <w:i/>
                <w:iCs/>
                <w:sz w:val="22"/>
                <w:szCs w:val="22"/>
              </w:rPr>
              <w:t xml:space="preserve">Environmental and Social Standard 3 (ESS3): </w:t>
            </w:r>
            <w:r w:rsidR="00A05DF1" w:rsidRPr="00E8726F">
              <w:rPr>
                <w:rFonts w:asciiTheme="minorHAnsi" w:eastAsia="Batang" w:hAnsiTheme="minorHAnsi"/>
                <w:b/>
                <w:bCs/>
                <w:i/>
                <w:iCs/>
                <w:sz w:val="22"/>
                <w:szCs w:val="22"/>
              </w:rPr>
              <w:t>Resource</w:t>
            </w:r>
            <w:r w:rsidRPr="00E8726F">
              <w:rPr>
                <w:rFonts w:asciiTheme="minorHAnsi" w:eastAsia="Batang" w:hAnsiTheme="minorHAnsi"/>
                <w:b/>
                <w:bCs/>
                <w:i/>
                <w:iCs/>
                <w:sz w:val="22"/>
                <w:szCs w:val="22"/>
              </w:rPr>
              <w:t xml:space="preserve"> Efficiency and Pollution Prevention</w:t>
            </w:r>
          </w:p>
        </w:tc>
      </w:tr>
      <w:tr w:rsidR="002E23E9" w:rsidRPr="00E8726F" w14:paraId="5FBC08F4" w14:textId="77777777" w:rsidTr="008B074D">
        <w:trPr>
          <w:trHeight w:val="485"/>
        </w:trPr>
        <w:tc>
          <w:tcPr>
            <w:tcW w:w="13320" w:type="dxa"/>
            <w:shd w:val="clear" w:color="auto" w:fill="auto"/>
          </w:tcPr>
          <w:p w14:paraId="7BF777CE" w14:textId="77777777" w:rsidR="002E23E9" w:rsidRPr="00E8726F" w:rsidRDefault="002E23E9" w:rsidP="00E8726F">
            <w:pPr>
              <w:pStyle w:val="ListParagraph"/>
              <w:numPr>
                <w:ilvl w:val="0"/>
                <w:numId w:val="42"/>
              </w:numPr>
              <w:spacing w:line="276" w:lineRule="auto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594D12" w:rsidRPr="00E8726F" w14:paraId="4880F186" w14:textId="77777777" w:rsidTr="002C093B">
        <w:tblPrEx>
          <w:tblCellMar>
            <w:left w:w="0" w:type="dxa"/>
            <w:right w:w="0" w:type="dxa"/>
          </w:tblCellMar>
        </w:tblPrEx>
        <w:trPr>
          <w:trHeight w:val="70"/>
        </w:trPr>
        <w:tc>
          <w:tcPr>
            <w:tcW w:w="13320" w:type="dxa"/>
            <w:shd w:val="clear" w:color="auto" w:fill="DBE5F1" w:themeFill="accent1" w:themeFillTint="33"/>
          </w:tcPr>
          <w:p w14:paraId="4BB060DE" w14:textId="77777777" w:rsidR="00594D12" w:rsidRPr="00E8726F" w:rsidRDefault="008B074D" w:rsidP="00E8726F">
            <w:pPr>
              <w:numPr>
                <w:ilvl w:val="0"/>
                <w:numId w:val="30"/>
              </w:numPr>
              <w:snapToGrid w:val="0"/>
              <w:spacing w:line="276" w:lineRule="auto"/>
              <w:ind w:left="540" w:right="180"/>
              <w:rPr>
                <w:rFonts w:asciiTheme="minorHAnsi" w:eastAsia="Batang" w:hAnsiTheme="minorHAnsi"/>
                <w:sz w:val="22"/>
                <w:szCs w:val="22"/>
              </w:rPr>
            </w:pPr>
            <w:r w:rsidRPr="00E8726F">
              <w:rPr>
                <w:rFonts w:asciiTheme="minorHAnsi" w:eastAsia="Batang" w:hAnsiTheme="minorHAnsi"/>
                <w:b/>
                <w:bCs/>
                <w:i/>
                <w:iCs/>
                <w:sz w:val="22"/>
                <w:szCs w:val="22"/>
              </w:rPr>
              <w:t>Environmental and Social Standard 4 (ESS4): Community Health and Safety</w:t>
            </w:r>
          </w:p>
        </w:tc>
      </w:tr>
      <w:tr w:rsidR="002E23E9" w:rsidRPr="00E8726F" w14:paraId="49AC16EF" w14:textId="77777777" w:rsidTr="008B074D">
        <w:trPr>
          <w:trHeight w:val="485"/>
        </w:trPr>
        <w:tc>
          <w:tcPr>
            <w:tcW w:w="13320" w:type="dxa"/>
            <w:shd w:val="clear" w:color="auto" w:fill="auto"/>
          </w:tcPr>
          <w:p w14:paraId="15BE8975" w14:textId="77777777" w:rsidR="002E23E9" w:rsidRPr="00E8726F" w:rsidRDefault="002E23E9" w:rsidP="00E8726F">
            <w:pPr>
              <w:pStyle w:val="ListParagraph"/>
              <w:numPr>
                <w:ilvl w:val="0"/>
                <w:numId w:val="42"/>
              </w:numPr>
              <w:spacing w:line="276" w:lineRule="auto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A21FB6" w:rsidRPr="00E8726F" w14:paraId="0376D2EB" w14:textId="77777777" w:rsidTr="002C093B">
        <w:tblPrEx>
          <w:tblCellMar>
            <w:left w:w="0" w:type="dxa"/>
            <w:right w:w="0" w:type="dxa"/>
          </w:tblCellMar>
        </w:tblPrEx>
        <w:trPr>
          <w:trHeight w:val="70"/>
        </w:trPr>
        <w:tc>
          <w:tcPr>
            <w:tcW w:w="13320" w:type="dxa"/>
            <w:shd w:val="clear" w:color="auto" w:fill="DBE5F1" w:themeFill="accent1" w:themeFillTint="33"/>
          </w:tcPr>
          <w:p w14:paraId="69F8A8F6" w14:textId="77777777" w:rsidR="00A21FB6" w:rsidRPr="00E8726F" w:rsidRDefault="008B074D" w:rsidP="00E8726F">
            <w:pPr>
              <w:numPr>
                <w:ilvl w:val="0"/>
                <w:numId w:val="30"/>
              </w:numPr>
              <w:snapToGrid w:val="0"/>
              <w:spacing w:line="276" w:lineRule="auto"/>
              <w:ind w:left="540"/>
              <w:rPr>
                <w:rFonts w:asciiTheme="minorHAnsi" w:eastAsia="Batang" w:hAnsiTheme="minorHAnsi"/>
                <w:sz w:val="22"/>
                <w:szCs w:val="22"/>
              </w:rPr>
            </w:pPr>
            <w:r w:rsidRPr="00E8726F">
              <w:rPr>
                <w:rFonts w:asciiTheme="minorHAnsi" w:eastAsia="Batang" w:hAnsiTheme="minorHAnsi"/>
                <w:b/>
                <w:bCs/>
                <w:i/>
                <w:iCs/>
                <w:sz w:val="22"/>
                <w:szCs w:val="22"/>
              </w:rPr>
              <w:t>Environmental and Social Standard 5 (ESS5): Land Acquisition, Restriction on Land Use and Involuntary Resettlement</w:t>
            </w:r>
          </w:p>
        </w:tc>
      </w:tr>
      <w:tr w:rsidR="002E23E9" w:rsidRPr="00E8726F" w14:paraId="351C97BC" w14:textId="77777777" w:rsidTr="008B074D">
        <w:trPr>
          <w:trHeight w:val="350"/>
        </w:trPr>
        <w:tc>
          <w:tcPr>
            <w:tcW w:w="13320" w:type="dxa"/>
            <w:shd w:val="clear" w:color="auto" w:fill="auto"/>
          </w:tcPr>
          <w:p w14:paraId="008623EB" w14:textId="3155CDD3" w:rsidR="002E23E9" w:rsidRPr="00603450" w:rsidRDefault="002E23E9" w:rsidP="00603450">
            <w:pPr>
              <w:pStyle w:val="ListParagraph"/>
              <w:numPr>
                <w:ilvl w:val="0"/>
                <w:numId w:val="42"/>
              </w:numPr>
              <w:suppressAutoHyphens w:val="0"/>
              <w:spacing w:line="276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E23E9" w:rsidRPr="00E8726F" w14:paraId="03920985" w14:textId="77777777" w:rsidTr="0028355B">
        <w:trPr>
          <w:trHeight w:val="395"/>
        </w:trPr>
        <w:tc>
          <w:tcPr>
            <w:tcW w:w="1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24F5C4F7" w14:textId="77777777" w:rsidR="002E23E9" w:rsidRPr="00E8726F" w:rsidRDefault="008B074D" w:rsidP="00E8726F">
            <w:pPr>
              <w:numPr>
                <w:ilvl w:val="0"/>
                <w:numId w:val="30"/>
              </w:numPr>
              <w:snapToGrid w:val="0"/>
              <w:spacing w:line="276" w:lineRule="auto"/>
              <w:ind w:left="432"/>
              <w:rPr>
                <w:rFonts w:asciiTheme="minorHAnsi" w:eastAsia="Batang" w:hAnsiTheme="minorHAnsi"/>
                <w:b/>
                <w:sz w:val="22"/>
                <w:szCs w:val="22"/>
              </w:rPr>
            </w:pPr>
            <w:r w:rsidRPr="00E8726F">
              <w:rPr>
                <w:rFonts w:asciiTheme="minorHAnsi" w:eastAsia="Batang" w:hAnsiTheme="minorHAnsi"/>
                <w:b/>
                <w:bCs/>
                <w:i/>
                <w:iCs/>
                <w:sz w:val="22"/>
                <w:szCs w:val="22"/>
              </w:rPr>
              <w:t xml:space="preserve">Environmental and Social Standard 6 (ESS6): </w:t>
            </w:r>
            <w:r w:rsidR="0028355B" w:rsidRPr="00E8726F">
              <w:rPr>
                <w:rFonts w:asciiTheme="minorHAnsi" w:eastAsia="Batang" w:hAnsiTheme="minorHAnsi"/>
                <w:b/>
                <w:bCs/>
                <w:i/>
                <w:iCs/>
                <w:sz w:val="22"/>
                <w:szCs w:val="22"/>
              </w:rPr>
              <w:t>Biodiversity Conservation and Sustainable Management of Living Natural Resources</w:t>
            </w:r>
          </w:p>
        </w:tc>
      </w:tr>
      <w:tr w:rsidR="002E23E9" w:rsidRPr="00E8726F" w14:paraId="21D9AB43" w14:textId="77777777" w:rsidTr="0028355B">
        <w:trPr>
          <w:trHeight w:val="530"/>
        </w:trPr>
        <w:tc>
          <w:tcPr>
            <w:tcW w:w="1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83DD9E" w14:textId="4BD4A60B" w:rsidR="002E23E9" w:rsidRPr="00603450" w:rsidRDefault="002E23E9" w:rsidP="00603450">
            <w:pPr>
              <w:pStyle w:val="ListParagraph"/>
              <w:numPr>
                <w:ilvl w:val="0"/>
                <w:numId w:val="42"/>
              </w:numPr>
              <w:suppressAutoHyphens w:val="0"/>
              <w:spacing w:line="276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E23E9" w:rsidRPr="00E8726F" w14:paraId="325BF4BA" w14:textId="77777777" w:rsidTr="0028355B">
        <w:trPr>
          <w:trHeight w:val="440"/>
        </w:trPr>
        <w:tc>
          <w:tcPr>
            <w:tcW w:w="1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368BF5A8" w14:textId="77777777" w:rsidR="002E23E9" w:rsidRPr="00E8726F" w:rsidRDefault="0028355B" w:rsidP="00E8726F">
            <w:pPr>
              <w:numPr>
                <w:ilvl w:val="0"/>
                <w:numId w:val="30"/>
              </w:numPr>
              <w:snapToGrid w:val="0"/>
              <w:spacing w:line="276" w:lineRule="auto"/>
              <w:ind w:left="432"/>
              <w:rPr>
                <w:rFonts w:asciiTheme="minorHAnsi" w:hAnsiTheme="minorHAnsi"/>
                <w:sz w:val="22"/>
                <w:szCs w:val="22"/>
              </w:rPr>
            </w:pPr>
            <w:r w:rsidRPr="00E8726F">
              <w:rPr>
                <w:rFonts w:asciiTheme="minorHAnsi" w:eastAsia="Batang" w:hAnsiTheme="minorHAnsi"/>
                <w:b/>
                <w:bCs/>
                <w:i/>
                <w:iCs/>
                <w:sz w:val="22"/>
                <w:szCs w:val="22"/>
              </w:rPr>
              <w:t xml:space="preserve">Environmental and Social Standard 7 (ESS7): Indigenous Peoples </w:t>
            </w:r>
          </w:p>
        </w:tc>
      </w:tr>
      <w:tr w:rsidR="002E23E9" w:rsidRPr="00E8726F" w14:paraId="7CFF3EF6" w14:textId="77777777" w:rsidTr="0028355B">
        <w:trPr>
          <w:trHeight w:val="440"/>
        </w:trPr>
        <w:tc>
          <w:tcPr>
            <w:tcW w:w="1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0F46AB" w14:textId="724A1D77" w:rsidR="000C5064" w:rsidRDefault="00B00508" w:rsidP="000C5064">
            <w:pPr>
              <w:pStyle w:val="ListParagraph"/>
              <w:numPr>
                <w:ilvl w:val="0"/>
                <w:numId w:val="42"/>
              </w:numPr>
              <w:suppressAutoHyphens w:val="0"/>
              <w:spacing w:line="276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 suggestion was made that Indigenous Peoples leadership should be considered governments—such as provision would go beyond the </w:t>
            </w:r>
            <w:r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IFC’s Performance Standards. </w:t>
            </w:r>
          </w:p>
          <w:p w14:paraId="2C96E0D7" w14:textId="28F83983" w:rsidR="002B0F8C" w:rsidRDefault="002B0F8C" w:rsidP="00603450">
            <w:pPr>
              <w:pStyle w:val="ListParagraph"/>
              <w:numPr>
                <w:ilvl w:val="0"/>
                <w:numId w:val="42"/>
              </w:numPr>
              <w:suppressAutoHyphens w:val="0"/>
              <w:spacing w:line="276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While the expansion of the Indigenous Peoples policy was welcomed, it was pointed out that nomadic tribes are not covered. </w:t>
            </w:r>
          </w:p>
          <w:p w14:paraId="2A82392F" w14:textId="1EAA3AFB" w:rsidR="00740F46" w:rsidRDefault="004C456F" w:rsidP="00603450">
            <w:pPr>
              <w:pStyle w:val="ListParagraph"/>
              <w:numPr>
                <w:ilvl w:val="0"/>
                <w:numId w:val="42"/>
              </w:numPr>
              <w:suppressAutoHyphens w:val="0"/>
              <w:spacing w:line="276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There should be situations in which the World Bank can define a group as indigenous to ensure that the government provides special protections. </w:t>
            </w:r>
          </w:p>
          <w:p w14:paraId="0CC858B1" w14:textId="79A8C752" w:rsidR="002E23E9" w:rsidRPr="00603450" w:rsidRDefault="003A4952" w:rsidP="003A4952">
            <w:pPr>
              <w:pStyle w:val="ListParagraph"/>
              <w:numPr>
                <w:ilvl w:val="0"/>
                <w:numId w:val="42"/>
              </w:numPr>
              <w:suppressAutoHyphens w:val="0"/>
              <w:spacing w:line="276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The lack of harmonization between Indigenous Peoples provisions for the </w:t>
            </w:r>
            <w:r w:rsidR="00A05DF1">
              <w:rPr>
                <w:rFonts w:asciiTheme="minorHAnsi" w:hAnsiTheme="minorHAnsi"/>
                <w:sz w:val="22"/>
                <w:szCs w:val="22"/>
              </w:rPr>
              <w:t>private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sector and for governments pose problems for companies. The World Bank should </w:t>
            </w:r>
            <w:r w:rsidR="006943D0" w:rsidRPr="00603450">
              <w:rPr>
                <w:rFonts w:asciiTheme="minorHAnsi" w:hAnsiTheme="minorHAnsi"/>
                <w:sz w:val="22"/>
                <w:szCs w:val="22"/>
              </w:rPr>
              <w:t xml:space="preserve">exercise leverage to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harmonize government and private sector approaches. </w:t>
            </w:r>
          </w:p>
        </w:tc>
      </w:tr>
      <w:tr w:rsidR="0028355B" w:rsidRPr="00E8726F" w14:paraId="38D45A07" w14:textId="77777777" w:rsidTr="00A75177">
        <w:trPr>
          <w:trHeight w:val="440"/>
        </w:trPr>
        <w:tc>
          <w:tcPr>
            <w:tcW w:w="1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671F5A34" w14:textId="77777777" w:rsidR="0028355B" w:rsidRPr="00E8726F" w:rsidRDefault="0028355B" w:rsidP="00E8726F">
            <w:pPr>
              <w:numPr>
                <w:ilvl w:val="0"/>
                <w:numId w:val="30"/>
              </w:numPr>
              <w:snapToGrid w:val="0"/>
              <w:spacing w:line="276" w:lineRule="auto"/>
              <w:ind w:left="432"/>
              <w:rPr>
                <w:rFonts w:asciiTheme="minorHAnsi" w:hAnsiTheme="minorHAnsi"/>
                <w:sz w:val="22"/>
                <w:szCs w:val="22"/>
              </w:rPr>
            </w:pPr>
            <w:r w:rsidRPr="00E8726F">
              <w:rPr>
                <w:rFonts w:asciiTheme="minorHAnsi" w:eastAsia="Batang" w:hAnsiTheme="minorHAnsi"/>
                <w:b/>
                <w:bCs/>
                <w:i/>
                <w:iCs/>
                <w:sz w:val="22"/>
                <w:szCs w:val="22"/>
              </w:rPr>
              <w:lastRenderedPageBreak/>
              <w:t xml:space="preserve">Environmental and Social Standard 8 (ESS8): Cultural Heritage </w:t>
            </w:r>
          </w:p>
        </w:tc>
      </w:tr>
      <w:tr w:rsidR="0028355B" w:rsidRPr="00E8726F" w14:paraId="0933E7E4" w14:textId="77777777" w:rsidTr="0028355B">
        <w:trPr>
          <w:trHeight w:val="440"/>
        </w:trPr>
        <w:tc>
          <w:tcPr>
            <w:tcW w:w="1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8E8FEA" w14:textId="77777777" w:rsidR="0028355B" w:rsidRPr="00E8726F" w:rsidRDefault="0028355B" w:rsidP="00E8726F">
            <w:pPr>
              <w:pStyle w:val="ListParagraph"/>
              <w:numPr>
                <w:ilvl w:val="0"/>
                <w:numId w:val="42"/>
              </w:numPr>
              <w:spacing w:line="276" w:lineRule="auto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28355B" w:rsidRPr="00E8726F" w14:paraId="55195E9A" w14:textId="77777777" w:rsidTr="00A75177">
        <w:trPr>
          <w:trHeight w:val="440"/>
        </w:trPr>
        <w:tc>
          <w:tcPr>
            <w:tcW w:w="1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2753CE2D" w14:textId="77777777" w:rsidR="0028355B" w:rsidRPr="00E8726F" w:rsidRDefault="0028355B" w:rsidP="00E8726F">
            <w:pPr>
              <w:numPr>
                <w:ilvl w:val="0"/>
                <w:numId w:val="30"/>
              </w:numPr>
              <w:snapToGrid w:val="0"/>
              <w:spacing w:line="276" w:lineRule="auto"/>
              <w:ind w:left="432"/>
              <w:rPr>
                <w:rFonts w:asciiTheme="minorHAnsi" w:hAnsiTheme="minorHAnsi"/>
                <w:sz w:val="22"/>
                <w:szCs w:val="22"/>
              </w:rPr>
            </w:pPr>
            <w:r w:rsidRPr="00E8726F">
              <w:rPr>
                <w:rFonts w:asciiTheme="minorHAnsi" w:eastAsia="Batang" w:hAnsiTheme="minorHAnsi"/>
                <w:b/>
                <w:bCs/>
                <w:i/>
                <w:iCs/>
                <w:sz w:val="22"/>
                <w:szCs w:val="22"/>
              </w:rPr>
              <w:t xml:space="preserve">Environmental and Social Standard 9 (ESS9): Financial Intermediaries </w:t>
            </w:r>
          </w:p>
        </w:tc>
      </w:tr>
      <w:tr w:rsidR="0028355B" w:rsidRPr="00E8726F" w14:paraId="79BF774D" w14:textId="77777777" w:rsidTr="0028355B">
        <w:trPr>
          <w:trHeight w:val="530"/>
        </w:trPr>
        <w:tc>
          <w:tcPr>
            <w:tcW w:w="1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4F1402" w14:textId="77777777" w:rsidR="0028355B" w:rsidRPr="00E8726F" w:rsidRDefault="0028355B" w:rsidP="00E8726F">
            <w:pPr>
              <w:pStyle w:val="ListParagraph"/>
              <w:numPr>
                <w:ilvl w:val="0"/>
                <w:numId w:val="42"/>
              </w:numPr>
              <w:spacing w:line="276" w:lineRule="auto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28355B" w:rsidRPr="00E8726F" w14:paraId="50BD9722" w14:textId="77777777" w:rsidTr="00A75177">
        <w:trPr>
          <w:trHeight w:val="440"/>
        </w:trPr>
        <w:tc>
          <w:tcPr>
            <w:tcW w:w="1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4150B85D" w14:textId="77777777" w:rsidR="0028355B" w:rsidRPr="00E8726F" w:rsidRDefault="0028355B" w:rsidP="00E8726F">
            <w:pPr>
              <w:numPr>
                <w:ilvl w:val="0"/>
                <w:numId w:val="30"/>
              </w:numPr>
              <w:snapToGrid w:val="0"/>
              <w:spacing w:line="276" w:lineRule="auto"/>
              <w:ind w:left="432"/>
              <w:rPr>
                <w:rFonts w:asciiTheme="minorHAnsi" w:hAnsiTheme="minorHAnsi"/>
                <w:sz w:val="22"/>
                <w:szCs w:val="22"/>
              </w:rPr>
            </w:pPr>
            <w:r w:rsidRPr="00E8726F">
              <w:rPr>
                <w:rFonts w:asciiTheme="minorHAnsi" w:eastAsia="Batang" w:hAnsiTheme="minorHAnsi"/>
                <w:b/>
                <w:bCs/>
                <w:i/>
                <w:iCs/>
                <w:sz w:val="22"/>
                <w:szCs w:val="22"/>
              </w:rPr>
              <w:t xml:space="preserve">Environmental and Social Standard 10 (ESS10): Information Disclosure and Stakeholder Engagement </w:t>
            </w:r>
          </w:p>
        </w:tc>
      </w:tr>
      <w:tr w:rsidR="0028355B" w:rsidRPr="00E8726F" w14:paraId="22E9AACF" w14:textId="77777777" w:rsidTr="0028355B">
        <w:trPr>
          <w:trHeight w:val="440"/>
        </w:trPr>
        <w:tc>
          <w:tcPr>
            <w:tcW w:w="1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5BDAE8" w14:textId="77777777" w:rsidR="0028355B" w:rsidRPr="00E8726F" w:rsidRDefault="0028355B" w:rsidP="00E8726F">
            <w:pPr>
              <w:pStyle w:val="ListParagraph"/>
              <w:numPr>
                <w:ilvl w:val="0"/>
                <w:numId w:val="42"/>
              </w:numPr>
              <w:spacing w:line="276" w:lineRule="auto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</w:tbl>
    <w:p w14:paraId="794A8756" w14:textId="77777777" w:rsidR="0041268A" w:rsidRPr="00E8726F" w:rsidRDefault="0041268A" w:rsidP="00E8726F">
      <w:pPr>
        <w:spacing w:line="276" w:lineRule="auto"/>
        <w:rPr>
          <w:rFonts w:asciiTheme="minorHAnsi" w:hAnsiTheme="minorHAnsi"/>
          <w:sz w:val="22"/>
          <w:szCs w:val="22"/>
        </w:rPr>
      </w:pPr>
    </w:p>
    <w:sectPr w:rsidR="0041268A" w:rsidRPr="00E8726F" w:rsidSect="00150B6C">
      <w:footerReference w:type="even" r:id="rId12"/>
      <w:footerReference w:type="default" r:id="rId13"/>
      <w:pgSz w:w="15840" w:h="12240" w:orient="landscape"/>
      <w:pgMar w:top="90" w:right="1418" w:bottom="360" w:left="1134" w:header="720" w:footer="375" w:gutter="0"/>
      <w:cols w:space="720"/>
      <w:docGrid w:linePitch="326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270B96" w14:textId="77777777" w:rsidR="002D12DF" w:rsidRDefault="002D12DF">
      <w:pPr>
        <w:spacing w:after="0" w:line="240" w:lineRule="auto"/>
      </w:pPr>
      <w:r>
        <w:separator/>
      </w:r>
    </w:p>
  </w:endnote>
  <w:endnote w:type="continuationSeparator" w:id="0">
    <w:p w14:paraId="51F2064E" w14:textId="77777777" w:rsidR="002D12DF" w:rsidRDefault="002D1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BA27D2" w14:textId="77777777" w:rsidR="002D12DF" w:rsidRDefault="002D12DF">
    <w:pPr>
      <w:pStyle w:val="Foo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14:paraId="15965FFC" w14:textId="77777777" w:rsidR="002D12DF" w:rsidRDefault="002D12D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1106821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  <w:sz w:val="20"/>
        <w:szCs w:val="20"/>
      </w:rPr>
    </w:sdtEndPr>
    <w:sdtContent>
      <w:p w14:paraId="52FE4151" w14:textId="77777777" w:rsidR="002D12DF" w:rsidRPr="00150B6C" w:rsidRDefault="002D12DF">
        <w:pPr>
          <w:pStyle w:val="Footer"/>
          <w:jc w:val="center"/>
          <w:rPr>
            <w:rFonts w:asciiTheme="minorHAnsi" w:hAnsiTheme="minorHAnsi"/>
            <w:sz w:val="20"/>
            <w:szCs w:val="20"/>
          </w:rPr>
        </w:pPr>
        <w:r w:rsidRPr="00150B6C">
          <w:rPr>
            <w:rFonts w:asciiTheme="minorHAnsi" w:hAnsiTheme="minorHAnsi"/>
            <w:sz w:val="20"/>
            <w:szCs w:val="20"/>
          </w:rPr>
          <w:fldChar w:fldCharType="begin"/>
        </w:r>
        <w:r w:rsidRPr="00150B6C">
          <w:rPr>
            <w:rFonts w:asciiTheme="minorHAnsi" w:hAnsiTheme="minorHAnsi"/>
            <w:sz w:val="20"/>
            <w:szCs w:val="20"/>
          </w:rPr>
          <w:instrText xml:space="preserve"> PAGE   \* MERGEFORMAT </w:instrText>
        </w:r>
        <w:r w:rsidRPr="00150B6C">
          <w:rPr>
            <w:rFonts w:asciiTheme="minorHAnsi" w:hAnsiTheme="minorHAnsi"/>
            <w:sz w:val="20"/>
            <w:szCs w:val="20"/>
          </w:rPr>
          <w:fldChar w:fldCharType="separate"/>
        </w:r>
        <w:r w:rsidR="00A05DF1">
          <w:rPr>
            <w:rFonts w:asciiTheme="minorHAnsi" w:hAnsiTheme="minorHAnsi"/>
            <w:noProof/>
            <w:sz w:val="20"/>
            <w:szCs w:val="20"/>
          </w:rPr>
          <w:t>2</w:t>
        </w:r>
        <w:r w:rsidRPr="00150B6C">
          <w:rPr>
            <w:rFonts w:asciiTheme="minorHAnsi" w:hAnsiTheme="minorHAnsi"/>
            <w:noProof/>
            <w:sz w:val="20"/>
            <w:szCs w:val="20"/>
          </w:rPr>
          <w:fldChar w:fldCharType="end"/>
        </w:r>
      </w:p>
    </w:sdtContent>
  </w:sdt>
  <w:p w14:paraId="7F1C965D" w14:textId="77777777" w:rsidR="002D12DF" w:rsidRDefault="002D12D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39B1E" w14:textId="77777777" w:rsidR="002D12DF" w:rsidRDefault="002D12DF">
      <w:pPr>
        <w:spacing w:after="0" w:line="240" w:lineRule="auto"/>
      </w:pPr>
      <w:r>
        <w:separator/>
      </w:r>
    </w:p>
  </w:footnote>
  <w:footnote w:type="continuationSeparator" w:id="0">
    <w:p w14:paraId="76CB0E8E" w14:textId="77777777" w:rsidR="002D12DF" w:rsidRDefault="002D12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3132353"/>
    <w:multiLevelType w:val="hybridMultilevel"/>
    <w:tmpl w:val="AF2CD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AF0E93"/>
    <w:multiLevelType w:val="hybridMultilevel"/>
    <w:tmpl w:val="BBD6BBC0"/>
    <w:lvl w:ilvl="0" w:tplc="5290E2D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A42B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DBE0E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A22DA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08F3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6247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40028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E040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28E6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A54324"/>
    <w:multiLevelType w:val="hybridMultilevel"/>
    <w:tmpl w:val="03F2A1C8"/>
    <w:lvl w:ilvl="0" w:tplc="16B43E7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5400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B98B1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79841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3621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12B1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D482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D4BD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7BCC4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3A1F8F"/>
    <w:multiLevelType w:val="hybridMultilevel"/>
    <w:tmpl w:val="1A80F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6207D9"/>
    <w:multiLevelType w:val="hybridMultilevel"/>
    <w:tmpl w:val="BF3AC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8B7031"/>
    <w:multiLevelType w:val="hybridMultilevel"/>
    <w:tmpl w:val="FEF49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FD603C"/>
    <w:multiLevelType w:val="hybridMultilevel"/>
    <w:tmpl w:val="44ACF2D0"/>
    <w:lvl w:ilvl="0" w:tplc="94AC307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B455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80F8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6785F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6EBA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29E18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3E817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F4F9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2E48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242206D"/>
    <w:multiLevelType w:val="hybridMultilevel"/>
    <w:tmpl w:val="346C8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9A3BA0"/>
    <w:multiLevelType w:val="hybridMultilevel"/>
    <w:tmpl w:val="563A4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CD6B21"/>
    <w:multiLevelType w:val="hybridMultilevel"/>
    <w:tmpl w:val="7646F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172FF5"/>
    <w:multiLevelType w:val="hybridMultilevel"/>
    <w:tmpl w:val="2472A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2E7D15"/>
    <w:multiLevelType w:val="hybridMultilevel"/>
    <w:tmpl w:val="CCC41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203A71"/>
    <w:multiLevelType w:val="hybridMultilevel"/>
    <w:tmpl w:val="7A5EF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1E46A3"/>
    <w:multiLevelType w:val="hybridMultilevel"/>
    <w:tmpl w:val="975C2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3A1334"/>
    <w:multiLevelType w:val="hybridMultilevel"/>
    <w:tmpl w:val="D81A2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4579CC"/>
    <w:multiLevelType w:val="hybridMultilevel"/>
    <w:tmpl w:val="B860DBE0"/>
    <w:lvl w:ilvl="0" w:tplc="A6DE164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1B047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77051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88E23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B469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7801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FA0B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EE7F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29898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1356BDB"/>
    <w:multiLevelType w:val="hybridMultilevel"/>
    <w:tmpl w:val="37C60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A77F5A"/>
    <w:multiLevelType w:val="hybridMultilevel"/>
    <w:tmpl w:val="EA045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D512AE"/>
    <w:multiLevelType w:val="hybridMultilevel"/>
    <w:tmpl w:val="B58A0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2B5161"/>
    <w:multiLevelType w:val="hybridMultilevel"/>
    <w:tmpl w:val="92623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CC5FAA"/>
    <w:multiLevelType w:val="hybridMultilevel"/>
    <w:tmpl w:val="2A2C5722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2">
    <w:nsid w:val="4471533B"/>
    <w:multiLevelType w:val="hybridMultilevel"/>
    <w:tmpl w:val="72746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4065DC"/>
    <w:multiLevelType w:val="hybridMultilevel"/>
    <w:tmpl w:val="5B6492E2"/>
    <w:lvl w:ilvl="0" w:tplc="CB005D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644A99"/>
    <w:multiLevelType w:val="hybridMultilevel"/>
    <w:tmpl w:val="418266C6"/>
    <w:lvl w:ilvl="0" w:tplc="34E80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CA414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3FC1E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8328A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4C82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866F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74206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7E88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5013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D8B054E"/>
    <w:multiLevelType w:val="hybridMultilevel"/>
    <w:tmpl w:val="5FDC0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6D7653"/>
    <w:multiLevelType w:val="hybridMultilevel"/>
    <w:tmpl w:val="5AA85096"/>
    <w:lvl w:ilvl="0" w:tplc="EA2C4B1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C049F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82628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FD2FB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2C09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E0CF6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76B1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F4B5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A27A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E6E2120"/>
    <w:multiLevelType w:val="hybridMultilevel"/>
    <w:tmpl w:val="7DE66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3022B9"/>
    <w:multiLevelType w:val="hybridMultilevel"/>
    <w:tmpl w:val="FD10FFF2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16EA5720">
      <w:start w:val="1"/>
      <w:numFmt w:val="bullet"/>
      <w:lvlText w:val="-"/>
      <w:lvlJc w:val="left"/>
      <w:pPr>
        <w:ind w:left="1480" w:hanging="360"/>
      </w:pPr>
      <w:rPr>
        <w:rFonts w:ascii="Arial" w:eastAsiaTheme="minorHAnsi" w:hAnsi="Arial" w:cs="Symbol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9">
    <w:nsid w:val="529A2FB8"/>
    <w:multiLevelType w:val="hybridMultilevel"/>
    <w:tmpl w:val="1F38F56E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0">
    <w:nsid w:val="53FA5241"/>
    <w:multiLevelType w:val="hybridMultilevel"/>
    <w:tmpl w:val="C25A7C06"/>
    <w:lvl w:ilvl="0" w:tplc="7CDC7E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12CD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B3A5F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100E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B2D1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52853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5002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08C7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DC96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DE27AAB"/>
    <w:multiLevelType w:val="hybridMultilevel"/>
    <w:tmpl w:val="A620B102"/>
    <w:lvl w:ilvl="0" w:tplc="1FB4BD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D0664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C7801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3232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5411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1CC0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8E2CC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EE8B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94B3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E6043C2"/>
    <w:multiLevelType w:val="hybridMultilevel"/>
    <w:tmpl w:val="371EEE94"/>
    <w:lvl w:ilvl="0" w:tplc="38BE24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A281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3C8C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F5430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FA4A1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6D04C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4F46F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68EA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F801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0A61761"/>
    <w:multiLevelType w:val="hybridMultilevel"/>
    <w:tmpl w:val="C85E7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E71210"/>
    <w:multiLevelType w:val="hybridMultilevel"/>
    <w:tmpl w:val="77543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B51018"/>
    <w:multiLevelType w:val="hybridMultilevel"/>
    <w:tmpl w:val="43987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D4065E"/>
    <w:multiLevelType w:val="hybridMultilevel"/>
    <w:tmpl w:val="C10C9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4E51DA"/>
    <w:multiLevelType w:val="hybridMultilevel"/>
    <w:tmpl w:val="AD5E6B46"/>
    <w:lvl w:ilvl="0" w:tplc="BD5856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2826A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C28A5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06660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46D7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824D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2CA59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664C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E06C7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C50753E"/>
    <w:multiLevelType w:val="hybridMultilevel"/>
    <w:tmpl w:val="E090B5A6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9">
    <w:nsid w:val="6F9A2835"/>
    <w:multiLevelType w:val="hybridMultilevel"/>
    <w:tmpl w:val="6ADAA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481A15"/>
    <w:multiLevelType w:val="hybridMultilevel"/>
    <w:tmpl w:val="11068E2A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1">
    <w:nsid w:val="746056BF"/>
    <w:multiLevelType w:val="hybridMultilevel"/>
    <w:tmpl w:val="57886D06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2">
    <w:nsid w:val="77C04E98"/>
    <w:multiLevelType w:val="hybridMultilevel"/>
    <w:tmpl w:val="A7CCC612"/>
    <w:lvl w:ilvl="0" w:tplc="B75E4612">
      <w:start w:val="7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8E397F"/>
    <w:multiLevelType w:val="hybridMultilevel"/>
    <w:tmpl w:val="B8A29B16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4">
    <w:nsid w:val="7C116600"/>
    <w:multiLevelType w:val="hybridMultilevel"/>
    <w:tmpl w:val="00CAB6F6"/>
    <w:lvl w:ilvl="0" w:tplc="10A84C9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D4637E"/>
    <w:multiLevelType w:val="hybridMultilevel"/>
    <w:tmpl w:val="05D2C876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8"/>
  </w:num>
  <w:num w:numId="3">
    <w:abstractNumId w:val="41"/>
  </w:num>
  <w:num w:numId="4">
    <w:abstractNumId w:val="29"/>
  </w:num>
  <w:num w:numId="5">
    <w:abstractNumId w:val="21"/>
  </w:num>
  <w:num w:numId="6">
    <w:abstractNumId w:val="38"/>
  </w:num>
  <w:num w:numId="7">
    <w:abstractNumId w:val="43"/>
  </w:num>
  <w:num w:numId="8">
    <w:abstractNumId w:val="45"/>
  </w:num>
  <w:num w:numId="9">
    <w:abstractNumId w:val="40"/>
  </w:num>
  <w:num w:numId="10">
    <w:abstractNumId w:val="13"/>
  </w:num>
  <w:num w:numId="11">
    <w:abstractNumId w:val="4"/>
  </w:num>
  <w:num w:numId="12">
    <w:abstractNumId w:val="11"/>
  </w:num>
  <w:num w:numId="13">
    <w:abstractNumId w:val="9"/>
  </w:num>
  <w:num w:numId="14">
    <w:abstractNumId w:val="6"/>
  </w:num>
  <w:num w:numId="15">
    <w:abstractNumId w:val="35"/>
  </w:num>
  <w:num w:numId="16">
    <w:abstractNumId w:val="5"/>
  </w:num>
  <w:num w:numId="17">
    <w:abstractNumId w:val="36"/>
  </w:num>
  <w:num w:numId="18">
    <w:abstractNumId w:val="10"/>
  </w:num>
  <w:num w:numId="19">
    <w:abstractNumId w:val="17"/>
  </w:num>
  <w:num w:numId="20">
    <w:abstractNumId w:val="8"/>
  </w:num>
  <w:num w:numId="21">
    <w:abstractNumId w:val="12"/>
  </w:num>
  <w:num w:numId="22">
    <w:abstractNumId w:val="20"/>
  </w:num>
  <w:num w:numId="23">
    <w:abstractNumId w:val="39"/>
  </w:num>
  <w:num w:numId="24">
    <w:abstractNumId w:val="34"/>
  </w:num>
  <w:num w:numId="25">
    <w:abstractNumId w:val="14"/>
  </w:num>
  <w:num w:numId="26">
    <w:abstractNumId w:val="27"/>
  </w:num>
  <w:num w:numId="27">
    <w:abstractNumId w:val="15"/>
  </w:num>
  <w:num w:numId="28">
    <w:abstractNumId w:val="19"/>
  </w:num>
  <w:num w:numId="29">
    <w:abstractNumId w:val="32"/>
  </w:num>
  <w:num w:numId="30">
    <w:abstractNumId w:val="44"/>
  </w:num>
  <w:num w:numId="31">
    <w:abstractNumId w:val="30"/>
  </w:num>
  <w:num w:numId="32">
    <w:abstractNumId w:val="37"/>
  </w:num>
  <w:num w:numId="33">
    <w:abstractNumId w:val="24"/>
  </w:num>
  <w:num w:numId="34">
    <w:abstractNumId w:val="31"/>
  </w:num>
  <w:num w:numId="35">
    <w:abstractNumId w:val="16"/>
  </w:num>
  <w:num w:numId="36">
    <w:abstractNumId w:val="3"/>
  </w:num>
  <w:num w:numId="37">
    <w:abstractNumId w:val="7"/>
  </w:num>
  <w:num w:numId="38">
    <w:abstractNumId w:val="26"/>
  </w:num>
  <w:num w:numId="39">
    <w:abstractNumId w:val="2"/>
  </w:num>
  <w:num w:numId="40">
    <w:abstractNumId w:val="25"/>
  </w:num>
  <w:num w:numId="41">
    <w:abstractNumId w:val="18"/>
  </w:num>
  <w:num w:numId="42">
    <w:abstractNumId w:val="1"/>
  </w:num>
  <w:num w:numId="43">
    <w:abstractNumId w:val="23"/>
  </w:num>
  <w:num w:numId="44">
    <w:abstractNumId w:val="42"/>
  </w:num>
  <w:num w:numId="45">
    <w:abstractNumId w:val="2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hideSpelling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123"/>
    <w:rsid w:val="0000255A"/>
    <w:rsid w:val="00007DA4"/>
    <w:rsid w:val="00014E36"/>
    <w:rsid w:val="00017022"/>
    <w:rsid w:val="000225BA"/>
    <w:rsid w:val="0002336F"/>
    <w:rsid w:val="00024DD6"/>
    <w:rsid w:val="00026C80"/>
    <w:rsid w:val="00030C2C"/>
    <w:rsid w:val="00031C7E"/>
    <w:rsid w:val="00032054"/>
    <w:rsid w:val="000328E3"/>
    <w:rsid w:val="0003575B"/>
    <w:rsid w:val="0003735C"/>
    <w:rsid w:val="00037CDC"/>
    <w:rsid w:val="00037D98"/>
    <w:rsid w:val="00042252"/>
    <w:rsid w:val="000423C3"/>
    <w:rsid w:val="00046FD1"/>
    <w:rsid w:val="00050278"/>
    <w:rsid w:val="00052126"/>
    <w:rsid w:val="00052A60"/>
    <w:rsid w:val="000568E5"/>
    <w:rsid w:val="00056A66"/>
    <w:rsid w:val="000615B0"/>
    <w:rsid w:val="000701AB"/>
    <w:rsid w:val="000744EF"/>
    <w:rsid w:val="00081AF6"/>
    <w:rsid w:val="00083CB4"/>
    <w:rsid w:val="00092809"/>
    <w:rsid w:val="00093B2C"/>
    <w:rsid w:val="00097805"/>
    <w:rsid w:val="000A1804"/>
    <w:rsid w:val="000A5D4A"/>
    <w:rsid w:val="000A68F9"/>
    <w:rsid w:val="000A6D16"/>
    <w:rsid w:val="000A7F3E"/>
    <w:rsid w:val="000B2DE8"/>
    <w:rsid w:val="000B3468"/>
    <w:rsid w:val="000C05A5"/>
    <w:rsid w:val="000C228B"/>
    <w:rsid w:val="000C5064"/>
    <w:rsid w:val="000C51A0"/>
    <w:rsid w:val="000C60DE"/>
    <w:rsid w:val="000D0B99"/>
    <w:rsid w:val="000D1AEB"/>
    <w:rsid w:val="000D2C0A"/>
    <w:rsid w:val="000D65F8"/>
    <w:rsid w:val="000D742B"/>
    <w:rsid w:val="000E2D39"/>
    <w:rsid w:val="000E4A9F"/>
    <w:rsid w:val="000E5A24"/>
    <w:rsid w:val="000E5F00"/>
    <w:rsid w:val="000E6B6A"/>
    <w:rsid w:val="000F3983"/>
    <w:rsid w:val="000F3E02"/>
    <w:rsid w:val="000F42AD"/>
    <w:rsid w:val="000F70D2"/>
    <w:rsid w:val="00101AD6"/>
    <w:rsid w:val="00112D59"/>
    <w:rsid w:val="00116045"/>
    <w:rsid w:val="0011630F"/>
    <w:rsid w:val="0011666B"/>
    <w:rsid w:val="001223AF"/>
    <w:rsid w:val="0012738A"/>
    <w:rsid w:val="00130DA9"/>
    <w:rsid w:val="00134DC4"/>
    <w:rsid w:val="0013530E"/>
    <w:rsid w:val="00135C10"/>
    <w:rsid w:val="0014341F"/>
    <w:rsid w:val="00143686"/>
    <w:rsid w:val="00144343"/>
    <w:rsid w:val="001453DE"/>
    <w:rsid w:val="001467E0"/>
    <w:rsid w:val="00150B6C"/>
    <w:rsid w:val="00155228"/>
    <w:rsid w:val="001603D5"/>
    <w:rsid w:val="00165F5F"/>
    <w:rsid w:val="00166F32"/>
    <w:rsid w:val="00170112"/>
    <w:rsid w:val="0017095E"/>
    <w:rsid w:val="001725DE"/>
    <w:rsid w:val="001737D3"/>
    <w:rsid w:val="00173A55"/>
    <w:rsid w:val="00173E2F"/>
    <w:rsid w:val="0017439C"/>
    <w:rsid w:val="00174746"/>
    <w:rsid w:val="00180399"/>
    <w:rsid w:val="00185589"/>
    <w:rsid w:val="0018566C"/>
    <w:rsid w:val="00187B91"/>
    <w:rsid w:val="001958FD"/>
    <w:rsid w:val="00195AA9"/>
    <w:rsid w:val="00196734"/>
    <w:rsid w:val="001969FB"/>
    <w:rsid w:val="001A131C"/>
    <w:rsid w:val="001A2E21"/>
    <w:rsid w:val="001A6224"/>
    <w:rsid w:val="001A70E7"/>
    <w:rsid w:val="001A7BD2"/>
    <w:rsid w:val="001B3819"/>
    <w:rsid w:val="001B3D64"/>
    <w:rsid w:val="001B5314"/>
    <w:rsid w:val="001B5FD2"/>
    <w:rsid w:val="001B6254"/>
    <w:rsid w:val="001C0DF8"/>
    <w:rsid w:val="001C12BD"/>
    <w:rsid w:val="001C4A97"/>
    <w:rsid w:val="001D02F0"/>
    <w:rsid w:val="001D0A26"/>
    <w:rsid w:val="001D2C28"/>
    <w:rsid w:val="001D3762"/>
    <w:rsid w:val="001D4E40"/>
    <w:rsid w:val="001D76AD"/>
    <w:rsid w:val="001E1CA7"/>
    <w:rsid w:val="001E22F3"/>
    <w:rsid w:val="001E2A55"/>
    <w:rsid w:val="001E74A3"/>
    <w:rsid w:val="001F4168"/>
    <w:rsid w:val="001F4B0A"/>
    <w:rsid w:val="00200A65"/>
    <w:rsid w:val="002017A9"/>
    <w:rsid w:val="002032D3"/>
    <w:rsid w:val="00203AB7"/>
    <w:rsid w:val="0020463D"/>
    <w:rsid w:val="00205109"/>
    <w:rsid w:val="00206906"/>
    <w:rsid w:val="002078E0"/>
    <w:rsid w:val="00211152"/>
    <w:rsid w:val="002248F1"/>
    <w:rsid w:val="002253F7"/>
    <w:rsid w:val="00225F7C"/>
    <w:rsid w:val="00227180"/>
    <w:rsid w:val="00232712"/>
    <w:rsid w:val="0023392A"/>
    <w:rsid w:val="00236099"/>
    <w:rsid w:val="0023669B"/>
    <w:rsid w:val="0024205F"/>
    <w:rsid w:val="00255132"/>
    <w:rsid w:val="002648AA"/>
    <w:rsid w:val="002679D9"/>
    <w:rsid w:val="00267DF3"/>
    <w:rsid w:val="002705F9"/>
    <w:rsid w:val="002717AA"/>
    <w:rsid w:val="00271E83"/>
    <w:rsid w:val="0027488F"/>
    <w:rsid w:val="002801FD"/>
    <w:rsid w:val="00280823"/>
    <w:rsid w:val="0028355B"/>
    <w:rsid w:val="00283919"/>
    <w:rsid w:val="0028464A"/>
    <w:rsid w:val="00292E6E"/>
    <w:rsid w:val="00295A21"/>
    <w:rsid w:val="002A53A4"/>
    <w:rsid w:val="002A5680"/>
    <w:rsid w:val="002A673A"/>
    <w:rsid w:val="002A6B80"/>
    <w:rsid w:val="002A7906"/>
    <w:rsid w:val="002B0F8C"/>
    <w:rsid w:val="002B67F6"/>
    <w:rsid w:val="002C02C4"/>
    <w:rsid w:val="002C093B"/>
    <w:rsid w:val="002C1A68"/>
    <w:rsid w:val="002C26F1"/>
    <w:rsid w:val="002D12DF"/>
    <w:rsid w:val="002D2FBF"/>
    <w:rsid w:val="002D786E"/>
    <w:rsid w:val="002E061F"/>
    <w:rsid w:val="002E1692"/>
    <w:rsid w:val="002E23E9"/>
    <w:rsid w:val="002E3DC8"/>
    <w:rsid w:val="002E7551"/>
    <w:rsid w:val="002E7FA4"/>
    <w:rsid w:val="002F017A"/>
    <w:rsid w:val="002F0F6D"/>
    <w:rsid w:val="002F156A"/>
    <w:rsid w:val="002F5B95"/>
    <w:rsid w:val="0030042C"/>
    <w:rsid w:val="00306114"/>
    <w:rsid w:val="00306208"/>
    <w:rsid w:val="00307B5D"/>
    <w:rsid w:val="00311CAC"/>
    <w:rsid w:val="0031223D"/>
    <w:rsid w:val="00312459"/>
    <w:rsid w:val="00312956"/>
    <w:rsid w:val="0031379B"/>
    <w:rsid w:val="00314A09"/>
    <w:rsid w:val="00316535"/>
    <w:rsid w:val="0031691C"/>
    <w:rsid w:val="00320395"/>
    <w:rsid w:val="00320F96"/>
    <w:rsid w:val="0032103C"/>
    <w:rsid w:val="00323CE8"/>
    <w:rsid w:val="00327933"/>
    <w:rsid w:val="00334486"/>
    <w:rsid w:val="00337BD2"/>
    <w:rsid w:val="003402AA"/>
    <w:rsid w:val="00344222"/>
    <w:rsid w:val="00345D6C"/>
    <w:rsid w:val="003507ED"/>
    <w:rsid w:val="00352D9C"/>
    <w:rsid w:val="00353D85"/>
    <w:rsid w:val="00353E83"/>
    <w:rsid w:val="00354731"/>
    <w:rsid w:val="003559C0"/>
    <w:rsid w:val="0035744E"/>
    <w:rsid w:val="00361A5B"/>
    <w:rsid w:val="00362CD1"/>
    <w:rsid w:val="0036531B"/>
    <w:rsid w:val="00367E63"/>
    <w:rsid w:val="00371AAC"/>
    <w:rsid w:val="00372BAA"/>
    <w:rsid w:val="003739E9"/>
    <w:rsid w:val="00374DAC"/>
    <w:rsid w:val="00374FDF"/>
    <w:rsid w:val="003811B9"/>
    <w:rsid w:val="00386344"/>
    <w:rsid w:val="00387008"/>
    <w:rsid w:val="0039100E"/>
    <w:rsid w:val="00391433"/>
    <w:rsid w:val="0039156C"/>
    <w:rsid w:val="003918B3"/>
    <w:rsid w:val="003942AC"/>
    <w:rsid w:val="00394329"/>
    <w:rsid w:val="00394346"/>
    <w:rsid w:val="003A366A"/>
    <w:rsid w:val="003A4952"/>
    <w:rsid w:val="003B013D"/>
    <w:rsid w:val="003B06D5"/>
    <w:rsid w:val="003B14C5"/>
    <w:rsid w:val="003B34CF"/>
    <w:rsid w:val="003C50AD"/>
    <w:rsid w:val="003C798A"/>
    <w:rsid w:val="003D1475"/>
    <w:rsid w:val="003D1587"/>
    <w:rsid w:val="003D4776"/>
    <w:rsid w:val="003D5011"/>
    <w:rsid w:val="003D686C"/>
    <w:rsid w:val="003E0D04"/>
    <w:rsid w:val="003E1AAE"/>
    <w:rsid w:val="003E2779"/>
    <w:rsid w:val="003E32AF"/>
    <w:rsid w:val="003F04D4"/>
    <w:rsid w:val="003F2F60"/>
    <w:rsid w:val="003F309E"/>
    <w:rsid w:val="0040761E"/>
    <w:rsid w:val="0041268A"/>
    <w:rsid w:val="00412EE4"/>
    <w:rsid w:val="00416EDE"/>
    <w:rsid w:val="00424C82"/>
    <w:rsid w:val="00426B51"/>
    <w:rsid w:val="00431D5F"/>
    <w:rsid w:val="00436033"/>
    <w:rsid w:val="00442D97"/>
    <w:rsid w:val="00443EEF"/>
    <w:rsid w:val="00446D15"/>
    <w:rsid w:val="00453CD4"/>
    <w:rsid w:val="00454A44"/>
    <w:rsid w:val="00457F6D"/>
    <w:rsid w:val="0046032B"/>
    <w:rsid w:val="004604F5"/>
    <w:rsid w:val="00466CE3"/>
    <w:rsid w:val="00473315"/>
    <w:rsid w:val="00474F9B"/>
    <w:rsid w:val="00481ACF"/>
    <w:rsid w:val="00491A35"/>
    <w:rsid w:val="00491D90"/>
    <w:rsid w:val="0049389F"/>
    <w:rsid w:val="00496A48"/>
    <w:rsid w:val="00497432"/>
    <w:rsid w:val="004A35AD"/>
    <w:rsid w:val="004B0E26"/>
    <w:rsid w:val="004B2020"/>
    <w:rsid w:val="004B2825"/>
    <w:rsid w:val="004B695A"/>
    <w:rsid w:val="004B69B8"/>
    <w:rsid w:val="004C2A58"/>
    <w:rsid w:val="004C34CD"/>
    <w:rsid w:val="004C3573"/>
    <w:rsid w:val="004C37E8"/>
    <w:rsid w:val="004C4524"/>
    <w:rsid w:val="004C456F"/>
    <w:rsid w:val="004C6BA6"/>
    <w:rsid w:val="004C76CB"/>
    <w:rsid w:val="004C7FCA"/>
    <w:rsid w:val="004D4CBA"/>
    <w:rsid w:val="004D6875"/>
    <w:rsid w:val="004D68F9"/>
    <w:rsid w:val="004E0D4C"/>
    <w:rsid w:val="004E61B9"/>
    <w:rsid w:val="004F2672"/>
    <w:rsid w:val="004F3586"/>
    <w:rsid w:val="004F4615"/>
    <w:rsid w:val="004F551D"/>
    <w:rsid w:val="004F5D6B"/>
    <w:rsid w:val="004F78BE"/>
    <w:rsid w:val="00503AC3"/>
    <w:rsid w:val="005065C7"/>
    <w:rsid w:val="00507646"/>
    <w:rsid w:val="005108C6"/>
    <w:rsid w:val="00517A78"/>
    <w:rsid w:val="00521046"/>
    <w:rsid w:val="005214D1"/>
    <w:rsid w:val="00523381"/>
    <w:rsid w:val="0052371D"/>
    <w:rsid w:val="0052573F"/>
    <w:rsid w:val="005409E3"/>
    <w:rsid w:val="005420E0"/>
    <w:rsid w:val="00542D82"/>
    <w:rsid w:val="005507FD"/>
    <w:rsid w:val="00551E85"/>
    <w:rsid w:val="00555A56"/>
    <w:rsid w:val="00560F42"/>
    <w:rsid w:val="00561582"/>
    <w:rsid w:val="00562369"/>
    <w:rsid w:val="0056581D"/>
    <w:rsid w:val="00566924"/>
    <w:rsid w:val="00567698"/>
    <w:rsid w:val="005703C8"/>
    <w:rsid w:val="00572220"/>
    <w:rsid w:val="0057243A"/>
    <w:rsid w:val="0057765C"/>
    <w:rsid w:val="00580742"/>
    <w:rsid w:val="00581F5B"/>
    <w:rsid w:val="00582C42"/>
    <w:rsid w:val="0058647E"/>
    <w:rsid w:val="00590F1D"/>
    <w:rsid w:val="005926E0"/>
    <w:rsid w:val="00592B56"/>
    <w:rsid w:val="005941F6"/>
    <w:rsid w:val="00594D12"/>
    <w:rsid w:val="00595239"/>
    <w:rsid w:val="005A323D"/>
    <w:rsid w:val="005B1D7C"/>
    <w:rsid w:val="005B5868"/>
    <w:rsid w:val="005C2BD1"/>
    <w:rsid w:val="005C3028"/>
    <w:rsid w:val="005C478A"/>
    <w:rsid w:val="005C4C50"/>
    <w:rsid w:val="005C56F1"/>
    <w:rsid w:val="005D07F3"/>
    <w:rsid w:val="005D0D38"/>
    <w:rsid w:val="005D0EF7"/>
    <w:rsid w:val="005D1984"/>
    <w:rsid w:val="005D7377"/>
    <w:rsid w:val="005E42EE"/>
    <w:rsid w:val="005E6733"/>
    <w:rsid w:val="005E6BA0"/>
    <w:rsid w:val="005F0290"/>
    <w:rsid w:val="005F4373"/>
    <w:rsid w:val="006020DB"/>
    <w:rsid w:val="00602C11"/>
    <w:rsid w:val="00603450"/>
    <w:rsid w:val="00604794"/>
    <w:rsid w:val="00606340"/>
    <w:rsid w:val="00612154"/>
    <w:rsid w:val="00612622"/>
    <w:rsid w:val="00614E58"/>
    <w:rsid w:val="006211B9"/>
    <w:rsid w:val="006239BD"/>
    <w:rsid w:val="006255FB"/>
    <w:rsid w:val="0062765B"/>
    <w:rsid w:val="00627EC8"/>
    <w:rsid w:val="00633799"/>
    <w:rsid w:val="00642F83"/>
    <w:rsid w:val="0064715C"/>
    <w:rsid w:val="006522E7"/>
    <w:rsid w:val="006657CD"/>
    <w:rsid w:val="00665A65"/>
    <w:rsid w:val="00665F7F"/>
    <w:rsid w:val="0067308A"/>
    <w:rsid w:val="00674EEA"/>
    <w:rsid w:val="00676077"/>
    <w:rsid w:val="00676792"/>
    <w:rsid w:val="00677147"/>
    <w:rsid w:val="006806B1"/>
    <w:rsid w:val="006810E8"/>
    <w:rsid w:val="006846AC"/>
    <w:rsid w:val="006904D1"/>
    <w:rsid w:val="006939CE"/>
    <w:rsid w:val="006943D0"/>
    <w:rsid w:val="00694CBC"/>
    <w:rsid w:val="00695C15"/>
    <w:rsid w:val="00696B3E"/>
    <w:rsid w:val="00697501"/>
    <w:rsid w:val="00697FED"/>
    <w:rsid w:val="006A1A6E"/>
    <w:rsid w:val="006A26A0"/>
    <w:rsid w:val="006B1A71"/>
    <w:rsid w:val="006B1E56"/>
    <w:rsid w:val="006B3516"/>
    <w:rsid w:val="006B36BF"/>
    <w:rsid w:val="006B4543"/>
    <w:rsid w:val="006B4F12"/>
    <w:rsid w:val="006B56D8"/>
    <w:rsid w:val="006B640E"/>
    <w:rsid w:val="006B7CB0"/>
    <w:rsid w:val="006C292F"/>
    <w:rsid w:val="006C2934"/>
    <w:rsid w:val="006C50F0"/>
    <w:rsid w:val="006D4EB1"/>
    <w:rsid w:val="006D5D8B"/>
    <w:rsid w:val="006E4401"/>
    <w:rsid w:val="006E68C8"/>
    <w:rsid w:val="006E698B"/>
    <w:rsid w:val="006F1EE3"/>
    <w:rsid w:val="006F2DEB"/>
    <w:rsid w:val="006F41D7"/>
    <w:rsid w:val="006F5B2A"/>
    <w:rsid w:val="006F7CE9"/>
    <w:rsid w:val="00700002"/>
    <w:rsid w:val="00702894"/>
    <w:rsid w:val="00703DDF"/>
    <w:rsid w:val="00706D64"/>
    <w:rsid w:val="00712242"/>
    <w:rsid w:val="00721455"/>
    <w:rsid w:val="007355BC"/>
    <w:rsid w:val="00740F46"/>
    <w:rsid w:val="007455FD"/>
    <w:rsid w:val="00745D52"/>
    <w:rsid w:val="007462C7"/>
    <w:rsid w:val="00746FCA"/>
    <w:rsid w:val="00751874"/>
    <w:rsid w:val="0075193E"/>
    <w:rsid w:val="0075214B"/>
    <w:rsid w:val="007522AA"/>
    <w:rsid w:val="00752E65"/>
    <w:rsid w:val="0075679B"/>
    <w:rsid w:val="00762FF6"/>
    <w:rsid w:val="007641B0"/>
    <w:rsid w:val="0076500E"/>
    <w:rsid w:val="00765BAF"/>
    <w:rsid w:val="0077436C"/>
    <w:rsid w:val="00775647"/>
    <w:rsid w:val="00780523"/>
    <w:rsid w:val="00780E7C"/>
    <w:rsid w:val="007826D8"/>
    <w:rsid w:val="007A025C"/>
    <w:rsid w:val="007A4F6E"/>
    <w:rsid w:val="007A53B1"/>
    <w:rsid w:val="007A6FA2"/>
    <w:rsid w:val="007A79F4"/>
    <w:rsid w:val="007B1E0E"/>
    <w:rsid w:val="007C4A25"/>
    <w:rsid w:val="007C6340"/>
    <w:rsid w:val="007D5511"/>
    <w:rsid w:val="007D5F89"/>
    <w:rsid w:val="007E20C5"/>
    <w:rsid w:val="007E2AEC"/>
    <w:rsid w:val="007E3BB0"/>
    <w:rsid w:val="007E6044"/>
    <w:rsid w:val="007E67F9"/>
    <w:rsid w:val="007F3629"/>
    <w:rsid w:val="008007BC"/>
    <w:rsid w:val="00801272"/>
    <w:rsid w:val="00801D0B"/>
    <w:rsid w:val="008052F1"/>
    <w:rsid w:val="00806222"/>
    <w:rsid w:val="008064A6"/>
    <w:rsid w:val="00815AF9"/>
    <w:rsid w:val="008168C6"/>
    <w:rsid w:val="0082090B"/>
    <w:rsid w:val="00820B74"/>
    <w:rsid w:val="0082387D"/>
    <w:rsid w:val="008240DE"/>
    <w:rsid w:val="00826F47"/>
    <w:rsid w:val="008308F0"/>
    <w:rsid w:val="00830E06"/>
    <w:rsid w:val="00831DE1"/>
    <w:rsid w:val="00832B88"/>
    <w:rsid w:val="00832D7C"/>
    <w:rsid w:val="00833E1D"/>
    <w:rsid w:val="008340FA"/>
    <w:rsid w:val="008341F0"/>
    <w:rsid w:val="0083614D"/>
    <w:rsid w:val="00837F2B"/>
    <w:rsid w:val="00841DF7"/>
    <w:rsid w:val="00842296"/>
    <w:rsid w:val="00843265"/>
    <w:rsid w:val="008470F1"/>
    <w:rsid w:val="008564C4"/>
    <w:rsid w:val="00873220"/>
    <w:rsid w:val="00875B03"/>
    <w:rsid w:val="00877B95"/>
    <w:rsid w:val="00877C0B"/>
    <w:rsid w:val="00884B89"/>
    <w:rsid w:val="00885E07"/>
    <w:rsid w:val="008878D2"/>
    <w:rsid w:val="00895C16"/>
    <w:rsid w:val="008967BD"/>
    <w:rsid w:val="008A0F2A"/>
    <w:rsid w:val="008A533C"/>
    <w:rsid w:val="008B0531"/>
    <w:rsid w:val="008B074D"/>
    <w:rsid w:val="008B4648"/>
    <w:rsid w:val="008B5CEC"/>
    <w:rsid w:val="008B7264"/>
    <w:rsid w:val="008B7469"/>
    <w:rsid w:val="008C0E8A"/>
    <w:rsid w:val="008C35AB"/>
    <w:rsid w:val="008C5FCF"/>
    <w:rsid w:val="008C648D"/>
    <w:rsid w:val="008D5294"/>
    <w:rsid w:val="008D6E46"/>
    <w:rsid w:val="008E2F4A"/>
    <w:rsid w:val="008E3CAB"/>
    <w:rsid w:val="008E3F41"/>
    <w:rsid w:val="008E60CF"/>
    <w:rsid w:val="008E6553"/>
    <w:rsid w:val="008E663F"/>
    <w:rsid w:val="008E6961"/>
    <w:rsid w:val="008F4648"/>
    <w:rsid w:val="008F514A"/>
    <w:rsid w:val="00901980"/>
    <w:rsid w:val="0090611C"/>
    <w:rsid w:val="00906582"/>
    <w:rsid w:val="0091180A"/>
    <w:rsid w:val="00912D3B"/>
    <w:rsid w:val="0091341A"/>
    <w:rsid w:val="009202D6"/>
    <w:rsid w:val="009215AE"/>
    <w:rsid w:val="00921B7D"/>
    <w:rsid w:val="0092324B"/>
    <w:rsid w:val="0092331A"/>
    <w:rsid w:val="009235E9"/>
    <w:rsid w:val="00926CD8"/>
    <w:rsid w:val="009307FA"/>
    <w:rsid w:val="00930D74"/>
    <w:rsid w:val="009335C8"/>
    <w:rsid w:val="0093422E"/>
    <w:rsid w:val="0093459B"/>
    <w:rsid w:val="00936818"/>
    <w:rsid w:val="00940764"/>
    <w:rsid w:val="00941C03"/>
    <w:rsid w:val="00943A1C"/>
    <w:rsid w:val="009441B3"/>
    <w:rsid w:val="009511DD"/>
    <w:rsid w:val="00951AC1"/>
    <w:rsid w:val="0095294E"/>
    <w:rsid w:val="00953A10"/>
    <w:rsid w:val="00954B0D"/>
    <w:rsid w:val="009571C1"/>
    <w:rsid w:val="0096419A"/>
    <w:rsid w:val="0096558C"/>
    <w:rsid w:val="009724B0"/>
    <w:rsid w:val="00972C54"/>
    <w:rsid w:val="00980635"/>
    <w:rsid w:val="00981BE5"/>
    <w:rsid w:val="00990B5E"/>
    <w:rsid w:val="00993EAB"/>
    <w:rsid w:val="00994D19"/>
    <w:rsid w:val="009A343C"/>
    <w:rsid w:val="009A4357"/>
    <w:rsid w:val="009B2BF4"/>
    <w:rsid w:val="009B36E2"/>
    <w:rsid w:val="009C0FFD"/>
    <w:rsid w:val="009C16BB"/>
    <w:rsid w:val="009C27DD"/>
    <w:rsid w:val="009C295B"/>
    <w:rsid w:val="009C509A"/>
    <w:rsid w:val="009D047E"/>
    <w:rsid w:val="009D4938"/>
    <w:rsid w:val="009D7BF5"/>
    <w:rsid w:val="009E4E07"/>
    <w:rsid w:val="009E5FD0"/>
    <w:rsid w:val="009E60A4"/>
    <w:rsid w:val="009E6A80"/>
    <w:rsid w:val="009E6AC5"/>
    <w:rsid w:val="009F14D6"/>
    <w:rsid w:val="009F279E"/>
    <w:rsid w:val="00A02FEB"/>
    <w:rsid w:val="00A03042"/>
    <w:rsid w:val="00A05DF1"/>
    <w:rsid w:val="00A06B4E"/>
    <w:rsid w:val="00A10665"/>
    <w:rsid w:val="00A135FF"/>
    <w:rsid w:val="00A1539F"/>
    <w:rsid w:val="00A20AB9"/>
    <w:rsid w:val="00A21FB6"/>
    <w:rsid w:val="00A22BFF"/>
    <w:rsid w:val="00A22FD0"/>
    <w:rsid w:val="00A23C5C"/>
    <w:rsid w:val="00A262BD"/>
    <w:rsid w:val="00A26E3B"/>
    <w:rsid w:val="00A271D6"/>
    <w:rsid w:val="00A34312"/>
    <w:rsid w:val="00A35D65"/>
    <w:rsid w:val="00A37BF2"/>
    <w:rsid w:val="00A44601"/>
    <w:rsid w:val="00A51AC5"/>
    <w:rsid w:val="00A51B0F"/>
    <w:rsid w:val="00A55954"/>
    <w:rsid w:val="00A576F4"/>
    <w:rsid w:val="00A6050C"/>
    <w:rsid w:val="00A72068"/>
    <w:rsid w:val="00A7218B"/>
    <w:rsid w:val="00A725A6"/>
    <w:rsid w:val="00A75177"/>
    <w:rsid w:val="00A75762"/>
    <w:rsid w:val="00A760E0"/>
    <w:rsid w:val="00A772A8"/>
    <w:rsid w:val="00A778A2"/>
    <w:rsid w:val="00A818AF"/>
    <w:rsid w:val="00A83E2A"/>
    <w:rsid w:val="00A840E8"/>
    <w:rsid w:val="00A85F40"/>
    <w:rsid w:val="00A87FE8"/>
    <w:rsid w:val="00A900BA"/>
    <w:rsid w:val="00A91A3A"/>
    <w:rsid w:val="00A9542C"/>
    <w:rsid w:val="00A9590E"/>
    <w:rsid w:val="00A9794C"/>
    <w:rsid w:val="00AA044A"/>
    <w:rsid w:val="00AA23E1"/>
    <w:rsid w:val="00AA7CA7"/>
    <w:rsid w:val="00AA7FC7"/>
    <w:rsid w:val="00AB0A31"/>
    <w:rsid w:val="00AB1D59"/>
    <w:rsid w:val="00AB26C6"/>
    <w:rsid w:val="00AB2C51"/>
    <w:rsid w:val="00AB3901"/>
    <w:rsid w:val="00AC35E9"/>
    <w:rsid w:val="00AC6935"/>
    <w:rsid w:val="00AC6A20"/>
    <w:rsid w:val="00AC71AD"/>
    <w:rsid w:val="00AC78CB"/>
    <w:rsid w:val="00AD199B"/>
    <w:rsid w:val="00AD288F"/>
    <w:rsid w:val="00AD3704"/>
    <w:rsid w:val="00AD3968"/>
    <w:rsid w:val="00AE30D9"/>
    <w:rsid w:val="00AF0A93"/>
    <w:rsid w:val="00AF1D2F"/>
    <w:rsid w:val="00AF31AE"/>
    <w:rsid w:val="00AF52DA"/>
    <w:rsid w:val="00AF61A2"/>
    <w:rsid w:val="00AF6ED0"/>
    <w:rsid w:val="00B00508"/>
    <w:rsid w:val="00B00B8D"/>
    <w:rsid w:val="00B00BB8"/>
    <w:rsid w:val="00B00C48"/>
    <w:rsid w:val="00B046A5"/>
    <w:rsid w:val="00B06E1C"/>
    <w:rsid w:val="00B075C5"/>
    <w:rsid w:val="00B12479"/>
    <w:rsid w:val="00B13307"/>
    <w:rsid w:val="00B166F0"/>
    <w:rsid w:val="00B16E9C"/>
    <w:rsid w:val="00B210B9"/>
    <w:rsid w:val="00B24A84"/>
    <w:rsid w:val="00B30A0D"/>
    <w:rsid w:val="00B31359"/>
    <w:rsid w:val="00B35BCE"/>
    <w:rsid w:val="00B43AEA"/>
    <w:rsid w:val="00B43E13"/>
    <w:rsid w:val="00B44438"/>
    <w:rsid w:val="00B54895"/>
    <w:rsid w:val="00B6296F"/>
    <w:rsid w:val="00B652FE"/>
    <w:rsid w:val="00B65EEC"/>
    <w:rsid w:val="00B66553"/>
    <w:rsid w:val="00B720C1"/>
    <w:rsid w:val="00B7278A"/>
    <w:rsid w:val="00B72FDA"/>
    <w:rsid w:val="00B731F0"/>
    <w:rsid w:val="00B74DBD"/>
    <w:rsid w:val="00B7551F"/>
    <w:rsid w:val="00B76A3A"/>
    <w:rsid w:val="00B7734C"/>
    <w:rsid w:val="00B817A6"/>
    <w:rsid w:val="00B87220"/>
    <w:rsid w:val="00B90D46"/>
    <w:rsid w:val="00B94095"/>
    <w:rsid w:val="00B947D5"/>
    <w:rsid w:val="00BA0194"/>
    <w:rsid w:val="00BA494C"/>
    <w:rsid w:val="00BA52B0"/>
    <w:rsid w:val="00BB1F9B"/>
    <w:rsid w:val="00BB62D4"/>
    <w:rsid w:val="00BC0E42"/>
    <w:rsid w:val="00BC1A8B"/>
    <w:rsid w:val="00BC454A"/>
    <w:rsid w:val="00BD2BDB"/>
    <w:rsid w:val="00BD45B9"/>
    <w:rsid w:val="00BD7200"/>
    <w:rsid w:val="00BD7218"/>
    <w:rsid w:val="00BE2842"/>
    <w:rsid w:val="00BF18CB"/>
    <w:rsid w:val="00BF32BF"/>
    <w:rsid w:val="00BF360C"/>
    <w:rsid w:val="00BF3D87"/>
    <w:rsid w:val="00BF5F0F"/>
    <w:rsid w:val="00C050F3"/>
    <w:rsid w:val="00C10A79"/>
    <w:rsid w:val="00C1318A"/>
    <w:rsid w:val="00C1490D"/>
    <w:rsid w:val="00C14B81"/>
    <w:rsid w:val="00C23D76"/>
    <w:rsid w:val="00C2461A"/>
    <w:rsid w:val="00C25CD2"/>
    <w:rsid w:val="00C333B3"/>
    <w:rsid w:val="00C33550"/>
    <w:rsid w:val="00C33DD9"/>
    <w:rsid w:val="00C362F6"/>
    <w:rsid w:val="00C36B34"/>
    <w:rsid w:val="00C37185"/>
    <w:rsid w:val="00C37F9F"/>
    <w:rsid w:val="00C4401E"/>
    <w:rsid w:val="00C4631D"/>
    <w:rsid w:val="00C532C2"/>
    <w:rsid w:val="00C53915"/>
    <w:rsid w:val="00C56076"/>
    <w:rsid w:val="00C56288"/>
    <w:rsid w:val="00C56F67"/>
    <w:rsid w:val="00C606C1"/>
    <w:rsid w:val="00C6395E"/>
    <w:rsid w:val="00C63B05"/>
    <w:rsid w:val="00C64909"/>
    <w:rsid w:val="00C67993"/>
    <w:rsid w:val="00C70B3C"/>
    <w:rsid w:val="00C73230"/>
    <w:rsid w:val="00C7347F"/>
    <w:rsid w:val="00C736B5"/>
    <w:rsid w:val="00C737A1"/>
    <w:rsid w:val="00C737FB"/>
    <w:rsid w:val="00C7465C"/>
    <w:rsid w:val="00C75323"/>
    <w:rsid w:val="00C84887"/>
    <w:rsid w:val="00C86E31"/>
    <w:rsid w:val="00C87BDA"/>
    <w:rsid w:val="00C920B4"/>
    <w:rsid w:val="00C93F48"/>
    <w:rsid w:val="00C960AE"/>
    <w:rsid w:val="00C96854"/>
    <w:rsid w:val="00CA31EC"/>
    <w:rsid w:val="00CA35E0"/>
    <w:rsid w:val="00CA53DF"/>
    <w:rsid w:val="00CA7E99"/>
    <w:rsid w:val="00CB1BC5"/>
    <w:rsid w:val="00CB25DF"/>
    <w:rsid w:val="00CB603E"/>
    <w:rsid w:val="00CB7BBA"/>
    <w:rsid w:val="00CC0149"/>
    <w:rsid w:val="00CD05E9"/>
    <w:rsid w:val="00CD37EF"/>
    <w:rsid w:val="00CD481A"/>
    <w:rsid w:val="00CE24E4"/>
    <w:rsid w:val="00CE3AFE"/>
    <w:rsid w:val="00CE71B7"/>
    <w:rsid w:val="00CF3100"/>
    <w:rsid w:val="00CF4060"/>
    <w:rsid w:val="00D04A80"/>
    <w:rsid w:val="00D06820"/>
    <w:rsid w:val="00D1158F"/>
    <w:rsid w:val="00D13458"/>
    <w:rsid w:val="00D15331"/>
    <w:rsid w:val="00D15AF1"/>
    <w:rsid w:val="00D1654D"/>
    <w:rsid w:val="00D21E42"/>
    <w:rsid w:val="00D22538"/>
    <w:rsid w:val="00D23A7D"/>
    <w:rsid w:val="00D23E72"/>
    <w:rsid w:val="00D2506E"/>
    <w:rsid w:val="00D26D70"/>
    <w:rsid w:val="00D27B79"/>
    <w:rsid w:val="00D30DCF"/>
    <w:rsid w:val="00D31C38"/>
    <w:rsid w:val="00D363D5"/>
    <w:rsid w:val="00D4184B"/>
    <w:rsid w:val="00D43358"/>
    <w:rsid w:val="00D446EB"/>
    <w:rsid w:val="00D468CF"/>
    <w:rsid w:val="00D46F8D"/>
    <w:rsid w:val="00D527E7"/>
    <w:rsid w:val="00D52E09"/>
    <w:rsid w:val="00D7462B"/>
    <w:rsid w:val="00D779D5"/>
    <w:rsid w:val="00D77CF6"/>
    <w:rsid w:val="00D82B92"/>
    <w:rsid w:val="00D83719"/>
    <w:rsid w:val="00D87419"/>
    <w:rsid w:val="00D87D07"/>
    <w:rsid w:val="00D87DD1"/>
    <w:rsid w:val="00D91DB4"/>
    <w:rsid w:val="00D93EC4"/>
    <w:rsid w:val="00DA1005"/>
    <w:rsid w:val="00DA12D0"/>
    <w:rsid w:val="00DA4A01"/>
    <w:rsid w:val="00DA4F42"/>
    <w:rsid w:val="00DB01C2"/>
    <w:rsid w:val="00DB0E8C"/>
    <w:rsid w:val="00DB111C"/>
    <w:rsid w:val="00DB2DD4"/>
    <w:rsid w:val="00DB2E90"/>
    <w:rsid w:val="00DB342D"/>
    <w:rsid w:val="00DB3A95"/>
    <w:rsid w:val="00DB59CB"/>
    <w:rsid w:val="00DC0EA5"/>
    <w:rsid w:val="00DC2018"/>
    <w:rsid w:val="00DC24B0"/>
    <w:rsid w:val="00DC4998"/>
    <w:rsid w:val="00DC7363"/>
    <w:rsid w:val="00DD079D"/>
    <w:rsid w:val="00DD4053"/>
    <w:rsid w:val="00DD4CC3"/>
    <w:rsid w:val="00DD575B"/>
    <w:rsid w:val="00DD719B"/>
    <w:rsid w:val="00DE075F"/>
    <w:rsid w:val="00DE7249"/>
    <w:rsid w:val="00DE7778"/>
    <w:rsid w:val="00DF2005"/>
    <w:rsid w:val="00DF35D7"/>
    <w:rsid w:val="00DF5CC8"/>
    <w:rsid w:val="00E07CFD"/>
    <w:rsid w:val="00E108B1"/>
    <w:rsid w:val="00E11AD2"/>
    <w:rsid w:val="00E12E4D"/>
    <w:rsid w:val="00E148DA"/>
    <w:rsid w:val="00E1495C"/>
    <w:rsid w:val="00E162CA"/>
    <w:rsid w:val="00E16BFD"/>
    <w:rsid w:val="00E17702"/>
    <w:rsid w:val="00E1794A"/>
    <w:rsid w:val="00E17DBB"/>
    <w:rsid w:val="00E21B7A"/>
    <w:rsid w:val="00E2597F"/>
    <w:rsid w:val="00E25A71"/>
    <w:rsid w:val="00E27FE0"/>
    <w:rsid w:val="00E31B10"/>
    <w:rsid w:val="00E35122"/>
    <w:rsid w:val="00E3579B"/>
    <w:rsid w:val="00E35894"/>
    <w:rsid w:val="00E42005"/>
    <w:rsid w:val="00E44704"/>
    <w:rsid w:val="00E44E0D"/>
    <w:rsid w:val="00E468E8"/>
    <w:rsid w:val="00E501D5"/>
    <w:rsid w:val="00E51C96"/>
    <w:rsid w:val="00E52769"/>
    <w:rsid w:val="00E52D71"/>
    <w:rsid w:val="00E5378A"/>
    <w:rsid w:val="00E55FE0"/>
    <w:rsid w:val="00E61B02"/>
    <w:rsid w:val="00E62F90"/>
    <w:rsid w:val="00E64D6C"/>
    <w:rsid w:val="00E664D1"/>
    <w:rsid w:val="00E7114E"/>
    <w:rsid w:val="00E72DFF"/>
    <w:rsid w:val="00E7417F"/>
    <w:rsid w:val="00E76D91"/>
    <w:rsid w:val="00E77D18"/>
    <w:rsid w:val="00E805E8"/>
    <w:rsid w:val="00E81311"/>
    <w:rsid w:val="00E8252A"/>
    <w:rsid w:val="00E83A0B"/>
    <w:rsid w:val="00E84A10"/>
    <w:rsid w:val="00E84C03"/>
    <w:rsid w:val="00E85331"/>
    <w:rsid w:val="00E8726F"/>
    <w:rsid w:val="00E8757D"/>
    <w:rsid w:val="00E94BCB"/>
    <w:rsid w:val="00EA0243"/>
    <w:rsid w:val="00EA1859"/>
    <w:rsid w:val="00EA2EF0"/>
    <w:rsid w:val="00EA526C"/>
    <w:rsid w:val="00EA671C"/>
    <w:rsid w:val="00EB25D9"/>
    <w:rsid w:val="00EB3830"/>
    <w:rsid w:val="00EB6868"/>
    <w:rsid w:val="00EB75B9"/>
    <w:rsid w:val="00EC2056"/>
    <w:rsid w:val="00EC26D9"/>
    <w:rsid w:val="00EC3527"/>
    <w:rsid w:val="00EC4F18"/>
    <w:rsid w:val="00EC524C"/>
    <w:rsid w:val="00ED1AA0"/>
    <w:rsid w:val="00ED2123"/>
    <w:rsid w:val="00ED316F"/>
    <w:rsid w:val="00ED41F8"/>
    <w:rsid w:val="00EE0C22"/>
    <w:rsid w:val="00EE11EB"/>
    <w:rsid w:val="00EE5D78"/>
    <w:rsid w:val="00EE68BE"/>
    <w:rsid w:val="00EF252F"/>
    <w:rsid w:val="00EF2849"/>
    <w:rsid w:val="00EF7C0B"/>
    <w:rsid w:val="00F00E8D"/>
    <w:rsid w:val="00F0583F"/>
    <w:rsid w:val="00F066E5"/>
    <w:rsid w:val="00F10288"/>
    <w:rsid w:val="00F11331"/>
    <w:rsid w:val="00F14AC8"/>
    <w:rsid w:val="00F17E83"/>
    <w:rsid w:val="00F203A0"/>
    <w:rsid w:val="00F20726"/>
    <w:rsid w:val="00F2350E"/>
    <w:rsid w:val="00F25D92"/>
    <w:rsid w:val="00F32AD1"/>
    <w:rsid w:val="00F34040"/>
    <w:rsid w:val="00F34099"/>
    <w:rsid w:val="00F34A52"/>
    <w:rsid w:val="00F36912"/>
    <w:rsid w:val="00F37144"/>
    <w:rsid w:val="00F42741"/>
    <w:rsid w:val="00F461D2"/>
    <w:rsid w:val="00F47482"/>
    <w:rsid w:val="00F47FAA"/>
    <w:rsid w:val="00F507C8"/>
    <w:rsid w:val="00F513F4"/>
    <w:rsid w:val="00F532D3"/>
    <w:rsid w:val="00F535CC"/>
    <w:rsid w:val="00F56B67"/>
    <w:rsid w:val="00F62562"/>
    <w:rsid w:val="00F66383"/>
    <w:rsid w:val="00F7045E"/>
    <w:rsid w:val="00F75151"/>
    <w:rsid w:val="00F762E5"/>
    <w:rsid w:val="00F805D4"/>
    <w:rsid w:val="00F81989"/>
    <w:rsid w:val="00F81BFF"/>
    <w:rsid w:val="00F825F1"/>
    <w:rsid w:val="00F910C3"/>
    <w:rsid w:val="00F923A8"/>
    <w:rsid w:val="00F92DFB"/>
    <w:rsid w:val="00FA06BE"/>
    <w:rsid w:val="00FA0B42"/>
    <w:rsid w:val="00FA5352"/>
    <w:rsid w:val="00FB3B45"/>
    <w:rsid w:val="00FB480B"/>
    <w:rsid w:val="00FB49CA"/>
    <w:rsid w:val="00FC3F39"/>
    <w:rsid w:val="00FC492B"/>
    <w:rsid w:val="00FC5AEC"/>
    <w:rsid w:val="00FC61C1"/>
    <w:rsid w:val="00FC6E39"/>
    <w:rsid w:val="00FD0726"/>
    <w:rsid w:val="00FD292C"/>
    <w:rsid w:val="00FD2A81"/>
    <w:rsid w:val="00FD53F3"/>
    <w:rsid w:val="00FD73AE"/>
    <w:rsid w:val="00FE0189"/>
    <w:rsid w:val="00FE1957"/>
    <w:rsid w:val="00FE278A"/>
    <w:rsid w:val="00FE60A5"/>
    <w:rsid w:val="00FE6120"/>
    <w:rsid w:val="00FE6123"/>
    <w:rsid w:val="00FE6B76"/>
    <w:rsid w:val="00FE7AFE"/>
    <w:rsid w:val="00FF2217"/>
    <w:rsid w:val="00FF6B4B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3720B0CF"/>
  <w15:docId w15:val="{95E75A9C-7365-448A-94CB-BB071AD69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1BE5"/>
    <w:pPr>
      <w:suppressAutoHyphens/>
      <w:spacing w:after="120" w:line="100" w:lineRule="atLeast"/>
      <w:jc w:val="both"/>
    </w:pPr>
    <w:rPr>
      <w:kern w:val="1"/>
      <w:sz w:val="24"/>
      <w:szCs w:val="24"/>
      <w:lang w:eastAsia="hi-IN" w:bidi="hi-IN"/>
    </w:rPr>
  </w:style>
  <w:style w:type="paragraph" w:styleId="Heading1">
    <w:name w:val="heading 1"/>
    <w:basedOn w:val="Normal"/>
    <w:next w:val="BodyText"/>
    <w:qFormat/>
    <w:rsid w:val="00981BE5"/>
    <w:pPr>
      <w:keepNext/>
      <w:spacing w:after="0"/>
      <w:jc w:val="left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981BE5"/>
  </w:style>
  <w:style w:type="character" w:customStyle="1" w:styleId="WW-Absatz-Standardschriftart">
    <w:name w:val="WW-Absatz-Standardschriftart"/>
    <w:rsid w:val="00981BE5"/>
  </w:style>
  <w:style w:type="character" w:customStyle="1" w:styleId="WW-Absatz-Standardschriftart1">
    <w:name w:val="WW-Absatz-Standardschriftart1"/>
    <w:rsid w:val="00981BE5"/>
  </w:style>
  <w:style w:type="character" w:customStyle="1" w:styleId="BodyText2Char">
    <w:name w:val="Body Text 2 Char"/>
    <w:basedOn w:val="DefaultParagraphFont"/>
    <w:rsid w:val="00981BE5"/>
    <w:rPr>
      <w:rFonts w:ascii="Arial" w:eastAsia="Times New Roman" w:hAnsi="Arial" w:cs="Arial"/>
      <w:color w:val="000000"/>
      <w:sz w:val="24"/>
      <w:szCs w:val="20"/>
      <w:lang w:val="en-GB"/>
    </w:rPr>
  </w:style>
  <w:style w:type="character" w:customStyle="1" w:styleId="FooterChar">
    <w:name w:val="Footer Char"/>
    <w:basedOn w:val="DefaultParagraphFont"/>
    <w:uiPriority w:val="99"/>
    <w:rsid w:val="00981BE5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geNumber1">
    <w:name w:val="Page Number1"/>
    <w:basedOn w:val="DefaultParagraphFont"/>
    <w:rsid w:val="00981BE5"/>
  </w:style>
  <w:style w:type="character" w:customStyle="1" w:styleId="Heading1Char">
    <w:name w:val="Heading 1 Char"/>
    <w:basedOn w:val="DefaultParagraphFont"/>
    <w:rsid w:val="00981BE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81BE5"/>
    <w:rPr>
      <w:i/>
      <w:iCs/>
    </w:rPr>
  </w:style>
  <w:style w:type="character" w:customStyle="1" w:styleId="BalloonTextChar">
    <w:name w:val="Balloon Text Char"/>
    <w:basedOn w:val="DefaultParagraphFont"/>
    <w:rsid w:val="00981BE5"/>
    <w:rPr>
      <w:rFonts w:ascii="Tahoma" w:eastAsia="Times New Roman" w:hAnsi="Tahoma" w:cs="Tahoma"/>
      <w:sz w:val="16"/>
      <w:szCs w:val="16"/>
      <w:lang w:val="es-CO"/>
    </w:rPr>
  </w:style>
  <w:style w:type="character" w:customStyle="1" w:styleId="HeaderChar">
    <w:name w:val="Header Char"/>
    <w:basedOn w:val="DefaultParagraphFont"/>
    <w:uiPriority w:val="99"/>
    <w:rsid w:val="00981BE5"/>
    <w:rPr>
      <w:rFonts w:ascii="Times New Roman" w:eastAsia="Times New Roman" w:hAnsi="Times New Roman" w:cs="Times New Roman"/>
      <w:sz w:val="24"/>
      <w:szCs w:val="24"/>
      <w:lang w:val="es-CO"/>
    </w:rPr>
  </w:style>
  <w:style w:type="character" w:customStyle="1" w:styleId="ListLabel1">
    <w:name w:val="ListLabel 1"/>
    <w:rsid w:val="00981BE5"/>
    <w:rPr>
      <w:b/>
    </w:rPr>
  </w:style>
  <w:style w:type="character" w:customStyle="1" w:styleId="NumberingSymbols">
    <w:name w:val="Numbering Symbols"/>
    <w:rsid w:val="00981BE5"/>
  </w:style>
  <w:style w:type="paragraph" w:customStyle="1" w:styleId="Heading">
    <w:name w:val="Heading"/>
    <w:basedOn w:val="Normal"/>
    <w:next w:val="BodyText"/>
    <w:rsid w:val="00981BE5"/>
    <w:pPr>
      <w:keepNext/>
      <w:spacing w:before="24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981BE5"/>
  </w:style>
  <w:style w:type="paragraph" w:styleId="List">
    <w:name w:val="List"/>
    <w:basedOn w:val="BodyText"/>
    <w:rsid w:val="00981BE5"/>
    <w:rPr>
      <w:rFonts w:cs="Mangal"/>
    </w:rPr>
  </w:style>
  <w:style w:type="paragraph" w:styleId="Caption">
    <w:name w:val="caption"/>
    <w:basedOn w:val="Normal"/>
    <w:qFormat/>
    <w:rsid w:val="00981BE5"/>
    <w:pPr>
      <w:suppressLineNumbers/>
      <w:spacing w:before="120"/>
    </w:pPr>
    <w:rPr>
      <w:rFonts w:cs="Mangal"/>
      <w:i/>
      <w:iCs/>
    </w:rPr>
  </w:style>
  <w:style w:type="paragraph" w:customStyle="1" w:styleId="Index">
    <w:name w:val="Index"/>
    <w:basedOn w:val="Normal"/>
    <w:rsid w:val="00981BE5"/>
    <w:pPr>
      <w:suppressLineNumbers/>
    </w:pPr>
    <w:rPr>
      <w:rFonts w:cs="Mangal"/>
    </w:rPr>
  </w:style>
  <w:style w:type="paragraph" w:styleId="BodyText2">
    <w:name w:val="Body Text 2"/>
    <w:basedOn w:val="Normal"/>
    <w:rsid w:val="00981BE5"/>
    <w:pPr>
      <w:spacing w:after="0" w:line="280" w:lineRule="atLeast"/>
      <w:ind w:right="-12"/>
    </w:pPr>
    <w:rPr>
      <w:rFonts w:ascii="Arial" w:hAnsi="Arial" w:cs="Arial"/>
      <w:color w:val="000000"/>
      <w:szCs w:val="20"/>
      <w:lang w:val="en-GB"/>
    </w:rPr>
  </w:style>
  <w:style w:type="paragraph" w:styleId="Footer">
    <w:name w:val="footer"/>
    <w:basedOn w:val="Normal"/>
    <w:uiPriority w:val="99"/>
    <w:rsid w:val="00981BE5"/>
    <w:pPr>
      <w:suppressLineNumbers/>
      <w:tabs>
        <w:tab w:val="center" w:pos="4153"/>
        <w:tab w:val="right" w:pos="8306"/>
      </w:tabs>
      <w:spacing w:after="0"/>
      <w:jc w:val="left"/>
    </w:pPr>
    <w:rPr>
      <w:lang w:val="en-GB"/>
    </w:rPr>
  </w:style>
  <w:style w:type="paragraph" w:styleId="BalloonText">
    <w:name w:val="Balloon Text"/>
    <w:basedOn w:val="Normal"/>
    <w:rsid w:val="00981BE5"/>
    <w:pPr>
      <w:spacing w:after="0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uiPriority w:val="99"/>
    <w:rsid w:val="00981BE5"/>
    <w:pPr>
      <w:suppressLineNumbers/>
      <w:tabs>
        <w:tab w:val="center" w:pos="4680"/>
        <w:tab w:val="right" w:pos="9360"/>
      </w:tabs>
      <w:spacing w:after="0"/>
    </w:pPr>
  </w:style>
  <w:style w:type="paragraph" w:customStyle="1" w:styleId="CharCharCharChar">
    <w:name w:val="Char Char Char Char"/>
    <w:basedOn w:val="Normal"/>
    <w:rsid w:val="00981BE5"/>
    <w:pPr>
      <w:spacing w:after="160" w:line="240" w:lineRule="exact"/>
      <w:jc w:val="left"/>
    </w:pPr>
    <w:rPr>
      <w:rFonts w:ascii="Tahoma" w:hAnsi="Tahoma"/>
      <w:szCs w:val="20"/>
    </w:rPr>
  </w:style>
  <w:style w:type="paragraph" w:customStyle="1" w:styleId="Framecontents">
    <w:name w:val="Frame contents"/>
    <w:basedOn w:val="BodyText"/>
    <w:rsid w:val="00981BE5"/>
  </w:style>
  <w:style w:type="paragraph" w:customStyle="1" w:styleId="Enterinformationhere">
    <w:name w:val="Enter information here"/>
    <w:basedOn w:val="Normal"/>
    <w:rsid w:val="00981BE5"/>
    <w:pPr>
      <w:spacing w:after="0"/>
    </w:pPr>
  </w:style>
  <w:style w:type="paragraph" w:customStyle="1" w:styleId="TableContents">
    <w:name w:val="Table Contents"/>
    <w:basedOn w:val="Normal"/>
    <w:rsid w:val="00981BE5"/>
    <w:pPr>
      <w:suppressLineNumbers/>
    </w:pPr>
  </w:style>
  <w:style w:type="paragraph" w:customStyle="1" w:styleId="TableHeading">
    <w:name w:val="Table Heading"/>
    <w:basedOn w:val="TableContents"/>
    <w:rsid w:val="00981BE5"/>
    <w:pPr>
      <w:jc w:val="center"/>
    </w:pPr>
    <w:rPr>
      <w:b/>
      <w:bCs/>
    </w:rPr>
  </w:style>
  <w:style w:type="paragraph" w:styleId="NoSpacing">
    <w:name w:val="No Spacing"/>
    <w:qFormat/>
    <w:rsid w:val="00981BE5"/>
    <w:pPr>
      <w:suppressAutoHyphens/>
      <w:spacing w:line="100" w:lineRule="atLeast"/>
    </w:pPr>
    <w:rPr>
      <w:rFonts w:eastAsia="SimSun" w:cs="Mangal"/>
      <w:sz w:val="18"/>
      <w:szCs w:val="18"/>
      <w:lang w:val="en-PH" w:eastAsia="hi-IN" w:bidi="hi-IN"/>
    </w:rPr>
  </w:style>
  <w:style w:type="paragraph" w:styleId="ListParagraph">
    <w:name w:val="List Paragraph"/>
    <w:basedOn w:val="Normal"/>
    <w:uiPriority w:val="34"/>
    <w:qFormat/>
    <w:rsid w:val="00832B88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DefaultParagraphFont"/>
    <w:uiPriority w:val="99"/>
    <w:unhideWhenUsed/>
    <w:rsid w:val="0013530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78CB"/>
    <w:rPr>
      <w:color w:val="800080" w:themeColor="followedHyperlink"/>
      <w:u w:val="single"/>
    </w:rPr>
  </w:style>
  <w:style w:type="character" w:customStyle="1" w:styleId="notranslate">
    <w:name w:val="notranslate"/>
    <w:basedOn w:val="DefaultParagraphFont"/>
    <w:rsid w:val="003B06D5"/>
  </w:style>
  <w:style w:type="paragraph" w:styleId="Title">
    <w:name w:val="Title"/>
    <w:basedOn w:val="Normal"/>
    <w:next w:val="Normal"/>
    <w:link w:val="TitleChar"/>
    <w:uiPriority w:val="10"/>
    <w:qFormat/>
    <w:rsid w:val="003E2779"/>
    <w:pPr>
      <w:pBdr>
        <w:bottom w:val="single" w:sz="8" w:space="4" w:color="4F81BD"/>
      </w:pBdr>
      <w:suppressAutoHyphens w:val="0"/>
      <w:spacing w:after="300" w:line="240" w:lineRule="auto"/>
      <w:contextualSpacing/>
      <w:jc w:val="left"/>
    </w:pPr>
    <w:rPr>
      <w:rFonts w:ascii="Cambria" w:hAnsi="Cambria"/>
      <w:color w:val="17365D"/>
      <w:spacing w:val="5"/>
      <w:kern w:val="28"/>
      <w:sz w:val="52"/>
      <w:szCs w:val="52"/>
      <w:lang w:eastAsia="en-US" w:bidi="ar-SA"/>
    </w:rPr>
  </w:style>
  <w:style w:type="character" w:customStyle="1" w:styleId="TitleChar">
    <w:name w:val="Title Char"/>
    <w:basedOn w:val="DefaultParagraphFont"/>
    <w:link w:val="Title"/>
    <w:uiPriority w:val="10"/>
    <w:rsid w:val="003E2779"/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st">
    <w:name w:val="st"/>
    <w:basedOn w:val="DefaultParagraphFont"/>
    <w:rsid w:val="00F340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66523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5309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07974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32296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9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3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09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20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006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298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58596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79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3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20027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2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8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47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53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53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866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72962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75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3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663023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1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3335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single" w:sz="6" w:space="0" w:color="999999"/>
            <w:right w:val="none" w:sz="0" w:space="0" w:color="auto"/>
          </w:divBdr>
        </w:div>
      </w:divsChild>
    </w:div>
    <w:div w:id="14389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729662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8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661274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5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509429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2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448320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77A07B434D17428E0B184CD8033A65" ma:contentTypeVersion="0" ma:contentTypeDescription="Create a new document." ma:contentTypeScope="" ma:versionID="d7a1b1109de5e9e359d3c3a7d5fd87cc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01ABD-FA8F-408E-8EEA-9692213BCF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DA4D3E1-919A-464D-A3C1-974545D24A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879DA9-6667-4F06-98D3-3B04C72F54CC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A9F231C9-F94F-4036-B617-40ACDAA1A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752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World Bank Group</Company>
  <LinksUpToDate>false</LinksUpToDate>
  <CharactersWithSpaces>5030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wb216390</dc:creator>
  <cp:lastModifiedBy>Anne-Katrin Arnold</cp:lastModifiedBy>
  <cp:revision>53</cp:revision>
  <cp:lastPrinted>2014-09-10T16:30:00Z</cp:lastPrinted>
  <dcterms:created xsi:type="dcterms:W3CDTF">2015-02-24T00:58:00Z</dcterms:created>
  <dcterms:modified xsi:type="dcterms:W3CDTF">2015-02-25T19:08:00Z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The World Bank Group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0x0101001C77A07B434D17428E0B184CD8033A65</vt:lpwstr>
  </property>
</Properties>
</file>