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A31EC2" w:rsidRDefault="00136AB9" w:rsidP="00EB75B9">
      <w:pPr>
        <w:jc w:val="center"/>
        <w:rPr>
          <w:rFonts w:ascii="Calibri" w:hAnsi="Calibri" w:cs="Calibri"/>
        </w:rPr>
      </w:pPr>
      <w:r>
        <w:rPr>
          <w:rFonts w:ascii="Calibri" w:hAnsi="Calibri" w:cs="Calibri"/>
          <w:noProof/>
          <w:color w:val="000000"/>
          <w:sz w:val="18"/>
          <w:szCs w:val="18"/>
          <w:lang w:eastAsia="en-US" w:bidi="ar-SA"/>
        </w:rPr>
        <w:drawing>
          <wp:inline distT="0" distB="0" distL="0" distR="0" wp14:anchorId="2F0D5D79" wp14:editId="2EC7ABC5">
            <wp:extent cx="3000375" cy="885825"/>
            <wp:effectExtent l="19050" t="0" r="9525"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srcRect/>
                    <a:stretch>
                      <a:fillRect/>
                    </a:stretch>
                  </pic:blipFill>
                  <pic:spPr bwMode="auto">
                    <a:xfrm>
                      <a:off x="0" y="0"/>
                      <a:ext cx="3000375" cy="885825"/>
                    </a:xfrm>
                    <a:prstGeom prst="rect">
                      <a:avLst/>
                    </a:prstGeom>
                    <a:noFill/>
                    <a:ln w="9525">
                      <a:noFill/>
                      <a:miter lim="800000"/>
                      <a:headEnd/>
                      <a:tailEnd/>
                    </a:ln>
                  </pic:spPr>
                </pic:pic>
              </a:graphicData>
            </a:graphic>
          </wp:inline>
        </w:drawing>
      </w:r>
    </w:p>
    <w:p w:rsidR="00584D7F" w:rsidRPr="00335698" w:rsidRDefault="00584D7F" w:rsidP="00584D7F">
      <w:pPr>
        <w:spacing w:after="240" w:line="240" w:lineRule="auto"/>
        <w:jc w:val="center"/>
        <w:rPr>
          <w:rFonts w:asciiTheme="minorHAnsi" w:hAnsiTheme="minorHAnsi" w:cstheme="minorHAnsi"/>
          <w:color w:val="365F91" w:themeColor="accent1" w:themeShade="BF"/>
          <w:sz w:val="36"/>
          <w:szCs w:val="36"/>
        </w:rPr>
      </w:pPr>
      <w:r w:rsidRPr="00335698">
        <w:rPr>
          <w:rFonts w:asciiTheme="minorHAnsi" w:hAnsiTheme="minorHAnsi" w:cstheme="minorHAnsi"/>
          <w:color w:val="365F91" w:themeColor="accent1" w:themeShade="BF"/>
          <w:sz w:val="36"/>
          <w:szCs w:val="36"/>
        </w:rPr>
        <w:t xml:space="preserve">Review and Update of the World Bank’s Environmental and </w:t>
      </w:r>
    </w:p>
    <w:p w:rsidR="00584D7F" w:rsidRPr="00335698" w:rsidRDefault="00584D7F" w:rsidP="00584D7F">
      <w:pPr>
        <w:spacing w:after="240" w:line="240" w:lineRule="auto"/>
        <w:jc w:val="center"/>
        <w:rPr>
          <w:rFonts w:asciiTheme="minorHAnsi" w:hAnsiTheme="minorHAnsi" w:cstheme="minorHAnsi"/>
          <w:color w:val="365F91" w:themeColor="accent1" w:themeShade="BF"/>
          <w:sz w:val="36"/>
          <w:szCs w:val="36"/>
        </w:rPr>
      </w:pPr>
      <w:r w:rsidRPr="00335698">
        <w:rPr>
          <w:rFonts w:asciiTheme="minorHAnsi" w:hAnsiTheme="minorHAnsi" w:cstheme="minorHAnsi"/>
          <w:color w:val="365F91" w:themeColor="accent1" w:themeShade="BF"/>
          <w:sz w:val="36"/>
          <w:szCs w:val="36"/>
        </w:rPr>
        <w:t xml:space="preserve">Social Safeguard Policies </w:t>
      </w:r>
    </w:p>
    <w:p w:rsidR="00584D7F" w:rsidRPr="00335698" w:rsidRDefault="00584D7F" w:rsidP="00584D7F">
      <w:pPr>
        <w:pStyle w:val="Title"/>
        <w:jc w:val="center"/>
        <w:rPr>
          <w:rFonts w:asciiTheme="minorHAnsi" w:hAnsiTheme="minorHAnsi" w:cstheme="minorHAnsi"/>
          <w:color w:val="365F91" w:themeColor="accent1" w:themeShade="BF"/>
          <w:sz w:val="32"/>
          <w:szCs w:val="32"/>
          <w:lang w:eastAsia="zh-CN"/>
        </w:rPr>
      </w:pPr>
      <w:r w:rsidRPr="00335698">
        <w:rPr>
          <w:rFonts w:asciiTheme="minorHAnsi" w:hAnsiTheme="minorHAnsi" w:cstheme="minorHAnsi"/>
          <w:color w:val="365F91"/>
          <w:kern w:val="1"/>
          <w:sz w:val="32"/>
          <w:szCs w:val="32"/>
          <w:lang w:val="en-GB"/>
        </w:rPr>
        <w:t>Consultation Meeting with</w:t>
      </w:r>
      <w:r>
        <w:rPr>
          <w:rFonts w:cstheme="minorHAnsi"/>
          <w:b/>
          <w:color w:val="365F91"/>
          <w:kern w:val="1"/>
          <w:sz w:val="32"/>
          <w:szCs w:val="32"/>
          <w:lang w:val="en-GB"/>
        </w:rPr>
        <w:t xml:space="preserve"> </w:t>
      </w:r>
      <w:r w:rsidRPr="00335698">
        <w:rPr>
          <w:rFonts w:asciiTheme="minorHAnsi" w:hAnsiTheme="minorHAnsi" w:cstheme="minorHAnsi"/>
          <w:color w:val="365F91" w:themeColor="accent1" w:themeShade="BF"/>
          <w:sz w:val="32"/>
          <w:szCs w:val="32"/>
          <w:lang w:eastAsia="zh-CN"/>
        </w:rPr>
        <w:t xml:space="preserve">Government Representatives </w:t>
      </w:r>
      <w:r>
        <w:rPr>
          <w:rFonts w:asciiTheme="minorHAnsi" w:hAnsiTheme="minorHAnsi" w:cstheme="minorHAnsi"/>
          <w:color w:val="365F91" w:themeColor="accent1" w:themeShade="BF"/>
          <w:sz w:val="32"/>
          <w:szCs w:val="32"/>
          <w:lang w:eastAsia="zh-CN"/>
        </w:rPr>
        <w:br/>
        <w:t>Beijing, China, March 13, 2013</w:t>
      </w:r>
    </w:p>
    <w:p w:rsidR="00584D7F" w:rsidRDefault="00584D7F" w:rsidP="00584D7F"/>
    <w:p w:rsidR="00584D7F" w:rsidRPr="00584D7F" w:rsidRDefault="00584D7F" w:rsidP="00584D7F">
      <w:pPr>
        <w:rPr>
          <w:rFonts w:asciiTheme="minorHAnsi" w:hAnsiTheme="minorHAnsi" w:cstheme="minorHAnsi"/>
        </w:rPr>
      </w:pPr>
      <w:r w:rsidRPr="00584D7F">
        <w:rPr>
          <w:rFonts w:asciiTheme="minorHAnsi" w:hAnsiTheme="minorHAnsi" w:cstheme="minorHAnsi"/>
        </w:rPr>
        <w:t xml:space="preserve">The consultation meeting was held on March 13, 2013. After a presentation by the World Bank Safeguards Review Team on the background, intended scope and process for the review, the floor was open for participants’ input and comments.  </w:t>
      </w:r>
    </w:p>
    <w:p w:rsidR="006D7F10" w:rsidRPr="00584D7F" w:rsidRDefault="00584D7F" w:rsidP="004417F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Calibri" w:hAnsi="Calibri" w:cs="Calibri"/>
          <w:b/>
          <w:color w:val="1F497D"/>
          <w:sz w:val="28"/>
          <w:szCs w:val="28"/>
        </w:rPr>
      </w:pPr>
      <w:r w:rsidRPr="00584D7F">
        <w:rPr>
          <w:rFonts w:ascii="Calibri" w:hAnsi="Calibri" w:cs="Calibri"/>
          <w:b/>
          <w:color w:val="17365D"/>
          <w:sz w:val="28"/>
          <w:szCs w:val="28"/>
        </w:rPr>
        <w:t>What has worked well in the current safeguard policies</w:t>
      </w:r>
      <w:r w:rsidR="00401627">
        <w:rPr>
          <w:rFonts w:ascii="Calibri" w:hAnsi="Calibri" w:cs="Calibri"/>
          <w:b/>
          <w:color w:val="17365D"/>
          <w:sz w:val="28"/>
          <w:szCs w:val="28"/>
        </w:rPr>
        <w:t>?</w:t>
      </w:r>
      <w:bookmarkStart w:id="0" w:name="_GoBack"/>
      <w:bookmarkEnd w:id="0"/>
      <w:r w:rsidRPr="00584D7F">
        <w:rPr>
          <w:rFonts w:ascii="Calibri" w:hAnsi="Calibri" w:cs="Calibri"/>
          <w:b/>
          <w:color w:val="1F497D"/>
          <w:sz w:val="28"/>
          <w:szCs w:val="28"/>
        </w:rPr>
        <w:br/>
      </w:r>
    </w:p>
    <w:p w:rsidR="00401627" w:rsidRPr="00FB3D5B" w:rsidRDefault="00401627" w:rsidP="00401627">
      <w:pPr>
        <w:pStyle w:val="ListParagraph"/>
        <w:numPr>
          <w:ilvl w:val="0"/>
          <w:numId w:val="32"/>
        </w:numPr>
        <w:spacing w:after="0" w:line="240" w:lineRule="auto"/>
        <w:jc w:val="left"/>
        <w:rPr>
          <w:rFonts w:asciiTheme="minorHAnsi" w:hAnsiTheme="minorHAnsi" w:cstheme="minorHAnsi"/>
        </w:rPr>
      </w:pPr>
      <w:r w:rsidRPr="00FB3D5B">
        <w:rPr>
          <w:rFonts w:asciiTheme="minorHAnsi" w:hAnsiTheme="minorHAnsi" w:cstheme="minorHAnsi"/>
          <w:szCs w:val="24"/>
        </w:rPr>
        <w:t>China has benefited from the safeguard policies introduced by the Bank and we appreciate the Bank’s efforts to update the safeguards.</w:t>
      </w:r>
    </w:p>
    <w:p w:rsidR="00401627" w:rsidRPr="00FB3D5B" w:rsidRDefault="00401627" w:rsidP="00401627">
      <w:pPr>
        <w:pStyle w:val="ListParagraph"/>
        <w:numPr>
          <w:ilvl w:val="0"/>
          <w:numId w:val="32"/>
        </w:numPr>
        <w:spacing w:after="0" w:line="240" w:lineRule="auto"/>
        <w:jc w:val="left"/>
        <w:rPr>
          <w:rFonts w:asciiTheme="minorHAnsi" w:hAnsiTheme="minorHAnsi" w:cstheme="minorHAnsi"/>
        </w:rPr>
      </w:pPr>
      <w:r w:rsidRPr="00FB3D5B">
        <w:rPr>
          <w:rFonts w:asciiTheme="minorHAnsi" w:hAnsiTheme="minorHAnsi" w:cstheme="minorHAnsi"/>
          <w:szCs w:val="24"/>
        </w:rPr>
        <w:t>Bank safeguards brought changes to the mindset of project implementation staff in China especially in terms of public consultation and participation. Without it, rural and forestry projects would have been difficult to implement.</w:t>
      </w:r>
    </w:p>
    <w:p w:rsidR="00401627" w:rsidRPr="00FB3D5B" w:rsidRDefault="00401627" w:rsidP="00401627">
      <w:pPr>
        <w:pStyle w:val="ListParagraph"/>
        <w:numPr>
          <w:ilvl w:val="0"/>
          <w:numId w:val="32"/>
        </w:numPr>
        <w:spacing w:after="0" w:line="240" w:lineRule="auto"/>
        <w:jc w:val="left"/>
        <w:rPr>
          <w:rFonts w:asciiTheme="minorHAnsi" w:hAnsiTheme="minorHAnsi" w:cstheme="minorHAnsi"/>
        </w:rPr>
      </w:pPr>
      <w:r w:rsidRPr="00FB3D5B">
        <w:rPr>
          <w:rFonts w:asciiTheme="minorHAnsi" w:hAnsiTheme="minorHAnsi" w:cstheme="minorHAnsi"/>
          <w:szCs w:val="24"/>
        </w:rPr>
        <w:t xml:space="preserve">China has learned much from the Bank’s safeguards in developing its own EIA law and procedures, e.g., public consultation and information disclosure. But EIA enforcement remains weak in China. </w:t>
      </w:r>
    </w:p>
    <w:p w:rsidR="00401627" w:rsidRPr="00FB3D5B" w:rsidRDefault="00401627" w:rsidP="00401627">
      <w:pPr>
        <w:pStyle w:val="ListParagraph"/>
        <w:numPr>
          <w:ilvl w:val="0"/>
          <w:numId w:val="32"/>
        </w:numPr>
        <w:spacing w:after="0" w:line="240" w:lineRule="auto"/>
        <w:jc w:val="left"/>
        <w:rPr>
          <w:rFonts w:asciiTheme="minorHAnsi" w:hAnsiTheme="minorHAnsi" w:cstheme="minorHAnsi"/>
        </w:rPr>
      </w:pPr>
      <w:r w:rsidRPr="00FB3D5B">
        <w:rPr>
          <w:rFonts w:asciiTheme="minorHAnsi" w:hAnsiTheme="minorHAnsi" w:cstheme="minorHAnsi"/>
          <w:szCs w:val="24"/>
        </w:rPr>
        <w:t>Safeguards helped us improve targeting of the poor in poverty alleviation, and promoted socially and environmental friendly development.</w:t>
      </w:r>
    </w:p>
    <w:p w:rsidR="00584D7F" w:rsidRPr="00584D7F" w:rsidRDefault="00401627" w:rsidP="00401627">
      <w:pPr>
        <w:numPr>
          <w:ilvl w:val="0"/>
          <w:numId w:val="32"/>
        </w:numPr>
        <w:jc w:val="left"/>
        <w:rPr>
          <w:rFonts w:ascii="Calibri" w:hAnsi="Calibri" w:cs="Calibri"/>
          <w:szCs w:val="22"/>
        </w:rPr>
      </w:pPr>
      <w:r w:rsidRPr="00FB3D5B">
        <w:rPr>
          <w:rFonts w:asciiTheme="minorHAnsi" w:hAnsiTheme="minorHAnsi" w:cstheme="minorHAnsi"/>
        </w:rPr>
        <w:t>China has learned different things from the Bank at different development stages. Update of the safeguards is necessary to keep up with the evolving environment.</w:t>
      </w:r>
    </w:p>
    <w:p w:rsidR="00584D7F" w:rsidRPr="00584D7F" w:rsidRDefault="00584D7F" w:rsidP="004417F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Calibri" w:hAnsi="Calibri" w:cs="Calibri"/>
          <w:b/>
          <w:color w:val="17365D"/>
          <w:sz w:val="28"/>
          <w:szCs w:val="28"/>
        </w:rPr>
      </w:pPr>
      <w:r>
        <w:rPr>
          <w:rFonts w:ascii="Calibri" w:hAnsi="Calibri" w:cs="Calibri"/>
          <w:b/>
          <w:szCs w:val="24"/>
        </w:rPr>
        <w:br/>
      </w:r>
      <w:r w:rsidRPr="00584D7F">
        <w:rPr>
          <w:rFonts w:ascii="Calibri" w:eastAsia="Batang" w:hAnsi="Calibri" w:cs="Calibri"/>
          <w:b/>
          <w:bCs/>
          <w:color w:val="17365D"/>
          <w:sz w:val="28"/>
          <w:szCs w:val="28"/>
        </w:rPr>
        <w:t>Issues and c</w:t>
      </w:r>
      <w:r w:rsidRPr="00584D7F">
        <w:rPr>
          <w:rFonts w:ascii="Calibri" w:hAnsi="Calibri" w:cs="Calibri"/>
          <w:b/>
          <w:color w:val="17365D"/>
          <w:sz w:val="28"/>
          <w:szCs w:val="28"/>
        </w:rPr>
        <w:t>hallenges encountered in the application of the safeguard policies.</w:t>
      </w:r>
      <w:r w:rsidRPr="00584D7F">
        <w:rPr>
          <w:rFonts w:ascii="Calibri" w:hAnsi="Calibri" w:cs="Calibri"/>
          <w:b/>
          <w:color w:val="17365D"/>
          <w:sz w:val="28"/>
          <w:szCs w:val="28"/>
        </w:rPr>
        <w:br/>
      </w:r>
    </w:p>
    <w:p w:rsidR="00401627" w:rsidRPr="00FB3D5B" w:rsidRDefault="00584D7F" w:rsidP="00401627">
      <w:pPr>
        <w:pStyle w:val="ListParagraph"/>
        <w:numPr>
          <w:ilvl w:val="0"/>
          <w:numId w:val="38"/>
        </w:numPr>
        <w:spacing w:after="0" w:line="240" w:lineRule="auto"/>
        <w:jc w:val="left"/>
        <w:rPr>
          <w:rFonts w:asciiTheme="minorHAnsi" w:hAnsiTheme="minorHAnsi" w:cstheme="minorHAnsi"/>
        </w:rPr>
      </w:pPr>
      <w:r w:rsidRPr="00DB7246">
        <w:rPr>
          <w:rFonts w:ascii="Calibri" w:hAnsi="Calibri" w:cs="Calibri"/>
          <w:szCs w:val="22"/>
        </w:rPr>
        <w:t>I</w:t>
      </w:r>
      <w:r w:rsidR="00401627" w:rsidRPr="00401627">
        <w:rPr>
          <w:rFonts w:asciiTheme="minorHAnsi" w:hAnsiTheme="minorHAnsi" w:cstheme="minorHAnsi"/>
          <w:szCs w:val="24"/>
        </w:rPr>
        <w:t xml:space="preserve"> </w:t>
      </w:r>
      <w:r w:rsidR="00401627" w:rsidRPr="00FB3D5B">
        <w:rPr>
          <w:rFonts w:asciiTheme="minorHAnsi" w:hAnsiTheme="minorHAnsi" w:cstheme="minorHAnsi"/>
          <w:szCs w:val="24"/>
        </w:rPr>
        <w:t xml:space="preserve">Interpretation of safeguard policies sometimes </w:t>
      </w:r>
      <w:proofErr w:type="gramStart"/>
      <w:r w:rsidR="00401627" w:rsidRPr="00FB3D5B">
        <w:rPr>
          <w:rFonts w:asciiTheme="minorHAnsi" w:hAnsiTheme="minorHAnsi" w:cstheme="minorHAnsi"/>
          <w:szCs w:val="24"/>
        </w:rPr>
        <w:t>depends</w:t>
      </w:r>
      <w:proofErr w:type="gramEnd"/>
      <w:r w:rsidR="00401627" w:rsidRPr="00FB3D5B">
        <w:rPr>
          <w:rFonts w:asciiTheme="minorHAnsi" w:hAnsiTheme="minorHAnsi" w:cstheme="minorHAnsi"/>
          <w:szCs w:val="24"/>
        </w:rPr>
        <w:t xml:space="preserve"> too much on individual task team leaders. The updated policies need to be clearer.</w:t>
      </w:r>
    </w:p>
    <w:p w:rsidR="00401627" w:rsidRPr="00FB3D5B" w:rsidRDefault="00401627" w:rsidP="00401627">
      <w:pPr>
        <w:pStyle w:val="ListParagraph"/>
        <w:numPr>
          <w:ilvl w:val="0"/>
          <w:numId w:val="38"/>
        </w:numPr>
        <w:spacing w:after="0" w:line="240" w:lineRule="auto"/>
        <w:jc w:val="left"/>
        <w:rPr>
          <w:rFonts w:asciiTheme="minorHAnsi" w:hAnsiTheme="minorHAnsi" w:cstheme="minorHAnsi"/>
        </w:rPr>
      </w:pPr>
      <w:r w:rsidRPr="00FB3D5B">
        <w:rPr>
          <w:rFonts w:asciiTheme="minorHAnsi" w:hAnsiTheme="minorHAnsi" w:cstheme="minorHAnsi"/>
          <w:szCs w:val="24"/>
        </w:rPr>
        <w:t>There is a need to reconcile Bank safeguard policies with client country policies and regulations, e.g., compensation standards for land acquisition.</w:t>
      </w:r>
    </w:p>
    <w:p w:rsidR="00401627" w:rsidRPr="00FB3D5B" w:rsidRDefault="00401627" w:rsidP="00401627">
      <w:pPr>
        <w:pStyle w:val="ListParagraph"/>
        <w:numPr>
          <w:ilvl w:val="0"/>
          <w:numId w:val="38"/>
        </w:numPr>
        <w:spacing w:after="0" w:line="240" w:lineRule="auto"/>
        <w:jc w:val="left"/>
        <w:rPr>
          <w:rFonts w:asciiTheme="minorHAnsi" w:hAnsiTheme="minorHAnsi" w:cstheme="minorHAnsi"/>
        </w:rPr>
      </w:pPr>
      <w:r w:rsidRPr="00FB3D5B">
        <w:rPr>
          <w:rFonts w:asciiTheme="minorHAnsi" w:hAnsiTheme="minorHAnsi" w:cstheme="minorHAnsi"/>
          <w:szCs w:val="24"/>
        </w:rPr>
        <w:t>Since the Bank and China have their own sets of social and environmental policies and procedures, each project has to go through two review processes in parallel, resulting in long preparation time and low efficiency.</w:t>
      </w:r>
    </w:p>
    <w:p w:rsidR="00401627" w:rsidRDefault="00401627" w:rsidP="00401627">
      <w:pPr>
        <w:pStyle w:val="ListParagraph"/>
        <w:numPr>
          <w:ilvl w:val="0"/>
          <w:numId w:val="38"/>
        </w:numPr>
        <w:spacing w:after="0" w:line="240" w:lineRule="auto"/>
        <w:jc w:val="left"/>
        <w:rPr>
          <w:rFonts w:asciiTheme="minorHAnsi" w:hAnsiTheme="minorHAnsi" w:cstheme="minorHAnsi"/>
        </w:rPr>
      </w:pPr>
      <w:r w:rsidRPr="00FB3D5B">
        <w:rPr>
          <w:rFonts w:asciiTheme="minorHAnsi" w:hAnsiTheme="minorHAnsi" w:cstheme="minorHAnsi"/>
        </w:rPr>
        <w:t xml:space="preserve">Indigenous Peoples: for countries that recognize ethnic minorities’ autonomous rights such as China, minority people are actually the majority population in areas where they live and would </w:t>
      </w:r>
      <w:r w:rsidRPr="00FB3D5B">
        <w:rPr>
          <w:rFonts w:asciiTheme="minorHAnsi" w:hAnsiTheme="minorHAnsi" w:cstheme="minorHAnsi"/>
        </w:rPr>
        <w:lastRenderedPageBreak/>
        <w:t>be the main beneficiaries of projects. Do we still need to have a separate ethnic minority development plan for Bank projects in these areas?</w:t>
      </w:r>
    </w:p>
    <w:p w:rsidR="00401627" w:rsidRPr="00401627" w:rsidRDefault="00401627" w:rsidP="00401627">
      <w:pPr>
        <w:pStyle w:val="ListParagraph"/>
        <w:numPr>
          <w:ilvl w:val="0"/>
          <w:numId w:val="38"/>
        </w:numPr>
        <w:spacing w:after="0" w:line="240" w:lineRule="auto"/>
        <w:jc w:val="left"/>
        <w:rPr>
          <w:rFonts w:asciiTheme="minorHAnsi" w:hAnsiTheme="minorHAnsi" w:cstheme="minorHAnsi"/>
        </w:rPr>
      </w:pPr>
      <w:r w:rsidRPr="00401627">
        <w:rPr>
          <w:rFonts w:asciiTheme="minorHAnsi" w:hAnsiTheme="minorHAnsi" w:cstheme="minorHAnsi"/>
          <w:szCs w:val="24"/>
        </w:rPr>
        <w:t>There is the issue of cost versus benefit of Bank safeguard practices in China over decades. Some practices in China (e.g., time period of public disclosure) already meet the Bank criteria, thus duplication in these areas could be avoided to improve efficiency.</w:t>
      </w:r>
    </w:p>
    <w:p w:rsidR="00401627" w:rsidRDefault="00401627" w:rsidP="00401627">
      <w:pPr>
        <w:ind w:left="360"/>
        <w:jc w:val="left"/>
        <w:rPr>
          <w:rFonts w:asciiTheme="minorHAnsi" w:hAnsiTheme="minorHAnsi" w:cstheme="minorHAnsi"/>
        </w:rPr>
      </w:pPr>
    </w:p>
    <w:p w:rsidR="00584D7F" w:rsidRPr="00584D7F" w:rsidRDefault="00584D7F" w:rsidP="00401627">
      <w:pPr>
        <w:ind w:left="360"/>
        <w:jc w:val="left"/>
        <w:rPr>
          <w:rFonts w:cs="Calibri"/>
          <w:b/>
          <w:color w:val="17365D"/>
          <w:sz w:val="28"/>
          <w:szCs w:val="28"/>
        </w:rPr>
      </w:pPr>
      <w:r w:rsidRPr="00401627">
        <w:rPr>
          <w:rFonts w:asciiTheme="minorHAnsi" w:eastAsia="Batang" w:hAnsiTheme="minorHAnsi" w:cstheme="minorHAnsi"/>
          <w:b/>
          <w:bCs/>
          <w:color w:val="17365D"/>
          <w:sz w:val="28"/>
          <w:szCs w:val="28"/>
        </w:rPr>
        <w:t>A</w:t>
      </w:r>
      <w:r w:rsidRPr="00401627">
        <w:rPr>
          <w:rFonts w:asciiTheme="minorHAnsi" w:hAnsiTheme="minorHAnsi" w:cstheme="minorHAnsi"/>
          <w:b/>
          <w:color w:val="17365D"/>
          <w:sz w:val="28"/>
          <w:szCs w:val="28"/>
        </w:rPr>
        <w:t>spects of the environmental and social safeguards policies that the Bank can improve to ensure that these policies continue to be an effective and efficient tool to achieve sustainable development and results on the ground</w:t>
      </w:r>
      <w:r w:rsidRPr="00584D7F">
        <w:rPr>
          <w:rFonts w:cs="Calibri"/>
          <w:b/>
          <w:color w:val="17365D"/>
          <w:sz w:val="28"/>
          <w:szCs w:val="28"/>
        </w:rPr>
        <w:br/>
      </w:r>
    </w:p>
    <w:p w:rsidR="00401627" w:rsidRPr="00FB3D5B" w:rsidRDefault="00401627" w:rsidP="00401627">
      <w:pPr>
        <w:pStyle w:val="ListParagraph"/>
        <w:widowControl w:val="0"/>
        <w:numPr>
          <w:ilvl w:val="0"/>
          <w:numId w:val="32"/>
        </w:numPr>
        <w:autoSpaceDE w:val="0"/>
        <w:autoSpaceDN w:val="0"/>
        <w:adjustRightInd w:val="0"/>
        <w:spacing w:after="0" w:line="240" w:lineRule="auto"/>
        <w:jc w:val="left"/>
        <w:rPr>
          <w:rFonts w:asciiTheme="minorHAnsi" w:hAnsiTheme="minorHAnsi" w:cstheme="minorHAnsi"/>
          <w:szCs w:val="24"/>
        </w:rPr>
      </w:pPr>
      <w:r w:rsidRPr="00FB3D5B">
        <w:rPr>
          <w:rFonts w:asciiTheme="minorHAnsi" w:hAnsiTheme="minorHAnsi" w:cstheme="minorHAnsi"/>
          <w:szCs w:val="24"/>
        </w:rPr>
        <w:t>The Bank should develop a generally applicable framework and principles, leaving the country to choose its own format of reporting.</w:t>
      </w:r>
    </w:p>
    <w:p w:rsidR="00401627" w:rsidRPr="00FB3D5B" w:rsidRDefault="00401627" w:rsidP="00401627">
      <w:pPr>
        <w:pStyle w:val="ListParagraph"/>
        <w:widowControl w:val="0"/>
        <w:numPr>
          <w:ilvl w:val="0"/>
          <w:numId w:val="32"/>
        </w:numPr>
        <w:autoSpaceDE w:val="0"/>
        <w:autoSpaceDN w:val="0"/>
        <w:adjustRightInd w:val="0"/>
        <w:spacing w:after="0" w:line="240" w:lineRule="auto"/>
        <w:jc w:val="left"/>
        <w:rPr>
          <w:rFonts w:asciiTheme="minorHAnsi" w:hAnsiTheme="minorHAnsi" w:cstheme="minorHAnsi"/>
          <w:szCs w:val="24"/>
        </w:rPr>
      </w:pPr>
      <w:r w:rsidRPr="00FB3D5B">
        <w:rPr>
          <w:rFonts w:asciiTheme="minorHAnsi" w:hAnsiTheme="minorHAnsi" w:cstheme="minorHAnsi"/>
          <w:szCs w:val="24"/>
        </w:rPr>
        <w:t>The Bank should balance the tradeoff between development and protection. Safeguards are not meant to impede or limit development but to mitigate its negative impacts, since every project has risks. Could the Bank have more policy and guidance on remediation than prevention?</w:t>
      </w:r>
    </w:p>
    <w:p w:rsidR="00401627" w:rsidRPr="00FB3D5B" w:rsidRDefault="00401627" w:rsidP="00401627">
      <w:pPr>
        <w:pStyle w:val="ListParagraph"/>
        <w:widowControl w:val="0"/>
        <w:numPr>
          <w:ilvl w:val="0"/>
          <w:numId w:val="32"/>
        </w:numPr>
        <w:autoSpaceDE w:val="0"/>
        <w:autoSpaceDN w:val="0"/>
        <w:adjustRightInd w:val="0"/>
        <w:spacing w:after="0" w:line="240" w:lineRule="auto"/>
        <w:jc w:val="left"/>
        <w:rPr>
          <w:rFonts w:asciiTheme="minorHAnsi" w:hAnsiTheme="minorHAnsi" w:cstheme="minorHAnsi"/>
          <w:szCs w:val="24"/>
        </w:rPr>
      </w:pPr>
      <w:r w:rsidRPr="00FB3D5B">
        <w:rPr>
          <w:rFonts w:asciiTheme="minorHAnsi" w:hAnsiTheme="minorHAnsi" w:cstheme="minorHAnsi"/>
          <w:szCs w:val="24"/>
        </w:rPr>
        <w:t xml:space="preserve">The objective of the safeguard reform is to streamline it, make it more operational and more specific with the ultimate goal of higher efficiency. </w:t>
      </w:r>
    </w:p>
    <w:p w:rsidR="00401627" w:rsidRPr="00FB3D5B" w:rsidRDefault="00401627" w:rsidP="00401627">
      <w:pPr>
        <w:pStyle w:val="ListParagraph"/>
        <w:widowControl w:val="0"/>
        <w:numPr>
          <w:ilvl w:val="0"/>
          <w:numId w:val="32"/>
        </w:numPr>
        <w:autoSpaceDE w:val="0"/>
        <w:autoSpaceDN w:val="0"/>
        <w:adjustRightInd w:val="0"/>
        <w:spacing w:after="0" w:line="240" w:lineRule="auto"/>
        <w:jc w:val="left"/>
        <w:rPr>
          <w:rFonts w:asciiTheme="minorHAnsi" w:hAnsiTheme="minorHAnsi" w:cstheme="minorHAnsi"/>
          <w:szCs w:val="24"/>
        </w:rPr>
      </w:pPr>
      <w:r w:rsidRPr="00FB3D5B">
        <w:rPr>
          <w:rFonts w:asciiTheme="minorHAnsi" w:hAnsiTheme="minorHAnsi" w:cstheme="minorHAnsi"/>
          <w:szCs w:val="24"/>
        </w:rPr>
        <w:t>Bank safeguards should coordinate better with client country policies, e.g., the focus of safeguards could vary for different countries. If a country like China already has EIA requirements, is there a need for the Bank to require another EIA?</w:t>
      </w:r>
    </w:p>
    <w:p w:rsidR="00401627" w:rsidRPr="00FB3D5B" w:rsidRDefault="00401627" w:rsidP="00401627">
      <w:pPr>
        <w:pStyle w:val="ListParagraph"/>
        <w:widowControl w:val="0"/>
        <w:numPr>
          <w:ilvl w:val="0"/>
          <w:numId w:val="32"/>
        </w:numPr>
        <w:autoSpaceDE w:val="0"/>
        <w:autoSpaceDN w:val="0"/>
        <w:adjustRightInd w:val="0"/>
        <w:spacing w:after="0" w:line="240" w:lineRule="auto"/>
        <w:jc w:val="left"/>
        <w:rPr>
          <w:rFonts w:asciiTheme="minorHAnsi" w:hAnsiTheme="minorHAnsi" w:cstheme="minorHAnsi"/>
          <w:szCs w:val="24"/>
        </w:rPr>
      </w:pPr>
      <w:r w:rsidRPr="00FB3D5B">
        <w:rPr>
          <w:rFonts w:asciiTheme="minorHAnsi" w:hAnsiTheme="minorHAnsi" w:cstheme="minorHAnsi"/>
          <w:szCs w:val="24"/>
        </w:rPr>
        <w:t>Bank safeguards need to be made easier to apply, more user friendly, and take into account client country policies and regulations, e.g., on dam safety and involuntary resettlement, the Bank safeguards need to pay more respect to the existing law and regulations in China.</w:t>
      </w:r>
    </w:p>
    <w:p w:rsidR="00401627" w:rsidRPr="00FB3D5B" w:rsidRDefault="00401627" w:rsidP="00401627">
      <w:pPr>
        <w:pStyle w:val="ListParagraph"/>
        <w:widowControl w:val="0"/>
        <w:numPr>
          <w:ilvl w:val="0"/>
          <w:numId w:val="32"/>
        </w:numPr>
        <w:autoSpaceDE w:val="0"/>
        <w:autoSpaceDN w:val="0"/>
        <w:adjustRightInd w:val="0"/>
        <w:spacing w:after="0" w:line="240" w:lineRule="auto"/>
        <w:jc w:val="left"/>
        <w:rPr>
          <w:rFonts w:asciiTheme="minorHAnsi" w:hAnsiTheme="minorHAnsi" w:cstheme="minorHAnsi"/>
          <w:szCs w:val="24"/>
        </w:rPr>
      </w:pPr>
      <w:r w:rsidRPr="00FB3D5B">
        <w:rPr>
          <w:rFonts w:asciiTheme="minorHAnsi" w:hAnsiTheme="minorHAnsi" w:cstheme="minorHAnsi"/>
          <w:szCs w:val="24"/>
        </w:rPr>
        <w:t>The Bank should only set principles. If a client country has comprehensive safeguard policies, country systems should be used and the Bank review should be combined with the client country’s review process through, for example, participation of Bank experts in the domestic review process, to avoid conflicting decisions.</w:t>
      </w:r>
    </w:p>
    <w:p w:rsidR="00401627" w:rsidRPr="00FB3D5B" w:rsidRDefault="00401627" w:rsidP="00401627">
      <w:pPr>
        <w:pStyle w:val="ListParagraph"/>
        <w:widowControl w:val="0"/>
        <w:numPr>
          <w:ilvl w:val="0"/>
          <w:numId w:val="32"/>
        </w:numPr>
        <w:autoSpaceDE w:val="0"/>
        <w:autoSpaceDN w:val="0"/>
        <w:adjustRightInd w:val="0"/>
        <w:spacing w:after="0" w:line="240" w:lineRule="auto"/>
        <w:jc w:val="left"/>
        <w:rPr>
          <w:rFonts w:asciiTheme="minorHAnsi" w:hAnsiTheme="minorHAnsi" w:cstheme="minorHAnsi"/>
        </w:rPr>
      </w:pPr>
      <w:r w:rsidRPr="00FB3D5B">
        <w:rPr>
          <w:rFonts w:asciiTheme="minorHAnsi" w:hAnsiTheme="minorHAnsi" w:cstheme="minorHAnsi"/>
          <w:szCs w:val="24"/>
        </w:rPr>
        <w:t xml:space="preserve">The Bank safeguards should not be one-for-all, but tailored to each country. </w:t>
      </w:r>
    </w:p>
    <w:p w:rsidR="00401627" w:rsidRPr="00FB3D5B" w:rsidRDefault="00401627" w:rsidP="00401627">
      <w:pPr>
        <w:pStyle w:val="ListParagraph"/>
        <w:widowControl w:val="0"/>
        <w:numPr>
          <w:ilvl w:val="0"/>
          <w:numId w:val="32"/>
        </w:numPr>
        <w:autoSpaceDE w:val="0"/>
        <w:autoSpaceDN w:val="0"/>
        <w:adjustRightInd w:val="0"/>
        <w:spacing w:after="0" w:line="240" w:lineRule="auto"/>
        <w:jc w:val="left"/>
        <w:rPr>
          <w:rFonts w:asciiTheme="minorHAnsi" w:hAnsiTheme="minorHAnsi" w:cstheme="minorHAnsi"/>
        </w:rPr>
      </w:pPr>
      <w:r w:rsidRPr="00FB3D5B">
        <w:rPr>
          <w:rFonts w:asciiTheme="minorHAnsi" w:hAnsiTheme="minorHAnsi" w:cstheme="minorHAnsi"/>
          <w:szCs w:val="24"/>
        </w:rPr>
        <w:t>It is important to assess overall efficiency, especially of infrastructure projects.</w:t>
      </w:r>
    </w:p>
    <w:p w:rsidR="00584D7F" w:rsidRPr="00584D7F" w:rsidRDefault="00401627" w:rsidP="00401627">
      <w:pPr>
        <w:numPr>
          <w:ilvl w:val="0"/>
          <w:numId w:val="32"/>
        </w:numPr>
        <w:jc w:val="left"/>
        <w:rPr>
          <w:rFonts w:ascii="Calibri" w:eastAsia="Batang" w:hAnsi="Calibri" w:cs="Calibri"/>
          <w:bCs/>
          <w:color w:val="17365D"/>
        </w:rPr>
      </w:pPr>
      <w:r w:rsidRPr="00FB3D5B">
        <w:rPr>
          <w:rFonts w:asciiTheme="minorHAnsi" w:hAnsiTheme="minorHAnsi" w:cstheme="minorHAnsi"/>
        </w:rPr>
        <w:t>Take into consideration the multiple dimensions of safeguard policies which include: 1) principle of universal policy; 2) principle of diversified policy; and 3) combination of</w:t>
      </w:r>
      <w:r w:rsidRPr="00FB3D5B">
        <w:rPr>
          <w:rFonts w:asciiTheme="minorHAnsi" w:eastAsia="Batang" w:hAnsiTheme="minorHAnsi" w:cstheme="minorHAnsi"/>
          <w:bCs/>
        </w:rPr>
        <w:t xml:space="preserve"> Bank policies with national policies.</w:t>
      </w:r>
    </w:p>
    <w:p w:rsidR="00584D7F" w:rsidRPr="00584D7F" w:rsidRDefault="00584D7F" w:rsidP="00584D7F">
      <w:pPr>
        <w:jc w:val="left"/>
        <w:rPr>
          <w:rFonts w:ascii="Calibri" w:hAnsi="Calibri" w:cs="Calibri"/>
          <w:b/>
          <w:color w:val="17365D"/>
          <w:sz w:val="28"/>
          <w:szCs w:val="28"/>
        </w:rPr>
      </w:pPr>
      <w:r>
        <w:rPr>
          <w:rFonts w:ascii="Calibri" w:hAnsi="Calibri" w:cs="Calibri"/>
          <w:szCs w:val="22"/>
        </w:rPr>
        <w:br/>
      </w:r>
      <w:r w:rsidRPr="00401627">
        <w:rPr>
          <w:rFonts w:asciiTheme="minorHAnsi" w:hAnsiTheme="minorHAnsi" w:cstheme="minorHAnsi"/>
          <w:b/>
          <w:color w:val="17365D"/>
          <w:sz w:val="28"/>
          <w:szCs w:val="28"/>
        </w:rPr>
        <w:t>How the Bank can better support borrowers in their efforts to strengthen their systems and institutions with respect to environmental and social safeguards practices to yield more sustainable results on the ground</w:t>
      </w:r>
      <w:r w:rsidRPr="00584D7F">
        <w:rPr>
          <w:rFonts w:ascii="Calibri" w:hAnsi="Calibri" w:cs="Calibri"/>
          <w:b/>
          <w:color w:val="17365D"/>
          <w:sz w:val="28"/>
          <w:szCs w:val="28"/>
        </w:rPr>
        <w:t>.</w:t>
      </w:r>
    </w:p>
    <w:p w:rsidR="00401627" w:rsidRPr="00FB3D5B" w:rsidRDefault="00401627" w:rsidP="00401627">
      <w:pPr>
        <w:pStyle w:val="ListParagraph"/>
        <w:widowControl w:val="0"/>
        <w:numPr>
          <w:ilvl w:val="0"/>
          <w:numId w:val="33"/>
        </w:numPr>
        <w:autoSpaceDE w:val="0"/>
        <w:autoSpaceDN w:val="0"/>
        <w:adjustRightInd w:val="0"/>
        <w:spacing w:after="0" w:line="240" w:lineRule="auto"/>
        <w:jc w:val="left"/>
        <w:rPr>
          <w:rFonts w:asciiTheme="minorHAnsi" w:hAnsiTheme="minorHAnsi" w:cstheme="minorHAnsi"/>
        </w:rPr>
      </w:pPr>
      <w:r w:rsidRPr="00FB3D5B">
        <w:rPr>
          <w:rFonts w:asciiTheme="minorHAnsi" w:hAnsiTheme="minorHAnsi" w:cstheme="minorHAnsi"/>
          <w:szCs w:val="24"/>
        </w:rPr>
        <w:t>The Bank safeguards should align with cultural heritage conservation plans in China by involving sector authority (i.e., State Cultural Heritage Bureau), not just directly working with local government. The Bank should pay more attention to preservation of ancient villages.</w:t>
      </w:r>
    </w:p>
    <w:p w:rsidR="00584D7F" w:rsidRPr="00584D7F" w:rsidRDefault="00401627" w:rsidP="00401627">
      <w:pPr>
        <w:widowControl w:val="0"/>
        <w:numPr>
          <w:ilvl w:val="0"/>
          <w:numId w:val="33"/>
        </w:numPr>
        <w:autoSpaceDE w:val="0"/>
        <w:autoSpaceDN w:val="0"/>
        <w:adjustRightInd w:val="0"/>
        <w:spacing w:after="40"/>
        <w:ind w:right="40"/>
        <w:jc w:val="left"/>
        <w:rPr>
          <w:rFonts w:ascii="Calibri" w:hAnsi="Calibri" w:cs="Calibri"/>
          <w:szCs w:val="22"/>
        </w:rPr>
      </w:pPr>
      <w:r w:rsidRPr="00FB3D5B">
        <w:rPr>
          <w:rFonts w:asciiTheme="minorHAnsi" w:hAnsiTheme="minorHAnsi" w:cstheme="minorHAnsi"/>
        </w:rPr>
        <w:t xml:space="preserve">The Bank should bring in more advanced concepts, ways of doing things and knowledge to help China transform its own system and </w:t>
      </w:r>
      <w:r w:rsidRPr="00FB3D5B">
        <w:rPr>
          <w:rFonts w:asciiTheme="minorHAnsi" w:hAnsiTheme="minorHAnsi" w:cstheme="minorHAnsi"/>
        </w:rPr>
        <w:t>sectorial</w:t>
      </w:r>
      <w:r w:rsidRPr="00FB3D5B">
        <w:rPr>
          <w:rFonts w:asciiTheme="minorHAnsi" w:hAnsiTheme="minorHAnsi" w:cstheme="minorHAnsi"/>
        </w:rPr>
        <w:t xml:space="preserve"> structure, through more capacity building and staff training.</w:t>
      </w:r>
    </w:p>
    <w:p w:rsidR="00584D7F" w:rsidRDefault="00584D7F" w:rsidP="004417F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Calibri" w:hAnsi="Calibri" w:cs="Calibri"/>
          <w:b/>
          <w:szCs w:val="24"/>
        </w:rPr>
      </w:pPr>
    </w:p>
    <w:p w:rsidR="00584D7F" w:rsidRDefault="00584D7F" w:rsidP="004417F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Calibri" w:hAnsi="Calibri" w:cs="Calibri"/>
          <w:b/>
          <w:szCs w:val="24"/>
        </w:rPr>
      </w:pPr>
    </w:p>
    <w:p w:rsidR="00584D7F" w:rsidRPr="00584D7F" w:rsidRDefault="00584D7F" w:rsidP="004417F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Calibri" w:hAnsi="Calibri" w:cs="Calibri"/>
          <w:b/>
          <w:color w:val="17365D"/>
          <w:sz w:val="28"/>
          <w:szCs w:val="28"/>
        </w:rPr>
      </w:pPr>
      <w:r w:rsidRPr="00584D7F">
        <w:rPr>
          <w:rFonts w:ascii="Calibri" w:eastAsia="Batang" w:hAnsi="Calibri" w:cs="Calibri"/>
          <w:b/>
          <w:color w:val="17365D"/>
          <w:sz w:val="28"/>
          <w:szCs w:val="28"/>
        </w:rPr>
        <w:t>E</w:t>
      </w:r>
      <w:r w:rsidRPr="00584D7F">
        <w:rPr>
          <w:rFonts w:ascii="Calibri" w:hAnsi="Calibri" w:cs="Calibri"/>
          <w:b/>
          <w:color w:val="17365D"/>
          <w:sz w:val="28"/>
          <w:szCs w:val="28"/>
        </w:rPr>
        <w:t>xamples of environmental and social assessment and risk management approaches (used by either public or private institutions) that the review should take into consideration.</w:t>
      </w:r>
      <w:r w:rsidRPr="00584D7F">
        <w:rPr>
          <w:rFonts w:ascii="Calibri" w:hAnsi="Calibri" w:cs="Calibri"/>
          <w:b/>
          <w:color w:val="17365D"/>
          <w:sz w:val="28"/>
          <w:szCs w:val="28"/>
        </w:rPr>
        <w:br/>
      </w:r>
    </w:p>
    <w:p w:rsidR="00584D7F" w:rsidRPr="00584D7F" w:rsidRDefault="00401627" w:rsidP="00584D7F">
      <w:pPr>
        <w:pStyle w:val="BodyText2"/>
        <w:numPr>
          <w:ilvl w:val="0"/>
          <w:numId w:val="37"/>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Calibri" w:hAnsi="Calibri" w:cs="Calibri"/>
          <w:b/>
          <w:color w:val="17365D"/>
          <w:sz w:val="28"/>
          <w:szCs w:val="28"/>
        </w:rPr>
      </w:pPr>
      <w:r w:rsidRPr="00FB3D5B">
        <w:rPr>
          <w:rFonts w:asciiTheme="minorHAnsi" w:hAnsiTheme="minorHAnsi" w:cstheme="minorHAnsi"/>
          <w:szCs w:val="24"/>
        </w:rPr>
        <w:t>Private sector is playing a more important role. How to take it into account and any standards or requirements including good practice should be provided</w:t>
      </w:r>
      <w:r w:rsidR="00584D7F" w:rsidRPr="00CE6654">
        <w:rPr>
          <w:rFonts w:ascii="Calibri" w:hAnsi="Calibri" w:cs="Calibri"/>
          <w:szCs w:val="22"/>
        </w:rPr>
        <w:t>.</w:t>
      </w:r>
      <w:r w:rsidR="00584D7F">
        <w:rPr>
          <w:rFonts w:ascii="Calibri" w:hAnsi="Calibri" w:cs="Calibri"/>
          <w:szCs w:val="22"/>
        </w:rPr>
        <w:br/>
      </w:r>
    </w:p>
    <w:p w:rsidR="00584D7F" w:rsidRPr="00584D7F" w:rsidRDefault="00584D7F" w:rsidP="00584D7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Calibri" w:hAnsi="Calibri" w:cs="Calibri"/>
          <w:b/>
          <w:color w:val="17365D"/>
          <w:sz w:val="28"/>
          <w:szCs w:val="28"/>
        </w:rPr>
      </w:pPr>
      <w:r w:rsidRPr="00584D7F">
        <w:rPr>
          <w:rFonts w:ascii="Calibri" w:hAnsi="Calibri" w:cs="Calibri"/>
          <w:b/>
          <w:color w:val="17365D"/>
          <w:sz w:val="28"/>
          <w:szCs w:val="28"/>
        </w:rPr>
        <w:t xml:space="preserve">Recommendations with respect of any of the emerging areas described in the paper (i.e., disabilities; </w:t>
      </w:r>
      <w:r w:rsidR="00401627" w:rsidRPr="00584D7F">
        <w:rPr>
          <w:rFonts w:ascii="Calibri" w:hAnsi="Calibri" w:cs="Calibri"/>
          <w:b/>
          <w:color w:val="17365D"/>
          <w:sz w:val="28"/>
          <w:szCs w:val="28"/>
        </w:rPr>
        <w:t>labour</w:t>
      </w:r>
      <w:r w:rsidRPr="00584D7F">
        <w:rPr>
          <w:rFonts w:ascii="Calibri" w:hAnsi="Calibri" w:cs="Calibri"/>
          <w:b/>
          <w:color w:val="17365D"/>
          <w:sz w:val="28"/>
          <w:szCs w:val="28"/>
        </w:rPr>
        <w:t xml:space="preserve"> and occupational health and safety; human rights, land tenure and natural resources; free, prior and informed consent of Indigenous Peoples;</w:t>
      </w:r>
      <w:r w:rsidRPr="00584D7F">
        <w:rPr>
          <w:rFonts w:cs="Calibri"/>
          <w:b/>
          <w:color w:val="17365D"/>
          <w:sz w:val="28"/>
          <w:szCs w:val="28"/>
        </w:rPr>
        <w:t xml:space="preserve"> gender; and climate change).</w:t>
      </w:r>
    </w:p>
    <w:p w:rsidR="00584D7F" w:rsidRDefault="00584D7F" w:rsidP="004417F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Calibri" w:hAnsi="Calibri" w:cs="Calibri"/>
          <w:b/>
          <w:szCs w:val="24"/>
        </w:rPr>
      </w:pPr>
    </w:p>
    <w:p w:rsidR="00401627" w:rsidRPr="00FB3D5B" w:rsidRDefault="00401627" w:rsidP="00401627">
      <w:pPr>
        <w:pStyle w:val="ListParagraph"/>
        <w:widowControl w:val="0"/>
        <w:numPr>
          <w:ilvl w:val="0"/>
          <w:numId w:val="32"/>
        </w:numPr>
        <w:suppressAutoHyphens w:val="0"/>
        <w:autoSpaceDE w:val="0"/>
        <w:autoSpaceDN w:val="0"/>
        <w:adjustRightInd w:val="0"/>
        <w:spacing w:after="0" w:line="240" w:lineRule="auto"/>
        <w:jc w:val="left"/>
        <w:rPr>
          <w:rFonts w:asciiTheme="minorHAnsi" w:hAnsiTheme="minorHAnsi" w:cstheme="minorHAnsi"/>
        </w:rPr>
      </w:pPr>
      <w:r w:rsidRPr="00FB3D5B">
        <w:rPr>
          <w:rFonts w:asciiTheme="minorHAnsi" w:hAnsiTheme="minorHAnsi" w:cstheme="minorHAnsi"/>
          <w:szCs w:val="24"/>
        </w:rPr>
        <w:t>Issues such as gender and disability are actually about public participation, is it necessary to separate them out in safeguards? It may cause overlap.</w:t>
      </w:r>
    </w:p>
    <w:p w:rsidR="00401627" w:rsidRPr="00FB3D5B" w:rsidRDefault="00401627" w:rsidP="00401627">
      <w:pPr>
        <w:pStyle w:val="ListParagraph"/>
        <w:widowControl w:val="0"/>
        <w:numPr>
          <w:ilvl w:val="0"/>
          <w:numId w:val="32"/>
        </w:numPr>
        <w:suppressAutoHyphens w:val="0"/>
        <w:autoSpaceDE w:val="0"/>
        <w:autoSpaceDN w:val="0"/>
        <w:adjustRightInd w:val="0"/>
        <w:spacing w:after="0" w:line="240" w:lineRule="auto"/>
        <w:jc w:val="left"/>
        <w:rPr>
          <w:rFonts w:asciiTheme="minorHAnsi" w:hAnsiTheme="minorHAnsi" w:cstheme="minorHAnsi"/>
        </w:rPr>
      </w:pPr>
      <w:r w:rsidRPr="00FB3D5B">
        <w:rPr>
          <w:rFonts w:asciiTheme="minorHAnsi" w:hAnsiTheme="minorHAnsi" w:cstheme="minorHAnsi"/>
          <w:szCs w:val="24"/>
        </w:rPr>
        <w:t>Human rights may not be appropriate to be included as its definition is broad and varied, covering labor, occupational health and safety, and minority people.</w:t>
      </w:r>
    </w:p>
    <w:p w:rsidR="00401627" w:rsidRPr="00FB3D5B" w:rsidRDefault="00401627" w:rsidP="00401627">
      <w:pPr>
        <w:pStyle w:val="ListParagraph"/>
        <w:widowControl w:val="0"/>
        <w:numPr>
          <w:ilvl w:val="0"/>
          <w:numId w:val="32"/>
        </w:numPr>
        <w:suppressAutoHyphens w:val="0"/>
        <w:autoSpaceDE w:val="0"/>
        <w:autoSpaceDN w:val="0"/>
        <w:adjustRightInd w:val="0"/>
        <w:spacing w:after="0" w:line="240" w:lineRule="auto"/>
        <w:jc w:val="left"/>
        <w:rPr>
          <w:rFonts w:asciiTheme="minorHAnsi" w:hAnsiTheme="minorHAnsi" w:cstheme="minorHAnsi"/>
        </w:rPr>
      </w:pPr>
      <w:r w:rsidRPr="00FB3D5B">
        <w:rPr>
          <w:rFonts w:asciiTheme="minorHAnsi" w:hAnsiTheme="minorHAnsi" w:cstheme="minorHAnsi"/>
          <w:szCs w:val="24"/>
        </w:rPr>
        <w:t>The Bank can have a more general safeguard policy to cover all emerging areas as well as existing ones to avoid overlap and duplication.</w:t>
      </w:r>
    </w:p>
    <w:p w:rsidR="00401627" w:rsidRPr="00FB3D5B" w:rsidRDefault="00401627" w:rsidP="00401627">
      <w:pPr>
        <w:pStyle w:val="ListParagraph"/>
        <w:widowControl w:val="0"/>
        <w:numPr>
          <w:ilvl w:val="0"/>
          <w:numId w:val="32"/>
        </w:numPr>
        <w:suppressAutoHyphens w:val="0"/>
        <w:autoSpaceDE w:val="0"/>
        <w:autoSpaceDN w:val="0"/>
        <w:adjustRightInd w:val="0"/>
        <w:spacing w:after="0" w:line="240" w:lineRule="auto"/>
        <w:jc w:val="left"/>
        <w:rPr>
          <w:rFonts w:asciiTheme="minorHAnsi" w:hAnsiTheme="minorHAnsi" w:cstheme="minorHAnsi"/>
        </w:rPr>
      </w:pPr>
      <w:r w:rsidRPr="00FB3D5B">
        <w:rPr>
          <w:rFonts w:asciiTheme="minorHAnsi" w:hAnsiTheme="minorHAnsi" w:cstheme="minorHAnsi"/>
          <w:szCs w:val="24"/>
        </w:rPr>
        <w:t>Need to be cautious, especially in areas where international community has not reached consensus, e.g., human rights and climate change.</w:t>
      </w:r>
    </w:p>
    <w:p w:rsidR="00401627" w:rsidRPr="00FB3D5B" w:rsidRDefault="00401627" w:rsidP="00401627">
      <w:pPr>
        <w:pStyle w:val="ListParagraph"/>
        <w:widowControl w:val="0"/>
        <w:numPr>
          <w:ilvl w:val="0"/>
          <w:numId w:val="32"/>
        </w:numPr>
        <w:suppressAutoHyphens w:val="0"/>
        <w:autoSpaceDE w:val="0"/>
        <w:autoSpaceDN w:val="0"/>
        <w:adjustRightInd w:val="0"/>
        <w:spacing w:after="0" w:line="240" w:lineRule="auto"/>
        <w:jc w:val="left"/>
        <w:rPr>
          <w:rFonts w:asciiTheme="minorHAnsi" w:hAnsiTheme="minorHAnsi" w:cstheme="minorHAnsi"/>
        </w:rPr>
      </w:pPr>
      <w:r w:rsidRPr="00FB3D5B">
        <w:rPr>
          <w:rFonts w:asciiTheme="minorHAnsi" w:hAnsiTheme="minorHAnsi" w:cstheme="minorHAnsi"/>
          <w:szCs w:val="24"/>
        </w:rPr>
        <w:t>It needs careful study especially on how to operationalize these emerging issues if included in Bank safeguards.</w:t>
      </w:r>
    </w:p>
    <w:p w:rsidR="00401627" w:rsidRPr="00FB3D5B" w:rsidRDefault="00401627" w:rsidP="00401627">
      <w:pPr>
        <w:pStyle w:val="ListParagraph"/>
        <w:widowControl w:val="0"/>
        <w:numPr>
          <w:ilvl w:val="0"/>
          <w:numId w:val="32"/>
        </w:numPr>
        <w:suppressAutoHyphens w:val="0"/>
        <w:autoSpaceDE w:val="0"/>
        <w:autoSpaceDN w:val="0"/>
        <w:adjustRightInd w:val="0"/>
        <w:spacing w:after="0" w:line="240" w:lineRule="auto"/>
        <w:jc w:val="left"/>
        <w:rPr>
          <w:rFonts w:asciiTheme="minorHAnsi" w:hAnsiTheme="minorHAnsi" w:cstheme="minorHAnsi"/>
          <w:color w:val="17365D"/>
        </w:rPr>
      </w:pPr>
      <w:r w:rsidRPr="00FB3D5B">
        <w:rPr>
          <w:rFonts w:asciiTheme="minorHAnsi" w:hAnsiTheme="minorHAnsi" w:cstheme="minorHAnsi"/>
        </w:rPr>
        <w:t xml:space="preserve">Many new issues involve politics; better to introduce them after consensus is reached. Otherwise the Bank safeguards may risk becoming another arena for international negotiation, thus complicating the safeguard reform process. Do right thing at right time. </w:t>
      </w:r>
    </w:p>
    <w:p w:rsidR="00584D7F" w:rsidRPr="00584D7F" w:rsidRDefault="00401627" w:rsidP="00401627">
      <w:pPr>
        <w:widowControl w:val="0"/>
        <w:numPr>
          <w:ilvl w:val="0"/>
          <w:numId w:val="32"/>
        </w:numPr>
        <w:suppressAutoHyphens w:val="0"/>
        <w:autoSpaceDE w:val="0"/>
        <w:autoSpaceDN w:val="0"/>
        <w:adjustRightInd w:val="0"/>
        <w:spacing w:after="40" w:line="240" w:lineRule="auto"/>
        <w:ind w:right="40"/>
        <w:jc w:val="left"/>
        <w:rPr>
          <w:rFonts w:ascii="Calibri" w:hAnsi="Calibri" w:cs="Calibri"/>
          <w:color w:val="17365D"/>
          <w:sz w:val="22"/>
          <w:szCs w:val="22"/>
        </w:rPr>
      </w:pPr>
      <w:r w:rsidRPr="00FB3D5B">
        <w:rPr>
          <w:rFonts w:asciiTheme="minorHAnsi" w:hAnsiTheme="minorHAnsi" w:cstheme="minorHAnsi"/>
        </w:rPr>
        <w:t>In order to improve work efficiency, dialogue around the emerging areas should be conducted through other platforms.</w:t>
      </w:r>
    </w:p>
    <w:p w:rsidR="00584D7F" w:rsidRPr="00584D7F" w:rsidRDefault="00584D7F" w:rsidP="00584D7F">
      <w:pPr>
        <w:widowControl w:val="0"/>
        <w:suppressAutoHyphens w:val="0"/>
        <w:autoSpaceDE w:val="0"/>
        <w:autoSpaceDN w:val="0"/>
        <w:adjustRightInd w:val="0"/>
        <w:spacing w:after="40" w:line="240" w:lineRule="auto"/>
        <w:ind w:left="360" w:right="40"/>
        <w:jc w:val="left"/>
        <w:rPr>
          <w:rFonts w:ascii="Calibri" w:hAnsi="Calibri" w:cs="Calibri"/>
          <w:b/>
          <w:color w:val="17365D"/>
          <w:sz w:val="28"/>
          <w:szCs w:val="28"/>
        </w:rPr>
      </w:pPr>
      <w:r>
        <w:rPr>
          <w:rFonts w:ascii="Calibri" w:hAnsi="Calibri" w:cs="Calibri"/>
          <w:szCs w:val="22"/>
        </w:rPr>
        <w:br/>
      </w:r>
      <w:r w:rsidR="00401627">
        <w:rPr>
          <w:rFonts w:ascii="Calibri" w:hAnsi="Calibri" w:cs="Calibri"/>
          <w:b/>
          <w:color w:val="17365D"/>
          <w:sz w:val="28"/>
          <w:szCs w:val="28"/>
        </w:rPr>
        <w:t>A</w:t>
      </w:r>
      <w:r w:rsidRPr="00584D7F">
        <w:rPr>
          <w:rFonts w:ascii="Calibri" w:hAnsi="Calibri" w:cs="Calibri"/>
          <w:b/>
          <w:color w:val="17365D"/>
          <w:sz w:val="28"/>
          <w:szCs w:val="28"/>
        </w:rPr>
        <w:t>dditional comments or suggestions</w:t>
      </w:r>
      <w:r w:rsidR="00401627">
        <w:rPr>
          <w:rFonts w:ascii="Calibri" w:hAnsi="Calibri" w:cs="Calibri"/>
          <w:b/>
          <w:color w:val="17365D"/>
          <w:sz w:val="28"/>
          <w:szCs w:val="28"/>
        </w:rPr>
        <w:br/>
      </w:r>
    </w:p>
    <w:p w:rsidR="00584D7F" w:rsidRPr="00584D7F" w:rsidRDefault="00401627" w:rsidP="00584D7F">
      <w:pPr>
        <w:pStyle w:val="ListParagraph"/>
        <w:widowControl w:val="0"/>
        <w:numPr>
          <w:ilvl w:val="0"/>
          <w:numId w:val="32"/>
        </w:numPr>
        <w:suppressAutoHyphens w:val="0"/>
        <w:autoSpaceDE w:val="0"/>
        <w:autoSpaceDN w:val="0"/>
        <w:adjustRightInd w:val="0"/>
        <w:spacing w:after="40" w:line="240" w:lineRule="auto"/>
        <w:ind w:right="40"/>
        <w:jc w:val="left"/>
        <w:rPr>
          <w:rFonts w:ascii="Calibri" w:hAnsi="Calibri" w:cs="Calibri"/>
          <w:szCs w:val="22"/>
        </w:rPr>
      </w:pPr>
      <w:r w:rsidRPr="00FB3D5B">
        <w:rPr>
          <w:rFonts w:asciiTheme="minorHAnsi" w:hAnsiTheme="minorHAnsi" w:cstheme="minorHAnsi"/>
          <w:szCs w:val="24"/>
        </w:rPr>
        <w:t>Social insurance is expanding to rural areas in China in recent years. A major challenge is how to manage the state social insurance fund. It is hoped that the Bank can help</w:t>
      </w:r>
      <w:r w:rsidR="00584D7F" w:rsidRPr="00584D7F">
        <w:rPr>
          <w:rFonts w:ascii="Calibri" w:hAnsi="Calibri" w:cs="Calibri"/>
          <w:szCs w:val="22"/>
        </w:rPr>
        <w:t>.</w:t>
      </w:r>
    </w:p>
    <w:p w:rsidR="00584D7F" w:rsidRDefault="00584D7F" w:rsidP="00584D7F">
      <w:pPr>
        <w:widowControl w:val="0"/>
        <w:suppressAutoHyphens w:val="0"/>
        <w:autoSpaceDE w:val="0"/>
        <w:autoSpaceDN w:val="0"/>
        <w:adjustRightInd w:val="0"/>
        <w:spacing w:after="40" w:line="240" w:lineRule="auto"/>
        <w:ind w:left="360" w:right="40"/>
        <w:jc w:val="left"/>
        <w:rPr>
          <w:rFonts w:ascii="Calibri" w:hAnsi="Calibri" w:cs="Calibri"/>
          <w:szCs w:val="22"/>
        </w:rPr>
      </w:pPr>
    </w:p>
    <w:p w:rsidR="00584D7F" w:rsidRPr="00584D7F" w:rsidRDefault="00584D7F" w:rsidP="00584D7F">
      <w:pPr>
        <w:widowControl w:val="0"/>
        <w:suppressAutoHyphens w:val="0"/>
        <w:autoSpaceDE w:val="0"/>
        <w:autoSpaceDN w:val="0"/>
        <w:adjustRightInd w:val="0"/>
        <w:spacing w:after="40" w:line="240" w:lineRule="auto"/>
        <w:ind w:left="360" w:right="40"/>
        <w:jc w:val="left"/>
        <w:rPr>
          <w:rFonts w:ascii="Calibri" w:hAnsi="Calibri" w:cs="Calibri"/>
          <w:color w:val="17365D"/>
          <w:sz w:val="22"/>
          <w:szCs w:val="22"/>
        </w:rPr>
      </w:pPr>
    </w:p>
    <w:p w:rsidR="0041268A" w:rsidRPr="00A31EC2" w:rsidRDefault="0041268A" w:rsidP="00680472">
      <w:pPr>
        <w:rPr>
          <w:rFonts w:ascii="Cambria" w:hAnsi="Cambria"/>
          <w:b/>
          <w:color w:val="17365D"/>
        </w:rPr>
      </w:pPr>
    </w:p>
    <w:sectPr w:rsidR="0041268A" w:rsidRPr="00A31EC2" w:rsidSect="00584D7F">
      <w:headerReference w:type="default" r:id="rId13"/>
      <w:footerReference w:type="even" r:id="rId14"/>
      <w:footerReference w:type="default" r:id="rId15"/>
      <w:pgSz w:w="12240" w:h="15840"/>
      <w:pgMar w:top="900" w:right="990" w:bottom="810" w:left="1170"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6F" w:rsidRDefault="00F8646F">
      <w:pPr>
        <w:spacing w:after="0" w:line="240" w:lineRule="auto"/>
      </w:pPr>
      <w:r>
        <w:separator/>
      </w:r>
    </w:p>
  </w:endnote>
  <w:endnote w:type="continuationSeparator" w:id="0">
    <w:p w:rsidR="00F8646F" w:rsidRDefault="00F8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A7" w:rsidRDefault="009E208E">
    <w:pPr>
      <w:pStyle w:val="Footer"/>
    </w:pPr>
    <w:r>
      <w:fldChar w:fldCharType="begin"/>
    </w:r>
    <w:r>
      <w:instrText xml:space="preserve"> PAGE </w:instrText>
    </w:r>
    <w:r>
      <w:fldChar w:fldCharType="separate"/>
    </w:r>
    <w:r w:rsidR="001F57A7">
      <w:rPr>
        <w:noProof/>
      </w:rPr>
      <w:t>4</w:t>
    </w:r>
    <w:r>
      <w:rPr>
        <w:noProof/>
      </w:rPr>
      <w:fldChar w:fldCharType="end"/>
    </w:r>
  </w:p>
  <w:p w:rsidR="001F57A7" w:rsidRDefault="001F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6435"/>
      <w:docPartObj>
        <w:docPartGallery w:val="Page Numbers (Bottom of Page)"/>
        <w:docPartUnique/>
      </w:docPartObj>
    </w:sdtPr>
    <w:sdtEndPr>
      <w:rPr>
        <w:noProof/>
      </w:rPr>
    </w:sdtEndPr>
    <w:sdtContent>
      <w:p w:rsidR="00401627" w:rsidRDefault="0040162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F57A7" w:rsidRDefault="001F57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6F" w:rsidRDefault="00F8646F">
      <w:pPr>
        <w:spacing w:after="0" w:line="240" w:lineRule="auto"/>
      </w:pPr>
      <w:r>
        <w:separator/>
      </w:r>
    </w:p>
  </w:footnote>
  <w:footnote w:type="continuationSeparator" w:id="0">
    <w:p w:rsidR="00F8646F" w:rsidRDefault="00F86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A7" w:rsidRDefault="001F57A7">
    <w:pPr>
      <w:pStyle w:val="Header"/>
      <w:rPr>
        <w:sz w:val="18"/>
        <w:szCs w:val="18"/>
      </w:rPr>
    </w:pPr>
  </w:p>
  <w:p w:rsidR="001F57A7" w:rsidRPr="00ED2123" w:rsidRDefault="001F57A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34D50"/>
    <w:multiLevelType w:val="hybridMultilevel"/>
    <w:tmpl w:val="67D85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966CA"/>
    <w:multiLevelType w:val="hybridMultilevel"/>
    <w:tmpl w:val="2272B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377D0"/>
    <w:multiLevelType w:val="hybridMultilevel"/>
    <w:tmpl w:val="552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8629A"/>
    <w:multiLevelType w:val="hybridMultilevel"/>
    <w:tmpl w:val="F646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42ED34A9"/>
    <w:multiLevelType w:val="hybridMultilevel"/>
    <w:tmpl w:val="FC6C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14E56"/>
    <w:multiLevelType w:val="hybridMultilevel"/>
    <w:tmpl w:val="118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Calibr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59E91994"/>
    <w:multiLevelType w:val="hybridMultilevel"/>
    <w:tmpl w:val="F392B6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C5C8B"/>
    <w:multiLevelType w:val="hybridMultilevel"/>
    <w:tmpl w:val="30AEC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8"/>
  </w:num>
  <w:num w:numId="2">
    <w:abstractNumId w:val="25"/>
  </w:num>
  <w:num w:numId="3">
    <w:abstractNumId w:val="36"/>
  </w:num>
  <w:num w:numId="4">
    <w:abstractNumId w:val="26"/>
  </w:num>
  <w:num w:numId="5">
    <w:abstractNumId w:val="21"/>
  </w:num>
  <w:num w:numId="6">
    <w:abstractNumId w:val="33"/>
  </w:num>
  <w:num w:numId="7">
    <w:abstractNumId w:val="37"/>
  </w:num>
  <w:num w:numId="8">
    <w:abstractNumId w:val="38"/>
  </w:num>
  <w:num w:numId="9">
    <w:abstractNumId w:val="35"/>
  </w:num>
  <w:num w:numId="10">
    <w:abstractNumId w:val="12"/>
  </w:num>
  <w:num w:numId="11">
    <w:abstractNumId w:val="2"/>
  </w:num>
  <w:num w:numId="12">
    <w:abstractNumId w:val="10"/>
  </w:num>
  <w:num w:numId="13">
    <w:abstractNumId w:val="8"/>
  </w:num>
  <w:num w:numId="14">
    <w:abstractNumId w:val="4"/>
  </w:num>
  <w:num w:numId="15">
    <w:abstractNumId w:val="31"/>
  </w:num>
  <w:num w:numId="16">
    <w:abstractNumId w:val="3"/>
  </w:num>
  <w:num w:numId="17">
    <w:abstractNumId w:val="32"/>
  </w:num>
  <w:num w:numId="18">
    <w:abstractNumId w:val="9"/>
  </w:num>
  <w:num w:numId="19">
    <w:abstractNumId w:val="16"/>
  </w:num>
  <w:num w:numId="20">
    <w:abstractNumId w:val="6"/>
  </w:num>
  <w:num w:numId="21">
    <w:abstractNumId w:val="11"/>
  </w:num>
  <w:num w:numId="22">
    <w:abstractNumId w:val="20"/>
  </w:num>
  <w:num w:numId="23">
    <w:abstractNumId w:val="34"/>
  </w:num>
  <w:num w:numId="24">
    <w:abstractNumId w:val="29"/>
  </w:num>
  <w:num w:numId="25">
    <w:abstractNumId w:val="13"/>
  </w:num>
  <w:num w:numId="26">
    <w:abstractNumId w:val="24"/>
  </w:num>
  <w:num w:numId="27">
    <w:abstractNumId w:val="14"/>
  </w:num>
  <w:num w:numId="28">
    <w:abstractNumId w:val="17"/>
  </w:num>
  <w:num w:numId="29">
    <w:abstractNumId w:val="15"/>
  </w:num>
  <w:num w:numId="30">
    <w:abstractNumId w:val="19"/>
  </w:num>
  <w:num w:numId="31">
    <w:abstractNumId w:val="27"/>
  </w:num>
  <w:num w:numId="32">
    <w:abstractNumId w:val="30"/>
  </w:num>
  <w:num w:numId="33">
    <w:abstractNumId w:val="5"/>
  </w:num>
  <w:num w:numId="34">
    <w:abstractNumId w:val="18"/>
  </w:num>
  <w:num w:numId="35">
    <w:abstractNumId w:val="23"/>
  </w:num>
  <w:num w:numId="36">
    <w:abstractNumId w:val="1"/>
  </w:num>
  <w:num w:numId="37">
    <w:abstractNumId w:val="22"/>
  </w:num>
  <w:num w:numId="3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21A3D"/>
    <w:rsid w:val="000225BA"/>
    <w:rsid w:val="0002336F"/>
    <w:rsid w:val="00024DD6"/>
    <w:rsid w:val="00025C6B"/>
    <w:rsid w:val="00026C80"/>
    <w:rsid w:val="00030C2C"/>
    <w:rsid w:val="00032054"/>
    <w:rsid w:val="000328E3"/>
    <w:rsid w:val="0003575B"/>
    <w:rsid w:val="00036C7B"/>
    <w:rsid w:val="0003735C"/>
    <w:rsid w:val="00037CDC"/>
    <w:rsid w:val="00037D98"/>
    <w:rsid w:val="0004207A"/>
    <w:rsid w:val="00042252"/>
    <w:rsid w:val="000423C3"/>
    <w:rsid w:val="000438BA"/>
    <w:rsid w:val="00050278"/>
    <w:rsid w:val="00052126"/>
    <w:rsid w:val="00052A60"/>
    <w:rsid w:val="000568E5"/>
    <w:rsid w:val="000615B0"/>
    <w:rsid w:val="000701AB"/>
    <w:rsid w:val="000744EF"/>
    <w:rsid w:val="00081AF6"/>
    <w:rsid w:val="00083CB4"/>
    <w:rsid w:val="00092809"/>
    <w:rsid w:val="00093B2C"/>
    <w:rsid w:val="00097805"/>
    <w:rsid w:val="000A1804"/>
    <w:rsid w:val="000A6D16"/>
    <w:rsid w:val="000A7F3E"/>
    <w:rsid w:val="000B2DE8"/>
    <w:rsid w:val="000B3468"/>
    <w:rsid w:val="000C05A5"/>
    <w:rsid w:val="000C228B"/>
    <w:rsid w:val="000C51A0"/>
    <w:rsid w:val="000C60DE"/>
    <w:rsid w:val="000D0B99"/>
    <w:rsid w:val="000D1AEB"/>
    <w:rsid w:val="000D2C0A"/>
    <w:rsid w:val="000D65F8"/>
    <w:rsid w:val="000D742B"/>
    <w:rsid w:val="000E4A9F"/>
    <w:rsid w:val="000E5A24"/>
    <w:rsid w:val="000E5F00"/>
    <w:rsid w:val="000E6B6A"/>
    <w:rsid w:val="000F248E"/>
    <w:rsid w:val="000F3983"/>
    <w:rsid w:val="000F3E02"/>
    <w:rsid w:val="000F42AD"/>
    <w:rsid w:val="000F70D2"/>
    <w:rsid w:val="00101AD6"/>
    <w:rsid w:val="00112D59"/>
    <w:rsid w:val="00116045"/>
    <w:rsid w:val="0011666B"/>
    <w:rsid w:val="00120DA8"/>
    <w:rsid w:val="0012738A"/>
    <w:rsid w:val="0013530E"/>
    <w:rsid w:val="00136AB9"/>
    <w:rsid w:val="0014341F"/>
    <w:rsid w:val="00143686"/>
    <w:rsid w:val="00144343"/>
    <w:rsid w:val="001453DE"/>
    <w:rsid w:val="001467E0"/>
    <w:rsid w:val="0015696B"/>
    <w:rsid w:val="001603D5"/>
    <w:rsid w:val="00165F5F"/>
    <w:rsid w:val="00166F32"/>
    <w:rsid w:val="00170112"/>
    <w:rsid w:val="0017095E"/>
    <w:rsid w:val="001737D3"/>
    <w:rsid w:val="00173A55"/>
    <w:rsid w:val="00173E2F"/>
    <w:rsid w:val="0017439C"/>
    <w:rsid w:val="00174746"/>
    <w:rsid w:val="00180399"/>
    <w:rsid w:val="00185589"/>
    <w:rsid w:val="0018566C"/>
    <w:rsid w:val="001958FD"/>
    <w:rsid w:val="00195AA9"/>
    <w:rsid w:val="00196734"/>
    <w:rsid w:val="001969FB"/>
    <w:rsid w:val="001A131C"/>
    <w:rsid w:val="001A7BD2"/>
    <w:rsid w:val="001B3819"/>
    <w:rsid w:val="001B3D64"/>
    <w:rsid w:val="001B5FD2"/>
    <w:rsid w:val="001B6254"/>
    <w:rsid w:val="001C0DF8"/>
    <w:rsid w:val="001C4A97"/>
    <w:rsid w:val="001C6EB8"/>
    <w:rsid w:val="001D02F0"/>
    <w:rsid w:val="001D0A26"/>
    <w:rsid w:val="001D3762"/>
    <w:rsid w:val="001D4E40"/>
    <w:rsid w:val="001D76AD"/>
    <w:rsid w:val="001E1CA7"/>
    <w:rsid w:val="001E22F3"/>
    <w:rsid w:val="001E2A55"/>
    <w:rsid w:val="001E74A3"/>
    <w:rsid w:val="001F4168"/>
    <w:rsid w:val="001F4B0A"/>
    <w:rsid w:val="001F57A7"/>
    <w:rsid w:val="00200A65"/>
    <w:rsid w:val="002017A9"/>
    <w:rsid w:val="002032D3"/>
    <w:rsid w:val="00203AB7"/>
    <w:rsid w:val="0020463D"/>
    <w:rsid w:val="00205109"/>
    <w:rsid w:val="002063E7"/>
    <w:rsid w:val="00206906"/>
    <w:rsid w:val="002078E0"/>
    <w:rsid w:val="00211152"/>
    <w:rsid w:val="0021558F"/>
    <w:rsid w:val="002248F1"/>
    <w:rsid w:val="002253F7"/>
    <w:rsid w:val="00227180"/>
    <w:rsid w:val="00232712"/>
    <w:rsid w:val="0023392A"/>
    <w:rsid w:val="00234BFF"/>
    <w:rsid w:val="00236099"/>
    <w:rsid w:val="0023669B"/>
    <w:rsid w:val="0024205F"/>
    <w:rsid w:val="00245870"/>
    <w:rsid w:val="00255132"/>
    <w:rsid w:val="002648AA"/>
    <w:rsid w:val="002659D6"/>
    <w:rsid w:val="00267AE4"/>
    <w:rsid w:val="002705F9"/>
    <w:rsid w:val="002717AA"/>
    <w:rsid w:val="0027488F"/>
    <w:rsid w:val="002801FD"/>
    <w:rsid w:val="00281DE2"/>
    <w:rsid w:val="00283919"/>
    <w:rsid w:val="00292E6E"/>
    <w:rsid w:val="00295A21"/>
    <w:rsid w:val="002A53A4"/>
    <w:rsid w:val="002A5680"/>
    <w:rsid w:val="002A673A"/>
    <w:rsid w:val="002A6B80"/>
    <w:rsid w:val="002A7906"/>
    <w:rsid w:val="002B67F6"/>
    <w:rsid w:val="002C015C"/>
    <w:rsid w:val="002C02C4"/>
    <w:rsid w:val="002C1A68"/>
    <w:rsid w:val="002C26F1"/>
    <w:rsid w:val="002D786E"/>
    <w:rsid w:val="002E0C15"/>
    <w:rsid w:val="002E1692"/>
    <w:rsid w:val="002E303B"/>
    <w:rsid w:val="002E3DC8"/>
    <w:rsid w:val="002E7551"/>
    <w:rsid w:val="002E7FA4"/>
    <w:rsid w:val="002F017A"/>
    <w:rsid w:val="002F0F6D"/>
    <w:rsid w:val="002F156A"/>
    <w:rsid w:val="002F5B95"/>
    <w:rsid w:val="002F79E8"/>
    <w:rsid w:val="0030042C"/>
    <w:rsid w:val="00306114"/>
    <w:rsid w:val="00306208"/>
    <w:rsid w:val="00307B5D"/>
    <w:rsid w:val="00311CAC"/>
    <w:rsid w:val="0031223D"/>
    <w:rsid w:val="00312459"/>
    <w:rsid w:val="00312956"/>
    <w:rsid w:val="0031379B"/>
    <w:rsid w:val="00314A09"/>
    <w:rsid w:val="0031691C"/>
    <w:rsid w:val="00320395"/>
    <w:rsid w:val="00320F96"/>
    <w:rsid w:val="00322607"/>
    <w:rsid w:val="00323CE8"/>
    <w:rsid w:val="00327933"/>
    <w:rsid w:val="0033673C"/>
    <w:rsid w:val="00337BD2"/>
    <w:rsid w:val="003402AA"/>
    <w:rsid w:val="00344222"/>
    <w:rsid w:val="00345D6C"/>
    <w:rsid w:val="003507ED"/>
    <w:rsid w:val="003523D2"/>
    <w:rsid w:val="00353D85"/>
    <w:rsid w:val="00353E83"/>
    <w:rsid w:val="00354731"/>
    <w:rsid w:val="003559C0"/>
    <w:rsid w:val="0035744E"/>
    <w:rsid w:val="00361A5B"/>
    <w:rsid w:val="00366C5B"/>
    <w:rsid w:val="00367E63"/>
    <w:rsid w:val="00372BAA"/>
    <w:rsid w:val="003739E9"/>
    <w:rsid w:val="00374FDF"/>
    <w:rsid w:val="00380533"/>
    <w:rsid w:val="003811B9"/>
    <w:rsid w:val="00386344"/>
    <w:rsid w:val="00387008"/>
    <w:rsid w:val="0039156C"/>
    <w:rsid w:val="003918B3"/>
    <w:rsid w:val="00391E6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1AAE"/>
    <w:rsid w:val="003E2779"/>
    <w:rsid w:val="003E2B02"/>
    <w:rsid w:val="003E32AF"/>
    <w:rsid w:val="003F04AF"/>
    <w:rsid w:val="003F2F60"/>
    <w:rsid w:val="003F309E"/>
    <w:rsid w:val="00401627"/>
    <w:rsid w:val="0040761E"/>
    <w:rsid w:val="0041268A"/>
    <w:rsid w:val="00416EDE"/>
    <w:rsid w:val="00424C82"/>
    <w:rsid w:val="00426B51"/>
    <w:rsid w:val="00431D5F"/>
    <w:rsid w:val="00436033"/>
    <w:rsid w:val="004417FE"/>
    <w:rsid w:val="00442D97"/>
    <w:rsid w:val="00443EEF"/>
    <w:rsid w:val="00446D15"/>
    <w:rsid w:val="00457F6D"/>
    <w:rsid w:val="0046032B"/>
    <w:rsid w:val="004604F5"/>
    <w:rsid w:val="00462530"/>
    <w:rsid w:val="00465D29"/>
    <w:rsid w:val="00466CE3"/>
    <w:rsid w:val="00473315"/>
    <w:rsid w:val="00474F9B"/>
    <w:rsid w:val="00481ACF"/>
    <w:rsid w:val="00491A35"/>
    <w:rsid w:val="00491D90"/>
    <w:rsid w:val="0049389F"/>
    <w:rsid w:val="0049538D"/>
    <w:rsid w:val="00496A48"/>
    <w:rsid w:val="00497432"/>
    <w:rsid w:val="004A1A9D"/>
    <w:rsid w:val="004A26D9"/>
    <w:rsid w:val="004A35AD"/>
    <w:rsid w:val="004B0E26"/>
    <w:rsid w:val="004B2020"/>
    <w:rsid w:val="004B2825"/>
    <w:rsid w:val="004B30F9"/>
    <w:rsid w:val="004B69B8"/>
    <w:rsid w:val="004C2A58"/>
    <w:rsid w:val="004C34CD"/>
    <w:rsid w:val="004C3573"/>
    <w:rsid w:val="004C37E8"/>
    <w:rsid w:val="004C4524"/>
    <w:rsid w:val="004C6BA6"/>
    <w:rsid w:val="004C7FCA"/>
    <w:rsid w:val="004D059D"/>
    <w:rsid w:val="004D4CBA"/>
    <w:rsid w:val="004D668A"/>
    <w:rsid w:val="004D6875"/>
    <w:rsid w:val="004D68F9"/>
    <w:rsid w:val="004E61B9"/>
    <w:rsid w:val="004F2672"/>
    <w:rsid w:val="004F3586"/>
    <w:rsid w:val="004F4615"/>
    <w:rsid w:val="004F551D"/>
    <w:rsid w:val="004F5D6B"/>
    <w:rsid w:val="004F78BE"/>
    <w:rsid w:val="00503AC3"/>
    <w:rsid w:val="00505E87"/>
    <w:rsid w:val="005065C7"/>
    <w:rsid w:val="00507646"/>
    <w:rsid w:val="00510C7B"/>
    <w:rsid w:val="00517A78"/>
    <w:rsid w:val="00521046"/>
    <w:rsid w:val="005214D1"/>
    <w:rsid w:val="00522CAE"/>
    <w:rsid w:val="005409E3"/>
    <w:rsid w:val="005420E0"/>
    <w:rsid w:val="00542D82"/>
    <w:rsid w:val="00551E85"/>
    <w:rsid w:val="00555A56"/>
    <w:rsid w:val="005602FF"/>
    <w:rsid w:val="00560F42"/>
    <w:rsid w:val="00561582"/>
    <w:rsid w:val="00562369"/>
    <w:rsid w:val="00565BEE"/>
    <w:rsid w:val="00566924"/>
    <w:rsid w:val="00567698"/>
    <w:rsid w:val="005703C8"/>
    <w:rsid w:val="0057243A"/>
    <w:rsid w:val="00574316"/>
    <w:rsid w:val="0057765C"/>
    <w:rsid w:val="00580742"/>
    <w:rsid w:val="00581F5B"/>
    <w:rsid w:val="00582C42"/>
    <w:rsid w:val="00584D7F"/>
    <w:rsid w:val="00590F1D"/>
    <w:rsid w:val="005926E0"/>
    <w:rsid w:val="00592B56"/>
    <w:rsid w:val="005941F6"/>
    <w:rsid w:val="00594D12"/>
    <w:rsid w:val="00595239"/>
    <w:rsid w:val="005A1B20"/>
    <w:rsid w:val="005A2967"/>
    <w:rsid w:val="005A323D"/>
    <w:rsid w:val="005B5659"/>
    <w:rsid w:val="005B5868"/>
    <w:rsid w:val="005C2BD1"/>
    <w:rsid w:val="005C3028"/>
    <w:rsid w:val="005C478A"/>
    <w:rsid w:val="005C4C50"/>
    <w:rsid w:val="005D07F3"/>
    <w:rsid w:val="005D0D38"/>
    <w:rsid w:val="005D0EF7"/>
    <w:rsid w:val="005D1984"/>
    <w:rsid w:val="005D7374"/>
    <w:rsid w:val="005E6733"/>
    <w:rsid w:val="005F0290"/>
    <w:rsid w:val="005F4373"/>
    <w:rsid w:val="006005B6"/>
    <w:rsid w:val="006020DB"/>
    <w:rsid w:val="00602C11"/>
    <w:rsid w:val="00604794"/>
    <w:rsid w:val="00612154"/>
    <w:rsid w:val="00614E58"/>
    <w:rsid w:val="006211B9"/>
    <w:rsid w:val="0062765B"/>
    <w:rsid w:val="00627EC8"/>
    <w:rsid w:val="00633799"/>
    <w:rsid w:val="006372B7"/>
    <w:rsid w:val="0064715C"/>
    <w:rsid w:val="006522E7"/>
    <w:rsid w:val="006657CD"/>
    <w:rsid w:val="00665A65"/>
    <w:rsid w:val="00665F7F"/>
    <w:rsid w:val="0067308A"/>
    <w:rsid w:val="00674EEA"/>
    <w:rsid w:val="00676077"/>
    <w:rsid w:val="00676792"/>
    <w:rsid w:val="00677147"/>
    <w:rsid w:val="00680472"/>
    <w:rsid w:val="006810E8"/>
    <w:rsid w:val="00684485"/>
    <w:rsid w:val="006846AC"/>
    <w:rsid w:val="00686D3F"/>
    <w:rsid w:val="00694CBC"/>
    <w:rsid w:val="00695C15"/>
    <w:rsid w:val="00696B3E"/>
    <w:rsid w:val="00697FED"/>
    <w:rsid w:val="006A1A6E"/>
    <w:rsid w:val="006A26A0"/>
    <w:rsid w:val="006A4710"/>
    <w:rsid w:val="006B1A71"/>
    <w:rsid w:val="006B1E56"/>
    <w:rsid w:val="006B1F5D"/>
    <w:rsid w:val="006B3516"/>
    <w:rsid w:val="006B36BF"/>
    <w:rsid w:val="006B4543"/>
    <w:rsid w:val="006B4F12"/>
    <w:rsid w:val="006B640E"/>
    <w:rsid w:val="006B7CB0"/>
    <w:rsid w:val="006C292F"/>
    <w:rsid w:val="006C2934"/>
    <w:rsid w:val="006C50F0"/>
    <w:rsid w:val="006D4EB1"/>
    <w:rsid w:val="006D5D8B"/>
    <w:rsid w:val="006D7F10"/>
    <w:rsid w:val="006E0806"/>
    <w:rsid w:val="006E4401"/>
    <w:rsid w:val="006E68C8"/>
    <w:rsid w:val="006E698B"/>
    <w:rsid w:val="006F5B2A"/>
    <w:rsid w:val="006F7CE9"/>
    <w:rsid w:val="00703DDF"/>
    <w:rsid w:val="00706D64"/>
    <w:rsid w:val="00712242"/>
    <w:rsid w:val="0071451C"/>
    <w:rsid w:val="00721455"/>
    <w:rsid w:val="00721DDD"/>
    <w:rsid w:val="00732129"/>
    <w:rsid w:val="00732828"/>
    <w:rsid w:val="0073739F"/>
    <w:rsid w:val="007455FD"/>
    <w:rsid w:val="00745D52"/>
    <w:rsid w:val="00746FCA"/>
    <w:rsid w:val="00751874"/>
    <w:rsid w:val="0075193E"/>
    <w:rsid w:val="0075214B"/>
    <w:rsid w:val="007522AA"/>
    <w:rsid w:val="00752E65"/>
    <w:rsid w:val="0075679B"/>
    <w:rsid w:val="0076000F"/>
    <w:rsid w:val="00762A22"/>
    <w:rsid w:val="007641B0"/>
    <w:rsid w:val="0076500E"/>
    <w:rsid w:val="00765BAF"/>
    <w:rsid w:val="0077436C"/>
    <w:rsid w:val="00775647"/>
    <w:rsid w:val="00780523"/>
    <w:rsid w:val="00780E7C"/>
    <w:rsid w:val="007826D8"/>
    <w:rsid w:val="007832A9"/>
    <w:rsid w:val="00785020"/>
    <w:rsid w:val="007A025C"/>
    <w:rsid w:val="007A4F6E"/>
    <w:rsid w:val="007A53B1"/>
    <w:rsid w:val="007A79F4"/>
    <w:rsid w:val="007B1E0E"/>
    <w:rsid w:val="007C4A25"/>
    <w:rsid w:val="007C6340"/>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406"/>
    <w:rsid w:val="00826F47"/>
    <w:rsid w:val="008308F0"/>
    <w:rsid w:val="00831DE1"/>
    <w:rsid w:val="00832B88"/>
    <w:rsid w:val="00836853"/>
    <w:rsid w:val="00837F2B"/>
    <w:rsid w:val="00841DF7"/>
    <w:rsid w:val="008564C4"/>
    <w:rsid w:val="00873220"/>
    <w:rsid w:val="00875B03"/>
    <w:rsid w:val="00877B95"/>
    <w:rsid w:val="00877C0B"/>
    <w:rsid w:val="00883EDE"/>
    <w:rsid w:val="00885E07"/>
    <w:rsid w:val="008878D2"/>
    <w:rsid w:val="00895C16"/>
    <w:rsid w:val="008967BD"/>
    <w:rsid w:val="008A0F2A"/>
    <w:rsid w:val="008B0531"/>
    <w:rsid w:val="008B4648"/>
    <w:rsid w:val="008B5CEC"/>
    <w:rsid w:val="008B7469"/>
    <w:rsid w:val="008C35AB"/>
    <w:rsid w:val="008C5FCF"/>
    <w:rsid w:val="008C648D"/>
    <w:rsid w:val="008D03ED"/>
    <w:rsid w:val="008D5294"/>
    <w:rsid w:val="008D6E46"/>
    <w:rsid w:val="008E6553"/>
    <w:rsid w:val="008E663F"/>
    <w:rsid w:val="008E6961"/>
    <w:rsid w:val="008F4648"/>
    <w:rsid w:val="008F514A"/>
    <w:rsid w:val="00901980"/>
    <w:rsid w:val="0090611C"/>
    <w:rsid w:val="00906582"/>
    <w:rsid w:val="0091180A"/>
    <w:rsid w:val="00912D3B"/>
    <w:rsid w:val="00913A85"/>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266D"/>
    <w:rsid w:val="0096419A"/>
    <w:rsid w:val="009724B0"/>
    <w:rsid w:val="00972C54"/>
    <w:rsid w:val="00980635"/>
    <w:rsid w:val="00981BE5"/>
    <w:rsid w:val="00987ECC"/>
    <w:rsid w:val="00990B5E"/>
    <w:rsid w:val="00993EAB"/>
    <w:rsid w:val="00994D19"/>
    <w:rsid w:val="009A343C"/>
    <w:rsid w:val="009B2BF4"/>
    <w:rsid w:val="009B36E2"/>
    <w:rsid w:val="009C0FFD"/>
    <w:rsid w:val="009C16BB"/>
    <w:rsid w:val="009C27DD"/>
    <w:rsid w:val="009C509A"/>
    <w:rsid w:val="009D4938"/>
    <w:rsid w:val="009D7BF5"/>
    <w:rsid w:val="009E208E"/>
    <w:rsid w:val="009E4E07"/>
    <w:rsid w:val="009E5FD0"/>
    <w:rsid w:val="009E60A4"/>
    <w:rsid w:val="009E6AC5"/>
    <w:rsid w:val="009F14D6"/>
    <w:rsid w:val="009F279E"/>
    <w:rsid w:val="009F6623"/>
    <w:rsid w:val="009F7308"/>
    <w:rsid w:val="00A02FEB"/>
    <w:rsid w:val="00A03042"/>
    <w:rsid w:val="00A06B4E"/>
    <w:rsid w:val="00A07870"/>
    <w:rsid w:val="00A10665"/>
    <w:rsid w:val="00A135FF"/>
    <w:rsid w:val="00A1539F"/>
    <w:rsid w:val="00A20AB9"/>
    <w:rsid w:val="00A21FB6"/>
    <w:rsid w:val="00A22FD0"/>
    <w:rsid w:val="00A23C5C"/>
    <w:rsid w:val="00A240A7"/>
    <w:rsid w:val="00A262BD"/>
    <w:rsid w:val="00A26E3B"/>
    <w:rsid w:val="00A271D6"/>
    <w:rsid w:val="00A31EC2"/>
    <w:rsid w:val="00A34312"/>
    <w:rsid w:val="00A37BF2"/>
    <w:rsid w:val="00A44601"/>
    <w:rsid w:val="00A51AC5"/>
    <w:rsid w:val="00A51B0F"/>
    <w:rsid w:val="00A55954"/>
    <w:rsid w:val="00A6050C"/>
    <w:rsid w:val="00A62C8E"/>
    <w:rsid w:val="00A75762"/>
    <w:rsid w:val="00A760E0"/>
    <w:rsid w:val="00A772A8"/>
    <w:rsid w:val="00A778A2"/>
    <w:rsid w:val="00A83E2A"/>
    <w:rsid w:val="00A840E8"/>
    <w:rsid w:val="00A85F40"/>
    <w:rsid w:val="00A87FE8"/>
    <w:rsid w:val="00A900BA"/>
    <w:rsid w:val="00A90A5E"/>
    <w:rsid w:val="00A91A3A"/>
    <w:rsid w:val="00A9542C"/>
    <w:rsid w:val="00A9590E"/>
    <w:rsid w:val="00A96BA3"/>
    <w:rsid w:val="00A9794C"/>
    <w:rsid w:val="00AA044A"/>
    <w:rsid w:val="00AA23E1"/>
    <w:rsid w:val="00AA7CA7"/>
    <w:rsid w:val="00AA7FC7"/>
    <w:rsid w:val="00AB0A31"/>
    <w:rsid w:val="00AB1D59"/>
    <w:rsid w:val="00AB26C6"/>
    <w:rsid w:val="00AB2C51"/>
    <w:rsid w:val="00AB3901"/>
    <w:rsid w:val="00AC35E9"/>
    <w:rsid w:val="00AC6935"/>
    <w:rsid w:val="00AC71AD"/>
    <w:rsid w:val="00AC78CB"/>
    <w:rsid w:val="00AD288F"/>
    <w:rsid w:val="00AD3704"/>
    <w:rsid w:val="00AD6110"/>
    <w:rsid w:val="00AD6E42"/>
    <w:rsid w:val="00AE30D9"/>
    <w:rsid w:val="00AE5083"/>
    <w:rsid w:val="00AF0A93"/>
    <w:rsid w:val="00AF1D2F"/>
    <w:rsid w:val="00AF31AE"/>
    <w:rsid w:val="00AF36BE"/>
    <w:rsid w:val="00AF52DA"/>
    <w:rsid w:val="00AF61A2"/>
    <w:rsid w:val="00AF6ED0"/>
    <w:rsid w:val="00B00B8D"/>
    <w:rsid w:val="00B02FD1"/>
    <w:rsid w:val="00B046A5"/>
    <w:rsid w:val="00B06E1C"/>
    <w:rsid w:val="00B075C5"/>
    <w:rsid w:val="00B12479"/>
    <w:rsid w:val="00B13307"/>
    <w:rsid w:val="00B13770"/>
    <w:rsid w:val="00B166F0"/>
    <w:rsid w:val="00B210B9"/>
    <w:rsid w:val="00B24A84"/>
    <w:rsid w:val="00B27482"/>
    <w:rsid w:val="00B30833"/>
    <w:rsid w:val="00B30A0D"/>
    <w:rsid w:val="00B35BCE"/>
    <w:rsid w:val="00B43AEA"/>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7D5"/>
    <w:rsid w:val="00BA494C"/>
    <w:rsid w:val="00BA52B0"/>
    <w:rsid w:val="00BB3213"/>
    <w:rsid w:val="00BB62D4"/>
    <w:rsid w:val="00BC0E42"/>
    <w:rsid w:val="00BC1A8B"/>
    <w:rsid w:val="00BD19C6"/>
    <w:rsid w:val="00BD45B9"/>
    <w:rsid w:val="00BD4986"/>
    <w:rsid w:val="00BD7218"/>
    <w:rsid w:val="00BE2842"/>
    <w:rsid w:val="00BF18CB"/>
    <w:rsid w:val="00BF32BF"/>
    <w:rsid w:val="00BF360C"/>
    <w:rsid w:val="00BF3D87"/>
    <w:rsid w:val="00BF5F0F"/>
    <w:rsid w:val="00C10A79"/>
    <w:rsid w:val="00C12265"/>
    <w:rsid w:val="00C1318A"/>
    <w:rsid w:val="00C1490D"/>
    <w:rsid w:val="00C14B81"/>
    <w:rsid w:val="00C23D76"/>
    <w:rsid w:val="00C2461A"/>
    <w:rsid w:val="00C25CD2"/>
    <w:rsid w:val="00C30A48"/>
    <w:rsid w:val="00C333B3"/>
    <w:rsid w:val="00C33550"/>
    <w:rsid w:val="00C33DD9"/>
    <w:rsid w:val="00C362F6"/>
    <w:rsid w:val="00C36B34"/>
    <w:rsid w:val="00C37185"/>
    <w:rsid w:val="00C405BA"/>
    <w:rsid w:val="00C4631D"/>
    <w:rsid w:val="00C532C2"/>
    <w:rsid w:val="00C53915"/>
    <w:rsid w:val="00C56076"/>
    <w:rsid w:val="00C606C1"/>
    <w:rsid w:val="00C60B49"/>
    <w:rsid w:val="00C61950"/>
    <w:rsid w:val="00C63B05"/>
    <w:rsid w:val="00C64909"/>
    <w:rsid w:val="00C70B3C"/>
    <w:rsid w:val="00C7347F"/>
    <w:rsid w:val="00C737A1"/>
    <w:rsid w:val="00C737FB"/>
    <w:rsid w:val="00C7465C"/>
    <w:rsid w:val="00C84887"/>
    <w:rsid w:val="00C86E31"/>
    <w:rsid w:val="00C87BDA"/>
    <w:rsid w:val="00C920B4"/>
    <w:rsid w:val="00C93F48"/>
    <w:rsid w:val="00C96854"/>
    <w:rsid w:val="00CA31EC"/>
    <w:rsid w:val="00CA53DF"/>
    <w:rsid w:val="00CA7E99"/>
    <w:rsid w:val="00CB1BC5"/>
    <w:rsid w:val="00CB7BBA"/>
    <w:rsid w:val="00CC0149"/>
    <w:rsid w:val="00CC279E"/>
    <w:rsid w:val="00CD05E9"/>
    <w:rsid w:val="00CD37EF"/>
    <w:rsid w:val="00CD481A"/>
    <w:rsid w:val="00CE1E59"/>
    <w:rsid w:val="00CE21B4"/>
    <w:rsid w:val="00CE24E4"/>
    <w:rsid w:val="00CE3AFE"/>
    <w:rsid w:val="00CE6654"/>
    <w:rsid w:val="00CE71B7"/>
    <w:rsid w:val="00CF3100"/>
    <w:rsid w:val="00CF4060"/>
    <w:rsid w:val="00CF5007"/>
    <w:rsid w:val="00D04A80"/>
    <w:rsid w:val="00D06820"/>
    <w:rsid w:val="00D13458"/>
    <w:rsid w:val="00D15331"/>
    <w:rsid w:val="00D1654D"/>
    <w:rsid w:val="00D178CE"/>
    <w:rsid w:val="00D207F9"/>
    <w:rsid w:val="00D23A7D"/>
    <w:rsid w:val="00D23E72"/>
    <w:rsid w:val="00D26D70"/>
    <w:rsid w:val="00D27B79"/>
    <w:rsid w:val="00D30DCF"/>
    <w:rsid w:val="00D31C38"/>
    <w:rsid w:val="00D363D5"/>
    <w:rsid w:val="00D4184B"/>
    <w:rsid w:val="00D43659"/>
    <w:rsid w:val="00D446EB"/>
    <w:rsid w:val="00D7462B"/>
    <w:rsid w:val="00D779D5"/>
    <w:rsid w:val="00D77CF6"/>
    <w:rsid w:val="00D87419"/>
    <w:rsid w:val="00D87D07"/>
    <w:rsid w:val="00D87DD1"/>
    <w:rsid w:val="00D91DB4"/>
    <w:rsid w:val="00D93EC4"/>
    <w:rsid w:val="00DA1005"/>
    <w:rsid w:val="00DA12D0"/>
    <w:rsid w:val="00DA4F42"/>
    <w:rsid w:val="00DB01C2"/>
    <w:rsid w:val="00DB111C"/>
    <w:rsid w:val="00DB2128"/>
    <w:rsid w:val="00DB22FC"/>
    <w:rsid w:val="00DB2DD4"/>
    <w:rsid w:val="00DB2E90"/>
    <w:rsid w:val="00DB342D"/>
    <w:rsid w:val="00DB3A95"/>
    <w:rsid w:val="00DB59CB"/>
    <w:rsid w:val="00DB7246"/>
    <w:rsid w:val="00DC0EA5"/>
    <w:rsid w:val="00DC14B3"/>
    <w:rsid w:val="00DC2018"/>
    <w:rsid w:val="00DC24B0"/>
    <w:rsid w:val="00DC4998"/>
    <w:rsid w:val="00DC7363"/>
    <w:rsid w:val="00DD079D"/>
    <w:rsid w:val="00DD4053"/>
    <w:rsid w:val="00DD4202"/>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0908"/>
    <w:rsid w:val="00E51C96"/>
    <w:rsid w:val="00E52769"/>
    <w:rsid w:val="00E52D71"/>
    <w:rsid w:val="00E5378A"/>
    <w:rsid w:val="00E55FE0"/>
    <w:rsid w:val="00E62F90"/>
    <w:rsid w:val="00E64D6C"/>
    <w:rsid w:val="00E664D1"/>
    <w:rsid w:val="00E72DFF"/>
    <w:rsid w:val="00E7417F"/>
    <w:rsid w:val="00E76D91"/>
    <w:rsid w:val="00E77D18"/>
    <w:rsid w:val="00E805E8"/>
    <w:rsid w:val="00E8252A"/>
    <w:rsid w:val="00E83950"/>
    <w:rsid w:val="00E83A0B"/>
    <w:rsid w:val="00E84A10"/>
    <w:rsid w:val="00E84C03"/>
    <w:rsid w:val="00E85331"/>
    <w:rsid w:val="00E8605E"/>
    <w:rsid w:val="00E94BCB"/>
    <w:rsid w:val="00EA0243"/>
    <w:rsid w:val="00EA1859"/>
    <w:rsid w:val="00EA526C"/>
    <w:rsid w:val="00EA671C"/>
    <w:rsid w:val="00EB25D9"/>
    <w:rsid w:val="00EB3830"/>
    <w:rsid w:val="00EB6868"/>
    <w:rsid w:val="00EB75B9"/>
    <w:rsid w:val="00EC2056"/>
    <w:rsid w:val="00EC26D9"/>
    <w:rsid w:val="00EC4F18"/>
    <w:rsid w:val="00EC524C"/>
    <w:rsid w:val="00ED1AA0"/>
    <w:rsid w:val="00ED2123"/>
    <w:rsid w:val="00ED316F"/>
    <w:rsid w:val="00EE0C22"/>
    <w:rsid w:val="00EE11EB"/>
    <w:rsid w:val="00EE5D78"/>
    <w:rsid w:val="00EE62A0"/>
    <w:rsid w:val="00EE68BE"/>
    <w:rsid w:val="00EF252F"/>
    <w:rsid w:val="00EF2849"/>
    <w:rsid w:val="00EF7C0B"/>
    <w:rsid w:val="00F00E8D"/>
    <w:rsid w:val="00F0583F"/>
    <w:rsid w:val="00F066E5"/>
    <w:rsid w:val="00F10288"/>
    <w:rsid w:val="00F11331"/>
    <w:rsid w:val="00F1195C"/>
    <w:rsid w:val="00F14AC8"/>
    <w:rsid w:val="00F17E83"/>
    <w:rsid w:val="00F203A0"/>
    <w:rsid w:val="00F20726"/>
    <w:rsid w:val="00F2350E"/>
    <w:rsid w:val="00F25D92"/>
    <w:rsid w:val="00F30919"/>
    <w:rsid w:val="00F32AD1"/>
    <w:rsid w:val="00F34040"/>
    <w:rsid w:val="00F37144"/>
    <w:rsid w:val="00F47482"/>
    <w:rsid w:val="00F47FAA"/>
    <w:rsid w:val="00F507C8"/>
    <w:rsid w:val="00F513F4"/>
    <w:rsid w:val="00F532D3"/>
    <w:rsid w:val="00F535CC"/>
    <w:rsid w:val="00F56B67"/>
    <w:rsid w:val="00F62562"/>
    <w:rsid w:val="00F7045E"/>
    <w:rsid w:val="00F75151"/>
    <w:rsid w:val="00F762E5"/>
    <w:rsid w:val="00F805D4"/>
    <w:rsid w:val="00F81989"/>
    <w:rsid w:val="00F81BFF"/>
    <w:rsid w:val="00F83258"/>
    <w:rsid w:val="00F8646F"/>
    <w:rsid w:val="00F910C3"/>
    <w:rsid w:val="00F923A8"/>
    <w:rsid w:val="00F92DFB"/>
    <w:rsid w:val="00F93709"/>
    <w:rsid w:val="00FA06BE"/>
    <w:rsid w:val="00FA0B42"/>
    <w:rsid w:val="00FA0FB8"/>
    <w:rsid w:val="00FB3B45"/>
    <w:rsid w:val="00FC3F39"/>
    <w:rsid w:val="00FC492B"/>
    <w:rsid w:val="00FC61C1"/>
    <w:rsid w:val="00FD0726"/>
    <w:rsid w:val="00FD292C"/>
    <w:rsid w:val="00FD2A81"/>
    <w:rsid w:val="00FD53F3"/>
    <w:rsid w:val="00FD73AE"/>
    <w:rsid w:val="00FE1957"/>
    <w:rsid w:val="00FE278A"/>
    <w:rsid w:val="00FE519B"/>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rsid w:val="00981BE5"/>
    <w:rPr>
      <w:rFonts w:ascii="Arial" w:eastAsia="Times New Roman" w:hAnsi="Arial" w:cs="Arial"/>
      <w:color w:val="000000"/>
      <w:sz w:val="24"/>
      <w:szCs w:val="20"/>
      <w:lang w:val="en-GB"/>
    </w:rPr>
  </w:style>
  <w:style w:type="character" w:customStyle="1" w:styleId="FooterChar">
    <w:name w:val="Footer Char"/>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rsid w:val="00981BE5"/>
    <w:rPr>
      <w:rFonts w:ascii="Times New Roman" w:eastAsia="Times New Roman" w:hAnsi="Times New Roman" w:cs="Times New Roman"/>
      <w:b/>
      <w:bCs/>
      <w:sz w:val="24"/>
      <w:szCs w:val="24"/>
    </w:rPr>
  </w:style>
  <w:style w:type="character" w:styleId="Emphasis">
    <w:name w:val="Emphasis"/>
    <w:qFormat/>
    <w:rsid w:val="00981BE5"/>
    <w:rPr>
      <w:i/>
      <w:iCs/>
    </w:rPr>
  </w:style>
  <w:style w:type="character" w:customStyle="1" w:styleId="BalloonTextChar">
    <w:name w:val="Balloon Text Char"/>
    <w:rsid w:val="00981BE5"/>
    <w:rPr>
      <w:rFonts w:ascii="Tahoma" w:eastAsia="Times New Roman" w:hAnsi="Tahoma" w:cs="Tahoma"/>
      <w:sz w:val="16"/>
      <w:szCs w:val="16"/>
      <w:lang w:val="es-CO"/>
    </w:rPr>
  </w:style>
  <w:style w:type="character" w:customStyle="1" w:styleId="HeaderChar">
    <w:name w:val="Header Char"/>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uiPriority w:val="99"/>
    <w:unhideWhenUsed/>
    <w:rsid w:val="0013530E"/>
    <w:rPr>
      <w:color w:val="0000FF"/>
      <w:u w:val="single"/>
    </w:rPr>
  </w:style>
  <w:style w:type="character" w:styleId="FollowedHyperlink">
    <w:name w:val="FollowedHyperlink"/>
    <w:uiPriority w:val="99"/>
    <w:semiHidden/>
    <w:unhideWhenUsed/>
    <w:rsid w:val="00AC78CB"/>
    <w:rPr>
      <w:color w:val="800080"/>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14B3"/>
    <w:rPr>
      <w:sz w:val="16"/>
      <w:szCs w:val="16"/>
    </w:rPr>
  </w:style>
  <w:style w:type="paragraph" w:styleId="CommentText">
    <w:name w:val="annotation text"/>
    <w:basedOn w:val="Normal"/>
    <w:link w:val="CommentTextChar"/>
    <w:uiPriority w:val="99"/>
    <w:semiHidden/>
    <w:unhideWhenUsed/>
    <w:rsid w:val="00DC14B3"/>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DC14B3"/>
    <w:rPr>
      <w:rFont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C14B3"/>
    <w:rPr>
      <w:b/>
      <w:bCs/>
    </w:rPr>
  </w:style>
  <w:style w:type="character" w:customStyle="1" w:styleId="CommentSubjectChar">
    <w:name w:val="Comment Subject Char"/>
    <w:basedOn w:val="CommentTextChar"/>
    <w:link w:val="CommentSubject"/>
    <w:uiPriority w:val="99"/>
    <w:semiHidden/>
    <w:rsid w:val="00DC14B3"/>
    <w:rPr>
      <w:rFonts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rsid w:val="00981BE5"/>
    <w:rPr>
      <w:rFonts w:ascii="Arial" w:eastAsia="Times New Roman" w:hAnsi="Arial" w:cs="Arial"/>
      <w:color w:val="000000"/>
      <w:sz w:val="24"/>
      <w:szCs w:val="20"/>
      <w:lang w:val="en-GB"/>
    </w:rPr>
  </w:style>
  <w:style w:type="character" w:customStyle="1" w:styleId="FooterChar">
    <w:name w:val="Footer Char"/>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rsid w:val="00981BE5"/>
    <w:rPr>
      <w:rFonts w:ascii="Times New Roman" w:eastAsia="Times New Roman" w:hAnsi="Times New Roman" w:cs="Times New Roman"/>
      <w:b/>
      <w:bCs/>
      <w:sz w:val="24"/>
      <w:szCs w:val="24"/>
    </w:rPr>
  </w:style>
  <w:style w:type="character" w:styleId="Emphasis">
    <w:name w:val="Emphasis"/>
    <w:qFormat/>
    <w:rsid w:val="00981BE5"/>
    <w:rPr>
      <w:i/>
      <w:iCs/>
    </w:rPr>
  </w:style>
  <w:style w:type="character" w:customStyle="1" w:styleId="BalloonTextChar">
    <w:name w:val="Balloon Text Char"/>
    <w:rsid w:val="00981BE5"/>
    <w:rPr>
      <w:rFonts w:ascii="Tahoma" w:eastAsia="Times New Roman" w:hAnsi="Tahoma" w:cs="Tahoma"/>
      <w:sz w:val="16"/>
      <w:szCs w:val="16"/>
      <w:lang w:val="es-CO"/>
    </w:rPr>
  </w:style>
  <w:style w:type="character" w:customStyle="1" w:styleId="HeaderChar">
    <w:name w:val="Header Char"/>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uiPriority w:val="99"/>
    <w:unhideWhenUsed/>
    <w:rsid w:val="0013530E"/>
    <w:rPr>
      <w:color w:val="0000FF"/>
      <w:u w:val="single"/>
    </w:rPr>
  </w:style>
  <w:style w:type="character" w:styleId="FollowedHyperlink">
    <w:name w:val="FollowedHyperlink"/>
    <w:uiPriority w:val="99"/>
    <w:semiHidden/>
    <w:unhideWhenUsed/>
    <w:rsid w:val="00AC78CB"/>
    <w:rPr>
      <w:color w:val="800080"/>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14B3"/>
    <w:rPr>
      <w:sz w:val="16"/>
      <w:szCs w:val="16"/>
    </w:rPr>
  </w:style>
  <w:style w:type="paragraph" w:styleId="CommentText">
    <w:name w:val="annotation text"/>
    <w:basedOn w:val="Normal"/>
    <w:link w:val="CommentTextChar"/>
    <w:uiPriority w:val="99"/>
    <w:semiHidden/>
    <w:unhideWhenUsed/>
    <w:rsid w:val="00DC14B3"/>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DC14B3"/>
    <w:rPr>
      <w:rFont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C14B3"/>
    <w:rPr>
      <w:b/>
      <w:bCs/>
    </w:rPr>
  </w:style>
  <w:style w:type="character" w:customStyle="1" w:styleId="CommentSubjectChar">
    <w:name w:val="Comment Subject Char"/>
    <w:basedOn w:val="CommentTextChar"/>
    <w:link w:val="CommentSubject"/>
    <w:uiPriority w:val="99"/>
    <w:semiHidden/>
    <w:rsid w:val="00DC14B3"/>
    <w:rPr>
      <w:rFont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EF7B-A0ED-4F1B-9CA9-882FBCF727EF}">
  <ds:schemaRefs>
    <ds:schemaRef ds:uri="http://schemas.microsoft.com/office/2006/metadata/properties"/>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CEB447-217A-48A0-8DDA-2363748C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4</cp:revision>
  <cp:lastPrinted>2013-03-15T03:34:00Z</cp:lastPrinted>
  <dcterms:created xsi:type="dcterms:W3CDTF">2013-04-26T22:44:00Z</dcterms:created>
  <dcterms:modified xsi:type="dcterms:W3CDTF">2013-05-29T22:42:00Z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