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Default="006E0806" w:rsidP="00EB75B9">
      <w:pPr>
        <w:jc w:val="center"/>
        <w:rPr>
          <w:rFonts w:asciiTheme="minorHAnsi" w:hAnsiTheme="minorHAnsi" w:cstheme="minorHAnsi"/>
        </w:rPr>
      </w:pPr>
      <w:bookmarkStart w:id="0" w:name="_GoBack"/>
      <w:bookmarkEnd w:id="0"/>
      <w:r w:rsidRPr="006E0806">
        <w:rPr>
          <w:rFonts w:asciiTheme="minorHAnsi" w:hAnsiTheme="minorHAnsi" w:cstheme="minorHAnsi"/>
          <w:noProof/>
          <w:color w:val="000000"/>
          <w:sz w:val="18"/>
          <w:szCs w:val="18"/>
          <w:lang w:val="en-US" w:eastAsia="en-US" w:bidi="ar-SA"/>
        </w:rPr>
        <w:drawing>
          <wp:inline distT="0" distB="0" distL="0" distR="0">
            <wp:extent cx="2552368" cy="755893"/>
            <wp:effectExtent l="0" t="0" r="635" b="635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1374" cy="758560"/>
                    </a:xfrm>
                    <a:prstGeom prst="rect">
                      <a:avLst/>
                    </a:prstGeom>
                    <a:noFill/>
                    <a:ln>
                      <a:noFill/>
                    </a:ln>
                  </pic:spPr>
                </pic:pic>
              </a:graphicData>
            </a:graphic>
          </wp:inline>
        </w:drawing>
      </w:r>
    </w:p>
    <w:p w:rsidR="00DD3007" w:rsidRPr="006937BE" w:rsidRDefault="00DD3007" w:rsidP="00DD3007">
      <w:pPr>
        <w:spacing w:before="240" w:after="240" w:line="240" w:lineRule="auto"/>
        <w:jc w:val="center"/>
        <w:rPr>
          <w:rFonts w:cstheme="minorHAnsi"/>
          <w:color w:val="365F91" w:themeColor="accent1" w:themeShade="BF"/>
          <w:spacing w:val="5"/>
          <w:kern w:val="28"/>
          <w:sz w:val="28"/>
          <w:szCs w:val="28"/>
        </w:rPr>
      </w:pPr>
      <w:proofErr w:type="spellStart"/>
      <w:r w:rsidRPr="006937BE">
        <w:rPr>
          <w:rFonts w:cstheme="minorHAnsi"/>
          <w:color w:val="365F91" w:themeColor="accent1" w:themeShade="BF"/>
          <w:spacing w:val="5"/>
          <w:kern w:val="28"/>
          <w:sz w:val="28"/>
          <w:szCs w:val="28"/>
        </w:rPr>
        <w:t>The</w:t>
      </w:r>
      <w:proofErr w:type="spellEnd"/>
      <w:r w:rsidRPr="006937BE">
        <w:rPr>
          <w:rFonts w:cstheme="minorHAnsi"/>
          <w:color w:val="365F91" w:themeColor="accent1" w:themeShade="BF"/>
          <w:spacing w:val="5"/>
          <w:kern w:val="28"/>
          <w:sz w:val="28"/>
          <w:szCs w:val="28"/>
        </w:rPr>
        <w:t xml:space="preserve"> </w:t>
      </w:r>
      <w:proofErr w:type="spellStart"/>
      <w:r w:rsidRPr="006937BE">
        <w:rPr>
          <w:rFonts w:cstheme="minorHAnsi"/>
          <w:color w:val="365F91" w:themeColor="accent1" w:themeShade="BF"/>
          <w:spacing w:val="5"/>
          <w:kern w:val="28"/>
          <w:sz w:val="28"/>
          <w:szCs w:val="28"/>
        </w:rPr>
        <w:t>World</w:t>
      </w:r>
      <w:proofErr w:type="spellEnd"/>
      <w:r w:rsidRPr="006937BE">
        <w:rPr>
          <w:rFonts w:cstheme="minorHAnsi"/>
          <w:color w:val="365F91" w:themeColor="accent1" w:themeShade="BF"/>
          <w:spacing w:val="5"/>
          <w:kern w:val="28"/>
          <w:sz w:val="28"/>
          <w:szCs w:val="28"/>
        </w:rPr>
        <w:t xml:space="preserve"> Bank </w:t>
      </w:r>
    </w:p>
    <w:p w:rsidR="00DD3007" w:rsidRPr="006937BE" w:rsidRDefault="00DD3007" w:rsidP="00DD3007">
      <w:pPr>
        <w:spacing w:after="240" w:line="240" w:lineRule="auto"/>
        <w:jc w:val="center"/>
        <w:rPr>
          <w:rFonts w:cstheme="minorHAnsi"/>
          <w:color w:val="365F91" w:themeColor="accent1" w:themeShade="BF"/>
          <w:sz w:val="28"/>
          <w:szCs w:val="28"/>
        </w:rPr>
      </w:pPr>
      <w:r w:rsidRPr="006937BE">
        <w:rPr>
          <w:rFonts w:cstheme="minorHAnsi"/>
          <w:color w:val="365F91" w:themeColor="accent1" w:themeShade="BF"/>
          <w:sz w:val="28"/>
          <w:szCs w:val="28"/>
        </w:rPr>
        <w:t xml:space="preserve">REVIEW and UPDATE of </w:t>
      </w:r>
      <w:proofErr w:type="spellStart"/>
      <w:r w:rsidRPr="006937BE">
        <w:rPr>
          <w:rFonts w:cstheme="minorHAnsi"/>
          <w:color w:val="365F91" w:themeColor="accent1" w:themeShade="BF"/>
          <w:sz w:val="28"/>
          <w:szCs w:val="28"/>
        </w:rPr>
        <w:t>the</w:t>
      </w:r>
      <w:proofErr w:type="spellEnd"/>
      <w:r w:rsidRPr="006937BE">
        <w:rPr>
          <w:rFonts w:cstheme="minorHAnsi"/>
          <w:color w:val="365F91" w:themeColor="accent1" w:themeShade="BF"/>
          <w:sz w:val="28"/>
          <w:szCs w:val="28"/>
        </w:rPr>
        <w:t xml:space="preserve"> WORLD </w:t>
      </w:r>
      <w:proofErr w:type="spellStart"/>
      <w:r w:rsidRPr="006937BE">
        <w:rPr>
          <w:rFonts w:cstheme="minorHAnsi"/>
          <w:color w:val="365F91" w:themeColor="accent1" w:themeShade="BF"/>
          <w:sz w:val="28"/>
          <w:szCs w:val="28"/>
        </w:rPr>
        <w:t>BANK’s</w:t>
      </w:r>
      <w:proofErr w:type="spellEnd"/>
      <w:r w:rsidRPr="006937BE">
        <w:rPr>
          <w:rFonts w:cstheme="minorHAnsi"/>
          <w:color w:val="365F91" w:themeColor="accent1" w:themeShade="BF"/>
          <w:sz w:val="28"/>
          <w:szCs w:val="28"/>
        </w:rPr>
        <w:t xml:space="preserve"> ENVIRONMENTAL </w:t>
      </w:r>
    </w:p>
    <w:p w:rsidR="00DD3007" w:rsidRPr="006937BE" w:rsidRDefault="00DD3007" w:rsidP="00DD3007">
      <w:pPr>
        <w:spacing w:after="240" w:line="240" w:lineRule="auto"/>
        <w:jc w:val="center"/>
        <w:rPr>
          <w:rFonts w:cstheme="minorHAnsi"/>
          <w:color w:val="365F91" w:themeColor="accent1" w:themeShade="BF"/>
          <w:sz w:val="28"/>
          <w:szCs w:val="28"/>
        </w:rPr>
      </w:pPr>
      <w:proofErr w:type="gramStart"/>
      <w:r w:rsidRPr="006937BE">
        <w:rPr>
          <w:rFonts w:cstheme="minorHAnsi"/>
          <w:color w:val="365F91" w:themeColor="accent1" w:themeShade="BF"/>
          <w:sz w:val="28"/>
          <w:szCs w:val="28"/>
        </w:rPr>
        <w:t>and</w:t>
      </w:r>
      <w:proofErr w:type="gramEnd"/>
      <w:r w:rsidRPr="006937BE">
        <w:rPr>
          <w:rFonts w:cstheme="minorHAnsi"/>
          <w:color w:val="365F91" w:themeColor="accent1" w:themeShade="BF"/>
          <w:sz w:val="28"/>
          <w:szCs w:val="28"/>
        </w:rPr>
        <w:t xml:space="preserve"> SOCIAL SAFEGUARD POLICIES </w:t>
      </w:r>
    </w:p>
    <w:p w:rsidR="00DD3007" w:rsidRPr="006937BE" w:rsidRDefault="00DD3007" w:rsidP="00DD3007">
      <w:pPr>
        <w:spacing w:after="240" w:line="240" w:lineRule="auto"/>
        <w:jc w:val="center"/>
        <w:rPr>
          <w:rFonts w:cstheme="minorHAnsi"/>
          <w:color w:val="365F91" w:themeColor="accent1" w:themeShade="BF"/>
          <w:spacing w:val="5"/>
          <w:kern w:val="28"/>
          <w:sz w:val="28"/>
          <w:szCs w:val="28"/>
        </w:rPr>
      </w:pPr>
      <w:proofErr w:type="spellStart"/>
      <w:r w:rsidRPr="006937BE">
        <w:rPr>
          <w:rFonts w:cstheme="minorHAnsi"/>
          <w:color w:val="365F91" w:themeColor="accent1" w:themeShade="BF"/>
          <w:spacing w:val="5"/>
          <w:kern w:val="28"/>
          <w:sz w:val="28"/>
          <w:szCs w:val="28"/>
        </w:rPr>
        <w:t>Consultation</w:t>
      </w:r>
      <w:proofErr w:type="spellEnd"/>
      <w:r w:rsidRPr="006937BE">
        <w:rPr>
          <w:rFonts w:cstheme="minorHAnsi"/>
          <w:color w:val="365F91" w:themeColor="accent1" w:themeShade="BF"/>
          <w:spacing w:val="5"/>
          <w:kern w:val="28"/>
          <w:sz w:val="28"/>
          <w:szCs w:val="28"/>
        </w:rPr>
        <w:t xml:space="preserve"> Meeting </w:t>
      </w:r>
      <w:r w:rsidRPr="006937BE">
        <w:rPr>
          <w:rFonts w:cstheme="minorHAnsi"/>
          <w:color w:val="365F91" w:themeColor="accent1" w:themeShade="BF"/>
          <w:spacing w:val="5"/>
          <w:kern w:val="28"/>
          <w:sz w:val="28"/>
          <w:szCs w:val="28"/>
        </w:rPr>
        <w:br/>
        <w:t xml:space="preserve">- </w:t>
      </w:r>
      <w:proofErr w:type="spellStart"/>
      <w:r w:rsidRPr="003C189A">
        <w:rPr>
          <w:rFonts w:cstheme="minorHAnsi"/>
          <w:color w:val="365F91" w:themeColor="accent1" w:themeShade="BF"/>
          <w:spacing w:val="5"/>
          <w:kern w:val="28"/>
          <w:sz w:val="28"/>
          <w:szCs w:val="28"/>
        </w:rPr>
        <w:t>Government</w:t>
      </w:r>
      <w:proofErr w:type="spellEnd"/>
      <w:r w:rsidRPr="003C189A">
        <w:rPr>
          <w:rFonts w:cstheme="minorHAnsi"/>
          <w:color w:val="365F91" w:themeColor="accent1" w:themeShade="BF"/>
          <w:spacing w:val="5"/>
          <w:kern w:val="28"/>
          <w:sz w:val="28"/>
          <w:szCs w:val="28"/>
        </w:rPr>
        <w:t xml:space="preserve"> </w:t>
      </w:r>
      <w:proofErr w:type="spellStart"/>
      <w:r w:rsidRPr="003C189A">
        <w:rPr>
          <w:rFonts w:cstheme="minorHAnsi"/>
          <w:color w:val="365F91" w:themeColor="accent1" w:themeShade="BF"/>
          <w:spacing w:val="5"/>
          <w:kern w:val="28"/>
          <w:sz w:val="28"/>
          <w:szCs w:val="28"/>
        </w:rPr>
        <w:t>representatives</w:t>
      </w:r>
      <w:proofErr w:type="spellEnd"/>
      <w:r w:rsidRPr="003C189A">
        <w:rPr>
          <w:rFonts w:cstheme="minorHAnsi"/>
          <w:color w:val="365F91" w:themeColor="accent1" w:themeShade="BF"/>
          <w:spacing w:val="5"/>
          <w:kern w:val="28"/>
          <w:sz w:val="28"/>
          <w:szCs w:val="28"/>
        </w:rPr>
        <w:t xml:space="preserve">, </w:t>
      </w:r>
      <w:r>
        <w:rPr>
          <w:rFonts w:cstheme="minorHAnsi"/>
          <w:color w:val="365F91" w:themeColor="accent1" w:themeShade="BF"/>
          <w:spacing w:val="5"/>
          <w:kern w:val="28"/>
          <w:sz w:val="28"/>
          <w:szCs w:val="28"/>
        </w:rPr>
        <w:t>BERN</w:t>
      </w:r>
      <w:r w:rsidRPr="003C189A">
        <w:rPr>
          <w:rFonts w:cstheme="minorHAnsi"/>
          <w:color w:val="365F91" w:themeColor="accent1" w:themeShade="BF"/>
          <w:spacing w:val="5"/>
          <w:kern w:val="28"/>
          <w:sz w:val="28"/>
          <w:szCs w:val="28"/>
        </w:rPr>
        <w:t xml:space="preserve">, </w:t>
      </w:r>
      <w:proofErr w:type="spellStart"/>
      <w:r>
        <w:rPr>
          <w:rFonts w:cstheme="minorHAnsi"/>
          <w:color w:val="365F91" w:themeColor="accent1" w:themeShade="BF"/>
          <w:spacing w:val="5"/>
          <w:kern w:val="28"/>
          <w:sz w:val="28"/>
          <w:szCs w:val="28"/>
        </w:rPr>
        <w:t>Switzerland</w:t>
      </w:r>
      <w:proofErr w:type="spellEnd"/>
      <w:r>
        <w:rPr>
          <w:rFonts w:cstheme="minorHAnsi"/>
          <w:color w:val="365F91" w:themeColor="accent1" w:themeShade="BF"/>
          <w:spacing w:val="5"/>
          <w:kern w:val="28"/>
        </w:rPr>
        <w:t xml:space="preserve"> </w:t>
      </w:r>
      <w:r w:rsidRPr="006937BE">
        <w:rPr>
          <w:rFonts w:cstheme="minorHAnsi"/>
          <w:color w:val="365F91" w:themeColor="accent1" w:themeShade="BF"/>
          <w:spacing w:val="5"/>
          <w:kern w:val="28"/>
          <w:sz w:val="28"/>
          <w:szCs w:val="28"/>
        </w:rPr>
        <w:t xml:space="preserve">- </w:t>
      </w:r>
      <w:proofErr w:type="spellStart"/>
      <w:r>
        <w:rPr>
          <w:rFonts w:cstheme="minorHAnsi"/>
          <w:color w:val="365F91" w:themeColor="accent1" w:themeShade="BF"/>
          <w:spacing w:val="5"/>
          <w:kern w:val="28"/>
          <w:sz w:val="28"/>
          <w:szCs w:val="28"/>
        </w:rPr>
        <w:t>March</w:t>
      </w:r>
      <w:proofErr w:type="spellEnd"/>
      <w:r>
        <w:rPr>
          <w:rFonts w:cstheme="minorHAnsi"/>
          <w:color w:val="365F91" w:themeColor="accent1" w:themeShade="BF"/>
          <w:spacing w:val="5"/>
          <w:kern w:val="28"/>
          <w:sz w:val="28"/>
          <w:szCs w:val="28"/>
        </w:rPr>
        <w:t xml:space="preserve"> 4, 2013</w:t>
      </w:r>
    </w:p>
    <w:p w:rsidR="00DD3007" w:rsidRDefault="00DD3007" w:rsidP="00DD3007">
      <w:pPr>
        <w:pStyle w:val="NormalWeb"/>
        <w:spacing w:before="0" w:beforeAutospacing="0" w:after="240" w:afterAutospacing="0"/>
        <w:contextualSpacing/>
        <w:jc w:val="both"/>
        <w:rPr>
          <w:rFonts w:asciiTheme="minorHAnsi" w:hAnsiTheme="minorHAnsi" w:cstheme="minorHAnsi"/>
          <w:sz w:val="22"/>
          <w:szCs w:val="22"/>
          <w:lang w:val="en-GB"/>
        </w:rPr>
      </w:pPr>
      <w:r w:rsidRPr="002473D9">
        <w:rPr>
          <w:rFonts w:asciiTheme="minorHAnsi" w:hAnsiTheme="minorHAnsi" w:cstheme="minorHAnsi"/>
          <w:sz w:val="22"/>
          <w:szCs w:val="22"/>
          <w:lang w:val="en-GB"/>
        </w:rPr>
        <w:t xml:space="preserve">A </w:t>
      </w:r>
      <w:r>
        <w:rPr>
          <w:rFonts w:asciiTheme="minorHAnsi" w:hAnsiTheme="minorHAnsi" w:cstheme="minorHAnsi"/>
          <w:sz w:val="22"/>
          <w:szCs w:val="22"/>
          <w:lang w:val="en-GB"/>
        </w:rPr>
        <w:t>consultation</w:t>
      </w:r>
      <w:r w:rsidRPr="002473D9">
        <w:rPr>
          <w:rFonts w:asciiTheme="minorHAnsi" w:hAnsiTheme="minorHAnsi" w:cstheme="minorHAnsi"/>
          <w:sz w:val="22"/>
          <w:szCs w:val="22"/>
          <w:lang w:val="en-GB"/>
        </w:rPr>
        <w:t xml:space="preserve"> meeting with representatives of the government was held on </w:t>
      </w:r>
      <w:r w:rsidRPr="00E56554">
        <w:rPr>
          <w:rFonts w:asciiTheme="minorHAnsi" w:hAnsiTheme="minorHAnsi" w:cstheme="minorHAnsi"/>
          <w:b/>
          <w:sz w:val="22"/>
          <w:szCs w:val="22"/>
          <w:lang w:val="en-GB"/>
        </w:rPr>
        <w:t>March 4, 2013</w:t>
      </w:r>
      <w:r w:rsidRPr="002473D9">
        <w:rPr>
          <w:rFonts w:asciiTheme="minorHAnsi" w:hAnsiTheme="minorHAnsi" w:cstheme="minorHAnsi"/>
          <w:sz w:val="22"/>
          <w:szCs w:val="22"/>
          <w:lang w:val="en-GB"/>
        </w:rPr>
        <w:t xml:space="preserve"> to discuss the World Bank Safeguards review and update process. After a presentation by the World Bank Safeguards Review Team on the background, intended scope and process for the review, the floor was open for participants’ questions and comments.</w:t>
      </w:r>
      <w:r>
        <w:rPr>
          <w:rFonts w:asciiTheme="minorHAnsi" w:hAnsiTheme="minorHAnsi" w:cstheme="minorHAnsi"/>
          <w:sz w:val="22"/>
          <w:szCs w:val="22"/>
          <w:lang w:val="en-GB"/>
        </w:rPr>
        <w:t xml:space="preserve"> Suggestions are outlined below: </w:t>
      </w:r>
    </w:p>
    <w:p w:rsidR="00DD3007" w:rsidRDefault="00DD3007" w:rsidP="00DD3007">
      <w:pPr>
        <w:pStyle w:val="NormalWeb"/>
        <w:spacing w:before="0" w:beforeAutospacing="0" w:after="240" w:afterAutospacing="0"/>
        <w:contextualSpacing/>
        <w:jc w:val="both"/>
        <w:rPr>
          <w:rFonts w:asciiTheme="minorHAnsi" w:hAnsiTheme="minorHAnsi" w:cstheme="minorHAnsi"/>
          <w:sz w:val="22"/>
          <w:szCs w:val="22"/>
          <w:lang w:val="en-GB"/>
        </w:rPr>
      </w:pPr>
    </w:p>
    <w:p w:rsidR="00DD3007" w:rsidRDefault="00DD3007" w:rsidP="00DD3007">
      <w:pPr>
        <w:pStyle w:val="NormalWeb"/>
        <w:spacing w:before="0" w:beforeAutospacing="0" w:after="240" w:afterAutospacing="0"/>
        <w:contextualSpacing/>
        <w:jc w:val="both"/>
        <w:rPr>
          <w:rFonts w:asciiTheme="minorHAnsi" w:hAnsiTheme="minorHAnsi" w:cstheme="minorHAnsi"/>
          <w:b/>
          <w:color w:val="1F497D" w:themeColor="text2"/>
          <w:sz w:val="22"/>
          <w:szCs w:val="22"/>
        </w:rPr>
      </w:pPr>
      <w:r w:rsidRPr="00DD3007">
        <w:rPr>
          <w:rFonts w:asciiTheme="minorHAnsi" w:hAnsiTheme="minorHAnsi" w:cstheme="minorHAnsi"/>
          <w:b/>
          <w:color w:val="17365D" w:themeColor="text2" w:themeShade="BF"/>
        </w:rPr>
        <w:t>What has worked well in the current safeguard policies</w:t>
      </w:r>
      <w:r w:rsidRPr="009655A3">
        <w:rPr>
          <w:rFonts w:asciiTheme="minorHAnsi" w:hAnsiTheme="minorHAnsi" w:cstheme="minorHAnsi"/>
          <w:b/>
          <w:color w:val="1F497D" w:themeColor="text2"/>
          <w:sz w:val="22"/>
          <w:szCs w:val="22"/>
        </w:rPr>
        <w:t>.</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eastAsia="Batang" w:hAnsiTheme="minorHAnsi" w:cstheme="minorHAnsi"/>
          <w:sz w:val="22"/>
          <w:szCs w:val="22"/>
          <w:lang w:val="en-US"/>
        </w:rPr>
      </w:pPr>
      <w:r w:rsidRPr="006C4C4A">
        <w:rPr>
          <w:rFonts w:asciiTheme="minorHAnsi" w:hAnsiTheme="minorHAnsi" w:cstheme="minorHAnsi"/>
          <w:sz w:val="22"/>
          <w:szCs w:val="22"/>
          <w:lang w:val="en-US"/>
        </w:rPr>
        <w:t>Overall, very supportive of the Bank’s safeguard policies and of the consultation process.</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Safeguard policies </w:t>
      </w:r>
      <w:r>
        <w:rPr>
          <w:rFonts w:asciiTheme="minorHAnsi" w:hAnsiTheme="minorHAnsi" w:cstheme="minorHAnsi"/>
          <w:sz w:val="22"/>
          <w:szCs w:val="22"/>
          <w:lang w:val="en-US"/>
        </w:rPr>
        <w:t xml:space="preserve">are </w:t>
      </w:r>
      <w:r w:rsidRPr="006C4C4A">
        <w:rPr>
          <w:rFonts w:asciiTheme="minorHAnsi" w:hAnsiTheme="minorHAnsi" w:cstheme="minorHAnsi"/>
          <w:sz w:val="22"/>
          <w:szCs w:val="22"/>
          <w:lang w:val="en-US"/>
        </w:rPr>
        <w:t>seen as having been successful at setting the international standard for environmental and social policies (ESPs), and the W</w:t>
      </w:r>
      <w:r>
        <w:rPr>
          <w:rFonts w:asciiTheme="minorHAnsi" w:hAnsiTheme="minorHAnsi" w:cstheme="minorHAnsi"/>
          <w:sz w:val="22"/>
          <w:szCs w:val="22"/>
          <w:lang w:val="en-US"/>
        </w:rPr>
        <w:t xml:space="preserve">orld </w:t>
      </w:r>
      <w:r w:rsidRPr="006C4C4A">
        <w:rPr>
          <w:rFonts w:asciiTheme="minorHAnsi" w:hAnsiTheme="minorHAnsi" w:cstheme="minorHAnsi"/>
          <w:sz w:val="22"/>
          <w:szCs w:val="22"/>
          <w:lang w:val="en-US"/>
        </w:rPr>
        <w:t>B</w:t>
      </w:r>
      <w:r>
        <w:rPr>
          <w:rFonts w:asciiTheme="minorHAnsi" w:hAnsiTheme="minorHAnsi" w:cstheme="minorHAnsi"/>
          <w:sz w:val="22"/>
          <w:szCs w:val="22"/>
          <w:lang w:val="en-US"/>
        </w:rPr>
        <w:t>ank</w:t>
      </w:r>
      <w:r w:rsidRPr="006C4C4A">
        <w:rPr>
          <w:rFonts w:asciiTheme="minorHAnsi" w:hAnsiTheme="minorHAnsi" w:cstheme="minorHAnsi"/>
          <w:sz w:val="22"/>
          <w:szCs w:val="22"/>
          <w:lang w:val="en-US"/>
        </w:rPr>
        <w:t xml:space="preserve"> as a global standard setter and a benchmark for other multilateral organizations. The Bank is encouraged to reach out to and coordinate with its peers in order to avoid major discrepancies between their safeguard policies.</w:t>
      </w:r>
    </w:p>
    <w:p w:rsidR="00DD3007" w:rsidRPr="00EE2F10"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eastAsia="Batang" w:hAnsiTheme="minorHAnsi" w:cstheme="minorHAnsi"/>
          <w:sz w:val="22"/>
          <w:szCs w:val="22"/>
          <w:lang w:val="en-US"/>
        </w:rPr>
      </w:pPr>
      <w:r w:rsidRPr="006C4C4A">
        <w:rPr>
          <w:rFonts w:asciiTheme="minorHAnsi" w:hAnsiTheme="minorHAnsi" w:cstheme="minorHAnsi"/>
          <w:sz w:val="22"/>
          <w:szCs w:val="22"/>
          <w:lang w:val="en-US"/>
        </w:rPr>
        <w:t>It is important to maintain high standards in the new framework, even as the Bank tries to build more flexibility into the f</w:t>
      </w:r>
      <w:r w:rsidR="00D22DEF">
        <w:rPr>
          <w:rFonts w:asciiTheme="minorHAnsi" w:hAnsiTheme="minorHAnsi" w:cstheme="minorHAnsi"/>
          <w:sz w:val="22"/>
          <w:szCs w:val="22"/>
          <w:lang w:val="en-US"/>
        </w:rPr>
        <w:t>r</w:t>
      </w:r>
      <w:r w:rsidRPr="006C4C4A">
        <w:rPr>
          <w:rFonts w:asciiTheme="minorHAnsi" w:hAnsiTheme="minorHAnsi" w:cstheme="minorHAnsi"/>
          <w:sz w:val="22"/>
          <w:szCs w:val="22"/>
          <w:lang w:val="en-US"/>
        </w:rPr>
        <w:t xml:space="preserve">amework and respond to changes in the development landscape. </w:t>
      </w:r>
    </w:p>
    <w:p w:rsidR="00DD3007" w:rsidRDefault="00DD3007" w:rsidP="003A60AD">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rPr>
      </w:pPr>
      <w:r w:rsidRPr="003A60AD">
        <w:rPr>
          <w:rFonts w:asciiTheme="minorHAnsi" w:hAnsiTheme="minorHAnsi" w:cstheme="minorHAnsi"/>
          <w:sz w:val="22"/>
          <w:szCs w:val="22"/>
          <w:lang w:val="en-US"/>
        </w:rPr>
        <w:t>Safeguards</w:t>
      </w:r>
      <w:r w:rsidRPr="006C4C4A">
        <w:rPr>
          <w:rFonts w:asciiTheme="minorHAnsi" w:hAnsiTheme="minorHAnsi" w:cstheme="minorHAnsi"/>
          <w:sz w:val="22"/>
          <w:szCs w:val="22"/>
        </w:rPr>
        <w:t xml:space="preserve"> considered central to the work of the Bank and of high</w:t>
      </w:r>
      <w:r>
        <w:rPr>
          <w:rFonts w:asciiTheme="minorHAnsi" w:hAnsiTheme="minorHAnsi" w:cstheme="minorHAnsi"/>
          <w:sz w:val="22"/>
          <w:szCs w:val="22"/>
        </w:rPr>
        <w:t xml:space="preserve"> </w:t>
      </w:r>
      <w:r w:rsidRPr="006C4C4A">
        <w:rPr>
          <w:rFonts w:asciiTheme="minorHAnsi" w:hAnsiTheme="minorHAnsi" w:cstheme="minorHAnsi"/>
          <w:sz w:val="22"/>
          <w:szCs w:val="22"/>
        </w:rPr>
        <w:t xml:space="preserve">relevance for </w:t>
      </w:r>
      <w:r>
        <w:rPr>
          <w:rFonts w:asciiTheme="minorHAnsi" w:hAnsiTheme="minorHAnsi" w:cstheme="minorHAnsi"/>
          <w:sz w:val="22"/>
          <w:szCs w:val="22"/>
        </w:rPr>
        <w:t xml:space="preserve">the </w:t>
      </w:r>
      <w:r w:rsidRPr="006C4C4A">
        <w:rPr>
          <w:rFonts w:asciiTheme="minorHAnsi" w:hAnsiTheme="minorHAnsi" w:cstheme="minorHAnsi"/>
          <w:sz w:val="22"/>
          <w:szCs w:val="22"/>
        </w:rPr>
        <w:t>I</w:t>
      </w:r>
      <w:r>
        <w:rPr>
          <w:rFonts w:asciiTheme="minorHAnsi" w:hAnsiTheme="minorHAnsi" w:cstheme="minorHAnsi"/>
          <w:sz w:val="22"/>
          <w:szCs w:val="22"/>
        </w:rPr>
        <w:t xml:space="preserve">nternational Development </w:t>
      </w:r>
      <w:r w:rsidRPr="006C4C4A">
        <w:rPr>
          <w:rFonts w:asciiTheme="minorHAnsi" w:hAnsiTheme="minorHAnsi" w:cstheme="minorHAnsi"/>
          <w:sz w:val="22"/>
          <w:szCs w:val="22"/>
        </w:rPr>
        <w:t>A</w:t>
      </w:r>
      <w:r>
        <w:rPr>
          <w:rFonts w:asciiTheme="minorHAnsi" w:hAnsiTheme="minorHAnsi" w:cstheme="minorHAnsi"/>
          <w:sz w:val="22"/>
          <w:szCs w:val="22"/>
        </w:rPr>
        <w:t>ssociation (IDA)</w:t>
      </w:r>
      <w:r w:rsidRPr="006C4C4A">
        <w:rPr>
          <w:rFonts w:asciiTheme="minorHAnsi" w:hAnsiTheme="minorHAnsi" w:cstheme="minorHAnsi"/>
          <w:sz w:val="22"/>
          <w:szCs w:val="22"/>
        </w:rPr>
        <w:t>.</w:t>
      </w:r>
    </w:p>
    <w:p w:rsidR="00DD3007" w:rsidRDefault="00DD3007" w:rsidP="00DD3007">
      <w:pPr>
        <w:pStyle w:val="NormalWeb"/>
        <w:spacing w:before="0" w:beforeAutospacing="0" w:after="240" w:afterAutospacing="0"/>
        <w:ind w:left="360"/>
        <w:contextualSpacing/>
        <w:jc w:val="both"/>
        <w:rPr>
          <w:rFonts w:asciiTheme="minorHAnsi" w:hAnsiTheme="minorHAnsi" w:cstheme="minorHAnsi"/>
          <w:sz w:val="22"/>
          <w:szCs w:val="22"/>
        </w:rPr>
      </w:pPr>
    </w:p>
    <w:p w:rsidR="00DD3007" w:rsidRPr="00DD3007" w:rsidRDefault="00DD3007" w:rsidP="00DD3007">
      <w:pPr>
        <w:pStyle w:val="NormalWeb"/>
        <w:spacing w:before="0" w:beforeAutospacing="0" w:after="240" w:afterAutospacing="0"/>
        <w:contextualSpacing/>
        <w:jc w:val="both"/>
        <w:rPr>
          <w:rFonts w:asciiTheme="minorHAnsi" w:hAnsiTheme="minorHAnsi" w:cstheme="minorHAnsi"/>
          <w:b/>
          <w:color w:val="17365D" w:themeColor="text2" w:themeShade="BF"/>
        </w:rPr>
      </w:pPr>
      <w:r w:rsidRPr="00DD3007">
        <w:rPr>
          <w:rFonts w:asciiTheme="minorHAnsi" w:eastAsia="Batang" w:hAnsiTheme="minorHAnsi" w:cstheme="minorHAnsi"/>
          <w:b/>
          <w:bCs/>
          <w:color w:val="17365D" w:themeColor="text2" w:themeShade="BF"/>
        </w:rPr>
        <w:t>Issues and c</w:t>
      </w:r>
      <w:r w:rsidRPr="00DD3007">
        <w:rPr>
          <w:rFonts w:asciiTheme="minorHAnsi" w:hAnsiTheme="minorHAnsi" w:cstheme="minorHAnsi"/>
          <w:b/>
          <w:color w:val="17365D" w:themeColor="text2" w:themeShade="BF"/>
        </w:rPr>
        <w:t>hallenges encountered in the application of the safeguard policies.</w:t>
      </w:r>
    </w:p>
    <w:p w:rsidR="00DD3007" w:rsidRDefault="00DD3007" w:rsidP="00DD3007">
      <w:pPr>
        <w:pStyle w:val="NormalWeb"/>
        <w:spacing w:before="0" w:beforeAutospacing="0" w:after="240" w:afterAutospacing="0"/>
        <w:ind w:left="360"/>
        <w:contextualSpacing/>
        <w:jc w:val="both"/>
        <w:rPr>
          <w:rFonts w:asciiTheme="minorHAnsi" w:hAnsiTheme="minorHAnsi" w:cstheme="minorHAnsi"/>
          <w:sz w:val="22"/>
          <w:szCs w:val="22"/>
          <w:lang w:val="en-GB"/>
        </w:rPr>
      </w:pPr>
    </w:p>
    <w:p w:rsidR="00DD3007" w:rsidRPr="00DD3007" w:rsidRDefault="00DD3007" w:rsidP="00DD3007">
      <w:pPr>
        <w:pStyle w:val="NormalWeb"/>
        <w:numPr>
          <w:ilvl w:val="0"/>
          <w:numId w:val="32"/>
        </w:numPr>
        <w:spacing w:before="0" w:beforeAutospacing="0" w:after="240" w:afterAutospacing="0"/>
        <w:contextualSpacing/>
        <w:jc w:val="both"/>
        <w:rPr>
          <w:rFonts w:asciiTheme="minorHAnsi" w:hAnsiTheme="minorHAnsi" w:cstheme="minorHAnsi"/>
          <w:sz w:val="22"/>
          <w:szCs w:val="22"/>
          <w:lang w:val="en-GB"/>
        </w:rPr>
      </w:pPr>
      <w:r w:rsidRPr="006C4C4A">
        <w:rPr>
          <w:rFonts w:asciiTheme="minorHAnsi" w:eastAsia="Batang" w:hAnsiTheme="minorHAnsi" w:cstheme="minorHAnsi"/>
          <w:sz w:val="22"/>
          <w:szCs w:val="22"/>
          <w:lang w:val="en-US"/>
        </w:rPr>
        <w:t>Challenge of implementing safeguard policies in countries with low technical capacity.</w:t>
      </w:r>
    </w:p>
    <w:p w:rsidR="00DD3007" w:rsidRDefault="00DD3007" w:rsidP="00DD3007">
      <w:pPr>
        <w:pStyle w:val="NormalWeb"/>
        <w:spacing w:before="0" w:beforeAutospacing="0" w:after="240" w:afterAutospacing="0"/>
        <w:ind w:left="1080"/>
        <w:contextualSpacing/>
        <w:jc w:val="both"/>
        <w:rPr>
          <w:rFonts w:asciiTheme="minorHAnsi" w:eastAsia="Batang" w:hAnsiTheme="minorHAnsi" w:cstheme="minorHAnsi"/>
          <w:sz w:val="22"/>
          <w:szCs w:val="22"/>
          <w:lang w:val="en-US"/>
        </w:rPr>
      </w:pPr>
    </w:p>
    <w:p w:rsidR="00DD3007" w:rsidRPr="00DD3007" w:rsidRDefault="00DD3007" w:rsidP="00DD3007">
      <w:pPr>
        <w:pStyle w:val="NormalWeb"/>
        <w:spacing w:before="0" w:beforeAutospacing="0" w:after="240" w:afterAutospacing="0"/>
        <w:contextualSpacing/>
        <w:jc w:val="both"/>
        <w:rPr>
          <w:rFonts w:asciiTheme="minorHAnsi" w:hAnsiTheme="minorHAnsi" w:cstheme="minorHAnsi"/>
          <w:lang w:val="en-GB"/>
        </w:rPr>
      </w:pPr>
      <w:r w:rsidRPr="00DD3007">
        <w:rPr>
          <w:rFonts w:asciiTheme="minorHAnsi" w:eastAsia="Batang" w:hAnsiTheme="minorHAnsi" w:cstheme="minorHAnsi"/>
          <w:b/>
          <w:bCs/>
          <w:color w:val="17365D" w:themeColor="text2" w:themeShade="BF"/>
        </w:rPr>
        <w:t>A</w:t>
      </w:r>
      <w:r w:rsidRPr="00DD3007">
        <w:rPr>
          <w:rFonts w:asciiTheme="minorHAnsi" w:hAnsiTheme="minorHAnsi" w:cstheme="minorHAnsi"/>
          <w:b/>
          <w:color w:val="17365D" w:themeColor="text2" w:themeShade="BF"/>
        </w:rPr>
        <w:t>spects of the environmental and social safeguard policies that the Bank can improve to ensure that these policies continue to be an effective and efficient tool to achieve sustainable development and results on the ground.</w:t>
      </w:r>
    </w:p>
    <w:p w:rsidR="00DD3007" w:rsidRPr="006C4C4A" w:rsidRDefault="00DD3007" w:rsidP="00DD3007">
      <w:pPr>
        <w:pStyle w:val="ListParagraph"/>
        <w:numPr>
          <w:ilvl w:val="0"/>
          <w:numId w:val="29"/>
        </w:numPr>
        <w:spacing w:before="60" w:after="60"/>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There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needs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be a </w:t>
      </w:r>
      <w:proofErr w:type="spellStart"/>
      <w:r w:rsidRPr="006C4C4A">
        <w:rPr>
          <w:rFonts w:asciiTheme="minorHAnsi" w:eastAsia="Batang" w:hAnsiTheme="minorHAnsi" w:cstheme="minorHAnsi"/>
          <w:bCs/>
          <w:sz w:val="22"/>
          <w:szCs w:val="22"/>
        </w:rPr>
        <w:t>strong</w:t>
      </w:r>
      <w:proofErr w:type="spellEnd"/>
      <w:r w:rsidRPr="006C4C4A">
        <w:rPr>
          <w:rFonts w:asciiTheme="minorHAnsi" w:eastAsia="Batang" w:hAnsiTheme="minorHAnsi" w:cstheme="minorHAnsi"/>
          <w:bCs/>
          <w:sz w:val="22"/>
          <w:szCs w:val="22"/>
        </w:rPr>
        <w:t xml:space="preserve"> link </w:t>
      </w:r>
      <w:proofErr w:type="spellStart"/>
      <w:r w:rsidRPr="006C4C4A">
        <w:rPr>
          <w:rFonts w:asciiTheme="minorHAnsi" w:eastAsia="Batang" w:hAnsiTheme="minorHAnsi" w:cstheme="minorHAnsi"/>
          <w:bCs/>
          <w:sz w:val="22"/>
          <w:szCs w:val="22"/>
        </w:rPr>
        <w:t>between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safeguards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results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application</w:t>
      </w:r>
      <w:proofErr w:type="spellEnd"/>
      <w:r w:rsidRPr="006C4C4A">
        <w:rPr>
          <w:rFonts w:asciiTheme="minorHAnsi" w:eastAsia="Batang" w:hAnsiTheme="minorHAnsi" w:cstheme="minorHAnsi"/>
          <w:bCs/>
          <w:sz w:val="22"/>
          <w:szCs w:val="22"/>
        </w:rPr>
        <w:t>/</w:t>
      </w:r>
      <w:proofErr w:type="spellStart"/>
      <w:r w:rsidRPr="006C4C4A">
        <w:rPr>
          <w:rFonts w:asciiTheme="minorHAnsi" w:eastAsia="Batang" w:hAnsiTheme="minorHAnsi" w:cstheme="minorHAnsi"/>
          <w:bCs/>
          <w:sz w:val="22"/>
          <w:szCs w:val="22"/>
        </w:rPr>
        <w:t>attention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safeguards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throughout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project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cycle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rather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just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during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preparatory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phases</w:t>
      </w:r>
      <w:proofErr w:type="spellEnd"/>
      <w:r w:rsidRPr="006C4C4A">
        <w:rPr>
          <w:rFonts w:asciiTheme="minorHAnsi" w:eastAsia="Batang" w:hAnsiTheme="minorHAnsi" w:cstheme="minorHAnsi"/>
          <w:bCs/>
          <w:sz w:val="22"/>
          <w:szCs w:val="22"/>
        </w:rPr>
        <w:t>.</w:t>
      </w:r>
    </w:p>
    <w:p w:rsidR="00DD3007" w:rsidRPr="006C4C4A" w:rsidRDefault="00DD3007" w:rsidP="00DD3007">
      <w:pPr>
        <w:pStyle w:val="ListParagraph"/>
        <w:numPr>
          <w:ilvl w:val="0"/>
          <w:numId w:val="29"/>
        </w:numPr>
        <w:spacing w:before="60" w:after="60"/>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main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improvement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in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way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 xml:space="preserve"> are </w:t>
      </w:r>
      <w:proofErr w:type="spellStart"/>
      <w:r w:rsidRPr="006C4C4A">
        <w:rPr>
          <w:rFonts w:asciiTheme="minorHAnsi" w:eastAsia="Batang" w:hAnsiTheme="minorHAnsi" w:cstheme="minorHAnsi"/>
          <w:bCs/>
          <w:sz w:val="22"/>
          <w:szCs w:val="22"/>
        </w:rPr>
        <w:t>managed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Bottlenecks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better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analyzed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current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system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seems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put</w:t>
      </w:r>
      <w:proofErr w:type="spellEnd"/>
      <w:r w:rsidRPr="006C4C4A">
        <w:rPr>
          <w:rFonts w:asciiTheme="minorHAnsi" w:eastAsia="Batang" w:hAnsiTheme="minorHAnsi" w:cstheme="minorHAnsi"/>
          <w:bCs/>
          <w:sz w:val="22"/>
          <w:szCs w:val="22"/>
        </w:rPr>
        <w:t xml:space="preserve"> more </w:t>
      </w:r>
      <w:proofErr w:type="spellStart"/>
      <w:r w:rsidRPr="006C4C4A">
        <w:rPr>
          <w:rFonts w:asciiTheme="minorHAnsi" w:eastAsia="Batang" w:hAnsiTheme="minorHAnsi" w:cstheme="minorHAnsi"/>
          <w:bCs/>
          <w:sz w:val="22"/>
          <w:szCs w:val="22"/>
        </w:rPr>
        <w:t>emphasis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upstream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preparation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downstream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implementation</w:t>
      </w:r>
      <w:proofErr w:type="spellEnd"/>
      <w:r w:rsidRPr="006C4C4A">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Crowding</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out</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major</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development</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opportunities</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because</w:t>
      </w:r>
      <w:proofErr w:type="spellEnd"/>
      <w:r>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legalistic</w:t>
      </w:r>
      <w:proofErr w:type="spellEnd"/>
      <w:r w:rsidRPr="006C4C4A">
        <w:rPr>
          <w:rFonts w:asciiTheme="minorHAnsi" w:eastAsia="Batang" w:hAnsiTheme="minorHAnsi" w:cstheme="minorHAnsi"/>
          <w:bCs/>
          <w:sz w:val="22"/>
          <w:szCs w:val="22"/>
        </w:rPr>
        <w:t xml:space="preserve"> and procedural </w:t>
      </w:r>
      <w:proofErr w:type="spellStart"/>
      <w:r>
        <w:rPr>
          <w:rFonts w:asciiTheme="minorHAnsi" w:eastAsia="Batang" w:hAnsiTheme="minorHAnsi" w:cstheme="minorHAnsi"/>
          <w:bCs/>
          <w:sz w:val="22"/>
          <w:szCs w:val="22"/>
        </w:rPr>
        <w:t>issues</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should</w:t>
      </w:r>
      <w:proofErr w:type="spellEnd"/>
      <w:r>
        <w:rPr>
          <w:rFonts w:asciiTheme="minorHAnsi" w:eastAsia="Batang" w:hAnsiTheme="minorHAnsi" w:cstheme="minorHAnsi"/>
          <w:bCs/>
          <w:sz w:val="22"/>
          <w:szCs w:val="22"/>
        </w:rPr>
        <w:t xml:space="preserve"> be </w:t>
      </w:r>
      <w:proofErr w:type="spellStart"/>
      <w:r>
        <w:rPr>
          <w:rFonts w:asciiTheme="minorHAnsi" w:eastAsia="Batang" w:hAnsiTheme="minorHAnsi" w:cstheme="minorHAnsi"/>
          <w:bCs/>
          <w:sz w:val="22"/>
          <w:szCs w:val="22"/>
        </w:rPr>
        <w:t>avoided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Bank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encouraged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focus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managing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achieving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good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results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with</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confirmed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development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impact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over</w:t>
      </w:r>
      <w:proofErr w:type="spellEnd"/>
      <w:r w:rsidRPr="006C4C4A">
        <w:rPr>
          <w:rFonts w:asciiTheme="minorHAnsi" w:eastAsia="Batang" w:hAnsiTheme="minorHAnsi" w:cstheme="minorHAnsi"/>
          <w:bCs/>
          <w:sz w:val="22"/>
          <w:szCs w:val="22"/>
        </w:rPr>
        <w:t xml:space="preserve"> time.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value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added</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Bank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seek</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improvements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engagement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notably</w:t>
      </w:r>
      <w:proofErr w:type="spellEnd"/>
      <w:r w:rsidRPr="006C4C4A">
        <w:rPr>
          <w:rFonts w:asciiTheme="minorHAnsi" w:eastAsia="Batang" w:hAnsiTheme="minorHAnsi" w:cstheme="minorHAnsi"/>
          <w:bCs/>
          <w:sz w:val="22"/>
          <w:szCs w:val="22"/>
        </w:rPr>
        <w:t xml:space="preserve"> in </w:t>
      </w:r>
      <w:proofErr w:type="spellStart"/>
      <w:r w:rsidRPr="006C4C4A">
        <w:rPr>
          <w:rFonts w:asciiTheme="minorHAnsi" w:eastAsia="Batang" w:hAnsiTheme="minorHAnsi" w:cstheme="minorHAnsi"/>
          <w:bCs/>
          <w:sz w:val="22"/>
          <w:szCs w:val="22"/>
        </w:rPr>
        <w:t>difficult</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contested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contexts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not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stand </w:t>
      </w:r>
      <w:proofErr w:type="spellStart"/>
      <w:r w:rsidRPr="006C4C4A">
        <w:rPr>
          <w:rFonts w:asciiTheme="minorHAnsi" w:eastAsia="Batang" w:hAnsiTheme="minorHAnsi" w:cstheme="minorHAnsi"/>
          <w:bCs/>
          <w:sz w:val="22"/>
          <w:szCs w:val="22"/>
        </w:rPr>
        <w:t>by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However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upstream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efforts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not</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neglected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Also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reputational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have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considered</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taken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into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account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Stringent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transparency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requirements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recourse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system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hold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r>
        <w:rPr>
          <w:rFonts w:asciiTheme="minorHAnsi" w:eastAsia="Batang" w:hAnsiTheme="minorHAnsi" w:cstheme="minorHAnsi"/>
          <w:bCs/>
          <w:sz w:val="22"/>
          <w:szCs w:val="22"/>
        </w:rPr>
        <w:lastRenderedPageBreak/>
        <w:t xml:space="preserve">Bank </w:t>
      </w:r>
      <w:r w:rsidRPr="006C4C4A">
        <w:rPr>
          <w:rFonts w:asciiTheme="minorHAnsi" w:eastAsia="Batang" w:hAnsiTheme="minorHAnsi" w:cstheme="minorHAnsi"/>
          <w:bCs/>
          <w:sz w:val="22"/>
          <w:szCs w:val="22"/>
        </w:rPr>
        <w:t xml:space="preserve">and </w:t>
      </w:r>
      <w:proofErr w:type="spellStart"/>
      <w:r w:rsidRPr="006C4C4A">
        <w:rPr>
          <w:rFonts w:asciiTheme="minorHAnsi" w:eastAsia="Batang" w:hAnsiTheme="minorHAnsi" w:cstheme="minorHAnsi"/>
          <w:bCs/>
          <w:sz w:val="22"/>
          <w:szCs w:val="22"/>
        </w:rPr>
        <w:t>clients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accountable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Effective</w:t>
      </w:r>
      <w:proofErr w:type="spellEnd"/>
      <w:r w:rsidRPr="006C4C4A">
        <w:rPr>
          <w:rFonts w:asciiTheme="minorHAnsi" w:eastAsia="Batang" w:hAnsiTheme="minorHAnsi" w:cstheme="minorHAnsi"/>
          <w:bCs/>
          <w:sz w:val="22"/>
          <w:szCs w:val="22"/>
        </w:rPr>
        <w:t xml:space="preserve"> M&amp;E </w:t>
      </w:r>
      <w:proofErr w:type="spellStart"/>
      <w:r w:rsidRPr="006C4C4A">
        <w:rPr>
          <w:rFonts w:asciiTheme="minorHAnsi" w:eastAsia="Batang" w:hAnsiTheme="minorHAnsi" w:cstheme="minorHAnsi"/>
          <w:bCs/>
          <w:sz w:val="22"/>
          <w:szCs w:val="22"/>
        </w:rPr>
        <w:t>systems</w:t>
      </w:r>
      <w:proofErr w:type="spellEnd"/>
      <w:r w:rsidRPr="006C4C4A">
        <w:rPr>
          <w:rFonts w:asciiTheme="minorHAnsi" w:eastAsia="Batang" w:hAnsiTheme="minorHAnsi" w:cstheme="minorHAnsi"/>
          <w:bCs/>
          <w:sz w:val="22"/>
          <w:szCs w:val="22"/>
        </w:rPr>
        <w:t xml:space="preserve"> are crucial in </w:t>
      </w:r>
      <w:proofErr w:type="spellStart"/>
      <w:r w:rsidRPr="006C4C4A">
        <w:rPr>
          <w:rFonts w:asciiTheme="minorHAnsi" w:eastAsia="Batang" w:hAnsiTheme="minorHAnsi" w:cstheme="minorHAnsi"/>
          <w:bCs/>
          <w:sz w:val="22"/>
          <w:szCs w:val="22"/>
        </w:rPr>
        <w:t>this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respect</w:t>
      </w:r>
      <w:proofErr w:type="spellEnd"/>
      <w:r w:rsidRPr="006C4C4A">
        <w:rPr>
          <w:rFonts w:asciiTheme="minorHAnsi" w:eastAsia="Batang" w:hAnsiTheme="minorHAnsi" w:cstheme="minorHAnsi"/>
          <w:bCs/>
          <w:sz w:val="22"/>
          <w:szCs w:val="22"/>
        </w:rPr>
        <w:t xml:space="preserve">. A particular </w:t>
      </w:r>
      <w:proofErr w:type="spellStart"/>
      <w:r w:rsidRPr="006C4C4A">
        <w:rPr>
          <w:rFonts w:asciiTheme="minorHAnsi" w:eastAsia="Batang" w:hAnsiTheme="minorHAnsi" w:cstheme="minorHAnsi"/>
          <w:bCs/>
          <w:sz w:val="22"/>
          <w:szCs w:val="22"/>
        </w:rPr>
        <w:t>focus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placed </w:t>
      </w:r>
      <w:proofErr w:type="spellStart"/>
      <w:r w:rsidRPr="006C4C4A">
        <w:rPr>
          <w:rFonts w:asciiTheme="minorHAnsi" w:eastAsia="Batang" w:hAnsiTheme="minorHAnsi" w:cstheme="minorHAnsi"/>
          <w:bCs/>
          <w:sz w:val="22"/>
          <w:szCs w:val="22"/>
        </w:rPr>
        <w:t>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fiduciary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w:t>
      </w:r>
    </w:p>
    <w:p w:rsidR="00DD3007" w:rsidRPr="006C4C4A" w:rsidRDefault="00DD3007" w:rsidP="00DD3007">
      <w:pPr>
        <w:pStyle w:val="ListParagraph"/>
        <w:numPr>
          <w:ilvl w:val="0"/>
          <w:numId w:val="29"/>
        </w:numPr>
        <w:spacing w:before="60" w:after="60"/>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Limiting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safeguards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review</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w:t>
      </w:r>
      <w:r>
        <w:rPr>
          <w:rFonts w:asciiTheme="minorHAnsi" w:eastAsia="Batang" w:hAnsiTheme="minorHAnsi" w:cstheme="minorHAnsi"/>
          <w:bCs/>
          <w:sz w:val="22"/>
          <w:szCs w:val="22"/>
        </w:rPr>
        <w:t>nvestment</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L</w:t>
      </w:r>
      <w:r>
        <w:rPr>
          <w:rFonts w:asciiTheme="minorHAnsi" w:eastAsia="Batang" w:hAnsiTheme="minorHAnsi" w:cstheme="minorHAnsi"/>
          <w:bCs/>
          <w:sz w:val="22"/>
          <w:szCs w:val="22"/>
        </w:rPr>
        <w:t>ending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was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seen</w:t>
      </w:r>
      <w:proofErr w:type="spellEnd"/>
      <w:r w:rsidRPr="006C4C4A">
        <w:rPr>
          <w:rFonts w:asciiTheme="minorHAnsi" w:eastAsia="Batang" w:hAnsiTheme="minorHAnsi" w:cstheme="minorHAnsi"/>
          <w:bCs/>
          <w:sz w:val="22"/>
          <w:szCs w:val="22"/>
        </w:rPr>
        <w:t xml:space="preserve"> as a </w:t>
      </w:r>
      <w:proofErr w:type="spellStart"/>
      <w:r w:rsidRPr="006C4C4A">
        <w:rPr>
          <w:rFonts w:asciiTheme="minorHAnsi" w:eastAsia="Batang" w:hAnsiTheme="minorHAnsi" w:cstheme="minorHAnsi"/>
          <w:bCs/>
          <w:sz w:val="22"/>
          <w:szCs w:val="22"/>
        </w:rPr>
        <w:t>weakness</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process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including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w:t>
      </w:r>
      <w:r>
        <w:rPr>
          <w:rFonts w:asciiTheme="minorHAnsi" w:eastAsia="Batang" w:hAnsiTheme="minorHAnsi" w:cstheme="minorHAnsi"/>
          <w:bCs/>
          <w:sz w:val="22"/>
          <w:szCs w:val="22"/>
        </w:rPr>
        <w:t>evelopment</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w:t>
      </w:r>
      <w:r>
        <w:rPr>
          <w:rFonts w:asciiTheme="minorHAnsi" w:eastAsia="Batang" w:hAnsiTheme="minorHAnsi" w:cstheme="minorHAnsi"/>
          <w:bCs/>
          <w:sz w:val="22"/>
          <w:szCs w:val="22"/>
        </w:rPr>
        <w:t>olicy</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L</w:t>
      </w:r>
      <w:r>
        <w:rPr>
          <w:rFonts w:asciiTheme="minorHAnsi" w:eastAsia="Batang" w:hAnsiTheme="minorHAnsi" w:cstheme="minorHAnsi"/>
          <w:bCs/>
          <w:sz w:val="22"/>
          <w:szCs w:val="22"/>
        </w:rPr>
        <w:t>ending</w:t>
      </w:r>
      <w:proofErr w:type="spellEnd"/>
      <w:r>
        <w:rPr>
          <w:rFonts w:asciiTheme="minorHAnsi" w:eastAsia="Batang" w:hAnsiTheme="minorHAnsi" w:cstheme="minorHAnsi"/>
          <w:bCs/>
          <w:sz w:val="22"/>
          <w:szCs w:val="22"/>
        </w:rPr>
        <w:t xml:space="preserve"> (DPL)</w:t>
      </w:r>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P</w:t>
      </w:r>
      <w:r>
        <w:rPr>
          <w:rFonts w:asciiTheme="minorHAnsi" w:eastAsia="Batang" w:hAnsiTheme="minorHAnsi" w:cstheme="minorHAnsi"/>
          <w:bCs/>
          <w:sz w:val="22"/>
          <w:szCs w:val="22"/>
        </w:rPr>
        <w:t>rogram</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for</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Results</w:t>
      </w:r>
      <w:proofErr w:type="spellEnd"/>
      <w:r>
        <w:rPr>
          <w:rFonts w:asciiTheme="minorHAnsi" w:eastAsia="Batang" w:hAnsiTheme="minorHAnsi" w:cstheme="minorHAnsi"/>
          <w:bCs/>
          <w:sz w:val="22"/>
          <w:szCs w:val="22"/>
        </w:rPr>
        <w:t xml:space="preserve"> (P4R)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reconsidered</w:t>
      </w:r>
      <w:proofErr w:type="spellEnd"/>
      <w:r w:rsidRPr="006C4C4A">
        <w:rPr>
          <w:rFonts w:asciiTheme="minorHAnsi" w:eastAsia="Batang" w:hAnsiTheme="minorHAnsi" w:cstheme="minorHAnsi"/>
          <w:bCs/>
          <w:sz w:val="22"/>
          <w:szCs w:val="22"/>
        </w:rPr>
        <w:t>.</w:t>
      </w:r>
    </w:p>
    <w:p w:rsidR="00DD3007" w:rsidRPr="006C4C4A" w:rsidRDefault="00DD3007" w:rsidP="003A60AD">
      <w:pPr>
        <w:pStyle w:val="ListParagraph"/>
        <w:numPr>
          <w:ilvl w:val="0"/>
          <w:numId w:val="29"/>
        </w:numPr>
        <w:spacing w:before="60" w:after="60"/>
        <w:ind w:left="907"/>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promotion</w:t>
      </w:r>
      <w:proofErr w:type="spellEnd"/>
      <w:r w:rsidRPr="006C4C4A">
        <w:rPr>
          <w:rFonts w:asciiTheme="minorHAnsi" w:eastAsia="Batang" w:hAnsiTheme="minorHAnsi" w:cstheme="minorHAnsi"/>
          <w:bCs/>
          <w:sz w:val="22"/>
          <w:szCs w:val="22"/>
        </w:rPr>
        <w:t xml:space="preserve"> of social, </w:t>
      </w:r>
      <w:proofErr w:type="spellStart"/>
      <w:r w:rsidRPr="006C4C4A">
        <w:rPr>
          <w:rFonts w:asciiTheme="minorHAnsi" w:eastAsia="Batang" w:hAnsiTheme="minorHAnsi" w:cstheme="minorHAnsi"/>
          <w:bCs/>
          <w:sz w:val="22"/>
          <w:szCs w:val="22"/>
        </w:rPr>
        <w:t>economic</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environmental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sustainability</w:t>
      </w:r>
      <w:proofErr w:type="spellEnd"/>
      <w:r w:rsidRPr="006C4C4A">
        <w:rPr>
          <w:rFonts w:asciiTheme="minorHAnsi" w:eastAsia="Batang" w:hAnsiTheme="minorHAnsi" w:cstheme="minorHAnsi"/>
          <w:bCs/>
          <w:sz w:val="22"/>
          <w:szCs w:val="22"/>
        </w:rPr>
        <w:t xml:space="preserve"> in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context</w:t>
      </w:r>
      <w:proofErr w:type="spellEnd"/>
      <w:r w:rsidRPr="006C4C4A">
        <w:rPr>
          <w:rFonts w:asciiTheme="minorHAnsi" w:eastAsia="Batang" w:hAnsiTheme="minorHAnsi" w:cstheme="minorHAnsi"/>
          <w:bCs/>
          <w:sz w:val="22"/>
          <w:szCs w:val="22"/>
        </w:rPr>
        <w:t xml:space="preserve"> of a </w:t>
      </w:r>
      <w:proofErr w:type="spellStart"/>
      <w:r w:rsidRPr="006C4C4A">
        <w:rPr>
          <w:rFonts w:asciiTheme="minorHAnsi" w:eastAsia="Batang" w:hAnsiTheme="minorHAnsi" w:cstheme="minorHAnsi"/>
          <w:bCs/>
          <w:sz w:val="22"/>
          <w:szCs w:val="22"/>
        </w:rPr>
        <w:t>specific</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project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always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contribute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improvement</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national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policies</w:t>
      </w:r>
      <w:proofErr w:type="spellEnd"/>
      <w:r w:rsidRPr="006C4C4A">
        <w:rPr>
          <w:rFonts w:asciiTheme="minorHAnsi" w:eastAsia="Batang" w:hAnsiTheme="minorHAnsi" w:cstheme="minorHAnsi"/>
          <w:bCs/>
          <w:sz w:val="22"/>
          <w:szCs w:val="22"/>
        </w:rPr>
        <w:t xml:space="preserve"> and global </w:t>
      </w:r>
      <w:proofErr w:type="spellStart"/>
      <w:r w:rsidRPr="006C4C4A">
        <w:rPr>
          <w:rFonts w:asciiTheme="minorHAnsi" w:eastAsia="Batang" w:hAnsiTheme="minorHAnsi" w:cstheme="minorHAnsi"/>
          <w:bCs/>
          <w:sz w:val="22"/>
          <w:szCs w:val="22"/>
        </w:rPr>
        <w:t>practices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For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Switzerland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desirable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outcome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a </w:t>
      </w:r>
      <w:proofErr w:type="spellStart"/>
      <w:r w:rsidRPr="006C4C4A">
        <w:rPr>
          <w:rFonts w:asciiTheme="minorHAnsi" w:eastAsia="Batang" w:hAnsiTheme="minorHAnsi" w:cstheme="minorHAnsi"/>
          <w:bCs/>
          <w:sz w:val="22"/>
          <w:szCs w:val="22"/>
        </w:rPr>
        <w:t>framework</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provides</w:t>
      </w:r>
      <w:proofErr w:type="spellEnd"/>
      <w:r w:rsidRPr="006C4C4A">
        <w:rPr>
          <w:rFonts w:asciiTheme="minorHAnsi" w:eastAsia="Batang" w:hAnsiTheme="minorHAnsi" w:cstheme="minorHAnsi"/>
          <w:bCs/>
          <w:sz w:val="22"/>
          <w:szCs w:val="22"/>
        </w:rPr>
        <w:t xml:space="preserve"> a set of </w:t>
      </w:r>
      <w:proofErr w:type="spellStart"/>
      <w:r w:rsidRPr="006C4C4A">
        <w:rPr>
          <w:rFonts w:asciiTheme="minorHAnsi" w:eastAsia="Batang" w:hAnsiTheme="minorHAnsi" w:cstheme="minorHAnsi"/>
          <w:bCs/>
          <w:sz w:val="22"/>
          <w:szCs w:val="22"/>
        </w:rPr>
        <w:t>clear</w:t>
      </w:r>
      <w:proofErr w:type="spellEnd"/>
      <w:r w:rsidRPr="006C4C4A">
        <w:rPr>
          <w:rFonts w:asciiTheme="minorHAnsi" w:eastAsia="Batang" w:hAnsiTheme="minorHAnsi" w:cstheme="minorHAnsi"/>
          <w:bCs/>
          <w:sz w:val="22"/>
          <w:szCs w:val="22"/>
        </w:rPr>
        <w:t xml:space="preserve"> social and </w:t>
      </w:r>
      <w:proofErr w:type="spellStart"/>
      <w:r w:rsidRPr="006C4C4A">
        <w:rPr>
          <w:rFonts w:asciiTheme="minorHAnsi" w:eastAsia="Batang" w:hAnsiTheme="minorHAnsi" w:cstheme="minorHAnsi"/>
          <w:bCs/>
          <w:sz w:val="22"/>
          <w:szCs w:val="22"/>
        </w:rPr>
        <w:t>environmental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objectives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partner</w:t>
      </w:r>
      <w:proofErr w:type="spellEnd"/>
      <w:r w:rsidRPr="006C4C4A">
        <w:rPr>
          <w:rFonts w:asciiTheme="minorHAnsi" w:eastAsia="Batang" w:hAnsiTheme="minorHAnsi" w:cstheme="minorHAnsi"/>
          <w:bCs/>
          <w:sz w:val="22"/>
          <w:szCs w:val="22"/>
        </w:rPr>
        <w:t xml:space="preserve"> country </w:t>
      </w:r>
      <w:proofErr w:type="spellStart"/>
      <w:r w:rsidRPr="006C4C4A">
        <w:rPr>
          <w:rFonts w:asciiTheme="minorHAnsi" w:eastAsia="Batang" w:hAnsiTheme="minorHAnsi" w:cstheme="minorHAnsi"/>
          <w:bCs/>
          <w:sz w:val="22"/>
          <w:szCs w:val="22"/>
        </w:rPr>
        <w:t>would</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able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achieve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over</w:t>
      </w:r>
      <w:proofErr w:type="spellEnd"/>
      <w:r w:rsidRPr="006C4C4A">
        <w:rPr>
          <w:rFonts w:asciiTheme="minorHAnsi" w:eastAsia="Batang" w:hAnsiTheme="minorHAnsi" w:cstheme="minorHAnsi"/>
          <w:bCs/>
          <w:sz w:val="22"/>
          <w:szCs w:val="22"/>
        </w:rPr>
        <w:t xml:space="preserve"> time </w:t>
      </w:r>
      <w:proofErr w:type="spellStart"/>
      <w:r w:rsidRPr="006C4C4A">
        <w:rPr>
          <w:rFonts w:asciiTheme="minorHAnsi" w:eastAsia="Batang" w:hAnsiTheme="minorHAnsi" w:cstheme="minorHAnsi"/>
          <w:bCs/>
          <w:sz w:val="22"/>
          <w:szCs w:val="22"/>
        </w:rPr>
        <w:t>thanks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w:t>
      </w:r>
      <w:r>
        <w:rPr>
          <w:rFonts w:asciiTheme="minorHAnsi" w:eastAsia="Batang" w:hAnsiTheme="minorHAnsi" w:cstheme="minorHAnsi"/>
          <w:bCs/>
          <w:sz w:val="22"/>
          <w:szCs w:val="22"/>
        </w:rPr>
        <w:t>orld</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w:t>
      </w:r>
      <w:r>
        <w:rPr>
          <w:rFonts w:asciiTheme="minorHAnsi" w:eastAsia="Batang" w:hAnsiTheme="minorHAnsi" w:cstheme="minorHAnsi"/>
          <w:bCs/>
          <w:sz w:val="22"/>
          <w:szCs w:val="22"/>
        </w:rPr>
        <w:t>ank</w:t>
      </w:r>
      <w:r w:rsidRPr="006C4C4A">
        <w:rPr>
          <w:rFonts w:asciiTheme="minorHAnsi" w:eastAsia="Batang" w:hAnsiTheme="minorHAnsi" w:cstheme="minorHAnsi"/>
          <w:bCs/>
          <w:sz w:val="22"/>
          <w:szCs w:val="22"/>
        </w:rPr>
        <w: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support</w:t>
      </w:r>
      <w:proofErr w:type="spellEnd"/>
      <w:r w:rsidRPr="006C4C4A">
        <w:rPr>
          <w:rFonts w:asciiTheme="minorHAnsi" w:eastAsia="Batang" w:hAnsiTheme="minorHAnsi" w:cstheme="minorHAnsi"/>
          <w:bCs/>
          <w:sz w:val="22"/>
          <w:szCs w:val="22"/>
        </w:rPr>
        <w:t xml:space="preserve">. </w:t>
      </w:r>
    </w:p>
    <w:p w:rsidR="00DD3007" w:rsidRPr="006C4C4A" w:rsidRDefault="00DD3007" w:rsidP="003A60AD">
      <w:pPr>
        <w:pStyle w:val="ListParagraph"/>
        <w:numPr>
          <w:ilvl w:val="0"/>
          <w:numId w:val="29"/>
        </w:numPr>
        <w:spacing w:before="60" w:after="60"/>
        <w:ind w:left="907"/>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Bank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strive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for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consistency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across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w:t>
      </w:r>
      <w:r>
        <w:rPr>
          <w:rFonts w:asciiTheme="minorHAnsi" w:eastAsia="Batang" w:hAnsiTheme="minorHAnsi" w:cstheme="minorHAnsi"/>
          <w:bCs/>
          <w:sz w:val="22"/>
          <w:szCs w:val="22"/>
        </w:rPr>
        <w:t>orld</w:t>
      </w:r>
      <w:proofErr w:type="spellEnd"/>
      <w:r>
        <w:rPr>
          <w:rFonts w:asciiTheme="minorHAnsi" w:eastAsia="Batang" w:hAnsiTheme="minorHAnsi" w:cstheme="minorHAnsi"/>
          <w:bCs/>
          <w:sz w:val="22"/>
          <w:szCs w:val="22"/>
        </w:rPr>
        <w:t xml:space="preserve"> </w:t>
      </w:r>
      <w:r w:rsidRPr="006C4C4A">
        <w:rPr>
          <w:rFonts w:asciiTheme="minorHAnsi" w:eastAsia="Batang" w:hAnsiTheme="minorHAnsi" w:cstheme="minorHAnsi"/>
          <w:bCs/>
          <w:sz w:val="22"/>
          <w:szCs w:val="22"/>
        </w:rPr>
        <w:t>B</w:t>
      </w:r>
      <w:r>
        <w:rPr>
          <w:rFonts w:asciiTheme="minorHAnsi" w:eastAsia="Batang" w:hAnsiTheme="minorHAnsi" w:cstheme="minorHAnsi"/>
          <w:bCs/>
          <w:sz w:val="22"/>
          <w:szCs w:val="22"/>
        </w:rPr>
        <w:t xml:space="preserve">ank </w:t>
      </w:r>
      <w:proofErr w:type="spellStart"/>
      <w:r w:rsidRPr="006C4C4A">
        <w:rPr>
          <w:rFonts w:asciiTheme="minorHAnsi" w:eastAsia="Batang" w:hAnsiTheme="minorHAnsi" w:cstheme="minorHAnsi"/>
          <w:bCs/>
          <w:sz w:val="22"/>
          <w:szCs w:val="22"/>
        </w:rPr>
        <w:t>G</w:t>
      </w:r>
      <w:r>
        <w:rPr>
          <w:rFonts w:asciiTheme="minorHAnsi" w:eastAsia="Batang" w:hAnsiTheme="minorHAnsi" w:cstheme="minorHAnsi"/>
          <w:bCs/>
          <w:sz w:val="22"/>
          <w:szCs w:val="22"/>
        </w:rPr>
        <w:t>roup</w:t>
      </w:r>
      <w:proofErr w:type="spellEnd"/>
      <w:r w:rsidRPr="006C4C4A">
        <w:rPr>
          <w:rFonts w:asciiTheme="minorHAnsi" w:eastAsia="Batang" w:hAnsiTheme="minorHAnsi" w:cstheme="minorHAnsi"/>
          <w:bCs/>
          <w:sz w:val="22"/>
          <w:szCs w:val="22"/>
        </w:rPr>
        <w:t xml:space="preserve">: a </w:t>
      </w:r>
      <w:proofErr w:type="spellStart"/>
      <w:r w:rsidRPr="006C4C4A">
        <w:rPr>
          <w:rFonts w:asciiTheme="minorHAnsi" w:eastAsia="Batang" w:hAnsiTheme="minorHAnsi" w:cstheme="minorHAnsi"/>
          <w:bCs/>
          <w:sz w:val="22"/>
          <w:szCs w:val="22"/>
        </w:rPr>
        <w:t>certain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degree</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harmonization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important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goal</w:t>
      </w:r>
      <w:proofErr w:type="spellEnd"/>
      <w:r w:rsidRPr="006C4C4A">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The</w:t>
      </w:r>
      <w:proofErr w:type="spellEnd"/>
      <w:r>
        <w:rPr>
          <w:rFonts w:asciiTheme="minorHAnsi" w:eastAsia="Batang" w:hAnsiTheme="minorHAnsi" w:cstheme="minorHAnsi"/>
          <w:bCs/>
          <w:sz w:val="22"/>
          <w:szCs w:val="22"/>
        </w:rPr>
        <w:t xml:space="preserve"> </w:t>
      </w:r>
      <w:r w:rsidRPr="006C4C4A">
        <w:rPr>
          <w:rFonts w:asciiTheme="minorHAnsi" w:eastAsia="Batang" w:hAnsiTheme="minorHAnsi" w:cstheme="minorHAnsi"/>
          <w:bCs/>
          <w:sz w:val="22"/>
          <w:szCs w:val="22"/>
        </w:rPr>
        <w:t>I</w:t>
      </w:r>
      <w:r>
        <w:rPr>
          <w:rFonts w:asciiTheme="minorHAnsi" w:eastAsia="Batang" w:hAnsiTheme="minorHAnsi" w:cstheme="minorHAnsi"/>
          <w:bCs/>
          <w:sz w:val="22"/>
          <w:szCs w:val="22"/>
        </w:rPr>
        <w:t xml:space="preserve">nternational </w:t>
      </w:r>
      <w:proofErr w:type="spellStart"/>
      <w:r>
        <w:rPr>
          <w:rFonts w:asciiTheme="minorHAnsi" w:eastAsia="Batang" w:hAnsiTheme="minorHAnsi" w:cstheme="minorHAnsi"/>
          <w:bCs/>
          <w:sz w:val="22"/>
          <w:szCs w:val="22"/>
        </w:rPr>
        <w:t>Finance</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Corporation</w:t>
      </w:r>
      <w:proofErr w:type="spellEnd"/>
      <w:r>
        <w:rPr>
          <w:rFonts w:asciiTheme="minorHAnsi" w:eastAsia="Batang" w:hAnsiTheme="minorHAnsi" w:cstheme="minorHAnsi"/>
          <w:bCs/>
          <w:sz w:val="22"/>
          <w:szCs w:val="22"/>
        </w:rPr>
        <w:t xml:space="preserve"> (I</w:t>
      </w:r>
      <w:r w:rsidRPr="006C4C4A">
        <w:rPr>
          <w:rFonts w:asciiTheme="minorHAnsi" w:eastAsia="Batang" w:hAnsiTheme="minorHAnsi" w:cstheme="minorHAnsi"/>
          <w:bCs/>
          <w:sz w:val="22"/>
          <w:szCs w:val="22"/>
        </w:rPr>
        <w:t>FC</w:t>
      </w:r>
      <w:r>
        <w:rPr>
          <w:rFonts w:asciiTheme="minorHAnsi" w:eastAsia="Batang" w:hAnsiTheme="minorHAnsi" w:cstheme="minorHAnsi"/>
          <w:bCs/>
          <w:sz w:val="22"/>
          <w:szCs w:val="22"/>
        </w:rPr>
        <w:t>)</w:t>
      </w:r>
      <w:r w:rsidRPr="006C4C4A">
        <w:rPr>
          <w:rFonts w:asciiTheme="minorHAnsi" w:eastAsia="Batang" w:hAnsiTheme="minorHAnsi" w:cstheme="minorHAnsi"/>
          <w:bCs/>
          <w:sz w:val="22"/>
          <w:szCs w:val="22"/>
        </w:rPr>
        <w:t xml:space="preserve"> performance </w:t>
      </w:r>
      <w:proofErr w:type="spellStart"/>
      <w:r w:rsidRPr="006C4C4A">
        <w:rPr>
          <w:rFonts w:asciiTheme="minorHAnsi" w:eastAsia="Batang" w:hAnsiTheme="minorHAnsi" w:cstheme="minorHAnsi"/>
          <w:bCs/>
          <w:sz w:val="22"/>
          <w:szCs w:val="22"/>
        </w:rPr>
        <w:t>standards</w:t>
      </w:r>
      <w:proofErr w:type="spellEnd"/>
      <w:r w:rsidRPr="006C4C4A">
        <w:rPr>
          <w:rFonts w:asciiTheme="minorHAnsi" w:eastAsia="Batang" w:hAnsiTheme="minorHAnsi" w:cstheme="minorHAnsi"/>
          <w:bCs/>
          <w:sz w:val="22"/>
          <w:szCs w:val="22"/>
        </w:rPr>
        <w:t xml:space="preserve"> are a </w:t>
      </w:r>
      <w:proofErr w:type="spellStart"/>
      <w:r w:rsidRPr="006C4C4A">
        <w:rPr>
          <w:rFonts w:asciiTheme="minorHAnsi" w:eastAsia="Batang" w:hAnsiTheme="minorHAnsi" w:cstheme="minorHAnsi"/>
          <w:bCs/>
          <w:sz w:val="22"/>
          <w:szCs w:val="22"/>
        </w:rPr>
        <w:t>good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benchmark</w:t>
      </w:r>
      <w:proofErr w:type="spellEnd"/>
      <w:r w:rsidRPr="006C4C4A">
        <w:rPr>
          <w:rFonts w:asciiTheme="minorHAnsi" w:eastAsia="Batang" w:hAnsiTheme="minorHAnsi" w:cstheme="minorHAnsi"/>
          <w:bCs/>
          <w:sz w:val="22"/>
          <w:szCs w:val="22"/>
        </w:rPr>
        <w:t xml:space="preserve">. </w:t>
      </w:r>
    </w:p>
    <w:p w:rsidR="00DD3007" w:rsidRPr="00DD3007" w:rsidRDefault="00DD3007" w:rsidP="003A60AD">
      <w:pPr>
        <w:pStyle w:val="ListParagraph"/>
        <w:numPr>
          <w:ilvl w:val="0"/>
          <w:numId w:val="29"/>
        </w:numPr>
        <w:spacing w:before="60" w:after="60"/>
        <w:ind w:left="907"/>
        <w:rPr>
          <w:rFonts w:asciiTheme="minorHAnsi" w:hAnsiTheme="minorHAnsi" w:cstheme="minorHAnsi"/>
          <w:b/>
          <w:szCs w:val="24"/>
          <w:lang w:val="en-US"/>
        </w:rPr>
      </w:pPr>
      <w:r w:rsidRPr="006C4C4A">
        <w:rPr>
          <w:rFonts w:asciiTheme="minorHAnsi" w:eastAsia="Batang" w:hAnsiTheme="minorHAnsi" w:cstheme="minorHAnsi"/>
          <w:bCs/>
          <w:sz w:val="22"/>
          <w:szCs w:val="22"/>
        </w:rPr>
        <w:t>The Bank is encouraged to maintain a continuous exchange between the procurement review and the safeguards review. Safeguard objectives should, where possible, be included in the procurement review.</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eastAsia="Batang" w:hAnsiTheme="minorHAnsi" w:cstheme="minorHAnsi"/>
          <w:bCs/>
          <w:sz w:val="22"/>
          <w:szCs w:val="22"/>
        </w:rPr>
      </w:pPr>
    </w:p>
    <w:p w:rsidR="00DD3007" w:rsidRP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szCs w:val="24"/>
        </w:rPr>
      </w:pPr>
      <w:r w:rsidRPr="00DD3007">
        <w:rPr>
          <w:rFonts w:asciiTheme="minorHAnsi" w:hAnsiTheme="minorHAnsi" w:cstheme="minorHAnsi"/>
          <w:b/>
          <w:color w:val="17365D" w:themeColor="text2" w:themeShade="BF"/>
          <w:szCs w:val="24"/>
        </w:rPr>
        <w:t>How the Bank can better support borrowers in their efforts to strengthen their systems and institutions with respect to environmental and social safeguard practices to yield more sustainable results on the ground.</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b/>
          <w:color w:val="17365D" w:themeColor="text2" w:themeShade="BF"/>
          <w:sz w:val="22"/>
          <w:szCs w:val="22"/>
        </w:rPr>
      </w:pP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How the Bank will support countries in implementing the new safeguards framework should already be part of the ongoing discussion and considered during each phase of the consultation process. </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The consultation process should consider what exceptions (if any) there will be to the new framework for countries with low capacity. Participants were curious to know how flexibility will be built into the framework so that it works in different country contexts.</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Provisions for technical assistance need to be considered for countries with low capacity and especially</w:t>
      </w:r>
      <w:r>
        <w:rPr>
          <w:rFonts w:asciiTheme="minorHAnsi" w:hAnsiTheme="minorHAnsi" w:cstheme="minorHAnsi"/>
          <w:sz w:val="22"/>
          <w:szCs w:val="22"/>
          <w:lang w:val="en-US"/>
        </w:rPr>
        <w:t xml:space="preserve"> in</w:t>
      </w:r>
      <w:r w:rsidRPr="006C4C4A">
        <w:rPr>
          <w:rFonts w:asciiTheme="minorHAnsi" w:hAnsiTheme="minorHAnsi" w:cstheme="minorHAnsi"/>
          <w:sz w:val="22"/>
          <w:szCs w:val="22"/>
          <w:lang w:val="en-US"/>
        </w:rPr>
        <w:t xml:space="preserve"> </w:t>
      </w:r>
      <w:r>
        <w:rPr>
          <w:rFonts w:asciiTheme="minorHAnsi" w:hAnsiTheme="minorHAnsi" w:cstheme="minorHAnsi"/>
          <w:sz w:val="22"/>
          <w:szCs w:val="22"/>
          <w:lang w:val="en-US"/>
        </w:rPr>
        <w:t>Fragile and Conflict Affected Situations (</w:t>
      </w:r>
      <w:r w:rsidRPr="00EE2F10">
        <w:rPr>
          <w:rFonts w:asciiTheme="minorHAnsi" w:hAnsiTheme="minorHAnsi" w:cstheme="minorHAnsi"/>
          <w:sz w:val="22"/>
          <w:szCs w:val="22"/>
          <w:lang w:val="en-US"/>
        </w:rPr>
        <w:t>FCS</w:t>
      </w:r>
      <w:r>
        <w:rPr>
          <w:rFonts w:asciiTheme="minorHAnsi" w:hAnsiTheme="minorHAnsi" w:cstheme="minorHAnsi"/>
          <w:sz w:val="22"/>
          <w:szCs w:val="22"/>
          <w:lang w:val="en-US"/>
        </w:rPr>
        <w:t>)</w:t>
      </w:r>
      <w:r w:rsidRPr="006C4C4A">
        <w:rPr>
          <w:rFonts w:asciiTheme="minorHAnsi" w:hAnsiTheme="minorHAnsi" w:cstheme="minorHAnsi"/>
          <w:sz w:val="22"/>
          <w:szCs w:val="22"/>
          <w:lang w:val="en-US"/>
        </w:rPr>
        <w:t>.</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The integrated framework should adequately protect the reputation of the institution. Anchoring Bank investment operations in ambitious outcomes and sound processes – from preparation to implementation – remains </w:t>
      </w:r>
      <w:proofErr w:type="gramStart"/>
      <w:r w:rsidRPr="006C4C4A">
        <w:rPr>
          <w:rFonts w:asciiTheme="minorHAnsi" w:hAnsiTheme="minorHAnsi" w:cstheme="minorHAnsi"/>
          <w:sz w:val="22"/>
          <w:szCs w:val="22"/>
          <w:lang w:val="en-US"/>
        </w:rPr>
        <w:t>key</w:t>
      </w:r>
      <w:proofErr w:type="gramEnd"/>
      <w:r w:rsidRPr="006C4C4A">
        <w:rPr>
          <w:rFonts w:asciiTheme="minorHAnsi" w:hAnsiTheme="minorHAnsi" w:cstheme="minorHAnsi"/>
          <w:sz w:val="22"/>
          <w:szCs w:val="22"/>
          <w:lang w:val="en-US"/>
        </w:rPr>
        <w:t xml:space="preserve">. Therefore, the system should contain a clear commitment by the client to development outcomes with corresponding accountability and correction mechanisms. With regard to the </w:t>
      </w:r>
      <w:proofErr w:type="spellStart"/>
      <w:r w:rsidRPr="006C4C4A">
        <w:rPr>
          <w:rFonts w:asciiTheme="minorHAnsi" w:hAnsiTheme="minorHAnsi" w:cstheme="minorHAnsi"/>
          <w:sz w:val="22"/>
          <w:szCs w:val="22"/>
          <w:lang w:val="en-US"/>
        </w:rPr>
        <w:t>I</w:t>
      </w:r>
      <w:r>
        <w:rPr>
          <w:rFonts w:asciiTheme="minorHAnsi" w:hAnsiTheme="minorHAnsi" w:cstheme="minorHAnsi"/>
          <w:sz w:val="22"/>
          <w:szCs w:val="22"/>
          <w:lang w:val="en-US"/>
        </w:rPr>
        <w:t>nvestement</w:t>
      </w:r>
      <w:proofErr w:type="spellEnd"/>
      <w:r>
        <w:rPr>
          <w:rFonts w:asciiTheme="minorHAnsi" w:hAnsiTheme="minorHAnsi" w:cstheme="minorHAnsi"/>
          <w:sz w:val="22"/>
          <w:szCs w:val="22"/>
          <w:lang w:val="en-US"/>
        </w:rPr>
        <w:t xml:space="preserve"> </w:t>
      </w:r>
      <w:r w:rsidRPr="006C4C4A">
        <w:rPr>
          <w:rFonts w:asciiTheme="minorHAnsi" w:hAnsiTheme="minorHAnsi" w:cstheme="minorHAnsi"/>
          <w:sz w:val="22"/>
          <w:szCs w:val="22"/>
          <w:lang w:val="en-US"/>
        </w:rPr>
        <w:t>L</w:t>
      </w:r>
      <w:r>
        <w:rPr>
          <w:rFonts w:asciiTheme="minorHAnsi" w:hAnsiTheme="minorHAnsi" w:cstheme="minorHAnsi"/>
          <w:sz w:val="22"/>
          <w:szCs w:val="22"/>
          <w:lang w:val="en-US"/>
        </w:rPr>
        <w:t>ending</w:t>
      </w:r>
      <w:r w:rsidRPr="006C4C4A">
        <w:rPr>
          <w:rFonts w:asciiTheme="minorHAnsi" w:hAnsiTheme="minorHAnsi" w:cstheme="minorHAnsi"/>
          <w:sz w:val="22"/>
          <w:szCs w:val="22"/>
          <w:lang w:val="en-US"/>
        </w:rPr>
        <w:t xml:space="preserve"> Project Cycle, upstream preparation should be seen in the sense of “due diligence” and retain a high “quality at entry”. However the solving of </w:t>
      </w:r>
      <w:r>
        <w:rPr>
          <w:rFonts w:asciiTheme="minorHAnsi" w:hAnsiTheme="minorHAnsi" w:cstheme="minorHAnsi"/>
          <w:sz w:val="22"/>
          <w:szCs w:val="22"/>
          <w:lang w:val="en-US"/>
        </w:rPr>
        <w:t xml:space="preserve">problems </w:t>
      </w:r>
      <w:r w:rsidRPr="006C4C4A">
        <w:rPr>
          <w:rFonts w:asciiTheme="minorHAnsi" w:hAnsiTheme="minorHAnsi" w:cstheme="minorHAnsi"/>
          <w:sz w:val="22"/>
          <w:szCs w:val="22"/>
          <w:lang w:val="en-US"/>
        </w:rPr>
        <w:t>identified during the due diligence process should become an integral part of the downstream implementation process. In consequence, budgetary resources need to shift from the upstream towards implementation (problem solving), in particular to capacity building, monitoring and supervision. However, the Bank should not be too flexible just to be more competitive: while it is important to strengthen the downstream side, the Bank should be aware that flexibility on the upstream has its limits.</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Building knowledge and understanding on </w:t>
      </w:r>
      <w:r>
        <w:rPr>
          <w:rFonts w:asciiTheme="minorHAnsi" w:hAnsiTheme="minorHAnsi" w:cstheme="minorHAnsi"/>
          <w:sz w:val="22"/>
          <w:szCs w:val="22"/>
          <w:lang w:val="en-US"/>
        </w:rPr>
        <w:t>environmental and social policies (</w:t>
      </w:r>
      <w:r w:rsidRPr="006C4C4A">
        <w:rPr>
          <w:rFonts w:asciiTheme="minorHAnsi" w:hAnsiTheme="minorHAnsi" w:cstheme="minorHAnsi"/>
          <w:sz w:val="22"/>
          <w:szCs w:val="22"/>
          <w:lang w:val="en-US"/>
        </w:rPr>
        <w:t>ESPs</w:t>
      </w:r>
      <w:r>
        <w:rPr>
          <w:rFonts w:asciiTheme="minorHAnsi" w:hAnsiTheme="minorHAnsi" w:cstheme="minorHAnsi"/>
          <w:sz w:val="22"/>
          <w:szCs w:val="22"/>
          <w:lang w:val="en-US"/>
        </w:rPr>
        <w:t>)</w:t>
      </w:r>
      <w:r w:rsidRPr="006C4C4A">
        <w:rPr>
          <w:rFonts w:asciiTheme="minorHAnsi" w:hAnsiTheme="minorHAnsi" w:cstheme="minorHAnsi"/>
          <w:sz w:val="22"/>
          <w:szCs w:val="22"/>
          <w:lang w:val="en-US"/>
        </w:rPr>
        <w:t xml:space="preserve"> is </w:t>
      </w:r>
      <w:proofErr w:type="gramStart"/>
      <w:r w:rsidRPr="006C4C4A">
        <w:rPr>
          <w:rFonts w:asciiTheme="minorHAnsi" w:hAnsiTheme="minorHAnsi" w:cstheme="minorHAnsi"/>
          <w:sz w:val="22"/>
          <w:szCs w:val="22"/>
          <w:lang w:val="en-US"/>
        </w:rPr>
        <w:t>key</w:t>
      </w:r>
      <w:proofErr w:type="gramEnd"/>
      <w:r w:rsidRPr="006C4C4A">
        <w:rPr>
          <w:rFonts w:asciiTheme="minorHAnsi" w:hAnsiTheme="minorHAnsi" w:cstheme="minorHAnsi"/>
          <w:sz w:val="22"/>
          <w:szCs w:val="22"/>
          <w:lang w:val="en-US"/>
        </w:rPr>
        <w:t>. The Bank should raise awareness among client countries, politicians, and stakeholders on the political and economic benefits that arise from respecting the new integrated framework. It is also important to take into account the lessons learnt from the implementation of IFC’s performance standards, as well as from existing DPLs and P4R projects. The new integrated framework will require a new mindset to learning from failure and mistakes with a positive system of correction.</w:t>
      </w:r>
    </w:p>
    <w:p w:rsidR="00DD3007" w:rsidRDefault="00DD3007" w:rsidP="003A60AD">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It is also important to clearly distinguish between country and W</w:t>
      </w:r>
      <w:r>
        <w:rPr>
          <w:rFonts w:asciiTheme="minorHAnsi" w:hAnsiTheme="minorHAnsi" w:cstheme="minorHAnsi"/>
          <w:sz w:val="22"/>
          <w:szCs w:val="22"/>
          <w:lang w:val="en-US"/>
        </w:rPr>
        <w:t xml:space="preserve">orld </w:t>
      </w:r>
      <w:r w:rsidRPr="006C4C4A">
        <w:rPr>
          <w:rFonts w:asciiTheme="minorHAnsi" w:hAnsiTheme="minorHAnsi" w:cstheme="minorHAnsi"/>
          <w:sz w:val="22"/>
          <w:szCs w:val="22"/>
          <w:lang w:val="en-US"/>
        </w:rPr>
        <w:t>B</w:t>
      </w:r>
      <w:r>
        <w:rPr>
          <w:rFonts w:asciiTheme="minorHAnsi" w:hAnsiTheme="minorHAnsi" w:cstheme="minorHAnsi"/>
          <w:sz w:val="22"/>
          <w:szCs w:val="22"/>
          <w:lang w:val="en-US"/>
        </w:rPr>
        <w:t>ank</w:t>
      </w:r>
      <w:r w:rsidRPr="006C4C4A">
        <w:rPr>
          <w:rFonts w:asciiTheme="minorHAnsi" w:hAnsiTheme="minorHAnsi" w:cstheme="minorHAnsi"/>
          <w:sz w:val="22"/>
          <w:szCs w:val="22"/>
          <w:lang w:val="en-US"/>
        </w:rPr>
        <w:t xml:space="preserve"> roles and responsibilities, and to clarify how this is taken into account in the loan agreement.</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lang w:val="en-US"/>
        </w:rPr>
      </w:pPr>
    </w:p>
    <w:p w:rsidR="00DD3007" w:rsidRPr="00E56554"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eastAsia="Batang" w:hAnsiTheme="minorHAnsi" w:cstheme="minorHAnsi"/>
          <w:bCs/>
          <w:szCs w:val="24"/>
        </w:rPr>
      </w:pPr>
      <w:r w:rsidRPr="00E56554">
        <w:rPr>
          <w:rFonts w:asciiTheme="minorHAnsi" w:eastAsia="Batang" w:hAnsiTheme="minorHAnsi" w:cstheme="minorHAnsi"/>
          <w:b/>
          <w:color w:val="17365D" w:themeColor="text2" w:themeShade="BF"/>
          <w:szCs w:val="24"/>
        </w:rPr>
        <w:t>E</w:t>
      </w:r>
      <w:r w:rsidRPr="00E56554">
        <w:rPr>
          <w:rFonts w:asciiTheme="minorHAnsi" w:hAnsiTheme="minorHAnsi" w:cstheme="minorHAnsi"/>
          <w:b/>
          <w:color w:val="17365D" w:themeColor="text2" w:themeShade="BF"/>
          <w:szCs w:val="24"/>
        </w:rPr>
        <w:t>xamples of environmental and social assessment and risk management approaches (used by either public or private institutions) that the review should take into consideration.</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eastAsia="Batang" w:hAnsiTheme="minorHAnsi" w:cstheme="minorHAnsi"/>
          <w:bCs/>
          <w:sz w:val="22"/>
          <w:szCs w:val="22"/>
        </w:rPr>
      </w:pPr>
    </w:p>
    <w:p w:rsidR="00DD3007" w:rsidRPr="006C4C4A" w:rsidRDefault="00DD3007" w:rsidP="00DD3007">
      <w:pPr>
        <w:pStyle w:val="ListParagraph"/>
        <w:numPr>
          <w:ilvl w:val="0"/>
          <w:numId w:val="29"/>
        </w:numPr>
        <w:spacing w:before="60" w:after="60"/>
        <w:jc w:val="left"/>
        <w:rPr>
          <w:rFonts w:asciiTheme="minorHAnsi" w:hAnsiTheme="minorHAnsi" w:cstheme="minorHAnsi"/>
          <w:sz w:val="22"/>
          <w:szCs w:val="22"/>
        </w:rPr>
      </w:pPr>
      <w:proofErr w:type="spellStart"/>
      <w:r w:rsidRPr="006C4C4A">
        <w:rPr>
          <w:rFonts w:asciiTheme="minorHAnsi" w:hAnsiTheme="minorHAnsi" w:cstheme="minorHAnsi"/>
          <w:sz w:val="22"/>
          <w:szCs w:val="22"/>
        </w:rPr>
        <w:lastRenderedPageBreak/>
        <w:t>Recommended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efforts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made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make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sure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w:t>
      </w:r>
      <w:r>
        <w:rPr>
          <w:rFonts w:asciiTheme="minorHAnsi" w:hAnsiTheme="minorHAnsi" w:cstheme="minorHAnsi"/>
          <w:sz w:val="22"/>
          <w:szCs w:val="22"/>
        </w:rPr>
        <w:t>orld</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B</w:t>
      </w:r>
      <w:r>
        <w:rPr>
          <w:rFonts w:asciiTheme="minorHAnsi" w:hAnsiTheme="minorHAnsi" w:cstheme="minorHAnsi"/>
          <w:sz w:val="22"/>
          <w:szCs w:val="22"/>
        </w:rPr>
        <w:t>ank</w:t>
      </w:r>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complement</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reinforce</w:t>
      </w:r>
      <w:proofErr w:type="spellEnd"/>
      <w:r w:rsidRPr="006C4C4A">
        <w:rPr>
          <w:rFonts w:asciiTheme="minorHAnsi" w:hAnsiTheme="minorHAnsi" w:cstheme="minorHAnsi"/>
          <w:sz w:val="22"/>
          <w:szCs w:val="22"/>
        </w:rPr>
        <w:t xml:space="preserve"> IFC performance </w:t>
      </w:r>
      <w:proofErr w:type="spellStart"/>
      <w:r w:rsidRPr="006C4C4A">
        <w:rPr>
          <w:rFonts w:asciiTheme="minorHAnsi" w:hAnsiTheme="minorHAnsi" w:cstheme="minorHAnsi"/>
          <w:sz w:val="22"/>
          <w:szCs w:val="22"/>
        </w:rPr>
        <w:t>standards</w:t>
      </w:r>
      <w:proofErr w:type="spellEnd"/>
      <w:r w:rsidRPr="006C4C4A">
        <w:rPr>
          <w:rFonts w:asciiTheme="minorHAnsi" w:hAnsiTheme="minorHAnsi" w:cstheme="minorHAnsi"/>
          <w:sz w:val="22"/>
          <w:szCs w:val="22"/>
        </w:rPr>
        <w:t xml:space="preserve">. Point </w:t>
      </w:r>
      <w:proofErr w:type="spellStart"/>
      <w:r w:rsidRPr="006C4C4A">
        <w:rPr>
          <w:rFonts w:asciiTheme="minorHAnsi" w:hAnsiTheme="minorHAnsi" w:cstheme="minorHAnsi"/>
          <w:sz w:val="22"/>
          <w:szCs w:val="22"/>
        </w:rPr>
        <w:t>was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emphasized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from</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outside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not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such</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big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distinction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made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between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w:t>
      </w:r>
      <w:r>
        <w:rPr>
          <w:rFonts w:asciiTheme="minorHAnsi" w:hAnsiTheme="minorHAnsi" w:cstheme="minorHAnsi"/>
          <w:sz w:val="22"/>
          <w:szCs w:val="22"/>
        </w:rPr>
        <w:t>orld</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B</w:t>
      </w:r>
      <w:r>
        <w:rPr>
          <w:rFonts w:asciiTheme="minorHAnsi" w:hAnsiTheme="minorHAnsi" w:cstheme="minorHAnsi"/>
          <w:sz w:val="22"/>
          <w:szCs w:val="22"/>
        </w:rPr>
        <w:t>ank</w:t>
      </w:r>
      <w:r w:rsidRPr="006C4C4A">
        <w:rPr>
          <w:rFonts w:asciiTheme="minorHAnsi" w:hAnsiTheme="minorHAnsi" w:cstheme="minorHAnsi"/>
          <w:sz w:val="22"/>
          <w:szCs w:val="22"/>
        </w:rPr>
        <w:t xml:space="preserve"> and IFC</w:t>
      </w:r>
      <w:r>
        <w:rPr>
          <w:rFonts w:asciiTheme="minorHAnsi" w:hAnsiTheme="minorHAnsi" w:cstheme="minorHAnsi"/>
          <w:sz w:val="22"/>
          <w:szCs w:val="22"/>
        </w:rPr>
        <w:t xml:space="preserve"> –</w:t>
      </w:r>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just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World</w:t>
      </w:r>
      <w:proofErr w:type="spellEnd"/>
      <w:r w:rsidRPr="006C4C4A">
        <w:rPr>
          <w:rFonts w:asciiTheme="minorHAnsi" w:hAnsiTheme="minorHAnsi" w:cstheme="minorHAnsi"/>
          <w:sz w:val="22"/>
          <w:szCs w:val="22"/>
        </w:rPr>
        <w:t xml:space="preserve"> Bank </w:t>
      </w:r>
      <w:proofErr w:type="spellStart"/>
      <w:r w:rsidRPr="006C4C4A">
        <w:rPr>
          <w:rFonts w:asciiTheme="minorHAnsi" w:hAnsiTheme="minorHAnsi" w:cstheme="minorHAnsi"/>
          <w:sz w:val="22"/>
          <w:szCs w:val="22"/>
        </w:rPr>
        <w:t>Group</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Therefore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ineffective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application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safeguards</w:t>
      </w:r>
      <w:proofErr w:type="spellEnd"/>
      <w:r w:rsidRPr="006C4C4A">
        <w:rPr>
          <w:rFonts w:asciiTheme="minorHAnsi" w:hAnsiTheme="minorHAnsi" w:cstheme="minorHAnsi"/>
          <w:sz w:val="22"/>
          <w:szCs w:val="22"/>
        </w:rPr>
        <w:t>/</w:t>
      </w:r>
      <w:proofErr w:type="spellStart"/>
      <w:r w:rsidRPr="006C4C4A">
        <w:rPr>
          <w:rFonts w:asciiTheme="minorHAnsi" w:hAnsiTheme="minorHAnsi" w:cstheme="minorHAnsi"/>
          <w:sz w:val="22"/>
          <w:szCs w:val="22"/>
        </w:rPr>
        <w:t>standards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branch</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w:t>
      </w:r>
      <w:r>
        <w:rPr>
          <w:rFonts w:asciiTheme="minorHAnsi" w:hAnsiTheme="minorHAnsi" w:cstheme="minorHAnsi"/>
          <w:sz w:val="22"/>
          <w:szCs w:val="22"/>
        </w:rPr>
        <w:t>orld</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B</w:t>
      </w:r>
      <w:r>
        <w:rPr>
          <w:rFonts w:asciiTheme="minorHAnsi" w:hAnsiTheme="minorHAnsi" w:cstheme="minorHAnsi"/>
          <w:sz w:val="22"/>
          <w:szCs w:val="22"/>
        </w:rPr>
        <w:t xml:space="preserve">ank </w:t>
      </w:r>
      <w:proofErr w:type="spellStart"/>
      <w:r w:rsidRPr="006C4C4A">
        <w:rPr>
          <w:rFonts w:asciiTheme="minorHAnsi" w:hAnsiTheme="minorHAnsi" w:cstheme="minorHAnsi"/>
          <w:sz w:val="22"/>
          <w:szCs w:val="22"/>
        </w:rPr>
        <w:t>G</w:t>
      </w:r>
      <w:r>
        <w:rPr>
          <w:rFonts w:asciiTheme="minorHAnsi" w:hAnsiTheme="minorHAnsi" w:cstheme="minorHAnsi"/>
          <w:sz w:val="22"/>
          <w:szCs w:val="22"/>
        </w:rPr>
        <w:t>roup</w:t>
      </w:r>
      <w:proofErr w:type="spellEnd"/>
      <w:r w:rsidRPr="006C4C4A">
        <w:rPr>
          <w:rFonts w:asciiTheme="minorHAnsi" w:hAnsiTheme="minorHAnsi" w:cstheme="minorHAnsi"/>
          <w:sz w:val="22"/>
          <w:szCs w:val="22"/>
        </w:rPr>
        <w:t xml:space="preserve"> has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potential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impact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work</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other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branches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Harmonization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important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mitigate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this</w:t>
      </w:r>
      <w:proofErr w:type="spellEnd"/>
      <w:r w:rsidRPr="006C4C4A">
        <w:rPr>
          <w:rFonts w:asciiTheme="minorHAnsi" w:hAnsiTheme="minorHAnsi" w:cstheme="minorHAnsi"/>
          <w:sz w:val="22"/>
          <w:szCs w:val="22"/>
        </w:rPr>
        <w:t xml:space="preserve">. </w:t>
      </w:r>
    </w:p>
    <w:p w:rsidR="00DD3007" w:rsidRDefault="00DD3007" w:rsidP="003A60AD">
      <w:pPr>
        <w:pStyle w:val="ListParagraph"/>
        <w:numPr>
          <w:ilvl w:val="0"/>
          <w:numId w:val="29"/>
        </w:numPr>
        <w:spacing w:before="60" w:after="60"/>
        <w:jc w:val="left"/>
        <w:rPr>
          <w:rFonts w:asciiTheme="minorHAnsi" w:hAnsiTheme="minorHAnsi" w:cstheme="minorHAnsi"/>
          <w:sz w:val="22"/>
          <w:szCs w:val="22"/>
        </w:rPr>
      </w:pPr>
      <w:r w:rsidRPr="006C4C4A">
        <w:rPr>
          <w:rFonts w:asciiTheme="minorHAnsi" w:hAnsiTheme="minorHAnsi" w:cstheme="minorHAnsi"/>
          <w:sz w:val="22"/>
          <w:szCs w:val="22"/>
        </w:rPr>
        <w:t>The safeguards review should also take into consideration the outcome of the review of W</w:t>
      </w:r>
      <w:r>
        <w:rPr>
          <w:rFonts w:asciiTheme="minorHAnsi" w:hAnsiTheme="minorHAnsi" w:cstheme="minorHAnsi"/>
          <w:sz w:val="22"/>
          <w:szCs w:val="22"/>
        </w:rPr>
        <w:t xml:space="preserve">orld </w:t>
      </w:r>
      <w:r w:rsidRPr="006C4C4A">
        <w:rPr>
          <w:rFonts w:asciiTheme="minorHAnsi" w:hAnsiTheme="minorHAnsi" w:cstheme="minorHAnsi"/>
          <w:sz w:val="22"/>
          <w:szCs w:val="22"/>
        </w:rPr>
        <w:t>B</w:t>
      </w:r>
      <w:r>
        <w:rPr>
          <w:rFonts w:asciiTheme="minorHAnsi" w:hAnsiTheme="minorHAnsi" w:cstheme="minorHAnsi"/>
          <w:sz w:val="22"/>
          <w:szCs w:val="22"/>
        </w:rPr>
        <w:t>ank</w:t>
      </w:r>
      <w:r w:rsidRPr="006C4C4A">
        <w:rPr>
          <w:rFonts w:asciiTheme="minorHAnsi" w:hAnsiTheme="minorHAnsi" w:cstheme="minorHAnsi"/>
          <w:sz w:val="22"/>
          <w:szCs w:val="22"/>
        </w:rPr>
        <w:t xml:space="preserve"> procurement policies</w:t>
      </w:r>
      <w:r>
        <w:rPr>
          <w:rFonts w:asciiTheme="minorHAnsi" w:hAnsiTheme="minorHAnsi" w:cstheme="minorHAnsi"/>
          <w:sz w:val="22"/>
          <w:szCs w:val="22"/>
        </w:rPr>
        <w:t>.</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rPr>
      </w:pPr>
    </w:p>
    <w:p w:rsidR="00DD3007" w:rsidRPr="00DD3007" w:rsidRDefault="00DD3007" w:rsidP="00E56554">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szCs w:val="24"/>
        </w:rPr>
      </w:pPr>
      <w:r w:rsidRPr="00DD3007">
        <w:rPr>
          <w:rFonts w:asciiTheme="minorHAnsi" w:hAnsiTheme="minorHAnsi" w:cstheme="minorHAnsi"/>
          <w:b/>
          <w:color w:val="17365D" w:themeColor="text2" w:themeShade="BF"/>
          <w:szCs w:val="24"/>
        </w:rPr>
        <w:t xml:space="preserve">Recommendations with respect of any of the emerging areas described in the paper (i.e., disabilities; </w:t>
      </w:r>
      <w:proofErr w:type="spellStart"/>
      <w:r w:rsidRPr="00DD3007">
        <w:rPr>
          <w:rFonts w:asciiTheme="minorHAnsi" w:hAnsiTheme="minorHAnsi" w:cstheme="minorHAnsi"/>
          <w:b/>
          <w:color w:val="17365D" w:themeColor="text2" w:themeShade="BF"/>
          <w:szCs w:val="24"/>
        </w:rPr>
        <w:t>labor</w:t>
      </w:r>
      <w:proofErr w:type="spellEnd"/>
      <w:r w:rsidRPr="00DD3007">
        <w:rPr>
          <w:rFonts w:asciiTheme="minorHAnsi" w:hAnsiTheme="minorHAnsi" w:cstheme="minorHAnsi"/>
          <w:b/>
          <w:color w:val="17365D" w:themeColor="text2" w:themeShade="BF"/>
          <w:szCs w:val="24"/>
        </w:rPr>
        <w:t xml:space="preserve"> and occupational health and safety; human rights, land tenure and natural resources; free, prior and informed consent of Indigenous Peoples; gender; and climate change).</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b/>
          <w:color w:val="17365D" w:themeColor="text2" w:themeShade="BF"/>
          <w:sz w:val="22"/>
          <w:szCs w:val="22"/>
        </w:rPr>
      </w:pPr>
    </w:p>
    <w:p w:rsidR="00DD3007" w:rsidRPr="006C4C4A" w:rsidRDefault="00DD3007" w:rsidP="00DD3007">
      <w:pPr>
        <w:pStyle w:val="ListParagraph"/>
        <w:numPr>
          <w:ilvl w:val="0"/>
          <w:numId w:val="29"/>
        </w:numPr>
        <w:spacing w:before="60" w:after="60"/>
        <w:rPr>
          <w:rFonts w:asciiTheme="minorHAnsi" w:hAnsiTheme="minorHAnsi" w:cstheme="minorHAnsi"/>
          <w:sz w:val="22"/>
          <w:szCs w:val="22"/>
        </w:rPr>
      </w:pPr>
      <w:proofErr w:type="spellStart"/>
      <w:r w:rsidRPr="006C4C4A">
        <w:rPr>
          <w:rFonts w:asciiTheme="minorHAnsi" w:hAnsiTheme="minorHAnsi" w:cstheme="minorHAnsi"/>
          <w:sz w:val="22"/>
          <w:szCs w:val="22"/>
        </w:rPr>
        <w:t>Emerging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issues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basic</w:t>
      </w:r>
      <w:proofErr w:type="spellEnd"/>
      <w:r w:rsidRPr="006C4C4A">
        <w:rPr>
          <w:rFonts w:asciiTheme="minorHAnsi" w:hAnsiTheme="minorHAnsi" w:cstheme="minorHAnsi"/>
          <w:sz w:val="22"/>
          <w:szCs w:val="22"/>
        </w:rPr>
        <w:t xml:space="preserve"> human </w:t>
      </w:r>
      <w:proofErr w:type="spellStart"/>
      <w:r w:rsidRPr="006C4C4A">
        <w:rPr>
          <w:rFonts w:asciiTheme="minorHAnsi" w:hAnsiTheme="minorHAnsi" w:cstheme="minorHAnsi"/>
          <w:sz w:val="22"/>
          <w:szCs w:val="22"/>
        </w:rPr>
        <w:t>rights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also</w:t>
      </w:r>
      <w:proofErr w:type="spellEnd"/>
      <w:r w:rsidRPr="006C4C4A">
        <w:rPr>
          <w:rFonts w:asciiTheme="minorHAnsi" w:hAnsiTheme="minorHAnsi" w:cstheme="minorHAnsi"/>
          <w:sz w:val="22"/>
          <w:szCs w:val="22"/>
        </w:rPr>
        <w:t xml:space="preserve"> set positive incentives (vs. </w:t>
      </w:r>
      <w:proofErr w:type="spellStart"/>
      <w:r w:rsidRPr="006C4C4A">
        <w:rPr>
          <w:rFonts w:asciiTheme="minorHAnsi" w:hAnsiTheme="minorHAnsi" w:cstheme="minorHAnsi"/>
          <w:sz w:val="22"/>
          <w:szCs w:val="22"/>
        </w:rPr>
        <w:t>exclusion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sanctions</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regard</w:t>
      </w:r>
      <w:proofErr w:type="spellEnd"/>
      <w:r w:rsidRPr="006C4C4A">
        <w:rPr>
          <w:rFonts w:asciiTheme="minorHAnsi" w:hAnsiTheme="minorHAnsi" w:cstheme="minorHAnsi"/>
          <w:sz w:val="22"/>
          <w:szCs w:val="22"/>
        </w:rPr>
        <w:t xml:space="preserve">. </w:t>
      </w:r>
    </w:p>
    <w:p w:rsidR="00DD3007" w:rsidRPr="006C4C4A" w:rsidRDefault="00DD3007" w:rsidP="00DD3007">
      <w:pPr>
        <w:pStyle w:val="ListParagraph"/>
        <w:numPr>
          <w:ilvl w:val="0"/>
          <w:numId w:val="29"/>
        </w:numPr>
        <w:spacing w:before="60" w:after="60"/>
        <w:rPr>
          <w:rFonts w:asciiTheme="minorHAnsi" w:hAnsiTheme="minorHAnsi" w:cstheme="minorHAnsi"/>
          <w:sz w:val="22"/>
          <w:szCs w:val="22"/>
        </w:rPr>
      </w:pPr>
      <w:proofErr w:type="spellStart"/>
      <w:r w:rsidRPr="006C4C4A">
        <w:rPr>
          <w:rFonts w:asciiTheme="minorHAnsi" w:hAnsiTheme="minorHAnsi" w:cstheme="minorHAnsi"/>
          <w:sz w:val="22"/>
          <w:szCs w:val="22"/>
        </w:rPr>
        <w:t>There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was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agreement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rather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than</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specific</w:t>
      </w:r>
      <w:proofErr w:type="spellEnd"/>
      <w:r w:rsidRPr="006C4C4A">
        <w:rPr>
          <w:rFonts w:asciiTheme="minorHAnsi" w:hAnsiTheme="minorHAnsi" w:cstheme="minorHAnsi"/>
          <w:sz w:val="22"/>
          <w:szCs w:val="22"/>
        </w:rPr>
        <w:t xml:space="preserve"> new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human </w:t>
      </w:r>
      <w:proofErr w:type="spellStart"/>
      <w:r w:rsidRPr="006C4C4A">
        <w:rPr>
          <w:rFonts w:asciiTheme="minorHAnsi" w:hAnsiTheme="minorHAnsi" w:cstheme="minorHAnsi"/>
          <w:sz w:val="22"/>
          <w:szCs w:val="22"/>
        </w:rPr>
        <w:t>rights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issues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topic</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relevant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Bank’s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potentially</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addressed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through</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other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e.g</w:t>
      </w:r>
      <w:proofErr w:type="spellEnd"/>
      <w:r w:rsidRPr="006C4C4A">
        <w:rPr>
          <w:rFonts w:asciiTheme="minorHAnsi" w:hAnsiTheme="minorHAnsi" w:cstheme="minorHAnsi"/>
          <w:sz w:val="22"/>
          <w:szCs w:val="22"/>
        </w:rPr>
        <w:t xml:space="preserve">., labor and </w:t>
      </w:r>
      <w:proofErr w:type="spellStart"/>
      <w:r w:rsidRPr="006C4C4A">
        <w:rPr>
          <w:rFonts w:asciiTheme="minorHAnsi" w:hAnsiTheme="minorHAnsi" w:cstheme="minorHAnsi"/>
          <w:sz w:val="22"/>
          <w:szCs w:val="22"/>
        </w:rPr>
        <w:t>occupational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health</w:t>
      </w:r>
      <w:proofErr w:type="spellEnd"/>
      <w:r w:rsidRPr="006C4C4A">
        <w:rPr>
          <w:rFonts w:asciiTheme="minorHAnsi" w:hAnsiTheme="minorHAnsi" w:cstheme="minorHAnsi"/>
          <w:sz w:val="22"/>
          <w:szCs w:val="22"/>
        </w:rPr>
        <w:t xml:space="preserve"> and safety</w:t>
      </w:r>
      <w:r>
        <w:rPr>
          <w:rFonts w:asciiTheme="minorHAnsi" w:hAnsiTheme="minorHAnsi" w:cstheme="minorHAnsi"/>
          <w:sz w:val="22"/>
          <w:szCs w:val="22"/>
        </w:rPr>
        <w:t>.</w:t>
      </w:r>
    </w:p>
    <w:p w:rsidR="00DD3007" w:rsidRPr="006C4C4A" w:rsidRDefault="00DD3007" w:rsidP="00DD3007">
      <w:pPr>
        <w:pStyle w:val="ListParagraph"/>
        <w:numPr>
          <w:ilvl w:val="0"/>
          <w:numId w:val="29"/>
        </w:numPr>
        <w:spacing w:before="60" w:after="60"/>
        <w:rPr>
          <w:rFonts w:asciiTheme="minorHAnsi" w:hAnsiTheme="minorHAnsi" w:cstheme="minorHAnsi"/>
          <w:sz w:val="22"/>
          <w:szCs w:val="22"/>
        </w:rPr>
      </w:pPr>
      <w:proofErr w:type="spellStart"/>
      <w:r w:rsidRPr="006C4C4A">
        <w:rPr>
          <w:rFonts w:asciiTheme="minorHAnsi" w:hAnsiTheme="minorHAnsi" w:cstheme="minorHAnsi"/>
          <w:sz w:val="22"/>
          <w:szCs w:val="22"/>
        </w:rPr>
        <w:t>Given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complex</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linkages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between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climate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change</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development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yield</w:t>
      </w:r>
      <w:proofErr w:type="spellEnd"/>
      <w:r w:rsidRPr="006C4C4A">
        <w:rPr>
          <w:rFonts w:asciiTheme="minorHAnsi" w:hAnsiTheme="minorHAnsi" w:cstheme="minorHAnsi"/>
          <w:sz w:val="22"/>
          <w:szCs w:val="22"/>
        </w:rPr>
        <w:t xml:space="preserve"> tangible and </w:t>
      </w:r>
      <w:proofErr w:type="spellStart"/>
      <w:r w:rsidRPr="006C4C4A">
        <w:rPr>
          <w:rFonts w:asciiTheme="minorHAnsi" w:hAnsiTheme="minorHAnsi" w:cstheme="minorHAnsi"/>
          <w:sz w:val="22"/>
          <w:szCs w:val="22"/>
        </w:rPr>
        <w:t>practical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progress</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area</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climate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change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if</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necessary</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parallel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ahead</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Pr>
          <w:rFonts w:asciiTheme="minorHAnsi" w:hAnsiTheme="minorHAnsi" w:cstheme="minorHAnsi"/>
          <w:sz w:val="22"/>
          <w:szCs w:val="22"/>
        </w:rPr>
        <w:t>United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Nations</w:t>
      </w:r>
      <w:proofErr w:type="spellEnd"/>
      <w:r>
        <w:rPr>
          <w:rFonts w:asciiTheme="minorHAnsi" w:hAnsiTheme="minorHAnsi" w:cstheme="minorHAnsi"/>
          <w:sz w:val="22"/>
          <w:szCs w:val="22"/>
        </w:rPr>
        <w:t xml:space="preserve"> Framework </w:t>
      </w:r>
      <w:proofErr w:type="spellStart"/>
      <w:r>
        <w:rPr>
          <w:rFonts w:asciiTheme="minorHAnsi" w:hAnsiTheme="minorHAnsi" w:cstheme="minorHAnsi"/>
          <w:sz w:val="22"/>
          <w:szCs w:val="22"/>
        </w:rPr>
        <w:t>Convention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Climate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Change</w:t>
      </w:r>
      <w:proofErr w:type="spellEnd"/>
      <w:r>
        <w:rPr>
          <w:rFonts w:asciiTheme="minorHAnsi" w:hAnsiTheme="minorHAnsi" w:cstheme="minorHAnsi"/>
          <w:sz w:val="22"/>
          <w:szCs w:val="22"/>
        </w:rPr>
        <w:t xml:space="preserve"> (</w:t>
      </w:r>
      <w:r w:rsidRPr="00EE2F10">
        <w:rPr>
          <w:rFonts w:asciiTheme="minorHAnsi" w:hAnsiTheme="minorHAnsi" w:cstheme="minorHAnsi"/>
          <w:sz w:val="22"/>
          <w:szCs w:val="22"/>
        </w:rPr>
        <w:t>UNFCCC</w:t>
      </w:r>
      <w:r>
        <w:rPr>
          <w:rFonts w:asciiTheme="minorHAnsi" w:hAnsiTheme="minorHAnsi" w:cstheme="minorHAnsi"/>
          <w:sz w:val="22"/>
          <w:szCs w:val="22"/>
        </w:rPr>
        <w:t>)</w:t>
      </w:r>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process</w:t>
      </w:r>
      <w:proofErr w:type="spellEnd"/>
      <w:r w:rsidRPr="006C4C4A">
        <w:rPr>
          <w:rFonts w:asciiTheme="minorHAnsi" w:hAnsiTheme="minorHAnsi" w:cstheme="minorHAnsi"/>
          <w:sz w:val="22"/>
          <w:szCs w:val="22"/>
        </w:rPr>
        <w:t>.</w:t>
      </w:r>
    </w:p>
    <w:p w:rsidR="00DD3007" w:rsidRDefault="00DD3007" w:rsidP="003A60AD">
      <w:pPr>
        <w:pStyle w:val="ListParagraph"/>
        <w:numPr>
          <w:ilvl w:val="0"/>
          <w:numId w:val="29"/>
        </w:numPr>
        <w:spacing w:before="60" w:after="60"/>
        <w:rPr>
          <w:rFonts w:asciiTheme="minorHAnsi" w:hAnsiTheme="minorHAnsi" w:cstheme="minorHAnsi"/>
          <w:sz w:val="22"/>
          <w:szCs w:val="22"/>
        </w:rPr>
      </w:pPr>
      <w:r w:rsidRPr="006C4C4A">
        <w:rPr>
          <w:rFonts w:asciiTheme="minorHAnsi" w:hAnsiTheme="minorHAnsi" w:cstheme="minorHAnsi"/>
          <w:sz w:val="22"/>
          <w:szCs w:val="22"/>
        </w:rPr>
        <w:t>The Bank is encouraged to consider the following emerging issues: land tenure, management of chemical substances, water stress and scarcity.</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rPr>
      </w:pPr>
    </w:p>
    <w:p w:rsidR="00DD3007" w:rsidRPr="00DD3007" w:rsidRDefault="00DD3007" w:rsidP="00E56554">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szCs w:val="24"/>
        </w:rPr>
      </w:pPr>
      <w:proofErr w:type="gramStart"/>
      <w:r w:rsidRPr="00DD3007">
        <w:rPr>
          <w:rFonts w:asciiTheme="minorHAnsi" w:eastAsia="Batang" w:hAnsiTheme="minorHAnsi" w:cstheme="minorHAnsi"/>
          <w:b/>
          <w:color w:val="17365D" w:themeColor="text2" w:themeShade="BF"/>
          <w:szCs w:val="24"/>
        </w:rPr>
        <w:t>A</w:t>
      </w:r>
      <w:r w:rsidRPr="00DD3007">
        <w:rPr>
          <w:rFonts w:asciiTheme="minorHAnsi" w:hAnsiTheme="minorHAnsi" w:cstheme="minorHAnsi"/>
          <w:b/>
          <w:color w:val="17365D" w:themeColor="text2" w:themeShade="BF"/>
          <w:szCs w:val="24"/>
        </w:rPr>
        <w:t>ny additional comments or suggestions.</w:t>
      </w:r>
      <w:proofErr w:type="gramEnd"/>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rPr>
      </w:pP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r w:rsidRPr="006C4C4A">
        <w:rPr>
          <w:rFonts w:asciiTheme="minorHAnsi" w:hAnsiTheme="minorHAnsi" w:cstheme="minorHAnsi"/>
          <w:sz w:val="22"/>
          <w:szCs w:val="22"/>
        </w:rPr>
        <w:t xml:space="preserve">A final and </w:t>
      </w:r>
      <w:proofErr w:type="spellStart"/>
      <w:r w:rsidRPr="006C4C4A">
        <w:rPr>
          <w:rFonts w:asciiTheme="minorHAnsi" w:hAnsiTheme="minorHAnsi" w:cstheme="minorHAnsi"/>
          <w:sz w:val="22"/>
          <w:szCs w:val="22"/>
        </w:rPr>
        <w:t>agreed</w:t>
      </w:r>
      <w:proofErr w:type="spellEnd"/>
      <w:r w:rsidRPr="006C4C4A">
        <w:rPr>
          <w:rFonts w:asciiTheme="minorHAnsi" w:hAnsiTheme="minorHAnsi" w:cstheme="minorHAnsi"/>
          <w:sz w:val="22"/>
          <w:szCs w:val="22"/>
        </w:rPr>
        <w:t xml:space="preserve"> position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Bank’s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will</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provided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when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draft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available</w:t>
      </w:r>
      <w:proofErr w:type="spellEnd"/>
      <w:r w:rsidRPr="006C4C4A">
        <w:rPr>
          <w:rFonts w:asciiTheme="minorHAnsi" w:hAnsiTheme="minorHAnsi" w:cstheme="minorHAnsi"/>
          <w:sz w:val="22"/>
          <w:szCs w:val="22"/>
        </w:rPr>
        <w:t>.</w:t>
      </w: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proofErr w:type="spellStart"/>
      <w:r w:rsidRPr="006C4C4A">
        <w:rPr>
          <w:rFonts w:asciiTheme="minorHAnsi" w:hAnsiTheme="minorHAnsi" w:cstheme="minorHAnsi"/>
          <w:sz w:val="22"/>
          <w:szCs w:val="22"/>
        </w:rPr>
        <w:t>Expressed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interest</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participating</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second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phase</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consultations</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possibly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hosting</w:t>
      </w:r>
      <w:proofErr w:type="spellEnd"/>
      <w:r w:rsidRPr="006C4C4A">
        <w:rPr>
          <w:rFonts w:asciiTheme="minorHAnsi" w:hAnsiTheme="minorHAnsi" w:cstheme="minorHAnsi"/>
          <w:sz w:val="22"/>
          <w:szCs w:val="22"/>
        </w:rPr>
        <w:t xml:space="preserve"> a regional </w:t>
      </w:r>
      <w:proofErr w:type="spellStart"/>
      <w:r w:rsidRPr="006C4C4A">
        <w:rPr>
          <w:rFonts w:asciiTheme="minorHAnsi" w:hAnsiTheme="minorHAnsi" w:cstheme="minorHAnsi"/>
          <w:sz w:val="22"/>
          <w:szCs w:val="22"/>
        </w:rPr>
        <w:t>consultation</w:t>
      </w:r>
      <w:proofErr w:type="spellEnd"/>
      <w:r w:rsidRPr="006C4C4A">
        <w:rPr>
          <w:rFonts w:asciiTheme="minorHAnsi" w:hAnsiTheme="minorHAnsi" w:cstheme="minorHAnsi"/>
          <w:sz w:val="22"/>
          <w:szCs w:val="22"/>
        </w:rPr>
        <w:t xml:space="preserve"> meeting.</w:t>
      </w: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r w:rsidRPr="006C4C4A">
        <w:rPr>
          <w:rFonts w:asciiTheme="minorHAnsi" w:hAnsiTheme="minorHAnsi" w:cstheme="minorHAnsi"/>
          <w:sz w:val="22"/>
          <w:szCs w:val="22"/>
        </w:rPr>
        <w:t xml:space="preserve">Idea </w:t>
      </w:r>
      <w:proofErr w:type="spellStart"/>
      <w:r w:rsidRPr="006C4C4A">
        <w:rPr>
          <w:rFonts w:asciiTheme="minorHAnsi" w:hAnsiTheme="minorHAnsi" w:cstheme="minorHAnsi"/>
          <w:sz w:val="22"/>
          <w:szCs w:val="22"/>
        </w:rPr>
        <w:t>was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raised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good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exercise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retrofit</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few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with</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new </w:t>
      </w:r>
      <w:proofErr w:type="spellStart"/>
      <w:r w:rsidRPr="006C4C4A">
        <w:rPr>
          <w:rFonts w:asciiTheme="minorHAnsi" w:hAnsiTheme="minorHAnsi" w:cstheme="minorHAnsi"/>
          <w:sz w:val="22"/>
          <w:szCs w:val="22"/>
        </w:rPr>
        <w:t>safeguards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 xml:space="preserve"> as a final </w:t>
      </w:r>
      <w:proofErr w:type="spellStart"/>
      <w:r w:rsidRPr="006C4C4A">
        <w:rPr>
          <w:rFonts w:asciiTheme="minorHAnsi" w:hAnsiTheme="minorHAnsi" w:cstheme="minorHAnsi"/>
          <w:sz w:val="22"/>
          <w:szCs w:val="22"/>
        </w:rPr>
        <w:t>step</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new </w:t>
      </w:r>
      <w:proofErr w:type="spellStart"/>
      <w:r w:rsidRPr="006C4C4A">
        <w:rPr>
          <w:rFonts w:asciiTheme="minorHAnsi" w:hAnsiTheme="minorHAnsi" w:cstheme="minorHAnsi"/>
          <w:sz w:val="22"/>
          <w:szCs w:val="22"/>
        </w:rPr>
        <w:t>draft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applied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sample</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existing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see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how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design</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implementation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have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been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affected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updated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w:t>
      </w: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proofErr w:type="spellStart"/>
      <w:r w:rsidRPr="006C4C4A">
        <w:rPr>
          <w:rFonts w:asciiTheme="minorHAnsi" w:hAnsiTheme="minorHAnsi" w:cstheme="minorHAnsi"/>
          <w:sz w:val="22"/>
          <w:szCs w:val="22"/>
        </w:rPr>
        <w:t>Switzerland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supports</w:t>
      </w:r>
      <w:proofErr w:type="spellEnd"/>
      <w:r w:rsidRPr="006C4C4A">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w:t>
      </w:r>
      <w:r>
        <w:rPr>
          <w:rFonts w:asciiTheme="minorHAnsi" w:hAnsiTheme="minorHAnsi" w:cstheme="minorHAnsi"/>
          <w:sz w:val="22"/>
          <w:szCs w:val="22"/>
        </w:rPr>
        <w:t>ndependent</w:t>
      </w:r>
      <w:proofErr w:type="spellEnd"/>
      <w:r>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w:t>
      </w:r>
      <w:r>
        <w:rPr>
          <w:rFonts w:asciiTheme="minorHAnsi" w:hAnsiTheme="minorHAnsi" w:cstheme="minorHAnsi"/>
          <w:sz w:val="22"/>
          <w:szCs w:val="22"/>
        </w:rPr>
        <w:t>valuation</w:t>
      </w:r>
      <w:proofErr w:type="spellEnd"/>
      <w:r>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G</w:t>
      </w:r>
      <w:r>
        <w:rPr>
          <w:rFonts w:asciiTheme="minorHAnsi" w:hAnsiTheme="minorHAnsi" w:cstheme="minorHAnsi"/>
          <w:sz w:val="22"/>
          <w:szCs w:val="22"/>
        </w:rPr>
        <w:t>roup</w:t>
      </w:r>
      <w:r w:rsidRPr="006C4C4A">
        <w:rPr>
          <w:rFonts w:asciiTheme="minorHAnsi" w:hAnsiTheme="minorHAnsi" w:cstheme="minorHAnsi"/>
          <w:sz w:val="22"/>
          <w:szCs w:val="22"/>
        </w:rPr>
        <w: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evaluation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Bank’s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ESPs</w:t>
      </w:r>
      <w:proofErr w:type="spellEnd"/>
      <w:r w:rsidRPr="006C4C4A">
        <w:rPr>
          <w:rFonts w:asciiTheme="minorHAnsi" w:hAnsiTheme="minorHAnsi" w:cstheme="minorHAnsi"/>
          <w:sz w:val="22"/>
          <w:szCs w:val="22"/>
        </w:rPr>
        <w:t xml:space="preserve">. In particular, </w:t>
      </w:r>
      <w:proofErr w:type="spellStart"/>
      <w:r w:rsidRPr="006C4C4A">
        <w:rPr>
          <w:rFonts w:asciiTheme="minorHAnsi" w:hAnsiTheme="minorHAnsi" w:cstheme="minorHAnsi"/>
          <w:sz w:val="22"/>
          <w:szCs w:val="22"/>
        </w:rPr>
        <w:t>we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consider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following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elements</w:t>
      </w:r>
      <w:proofErr w:type="spellEnd"/>
      <w:r w:rsidRPr="006C4C4A">
        <w:rPr>
          <w:rFonts w:asciiTheme="minorHAnsi" w:hAnsiTheme="minorHAnsi" w:cstheme="minorHAnsi"/>
          <w:sz w:val="22"/>
          <w:szCs w:val="22"/>
        </w:rPr>
        <w:t xml:space="preserve"> are vital </w:t>
      </w:r>
      <w:proofErr w:type="spellStart"/>
      <w:r w:rsidRPr="006C4C4A">
        <w:rPr>
          <w:rFonts w:asciiTheme="minorHAnsi" w:hAnsiTheme="minorHAnsi" w:cstheme="minorHAnsi"/>
          <w:sz w:val="22"/>
          <w:szCs w:val="22"/>
        </w:rPr>
        <w:t>for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proofErr w:type="spellStart"/>
      <w:r w:rsidRPr="006C4C4A">
        <w:rPr>
          <w:rFonts w:asciiTheme="minorHAnsi" w:hAnsiTheme="minorHAnsi" w:cstheme="minorHAnsi"/>
          <w:sz w:val="22"/>
          <w:szCs w:val="22"/>
        </w:rPr>
        <w:t>Investment</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clients</w:t>
      </w:r>
      <w:proofErr w:type="spellEnd"/>
      <w:r w:rsidRPr="006C4C4A">
        <w:rPr>
          <w:rFonts w:asciiTheme="minorHAnsi" w:hAnsiTheme="minorHAnsi" w:cstheme="minorHAnsi"/>
          <w:sz w:val="22"/>
          <w:szCs w:val="22"/>
        </w:rPr>
        <w:t xml:space="preserve">’ social and </w:t>
      </w:r>
      <w:proofErr w:type="spellStart"/>
      <w:r w:rsidRPr="006C4C4A">
        <w:rPr>
          <w:rFonts w:asciiTheme="minorHAnsi" w:hAnsiTheme="minorHAnsi" w:cstheme="minorHAnsi"/>
          <w:sz w:val="22"/>
          <w:szCs w:val="22"/>
        </w:rPr>
        <w:t>environmental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management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during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preparation</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implementation</w:t>
      </w:r>
      <w:proofErr w:type="spellEnd"/>
      <w:r w:rsidRPr="006C4C4A">
        <w:rPr>
          <w:rFonts w:asciiTheme="minorHAnsi" w:hAnsiTheme="minorHAnsi" w:cstheme="minorHAnsi"/>
          <w:sz w:val="22"/>
          <w:szCs w:val="22"/>
        </w:rPr>
        <w:t xml:space="preserve">; </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proofErr w:type="spellStart"/>
      <w:r w:rsidRPr="006C4C4A">
        <w:rPr>
          <w:rFonts w:asciiTheme="minorHAnsi" w:hAnsiTheme="minorHAnsi" w:cstheme="minorHAnsi"/>
          <w:sz w:val="22"/>
          <w:szCs w:val="22"/>
        </w:rPr>
        <w:t>Integration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adequate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environmental</w:t>
      </w:r>
      <w:proofErr w:type="spellEnd"/>
      <w:r w:rsidRPr="006C4C4A">
        <w:rPr>
          <w:rFonts w:asciiTheme="minorHAnsi" w:hAnsiTheme="minorHAnsi" w:cstheme="minorHAnsi"/>
          <w:sz w:val="22"/>
          <w:szCs w:val="22"/>
        </w:rPr>
        <w:t xml:space="preserve"> and social performance </w:t>
      </w:r>
      <w:proofErr w:type="spellStart"/>
      <w:r w:rsidRPr="006C4C4A">
        <w:rPr>
          <w:rFonts w:asciiTheme="minorHAnsi" w:hAnsiTheme="minorHAnsi" w:cstheme="minorHAnsi"/>
          <w:sz w:val="22"/>
          <w:szCs w:val="22"/>
        </w:rPr>
        <w:t>indicators</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results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proofErr w:type="spellStart"/>
      <w:r w:rsidRPr="006C4C4A">
        <w:rPr>
          <w:rFonts w:asciiTheme="minorHAnsi" w:hAnsiTheme="minorHAnsi" w:cstheme="minorHAnsi"/>
          <w:sz w:val="22"/>
          <w:szCs w:val="22"/>
        </w:rPr>
        <w:t>Effective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instruments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monitoring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client</w:t>
      </w:r>
      <w:proofErr w:type="spellEnd"/>
      <w:r w:rsidRPr="006C4C4A">
        <w:rPr>
          <w:rFonts w:asciiTheme="minorHAnsi" w:hAnsiTheme="minorHAnsi" w:cstheme="minorHAnsi"/>
          <w:sz w:val="22"/>
          <w:szCs w:val="22"/>
        </w:rPr>
        <w:t xml:space="preserve">; and </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r w:rsidRPr="006C4C4A">
        <w:rPr>
          <w:rFonts w:asciiTheme="minorHAnsi" w:hAnsiTheme="minorHAnsi" w:cstheme="minorHAnsi"/>
          <w:sz w:val="22"/>
          <w:szCs w:val="22"/>
        </w:rPr>
        <w:t xml:space="preserve">Regular </w:t>
      </w:r>
      <w:proofErr w:type="spellStart"/>
      <w:r w:rsidRPr="006C4C4A">
        <w:rPr>
          <w:rFonts w:asciiTheme="minorHAnsi" w:hAnsiTheme="minorHAnsi" w:cstheme="minorHAnsi"/>
          <w:sz w:val="22"/>
          <w:szCs w:val="22"/>
        </w:rPr>
        <w:t>supervision</w:t>
      </w:r>
      <w:proofErr w:type="spellEnd"/>
      <w:r w:rsidRPr="006C4C4A">
        <w:rPr>
          <w:rFonts w:asciiTheme="minorHAnsi" w:hAnsiTheme="minorHAnsi" w:cstheme="minorHAnsi"/>
          <w:sz w:val="22"/>
          <w:szCs w:val="22"/>
        </w:rPr>
        <w:t xml:space="preserve">, performance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verification</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disclosure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Bank and </w:t>
      </w:r>
      <w:proofErr w:type="spellStart"/>
      <w:r w:rsidRPr="006C4C4A">
        <w:rPr>
          <w:rFonts w:asciiTheme="minorHAnsi" w:hAnsiTheme="minorHAnsi" w:cstheme="minorHAnsi"/>
          <w:sz w:val="22"/>
          <w:szCs w:val="22"/>
        </w:rPr>
        <w:t>an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independent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monitoring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body</w:t>
      </w:r>
      <w:proofErr w:type="spellEnd"/>
      <w:r w:rsidRPr="006C4C4A">
        <w:rPr>
          <w:rFonts w:asciiTheme="minorHAnsi" w:hAnsiTheme="minorHAnsi" w:cstheme="minorHAnsi"/>
          <w:sz w:val="22"/>
          <w:szCs w:val="22"/>
        </w:rPr>
        <w:t xml:space="preserve"> at country </w:t>
      </w:r>
      <w:proofErr w:type="spellStart"/>
      <w:r w:rsidRPr="006C4C4A">
        <w:rPr>
          <w:rFonts w:asciiTheme="minorHAnsi" w:hAnsiTheme="minorHAnsi" w:cstheme="minorHAnsi"/>
          <w:sz w:val="22"/>
          <w:szCs w:val="22"/>
        </w:rPr>
        <w:t>level</w:t>
      </w:r>
      <w:proofErr w:type="spellEnd"/>
      <w:r w:rsidRPr="006C4C4A">
        <w:rPr>
          <w:rFonts w:asciiTheme="minorHAnsi" w:hAnsiTheme="minorHAnsi" w:cstheme="minorHAnsi"/>
          <w:sz w:val="22"/>
          <w:szCs w:val="22"/>
        </w:rPr>
        <w:t>.</w:t>
      </w:r>
    </w:p>
    <w:p w:rsidR="00DD3007" w:rsidRDefault="00DD3007" w:rsidP="003A60AD">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r w:rsidRPr="006C4C4A">
        <w:rPr>
          <w:rFonts w:asciiTheme="minorHAnsi" w:hAnsiTheme="minorHAnsi" w:cstheme="minorHAnsi"/>
          <w:sz w:val="22"/>
          <w:szCs w:val="22"/>
        </w:rPr>
        <w:t>Aware that the safeguard</w:t>
      </w:r>
      <w:r>
        <w:rPr>
          <w:rFonts w:asciiTheme="minorHAnsi" w:hAnsiTheme="minorHAnsi" w:cstheme="minorHAnsi"/>
          <w:sz w:val="22"/>
          <w:szCs w:val="22"/>
        </w:rPr>
        <w:t>s</w:t>
      </w:r>
      <w:r w:rsidRPr="006C4C4A">
        <w:rPr>
          <w:rFonts w:asciiTheme="minorHAnsi" w:hAnsiTheme="minorHAnsi" w:cstheme="minorHAnsi"/>
          <w:sz w:val="22"/>
          <w:szCs w:val="22"/>
        </w:rPr>
        <w:t xml:space="preserve"> review cannot be a substitute for a lack of </w:t>
      </w:r>
      <w:r>
        <w:rPr>
          <w:rFonts w:asciiTheme="minorHAnsi" w:hAnsiTheme="minorHAnsi" w:cstheme="minorHAnsi"/>
          <w:sz w:val="22"/>
          <w:szCs w:val="22"/>
        </w:rPr>
        <w:t>B</w:t>
      </w:r>
      <w:r w:rsidRPr="006C4C4A">
        <w:rPr>
          <w:rFonts w:asciiTheme="minorHAnsi" w:hAnsiTheme="minorHAnsi" w:cstheme="minorHAnsi"/>
          <w:sz w:val="22"/>
          <w:szCs w:val="22"/>
        </w:rPr>
        <w:t>ank policies in social and environmental domains.</w:t>
      </w:r>
    </w:p>
    <w:p w:rsidR="00DD3007" w:rsidRPr="006E0806"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b/>
          <w:szCs w:val="24"/>
          <w:lang w:val="en-US"/>
        </w:rPr>
      </w:pPr>
    </w:p>
    <w:p w:rsidR="0041268A" w:rsidRPr="006C4C4A" w:rsidRDefault="0041268A" w:rsidP="00E83950">
      <w:pPr>
        <w:rPr>
          <w:rFonts w:asciiTheme="minorHAnsi" w:hAnsiTheme="minorHAnsi"/>
          <w:b/>
          <w:sz w:val="22"/>
          <w:szCs w:val="22"/>
        </w:rPr>
      </w:pPr>
    </w:p>
    <w:sectPr w:rsidR="0041268A" w:rsidRPr="006C4C4A" w:rsidSect="00E56554">
      <w:headerReference w:type="default" r:id="rId13"/>
      <w:footerReference w:type="even" r:id="rId14"/>
      <w:footerReference w:type="default" r:id="rId15"/>
      <w:pgSz w:w="12240" w:h="15840"/>
      <w:pgMar w:top="1134" w:right="1170" w:bottom="990" w:left="990" w:header="720" w:footer="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D9" w:rsidRDefault="000606D9">
      <w:pPr>
        <w:spacing w:after="0" w:line="240" w:lineRule="auto"/>
      </w:pPr>
      <w:r>
        <w:separator/>
      </w:r>
    </w:p>
  </w:endnote>
  <w:endnote w:type="continuationSeparator" w:id="0">
    <w:p w:rsidR="000606D9" w:rsidRDefault="0006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59" w:rsidRDefault="007C56AF">
    <w:pPr>
      <w:pStyle w:val="Footer"/>
    </w:pPr>
    <w:r>
      <w:fldChar w:fldCharType="begin"/>
    </w:r>
    <w:r w:rsidR="00CE21B4">
      <w:instrText xml:space="preserve"> PAGE </w:instrText>
    </w:r>
    <w:r>
      <w:fldChar w:fldCharType="separate"/>
    </w:r>
    <w:r w:rsidR="00D43659">
      <w:rPr>
        <w:noProof/>
      </w:rPr>
      <w:t>4</w:t>
    </w:r>
    <w:r>
      <w:rPr>
        <w:noProof/>
      </w:rPr>
      <w:fldChar w:fldCharType="end"/>
    </w:r>
  </w:p>
  <w:p w:rsidR="00D43659" w:rsidRDefault="00D43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82617"/>
      <w:docPartObj>
        <w:docPartGallery w:val="Page Numbers (Bottom of Page)"/>
        <w:docPartUnique/>
      </w:docPartObj>
    </w:sdtPr>
    <w:sdtEndPr>
      <w:rPr>
        <w:noProof/>
        <w:sz w:val="18"/>
        <w:szCs w:val="18"/>
      </w:rPr>
    </w:sdtEndPr>
    <w:sdtContent>
      <w:p w:rsidR="006C4C4A" w:rsidRPr="006C4C4A" w:rsidRDefault="007C56AF">
        <w:pPr>
          <w:pStyle w:val="Footer"/>
          <w:jc w:val="right"/>
          <w:rPr>
            <w:sz w:val="18"/>
            <w:szCs w:val="18"/>
          </w:rPr>
        </w:pPr>
        <w:r w:rsidRPr="006C4C4A">
          <w:rPr>
            <w:sz w:val="18"/>
            <w:szCs w:val="18"/>
          </w:rPr>
          <w:fldChar w:fldCharType="begin"/>
        </w:r>
        <w:r w:rsidR="006C4C4A" w:rsidRPr="006C4C4A">
          <w:rPr>
            <w:sz w:val="18"/>
            <w:szCs w:val="18"/>
          </w:rPr>
          <w:instrText xml:space="preserve"> PAGE   \* MERGEFORMAT </w:instrText>
        </w:r>
        <w:r w:rsidRPr="006C4C4A">
          <w:rPr>
            <w:sz w:val="18"/>
            <w:szCs w:val="18"/>
          </w:rPr>
          <w:fldChar w:fldCharType="separate"/>
        </w:r>
        <w:r w:rsidR="00D136A4">
          <w:rPr>
            <w:noProof/>
            <w:sz w:val="18"/>
            <w:szCs w:val="18"/>
          </w:rPr>
          <w:t>1</w:t>
        </w:r>
        <w:r w:rsidRPr="006C4C4A">
          <w:rPr>
            <w:noProof/>
            <w:sz w:val="18"/>
            <w:szCs w:val="18"/>
          </w:rPr>
          <w:fldChar w:fldCharType="end"/>
        </w:r>
      </w:p>
    </w:sdtContent>
  </w:sdt>
  <w:p w:rsidR="00D43659" w:rsidRDefault="00D43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D9" w:rsidRDefault="000606D9">
      <w:pPr>
        <w:spacing w:after="0" w:line="240" w:lineRule="auto"/>
      </w:pPr>
      <w:r>
        <w:separator/>
      </w:r>
    </w:p>
  </w:footnote>
  <w:footnote w:type="continuationSeparator" w:id="0">
    <w:p w:rsidR="000606D9" w:rsidRDefault="0006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59" w:rsidRDefault="00D43659">
    <w:pPr>
      <w:pStyle w:val="Header"/>
      <w:rPr>
        <w:sz w:val="18"/>
        <w:szCs w:val="18"/>
      </w:rPr>
    </w:pPr>
  </w:p>
  <w:p w:rsidR="00D43659" w:rsidRPr="00ED2123" w:rsidRDefault="00D4365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76AC"/>
    <w:multiLevelType w:val="hybridMultilevel"/>
    <w:tmpl w:val="EECCAA4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60218"/>
    <w:multiLevelType w:val="hybridMultilevel"/>
    <w:tmpl w:val="E746F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EF0698"/>
    <w:multiLevelType w:val="hybridMultilevel"/>
    <w:tmpl w:val="334659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3"/>
  </w:num>
  <w:num w:numId="2">
    <w:abstractNumId w:val="21"/>
  </w:num>
  <w:num w:numId="3">
    <w:abstractNumId w:val="30"/>
  </w:num>
  <w:num w:numId="4">
    <w:abstractNumId w:val="22"/>
  </w:num>
  <w:num w:numId="5">
    <w:abstractNumId w:val="19"/>
  </w:num>
  <w:num w:numId="6">
    <w:abstractNumId w:val="27"/>
  </w:num>
  <w:num w:numId="7">
    <w:abstractNumId w:val="31"/>
  </w:num>
  <w:num w:numId="8">
    <w:abstractNumId w:val="32"/>
  </w:num>
  <w:num w:numId="9">
    <w:abstractNumId w:val="29"/>
  </w:num>
  <w:num w:numId="10">
    <w:abstractNumId w:val="10"/>
  </w:num>
  <w:num w:numId="11">
    <w:abstractNumId w:val="1"/>
  </w:num>
  <w:num w:numId="12">
    <w:abstractNumId w:val="8"/>
  </w:num>
  <w:num w:numId="13">
    <w:abstractNumId w:val="6"/>
  </w:num>
  <w:num w:numId="14">
    <w:abstractNumId w:val="4"/>
  </w:num>
  <w:num w:numId="15">
    <w:abstractNumId w:val="25"/>
  </w:num>
  <w:num w:numId="16">
    <w:abstractNumId w:val="3"/>
  </w:num>
  <w:num w:numId="17">
    <w:abstractNumId w:val="26"/>
  </w:num>
  <w:num w:numId="18">
    <w:abstractNumId w:val="7"/>
  </w:num>
  <w:num w:numId="19">
    <w:abstractNumId w:val="15"/>
  </w:num>
  <w:num w:numId="20">
    <w:abstractNumId w:val="5"/>
  </w:num>
  <w:num w:numId="21">
    <w:abstractNumId w:val="9"/>
  </w:num>
  <w:num w:numId="22">
    <w:abstractNumId w:val="18"/>
  </w:num>
  <w:num w:numId="23">
    <w:abstractNumId w:val="28"/>
  </w:num>
  <w:num w:numId="24">
    <w:abstractNumId w:val="24"/>
  </w:num>
  <w:num w:numId="25">
    <w:abstractNumId w:val="11"/>
  </w:num>
  <w:num w:numId="26">
    <w:abstractNumId w:val="20"/>
  </w:num>
  <w:num w:numId="27">
    <w:abstractNumId w:val="12"/>
  </w:num>
  <w:num w:numId="28">
    <w:abstractNumId w:val="16"/>
  </w:num>
  <w:num w:numId="29">
    <w:abstractNumId w:val="14"/>
  </w:num>
  <w:num w:numId="30">
    <w:abstractNumId w:val="17"/>
  </w:num>
  <w:num w:numId="31">
    <w:abstractNumId w:val="2"/>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225BA"/>
    <w:rsid w:val="0002336F"/>
    <w:rsid w:val="00024DD6"/>
    <w:rsid w:val="00026C80"/>
    <w:rsid w:val="00030C2C"/>
    <w:rsid w:val="00032054"/>
    <w:rsid w:val="000328E3"/>
    <w:rsid w:val="0003575B"/>
    <w:rsid w:val="0003735C"/>
    <w:rsid w:val="00037CDC"/>
    <w:rsid w:val="00037D98"/>
    <w:rsid w:val="00042252"/>
    <w:rsid w:val="000423C3"/>
    <w:rsid w:val="00050278"/>
    <w:rsid w:val="00052126"/>
    <w:rsid w:val="00052A60"/>
    <w:rsid w:val="000568E5"/>
    <w:rsid w:val="000606D9"/>
    <w:rsid w:val="000615B0"/>
    <w:rsid w:val="000701AB"/>
    <w:rsid w:val="000744EF"/>
    <w:rsid w:val="00081AF6"/>
    <w:rsid w:val="00083CB4"/>
    <w:rsid w:val="00092809"/>
    <w:rsid w:val="00093B2C"/>
    <w:rsid w:val="00097805"/>
    <w:rsid w:val="000A1804"/>
    <w:rsid w:val="000A4935"/>
    <w:rsid w:val="000A6D16"/>
    <w:rsid w:val="000A7F3E"/>
    <w:rsid w:val="000B2DE8"/>
    <w:rsid w:val="000B3468"/>
    <w:rsid w:val="000C05A5"/>
    <w:rsid w:val="000C228B"/>
    <w:rsid w:val="000C51A0"/>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12D59"/>
    <w:rsid w:val="001154B1"/>
    <w:rsid w:val="00116045"/>
    <w:rsid w:val="0011666B"/>
    <w:rsid w:val="0012738A"/>
    <w:rsid w:val="0013530E"/>
    <w:rsid w:val="0014341F"/>
    <w:rsid w:val="00143686"/>
    <w:rsid w:val="00144343"/>
    <w:rsid w:val="001453DE"/>
    <w:rsid w:val="001467E0"/>
    <w:rsid w:val="00151EB9"/>
    <w:rsid w:val="0015696B"/>
    <w:rsid w:val="001603D5"/>
    <w:rsid w:val="00165F5F"/>
    <w:rsid w:val="00166F32"/>
    <w:rsid w:val="00170112"/>
    <w:rsid w:val="0017095E"/>
    <w:rsid w:val="00172D90"/>
    <w:rsid w:val="001737D3"/>
    <w:rsid w:val="00173A55"/>
    <w:rsid w:val="00173E2F"/>
    <w:rsid w:val="0017439C"/>
    <w:rsid w:val="00174746"/>
    <w:rsid w:val="00180399"/>
    <w:rsid w:val="00185589"/>
    <w:rsid w:val="0018566C"/>
    <w:rsid w:val="001958FD"/>
    <w:rsid w:val="00195AA9"/>
    <w:rsid w:val="00196734"/>
    <w:rsid w:val="001969FB"/>
    <w:rsid w:val="001A131C"/>
    <w:rsid w:val="001A7BD2"/>
    <w:rsid w:val="001B3819"/>
    <w:rsid w:val="001B3D64"/>
    <w:rsid w:val="001B5FD2"/>
    <w:rsid w:val="001B6254"/>
    <w:rsid w:val="001C0DF8"/>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4D07"/>
    <w:rsid w:val="00236099"/>
    <w:rsid w:val="0023669B"/>
    <w:rsid w:val="0024205F"/>
    <w:rsid w:val="002473AB"/>
    <w:rsid w:val="00254D31"/>
    <w:rsid w:val="00255132"/>
    <w:rsid w:val="002648AA"/>
    <w:rsid w:val="002659D6"/>
    <w:rsid w:val="002705F9"/>
    <w:rsid w:val="002717AA"/>
    <w:rsid w:val="0027488F"/>
    <w:rsid w:val="002801FD"/>
    <w:rsid w:val="00283919"/>
    <w:rsid w:val="00292E6E"/>
    <w:rsid w:val="00295A21"/>
    <w:rsid w:val="002A53A4"/>
    <w:rsid w:val="002A5680"/>
    <w:rsid w:val="002A673A"/>
    <w:rsid w:val="002A6B80"/>
    <w:rsid w:val="002A7906"/>
    <w:rsid w:val="002B67F6"/>
    <w:rsid w:val="002C02C4"/>
    <w:rsid w:val="002C1A68"/>
    <w:rsid w:val="002C26F1"/>
    <w:rsid w:val="002D786E"/>
    <w:rsid w:val="002E1692"/>
    <w:rsid w:val="002E3DC8"/>
    <w:rsid w:val="002E7551"/>
    <w:rsid w:val="002E7FA4"/>
    <w:rsid w:val="002F017A"/>
    <w:rsid w:val="002F0F6D"/>
    <w:rsid w:val="002F156A"/>
    <w:rsid w:val="002F5B95"/>
    <w:rsid w:val="0030042C"/>
    <w:rsid w:val="00302968"/>
    <w:rsid w:val="00306114"/>
    <w:rsid w:val="00306208"/>
    <w:rsid w:val="00307B5D"/>
    <w:rsid w:val="00311CAC"/>
    <w:rsid w:val="0031223D"/>
    <w:rsid w:val="00312459"/>
    <w:rsid w:val="00312956"/>
    <w:rsid w:val="0031379B"/>
    <w:rsid w:val="00314A09"/>
    <w:rsid w:val="0031691C"/>
    <w:rsid w:val="00320395"/>
    <w:rsid w:val="00320F96"/>
    <w:rsid w:val="00323CE8"/>
    <w:rsid w:val="00327933"/>
    <w:rsid w:val="00337BD2"/>
    <w:rsid w:val="003402AA"/>
    <w:rsid w:val="00344222"/>
    <w:rsid w:val="00345D6C"/>
    <w:rsid w:val="003507ED"/>
    <w:rsid w:val="00353D85"/>
    <w:rsid w:val="00353E83"/>
    <w:rsid w:val="00354731"/>
    <w:rsid w:val="003559C0"/>
    <w:rsid w:val="0035744E"/>
    <w:rsid w:val="00361A5B"/>
    <w:rsid w:val="0036461E"/>
    <w:rsid w:val="00364E14"/>
    <w:rsid w:val="00367E63"/>
    <w:rsid w:val="00372BAA"/>
    <w:rsid w:val="00372DD7"/>
    <w:rsid w:val="003739E9"/>
    <w:rsid w:val="00374FDF"/>
    <w:rsid w:val="003811B9"/>
    <w:rsid w:val="00386344"/>
    <w:rsid w:val="00387008"/>
    <w:rsid w:val="0039156C"/>
    <w:rsid w:val="003918B3"/>
    <w:rsid w:val="00391E63"/>
    <w:rsid w:val="003942AC"/>
    <w:rsid w:val="00394329"/>
    <w:rsid w:val="00394346"/>
    <w:rsid w:val="003965C7"/>
    <w:rsid w:val="003A366A"/>
    <w:rsid w:val="003A60AD"/>
    <w:rsid w:val="003B013D"/>
    <w:rsid w:val="003B06D5"/>
    <w:rsid w:val="003B0983"/>
    <w:rsid w:val="003B14C5"/>
    <w:rsid w:val="003B34CF"/>
    <w:rsid w:val="003C798A"/>
    <w:rsid w:val="003D1475"/>
    <w:rsid w:val="003D1587"/>
    <w:rsid w:val="003D4776"/>
    <w:rsid w:val="003D5011"/>
    <w:rsid w:val="003D686C"/>
    <w:rsid w:val="003E1AAE"/>
    <w:rsid w:val="003E2779"/>
    <w:rsid w:val="003E32AF"/>
    <w:rsid w:val="003F2F60"/>
    <w:rsid w:val="003F309E"/>
    <w:rsid w:val="0040761E"/>
    <w:rsid w:val="0041268A"/>
    <w:rsid w:val="00416EDE"/>
    <w:rsid w:val="00424C82"/>
    <w:rsid w:val="00426B51"/>
    <w:rsid w:val="00431D5F"/>
    <w:rsid w:val="00435AA9"/>
    <w:rsid w:val="00436033"/>
    <w:rsid w:val="00442D97"/>
    <w:rsid w:val="00443EEF"/>
    <w:rsid w:val="00444B5E"/>
    <w:rsid w:val="00446D15"/>
    <w:rsid w:val="00457F6D"/>
    <w:rsid w:val="0046032B"/>
    <w:rsid w:val="004604F5"/>
    <w:rsid w:val="00466CE3"/>
    <w:rsid w:val="0047305D"/>
    <w:rsid w:val="00473315"/>
    <w:rsid w:val="00474F9B"/>
    <w:rsid w:val="00481ACF"/>
    <w:rsid w:val="004917DE"/>
    <w:rsid w:val="00491A35"/>
    <w:rsid w:val="00491D90"/>
    <w:rsid w:val="0049389F"/>
    <w:rsid w:val="00496A4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CBA"/>
    <w:rsid w:val="004D668A"/>
    <w:rsid w:val="004D6875"/>
    <w:rsid w:val="004D68F9"/>
    <w:rsid w:val="004E0C56"/>
    <w:rsid w:val="004E61B9"/>
    <w:rsid w:val="004F2672"/>
    <w:rsid w:val="004F3586"/>
    <w:rsid w:val="004F4615"/>
    <w:rsid w:val="004F551D"/>
    <w:rsid w:val="004F5D6B"/>
    <w:rsid w:val="004F78BE"/>
    <w:rsid w:val="00503AC3"/>
    <w:rsid w:val="005065C7"/>
    <w:rsid w:val="00507646"/>
    <w:rsid w:val="00517A78"/>
    <w:rsid w:val="00521046"/>
    <w:rsid w:val="005214D1"/>
    <w:rsid w:val="005409E3"/>
    <w:rsid w:val="005420E0"/>
    <w:rsid w:val="00542D82"/>
    <w:rsid w:val="00551E85"/>
    <w:rsid w:val="00555A56"/>
    <w:rsid w:val="00560F42"/>
    <w:rsid w:val="00561582"/>
    <w:rsid w:val="00562369"/>
    <w:rsid w:val="00566924"/>
    <w:rsid w:val="00567698"/>
    <w:rsid w:val="005703C8"/>
    <w:rsid w:val="0057243A"/>
    <w:rsid w:val="00574316"/>
    <w:rsid w:val="0057765C"/>
    <w:rsid w:val="00580742"/>
    <w:rsid w:val="00581F5B"/>
    <w:rsid w:val="00582C42"/>
    <w:rsid w:val="00590F1D"/>
    <w:rsid w:val="005926E0"/>
    <w:rsid w:val="00592B56"/>
    <w:rsid w:val="005941F6"/>
    <w:rsid w:val="00594D12"/>
    <w:rsid w:val="00595239"/>
    <w:rsid w:val="005A323D"/>
    <w:rsid w:val="005B586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12154"/>
    <w:rsid w:val="00614E58"/>
    <w:rsid w:val="006211B9"/>
    <w:rsid w:val="0062765B"/>
    <w:rsid w:val="00627EC8"/>
    <w:rsid w:val="00633799"/>
    <w:rsid w:val="006379D5"/>
    <w:rsid w:val="00647055"/>
    <w:rsid w:val="0064715C"/>
    <w:rsid w:val="006522E7"/>
    <w:rsid w:val="006657CD"/>
    <w:rsid w:val="00665A65"/>
    <w:rsid w:val="00665F7F"/>
    <w:rsid w:val="0067308A"/>
    <w:rsid w:val="00674EEA"/>
    <w:rsid w:val="00676077"/>
    <w:rsid w:val="00676792"/>
    <w:rsid w:val="00677147"/>
    <w:rsid w:val="006810E8"/>
    <w:rsid w:val="006846AC"/>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4C4A"/>
    <w:rsid w:val="006C50F0"/>
    <w:rsid w:val="006D4EB1"/>
    <w:rsid w:val="006D5D8B"/>
    <w:rsid w:val="006D7F10"/>
    <w:rsid w:val="006E0806"/>
    <w:rsid w:val="006E4401"/>
    <w:rsid w:val="006E68C8"/>
    <w:rsid w:val="006E698B"/>
    <w:rsid w:val="006F5B2A"/>
    <w:rsid w:val="006F7CE9"/>
    <w:rsid w:val="00703DDF"/>
    <w:rsid w:val="00706D64"/>
    <w:rsid w:val="00712242"/>
    <w:rsid w:val="00713CAF"/>
    <w:rsid w:val="00721455"/>
    <w:rsid w:val="00733A35"/>
    <w:rsid w:val="007455FD"/>
    <w:rsid w:val="00745D52"/>
    <w:rsid w:val="00746FCA"/>
    <w:rsid w:val="00751874"/>
    <w:rsid w:val="0075193E"/>
    <w:rsid w:val="0075214B"/>
    <w:rsid w:val="007522AA"/>
    <w:rsid w:val="00752E65"/>
    <w:rsid w:val="0075679B"/>
    <w:rsid w:val="007641B0"/>
    <w:rsid w:val="0076500E"/>
    <w:rsid w:val="00765BAF"/>
    <w:rsid w:val="00772FC5"/>
    <w:rsid w:val="0077436C"/>
    <w:rsid w:val="00775647"/>
    <w:rsid w:val="00780523"/>
    <w:rsid w:val="00780E7C"/>
    <w:rsid w:val="007826D8"/>
    <w:rsid w:val="00782853"/>
    <w:rsid w:val="00785020"/>
    <w:rsid w:val="007A025C"/>
    <w:rsid w:val="007A4F6E"/>
    <w:rsid w:val="007A53B1"/>
    <w:rsid w:val="007A79F4"/>
    <w:rsid w:val="007B1E0E"/>
    <w:rsid w:val="007C4A25"/>
    <w:rsid w:val="007C56AF"/>
    <w:rsid w:val="007C6340"/>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1DE1"/>
    <w:rsid w:val="00832B88"/>
    <w:rsid w:val="0083370C"/>
    <w:rsid w:val="00837F2B"/>
    <w:rsid w:val="00841DF7"/>
    <w:rsid w:val="008477D5"/>
    <w:rsid w:val="008564C4"/>
    <w:rsid w:val="00873220"/>
    <w:rsid w:val="00875B03"/>
    <w:rsid w:val="00877B95"/>
    <w:rsid w:val="00877C0B"/>
    <w:rsid w:val="00883EDE"/>
    <w:rsid w:val="00885E07"/>
    <w:rsid w:val="008878D2"/>
    <w:rsid w:val="00895C16"/>
    <w:rsid w:val="00896408"/>
    <w:rsid w:val="008967BD"/>
    <w:rsid w:val="008A0C58"/>
    <w:rsid w:val="008A0F2A"/>
    <w:rsid w:val="008A66A6"/>
    <w:rsid w:val="008B0531"/>
    <w:rsid w:val="008B4648"/>
    <w:rsid w:val="008B5CEC"/>
    <w:rsid w:val="008B7469"/>
    <w:rsid w:val="008C35AB"/>
    <w:rsid w:val="008C5FCF"/>
    <w:rsid w:val="008C648D"/>
    <w:rsid w:val="008C71DF"/>
    <w:rsid w:val="008D05C7"/>
    <w:rsid w:val="008D5294"/>
    <w:rsid w:val="008D6E46"/>
    <w:rsid w:val="008E6553"/>
    <w:rsid w:val="008E663F"/>
    <w:rsid w:val="008E6961"/>
    <w:rsid w:val="008F4648"/>
    <w:rsid w:val="008F514A"/>
    <w:rsid w:val="00901980"/>
    <w:rsid w:val="0090611C"/>
    <w:rsid w:val="00906582"/>
    <w:rsid w:val="0091180A"/>
    <w:rsid w:val="009124FD"/>
    <w:rsid w:val="00912D3B"/>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A3"/>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7C3"/>
    <w:rsid w:val="00A91A3A"/>
    <w:rsid w:val="00A9542C"/>
    <w:rsid w:val="00A9590E"/>
    <w:rsid w:val="00A9794C"/>
    <w:rsid w:val="00AA044A"/>
    <w:rsid w:val="00AA23E1"/>
    <w:rsid w:val="00AA644D"/>
    <w:rsid w:val="00AA7CA7"/>
    <w:rsid w:val="00AA7FC7"/>
    <w:rsid w:val="00AB0A31"/>
    <w:rsid w:val="00AB1D59"/>
    <w:rsid w:val="00AB26C6"/>
    <w:rsid w:val="00AB2C51"/>
    <w:rsid w:val="00AB3803"/>
    <w:rsid w:val="00AB3901"/>
    <w:rsid w:val="00AC35E9"/>
    <w:rsid w:val="00AC6935"/>
    <w:rsid w:val="00AC71AD"/>
    <w:rsid w:val="00AC78CB"/>
    <w:rsid w:val="00AD288F"/>
    <w:rsid w:val="00AD3704"/>
    <w:rsid w:val="00AD6110"/>
    <w:rsid w:val="00AE30D9"/>
    <w:rsid w:val="00AE5083"/>
    <w:rsid w:val="00AF0A93"/>
    <w:rsid w:val="00AF1D2F"/>
    <w:rsid w:val="00AF31AE"/>
    <w:rsid w:val="00AF52DA"/>
    <w:rsid w:val="00AF61A2"/>
    <w:rsid w:val="00AF6ED0"/>
    <w:rsid w:val="00B00B8D"/>
    <w:rsid w:val="00B046A5"/>
    <w:rsid w:val="00B06E1C"/>
    <w:rsid w:val="00B075C5"/>
    <w:rsid w:val="00B121E0"/>
    <w:rsid w:val="00B12479"/>
    <w:rsid w:val="00B13307"/>
    <w:rsid w:val="00B166F0"/>
    <w:rsid w:val="00B210B9"/>
    <w:rsid w:val="00B24A84"/>
    <w:rsid w:val="00B30A0D"/>
    <w:rsid w:val="00B35BCE"/>
    <w:rsid w:val="00B43412"/>
    <w:rsid w:val="00B43AEA"/>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7D5"/>
    <w:rsid w:val="00BA1806"/>
    <w:rsid w:val="00BA494C"/>
    <w:rsid w:val="00BA52B0"/>
    <w:rsid w:val="00BB62D4"/>
    <w:rsid w:val="00BC0E42"/>
    <w:rsid w:val="00BC1A8B"/>
    <w:rsid w:val="00BD45B9"/>
    <w:rsid w:val="00BD4986"/>
    <w:rsid w:val="00BD7218"/>
    <w:rsid w:val="00BE2842"/>
    <w:rsid w:val="00BF18CB"/>
    <w:rsid w:val="00BF32BF"/>
    <w:rsid w:val="00BF360C"/>
    <w:rsid w:val="00BF3D87"/>
    <w:rsid w:val="00BF5F0F"/>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606C1"/>
    <w:rsid w:val="00C63B05"/>
    <w:rsid w:val="00C64909"/>
    <w:rsid w:val="00C70B3C"/>
    <w:rsid w:val="00C7347F"/>
    <w:rsid w:val="00C737A1"/>
    <w:rsid w:val="00C737FB"/>
    <w:rsid w:val="00C7465C"/>
    <w:rsid w:val="00C76A2D"/>
    <w:rsid w:val="00C84887"/>
    <w:rsid w:val="00C86E31"/>
    <w:rsid w:val="00C87BDA"/>
    <w:rsid w:val="00C920B4"/>
    <w:rsid w:val="00C93F48"/>
    <w:rsid w:val="00C96854"/>
    <w:rsid w:val="00CA31EC"/>
    <w:rsid w:val="00CA53DF"/>
    <w:rsid w:val="00CA7E99"/>
    <w:rsid w:val="00CB1BC5"/>
    <w:rsid w:val="00CB7BBA"/>
    <w:rsid w:val="00CC0149"/>
    <w:rsid w:val="00CC76D5"/>
    <w:rsid w:val="00CD05E9"/>
    <w:rsid w:val="00CD37EF"/>
    <w:rsid w:val="00CD481A"/>
    <w:rsid w:val="00CE21B4"/>
    <w:rsid w:val="00CE24E4"/>
    <w:rsid w:val="00CE3AFE"/>
    <w:rsid w:val="00CE71B7"/>
    <w:rsid w:val="00CF3100"/>
    <w:rsid w:val="00CF4060"/>
    <w:rsid w:val="00D04A80"/>
    <w:rsid w:val="00D06820"/>
    <w:rsid w:val="00D13458"/>
    <w:rsid w:val="00D136A4"/>
    <w:rsid w:val="00D15331"/>
    <w:rsid w:val="00D1654D"/>
    <w:rsid w:val="00D212EF"/>
    <w:rsid w:val="00D22DEF"/>
    <w:rsid w:val="00D23A7D"/>
    <w:rsid w:val="00D23E72"/>
    <w:rsid w:val="00D26D70"/>
    <w:rsid w:val="00D27B79"/>
    <w:rsid w:val="00D30DCF"/>
    <w:rsid w:val="00D31C38"/>
    <w:rsid w:val="00D363D5"/>
    <w:rsid w:val="00D4184B"/>
    <w:rsid w:val="00D43659"/>
    <w:rsid w:val="00D446EB"/>
    <w:rsid w:val="00D7462B"/>
    <w:rsid w:val="00D779D5"/>
    <w:rsid w:val="00D77CF6"/>
    <w:rsid w:val="00D836EA"/>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3007"/>
    <w:rsid w:val="00DD4053"/>
    <w:rsid w:val="00DD4CC3"/>
    <w:rsid w:val="00DD575B"/>
    <w:rsid w:val="00DD719B"/>
    <w:rsid w:val="00DE075F"/>
    <w:rsid w:val="00DE7249"/>
    <w:rsid w:val="00DE7778"/>
    <w:rsid w:val="00DF2005"/>
    <w:rsid w:val="00DF35D7"/>
    <w:rsid w:val="00DF5CC8"/>
    <w:rsid w:val="00E02A60"/>
    <w:rsid w:val="00E07CFD"/>
    <w:rsid w:val="00E108B1"/>
    <w:rsid w:val="00E11AD2"/>
    <w:rsid w:val="00E12E4D"/>
    <w:rsid w:val="00E148DA"/>
    <w:rsid w:val="00E16BFD"/>
    <w:rsid w:val="00E17702"/>
    <w:rsid w:val="00E17DBB"/>
    <w:rsid w:val="00E21B7A"/>
    <w:rsid w:val="00E2597F"/>
    <w:rsid w:val="00E25A71"/>
    <w:rsid w:val="00E27FE0"/>
    <w:rsid w:val="00E31B10"/>
    <w:rsid w:val="00E3444C"/>
    <w:rsid w:val="00E35122"/>
    <w:rsid w:val="00E3579B"/>
    <w:rsid w:val="00E35894"/>
    <w:rsid w:val="00E42005"/>
    <w:rsid w:val="00E44704"/>
    <w:rsid w:val="00E44E0D"/>
    <w:rsid w:val="00E468E8"/>
    <w:rsid w:val="00E501D5"/>
    <w:rsid w:val="00E51C96"/>
    <w:rsid w:val="00E52769"/>
    <w:rsid w:val="00E52D71"/>
    <w:rsid w:val="00E5378A"/>
    <w:rsid w:val="00E55FE0"/>
    <w:rsid w:val="00E56554"/>
    <w:rsid w:val="00E62F90"/>
    <w:rsid w:val="00E63D4D"/>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2056"/>
    <w:rsid w:val="00EC26D9"/>
    <w:rsid w:val="00EC4F18"/>
    <w:rsid w:val="00EC524C"/>
    <w:rsid w:val="00ED1AA0"/>
    <w:rsid w:val="00ED2123"/>
    <w:rsid w:val="00ED316F"/>
    <w:rsid w:val="00EE0C22"/>
    <w:rsid w:val="00EE11EB"/>
    <w:rsid w:val="00EE2F10"/>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7482"/>
    <w:rsid w:val="00F47FAA"/>
    <w:rsid w:val="00F507C8"/>
    <w:rsid w:val="00F513F4"/>
    <w:rsid w:val="00F51A93"/>
    <w:rsid w:val="00F532D3"/>
    <w:rsid w:val="00F535CC"/>
    <w:rsid w:val="00F56B67"/>
    <w:rsid w:val="00F62562"/>
    <w:rsid w:val="00F7045E"/>
    <w:rsid w:val="00F75151"/>
    <w:rsid w:val="00F762E5"/>
    <w:rsid w:val="00F773C3"/>
    <w:rsid w:val="00F805D4"/>
    <w:rsid w:val="00F81989"/>
    <w:rsid w:val="00F81BFF"/>
    <w:rsid w:val="00F910C3"/>
    <w:rsid w:val="00F923A8"/>
    <w:rsid w:val="00F92DFB"/>
    <w:rsid w:val="00F93709"/>
    <w:rsid w:val="00FA06BE"/>
    <w:rsid w:val="00FA0B42"/>
    <w:rsid w:val="00FA0FB8"/>
    <w:rsid w:val="00FB3B45"/>
    <w:rsid w:val="00FC2E51"/>
    <w:rsid w:val="00FC3F39"/>
    <w:rsid w:val="00FC492B"/>
    <w:rsid w:val="00FC61C1"/>
    <w:rsid w:val="00FD0726"/>
    <w:rsid w:val="00FD292C"/>
    <w:rsid w:val="00FD2A81"/>
    <w:rsid w:val="00FD53F3"/>
    <w:rsid w:val="00FD73AE"/>
    <w:rsid w:val="00FE1957"/>
    <w:rsid w:val="00FE278A"/>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007"/>
    <w:pPr>
      <w:suppressAutoHyphens w:val="0"/>
      <w:spacing w:before="100" w:beforeAutospacing="1" w:after="100" w:afterAutospacing="1" w:line="240" w:lineRule="auto"/>
      <w:jc w:val="left"/>
    </w:pPr>
    <w:rPr>
      <w:rFonts w:eastAsia="MS Mincho"/>
      <w:kern w:val="0"/>
      <w:lang w:val="sv-SE"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007"/>
    <w:pPr>
      <w:suppressAutoHyphens w:val="0"/>
      <w:spacing w:before="100" w:beforeAutospacing="1" w:after="100" w:afterAutospacing="1" w:line="240" w:lineRule="auto"/>
      <w:jc w:val="left"/>
    </w:pPr>
    <w:rPr>
      <w:rFonts w:eastAsia="MS Mincho"/>
      <w:kern w:val="0"/>
      <w:lang w:val="sv-S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88351293">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43197741">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85121">
      <w:bodyDiv w:val="1"/>
      <w:marLeft w:val="0"/>
      <w:marRight w:val="0"/>
      <w:marTop w:val="0"/>
      <w:marBottom w:val="0"/>
      <w:divBdr>
        <w:top w:val="none" w:sz="0" w:space="0" w:color="auto"/>
        <w:left w:val="none" w:sz="0" w:space="0" w:color="auto"/>
        <w:bottom w:val="none" w:sz="0" w:space="0" w:color="auto"/>
        <w:right w:val="none" w:sz="0" w:space="0" w:color="auto"/>
      </w:divBdr>
    </w:div>
    <w:div w:id="839537982">
      <w:bodyDiv w:val="1"/>
      <w:marLeft w:val="0"/>
      <w:marRight w:val="0"/>
      <w:marTop w:val="0"/>
      <w:marBottom w:val="0"/>
      <w:divBdr>
        <w:top w:val="none" w:sz="0" w:space="0" w:color="auto"/>
        <w:left w:val="none" w:sz="0" w:space="0" w:color="auto"/>
        <w:bottom w:val="none" w:sz="0" w:space="0" w:color="auto"/>
        <w:right w:val="none" w:sz="0" w:space="0" w:color="auto"/>
      </w:divBdr>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04176576">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56868097">
      <w:bodyDiv w:val="1"/>
      <w:marLeft w:val="0"/>
      <w:marRight w:val="0"/>
      <w:marTop w:val="0"/>
      <w:marBottom w:val="0"/>
      <w:divBdr>
        <w:top w:val="none" w:sz="0" w:space="0" w:color="auto"/>
        <w:left w:val="none" w:sz="0" w:space="0" w:color="auto"/>
        <w:bottom w:val="none" w:sz="0" w:space="0" w:color="auto"/>
        <w:right w:val="none" w:sz="0" w:space="0" w:color="auto"/>
      </w:divBdr>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243704-2A6F-4105-8F75-586EC041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8340</Characters>
  <Application>Microsoft Office Word</Application>
  <DocSecurity>4</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World Bank Group</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2012-10-16T19:06:00Z</cp:lastPrinted>
  <dcterms:created xsi:type="dcterms:W3CDTF">2013-10-29T20:28:00Z</dcterms:created>
  <dcterms:modified xsi:type="dcterms:W3CDTF">2013-10-29T20:28:00Z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