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75" w:rsidRDefault="00BA6C75" w:rsidP="00BA6C75">
      <w:pPr>
        <w:jc w:val="center"/>
      </w:pPr>
      <w:bookmarkStart w:id="0" w:name="_GoBack"/>
      <w:bookmarkEnd w:id="0"/>
      <w:r w:rsidRPr="00E36621">
        <w:rPr>
          <w:rFonts w:asciiTheme="majorHAnsi" w:hAnsiTheme="majorHAnsi"/>
          <w:noProof/>
        </w:rPr>
        <w:drawing>
          <wp:inline distT="0" distB="0" distL="0" distR="0" wp14:anchorId="059A986C" wp14:editId="16D61492">
            <wp:extent cx="2587304" cy="586311"/>
            <wp:effectExtent l="0" t="0" r="3810" b="4445"/>
            <wp:docPr id="1"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5694" cy="590478"/>
                    </a:xfrm>
                    <a:prstGeom prst="rect">
                      <a:avLst/>
                    </a:prstGeom>
                    <a:noFill/>
                    <a:ln>
                      <a:noFill/>
                    </a:ln>
                  </pic:spPr>
                </pic:pic>
              </a:graphicData>
            </a:graphic>
          </wp:inline>
        </w:drawing>
      </w:r>
      <w:r w:rsidRPr="00E36621">
        <w:rPr>
          <w:rFonts w:asciiTheme="majorHAnsi" w:hAnsiTheme="majorHAnsi"/>
          <w:noProof/>
        </w:rPr>
        <w:drawing>
          <wp:inline distT="0" distB="0" distL="0" distR="0" wp14:anchorId="2DDFD465" wp14:editId="7EE3F8BC">
            <wp:extent cx="2587304" cy="586311"/>
            <wp:effectExtent l="0" t="0" r="3810" b="4445"/>
            <wp:docPr id="3"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5694" cy="590478"/>
                    </a:xfrm>
                    <a:prstGeom prst="rect">
                      <a:avLst/>
                    </a:prstGeom>
                    <a:noFill/>
                    <a:ln>
                      <a:noFill/>
                    </a:ln>
                  </pic:spPr>
                </pic:pic>
              </a:graphicData>
            </a:graphic>
          </wp:inline>
        </w:drawing>
      </w:r>
    </w:p>
    <w:p w:rsidR="00BA6C75" w:rsidRPr="00772764" w:rsidRDefault="003D6CD2" w:rsidP="00772764">
      <w:pPr>
        <w:spacing w:after="0" w:line="240" w:lineRule="auto"/>
        <w:jc w:val="center"/>
        <w:rPr>
          <w:rFonts w:cstheme="minorHAnsi"/>
          <w:b/>
          <w:color w:val="17365D" w:themeColor="text2" w:themeShade="BF"/>
          <w:sz w:val="32"/>
          <w:szCs w:val="32"/>
        </w:rPr>
      </w:pPr>
      <w:r w:rsidRPr="00772764">
        <w:rPr>
          <w:rFonts w:cstheme="minorHAnsi"/>
          <w:b/>
          <w:color w:val="17365D" w:themeColor="text2" w:themeShade="BF"/>
          <w:sz w:val="32"/>
          <w:szCs w:val="32"/>
        </w:rPr>
        <w:t>World Bank’s Safeguard Policies Review and Update</w:t>
      </w:r>
    </w:p>
    <w:p w:rsidR="00BA6C75" w:rsidRPr="00772764" w:rsidRDefault="00BA6C75" w:rsidP="00772764">
      <w:pPr>
        <w:spacing w:after="0" w:line="240" w:lineRule="auto"/>
        <w:jc w:val="center"/>
        <w:rPr>
          <w:rFonts w:cstheme="minorHAnsi"/>
          <w:b/>
          <w:color w:val="17365D" w:themeColor="text2" w:themeShade="BF"/>
          <w:sz w:val="32"/>
          <w:szCs w:val="32"/>
        </w:rPr>
      </w:pPr>
      <w:r w:rsidRPr="00772764">
        <w:rPr>
          <w:rFonts w:cstheme="minorHAnsi"/>
          <w:b/>
          <w:color w:val="17365D" w:themeColor="text2" w:themeShade="BF"/>
          <w:sz w:val="32"/>
          <w:szCs w:val="32"/>
        </w:rPr>
        <w:t>E</w:t>
      </w:r>
      <w:r w:rsidR="003D6CD2" w:rsidRPr="00772764">
        <w:rPr>
          <w:rFonts w:cstheme="minorHAnsi"/>
          <w:b/>
          <w:color w:val="17365D" w:themeColor="text2" w:themeShade="BF"/>
          <w:sz w:val="32"/>
          <w:szCs w:val="32"/>
        </w:rPr>
        <w:t>xpert Focus Group on the Emerging Area</w:t>
      </w:r>
    </w:p>
    <w:p w:rsidR="00BA6C75" w:rsidRPr="00772764" w:rsidRDefault="003D6CD2" w:rsidP="00772764">
      <w:pPr>
        <w:pStyle w:val="ListParagraph"/>
        <w:spacing w:after="0" w:line="240" w:lineRule="auto"/>
        <w:ind w:left="0"/>
        <w:jc w:val="center"/>
        <w:rPr>
          <w:rFonts w:cstheme="minorHAnsi"/>
          <w:b/>
          <w:color w:val="17365D" w:themeColor="text2" w:themeShade="BF"/>
          <w:sz w:val="32"/>
          <w:szCs w:val="32"/>
        </w:rPr>
      </w:pPr>
      <w:r w:rsidRPr="00772764">
        <w:rPr>
          <w:rFonts w:cstheme="minorHAnsi"/>
          <w:b/>
          <w:color w:val="17365D" w:themeColor="text2" w:themeShade="BF"/>
          <w:sz w:val="32"/>
          <w:szCs w:val="32"/>
        </w:rPr>
        <w:t>Labor and Occupational Health and Safety</w:t>
      </w:r>
    </w:p>
    <w:p w:rsidR="00BA6C75" w:rsidRPr="00772764" w:rsidRDefault="00970474" w:rsidP="00772764">
      <w:pPr>
        <w:spacing w:after="0" w:line="240" w:lineRule="auto"/>
        <w:jc w:val="center"/>
        <w:rPr>
          <w:rFonts w:cstheme="minorHAnsi"/>
          <w:color w:val="17365D" w:themeColor="text2" w:themeShade="BF"/>
          <w:sz w:val="28"/>
          <w:szCs w:val="28"/>
        </w:rPr>
      </w:pPr>
      <w:r w:rsidRPr="00772764">
        <w:rPr>
          <w:rFonts w:cstheme="minorHAnsi"/>
          <w:color w:val="17365D" w:themeColor="text2" w:themeShade="BF"/>
          <w:sz w:val="28"/>
          <w:szCs w:val="28"/>
        </w:rPr>
        <w:t>Jakarta</w:t>
      </w:r>
      <w:r w:rsidR="00BA6C75" w:rsidRPr="00772764">
        <w:rPr>
          <w:rFonts w:cstheme="minorHAnsi"/>
          <w:color w:val="17365D" w:themeColor="text2" w:themeShade="BF"/>
          <w:sz w:val="28"/>
          <w:szCs w:val="28"/>
        </w:rPr>
        <w:t xml:space="preserve">, </w:t>
      </w:r>
      <w:r w:rsidRPr="00772764">
        <w:rPr>
          <w:rFonts w:cstheme="minorHAnsi"/>
          <w:color w:val="17365D" w:themeColor="text2" w:themeShade="BF"/>
          <w:sz w:val="28"/>
          <w:szCs w:val="28"/>
        </w:rPr>
        <w:t>Indonesia</w:t>
      </w:r>
    </w:p>
    <w:p w:rsidR="00BA6C75" w:rsidRPr="00772764" w:rsidRDefault="00970474" w:rsidP="00772764">
      <w:pPr>
        <w:spacing w:after="0" w:line="240" w:lineRule="auto"/>
        <w:jc w:val="center"/>
        <w:rPr>
          <w:rFonts w:cstheme="minorHAnsi"/>
          <w:color w:val="17365D" w:themeColor="text2" w:themeShade="BF"/>
          <w:sz w:val="28"/>
          <w:szCs w:val="28"/>
        </w:rPr>
      </w:pPr>
      <w:r w:rsidRPr="00772764">
        <w:rPr>
          <w:rFonts w:cstheme="minorHAnsi"/>
          <w:color w:val="17365D" w:themeColor="text2" w:themeShade="BF"/>
          <w:sz w:val="28"/>
          <w:szCs w:val="28"/>
        </w:rPr>
        <w:t>March</w:t>
      </w:r>
      <w:r w:rsidR="00BA6C75" w:rsidRPr="00772764">
        <w:rPr>
          <w:rFonts w:cstheme="minorHAnsi"/>
          <w:color w:val="17365D" w:themeColor="text2" w:themeShade="BF"/>
          <w:sz w:val="28"/>
          <w:szCs w:val="28"/>
        </w:rPr>
        <w:t xml:space="preserve"> 2</w:t>
      </w:r>
      <w:r w:rsidRPr="00772764">
        <w:rPr>
          <w:rFonts w:cstheme="minorHAnsi"/>
          <w:color w:val="17365D" w:themeColor="text2" w:themeShade="BF"/>
          <w:sz w:val="28"/>
          <w:szCs w:val="28"/>
        </w:rPr>
        <w:t>3</w:t>
      </w:r>
      <w:r w:rsidR="00BA6C75" w:rsidRPr="00772764">
        <w:rPr>
          <w:rFonts w:cstheme="minorHAnsi"/>
          <w:color w:val="17365D" w:themeColor="text2" w:themeShade="BF"/>
          <w:sz w:val="28"/>
          <w:szCs w:val="28"/>
        </w:rPr>
        <w:t>, 2013</w:t>
      </w:r>
    </w:p>
    <w:p w:rsidR="004872A4" w:rsidRPr="008D0B66" w:rsidRDefault="004872A4" w:rsidP="004872A4">
      <w:pPr>
        <w:spacing w:after="0"/>
        <w:jc w:val="center"/>
        <w:rPr>
          <w:rFonts w:cstheme="minorHAnsi"/>
          <w:color w:val="17365D" w:themeColor="text2" w:themeShade="BF"/>
          <w:sz w:val="16"/>
          <w:szCs w:val="16"/>
        </w:rPr>
      </w:pPr>
    </w:p>
    <w:p w:rsidR="00F5203A" w:rsidRDefault="00F55716" w:rsidP="00F5203A">
      <w:r w:rsidRPr="00BA6C75">
        <w:rPr>
          <w:b/>
        </w:rPr>
        <w:t xml:space="preserve">On </w:t>
      </w:r>
      <w:r w:rsidR="00565EE2">
        <w:rPr>
          <w:b/>
        </w:rPr>
        <w:t>March</w:t>
      </w:r>
      <w:r w:rsidRPr="00BA6C75">
        <w:rPr>
          <w:b/>
        </w:rPr>
        <w:t xml:space="preserve"> 2</w:t>
      </w:r>
      <w:r w:rsidR="00565EE2">
        <w:rPr>
          <w:b/>
        </w:rPr>
        <w:t>3</w:t>
      </w:r>
      <w:r w:rsidRPr="00BA6C75">
        <w:rPr>
          <w:b/>
        </w:rPr>
        <w:t>, 2013</w:t>
      </w:r>
      <w:r w:rsidR="00F5203A">
        <w:t>, a</w:t>
      </w:r>
      <w:r w:rsidR="008C5447">
        <w:t>n external</w:t>
      </w:r>
      <w:r w:rsidR="00F5203A">
        <w:t xml:space="preserve"> </w:t>
      </w:r>
      <w:r w:rsidR="00BA6C75">
        <w:t>focus group</w:t>
      </w:r>
      <w:r w:rsidR="008C5447">
        <w:t xml:space="preserve"> meeting</w:t>
      </w:r>
      <w:r w:rsidR="00BA6C75">
        <w:t xml:space="preserve"> </w:t>
      </w:r>
      <w:r w:rsidR="008C5447">
        <w:t>of</w:t>
      </w:r>
      <w:r w:rsidR="00F5203A">
        <w:t xml:space="preserve"> international experts </w:t>
      </w:r>
      <w:r>
        <w:t xml:space="preserve">was held in </w:t>
      </w:r>
      <w:r w:rsidR="00970474">
        <w:t>Jakarta</w:t>
      </w:r>
      <w:r>
        <w:t xml:space="preserve">, </w:t>
      </w:r>
      <w:r w:rsidR="00970474">
        <w:t>Indonesia</w:t>
      </w:r>
      <w:r w:rsidR="00BA6C75">
        <w:t xml:space="preserve">, on the subject of </w:t>
      </w:r>
      <w:r w:rsidR="00970474">
        <w:t>Labor and Occupational Health and Safety</w:t>
      </w:r>
      <w:r w:rsidR="00F5203A">
        <w:t>.</w:t>
      </w:r>
      <w:r w:rsidR="007005F8">
        <w:t xml:space="preserve"> </w:t>
      </w:r>
      <w:r w:rsidR="00785F07">
        <w:t>This f</w:t>
      </w:r>
      <w:r w:rsidR="00F5203A">
        <w:t xml:space="preserve">ocus group </w:t>
      </w:r>
      <w:r w:rsidR="00A57773">
        <w:t>was</w:t>
      </w:r>
      <w:r w:rsidR="00F5203A">
        <w:t xml:space="preserve"> part of </w:t>
      </w:r>
      <w:r w:rsidR="00C42EE4">
        <w:t xml:space="preserve">the </w:t>
      </w:r>
      <w:r w:rsidR="00B76AB5">
        <w:t xml:space="preserve">World Bank </w:t>
      </w:r>
      <w:r w:rsidR="00C42EE4">
        <w:t>safeguard policies</w:t>
      </w:r>
      <w:r>
        <w:t xml:space="preserve"> review and update process</w:t>
      </w:r>
      <w:r w:rsidR="00785F07">
        <w:t xml:space="preserve"> and the topic of </w:t>
      </w:r>
      <w:r w:rsidR="00970474">
        <w:t>labor</w:t>
      </w:r>
      <w:r w:rsidR="00785F07">
        <w:t xml:space="preserve"> is one of the emerging areas that stakeholders have asked the Bank to consider during the review.</w:t>
      </w:r>
      <w:r w:rsidR="007005F8">
        <w:t xml:space="preserve"> </w:t>
      </w:r>
      <w:r w:rsidR="00785F07">
        <w:t xml:space="preserve">Other emerging areas include: climate change, disability, free, prior and informed </w:t>
      </w:r>
      <w:r w:rsidR="00785F07" w:rsidRPr="00E9044E">
        <w:t xml:space="preserve">consent of </w:t>
      </w:r>
      <w:r w:rsidR="00101362" w:rsidRPr="00E9044E">
        <w:t>I</w:t>
      </w:r>
      <w:r w:rsidR="00785F07" w:rsidRPr="00E9044E">
        <w:t xml:space="preserve">ndigenous </w:t>
      </w:r>
      <w:r w:rsidR="00101362" w:rsidRPr="00E9044E">
        <w:t>P</w:t>
      </w:r>
      <w:r w:rsidR="00785F07" w:rsidRPr="00E9044E">
        <w:t>eople</w:t>
      </w:r>
      <w:r w:rsidR="00101362" w:rsidRPr="00E9044E">
        <w:t>s</w:t>
      </w:r>
      <w:r w:rsidR="00785F07">
        <w:t xml:space="preserve">, gender, human rights, </w:t>
      </w:r>
      <w:r w:rsidR="00970474">
        <w:t>land tenure and natural resources</w:t>
      </w:r>
      <w:r w:rsidR="00785F07">
        <w:t>. M</w:t>
      </w:r>
      <w:r w:rsidR="00C42EE4">
        <w:t>ore information about this process</w:t>
      </w:r>
      <w:r w:rsidR="00772764">
        <w:t xml:space="preserve"> </w:t>
      </w:r>
      <w:r w:rsidR="00C42EE4">
        <w:t xml:space="preserve">is available on the safeguards review </w:t>
      </w:r>
      <w:hyperlink r:id="rId13" w:history="1">
        <w:r w:rsidR="00C42EE4" w:rsidRPr="00C42EE4">
          <w:rPr>
            <w:rStyle w:val="Hyperlink"/>
          </w:rPr>
          <w:t>website</w:t>
        </w:r>
      </w:hyperlink>
      <w:r w:rsidR="00C42EE4">
        <w:t>.</w:t>
      </w:r>
      <w:r w:rsidR="007005F8">
        <w:t xml:space="preserve"> </w:t>
      </w:r>
      <w:r w:rsidR="00C42EE4">
        <w:t xml:space="preserve">The terms of reference for participants of focus groups for emerging areas are available </w:t>
      </w:r>
      <w:hyperlink r:id="rId14" w:history="1">
        <w:r w:rsidR="00C42EE4" w:rsidRPr="00F5203A">
          <w:rPr>
            <w:rStyle w:val="Hyperlink"/>
          </w:rPr>
          <w:t>here</w:t>
        </w:r>
      </w:hyperlink>
      <w:r w:rsidR="00C42EE4">
        <w:t>.</w:t>
      </w:r>
      <w:r w:rsidR="00F5203A">
        <w:t xml:space="preserve"> </w:t>
      </w:r>
    </w:p>
    <w:p w:rsidR="002647A1" w:rsidRDefault="00F55716" w:rsidP="00772764">
      <w:pPr>
        <w:spacing w:after="0"/>
      </w:pPr>
      <w:r>
        <w:t xml:space="preserve">Participants in the </w:t>
      </w:r>
      <w:r w:rsidR="00C42EE4">
        <w:t xml:space="preserve">focus group </w:t>
      </w:r>
      <w:r>
        <w:t xml:space="preserve">comprised </w:t>
      </w:r>
      <w:r w:rsidR="006F7E3B">
        <w:t>labor</w:t>
      </w:r>
      <w:r>
        <w:t xml:space="preserve"> experts from a variety of civil society, inter-governmental, donor and research organizations from around the world (see </w:t>
      </w:r>
      <w:hyperlink r:id="rId15" w:history="1">
        <w:r w:rsidRPr="00E97C28">
          <w:rPr>
            <w:rStyle w:val="Hyperlink"/>
          </w:rPr>
          <w:t>list of participants</w:t>
        </w:r>
      </w:hyperlink>
      <w:r>
        <w:t>).</w:t>
      </w:r>
      <w:r w:rsidR="007005F8">
        <w:t xml:space="preserve"> </w:t>
      </w:r>
      <w:r>
        <w:t xml:space="preserve">It was agreed at the outset that the </w:t>
      </w:r>
      <w:r w:rsidR="00C42EE4">
        <w:t xml:space="preserve">focus group </w:t>
      </w:r>
      <w:r>
        <w:t>would be conducted in accordance with Chatham House rules, and that participants would speak in their individual capacities rather than a</w:t>
      </w:r>
      <w:r w:rsidR="000A199F">
        <w:t>s</w:t>
      </w:r>
      <w:r>
        <w:t xml:space="preserve"> representatives of their respective institutions.</w:t>
      </w:r>
      <w:r w:rsidR="007005F8">
        <w:t xml:space="preserve"> </w:t>
      </w:r>
      <w:r w:rsidR="00B76AB5">
        <w:t xml:space="preserve">In addition to participating experts, </w:t>
      </w:r>
      <w:r w:rsidR="001B1B5F">
        <w:t>four</w:t>
      </w:r>
      <w:r w:rsidR="00B76AB5">
        <w:t xml:space="preserve"> World Bank staff members</w:t>
      </w:r>
      <w:r w:rsidR="00401742">
        <w:t xml:space="preserve"> were present.</w:t>
      </w:r>
      <w:r w:rsidR="007005F8">
        <w:t xml:space="preserve"> </w:t>
      </w:r>
      <w:r w:rsidR="00401742">
        <w:t xml:space="preserve">The meeting was facilitated by </w:t>
      </w:r>
      <w:r w:rsidR="002E4B96">
        <w:t>Steve Gibbons</w:t>
      </w:r>
      <w:r w:rsidR="00970346">
        <w:t xml:space="preserve">, Director for Labor </w:t>
      </w:r>
      <w:r w:rsidR="00387C6A">
        <w:t xml:space="preserve">and Human </w:t>
      </w:r>
      <w:r w:rsidR="00970346">
        <w:t>Rights</w:t>
      </w:r>
      <w:r w:rsidR="00915667">
        <w:t xml:space="preserve">, </w:t>
      </w:r>
      <w:r w:rsidR="002E4B96">
        <w:t>Ergon</w:t>
      </w:r>
      <w:r w:rsidR="00915667">
        <w:t xml:space="preserve"> Associates</w:t>
      </w:r>
      <w:r w:rsidR="00401742">
        <w:t>.</w:t>
      </w:r>
      <w:r w:rsidRPr="00B76AB5">
        <w:rPr>
          <w:b/>
        </w:rPr>
        <w:t xml:space="preserve"> </w:t>
      </w:r>
    </w:p>
    <w:p w:rsidR="00772764" w:rsidRDefault="00772764" w:rsidP="00772764">
      <w:pPr>
        <w:spacing w:after="0"/>
      </w:pPr>
    </w:p>
    <w:p w:rsidR="00C42EE4" w:rsidRPr="005254C9" w:rsidRDefault="00F55716" w:rsidP="00772764">
      <w:pPr>
        <w:spacing w:after="0"/>
      </w:pPr>
      <w:r w:rsidRPr="005254C9">
        <w:t xml:space="preserve">The </w:t>
      </w:r>
      <w:r w:rsidR="00C42EE4" w:rsidRPr="005254C9">
        <w:t>focus group meeting</w:t>
      </w:r>
      <w:r w:rsidRPr="005254C9">
        <w:t xml:space="preserve"> began with </w:t>
      </w:r>
      <w:r w:rsidR="005254C9" w:rsidRPr="005254C9">
        <w:t>a</w:t>
      </w:r>
      <w:r w:rsidR="00772764">
        <w:t xml:space="preserve"> presentation</w:t>
      </w:r>
      <w:r w:rsidRPr="005254C9">
        <w:t xml:space="preserve"> by </w:t>
      </w:r>
      <w:r w:rsidR="006F0B3D" w:rsidRPr="005254C9">
        <w:t xml:space="preserve">World </w:t>
      </w:r>
      <w:r w:rsidRPr="005254C9">
        <w:t xml:space="preserve">Bank staff to help </w:t>
      </w:r>
      <w:r w:rsidR="006F0B3D" w:rsidRPr="005254C9">
        <w:t>define the purpose and scope of the meeting.</w:t>
      </w:r>
      <w:r w:rsidR="007005F8">
        <w:t xml:space="preserve"> </w:t>
      </w:r>
      <w:r w:rsidR="006F0B3D" w:rsidRPr="005254C9">
        <w:t>The presentation described the rationale, objectives and stages of the overall safeguards review process.</w:t>
      </w:r>
      <w:r w:rsidR="007005F8">
        <w:t xml:space="preserve"> </w:t>
      </w:r>
    </w:p>
    <w:p w:rsidR="00E6731A" w:rsidRDefault="00E6731A">
      <w:r>
        <w:t>The discussion was guided by three questions:</w:t>
      </w:r>
    </w:p>
    <w:p w:rsidR="00E6731A" w:rsidRPr="00E6731A" w:rsidRDefault="00655974" w:rsidP="00E6731A">
      <w:pPr>
        <w:pStyle w:val="ListParagraph"/>
        <w:numPr>
          <w:ilvl w:val="0"/>
          <w:numId w:val="9"/>
        </w:numPr>
      </w:pPr>
      <w:r>
        <w:t xml:space="preserve">Can </w:t>
      </w:r>
      <w:r w:rsidR="00387C6A">
        <w:t xml:space="preserve">a variation on </w:t>
      </w:r>
      <w:r>
        <w:t>IFC Performance Standard</w:t>
      </w:r>
      <w:r w:rsidR="00E6731A" w:rsidRPr="00E6731A">
        <w:t xml:space="preserve"> 2 </w:t>
      </w:r>
      <w:r w:rsidR="00FE53CF">
        <w:t>(PS2)</w:t>
      </w:r>
      <w:r w:rsidR="00E9044E">
        <w:t xml:space="preserve"> </w:t>
      </w:r>
      <w:r w:rsidR="00DC3A34">
        <w:t>for</w:t>
      </w:r>
      <w:r w:rsidR="00E9044E">
        <w:t xml:space="preserve"> Labor and Working Conditions</w:t>
      </w:r>
      <w:r w:rsidR="00E31E02">
        <w:t xml:space="preserve"> </w:t>
      </w:r>
      <w:r w:rsidR="00E6731A" w:rsidRPr="00E6731A">
        <w:t>address the material labor issues that can be expected to arise in World Bank's public sector lending?</w:t>
      </w:r>
    </w:p>
    <w:p w:rsidR="00E6731A" w:rsidRPr="00E6731A" w:rsidRDefault="00E6731A" w:rsidP="00E6731A">
      <w:pPr>
        <w:pStyle w:val="ListParagraph"/>
        <w:numPr>
          <w:ilvl w:val="0"/>
          <w:numId w:val="9"/>
        </w:numPr>
      </w:pPr>
      <w:r w:rsidRPr="00E6731A">
        <w:t>What would the role of labor safeguards be in procurement and contracts?</w:t>
      </w:r>
    </w:p>
    <w:p w:rsidR="00E6731A" w:rsidRPr="00E6731A" w:rsidRDefault="00E6731A" w:rsidP="00E6731A">
      <w:pPr>
        <w:pStyle w:val="ListParagraph"/>
        <w:numPr>
          <w:ilvl w:val="0"/>
          <w:numId w:val="9"/>
        </w:numPr>
      </w:pPr>
      <w:r>
        <w:t>Should the safeguards address “</w:t>
      </w:r>
      <w:r w:rsidRPr="00E6731A">
        <w:t>doing good</w:t>
      </w:r>
      <w:r>
        <w:t>”</w:t>
      </w:r>
      <w:r w:rsidR="003C37E3">
        <w:t xml:space="preserve"> in addition to “doing no harm”</w:t>
      </w:r>
      <w:r w:rsidRPr="00E6731A">
        <w:t xml:space="preserve"> in the labor context and if so how?</w:t>
      </w:r>
    </w:p>
    <w:p w:rsidR="00F65090" w:rsidRDefault="00C01EC4">
      <w:r>
        <w:t>Following is a synthesis of key observations of par</w:t>
      </w:r>
      <w:r w:rsidR="00D2594B">
        <w:t>ticipants during the day.</w:t>
      </w:r>
      <w:r w:rsidR="007005F8">
        <w:t xml:space="preserve"> </w:t>
      </w:r>
      <w:r w:rsidR="00D2594B">
        <w:t>It should be emphasized that these observations are not reported here as necessarily representing the substantive consensus of the group.</w:t>
      </w:r>
      <w:r w:rsidR="007005F8">
        <w:t xml:space="preserve"> </w:t>
      </w:r>
      <w:r w:rsidR="00D2594B">
        <w:t xml:space="preserve">They are instead summarized here as </w:t>
      </w:r>
      <w:r w:rsidR="00F5203A">
        <w:t>key</w:t>
      </w:r>
      <w:r w:rsidR="00D2594B">
        <w:t xml:space="preserve"> </w:t>
      </w:r>
      <w:r w:rsidR="008F590C">
        <w:t>issues put on the table</w:t>
      </w:r>
      <w:r w:rsidR="00D2594B">
        <w:t xml:space="preserve"> by one or more individual experts that received attention during the consultation and that </w:t>
      </w:r>
      <w:r w:rsidR="00B76AB5">
        <w:t>were proposed for further consideration as the process goes forward</w:t>
      </w:r>
      <w:r w:rsidR="00D2594B">
        <w:t>.</w:t>
      </w:r>
    </w:p>
    <w:p w:rsidR="00C01EC4" w:rsidRPr="00F95332" w:rsidRDefault="00F95332">
      <w:pPr>
        <w:rPr>
          <w:b/>
        </w:rPr>
      </w:pPr>
      <w:r w:rsidRPr="00F95332">
        <w:rPr>
          <w:b/>
        </w:rPr>
        <w:lastRenderedPageBreak/>
        <w:t>1.</w:t>
      </w:r>
      <w:r w:rsidRPr="00F95332">
        <w:rPr>
          <w:b/>
        </w:rPr>
        <w:tab/>
        <w:t>General observations</w:t>
      </w:r>
    </w:p>
    <w:p w:rsidR="00CA434A" w:rsidRDefault="00CA434A">
      <w:r w:rsidRPr="00CA434A">
        <w:t xml:space="preserve">Focus </w:t>
      </w:r>
      <w:r>
        <w:t xml:space="preserve">group participants strongly supported the establishment of labor safeguards for World Bank projects. </w:t>
      </w:r>
      <w:r w:rsidR="00C47C89">
        <w:t xml:space="preserve">Safety as a technical issue should </w:t>
      </w:r>
      <w:r w:rsidR="00C47C89" w:rsidRPr="00FD64FD">
        <w:t xml:space="preserve">not be </w:t>
      </w:r>
      <w:r w:rsidR="00C47C89" w:rsidRPr="00FD64FD">
        <w:rPr>
          <w:rFonts w:ascii="Calibri" w:hAnsi="Calibri" w:cs="Calibri"/>
        </w:rPr>
        <w:t xml:space="preserve">subject to negotiation and employees should not be incentivized to work in unsafe environments. </w:t>
      </w:r>
      <w:r>
        <w:t xml:space="preserve">IFC </w:t>
      </w:r>
      <w:r w:rsidR="00763185">
        <w:t>PS</w:t>
      </w:r>
      <w:r>
        <w:t xml:space="preserve"> 2 was seen as a good starting point, which would have to be extended and adjusted to fit the special requirements and circumstances of </w:t>
      </w:r>
      <w:r w:rsidR="00387C6A">
        <w:t>the kinds of projects supported by the World Bank.</w:t>
      </w:r>
      <w:r>
        <w:t xml:space="preserve"> </w:t>
      </w:r>
      <w:r w:rsidR="004F003E">
        <w:t>Other general observations included:</w:t>
      </w:r>
    </w:p>
    <w:p w:rsidR="00E31E02" w:rsidRDefault="00E31E02" w:rsidP="00E31E02">
      <w:pPr>
        <w:pStyle w:val="ListParagraph"/>
        <w:numPr>
          <w:ilvl w:val="0"/>
          <w:numId w:val="1"/>
        </w:numPr>
      </w:pPr>
      <w:r w:rsidRPr="00E31E02">
        <w:t xml:space="preserve">The World Bank should articulate standards for labor and health and occupational safety, with the borrower being required to uphold, assess, implement, monitor, and enforce these standards. </w:t>
      </w:r>
    </w:p>
    <w:p w:rsidR="00E31E02" w:rsidRPr="00E31E02" w:rsidRDefault="00E31E02" w:rsidP="00E31E02">
      <w:pPr>
        <w:pStyle w:val="ListParagraph"/>
        <w:numPr>
          <w:ilvl w:val="0"/>
          <w:numId w:val="1"/>
        </w:numPr>
      </w:pPr>
      <w:r w:rsidRPr="00E31E02">
        <w:t xml:space="preserve">A World Bank framework for labor safeguards should address issues </w:t>
      </w:r>
      <w:r w:rsidR="00D27974">
        <w:rPr>
          <w:rFonts w:ascii="Calibri" w:hAnsi="Calibri" w:cs="Calibri"/>
          <w:color w:val="000000"/>
        </w:rPr>
        <w:t xml:space="preserve">that involve violations of national law and/or of the International Labor Organization (ILO) conventions, </w:t>
      </w:r>
      <w:r w:rsidRPr="00E31E02">
        <w:t>such as freedom of association, dismissal based on joining union</w:t>
      </w:r>
      <w:r w:rsidR="00872B7C">
        <w:t>s</w:t>
      </w:r>
      <w:r w:rsidRPr="00E31E02">
        <w:t xml:space="preserve">, late payment, lack of pension contributions, </w:t>
      </w:r>
      <w:r w:rsidR="00D27974">
        <w:t xml:space="preserve">forced labor, child labor, unsafe working environments, </w:t>
      </w:r>
      <w:r w:rsidRPr="00E31E02">
        <w:t xml:space="preserve">etc. </w:t>
      </w:r>
      <w:r w:rsidR="006248B2">
        <w:t xml:space="preserve">The World Bank should seek advice and support on these issues from the ILO. </w:t>
      </w:r>
    </w:p>
    <w:p w:rsidR="00710181" w:rsidRDefault="00710181" w:rsidP="00710181">
      <w:pPr>
        <w:pStyle w:val="ListParagraph"/>
        <w:numPr>
          <w:ilvl w:val="0"/>
          <w:numId w:val="1"/>
        </w:numPr>
      </w:pPr>
      <w:r>
        <w:t xml:space="preserve">A framework for labor risk management and compliance guidance needs to be put into place. </w:t>
      </w:r>
    </w:p>
    <w:p w:rsidR="00040F32" w:rsidRDefault="00F50871" w:rsidP="00040F32">
      <w:pPr>
        <w:pStyle w:val="ListParagraph"/>
        <w:numPr>
          <w:ilvl w:val="0"/>
          <w:numId w:val="1"/>
        </w:numPr>
      </w:pPr>
      <w:r>
        <w:t xml:space="preserve">The borrower needs to be held responsible for compliance with labor standards, even though the borrower is not necessarily the employer. </w:t>
      </w:r>
    </w:p>
    <w:p w:rsidR="00E31E02" w:rsidRPr="00E31E02" w:rsidRDefault="00E31E02" w:rsidP="00E31E02">
      <w:pPr>
        <w:pStyle w:val="ListParagraph"/>
        <w:numPr>
          <w:ilvl w:val="0"/>
          <w:numId w:val="1"/>
        </w:numPr>
      </w:pPr>
      <w:r w:rsidRPr="00E31E02">
        <w:t>A framework or guidance for the management of contractors and implementers of the loan should be established</w:t>
      </w:r>
      <w:r>
        <w:t>.</w:t>
      </w:r>
    </w:p>
    <w:p w:rsidR="00E31E02" w:rsidRPr="00E31E02" w:rsidRDefault="00E31E02" w:rsidP="00E31E02">
      <w:pPr>
        <w:pStyle w:val="ListParagraph"/>
        <w:numPr>
          <w:ilvl w:val="0"/>
          <w:numId w:val="1"/>
        </w:numPr>
      </w:pPr>
      <w:r w:rsidRPr="00E31E02">
        <w:t xml:space="preserve">The World Bank should develop strategies to reduce negative impacts on workers. A safeguard related to retrenchment – perhaps supported by a guidebook - would help to establish principles such as consultation and nondiscrimination in retrenchment </w:t>
      </w:r>
      <w:r w:rsidR="00737C59" w:rsidRPr="00E31E02">
        <w:t>exercises</w:t>
      </w:r>
      <w:r w:rsidRPr="00E31E02">
        <w:t xml:space="preserve">. The World Bank needs to establish a policy framework in which such guidance can be applied to public sector lending. </w:t>
      </w:r>
    </w:p>
    <w:p w:rsidR="0074594B" w:rsidRDefault="0074594B" w:rsidP="00F76D62">
      <w:pPr>
        <w:pStyle w:val="ListParagraph"/>
        <w:numPr>
          <w:ilvl w:val="0"/>
          <w:numId w:val="1"/>
        </w:numPr>
      </w:pPr>
      <w:r>
        <w:t xml:space="preserve">Capacity development will be a crucial issue, especially with regard to compliance monitoring. </w:t>
      </w:r>
    </w:p>
    <w:p w:rsidR="00F65090" w:rsidRDefault="00F65090" w:rsidP="00F65090"/>
    <w:p w:rsidR="00391C91" w:rsidRDefault="00391C91" w:rsidP="00391C91">
      <w:pPr>
        <w:rPr>
          <w:b/>
        </w:rPr>
      </w:pPr>
      <w:r>
        <w:rPr>
          <w:b/>
        </w:rPr>
        <w:t>2.</w:t>
      </w:r>
      <w:r>
        <w:rPr>
          <w:b/>
        </w:rPr>
        <w:tab/>
      </w:r>
      <w:r w:rsidR="00655974">
        <w:rPr>
          <w:b/>
        </w:rPr>
        <w:t>Applicability of IFC Performance Standard 2</w:t>
      </w:r>
    </w:p>
    <w:p w:rsidR="00526F04" w:rsidRDefault="00526F04" w:rsidP="00391C91">
      <w:r>
        <w:t xml:space="preserve">Participants agreed that </w:t>
      </w:r>
      <w:r w:rsidR="00387C6A">
        <w:t xml:space="preserve">the principles in </w:t>
      </w:r>
      <w:r w:rsidR="00A406F9">
        <w:t xml:space="preserve">IFC </w:t>
      </w:r>
      <w:r w:rsidR="001309F2">
        <w:t>PS</w:t>
      </w:r>
      <w:r>
        <w:t xml:space="preserve"> 2</w:t>
      </w:r>
      <w:r w:rsidR="00C40805">
        <w:t xml:space="preserve"> </w:t>
      </w:r>
      <w:r w:rsidR="00387C6A">
        <w:t xml:space="preserve">may be </w:t>
      </w:r>
      <w:r>
        <w:t xml:space="preserve">applicable for World Bank lending, but cautioned that </w:t>
      </w:r>
      <w:r w:rsidR="00F04514">
        <w:t xml:space="preserve">public sector lending is not always comparable with </w:t>
      </w:r>
      <w:r w:rsidR="00387C6A">
        <w:t xml:space="preserve">lending directly to </w:t>
      </w:r>
      <w:r w:rsidR="00F04514">
        <w:t>the private sector. Main poi</w:t>
      </w:r>
      <w:r w:rsidR="000146E3">
        <w:t>nts of the discussion included:</w:t>
      </w:r>
    </w:p>
    <w:p w:rsidR="00FF30BF" w:rsidRDefault="00FF30BF" w:rsidP="00FF30BF">
      <w:pPr>
        <w:pStyle w:val="ListParagraph"/>
        <w:numPr>
          <w:ilvl w:val="0"/>
          <w:numId w:val="11"/>
        </w:numPr>
      </w:pPr>
      <w:r>
        <w:t>Participants argued that a World Bank labor safeguard should be similar to PS2 as labor risks can become project risk if they are not addressed. Such risk can result in strikes, deaths, shutdowns, exploitative labor practices, and reputational risk for the World Bank.</w:t>
      </w:r>
      <w:r w:rsidR="006A3C4D">
        <w:t xml:space="preserve">  There are problem</w:t>
      </w:r>
      <w:r w:rsidR="006340FC">
        <w:t>s</w:t>
      </w:r>
      <w:r w:rsidR="006A3C4D">
        <w:t xml:space="preserve"> with PS2 implementation </w:t>
      </w:r>
      <w:r w:rsidR="0082484D">
        <w:t xml:space="preserve">and access to information in specific investments, </w:t>
      </w:r>
      <w:r w:rsidR="006A3C4D">
        <w:t>but the language of PS2 works</w:t>
      </w:r>
      <w:r w:rsidR="00947C56">
        <w:t>.</w:t>
      </w:r>
    </w:p>
    <w:p w:rsidR="0082484D" w:rsidRDefault="0082484D" w:rsidP="0082484D">
      <w:pPr>
        <w:pStyle w:val="ListParagraph"/>
        <w:numPr>
          <w:ilvl w:val="0"/>
          <w:numId w:val="11"/>
        </w:numPr>
      </w:pPr>
      <w:r>
        <w:t>Participants noted that the fundamental principles expressed in the ILO’s core labor standards, which are included in both PS 2 and the World Bank’s standard bidding document for procurement of works, are applicable to both private and public sector workers.</w:t>
      </w:r>
    </w:p>
    <w:p w:rsidR="00F04514" w:rsidRDefault="00D044AF" w:rsidP="00AE3A14">
      <w:pPr>
        <w:pStyle w:val="ListParagraph"/>
        <w:numPr>
          <w:ilvl w:val="0"/>
          <w:numId w:val="11"/>
        </w:numPr>
      </w:pPr>
      <w:r>
        <w:lastRenderedPageBreak/>
        <w:t xml:space="preserve">The IFC </w:t>
      </w:r>
      <w:r w:rsidR="0074654D">
        <w:t>PS2</w:t>
      </w:r>
      <w:r>
        <w:t xml:space="preserve"> </w:t>
      </w:r>
      <w:r w:rsidR="00957EDD">
        <w:t>is</w:t>
      </w:r>
      <w:r w:rsidR="00040B2A">
        <w:t xml:space="preserve"> adaptable and covers crucial areas beyond the ILO core labor standards</w:t>
      </w:r>
      <w:r w:rsidR="005109E4">
        <w:t xml:space="preserve">, including </w:t>
      </w:r>
      <w:r w:rsidR="0082484D">
        <w:t xml:space="preserve">some </w:t>
      </w:r>
      <w:r w:rsidR="005109E4">
        <w:t>issues of occupational health</w:t>
      </w:r>
      <w:r w:rsidR="0082484D">
        <w:t xml:space="preserve"> and safety</w:t>
      </w:r>
      <w:r w:rsidR="005109E4">
        <w:t xml:space="preserve"> and right to information for employees. </w:t>
      </w:r>
      <w:r w:rsidR="00B40CDD">
        <w:t xml:space="preserve">In fact, </w:t>
      </w:r>
      <w:r w:rsidR="006A3C4D">
        <w:t xml:space="preserve">parts of </w:t>
      </w:r>
      <w:r w:rsidR="00B40CDD">
        <w:t xml:space="preserve">PS2 </w:t>
      </w:r>
      <w:r w:rsidR="006A3C4D">
        <w:t xml:space="preserve">are </w:t>
      </w:r>
      <w:r w:rsidR="00B40CDD">
        <w:t>already being used in World Bank</w:t>
      </w:r>
      <w:r w:rsidR="00AB7FCB">
        <w:t>-funded construction</w:t>
      </w:r>
      <w:r w:rsidR="00B40CDD">
        <w:t xml:space="preserve"> projects as </w:t>
      </w:r>
      <w:r w:rsidR="006A3C4D">
        <w:t>these are reflected in the</w:t>
      </w:r>
      <w:r w:rsidR="00B40CDD">
        <w:t xml:space="preserve"> labor clauses in </w:t>
      </w:r>
      <w:r w:rsidR="006A3C4D">
        <w:t>the standard bidding documents</w:t>
      </w:r>
      <w:r w:rsidR="00ED41C3">
        <w:t xml:space="preserve"> for the procurement of works and services</w:t>
      </w:r>
      <w:r w:rsidR="00B40CDD">
        <w:t>,</w:t>
      </w:r>
      <w:r w:rsidR="006A3C4D">
        <w:t xml:space="preserve"> which are in turn common with other Multilateral Development Banks</w:t>
      </w:r>
      <w:r w:rsidR="008A4821">
        <w:t xml:space="preserve"> through the </w:t>
      </w:r>
      <w:r w:rsidR="006A3C4D">
        <w:t>FIDIC</w:t>
      </w:r>
      <w:r w:rsidR="008A4821">
        <w:t>-MDB harmonized construction contract</w:t>
      </w:r>
      <w:r w:rsidR="006A3C4D">
        <w:t>.  B</w:t>
      </w:r>
      <w:r w:rsidR="00B40CDD">
        <w:t xml:space="preserve">ut the World Bank does not </w:t>
      </w:r>
      <w:r w:rsidR="00C40805">
        <w:t xml:space="preserve">provide specific </w:t>
      </w:r>
      <w:r w:rsidR="00D522C8">
        <w:t xml:space="preserve">rules or </w:t>
      </w:r>
      <w:r w:rsidR="00C40805">
        <w:t xml:space="preserve">guidance on implementing </w:t>
      </w:r>
      <w:r w:rsidR="0030175E">
        <w:t>them</w:t>
      </w:r>
      <w:r w:rsidR="00C40805">
        <w:t xml:space="preserve">. </w:t>
      </w:r>
      <w:r w:rsidR="00957EDD">
        <w:t xml:space="preserve">A standard equivalent to </w:t>
      </w:r>
      <w:r w:rsidR="006A7E0D">
        <w:t xml:space="preserve">PS2 should be applied to World Bank projects to promote coherence across both institutions. </w:t>
      </w:r>
    </w:p>
    <w:p w:rsidR="0012647A" w:rsidRDefault="006A7E0D" w:rsidP="00AE3A14">
      <w:pPr>
        <w:pStyle w:val="ListParagraph"/>
        <w:numPr>
          <w:ilvl w:val="0"/>
          <w:numId w:val="11"/>
        </w:numPr>
      </w:pPr>
      <w:r>
        <w:t xml:space="preserve">Certain differences between private sector and public sector need to be taken into account. For instance, the World Bank needs to consider a broader context with regard to the influx of labor, geographic boundaries, and time horizons. </w:t>
      </w:r>
      <w:r w:rsidR="00547F6B">
        <w:t xml:space="preserve">Furthermore, in the case of World Bank projects, the client </w:t>
      </w:r>
      <w:r w:rsidR="00D60CAE">
        <w:t xml:space="preserve">(borrower) </w:t>
      </w:r>
      <w:r w:rsidR="00547F6B">
        <w:t>is not necessar</w:t>
      </w:r>
      <w:r w:rsidR="00ED07DA">
        <w:t>il</w:t>
      </w:r>
      <w:r w:rsidR="00547F6B">
        <w:t xml:space="preserve">y the </w:t>
      </w:r>
      <w:r w:rsidR="00D60CAE">
        <w:t xml:space="preserve">direct </w:t>
      </w:r>
      <w:r w:rsidR="00547F6B">
        <w:t xml:space="preserve">employer. </w:t>
      </w:r>
    </w:p>
    <w:p w:rsidR="00080512" w:rsidRDefault="0012647A" w:rsidP="00080512">
      <w:pPr>
        <w:pStyle w:val="ListParagraph"/>
        <w:numPr>
          <w:ilvl w:val="0"/>
          <w:numId w:val="11"/>
        </w:numPr>
      </w:pPr>
      <w:r>
        <w:t>If responsibility for occupational safety and health is to be on the client</w:t>
      </w:r>
      <w:r w:rsidR="002E6F86">
        <w:t xml:space="preserve"> (borrower)</w:t>
      </w:r>
      <w:r>
        <w:t>, the capacity of state institutions with regard to labor safeguards and national legal systems need</w:t>
      </w:r>
      <w:r w:rsidR="00C8034C">
        <w:t>s</w:t>
      </w:r>
      <w:r>
        <w:t xml:space="preserve"> to be strengthened.</w:t>
      </w:r>
      <w:r w:rsidR="007005F8">
        <w:t xml:space="preserve"> </w:t>
      </w:r>
      <w:r w:rsidR="00D9657A">
        <w:t xml:space="preserve">Governments should be enabled and encouraged to do their own assessments and put in place audit systems. </w:t>
      </w:r>
      <w:r w:rsidR="00080512">
        <w:t xml:space="preserve">The World Bank should be willing to assume some responsibility for monitoring the extent to which contractors are fulfilling labor obligations, as country systems with low capacity may not be able to guarantee compliance. </w:t>
      </w:r>
    </w:p>
    <w:p w:rsidR="006A7E0D" w:rsidRDefault="004E4E48" w:rsidP="00AE3A14">
      <w:pPr>
        <w:pStyle w:val="ListParagraph"/>
        <w:numPr>
          <w:ilvl w:val="0"/>
          <w:numId w:val="11"/>
        </w:numPr>
      </w:pPr>
      <w:r>
        <w:t>Occupational health and safety need to be addressed more comprehensively tha</w:t>
      </w:r>
      <w:r w:rsidR="00D51BD2">
        <w:t>n</w:t>
      </w:r>
      <w:r>
        <w:t xml:space="preserve"> it currently is in PS2. </w:t>
      </w:r>
      <w:r w:rsidR="005D4E2D">
        <w:t>At this time</w:t>
      </w:r>
      <w:r w:rsidR="00BD176C">
        <w:t>,</w:t>
      </w:r>
      <w:r w:rsidR="005D4E2D">
        <w:t xml:space="preserve"> </w:t>
      </w:r>
      <w:r w:rsidR="008C5447">
        <w:t xml:space="preserve">PS2 focuses on employers and does not allow room for </w:t>
      </w:r>
      <w:r w:rsidR="007B2042">
        <w:t>participation and</w:t>
      </w:r>
      <w:r w:rsidR="008C5447">
        <w:t xml:space="preserve"> </w:t>
      </w:r>
      <w:r w:rsidR="0082484D">
        <w:t xml:space="preserve">the </w:t>
      </w:r>
      <w:r w:rsidR="008C5447">
        <w:t xml:space="preserve">concept of voice of workers through health and safety committees.  </w:t>
      </w:r>
      <w:r w:rsidR="00D522C8">
        <w:t xml:space="preserve">PS2 also does not include the good HIV/AIDS prevention language of the Bank’s standard bidding document.  </w:t>
      </w:r>
      <w:r>
        <w:t>Safety and health assessments should be mandated</w:t>
      </w:r>
      <w:r w:rsidR="008C5447">
        <w:t xml:space="preserve"> (though the timing of such an assessment is different from environmental assessments, which also do not promote worker participation)</w:t>
      </w:r>
      <w:r>
        <w:t xml:space="preserve">. </w:t>
      </w:r>
      <w:r w:rsidR="0012647A">
        <w:t xml:space="preserve">Occupational safety and health issues should be addressed throughout the </w:t>
      </w:r>
      <w:r w:rsidR="00D51BD2">
        <w:t xml:space="preserve">entire </w:t>
      </w:r>
      <w:r w:rsidR="0012647A">
        <w:t xml:space="preserve">duration of any project. </w:t>
      </w:r>
    </w:p>
    <w:p w:rsidR="008C5447" w:rsidRDefault="008C5447" w:rsidP="00AE3A14">
      <w:pPr>
        <w:pStyle w:val="ListParagraph"/>
        <w:numPr>
          <w:ilvl w:val="0"/>
          <w:numId w:val="11"/>
        </w:numPr>
      </w:pPr>
      <w:r>
        <w:t>PS2 cannot stand on its own – it must be coupled with P</w:t>
      </w:r>
      <w:r w:rsidR="00776D18">
        <w:t>erformance Standard 1</w:t>
      </w:r>
      <w:r w:rsidR="00374AC0">
        <w:t xml:space="preserve"> (PS1)</w:t>
      </w:r>
      <w:r>
        <w:t xml:space="preserve"> </w:t>
      </w:r>
      <w:r w:rsidR="00F65090">
        <w:t>for Assessment and Management of Environmental and Social Risks and Impacts</w:t>
      </w:r>
      <w:r w:rsidR="005D4E2D">
        <w:t xml:space="preserve"> </w:t>
      </w:r>
      <w:r>
        <w:t xml:space="preserve">and the </w:t>
      </w:r>
      <w:r w:rsidR="005D4E2D">
        <w:t xml:space="preserve">World Bank Group </w:t>
      </w:r>
      <w:r>
        <w:t>Environmental, Health and Safety Guidelines</w:t>
      </w:r>
      <w:r w:rsidR="005D4E2D">
        <w:t>.</w:t>
      </w:r>
    </w:p>
    <w:p w:rsidR="0012647A" w:rsidRDefault="00771683" w:rsidP="00AE3A14">
      <w:pPr>
        <w:pStyle w:val="ListParagraph"/>
        <w:numPr>
          <w:ilvl w:val="0"/>
          <w:numId w:val="11"/>
        </w:numPr>
      </w:pPr>
      <w:r>
        <w:t xml:space="preserve">Directions for implementation and strategies to ensure compliance need to be in place. </w:t>
      </w:r>
    </w:p>
    <w:p w:rsidR="00387C6A" w:rsidRDefault="00387C6A" w:rsidP="00AE3A14">
      <w:pPr>
        <w:pStyle w:val="ListParagraph"/>
        <w:numPr>
          <w:ilvl w:val="0"/>
          <w:numId w:val="11"/>
        </w:numPr>
      </w:pPr>
      <w:r>
        <w:t>Grievance mechanisms need to be in place to make this safeguard efficient.</w:t>
      </w:r>
      <w:r w:rsidR="00781045">
        <w:t xml:space="preserve">  IFC’s experiment with the labor portal (a dedicated complaint mechanism for unions on issues related to PS2) is something that the Bank should consider</w:t>
      </w:r>
      <w:r w:rsidR="00D522C8">
        <w:t>, ensuring that the mechanisms respect basic criteria of transparency and accountability</w:t>
      </w:r>
      <w:r w:rsidR="00781045">
        <w:t>.</w:t>
      </w:r>
    </w:p>
    <w:p w:rsidR="0038118F" w:rsidRDefault="0038118F" w:rsidP="00AE3A14">
      <w:pPr>
        <w:pStyle w:val="ListParagraph"/>
        <w:numPr>
          <w:ilvl w:val="0"/>
          <w:numId w:val="11"/>
        </w:numPr>
      </w:pPr>
      <w:r>
        <w:t xml:space="preserve">Clear rules for </w:t>
      </w:r>
      <w:r w:rsidR="00D522C8">
        <w:t xml:space="preserve">ensuring compliance </w:t>
      </w:r>
      <w:r w:rsidR="00781045">
        <w:t xml:space="preserve">with </w:t>
      </w:r>
      <w:r w:rsidR="00A772A6">
        <w:t xml:space="preserve">the safeguard independently of parallel national </w:t>
      </w:r>
      <w:r>
        <w:t>judicial proceedings need to be in place</w:t>
      </w:r>
      <w:r w:rsidR="00781045">
        <w:t>.  A</w:t>
      </w:r>
      <w:r>
        <w:t xml:space="preserve">n example here could be </w:t>
      </w:r>
      <w:r w:rsidR="00A772A6">
        <w:t xml:space="preserve">the procedural guidelines for </w:t>
      </w:r>
      <w:r>
        <w:t>the OECD</w:t>
      </w:r>
      <w:r w:rsidR="00F65090">
        <w:t xml:space="preserve"> Guidelines for Multinational Enterprises (</w:t>
      </w:r>
      <w:r w:rsidR="00781045">
        <w:t>MNE</w:t>
      </w:r>
      <w:r w:rsidR="00F65090">
        <w:t>)</w:t>
      </w:r>
      <w:r>
        <w:t xml:space="preserve">. </w:t>
      </w:r>
    </w:p>
    <w:p w:rsidR="00F65090" w:rsidRDefault="00F65090" w:rsidP="00F65090">
      <w:pPr>
        <w:ind w:left="360"/>
      </w:pPr>
    </w:p>
    <w:p w:rsidR="007676BC" w:rsidRPr="007676BC" w:rsidRDefault="007676BC" w:rsidP="007676BC">
      <w:pPr>
        <w:rPr>
          <w:b/>
        </w:rPr>
      </w:pPr>
      <w:r w:rsidRPr="007676BC">
        <w:rPr>
          <w:b/>
        </w:rPr>
        <w:t>3.</w:t>
      </w:r>
      <w:r w:rsidRPr="007676BC">
        <w:rPr>
          <w:b/>
        </w:rPr>
        <w:tab/>
      </w:r>
      <w:r w:rsidR="00655974">
        <w:rPr>
          <w:b/>
        </w:rPr>
        <w:t>The role of labor safeguards in procurement and contracts</w:t>
      </w:r>
    </w:p>
    <w:p w:rsidR="007676BC" w:rsidRDefault="007676BC" w:rsidP="007676BC">
      <w:r w:rsidRPr="00F72BD0">
        <w:t xml:space="preserve">The group </w:t>
      </w:r>
      <w:r w:rsidR="00F72BD0">
        <w:t>agreed that</w:t>
      </w:r>
      <w:r w:rsidR="00B558CC">
        <w:t xml:space="preserve"> specific </w:t>
      </w:r>
      <w:r w:rsidR="00F72BD0">
        <w:t xml:space="preserve">labor </w:t>
      </w:r>
      <w:r w:rsidR="00C46B63">
        <w:t>requirements</w:t>
      </w:r>
      <w:r w:rsidR="00F72BD0">
        <w:t xml:space="preserve"> </w:t>
      </w:r>
      <w:r w:rsidR="00C46B63">
        <w:t xml:space="preserve">are </w:t>
      </w:r>
      <w:r w:rsidR="00F72BD0">
        <w:t>need</w:t>
      </w:r>
      <w:r w:rsidR="00C46B63">
        <w:t>ed</w:t>
      </w:r>
      <w:r w:rsidR="00F72BD0">
        <w:t xml:space="preserve"> at the stage of procurement. </w:t>
      </w:r>
      <w:r w:rsidR="00E87EE7">
        <w:t xml:space="preserve">A recurrent issue </w:t>
      </w:r>
      <w:r w:rsidR="00504518">
        <w:t xml:space="preserve">in the discussion </w:t>
      </w:r>
      <w:r w:rsidR="00E87EE7">
        <w:t>was the compliance</w:t>
      </w:r>
      <w:r w:rsidR="00F65090">
        <w:t xml:space="preserve"> </w:t>
      </w:r>
      <w:r w:rsidR="00C46B63">
        <w:t>monitoring</w:t>
      </w:r>
      <w:r w:rsidR="00E87EE7">
        <w:t xml:space="preserve"> </w:t>
      </w:r>
      <w:r w:rsidR="00C46B63">
        <w:t>of</w:t>
      </w:r>
      <w:r w:rsidR="00E87EE7">
        <w:t xml:space="preserve"> contract</w:t>
      </w:r>
      <w:r w:rsidR="00C46B63">
        <w:t>s</w:t>
      </w:r>
      <w:r w:rsidR="00B558CC">
        <w:t xml:space="preserve">. There were also questions related to </w:t>
      </w:r>
      <w:r w:rsidR="00C46B63">
        <w:lastRenderedPageBreak/>
        <w:t xml:space="preserve">whether </w:t>
      </w:r>
      <w:r w:rsidR="00E87EE7">
        <w:t>grievance mechanisms</w:t>
      </w:r>
      <w:r w:rsidR="00C46B63">
        <w:t xml:space="preserve"> are needed for labor issues in procurement</w:t>
      </w:r>
      <w:r w:rsidR="00E87EE7">
        <w:t>. Further s</w:t>
      </w:r>
      <w:r w:rsidR="00583C42">
        <w:t xml:space="preserve">pecific points raised with regard to the role of labor </w:t>
      </w:r>
      <w:r w:rsidR="00C46B63">
        <w:t>requirements</w:t>
      </w:r>
      <w:r w:rsidR="00583C42">
        <w:t xml:space="preserve"> in procurement included</w:t>
      </w:r>
      <w:r w:rsidR="00C46B63">
        <w:t xml:space="preserve"> the following</w:t>
      </w:r>
      <w:r w:rsidR="00583C42">
        <w:t xml:space="preserve">: </w:t>
      </w:r>
    </w:p>
    <w:p w:rsidR="0062110F" w:rsidRDefault="0062110F" w:rsidP="00664310">
      <w:pPr>
        <w:pStyle w:val="ListParagraph"/>
        <w:numPr>
          <w:ilvl w:val="0"/>
          <w:numId w:val="3"/>
        </w:numPr>
      </w:pPr>
      <w:r>
        <w:t xml:space="preserve">The World Bank is not involved in the process of contract management, which makes monitoring of compliance with labor standards difficult. Therefore, </w:t>
      </w:r>
      <w:r w:rsidR="00E250A9">
        <w:t xml:space="preserve">Bank </w:t>
      </w:r>
      <w:r>
        <w:t>procurement</w:t>
      </w:r>
      <w:r w:rsidR="00E250A9">
        <w:t xml:space="preserve"> </w:t>
      </w:r>
      <w:r w:rsidR="005D4E2D">
        <w:t>staff</w:t>
      </w:r>
      <w:r>
        <w:t xml:space="preserve"> should become more inv</w:t>
      </w:r>
      <w:r w:rsidR="007632CD">
        <w:t>olved with contract management, the development of local industries</w:t>
      </w:r>
      <w:r w:rsidR="00B558CC">
        <w:t xml:space="preserve"> capable of meeting basic labor standards</w:t>
      </w:r>
      <w:r w:rsidR="007632CD">
        <w:t xml:space="preserve">, and capacity building. </w:t>
      </w:r>
    </w:p>
    <w:p w:rsidR="00664310" w:rsidRDefault="00E250A9" w:rsidP="00664310">
      <w:pPr>
        <w:pStyle w:val="ListParagraph"/>
        <w:numPr>
          <w:ilvl w:val="0"/>
          <w:numId w:val="3"/>
        </w:numPr>
      </w:pPr>
      <w:r>
        <w:t>Even if</w:t>
      </w:r>
      <w:r w:rsidR="00B558CC">
        <w:t xml:space="preserve"> </w:t>
      </w:r>
      <w:r w:rsidR="00A95B24">
        <w:t>the client</w:t>
      </w:r>
      <w:r>
        <w:t xml:space="preserve"> (the borrower)</w:t>
      </w:r>
      <w:r w:rsidR="00A95B24">
        <w:t xml:space="preserve"> is not necessarily the </w:t>
      </w:r>
      <w:r w:rsidR="00B558CC">
        <w:t xml:space="preserve">direct </w:t>
      </w:r>
      <w:r w:rsidR="00A95B24">
        <w:t>employer</w:t>
      </w:r>
      <w:r w:rsidR="00E4468C">
        <w:t xml:space="preserve"> (</w:t>
      </w:r>
      <w:r>
        <w:t>as companies hire workers</w:t>
      </w:r>
      <w:r w:rsidR="00E4468C">
        <w:t>)</w:t>
      </w:r>
      <w:r w:rsidR="0015454D">
        <w:t>,</w:t>
      </w:r>
      <w:r w:rsidR="00583C42">
        <w:t xml:space="preserve"> the client</w:t>
      </w:r>
      <w:r>
        <w:t xml:space="preserve"> still</w:t>
      </w:r>
      <w:r w:rsidR="00583C42">
        <w:t xml:space="preserve"> needs to be responsible </w:t>
      </w:r>
      <w:r w:rsidR="00561D63">
        <w:t xml:space="preserve">for compliance with labor standards. </w:t>
      </w:r>
      <w:r w:rsidR="008B0CD5">
        <w:t xml:space="preserve">The borrower should be responsible for contractors across the entire chain of contracting. </w:t>
      </w:r>
    </w:p>
    <w:p w:rsidR="002E6F86" w:rsidRDefault="00B31299" w:rsidP="00664310">
      <w:pPr>
        <w:pStyle w:val="ListParagraph"/>
        <w:numPr>
          <w:ilvl w:val="0"/>
          <w:numId w:val="3"/>
        </w:numPr>
      </w:pPr>
      <w:r>
        <w:t xml:space="preserve">With regard to World Bank </w:t>
      </w:r>
      <w:r w:rsidR="00F65090">
        <w:t>l</w:t>
      </w:r>
      <w:r w:rsidR="005D4E2D">
        <w:t>ending</w:t>
      </w:r>
      <w:r>
        <w:t xml:space="preserve">, the </w:t>
      </w:r>
      <w:r w:rsidR="005D4E2D">
        <w:t>borrower/</w:t>
      </w:r>
      <w:r w:rsidR="00892E1C">
        <w:t xml:space="preserve"> </w:t>
      </w:r>
      <w:r>
        <w:t xml:space="preserve">client is both a participant in the market and a regulator of the market. </w:t>
      </w:r>
    </w:p>
    <w:p w:rsidR="00B31299" w:rsidRDefault="00B31299" w:rsidP="00664310">
      <w:pPr>
        <w:pStyle w:val="ListParagraph"/>
        <w:numPr>
          <w:ilvl w:val="0"/>
          <w:numId w:val="3"/>
        </w:numPr>
      </w:pPr>
      <w:r>
        <w:t>Labor standards need to be addressed at a very early stage of pr</w:t>
      </w:r>
      <w:r w:rsidR="003B3D73">
        <w:t xml:space="preserve">ocurement, especially in large infrastructure projects. </w:t>
      </w:r>
    </w:p>
    <w:p w:rsidR="00BE518E" w:rsidRDefault="00E56763" w:rsidP="00BE518E">
      <w:pPr>
        <w:pStyle w:val="ListParagraph"/>
        <w:numPr>
          <w:ilvl w:val="0"/>
          <w:numId w:val="3"/>
        </w:numPr>
      </w:pPr>
      <w:r>
        <w:t xml:space="preserve">The World Bank needs to provide strong guidance to governments to enable them to uphold labor standards throughout procurement </w:t>
      </w:r>
      <w:r w:rsidR="00D54C72">
        <w:t xml:space="preserve">(evaluation of tenders with regard to labor issues) </w:t>
      </w:r>
      <w:r>
        <w:t xml:space="preserve">and the project implementation process. </w:t>
      </w:r>
      <w:r w:rsidR="00CF75A8">
        <w:t xml:space="preserve">Contract </w:t>
      </w:r>
      <w:r w:rsidR="003B065D">
        <w:t xml:space="preserve">clauses that require compliance with labor safeguards before future payments can be released would be one possible approach. </w:t>
      </w:r>
      <w:r w:rsidR="00BE518E">
        <w:t xml:space="preserve">As the World Bank cannot intervene in contract implementation, labor </w:t>
      </w:r>
      <w:r w:rsidR="00C46B63">
        <w:t>requirements</w:t>
      </w:r>
      <w:r w:rsidR="00BE518E">
        <w:t xml:space="preserve"> need to be established at procurement stage and need to be a factor in contract awarding. Subsequent monitoring and due diligence mechanisms are essential. </w:t>
      </w:r>
    </w:p>
    <w:p w:rsidR="00BE518E" w:rsidRDefault="00BE518E" w:rsidP="00BE518E">
      <w:pPr>
        <w:pStyle w:val="ListParagraph"/>
        <w:numPr>
          <w:ilvl w:val="0"/>
          <w:numId w:val="3"/>
        </w:numPr>
      </w:pPr>
      <w:r>
        <w:t xml:space="preserve">Labor </w:t>
      </w:r>
      <w:r w:rsidR="00C46B63">
        <w:t>requirements</w:t>
      </w:r>
      <w:r>
        <w:t xml:space="preserve"> should be part of the Standard Bidding Documents and should be considered a legal obligation in the </w:t>
      </w:r>
      <w:r w:rsidR="00E40130">
        <w:t>contract</w:t>
      </w:r>
      <w:r>
        <w:t xml:space="preserve">. </w:t>
      </w:r>
    </w:p>
    <w:p w:rsidR="00664310" w:rsidRDefault="003B065D" w:rsidP="00664310">
      <w:pPr>
        <w:pStyle w:val="ListParagraph"/>
        <w:numPr>
          <w:ilvl w:val="0"/>
          <w:numId w:val="3"/>
        </w:numPr>
      </w:pPr>
      <w:r>
        <w:t xml:space="preserve">The World Bank needs to be able to impose penalties on parties that violate labor safeguards. </w:t>
      </w:r>
    </w:p>
    <w:p w:rsidR="00E250A9" w:rsidRDefault="00E250A9" w:rsidP="00664310">
      <w:pPr>
        <w:pStyle w:val="ListParagraph"/>
        <w:numPr>
          <w:ilvl w:val="0"/>
          <w:numId w:val="3"/>
        </w:numPr>
      </w:pPr>
      <w:r>
        <w:t>The question of labor safeguards</w:t>
      </w:r>
      <w:r w:rsidR="00C46B63">
        <w:t xml:space="preserve"> and their relationship to labor requirements in procurement</w:t>
      </w:r>
      <w:r>
        <w:t xml:space="preserve"> needs to be figure</w:t>
      </w:r>
      <w:r w:rsidR="00C46B63">
        <w:t>d</w:t>
      </w:r>
      <w:r>
        <w:t xml:space="preserve"> out in tandem.</w:t>
      </w:r>
    </w:p>
    <w:p w:rsidR="00F65090" w:rsidRDefault="00F65090" w:rsidP="00F65090">
      <w:pPr>
        <w:ind w:left="360"/>
      </w:pPr>
    </w:p>
    <w:p w:rsidR="00276622" w:rsidRDefault="00276622" w:rsidP="00276622">
      <w:pPr>
        <w:rPr>
          <w:b/>
        </w:rPr>
      </w:pPr>
      <w:r>
        <w:rPr>
          <w:b/>
        </w:rPr>
        <w:t>4.</w:t>
      </w:r>
      <w:r>
        <w:rPr>
          <w:b/>
        </w:rPr>
        <w:tab/>
      </w:r>
      <w:r w:rsidR="0070756E">
        <w:rPr>
          <w:b/>
        </w:rPr>
        <w:t>“Doing good” in addition to “doing no harm”</w:t>
      </w:r>
    </w:p>
    <w:p w:rsidR="004444BA" w:rsidRDefault="00564D61" w:rsidP="00141124">
      <w:pPr>
        <w:pStyle w:val="ListParagraph"/>
        <w:numPr>
          <w:ilvl w:val="0"/>
          <w:numId w:val="4"/>
        </w:numPr>
      </w:pPr>
      <w:r>
        <w:t xml:space="preserve">While labor safeguards should encourage “doing god” and “doing better,” </w:t>
      </w:r>
      <w:r w:rsidR="00903A3D">
        <w:t xml:space="preserve">the safeguard process should not be overloaded by trying to fix </w:t>
      </w:r>
      <w:r w:rsidR="007C6779">
        <w:t>problems</w:t>
      </w:r>
      <w:r w:rsidR="00903A3D">
        <w:t xml:space="preserve"> outside the scope of a project. </w:t>
      </w:r>
    </w:p>
    <w:p w:rsidR="009648BF" w:rsidRDefault="00A96077" w:rsidP="00141124">
      <w:pPr>
        <w:pStyle w:val="ListParagraph"/>
        <w:numPr>
          <w:ilvl w:val="0"/>
          <w:numId w:val="4"/>
        </w:numPr>
      </w:pPr>
      <w:r>
        <w:t>However, a</w:t>
      </w:r>
      <w:r w:rsidR="009648BF">
        <w:t xml:space="preserve"> labor </w:t>
      </w:r>
      <w:r w:rsidR="00521193">
        <w:t xml:space="preserve">safeguard policy could be the start of </w:t>
      </w:r>
      <w:r w:rsidR="00FA1CF1">
        <w:t xml:space="preserve">national </w:t>
      </w:r>
      <w:r w:rsidR="00521193">
        <w:t xml:space="preserve">dialogue, especially with countries where bad practices have been observed. Some governments need to have extra incentive </w:t>
      </w:r>
      <w:r w:rsidR="00C55E6B">
        <w:t xml:space="preserve">to work on improving practices, </w:t>
      </w:r>
      <w:r w:rsidR="00E911BC">
        <w:t xml:space="preserve">and </w:t>
      </w:r>
      <w:r w:rsidR="00C55E6B">
        <w:t xml:space="preserve">the World Bank could use its leverage here. </w:t>
      </w:r>
      <w:r w:rsidR="00F47BC6">
        <w:t>Ethical prac</w:t>
      </w:r>
      <w:r w:rsidR="009A7601">
        <w:t>tices of clients and employers</w:t>
      </w:r>
      <w:r w:rsidR="00F47BC6">
        <w:t xml:space="preserve"> should be rewarded to foster them. </w:t>
      </w:r>
    </w:p>
    <w:p w:rsidR="00141124" w:rsidRDefault="00BA0D56" w:rsidP="004444BA">
      <w:pPr>
        <w:pStyle w:val="ListParagraph"/>
        <w:numPr>
          <w:ilvl w:val="0"/>
          <w:numId w:val="4"/>
        </w:numPr>
      </w:pPr>
      <w:r>
        <w:t xml:space="preserve">Standards regarding occupational health and safety can be used to develop country capacity and strengthen country institutions with lasting impact. </w:t>
      </w:r>
      <w:r w:rsidR="00A33F4B">
        <w:t xml:space="preserve">This would also require </w:t>
      </w:r>
      <w:r w:rsidR="000343AE">
        <w:t xml:space="preserve">capacity building and the anchoring of </w:t>
      </w:r>
      <w:r w:rsidR="00141124">
        <w:t xml:space="preserve">safety and health in curricula and competency standards. </w:t>
      </w:r>
      <w:r w:rsidR="000343AE">
        <w:t>Capacity building itself contributes to “doing good” beyon</w:t>
      </w:r>
      <w:r w:rsidR="00380639">
        <w:t>d</w:t>
      </w:r>
      <w:r w:rsidR="000343AE">
        <w:t xml:space="preserve"> “doing no harm</w:t>
      </w:r>
      <w:r w:rsidR="00380639">
        <w:t>.”</w:t>
      </w:r>
    </w:p>
    <w:p w:rsidR="00141124" w:rsidRDefault="003D5048" w:rsidP="005254C9">
      <w:pPr>
        <w:pStyle w:val="ListParagraph"/>
        <w:numPr>
          <w:ilvl w:val="0"/>
          <w:numId w:val="4"/>
        </w:numPr>
      </w:pPr>
      <w:r>
        <w:t xml:space="preserve">Good practices should be captured and shared. </w:t>
      </w:r>
    </w:p>
    <w:sectPr w:rsidR="00141124" w:rsidSect="001E665C">
      <w:headerReference w:type="default" r:id="rId16"/>
      <w:footerReference w:type="default" r:id="rId1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1B7" w:rsidRDefault="00EB51B7" w:rsidP="00D06964">
      <w:pPr>
        <w:spacing w:after="0" w:line="240" w:lineRule="auto"/>
      </w:pPr>
      <w:r>
        <w:separator/>
      </w:r>
    </w:p>
  </w:endnote>
  <w:endnote w:type="continuationSeparator" w:id="0">
    <w:p w:rsidR="00EB51B7" w:rsidRDefault="00EB51B7" w:rsidP="00D0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513982889"/>
      <w:docPartObj>
        <w:docPartGallery w:val="Page Numbers (Bottom of Page)"/>
        <w:docPartUnique/>
      </w:docPartObj>
    </w:sdtPr>
    <w:sdtEndPr>
      <w:rPr>
        <w:noProof/>
      </w:rPr>
    </w:sdtEndPr>
    <w:sdtContent>
      <w:p w:rsidR="00F76D62" w:rsidRPr="008D0B66" w:rsidRDefault="008D0B66">
        <w:pPr>
          <w:pStyle w:val="Footer"/>
          <w:jc w:val="right"/>
          <w:rPr>
            <w:sz w:val="16"/>
            <w:szCs w:val="16"/>
          </w:rPr>
        </w:pPr>
        <w:r w:rsidRPr="008D0B66">
          <w:rPr>
            <w:sz w:val="16"/>
            <w:szCs w:val="16"/>
          </w:rPr>
          <w:t xml:space="preserve">Summary Note – Expert Focus Group Meeting on Labor and Occupational Health and Safety </w:t>
        </w:r>
        <w:r w:rsidRPr="008D0B66">
          <w:rPr>
            <w:sz w:val="16"/>
            <w:szCs w:val="16"/>
          </w:rPr>
          <w:tab/>
        </w:r>
        <w:r w:rsidR="00D81141" w:rsidRPr="008D0B66">
          <w:rPr>
            <w:sz w:val="16"/>
            <w:szCs w:val="16"/>
          </w:rPr>
          <w:fldChar w:fldCharType="begin"/>
        </w:r>
        <w:r w:rsidR="00F76D62" w:rsidRPr="008D0B66">
          <w:rPr>
            <w:sz w:val="16"/>
            <w:szCs w:val="16"/>
          </w:rPr>
          <w:instrText xml:space="preserve"> PAGE   \* MERGEFORMAT </w:instrText>
        </w:r>
        <w:r w:rsidR="00D81141" w:rsidRPr="008D0B66">
          <w:rPr>
            <w:sz w:val="16"/>
            <w:szCs w:val="16"/>
          </w:rPr>
          <w:fldChar w:fldCharType="separate"/>
        </w:r>
        <w:r w:rsidR="009539C6">
          <w:rPr>
            <w:noProof/>
            <w:sz w:val="16"/>
            <w:szCs w:val="16"/>
          </w:rPr>
          <w:t>1</w:t>
        </w:r>
        <w:r w:rsidR="00D81141" w:rsidRPr="008D0B66">
          <w:rPr>
            <w:noProof/>
            <w:sz w:val="16"/>
            <w:szCs w:val="16"/>
          </w:rPr>
          <w:fldChar w:fldCharType="end"/>
        </w:r>
      </w:p>
    </w:sdtContent>
  </w:sdt>
  <w:p w:rsidR="00F76D62" w:rsidRDefault="00F76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1B7" w:rsidRDefault="00EB51B7" w:rsidP="00D06964">
      <w:pPr>
        <w:spacing w:after="0" w:line="240" w:lineRule="auto"/>
      </w:pPr>
      <w:r>
        <w:separator/>
      </w:r>
    </w:p>
  </w:footnote>
  <w:footnote w:type="continuationSeparator" w:id="0">
    <w:p w:rsidR="00EB51B7" w:rsidRDefault="00EB51B7" w:rsidP="00D06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24" w:rsidRDefault="00761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526"/>
    <w:multiLevelType w:val="hybridMultilevel"/>
    <w:tmpl w:val="2C90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61D56"/>
    <w:multiLevelType w:val="hybridMultilevel"/>
    <w:tmpl w:val="68AAD2B4"/>
    <w:lvl w:ilvl="0" w:tplc="0409000F">
      <w:start w:val="1"/>
      <w:numFmt w:val="decimal"/>
      <w:lvlText w:val="%1."/>
      <w:lvlJc w:val="left"/>
      <w:pPr>
        <w:tabs>
          <w:tab w:val="num" w:pos="720"/>
        </w:tabs>
        <w:ind w:left="720" w:hanging="360"/>
      </w:pPr>
      <w:rPr>
        <w:rFonts w:hint="default"/>
      </w:rPr>
    </w:lvl>
    <w:lvl w:ilvl="1" w:tplc="E5EAD314">
      <w:start w:val="1"/>
      <w:numFmt w:val="bullet"/>
      <w:lvlText w:val="•"/>
      <w:lvlJc w:val="left"/>
      <w:pPr>
        <w:tabs>
          <w:tab w:val="num" w:pos="1440"/>
        </w:tabs>
        <w:ind w:left="1440" w:hanging="360"/>
      </w:pPr>
      <w:rPr>
        <w:rFonts w:ascii="Arial" w:hAnsi="Arial" w:cs="Times New Roman" w:hint="default"/>
      </w:rPr>
    </w:lvl>
    <w:lvl w:ilvl="2" w:tplc="3F7E2C44">
      <w:start w:val="1"/>
      <w:numFmt w:val="bullet"/>
      <w:lvlText w:val="•"/>
      <w:lvlJc w:val="left"/>
      <w:pPr>
        <w:tabs>
          <w:tab w:val="num" w:pos="2160"/>
        </w:tabs>
        <w:ind w:left="2160" w:hanging="360"/>
      </w:pPr>
      <w:rPr>
        <w:rFonts w:ascii="Arial" w:hAnsi="Arial" w:cs="Times New Roman" w:hint="default"/>
      </w:rPr>
    </w:lvl>
    <w:lvl w:ilvl="3" w:tplc="7B980770">
      <w:start w:val="1"/>
      <w:numFmt w:val="bullet"/>
      <w:lvlText w:val="•"/>
      <w:lvlJc w:val="left"/>
      <w:pPr>
        <w:tabs>
          <w:tab w:val="num" w:pos="2880"/>
        </w:tabs>
        <w:ind w:left="2880" w:hanging="360"/>
      </w:pPr>
      <w:rPr>
        <w:rFonts w:ascii="Arial" w:hAnsi="Arial" w:cs="Times New Roman" w:hint="default"/>
      </w:rPr>
    </w:lvl>
    <w:lvl w:ilvl="4" w:tplc="D4F67864">
      <w:start w:val="1"/>
      <w:numFmt w:val="bullet"/>
      <w:lvlText w:val="•"/>
      <w:lvlJc w:val="left"/>
      <w:pPr>
        <w:tabs>
          <w:tab w:val="num" w:pos="3600"/>
        </w:tabs>
        <w:ind w:left="3600" w:hanging="360"/>
      </w:pPr>
      <w:rPr>
        <w:rFonts w:ascii="Arial" w:hAnsi="Arial" w:cs="Times New Roman" w:hint="default"/>
      </w:rPr>
    </w:lvl>
    <w:lvl w:ilvl="5" w:tplc="FCB8ADD4">
      <w:start w:val="1"/>
      <w:numFmt w:val="bullet"/>
      <w:lvlText w:val="•"/>
      <w:lvlJc w:val="left"/>
      <w:pPr>
        <w:tabs>
          <w:tab w:val="num" w:pos="4320"/>
        </w:tabs>
        <w:ind w:left="4320" w:hanging="360"/>
      </w:pPr>
      <w:rPr>
        <w:rFonts w:ascii="Arial" w:hAnsi="Arial" w:cs="Times New Roman" w:hint="default"/>
      </w:rPr>
    </w:lvl>
    <w:lvl w:ilvl="6" w:tplc="17BE35B0">
      <w:start w:val="1"/>
      <w:numFmt w:val="bullet"/>
      <w:lvlText w:val="•"/>
      <w:lvlJc w:val="left"/>
      <w:pPr>
        <w:tabs>
          <w:tab w:val="num" w:pos="5040"/>
        </w:tabs>
        <w:ind w:left="5040" w:hanging="360"/>
      </w:pPr>
      <w:rPr>
        <w:rFonts w:ascii="Arial" w:hAnsi="Arial" w:cs="Times New Roman" w:hint="default"/>
      </w:rPr>
    </w:lvl>
    <w:lvl w:ilvl="7" w:tplc="0A3E30E6">
      <w:start w:val="1"/>
      <w:numFmt w:val="bullet"/>
      <w:lvlText w:val="•"/>
      <w:lvlJc w:val="left"/>
      <w:pPr>
        <w:tabs>
          <w:tab w:val="num" w:pos="5760"/>
        </w:tabs>
        <w:ind w:left="5760" w:hanging="360"/>
      </w:pPr>
      <w:rPr>
        <w:rFonts w:ascii="Arial" w:hAnsi="Arial" w:cs="Times New Roman" w:hint="default"/>
      </w:rPr>
    </w:lvl>
    <w:lvl w:ilvl="8" w:tplc="7374A562">
      <w:start w:val="1"/>
      <w:numFmt w:val="bullet"/>
      <w:lvlText w:val="•"/>
      <w:lvlJc w:val="left"/>
      <w:pPr>
        <w:tabs>
          <w:tab w:val="num" w:pos="6480"/>
        </w:tabs>
        <w:ind w:left="6480" w:hanging="360"/>
      </w:pPr>
      <w:rPr>
        <w:rFonts w:ascii="Arial" w:hAnsi="Arial" w:cs="Times New Roman" w:hint="default"/>
      </w:rPr>
    </w:lvl>
  </w:abstractNum>
  <w:abstractNum w:abstractNumId="2">
    <w:nsid w:val="2B1D2F41"/>
    <w:multiLevelType w:val="hybridMultilevel"/>
    <w:tmpl w:val="F74A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958E4"/>
    <w:multiLevelType w:val="hybridMultilevel"/>
    <w:tmpl w:val="C9520C36"/>
    <w:lvl w:ilvl="0" w:tplc="EAC64EB4">
      <w:start w:val="20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B57F2"/>
    <w:multiLevelType w:val="hybridMultilevel"/>
    <w:tmpl w:val="4986EF1A"/>
    <w:lvl w:ilvl="0" w:tplc="6D6647A4">
      <w:start w:val="1"/>
      <w:numFmt w:val="bullet"/>
      <w:lvlText w:val="•"/>
      <w:lvlJc w:val="left"/>
      <w:pPr>
        <w:tabs>
          <w:tab w:val="num" w:pos="720"/>
        </w:tabs>
        <w:ind w:left="720" w:hanging="360"/>
      </w:pPr>
      <w:rPr>
        <w:rFonts w:ascii="Arial" w:hAnsi="Arial" w:cs="Times New Roman" w:hint="default"/>
      </w:rPr>
    </w:lvl>
    <w:lvl w:ilvl="1" w:tplc="E5EAD314">
      <w:start w:val="1"/>
      <w:numFmt w:val="bullet"/>
      <w:lvlText w:val="•"/>
      <w:lvlJc w:val="left"/>
      <w:pPr>
        <w:tabs>
          <w:tab w:val="num" w:pos="1440"/>
        </w:tabs>
        <w:ind w:left="1440" w:hanging="360"/>
      </w:pPr>
      <w:rPr>
        <w:rFonts w:ascii="Arial" w:hAnsi="Arial" w:cs="Times New Roman" w:hint="default"/>
      </w:rPr>
    </w:lvl>
    <w:lvl w:ilvl="2" w:tplc="3F7E2C44">
      <w:start w:val="1"/>
      <w:numFmt w:val="bullet"/>
      <w:lvlText w:val="•"/>
      <w:lvlJc w:val="left"/>
      <w:pPr>
        <w:tabs>
          <w:tab w:val="num" w:pos="2160"/>
        </w:tabs>
        <w:ind w:left="2160" w:hanging="360"/>
      </w:pPr>
      <w:rPr>
        <w:rFonts w:ascii="Arial" w:hAnsi="Arial" w:cs="Times New Roman" w:hint="default"/>
      </w:rPr>
    </w:lvl>
    <w:lvl w:ilvl="3" w:tplc="7B980770">
      <w:start w:val="1"/>
      <w:numFmt w:val="bullet"/>
      <w:lvlText w:val="•"/>
      <w:lvlJc w:val="left"/>
      <w:pPr>
        <w:tabs>
          <w:tab w:val="num" w:pos="2880"/>
        </w:tabs>
        <w:ind w:left="2880" w:hanging="360"/>
      </w:pPr>
      <w:rPr>
        <w:rFonts w:ascii="Arial" w:hAnsi="Arial" w:cs="Times New Roman" w:hint="default"/>
      </w:rPr>
    </w:lvl>
    <w:lvl w:ilvl="4" w:tplc="D4F67864">
      <w:start w:val="1"/>
      <w:numFmt w:val="bullet"/>
      <w:lvlText w:val="•"/>
      <w:lvlJc w:val="left"/>
      <w:pPr>
        <w:tabs>
          <w:tab w:val="num" w:pos="3600"/>
        </w:tabs>
        <w:ind w:left="3600" w:hanging="360"/>
      </w:pPr>
      <w:rPr>
        <w:rFonts w:ascii="Arial" w:hAnsi="Arial" w:cs="Times New Roman" w:hint="default"/>
      </w:rPr>
    </w:lvl>
    <w:lvl w:ilvl="5" w:tplc="FCB8ADD4">
      <w:start w:val="1"/>
      <w:numFmt w:val="bullet"/>
      <w:lvlText w:val="•"/>
      <w:lvlJc w:val="left"/>
      <w:pPr>
        <w:tabs>
          <w:tab w:val="num" w:pos="4320"/>
        </w:tabs>
        <w:ind w:left="4320" w:hanging="360"/>
      </w:pPr>
      <w:rPr>
        <w:rFonts w:ascii="Arial" w:hAnsi="Arial" w:cs="Times New Roman" w:hint="default"/>
      </w:rPr>
    </w:lvl>
    <w:lvl w:ilvl="6" w:tplc="17BE35B0">
      <w:start w:val="1"/>
      <w:numFmt w:val="bullet"/>
      <w:lvlText w:val="•"/>
      <w:lvlJc w:val="left"/>
      <w:pPr>
        <w:tabs>
          <w:tab w:val="num" w:pos="5040"/>
        </w:tabs>
        <w:ind w:left="5040" w:hanging="360"/>
      </w:pPr>
      <w:rPr>
        <w:rFonts w:ascii="Arial" w:hAnsi="Arial" w:cs="Times New Roman" w:hint="default"/>
      </w:rPr>
    </w:lvl>
    <w:lvl w:ilvl="7" w:tplc="0A3E30E6">
      <w:start w:val="1"/>
      <w:numFmt w:val="bullet"/>
      <w:lvlText w:val="•"/>
      <w:lvlJc w:val="left"/>
      <w:pPr>
        <w:tabs>
          <w:tab w:val="num" w:pos="5760"/>
        </w:tabs>
        <w:ind w:left="5760" w:hanging="360"/>
      </w:pPr>
      <w:rPr>
        <w:rFonts w:ascii="Arial" w:hAnsi="Arial" w:cs="Times New Roman" w:hint="default"/>
      </w:rPr>
    </w:lvl>
    <w:lvl w:ilvl="8" w:tplc="7374A562">
      <w:start w:val="1"/>
      <w:numFmt w:val="bullet"/>
      <w:lvlText w:val="•"/>
      <w:lvlJc w:val="left"/>
      <w:pPr>
        <w:tabs>
          <w:tab w:val="num" w:pos="6480"/>
        </w:tabs>
        <w:ind w:left="6480" w:hanging="360"/>
      </w:pPr>
      <w:rPr>
        <w:rFonts w:ascii="Arial" w:hAnsi="Arial" w:cs="Times New Roman" w:hint="default"/>
      </w:rPr>
    </w:lvl>
  </w:abstractNum>
  <w:abstractNum w:abstractNumId="5">
    <w:nsid w:val="3E0457D9"/>
    <w:multiLevelType w:val="hybridMultilevel"/>
    <w:tmpl w:val="8E6A13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B066A51"/>
    <w:multiLevelType w:val="hybridMultilevel"/>
    <w:tmpl w:val="F10A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3D5774"/>
    <w:multiLevelType w:val="hybridMultilevel"/>
    <w:tmpl w:val="AAC8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F30708"/>
    <w:multiLevelType w:val="hybridMultilevel"/>
    <w:tmpl w:val="F91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C80CC3"/>
    <w:multiLevelType w:val="hybridMultilevel"/>
    <w:tmpl w:val="7928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5"/>
  </w:num>
  <w:num w:numId="5">
    <w:abstractNumId w:val="4"/>
  </w:num>
  <w:num w:numId="6">
    <w:abstractNumId w:val="4"/>
  </w:num>
  <w:num w:numId="7">
    <w:abstractNumId w:val="1"/>
  </w:num>
  <w:num w:numId="8">
    <w:abstractNumId w:val="3"/>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16"/>
    <w:rsid w:val="0000024C"/>
    <w:rsid w:val="00003761"/>
    <w:rsid w:val="00006DDC"/>
    <w:rsid w:val="00010C61"/>
    <w:rsid w:val="00011220"/>
    <w:rsid w:val="000146E3"/>
    <w:rsid w:val="00015D3A"/>
    <w:rsid w:val="00017164"/>
    <w:rsid w:val="00022A7A"/>
    <w:rsid w:val="00023129"/>
    <w:rsid w:val="00025D2F"/>
    <w:rsid w:val="00026023"/>
    <w:rsid w:val="00030E0B"/>
    <w:rsid w:val="00031F5F"/>
    <w:rsid w:val="0003284E"/>
    <w:rsid w:val="00032D40"/>
    <w:rsid w:val="000343AE"/>
    <w:rsid w:val="0003471F"/>
    <w:rsid w:val="00036418"/>
    <w:rsid w:val="00036616"/>
    <w:rsid w:val="0003745E"/>
    <w:rsid w:val="000408E9"/>
    <w:rsid w:val="00040B2A"/>
    <w:rsid w:val="00040F32"/>
    <w:rsid w:val="00043A10"/>
    <w:rsid w:val="000459AD"/>
    <w:rsid w:val="00055AD4"/>
    <w:rsid w:val="00057F3D"/>
    <w:rsid w:val="00060224"/>
    <w:rsid w:val="00060AC7"/>
    <w:rsid w:val="00060D3B"/>
    <w:rsid w:val="00060E2A"/>
    <w:rsid w:val="00062A54"/>
    <w:rsid w:val="00065F6B"/>
    <w:rsid w:val="00067475"/>
    <w:rsid w:val="000678DF"/>
    <w:rsid w:val="00071DBC"/>
    <w:rsid w:val="00073AA6"/>
    <w:rsid w:val="0007578C"/>
    <w:rsid w:val="000759FD"/>
    <w:rsid w:val="00076A97"/>
    <w:rsid w:val="00077B48"/>
    <w:rsid w:val="00077D60"/>
    <w:rsid w:val="00080512"/>
    <w:rsid w:val="0008139B"/>
    <w:rsid w:val="00083780"/>
    <w:rsid w:val="00083954"/>
    <w:rsid w:val="00083BA4"/>
    <w:rsid w:val="00083D82"/>
    <w:rsid w:val="00084447"/>
    <w:rsid w:val="000845B7"/>
    <w:rsid w:val="000855C3"/>
    <w:rsid w:val="00087645"/>
    <w:rsid w:val="00090C3D"/>
    <w:rsid w:val="0009269E"/>
    <w:rsid w:val="0009332B"/>
    <w:rsid w:val="000A072E"/>
    <w:rsid w:val="000A0F8D"/>
    <w:rsid w:val="000A199F"/>
    <w:rsid w:val="000A27AA"/>
    <w:rsid w:val="000A2FA1"/>
    <w:rsid w:val="000A3D7D"/>
    <w:rsid w:val="000A45B4"/>
    <w:rsid w:val="000A488D"/>
    <w:rsid w:val="000A4E2F"/>
    <w:rsid w:val="000A5B91"/>
    <w:rsid w:val="000A637B"/>
    <w:rsid w:val="000A6F23"/>
    <w:rsid w:val="000A744B"/>
    <w:rsid w:val="000B0BEE"/>
    <w:rsid w:val="000B2945"/>
    <w:rsid w:val="000B4BB0"/>
    <w:rsid w:val="000B6FC7"/>
    <w:rsid w:val="000C1631"/>
    <w:rsid w:val="000C2350"/>
    <w:rsid w:val="000C24F4"/>
    <w:rsid w:val="000C265A"/>
    <w:rsid w:val="000C2E9C"/>
    <w:rsid w:val="000C5206"/>
    <w:rsid w:val="000C6D63"/>
    <w:rsid w:val="000D0F19"/>
    <w:rsid w:val="000D1C59"/>
    <w:rsid w:val="000D2372"/>
    <w:rsid w:val="000E1165"/>
    <w:rsid w:val="000E1A9B"/>
    <w:rsid w:val="000E1E25"/>
    <w:rsid w:val="000E3005"/>
    <w:rsid w:val="000E404D"/>
    <w:rsid w:val="000E70A4"/>
    <w:rsid w:val="000E7620"/>
    <w:rsid w:val="000F047A"/>
    <w:rsid w:val="000F3F59"/>
    <w:rsid w:val="000F6384"/>
    <w:rsid w:val="000F647A"/>
    <w:rsid w:val="00101362"/>
    <w:rsid w:val="00101AFB"/>
    <w:rsid w:val="001029FB"/>
    <w:rsid w:val="00102B24"/>
    <w:rsid w:val="001031D0"/>
    <w:rsid w:val="00103CE6"/>
    <w:rsid w:val="0010418F"/>
    <w:rsid w:val="00105F9E"/>
    <w:rsid w:val="00106DD0"/>
    <w:rsid w:val="00110547"/>
    <w:rsid w:val="001120C1"/>
    <w:rsid w:val="00114AB1"/>
    <w:rsid w:val="001157B2"/>
    <w:rsid w:val="0012071D"/>
    <w:rsid w:val="001216A0"/>
    <w:rsid w:val="00121770"/>
    <w:rsid w:val="0012647A"/>
    <w:rsid w:val="0012740F"/>
    <w:rsid w:val="001279D5"/>
    <w:rsid w:val="001309F2"/>
    <w:rsid w:val="001343E6"/>
    <w:rsid w:val="00134B69"/>
    <w:rsid w:val="0013514C"/>
    <w:rsid w:val="00136CC1"/>
    <w:rsid w:val="00136D05"/>
    <w:rsid w:val="00140D4F"/>
    <w:rsid w:val="00141124"/>
    <w:rsid w:val="00141266"/>
    <w:rsid w:val="00141666"/>
    <w:rsid w:val="001432D1"/>
    <w:rsid w:val="00143B0B"/>
    <w:rsid w:val="00144C2E"/>
    <w:rsid w:val="00144ECC"/>
    <w:rsid w:val="00145D1B"/>
    <w:rsid w:val="00146488"/>
    <w:rsid w:val="00146DD7"/>
    <w:rsid w:val="00146EDD"/>
    <w:rsid w:val="001470D0"/>
    <w:rsid w:val="001506E8"/>
    <w:rsid w:val="00151B78"/>
    <w:rsid w:val="0015454D"/>
    <w:rsid w:val="0015608A"/>
    <w:rsid w:val="0015740C"/>
    <w:rsid w:val="0016367F"/>
    <w:rsid w:val="001638C3"/>
    <w:rsid w:val="00167010"/>
    <w:rsid w:val="00173365"/>
    <w:rsid w:val="00173DDF"/>
    <w:rsid w:val="001822A4"/>
    <w:rsid w:val="001823FB"/>
    <w:rsid w:val="0018307F"/>
    <w:rsid w:val="001858A2"/>
    <w:rsid w:val="00185B0B"/>
    <w:rsid w:val="00186666"/>
    <w:rsid w:val="00190170"/>
    <w:rsid w:val="00190CBC"/>
    <w:rsid w:val="00191033"/>
    <w:rsid w:val="00191058"/>
    <w:rsid w:val="001911A3"/>
    <w:rsid w:val="00194B5B"/>
    <w:rsid w:val="00196260"/>
    <w:rsid w:val="00197852"/>
    <w:rsid w:val="00197A4D"/>
    <w:rsid w:val="001A1368"/>
    <w:rsid w:val="001A1CA9"/>
    <w:rsid w:val="001A34E6"/>
    <w:rsid w:val="001A39E5"/>
    <w:rsid w:val="001A4B8A"/>
    <w:rsid w:val="001A6C8F"/>
    <w:rsid w:val="001B1B5F"/>
    <w:rsid w:val="001B2003"/>
    <w:rsid w:val="001B36BA"/>
    <w:rsid w:val="001B6B68"/>
    <w:rsid w:val="001B738E"/>
    <w:rsid w:val="001B7495"/>
    <w:rsid w:val="001C1A41"/>
    <w:rsid w:val="001C1E57"/>
    <w:rsid w:val="001C236E"/>
    <w:rsid w:val="001C3AA2"/>
    <w:rsid w:val="001C4081"/>
    <w:rsid w:val="001D0076"/>
    <w:rsid w:val="001D0478"/>
    <w:rsid w:val="001D1150"/>
    <w:rsid w:val="001D2577"/>
    <w:rsid w:val="001D7016"/>
    <w:rsid w:val="001E06F3"/>
    <w:rsid w:val="001E0848"/>
    <w:rsid w:val="001E08EE"/>
    <w:rsid w:val="001E1ED4"/>
    <w:rsid w:val="001E6272"/>
    <w:rsid w:val="001E665C"/>
    <w:rsid w:val="001E6B5A"/>
    <w:rsid w:val="001F2E37"/>
    <w:rsid w:val="001F3556"/>
    <w:rsid w:val="001F4292"/>
    <w:rsid w:val="00200847"/>
    <w:rsid w:val="0020232B"/>
    <w:rsid w:val="0020373E"/>
    <w:rsid w:val="00205F4B"/>
    <w:rsid w:val="002101FB"/>
    <w:rsid w:val="00210A2C"/>
    <w:rsid w:val="0021262E"/>
    <w:rsid w:val="00212D09"/>
    <w:rsid w:val="002145E9"/>
    <w:rsid w:val="00215AFB"/>
    <w:rsid w:val="00217E20"/>
    <w:rsid w:val="0022028A"/>
    <w:rsid w:val="00220FD9"/>
    <w:rsid w:val="00222405"/>
    <w:rsid w:val="00223CEF"/>
    <w:rsid w:val="00224308"/>
    <w:rsid w:val="0022471B"/>
    <w:rsid w:val="002262CF"/>
    <w:rsid w:val="00226423"/>
    <w:rsid w:val="00227E19"/>
    <w:rsid w:val="00230FBF"/>
    <w:rsid w:val="00233F09"/>
    <w:rsid w:val="00233FD1"/>
    <w:rsid w:val="0023465E"/>
    <w:rsid w:val="00234BDB"/>
    <w:rsid w:val="002352A4"/>
    <w:rsid w:val="0023764B"/>
    <w:rsid w:val="002402B2"/>
    <w:rsid w:val="00243E7A"/>
    <w:rsid w:val="00244BBC"/>
    <w:rsid w:val="002469EC"/>
    <w:rsid w:val="002471D8"/>
    <w:rsid w:val="00250115"/>
    <w:rsid w:val="0025038D"/>
    <w:rsid w:val="00251EBE"/>
    <w:rsid w:val="00252761"/>
    <w:rsid w:val="00252905"/>
    <w:rsid w:val="00253DB6"/>
    <w:rsid w:val="00254C5E"/>
    <w:rsid w:val="00257E38"/>
    <w:rsid w:val="00261051"/>
    <w:rsid w:val="00262CF7"/>
    <w:rsid w:val="002647A1"/>
    <w:rsid w:val="002669E3"/>
    <w:rsid w:val="00271ED4"/>
    <w:rsid w:val="002735A8"/>
    <w:rsid w:val="00275842"/>
    <w:rsid w:val="00276622"/>
    <w:rsid w:val="0027777C"/>
    <w:rsid w:val="00277ACB"/>
    <w:rsid w:val="0028279F"/>
    <w:rsid w:val="0028448A"/>
    <w:rsid w:val="00286F4C"/>
    <w:rsid w:val="00295400"/>
    <w:rsid w:val="002A03C9"/>
    <w:rsid w:val="002A3908"/>
    <w:rsid w:val="002A4896"/>
    <w:rsid w:val="002A4DC5"/>
    <w:rsid w:val="002B088F"/>
    <w:rsid w:val="002B09A4"/>
    <w:rsid w:val="002B0B6B"/>
    <w:rsid w:val="002B6E2B"/>
    <w:rsid w:val="002C0F5A"/>
    <w:rsid w:val="002C1AF5"/>
    <w:rsid w:val="002C422A"/>
    <w:rsid w:val="002D2EC6"/>
    <w:rsid w:val="002D5F84"/>
    <w:rsid w:val="002D7174"/>
    <w:rsid w:val="002D7ABC"/>
    <w:rsid w:val="002E0815"/>
    <w:rsid w:val="002E0D96"/>
    <w:rsid w:val="002E1F73"/>
    <w:rsid w:val="002E22DD"/>
    <w:rsid w:val="002E2AB7"/>
    <w:rsid w:val="002E33D9"/>
    <w:rsid w:val="002E41CB"/>
    <w:rsid w:val="002E4B96"/>
    <w:rsid w:val="002E6F86"/>
    <w:rsid w:val="002E7BB4"/>
    <w:rsid w:val="002F058A"/>
    <w:rsid w:val="002F252B"/>
    <w:rsid w:val="002F3924"/>
    <w:rsid w:val="003001BA"/>
    <w:rsid w:val="00300263"/>
    <w:rsid w:val="0030175E"/>
    <w:rsid w:val="0030200E"/>
    <w:rsid w:val="00305C49"/>
    <w:rsid w:val="00306615"/>
    <w:rsid w:val="003068F2"/>
    <w:rsid w:val="00306BC7"/>
    <w:rsid w:val="0030744C"/>
    <w:rsid w:val="00310E63"/>
    <w:rsid w:val="0031241D"/>
    <w:rsid w:val="00312478"/>
    <w:rsid w:val="00315354"/>
    <w:rsid w:val="0031716A"/>
    <w:rsid w:val="00317283"/>
    <w:rsid w:val="003233F4"/>
    <w:rsid w:val="00323EE9"/>
    <w:rsid w:val="00326283"/>
    <w:rsid w:val="0033399B"/>
    <w:rsid w:val="00334B08"/>
    <w:rsid w:val="00335417"/>
    <w:rsid w:val="00337964"/>
    <w:rsid w:val="00337EFB"/>
    <w:rsid w:val="003453E5"/>
    <w:rsid w:val="00346825"/>
    <w:rsid w:val="00350DE3"/>
    <w:rsid w:val="003511CF"/>
    <w:rsid w:val="00352055"/>
    <w:rsid w:val="00354E30"/>
    <w:rsid w:val="00357DD4"/>
    <w:rsid w:val="003609FE"/>
    <w:rsid w:val="0036379A"/>
    <w:rsid w:val="0036679E"/>
    <w:rsid w:val="00374AC0"/>
    <w:rsid w:val="003758A5"/>
    <w:rsid w:val="00375C75"/>
    <w:rsid w:val="00377D14"/>
    <w:rsid w:val="0038011C"/>
    <w:rsid w:val="003801EF"/>
    <w:rsid w:val="00380639"/>
    <w:rsid w:val="0038118F"/>
    <w:rsid w:val="00381864"/>
    <w:rsid w:val="00381939"/>
    <w:rsid w:val="003831B2"/>
    <w:rsid w:val="00385D4D"/>
    <w:rsid w:val="00387A47"/>
    <w:rsid w:val="00387C6A"/>
    <w:rsid w:val="00390567"/>
    <w:rsid w:val="00391343"/>
    <w:rsid w:val="00391C91"/>
    <w:rsid w:val="0039551B"/>
    <w:rsid w:val="0039595D"/>
    <w:rsid w:val="00395D44"/>
    <w:rsid w:val="003979B7"/>
    <w:rsid w:val="003A2703"/>
    <w:rsid w:val="003A4512"/>
    <w:rsid w:val="003A58A3"/>
    <w:rsid w:val="003A76B5"/>
    <w:rsid w:val="003B065D"/>
    <w:rsid w:val="003B151F"/>
    <w:rsid w:val="003B2FE6"/>
    <w:rsid w:val="003B3A41"/>
    <w:rsid w:val="003B3D73"/>
    <w:rsid w:val="003B4FF1"/>
    <w:rsid w:val="003B5D34"/>
    <w:rsid w:val="003B72DD"/>
    <w:rsid w:val="003C0086"/>
    <w:rsid w:val="003C0093"/>
    <w:rsid w:val="003C16F4"/>
    <w:rsid w:val="003C1A91"/>
    <w:rsid w:val="003C2056"/>
    <w:rsid w:val="003C37E3"/>
    <w:rsid w:val="003C380D"/>
    <w:rsid w:val="003C42CB"/>
    <w:rsid w:val="003C64D5"/>
    <w:rsid w:val="003C7DCF"/>
    <w:rsid w:val="003D3B4C"/>
    <w:rsid w:val="003D4428"/>
    <w:rsid w:val="003D5048"/>
    <w:rsid w:val="003D6B12"/>
    <w:rsid w:val="003D6CD2"/>
    <w:rsid w:val="003E23C3"/>
    <w:rsid w:val="003E38D1"/>
    <w:rsid w:val="003E4742"/>
    <w:rsid w:val="003E4ECF"/>
    <w:rsid w:val="003E4F06"/>
    <w:rsid w:val="003F0399"/>
    <w:rsid w:val="003F1FEC"/>
    <w:rsid w:val="003F3046"/>
    <w:rsid w:val="003F31AD"/>
    <w:rsid w:val="003F4B07"/>
    <w:rsid w:val="003F5A96"/>
    <w:rsid w:val="003F6BE8"/>
    <w:rsid w:val="00400A44"/>
    <w:rsid w:val="00401742"/>
    <w:rsid w:val="00402204"/>
    <w:rsid w:val="00404699"/>
    <w:rsid w:val="0040721E"/>
    <w:rsid w:val="004075EA"/>
    <w:rsid w:val="00407F4D"/>
    <w:rsid w:val="004106ED"/>
    <w:rsid w:val="00415129"/>
    <w:rsid w:val="00415456"/>
    <w:rsid w:val="00417EA1"/>
    <w:rsid w:val="00420803"/>
    <w:rsid w:val="00425BD7"/>
    <w:rsid w:val="0042732E"/>
    <w:rsid w:val="00427411"/>
    <w:rsid w:val="00430676"/>
    <w:rsid w:val="004319E6"/>
    <w:rsid w:val="004357E9"/>
    <w:rsid w:val="00436AD3"/>
    <w:rsid w:val="00440993"/>
    <w:rsid w:val="00442617"/>
    <w:rsid w:val="00444063"/>
    <w:rsid w:val="004444BA"/>
    <w:rsid w:val="00446780"/>
    <w:rsid w:val="00451969"/>
    <w:rsid w:val="00452D87"/>
    <w:rsid w:val="00452DF0"/>
    <w:rsid w:val="00453E69"/>
    <w:rsid w:val="00456D21"/>
    <w:rsid w:val="00457DAF"/>
    <w:rsid w:val="00461634"/>
    <w:rsid w:val="00461F01"/>
    <w:rsid w:val="0046378C"/>
    <w:rsid w:val="00463FD2"/>
    <w:rsid w:val="00464D17"/>
    <w:rsid w:val="004650C7"/>
    <w:rsid w:val="0047001E"/>
    <w:rsid w:val="00470406"/>
    <w:rsid w:val="00470D64"/>
    <w:rsid w:val="0047188C"/>
    <w:rsid w:val="00471B0E"/>
    <w:rsid w:val="0047219A"/>
    <w:rsid w:val="0047271C"/>
    <w:rsid w:val="00472F8C"/>
    <w:rsid w:val="00474C0B"/>
    <w:rsid w:val="004751FA"/>
    <w:rsid w:val="004768E3"/>
    <w:rsid w:val="00476ACB"/>
    <w:rsid w:val="00477B8B"/>
    <w:rsid w:val="004805CE"/>
    <w:rsid w:val="00480D91"/>
    <w:rsid w:val="004813E4"/>
    <w:rsid w:val="004847ED"/>
    <w:rsid w:val="00484AB3"/>
    <w:rsid w:val="00485E3B"/>
    <w:rsid w:val="004866F5"/>
    <w:rsid w:val="00487126"/>
    <w:rsid w:val="004872A4"/>
    <w:rsid w:val="00490324"/>
    <w:rsid w:val="0049118E"/>
    <w:rsid w:val="0049154D"/>
    <w:rsid w:val="0049226A"/>
    <w:rsid w:val="00493741"/>
    <w:rsid w:val="00493D6A"/>
    <w:rsid w:val="00493DF1"/>
    <w:rsid w:val="00494552"/>
    <w:rsid w:val="004945A5"/>
    <w:rsid w:val="00496857"/>
    <w:rsid w:val="00497990"/>
    <w:rsid w:val="004A3F67"/>
    <w:rsid w:val="004A5832"/>
    <w:rsid w:val="004B50EB"/>
    <w:rsid w:val="004B5E3C"/>
    <w:rsid w:val="004B7E11"/>
    <w:rsid w:val="004C08C0"/>
    <w:rsid w:val="004C344A"/>
    <w:rsid w:val="004C3A52"/>
    <w:rsid w:val="004C6AAE"/>
    <w:rsid w:val="004C70D6"/>
    <w:rsid w:val="004D09C6"/>
    <w:rsid w:val="004D20B7"/>
    <w:rsid w:val="004D52AF"/>
    <w:rsid w:val="004E237A"/>
    <w:rsid w:val="004E4E48"/>
    <w:rsid w:val="004E5AA3"/>
    <w:rsid w:val="004F0028"/>
    <w:rsid w:val="004F003E"/>
    <w:rsid w:val="004F293C"/>
    <w:rsid w:val="004F32A6"/>
    <w:rsid w:val="004F43E1"/>
    <w:rsid w:val="0050043F"/>
    <w:rsid w:val="00504518"/>
    <w:rsid w:val="00505844"/>
    <w:rsid w:val="00505CB7"/>
    <w:rsid w:val="00507072"/>
    <w:rsid w:val="00507476"/>
    <w:rsid w:val="00507EC8"/>
    <w:rsid w:val="005109E4"/>
    <w:rsid w:val="005145E0"/>
    <w:rsid w:val="00515666"/>
    <w:rsid w:val="00515C4B"/>
    <w:rsid w:val="00516AF1"/>
    <w:rsid w:val="00520456"/>
    <w:rsid w:val="00521193"/>
    <w:rsid w:val="00522565"/>
    <w:rsid w:val="0052464F"/>
    <w:rsid w:val="005254C9"/>
    <w:rsid w:val="00525603"/>
    <w:rsid w:val="00525823"/>
    <w:rsid w:val="00526F04"/>
    <w:rsid w:val="00534E32"/>
    <w:rsid w:val="005353CB"/>
    <w:rsid w:val="0053613E"/>
    <w:rsid w:val="00540DE3"/>
    <w:rsid w:val="005411D1"/>
    <w:rsid w:val="0054606F"/>
    <w:rsid w:val="00546668"/>
    <w:rsid w:val="00547F6B"/>
    <w:rsid w:val="005522B6"/>
    <w:rsid w:val="0055389F"/>
    <w:rsid w:val="00554E1C"/>
    <w:rsid w:val="005551B7"/>
    <w:rsid w:val="0055554B"/>
    <w:rsid w:val="00555632"/>
    <w:rsid w:val="0056073E"/>
    <w:rsid w:val="005607C4"/>
    <w:rsid w:val="00561D63"/>
    <w:rsid w:val="005629BF"/>
    <w:rsid w:val="00564D61"/>
    <w:rsid w:val="005656FA"/>
    <w:rsid w:val="00565EE2"/>
    <w:rsid w:val="00567C6A"/>
    <w:rsid w:val="0057148C"/>
    <w:rsid w:val="00572CEC"/>
    <w:rsid w:val="00572D8A"/>
    <w:rsid w:val="00574B59"/>
    <w:rsid w:val="0057709D"/>
    <w:rsid w:val="005803F1"/>
    <w:rsid w:val="00580CD8"/>
    <w:rsid w:val="00581554"/>
    <w:rsid w:val="00582996"/>
    <w:rsid w:val="00582B63"/>
    <w:rsid w:val="00583203"/>
    <w:rsid w:val="005839C4"/>
    <w:rsid w:val="00583B0C"/>
    <w:rsid w:val="00583C42"/>
    <w:rsid w:val="00584304"/>
    <w:rsid w:val="0058575D"/>
    <w:rsid w:val="0058585F"/>
    <w:rsid w:val="00585FA7"/>
    <w:rsid w:val="00593BA3"/>
    <w:rsid w:val="00594C97"/>
    <w:rsid w:val="00596083"/>
    <w:rsid w:val="00596783"/>
    <w:rsid w:val="005A05A4"/>
    <w:rsid w:val="005A0A54"/>
    <w:rsid w:val="005A1329"/>
    <w:rsid w:val="005A1F03"/>
    <w:rsid w:val="005A3539"/>
    <w:rsid w:val="005A3CD7"/>
    <w:rsid w:val="005A4417"/>
    <w:rsid w:val="005A441B"/>
    <w:rsid w:val="005A7413"/>
    <w:rsid w:val="005B38CD"/>
    <w:rsid w:val="005B414F"/>
    <w:rsid w:val="005B6482"/>
    <w:rsid w:val="005B662D"/>
    <w:rsid w:val="005B684B"/>
    <w:rsid w:val="005C0FC1"/>
    <w:rsid w:val="005C116B"/>
    <w:rsid w:val="005C1CBC"/>
    <w:rsid w:val="005D187D"/>
    <w:rsid w:val="005D4E2D"/>
    <w:rsid w:val="005E267D"/>
    <w:rsid w:val="005E41FF"/>
    <w:rsid w:val="005E5674"/>
    <w:rsid w:val="005E5AF4"/>
    <w:rsid w:val="005F1D1F"/>
    <w:rsid w:val="005F2546"/>
    <w:rsid w:val="005F4BAC"/>
    <w:rsid w:val="005F5CEC"/>
    <w:rsid w:val="006021E0"/>
    <w:rsid w:val="006024B9"/>
    <w:rsid w:val="006037D9"/>
    <w:rsid w:val="006057C4"/>
    <w:rsid w:val="00612BAE"/>
    <w:rsid w:val="0061501E"/>
    <w:rsid w:val="00616F2C"/>
    <w:rsid w:val="00620CBD"/>
    <w:rsid w:val="0062110F"/>
    <w:rsid w:val="00622B8C"/>
    <w:rsid w:val="00622DA6"/>
    <w:rsid w:val="006248B2"/>
    <w:rsid w:val="0062561B"/>
    <w:rsid w:val="00625D30"/>
    <w:rsid w:val="006325C5"/>
    <w:rsid w:val="006340FC"/>
    <w:rsid w:val="00635644"/>
    <w:rsid w:val="00643EAB"/>
    <w:rsid w:val="00652FE7"/>
    <w:rsid w:val="00654B00"/>
    <w:rsid w:val="00655974"/>
    <w:rsid w:val="00656934"/>
    <w:rsid w:val="0065703D"/>
    <w:rsid w:val="006610A7"/>
    <w:rsid w:val="0066257D"/>
    <w:rsid w:val="006638E0"/>
    <w:rsid w:val="00663964"/>
    <w:rsid w:val="00664310"/>
    <w:rsid w:val="00665C4F"/>
    <w:rsid w:val="00665D34"/>
    <w:rsid w:val="006677A5"/>
    <w:rsid w:val="00671079"/>
    <w:rsid w:val="00673496"/>
    <w:rsid w:val="0067496A"/>
    <w:rsid w:val="00674CC1"/>
    <w:rsid w:val="00674E5A"/>
    <w:rsid w:val="00675505"/>
    <w:rsid w:val="0067555A"/>
    <w:rsid w:val="00675B91"/>
    <w:rsid w:val="00677AB2"/>
    <w:rsid w:val="00680ED9"/>
    <w:rsid w:val="00682F72"/>
    <w:rsid w:val="00686B1A"/>
    <w:rsid w:val="00686E4F"/>
    <w:rsid w:val="00690FB1"/>
    <w:rsid w:val="00693D27"/>
    <w:rsid w:val="0069439A"/>
    <w:rsid w:val="00695F20"/>
    <w:rsid w:val="00695F7F"/>
    <w:rsid w:val="0069609B"/>
    <w:rsid w:val="00696D76"/>
    <w:rsid w:val="006A0EFD"/>
    <w:rsid w:val="006A245B"/>
    <w:rsid w:val="006A31F2"/>
    <w:rsid w:val="006A3C4D"/>
    <w:rsid w:val="006A69C9"/>
    <w:rsid w:val="006A6C1A"/>
    <w:rsid w:val="006A7E0D"/>
    <w:rsid w:val="006B200B"/>
    <w:rsid w:val="006B2AE4"/>
    <w:rsid w:val="006B2CF8"/>
    <w:rsid w:val="006B3760"/>
    <w:rsid w:val="006B4E67"/>
    <w:rsid w:val="006B58AF"/>
    <w:rsid w:val="006C0DB9"/>
    <w:rsid w:val="006C246D"/>
    <w:rsid w:val="006C30C0"/>
    <w:rsid w:val="006C4A94"/>
    <w:rsid w:val="006C65F8"/>
    <w:rsid w:val="006D068C"/>
    <w:rsid w:val="006D1073"/>
    <w:rsid w:val="006D3F86"/>
    <w:rsid w:val="006D45D9"/>
    <w:rsid w:val="006D7C3D"/>
    <w:rsid w:val="006E03C8"/>
    <w:rsid w:val="006E1CB0"/>
    <w:rsid w:val="006E510E"/>
    <w:rsid w:val="006E68C6"/>
    <w:rsid w:val="006E745C"/>
    <w:rsid w:val="006E7A6D"/>
    <w:rsid w:val="006F0B3D"/>
    <w:rsid w:val="006F2072"/>
    <w:rsid w:val="006F5B10"/>
    <w:rsid w:val="006F7E3B"/>
    <w:rsid w:val="007005F8"/>
    <w:rsid w:val="0070151E"/>
    <w:rsid w:val="00702ABB"/>
    <w:rsid w:val="00706B2F"/>
    <w:rsid w:val="0070756E"/>
    <w:rsid w:val="00707E3C"/>
    <w:rsid w:val="007100FE"/>
    <w:rsid w:val="00710181"/>
    <w:rsid w:val="0071262B"/>
    <w:rsid w:val="0071316A"/>
    <w:rsid w:val="007157E6"/>
    <w:rsid w:val="007176E9"/>
    <w:rsid w:val="007206B2"/>
    <w:rsid w:val="00722095"/>
    <w:rsid w:val="00725CF5"/>
    <w:rsid w:val="00726825"/>
    <w:rsid w:val="007272BD"/>
    <w:rsid w:val="00727BC7"/>
    <w:rsid w:val="00727E62"/>
    <w:rsid w:val="007315ED"/>
    <w:rsid w:val="00731841"/>
    <w:rsid w:val="00733831"/>
    <w:rsid w:val="007358E9"/>
    <w:rsid w:val="00737C59"/>
    <w:rsid w:val="007407D1"/>
    <w:rsid w:val="00742C9C"/>
    <w:rsid w:val="0074306B"/>
    <w:rsid w:val="0074413E"/>
    <w:rsid w:val="0074594B"/>
    <w:rsid w:val="0074654D"/>
    <w:rsid w:val="0074681C"/>
    <w:rsid w:val="007508AB"/>
    <w:rsid w:val="007516FC"/>
    <w:rsid w:val="007523AA"/>
    <w:rsid w:val="00756419"/>
    <w:rsid w:val="00761624"/>
    <w:rsid w:val="00763185"/>
    <w:rsid w:val="007632CD"/>
    <w:rsid w:val="0076390D"/>
    <w:rsid w:val="007676BC"/>
    <w:rsid w:val="007707F8"/>
    <w:rsid w:val="00771683"/>
    <w:rsid w:val="00771F44"/>
    <w:rsid w:val="00772764"/>
    <w:rsid w:val="00772B89"/>
    <w:rsid w:val="00773083"/>
    <w:rsid w:val="00776D18"/>
    <w:rsid w:val="0078027E"/>
    <w:rsid w:val="0078097A"/>
    <w:rsid w:val="00781045"/>
    <w:rsid w:val="0078268A"/>
    <w:rsid w:val="00783530"/>
    <w:rsid w:val="00783A60"/>
    <w:rsid w:val="00785381"/>
    <w:rsid w:val="00785F07"/>
    <w:rsid w:val="007871BC"/>
    <w:rsid w:val="0079040E"/>
    <w:rsid w:val="00790734"/>
    <w:rsid w:val="00792BBD"/>
    <w:rsid w:val="00792E88"/>
    <w:rsid w:val="00793693"/>
    <w:rsid w:val="00793845"/>
    <w:rsid w:val="00794A93"/>
    <w:rsid w:val="007955F0"/>
    <w:rsid w:val="00795D52"/>
    <w:rsid w:val="0079619B"/>
    <w:rsid w:val="007A097E"/>
    <w:rsid w:val="007A09F5"/>
    <w:rsid w:val="007A72B9"/>
    <w:rsid w:val="007A7AFE"/>
    <w:rsid w:val="007B2042"/>
    <w:rsid w:val="007B2855"/>
    <w:rsid w:val="007B34F4"/>
    <w:rsid w:val="007C0EC2"/>
    <w:rsid w:val="007C410B"/>
    <w:rsid w:val="007C6779"/>
    <w:rsid w:val="007D5F0E"/>
    <w:rsid w:val="007D698F"/>
    <w:rsid w:val="007E08DA"/>
    <w:rsid w:val="007E25D5"/>
    <w:rsid w:val="007E26A9"/>
    <w:rsid w:val="007E5233"/>
    <w:rsid w:val="007E5721"/>
    <w:rsid w:val="007E61A4"/>
    <w:rsid w:val="007E6A25"/>
    <w:rsid w:val="007F0C7C"/>
    <w:rsid w:val="007F2F15"/>
    <w:rsid w:val="007F3624"/>
    <w:rsid w:val="007F59F8"/>
    <w:rsid w:val="007F735B"/>
    <w:rsid w:val="007F7B93"/>
    <w:rsid w:val="008030D7"/>
    <w:rsid w:val="00804EF7"/>
    <w:rsid w:val="008058F8"/>
    <w:rsid w:val="00806188"/>
    <w:rsid w:val="008076BD"/>
    <w:rsid w:val="00807E93"/>
    <w:rsid w:val="00810883"/>
    <w:rsid w:val="00810E8D"/>
    <w:rsid w:val="00812376"/>
    <w:rsid w:val="008123F1"/>
    <w:rsid w:val="008124F6"/>
    <w:rsid w:val="00814C57"/>
    <w:rsid w:val="00815404"/>
    <w:rsid w:val="008177E8"/>
    <w:rsid w:val="00820BCE"/>
    <w:rsid w:val="00821969"/>
    <w:rsid w:val="008235A0"/>
    <w:rsid w:val="0082484D"/>
    <w:rsid w:val="00830AEC"/>
    <w:rsid w:val="00830DE8"/>
    <w:rsid w:val="00833BA2"/>
    <w:rsid w:val="008350C8"/>
    <w:rsid w:val="00836F72"/>
    <w:rsid w:val="00837960"/>
    <w:rsid w:val="008444F0"/>
    <w:rsid w:val="00845509"/>
    <w:rsid w:val="00845698"/>
    <w:rsid w:val="0084660F"/>
    <w:rsid w:val="00847A53"/>
    <w:rsid w:val="00847FC6"/>
    <w:rsid w:val="0085107A"/>
    <w:rsid w:val="008517B6"/>
    <w:rsid w:val="00855177"/>
    <w:rsid w:val="008554A6"/>
    <w:rsid w:val="00855921"/>
    <w:rsid w:val="00855A5A"/>
    <w:rsid w:val="00855AAA"/>
    <w:rsid w:val="00855C31"/>
    <w:rsid w:val="00856446"/>
    <w:rsid w:val="008569D6"/>
    <w:rsid w:val="00856E98"/>
    <w:rsid w:val="00860CC2"/>
    <w:rsid w:val="0086281D"/>
    <w:rsid w:val="00864A9A"/>
    <w:rsid w:val="00865C2A"/>
    <w:rsid w:val="00865F6F"/>
    <w:rsid w:val="0086656C"/>
    <w:rsid w:val="0086664B"/>
    <w:rsid w:val="00872B7C"/>
    <w:rsid w:val="00872F10"/>
    <w:rsid w:val="00874D3A"/>
    <w:rsid w:val="008801A4"/>
    <w:rsid w:val="00880D07"/>
    <w:rsid w:val="00881C40"/>
    <w:rsid w:val="008846D8"/>
    <w:rsid w:val="0088480B"/>
    <w:rsid w:val="00884E5B"/>
    <w:rsid w:val="00892E1C"/>
    <w:rsid w:val="0089660B"/>
    <w:rsid w:val="00896EA9"/>
    <w:rsid w:val="00897529"/>
    <w:rsid w:val="008A2604"/>
    <w:rsid w:val="008A4821"/>
    <w:rsid w:val="008A70E6"/>
    <w:rsid w:val="008A7BB3"/>
    <w:rsid w:val="008B0A38"/>
    <w:rsid w:val="008B0CD5"/>
    <w:rsid w:val="008B38CF"/>
    <w:rsid w:val="008B4A3E"/>
    <w:rsid w:val="008B4CFB"/>
    <w:rsid w:val="008B6138"/>
    <w:rsid w:val="008C3FCB"/>
    <w:rsid w:val="008C5237"/>
    <w:rsid w:val="008C5447"/>
    <w:rsid w:val="008C7E99"/>
    <w:rsid w:val="008D06C2"/>
    <w:rsid w:val="008D0B66"/>
    <w:rsid w:val="008D13CE"/>
    <w:rsid w:val="008D1B55"/>
    <w:rsid w:val="008D49C2"/>
    <w:rsid w:val="008D517B"/>
    <w:rsid w:val="008D6FD7"/>
    <w:rsid w:val="008D7354"/>
    <w:rsid w:val="008E0BAA"/>
    <w:rsid w:val="008E1B34"/>
    <w:rsid w:val="008E3F66"/>
    <w:rsid w:val="008E5386"/>
    <w:rsid w:val="008E5B39"/>
    <w:rsid w:val="008E773D"/>
    <w:rsid w:val="008F0BCB"/>
    <w:rsid w:val="008F183E"/>
    <w:rsid w:val="008F1E78"/>
    <w:rsid w:val="008F22B1"/>
    <w:rsid w:val="008F26D6"/>
    <w:rsid w:val="008F590C"/>
    <w:rsid w:val="008F7CF3"/>
    <w:rsid w:val="00903144"/>
    <w:rsid w:val="0090392C"/>
    <w:rsid w:val="00903A3D"/>
    <w:rsid w:val="00903CEB"/>
    <w:rsid w:val="009045D0"/>
    <w:rsid w:val="009046DB"/>
    <w:rsid w:val="00904FEB"/>
    <w:rsid w:val="00907568"/>
    <w:rsid w:val="00907A6F"/>
    <w:rsid w:val="00907B2D"/>
    <w:rsid w:val="009108DB"/>
    <w:rsid w:val="009114E7"/>
    <w:rsid w:val="00915667"/>
    <w:rsid w:val="0091786E"/>
    <w:rsid w:val="009214BB"/>
    <w:rsid w:val="009245E6"/>
    <w:rsid w:val="00926FF8"/>
    <w:rsid w:val="0093007B"/>
    <w:rsid w:val="00933C5C"/>
    <w:rsid w:val="009349E9"/>
    <w:rsid w:val="00934CB3"/>
    <w:rsid w:val="009352FB"/>
    <w:rsid w:val="009365D4"/>
    <w:rsid w:val="0093732A"/>
    <w:rsid w:val="00943133"/>
    <w:rsid w:val="00946FCF"/>
    <w:rsid w:val="00947C56"/>
    <w:rsid w:val="00950101"/>
    <w:rsid w:val="009511AD"/>
    <w:rsid w:val="009539C6"/>
    <w:rsid w:val="00956FA9"/>
    <w:rsid w:val="00957A32"/>
    <w:rsid w:val="00957EDD"/>
    <w:rsid w:val="00961893"/>
    <w:rsid w:val="009641C5"/>
    <w:rsid w:val="009648BF"/>
    <w:rsid w:val="0096538E"/>
    <w:rsid w:val="009657BC"/>
    <w:rsid w:val="00970346"/>
    <w:rsid w:val="00970474"/>
    <w:rsid w:val="00970BA2"/>
    <w:rsid w:val="009716ED"/>
    <w:rsid w:val="009729B9"/>
    <w:rsid w:val="00975896"/>
    <w:rsid w:val="00975A08"/>
    <w:rsid w:val="00975D39"/>
    <w:rsid w:val="00975FFC"/>
    <w:rsid w:val="00977947"/>
    <w:rsid w:val="009835B7"/>
    <w:rsid w:val="009843EA"/>
    <w:rsid w:val="00984DE7"/>
    <w:rsid w:val="00987248"/>
    <w:rsid w:val="009878D1"/>
    <w:rsid w:val="009930C7"/>
    <w:rsid w:val="0099446C"/>
    <w:rsid w:val="00994890"/>
    <w:rsid w:val="009975FF"/>
    <w:rsid w:val="00997D4F"/>
    <w:rsid w:val="009A155A"/>
    <w:rsid w:val="009A1ED7"/>
    <w:rsid w:val="009A54D9"/>
    <w:rsid w:val="009A606B"/>
    <w:rsid w:val="009A7375"/>
    <w:rsid w:val="009A7601"/>
    <w:rsid w:val="009A781F"/>
    <w:rsid w:val="009B091F"/>
    <w:rsid w:val="009B2794"/>
    <w:rsid w:val="009B4267"/>
    <w:rsid w:val="009B69CE"/>
    <w:rsid w:val="009C196D"/>
    <w:rsid w:val="009C269C"/>
    <w:rsid w:val="009C3238"/>
    <w:rsid w:val="009C4CE1"/>
    <w:rsid w:val="009C68A3"/>
    <w:rsid w:val="009C6CBE"/>
    <w:rsid w:val="009D0B9A"/>
    <w:rsid w:val="009D18E8"/>
    <w:rsid w:val="009D245D"/>
    <w:rsid w:val="009D2C56"/>
    <w:rsid w:val="009D46D4"/>
    <w:rsid w:val="009D55F3"/>
    <w:rsid w:val="009D5722"/>
    <w:rsid w:val="009D5C5B"/>
    <w:rsid w:val="009E11CF"/>
    <w:rsid w:val="009E1224"/>
    <w:rsid w:val="009E6223"/>
    <w:rsid w:val="009E6B20"/>
    <w:rsid w:val="009E70AD"/>
    <w:rsid w:val="009E76CA"/>
    <w:rsid w:val="009F0246"/>
    <w:rsid w:val="009F0811"/>
    <w:rsid w:val="009F27D6"/>
    <w:rsid w:val="009F371C"/>
    <w:rsid w:val="009F4097"/>
    <w:rsid w:val="009F4289"/>
    <w:rsid w:val="009F4ADB"/>
    <w:rsid w:val="009F6F02"/>
    <w:rsid w:val="00A029EC"/>
    <w:rsid w:val="00A02C5D"/>
    <w:rsid w:val="00A02DB3"/>
    <w:rsid w:val="00A057FD"/>
    <w:rsid w:val="00A11E23"/>
    <w:rsid w:val="00A11FC5"/>
    <w:rsid w:val="00A1497E"/>
    <w:rsid w:val="00A17C2A"/>
    <w:rsid w:val="00A20D08"/>
    <w:rsid w:val="00A23481"/>
    <w:rsid w:val="00A240F7"/>
    <w:rsid w:val="00A24400"/>
    <w:rsid w:val="00A2662E"/>
    <w:rsid w:val="00A26B2E"/>
    <w:rsid w:val="00A2711A"/>
    <w:rsid w:val="00A27646"/>
    <w:rsid w:val="00A27944"/>
    <w:rsid w:val="00A311BC"/>
    <w:rsid w:val="00A31AEA"/>
    <w:rsid w:val="00A31ED8"/>
    <w:rsid w:val="00A32166"/>
    <w:rsid w:val="00A33F4B"/>
    <w:rsid w:val="00A3441F"/>
    <w:rsid w:val="00A35D7C"/>
    <w:rsid w:val="00A375F3"/>
    <w:rsid w:val="00A406F9"/>
    <w:rsid w:val="00A40E59"/>
    <w:rsid w:val="00A41217"/>
    <w:rsid w:val="00A420A2"/>
    <w:rsid w:val="00A5211A"/>
    <w:rsid w:val="00A5528B"/>
    <w:rsid w:val="00A56DD5"/>
    <w:rsid w:val="00A57773"/>
    <w:rsid w:val="00A57CEC"/>
    <w:rsid w:val="00A61C81"/>
    <w:rsid w:val="00A63F1A"/>
    <w:rsid w:val="00A64040"/>
    <w:rsid w:val="00A66B06"/>
    <w:rsid w:val="00A757FD"/>
    <w:rsid w:val="00A75D4A"/>
    <w:rsid w:val="00A76190"/>
    <w:rsid w:val="00A772A6"/>
    <w:rsid w:val="00A773ED"/>
    <w:rsid w:val="00A84253"/>
    <w:rsid w:val="00A867E2"/>
    <w:rsid w:val="00A90EA6"/>
    <w:rsid w:val="00A95B24"/>
    <w:rsid w:val="00A96077"/>
    <w:rsid w:val="00A96221"/>
    <w:rsid w:val="00AA10A9"/>
    <w:rsid w:val="00AA1850"/>
    <w:rsid w:val="00AA1A9F"/>
    <w:rsid w:val="00AA3641"/>
    <w:rsid w:val="00AA3690"/>
    <w:rsid w:val="00AA4E12"/>
    <w:rsid w:val="00AA6AD8"/>
    <w:rsid w:val="00AA7692"/>
    <w:rsid w:val="00AA7BFE"/>
    <w:rsid w:val="00AB13F5"/>
    <w:rsid w:val="00AB43F6"/>
    <w:rsid w:val="00AB4FA2"/>
    <w:rsid w:val="00AB7852"/>
    <w:rsid w:val="00AB7FCB"/>
    <w:rsid w:val="00AC1737"/>
    <w:rsid w:val="00AC42A8"/>
    <w:rsid w:val="00AC5686"/>
    <w:rsid w:val="00AC7DB5"/>
    <w:rsid w:val="00AE3A14"/>
    <w:rsid w:val="00AE433A"/>
    <w:rsid w:val="00AE6C5A"/>
    <w:rsid w:val="00AE7D7A"/>
    <w:rsid w:val="00AF3E7A"/>
    <w:rsid w:val="00B008C3"/>
    <w:rsid w:val="00B0201E"/>
    <w:rsid w:val="00B020C2"/>
    <w:rsid w:val="00B02D68"/>
    <w:rsid w:val="00B0359B"/>
    <w:rsid w:val="00B055E1"/>
    <w:rsid w:val="00B06E0F"/>
    <w:rsid w:val="00B12462"/>
    <w:rsid w:val="00B1414E"/>
    <w:rsid w:val="00B15775"/>
    <w:rsid w:val="00B157DD"/>
    <w:rsid w:val="00B16FDD"/>
    <w:rsid w:val="00B170E8"/>
    <w:rsid w:val="00B20557"/>
    <w:rsid w:val="00B20C6F"/>
    <w:rsid w:val="00B210E3"/>
    <w:rsid w:val="00B21191"/>
    <w:rsid w:val="00B21367"/>
    <w:rsid w:val="00B22A19"/>
    <w:rsid w:val="00B2502B"/>
    <w:rsid w:val="00B259C7"/>
    <w:rsid w:val="00B2736C"/>
    <w:rsid w:val="00B3047E"/>
    <w:rsid w:val="00B31299"/>
    <w:rsid w:val="00B33B20"/>
    <w:rsid w:val="00B3665F"/>
    <w:rsid w:val="00B40403"/>
    <w:rsid w:val="00B40CDD"/>
    <w:rsid w:val="00B414A6"/>
    <w:rsid w:val="00B425D0"/>
    <w:rsid w:val="00B431F5"/>
    <w:rsid w:val="00B432CC"/>
    <w:rsid w:val="00B45141"/>
    <w:rsid w:val="00B46C15"/>
    <w:rsid w:val="00B504B7"/>
    <w:rsid w:val="00B50A2A"/>
    <w:rsid w:val="00B51743"/>
    <w:rsid w:val="00B5184C"/>
    <w:rsid w:val="00B51934"/>
    <w:rsid w:val="00B53EBD"/>
    <w:rsid w:val="00B558CC"/>
    <w:rsid w:val="00B577CE"/>
    <w:rsid w:val="00B60665"/>
    <w:rsid w:val="00B611A6"/>
    <w:rsid w:val="00B616F7"/>
    <w:rsid w:val="00B617E8"/>
    <w:rsid w:val="00B62F5D"/>
    <w:rsid w:val="00B6355A"/>
    <w:rsid w:val="00B66AF3"/>
    <w:rsid w:val="00B66E18"/>
    <w:rsid w:val="00B67358"/>
    <w:rsid w:val="00B70444"/>
    <w:rsid w:val="00B70FE9"/>
    <w:rsid w:val="00B71847"/>
    <w:rsid w:val="00B72CE1"/>
    <w:rsid w:val="00B73FAF"/>
    <w:rsid w:val="00B76AB5"/>
    <w:rsid w:val="00B804D6"/>
    <w:rsid w:val="00B808E0"/>
    <w:rsid w:val="00B900D5"/>
    <w:rsid w:val="00B94E83"/>
    <w:rsid w:val="00B95972"/>
    <w:rsid w:val="00BA0A79"/>
    <w:rsid w:val="00BA0D56"/>
    <w:rsid w:val="00BA2009"/>
    <w:rsid w:val="00BA2655"/>
    <w:rsid w:val="00BA6C75"/>
    <w:rsid w:val="00BB04C4"/>
    <w:rsid w:val="00BB0BD5"/>
    <w:rsid w:val="00BB13BD"/>
    <w:rsid w:val="00BB2466"/>
    <w:rsid w:val="00BB4E5A"/>
    <w:rsid w:val="00BB5252"/>
    <w:rsid w:val="00BC5847"/>
    <w:rsid w:val="00BC74AC"/>
    <w:rsid w:val="00BC7B1B"/>
    <w:rsid w:val="00BD0DC8"/>
    <w:rsid w:val="00BD176C"/>
    <w:rsid w:val="00BD287C"/>
    <w:rsid w:val="00BD2A0E"/>
    <w:rsid w:val="00BD4657"/>
    <w:rsid w:val="00BD64E6"/>
    <w:rsid w:val="00BE399D"/>
    <w:rsid w:val="00BE518E"/>
    <w:rsid w:val="00BE750E"/>
    <w:rsid w:val="00BF35FC"/>
    <w:rsid w:val="00BF375E"/>
    <w:rsid w:val="00BF44C1"/>
    <w:rsid w:val="00BF54A9"/>
    <w:rsid w:val="00BF6F71"/>
    <w:rsid w:val="00C01EC4"/>
    <w:rsid w:val="00C04E46"/>
    <w:rsid w:val="00C0546C"/>
    <w:rsid w:val="00C059D2"/>
    <w:rsid w:val="00C0613B"/>
    <w:rsid w:val="00C06415"/>
    <w:rsid w:val="00C0740E"/>
    <w:rsid w:val="00C078F5"/>
    <w:rsid w:val="00C1427D"/>
    <w:rsid w:val="00C1570D"/>
    <w:rsid w:val="00C171E0"/>
    <w:rsid w:val="00C17ED7"/>
    <w:rsid w:val="00C2022C"/>
    <w:rsid w:val="00C225B8"/>
    <w:rsid w:val="00C23681"/>
    <w:rsid w:val="00C25331"/>
    <w:rsid w:val="00C31BE6"/>
    <w:rsid w:val="00C32CC3"/>
    <w:rsid w:val="00C34342"/>
    <w:rsid w:val="00C3440C"/>
    <w:rsid w:val="00C350DE"/>
    <w:rsid w:val="00C36C8B"/>
    <w:rsid w:val="00C40805"/>
    <w:rsid w:val="00C41E5C"/>
    <w:rsid w:val="00C42EE4"/>
    <w:rsid w:val="00C43B8E"/>
    <w:rsid w:val="00C44CEE"/>
    <w:rsid w:val="00C45CDF"/>
    <w:rsid w:val="00C46B63"/>
    <w:rsid w:val="00C47C89"/>
    <w:rsid w:val="00C47F6B"/>
    <w:rsid w:val="00C508C9"/>
    <w:rsid w:val="00C521FF"/>
    <w:rsid w:val="00C536CF"/>
    <w:rsid w:val="00C53778"/>
    <w:rsid w:val="00C53C35"/>
    <w:rsid w:val="00C55E6B"/>
    <w:rsid w:val="00C561F8"/>
    <w:rsid w:val="00C603A1"/>
    <w:rsid w:val="00C62F35"/>
    <w:rsid w:val="00C63F90"/>
    <w:rsid w:val="00C643E0"/>
    <w:rsid w:val="00C64541"/>
    <w:rsid w:val="00C6466C"/>
    <w:rsid w:val="00C64AD1"/>
    <w:rsid w:val="00C67EED"/>
    <w:rsid w:val="00C67FE8"/>
    <w:rsid w:val="00C7044E"/>
    <w:rsid w:val="00C73ED6"/>
    <w:rsid w:val="00C74A5D"/>
    <w:rsid w:val="00C7571E"/>
    <w:rsid w:val="00C7663F"/>
    <w:rsid w:val="00C76FB6"/>
    <w:rsid w:val="00C77DCE"/>
    <w:rsid w:val="00C8034C"/>
    <w:rsid w:val="00C80381"/>
    <w:rsid w:val="00C81C32"/>
    <w:rsid w:val="00C907A6"/>
    <w:rsid w:val="00C9108E"/>
    <w:rsid w:val="00C92EF8"/>
    <w:rsid w:val="00C93035"/>
    <w:rsid w:val="00C9721D"/>
    <w:rsid w:val="00C97C21"/>
    <w:rsid w:val="00CA2951"/>
    <w:rsid w:val="00CA3DA3"/>
    <w:rsid w:val="00CA434A"/>
    <w:rsid w:val="00CB1211"/>
    <w:rsid w:val="00CB127B"/>
    <w:rsid w:val="00CB1562"/>
    <w:rsid w:val="00CB1D28"/>
    <w:rsid w:val="00CB21CB"/>
    <w:rsid w:val="00CB2705"/>
    <w:rsid w:val="00CB42CA"/>
    <w:rsid w:val="00CB4C28"/>
    <w:rsid w:val="00CB533B"/>
    <w:rsid w:val="00CB5FA4"/>
    <w:rsid w:val="00CB60FB"/>
    <w:rsid w:val="00CC1A99"/>
    <w:rsid w:val="00CC2929"/>
    <w:rsid w:val="00CC3302"/>
    <w:rsid w:val="00CC4479"/>
    <w:rsid w:val="00CC45A8"/>
    <w:rsid w:val="00CC4F8C"/>
    <w:rsid w:val="00CD0571"/>
    <w:rsid w:val="00CD0AAF"/>
    <w:rsid w:val="00CD110C"/>
    <w:rsid w:val="00CD27AE"/>
    <w:rsid w:val="00CD3B2B"/>
    <w:rsid w:val="00CD43A0"/>
    <w:rsid w:val="00CD4AA4"/>
    <w:rsid w:val="00CD7014"/>
    <w:rsid w:val="00CD77DE"/>
    <w:rsid w:val="00CE05E1"/>
    <w:rsid w:val="00CE29F1"/>
    <w:rsid w:val="00CE2DB9"/>
    <w:rsid w:val="00CE2E0D"/>
    <w:rsid w:val="00CE2F55"/>
    <w:rsid w:val="00CE364C"/>
    <w:rsid w:val="00CE4E1B"/>
    <w:rsid w:val="00CE5751"/>
    <w:rsid w:val="00CE62C7"/>
    <w:rsid w:val="00CE798E"/>
    <w:rsid w:val="00CF62B1"/>
    <w:rsid w:val="00CF75A8"/>
    <w:rsid w:val="00D001B9"/>
    <w:rsid w:val="00D01D36"/>
    <w:rsid w:val="00D02499"/>
    <w:rsid w:val="00D044AF"/>
    <w:rsid w:val="00D06964"/>
    <w:rsid w:val="00D121EB"/>
    <w:rsid w:val="00D12D61"/>
    <w:rsid w:val="00D15312"/>
    <w:rsid w:val="00D17DFD"/>
    <w:rsid w:val="00D2045C"/>
    <w:rsid w:val="00D2594B"/>
    <w:rsid w:val="00D27974"/>
    <w:rsid w:val="00D3066A"/>
    <w:rsid w:val="00D33542"/>
    <w:rsid w:val="00D34A49"/>
    <w:rsid w:val="00D34E7F"/>
    <w:rsid w:val="00D351F8"/>
    <w:rsid w:val="00D355F0"/>
    <w:rsid w:val="00D463F8"/>
    <w:rsid w:val="00D47928"/>
    <w:rsid w:val="00D47CAF"/>
    <w:rsid w:val="00D51BD2"/>
    <w:rsid w:val="00D522C8"/>
    <w:rsid w:val="00D5310A"/>
    <w:rsid w:val="00D536CC"/>
    <w:rsid w:val="00D5461B"/>
    <w:rsid w:val="00D54969"/>
    <w:rsid w:val="00D54C72"/>
    <w:rsid w:val="00D55FF1"/>
    <w:rsid w:val="00D57786"/>
    <w:rsid w:val="00D57A76"/>
    <w:rsid w:val="00D60CAE"/>
    <w:rsid w:val="00D62A81"/>
    <w:rsid w:val="00D64445"/>
    <w:rsid w:val="00D645AA"/>
    <w:rsid w:val="00D70DCD"/>
    <w:rsid w:val="00D72537"/>
    <w:rsid w:val="00D72866"/>
    <w:rsid w:val="00D766C7"/>
    <w:rsid w:val="00D775F6"/>
    <w:rsid w:val="00D81141"/>
    <w:rsid w:val="00D81C27"/>
    <w:rsid w:val="00D828C8"/>
    <w:rsid w:val="00D863C9"/>
    <w:rsid w:val="00D86ABD"/>
    <w:rsid w:val="00D873B0"/>
    <w:rsid w:val="00D87CA9"/>
    <w:rsid w:val="00D90D2B"/>
    <w:rsid w:val="00D956B2"/>
    <w:rsid w:val="00D961BB"/>
    <w:rsid w:val="00D96559"/>
    <w:rsid w:val="00D9657A"/>
    <w:rsid w:val="00D96D21"/>
    <w:rsid w:val="00D97091"/>
    <w:rsid w:val="00D97375"/>
    <w:rsid w:val="00DA17BF"/>
    <w:rsid w:val="00DA2C6A"/>
    <w:rsid w:val="00DA31D4"/>
    <w:rsid w:val="00DA58A9"/>
    <w:rsid w:val="00DA5FD4"/>
    <w:rsid w:val="00DA618E"/>
    <w:rsid w:val="00DB0117"/>
    <w:rsid w:val="00DB1CE6"/>
    <w:rsid w:val="00DB4582"/>
    <w:rsid w:val="00DB4E97"/>
    <w:rsid w:val="00DC0290"/>
    <w:rsid w:val="00DC13C1"/>
    <w:rsid w:val="00DC3612"/>
    <w:rsid w:val="00DC390B"/>
    <w:rsid w:val="00DC3A34"/>
    <w:rsid w:val="00DC4189"/>
    <w:rsid w:val="00DC7797"/>
    <w:rsid w:val="00DD0602"/>
    <w:rsid w:val="00DD1900"/>
    <w:rsid w:val="00DD449D"/>
    <w:rsid w:val="00DD4D09"/>
    <w:rsid w:val="00DD53B5"/>
    <w:rsid w:val="00DD55D7"/>
    <w:rsid w:val="00DD5F73"/>
    <w:rsid w:val="00DE0B71"/>
    <w:rsid w:val="00DE3831"/>
    <w:rsid w:val="00DE5A2C"/>
    <w:rsid w:val="00DE5BC5"/>
    <w:rsid w:val="00DE6E0C"/>
    <w:rsid w:val="00DE7209"/>
    <w:rsid w:val="00DE7BE0"/>
    <w:rsid w:val="00DF00AB"/>
    <w:rsid w:val="00DF07D7"/>
    <w:rsid w:val="00DF3A7F"/>
    <w:rsid w:val="00DF5869"/>
    <w:rsid w:val="00E01176"/>
    <w:rsid w:val="00E01C21"/>
    <w:rsid w:val="00E0559C"/>
    <w:rsid w:val="00E073FE"/>
    <w:rsid w:val="00E07D89"/>
    <w:rsid w:val="00E11C99"/>
    <w:rsid w:val="00E11DE5"/>
    <w:rsid w:val="00E1255D"/>
    <w:rsid w:val="00E12C91"/>
    <w:rsid w:val="00E12D68"/>
    <w:rsid w:val="00E23467"/>
    <w:rsid w:val="00E250A9"/>
    <w:rsid w:val="00E25E82"/>
    <w:rsid w:val="00E26202"/>
    <w:rsid w:val="00E267CF"/>
    <w:rsid w:val="00E26D12"/>
    <w:rsid w:val="00E27770"/>
    <w:rsid w:val="00E27B7E"/>
    <w:rsid w:val="00E31E02"/>
    <w:rsid w:val="00E34011"/>
    <w:rsid w:val="00E40130"/>
    <w:rsid w:val="00E426B0"/>
    <w:rsid w:val="00E4468C"/>
    <w:rsid w:val="00E45298"/>
    <w:rsid w:val="00E45F52"/>
    <w:rsid w:val="00E47CCC"/>
    <w:rsid w:val="00E5149E"/>
    <w:rsid w:val="00E51F7E"/>
    <w:rsid w:val="00E5307C"/>
    <w:rsid w:val="00E54206"/>
    <w:rsid w:val="00E5442D"/>
    <w:rsid w:val="00E56763"/>
    <w:rsid w:val="00E573D6"/>
    <w:rsid w:val="00E6070E"/>
    <w:rsid w:val="00E60DCC"/>
    <w:rsid w:val="00E61B48"/>
    <w:rsid w:val="00E640E5"/>
    <w:rsid w:val="00E6731A"/>
    <w:rsid w:val="00E67AE8"/>
    <w:rsid w:val="00E71507"/>
    <w:rsid w:val="00E7211A"/>
    <w:rsid w:val="00E7257E"/>
    <w:rsid w:val="00E72BD1"/>
    <w:rsid w:val="00E76DBB"/>
    <w:rsid w:val="00E827B9"/>
    <w:rsid w:val="00E831A3"/>
    <w:rsid w:val="00E85EF0"/>
    <w:rsid w:val="00E865E4"/>
    <w:rsid w:val="00E86630"/>
    <w:rsid w:val="00E87EE7"/>
    <w:rsid w:val="00E901BF"/>
    <w:rsid w:val="00E9044E"/>
    <w:rsid w:val="00E90E81"/>
    <w:rsid w:val="00E911BC"/>
    <w:rsid w:val="00E930A9"/>
    <w:rsid w:val="00E939CC"/>
    <w:rsid w:val="00E94B9E"/>
    <w:rsid w:val="00E950E1"/>
    <w:rsid w:val="00E97B52"/>
    <w:rsid w:val="00E97C28"/>
    <w:rsid w:val="00EA0477"/>
    <w:rsid w:val="00EA5176"/>
    <w:rsid w:val="00EA52B5"/>
    <w:rsid w:val="00EA754C"/>
    <w:rsid w:val="00EA7AAE"/>
    <w:rsid w:val="00EB08CE"/>
    <w:rsid w:val="00EB1181"/>
    <w:rsid w:val="00EB1E52"/>
    <w:rsid w:val="00EB3D3B"/>
    <w:rsid w:val="00EB46FF"/>
    <w:rsid w:val="00EB496B"/>
    <w:rsid w:val="00EB51B7"/>
    <w:rsid w:val="00EB520C"/>
    <w:rsid w:val="00EB5416"/>
    <w:rsid w:val="00EB5C3B"/>
    <w:rsid w:val="00EB5D39"/>
    <w:rsid w:val="00EB6263"/>
    <w:rsid w:val="00EB70A5"/>
    <w:rsid w:val="00EB78E7"/>
    <w:rsid w:val="00EB7A98"/>
    <w:rsid w:val="00EC258A"/>
    <w:rsid w:val="00EC6197"/>
    <w:rsid w:val="00EC7774"/>
    <w:rsid w:val="00ED07DA"/>
    <w:rsid w:val="00ED0FCA"/>
    <w:rsid w:val="00ED2882"/>
    <w:rsid w:val="00ED41C3"/>
    <w:rsid w:val="00ED42DC"/>
    <w:rsid w:val="00ED6DB8"/>
    <w:rsid w:val="00ED7C98"/>
    <w:rsid w:val="00EE302D"/>
    <w:rsid w:val="00EE38DA"/>
    <w:rsid w:val="00EE431E"/>
    <w:rsid w:val="00EE57B4"/>
    <w:rsid w:val="00EF10EC"/>
    <w:rsid w:val="00EF191F"/>
    <w:rsid w:val="00EF346D"/>
    <w:rsid w:val="00EF6D34"/>
    <w:rsid w:val="00F00A6F"/>
    <w:rsid w:val="00F0148D"/>
    <w:rsid w:val="00F02E65"/>
    <w:rsid w:val="00F04514"/>
    <w:rsid w:val="00F05578"/>
    <w:rsid w:val="00F1040B"/>
    <w:rsid w:val="00F12E22"/>
    <w:rsid w:val="00F13244"/>
    <w:rsid w:val="00F13413"/>
    <w:rsid w:val="00F15135"/>
    <w:rsid w:val="00F15455"/>
    <w:rsid w:val="00F22367"/>
    <w:rsid w:val="00F22375"/>
    <w:rsid w:val="00F248BF"/>
    <w:rsid w:val="00F24A9F"/>
    <w:rsid w:val="00F24CE9"/>
    <w:rsid w:val="00F30502"/>
    <w:rsid w:val="00F306DD"/>
    <w:rsid w:val="00F322C3"/>
    <w:rsid w:val="00F32627"/>
    <w:rsid w:val="00F33EDF"/>
    <w:rsid w:val="00F368C9"/>
    <w:rsid w:val="00F36CD5"/>
    <w:rsid w:val="00F404BA"/>
    <w:rsid w:val="00F415FF"/>
    <w:rsid w:val="00F41903"/>
    <w:rsid w:val="00F41956"/>
    <w:rsid w:val="00F41C14"/>
    <w:rsid w:val="00F423B6"/>
    <w:rsid w:val="00F42445"/>
    <w:rsid w:val="00F453DB"/>
    <w:rsid w:val="00F460F6"/>
    <w:rsid w:val="00F46B66"/>
    <w:rsid w:val="00F46FC6"/>
    <w:rsid w:val="00F47BC6"/>
    <w:rsid w:val="00F50871"/>
    <w:rsid w:val="00F5203A"/>
    <w:rsid w:val="00F54128"/>
    <w:rsid w:val="00F5557C"/>
    <w:rsid w:val="00F55716"/>
    <w:rsid w:val="00F5582D"/>
    <w:rsid w:val="00F55D60"/>
    <w:rsid w:val="00F56883"/>
    <w:rsid w:val="00F6032C"/>
    <w:rsid w:val="00F606A5"/>
    <w:rsid w:val="00F6078A"/>
    <w:rsid w:val="00F60C1C"/>
    <w:rsid w:val="00F610B2"/>
    <w:rsid w:val="00F61E39"/>
    <w:rsid w:val="00F638A1"/>
    <w:rsid w:val="00F64392"/>
    <w:rsid w:val="00F65090"/>
    <w:rsid w:val="00F66834"/>
    <w:rsid w:val="00F66CF2"/>
    <w:rsid w:val="00F67BE3"/>
    <w:rsid w:val="00F711D6"/>
    <w:rsid w:val="00F72BD0"/>
    <w:rsid w:val="00F732E8"/>
    <w:rsid w:val="00F7612D"/>
    <w:rsid w:val="00F76D62"/>
    <w:rsid w:val="00F7764E"/>
    <w:rsid w:val="00F83C58"/>
    <w:rsid w:val="00F8469C"/>
    <w:rsid w:val="00F84DF1"/>
    <w:rsid w:val="00F85447"/>
    <w:rsid w:val="00F85530"/>
    <w:rsid w:val="00F85E4A"/>
    <w:rsid w:val="00F87A9E"/>
    <w:rsid w:val="00F9044D"/>
    <w:rsid w:val="00F9055A"/>
    <w:rsid w:val="00F907D5"/>
    <w:rsid w:val="00F915EF"/>
    <w:rsid w:val="00F91E1C"/>
    <w:rsid w:val="00F95332"/>
    <w:rsid w:val="00FA1CF1"/>
    <w:rsid w:val="00FA40A1"/>
    <w:rsid w:val="00FA46B7"/>
    <w:rsid w:val="00FA53BD"/>
    <w:rsid w:val="00FA5B9E"/>
    <w:rsid w:val="00FB22BA"/>
    <w:rsid w:val="00FB55A8"/>
    <w:rsid w:val="00FB55E2"/>
    <w:rsid w:val="00FC16EC"/>
    <w:rsid w:val="00FC2726"/>
    <w:rsid w:val="00FC35F2"/>
    <w:rsid w:val="00FC36CE"/>
    <w:rsid w:val="00FC442A"/>
    <w:rsid w:val="00FC535A"/>
    <w:rsid w:val="00FD62F2"/>
    <w:rsid w:val="00FD64FD"/>
    <w:rsid w:val="00FD6D94"/>
    <w:rsid w:val="00FD718B"/>
    <w:rsid w:val="00FE370B"/>
    <w:rsid w:val="00FE53CF"/>
    <w:rsid w:val="00FE5664"/>
    <w:rsid w:val="00FE6436"/>
    <w:rsid w:val="00FF0341"/>
    <w:rsid w:val="00FF2491"/>
    <w:rsid w:val="00FF30BF"/>
    <w:rsid w:val="00FF40E5"/>
    <w:rsid w:val="00FF4729"/>
    <w:rsid w:val="00FF7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332"/>
    <w:pPr>
      <w:ind w:left="720"/>
      <w:contextualSpacing/>
    </w:pPr>
  </w:style>
  <w:style w:type="paragraph" w:styleId="Header">
    <w:name w:val="header"/>
    <w:basedOn w:val="Normal"/>
    <w:link w:val="HeaderChar"/>
    <w:uiPriority w:val="99"/>
    <w:unhideWhenUsed/>
    <w:rsid w:val="00D06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964"/>
  </w:style>
  <w:style w:type="paragraph" w:styleId="Footer">
    <w:name w:val="footer"/>
    <w:basedOn w:val="Normal"/>
    <w:link w:val="FooterChar"/>
    <w:uiPriority w:val="99"/>
    <w:unhideWhenUsed/>
    <w:rsid w:val="00D06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964"/>
  </w:style>
  <w:style w:type="character" w:styleId="CommentReference">
    <w:name w:val="annotation reference"/>
    <w:basedOn w:val="DefaultParagraphFont"/>
    <w:uiPriority w:val="99"/>
    <w:semiHidden/>
    <w:unhideWhenUsed/>
    <w:rsid w:val="00401742"/>
    <w:rPr>
      <w:sz w:val="16"/>
      <w:szCs w:val="16"/>
    </w:rPr>
  </w:style>
  <w:style w:type="paragraph" w:styleId="CommentText">
    <w:name w:val="annotation text"/>
    <w:basedOn w:val="Normal"/>
    <w:link w:val="CommentTextChar"/>
    <w:uiPriority w:val="99"/>
    <w:semiHidden/>
    <w:unhideWhenUsed/>
    <w:rsid w:val="00401742"/>
    <w:pPr>
      <w:spacing w:line="240" w:lineRule="auto"/>
    </w:pPr>
    <w:rPr>
      <w:sz w:val="20"/>
      <w:szCs w:val="20"/>
    </w:rPr>
  </w:style>
  <w:style w:type="character" w:customStyle="1" w:styleId="CommentTextChar">
    <w:name w:val="Comment Text Char"/>
    <w:basedOn w:val="DefaultParagraphFont"/>
    <w:link w:val="CommentText"/>
    <w:uiPriority w:val="99"/>
    <w:semiHidden/>
    <w:rsid w:val="00401742"/>
    <w:rPr>
      <w:sz w:val="20"/>
      <w:szCs w:val="20"/>
    </w:rPr>
  </w:style>
  <w:style w:type="paragraph" w:styleId="CommentSubject">
    <w:name w:val="annotation subject"/>
    <w:basedOn w:val="CommentText"/>
    <w:next w:val="CommentText"/>
    <w:link w:val="CommentSubjectChar"/>
    <w:uiPriority w:val="99"/>
    <w:semiHidden/>
    <w:unhideWhenUsed/>
    <w:rsid w:val="00401742"/>
    <w:rPr>
      <w:b/>
      <w:bCs/>
    </w:rPr>
  </w:style>
  <w:style w:type="character" w:customStyle="1" w:styleId="CommentSubjectChar">
    <w:name w:val="Comment Subject Char"/>
    <w:basedOn w:val="CommentTextChar"/>
    <w:link w:val="CommentSubject"/>
    <w:uiPriority w:val="99"/>
    <w:semiHidden/>
    <w:rsid w:val="00401742"/>
    <w:rPr>
      <w:b/>
      <w:bCs/>
      <w:sz w:val="20"/>
      <w:szCs w:val="20"/>
    </w:rPr>
  </w:style>
  <w:style w:type="paragraph" w:styleId="BalloonText">
    <w:name w:val="Balloon Text"/>
    <w:basedOn w:val="Normal"/>
    <w:link w:val="BalloonTextChar"/>
    <w:uiPriority w:val="99"/>
    <w:semiHidden/>
    <w:unhideWhenUsed/>
    <w:rsid w:val="00401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42"/>
    <w:rPr>
      <w:rFonts w:ascii="Tahoma" w:hAnsi="Tahoma" w:cs="Tahoma"/>
      <w:sz w:val="16"/>
      <w:szCs w:val="16"/>
    </w:rPr>
  </w:style>
  <w:style w:type="character" w:styleId="Hyperlink">
    <w:name w:val="Hyperlink"/>
    <w:basedOn w:val="DefaultParagraphFont"/>
    <w:uiPriority w:val="99"/>
    <w:unhideWhenUsed/>
    <w:rsid w:val="00C42EE4"/>
    <w:rPr>
      <w:color w:val="0000FF" w:themeColor="hyperlink"/>
      <w:u w:val="single"/>
    </w:rPr>
  </w:style>
  <w:style w:type="character" w:styleId="FollowedHyperlink">
    <w:name w:val="FollowedHyperlink"/>
    <w:basedOn w:val="DefaultParagraphFont"/>
    <w:uiPriority w:val="99"/>
    <w:semiHidden/>
    <w:unhideWhenUsed/>
    <w:rsid w:val="00F5203A"/>
    <w:rPr>
      <w:color w:val="800080" w:themeColor="followedHyperlink"/>
      <w:u w:val="single"/>
    </w:rPr>
  </w:style>
  <w:style w:type="paragraph" w:customStyle="1" w:styleId="Default">
    <w:name w:val="Default"/>
    <w:rsid w:val="00F520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41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332"/>
    <w:pPr>
      <w:ind w:left="720"/>
      <w:contextualSpacing/>
    </w:pPr>
  </w:style>
  <w:style w:type="paragraph" w:styleId="Header">
    <w:name w:val="header"/>
    <w:basedOn w:val="Normal"/>
    <w:link w:val="HeaderChar"/>
    <w:uiPriority w:val="99"/>
    <w:unhideWhenUsed/>
    <w:rsid w:val="00D06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964"/>
  </w:style>
  <w:style w:type="paragraph" w:styleId="Footer">
    <w:name w:val="footer"/>
    <w:basedOn w:val="Normal"/>
    <w:link w:val="FooterChar"/>
    <w:uiPriority w:val="99"/>
    <w:unhideWhenUsed/>
    <w:rsid w:val="00D06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964"/>
  </w:style>
  <w:style w:type="character" w:styleId="CommentReference">
    <w:name w:val="annotation reference"/>
    <w:basedOn w:val="DefaultParagraphFont"/>
    <w:uiPriority w:val="99"/>
    <w:semiHidden/>
    <w:unhideWhenUsed/>
    <w:rsid w:val="00401742"/>
    <w:rPr>
      <w:sz w:val="16"/>
      <w:szCs w:val="16"/>
    </w:rPr>
  </w:style>
  <w:style w:type="paragraph" w:styleId="CommentText">
    <w:name w:val="annotation text"/>
    <w:basedOn w:val="Normal"/>
    <w:link w:val="CommentTextChar"/>
    <w:uiPriority w:val="99"/>
    <w:semiHidden/>
    <w:unhideWhenUsed/>
    <w:rsid w:val="00401742"/>
    <w:pPr>
      <w:spacing w:line="240" w:lineRule="auto"/>
    </w:pPr>
    <w:rPr>
      <w:sz w:val="20"/>
      <w:szCs w:val="20"/>
    </w:rPr>
  </w:style>
  <w:style w:type="character" w:customStyle="1" w:styleId="CommentTextChar">
    <w:name w:val="Comment Text Char"/>
    <w:basedOn w:val="DefaultParagraphFont"/>
    <w:link w:val="CommentText"/>
    <w:uiPriority w:val="99"/>
    <w:semiHidden/>
    <w:rsid w:val="00401742"/>
    <w:rPr>
      <w:sz w:val="20"/>
      <w:szCs w:val="20"/>
    </w:rPr>
  </w:style>
  <w:style w:type="paragraph" w:styleId="CommentSubject">
    <w:name w:val="annotation subject"/>
    <w:basedOn w:val="CommentText"/>
    <w:next w:val="CommentText"/>
    <w:link w:val="CommentSubjectChar"/>
    <w:uiPriority w:val="99"/>
    <w:semiHidden/>
    <w:unhideWhenUsed/>
    <w:rsid w:val="00401742"/>
    <w:rPr>
      <w:b/>
      <w:bCs/>
    </w:rPr>
  </w:style>
  <w:style w:type="character" w:customStyle="1" w:styleId="CommentSubjectChar">
    <w:name w:val="Comment Subject Char"/>
    <w:basedOn w:val="CommentTextChar"/>
    <w:link w:val="CommentSubject"/>
    <w:uiPriority w:val="99"/>
    <w:semiHidden/>
    <w:rsid w:val="00401742"/>
    <w:rPr>
      <w:b/>
      <w:bCs/>
      <w:sz w:val="20"/>
      <w:szCs w:val="20"/>
    </w:rPr>
  </w:style>
  <w:style w:type="paragraph" w:styleId="BalloonText">
    <w:name w:val="Balloon Text"/>
    <w:basedOn w:val="Normal"/>
    <w:link w:val="BalloonTextChar"/>
    <w:uiPriority w:val="99"/>
    <w:semiHidden/>
    <w:unhideWhenUsed/>
    <w:rsid w:val="00401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42"/>
    <w:rPr>
      <w:rFonts w:ascii="Tahoma" w:hAnsi="Tahoma" w:cs="Tahoma"/>
      <w:sz w:val="16"/>
      <w:szCs w:val="16"/>
    </w:rPr>
  </w:style>
  <w:style w:type="character" w:styleId="Hyperlink">
    <w:name w:val="Hyperlink"/>
    <w:basedOn w:val="DefaultParagraphFont"/>
    <w:uiPriority w:val="99"/>
    <w:unhideWhenUsed/>
    <w:rsid w:val="00C42EE4"/>
    <w:rPr>
      <w:color w:val="0000FF" w:themeColor="hyperlink"/>
      <w:u w:val="single"/>
    </w:rPr>
  </w:style>
  <w:style w:type="character" w:styleId="FollowedHyperlink">
    <w:name w:val="FollowedHyperlink"/>
    <w:basedOn w:val="DefaultParagraphFont"/>
    <w:uiPriority w:val="99"/>
    <w:semiHidden/>
    <w:unhideWhenUsed/>
    <w:rsid w:val="00F5203A"/>
    <w:rPr>
      <w:color w:val="800080" w:themeColor="followedHyperlink"/>
      <w:u w:val="single"/>
    </w:rPr>
  </w:style>
  <w:style w:type="paragraph" w:customStyle="1" w:styleId="Default">
    <w:name w:val="Default"/>
    <w:rsid w:val="00F520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41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worldbank.org/WBSITE/EXTERNAL/PROJECTS/EXTPOLICIES/EXTSAFEPOL/0,,contentMDK:23275156~pagePK:64168445~piPK:64168309~theSitePK:584435,00.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teresources.worldbank.org/EXTSAFEPOL/Resources/584434-1306431390058/EXPERTFOCUSGROUP_LABOR_INDONESIA_PARTICIPANTS.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teresources.worldbank.org/EXTSAFEPOL/Resources/584434-1306431390058/SafeguardExtFocusGroupT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9431B-260E-4946-B17F-644C3F33B058}">
  <ds:schemaRef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CC71A8C-6B8E-4B84-8974-6C81FD53B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D70835F-24D8-490A-92A4-09EAEADFD865}">
  <ds:schemaRefs>
    <ds:schemaRef ds:uri="http://schemas.microsoft.com/sharepoint/v3/contenttype/forms"/>
  </ds:schemaRefs>
</ds:datastoreItem>
</file>

<file path=customXml/itemProps4.xml><?xml version="1.0" encoding="utf-8"?>
<ds:datastoreItem xmlns:ds="http://schemas.openxmlformats.org/officeDocument/2006/customXml" ds:itemID="{CD51845B-8463-4621-AE18-B64EE0E6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1828</Words>
  <Characters>10423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Mills Lindsay</dc:creator>
  <cp:lastModifiedBy>Jennifer Chato</cp:lastModifiedBy>
  <cp:revision>2</cp:revision>
  <dcterms:created xsi:type="dcterms:W3CDTF">2013-10-24T15:01:00Z</dcterms:created>
  <dcterms:modified xsi:type="dcterms:W3CDTF">2013-10-24T15:01:00Z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0x010100709432D82A95904BB9AE2E383C32EFFA</vt:lpwstr>
  </property>
</Properties>
</file>